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4F73" w14:textId="77777777" w:rsidR="00820F68" w:rsidRPr="00705294" w:rsidRDefault="00820F68" w:rsidP="00740D19">
      <w:pPr>
        <w:adjustRightInd w:val="0"/>
        <w:snapToGrid w:val="0"/>
        <w:jc w:val="left"/>
        <w:rPr>
          <w:szCs w:val="24"/>
          <w:lang w:val="en-US"/>
        </w:rPr>
      </w:pPr>
      <w:r w:rsidRPr="00705294">
        <w:rPr>
          <w:i/>
          <w:szCs w:val="24"/>
          <w:lang w:val="en-US"/>
        </w:rPr>
        <w:t xml:space="preserve">Laws </w:t>
      </w:r>
      <w:r w:rsidRPr="00705294">
        <w:rPr>
          <w:b/>
          <w:bCs/>
          <w:iCs/>
          <w:szCs w:val="24"/>
          <w:lang w:val="en-US"/>
        </w:rPr>
        <w:t>201</w:t>
      </w:r>
      <w:r w:rsidR="0022119B" w:rsidRPr="00705294">
        <w:rPr>
          <w:rFonts w:eastAsia="SimSun" w:hint="eastAsia"/>
          <w:b/>
          <w:bCs/>
          <w:iCs/>
          <w:szCs w:val="24"/>
          <w:lang w:val="en-US" w:eastAsia="zh-CN"/>
        </w:rPr>
        <w:t>4</w:t>
      </w:r>
      <w:r w:rsidRPr="00705294">
        <w:rPr>
          <w:iCs/>
          <w:szCs w:val="24"/>
          <w:lang w:val="en-US"/>
        </w:rPr>
        <w:t xml:space="preserve">, </w:t>
      </w:r>
      <w:r w:rsidR="0022119B" w:rsidRPr="00705294">
        <w:rPr>
          <w:rFonts w:eastAsia="SimSun" w:hint="eastAsia"/>
          <w:i/>
          <w:iCs/>
          <w:szCs w:val="24"/>
          <w:lang w:val="en-US" w:eastAsia="zh-CN"/>
        </w:rPr>
        <w:t>3</w:t>
      </w:r>
      <w:r w:rsidRPr="00705294">
        <w:rPr>
          <w:iCs/>
          <w:szCs w:val="24"/>
          <w:lang w:val="en-US"/>
        </w:rPr>
        <w:t>, 1-x</w:t>
      </w:r>
      <w:r w:rsidRPr="00705294">
        <w:rPr>
          <w:i/>
          <w:szCs w:val="24"/>
          <w:lang w:val="en-US"/>
        </w:rPr>
        <w:t xml:space="preserve"> </w:t>
      </w:r>
      <w:r w:rsidRPr="00705294">
        <w:rPr>
          <w:szCs w:val="24"/>
          <w:lang w:val="en-US"/>
        </w:rPr>
        <w:t>manuscripts; doi:10.3390/laws</w:t>
      </w:r>
      <w:r w:rsidR="0022119B" w:rsidRPr="00705294">
        <w:rPr>
          <w:rFonts w:eastAsia="SimSun" w:hint="eastAsia"/>
          <w:szCs w:val="24"/>
          <w:lang w:val="en-US" w:eastAsia="zh-CN"/>
        </w:rPr>
        <w:t>3</w:t>
      </w:r>
      <w:r w:rsidRPr="00705294">
        <w:rPr>
          <w:szCs w:val="24"/>
          <w:lang w:val="en-US"/>
        </w:rPr>
        <w:t>0x000x</w:t>
      </w:r>
    </w:p>
    <w:p w14:paraId="20EBD20F" w14:textId="77777777" w:rsidR="00820F68" w:rsidRPr="00705294" w:rsidRDefault="00F65F24" w:rsidP="00740D19">
      <w:pPr>
        <w:adjustRightInd w:val="0"/>
        <w:snapToGrid w:val="0"/>
        <w:spacing w:line="240" w:lineRule="auto"/>
        <w:jc w:val="right"/>
        <w:rPr>
          <w:i/>
          <w:szCs w:val="24"/>
          <w:lang w:val="en-US"/>
        </w:rPr>
      </w:pPr>
      <w:r w:rsidRPr="00705294">
        <w:rPr>
          <w:noProof/>
          <w:szCs w:val="24"/>
          <w:lang w:eastAsia="en-GB"/>
        </w:rPr>
        <mc:AlternateContent>
          <mc:Choice Requires="wps">
            <w:drawing>
              <wp:inline distT="0" distB="0" distL="0" distR="0" wp14:anchorId="2CB56D30" wp14:editId="472A8C13">
                <wp:extent cx="1007110" cy="146050"/>
                <wp:effectExtent l="0" t="0" r="317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60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BDC18" w14:textId="77777777" w:rsidR="00194CB7" w:rsidRPr="00F55CA4" w:rsidRDefault="00194CB7" w:rsidP="00820F68">
                            <w:pPr>
                              <w:widowControl w:val="0"/>
                              <w:spacing w:line="240" w:lineRule="auto"/>
                              <w:jc w:val="center"/>
                              <w:rPr>
                                <w:b/>
                                <w:color w:val="00B0F0"/>
                                <w:sz w:val="20"/>
                                <w:lang w:val="fr-FR"/>
                              </w:rPr>
                            </w:pPr>
                            <w:r w:rsidRPr="00F55CA4">
                              <w:rPr>
                                <w:b/>
                                <w:color w:val="FFFFFF"/>
                                <w:sz w:val="20"/>
                                <w:lang w:val="fr-FR"/>
                              </w:rPr>
                              <w:t>OPEN ACCESS</w:t>
                            </w: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MPfQIAAP8EAAAOAAAAZHJzL2Uyb0RvYy54bWysVF1v2yAUfZ+0/4B4T40jJ42tOFXTztOk&#10;7kNq9wOIwTEaBgYkdjf1v++C4zbdXqZpeXCuzeVw7j3nsr4aOomO3DqhVYnTC4IRV7VmQu1L/PWh&#10;mq0wcp4qRqVWvMSP3OGrzds3694UfK5bLRm3CECUK3pT4tZ7UySJq1veUXehDVew2GjbUQ+vdp8w&#10;S3tA72QyJ2SZ9NoyY3XNnYOvt+Mi3kT8puG1/9w0jnskSwzcfHza+NyFZ7JZ02JvqWlFfaJB/4FF&#10;R4WCQ5+hbqmn6GDFH1CdqK12uvEXte4S3TSi5rEGqCYlv1Vz31LDYy3QHGee2+T+H2z96fjFIsFA&#10;O4wU7UCiBz54tNUDmofu9MYVkHRvIM0P8DlkhkqdudP1N4eUvmmp2vNra3XfcsqAXRp2JmdbRxwX&#10;QHb9R83gGHrwOgINje0CIDQDATqo9PisTKBShyMJuUxTWKphLc2WZBGlS2gx7TbW+fdcdygEJbag&#10;fESnxzvnAxtaTCmRvZaCVULK+GL3uxtp0ZEGl5AtqSZ0d54mVUhWOmwbEccvQBLOCGuBblT9Z57O&#10;M7Kd57NqubqcZVW2mOWXZDUjab7NlyTLs9vqKRBMs6IVjHF1JxSfHJhmf6fwaRZG70QPor7E+WK+&#10;GCU6Z+9eF0ngF1UCJc/TOuFhIKXoSrwKOacRCcK+UwzKpoWnQo5x8pp+7DL0YPqPXYk2CMqPHvDD&#10;bgCU4I2dZo9gCKtBL5AWbhEIWm1/YNTDRJbYfT9QyzGSHxSYKozvFNgp2E0BVTVsLbHHaAxv/Djm&#10;B2PFvgXkybbXYLxKRE+8sDjZFaYskj/dCGGMz99j1su9tfkFAAD//wMAUEsDBBQABgAIAAAAIQAU&#10;Rkek2gAAAAQBAAAPAAAAZHJzL2Rvd25yZXYueG1sTI/BTsMwEETvSP0Haytxow4FqhCyqdqq3JAQ&#10;bSSubrzEgXgdxW4S/h6XC1xWGs1o5m2+nmwrBup94xjhdpGAIK6cbrhGKI/PNykIHxRr1TomhG/y&#10;sC5mV7nKtBv5jYZDqEUsYZ8pBBNCl0npK0NW+YXriKP34XqrQpR9LXWvxlhuW7lMkpW0quG4YFRH&#10;O0PV1+FsETal/Ax2/2Le9+U9bx9fx/Q4jIjX82nzBCLQFP7CcMGP6FBEppM7s/aiRYiPhN978R7S&#10;FYgTwvIuAVnk8j988QMAAP//AwBQSwECLQAUAAYACAAAACEAtoM4kv4AAADhAQAAEwAAAAAAAAAA&#10;AAAAAAAAAAAAW0NvbnRlbnRfVHlwZXNdLnhtbFBLAQItABQABgAIAAAAIQA4/SH/1gAAAJQBAAAL&#10;AAAAAAAAAAAAAAAAAC8BAABfcmVscy8ucmVsc1BLAQItABQABgAIAAAAIQDEdWMPfQIAAP8EAAAO&#10;AAAAAAAAAAAAAAAAAC4CAABkcnMvZTJvRG9jLnhtbFBLAQItABQABgAIAAAAIQAURkek2gAAAAQB&#10;AAAPAAAAAAAAAAAAAAAAANcEAABkcnMvZG93bnJldi54bWxQSwUGAAAAAAQABADzAAAA3gUAAAAA&#10;" fillcolor="#00b0f0" stroked="f">
                <v:textbox style="mso-fit-shape-to-text:t" inset="0,0,0,0">
                  <w:txbxContent>
                    <w:p w14:paraId="095BDC18" w14:textId="77777777" w:rsidR="00194CB7" w:rsidRPr="00F55CA4" w:rsidRDefault="00194CB7" w:rsidP="00820F68">
                      <w:pPr>
                        <w:widowControl w:val="0"/>
                        <w:spacing w:line="240" w:lineRule="auto"/>
                        <w:jc w:val="center"/>
                        <w:rPr>
                          <w:b/>
                          <w:color w:val="00B0F0"/>
                          <w:sz w:val="20"/>
                          <w:lang w:val="fr-FR"/>
                        </w:rPr>
                      </w:pPr>
                      <w:r w:rsidRPr="00F55CA4">
                        <w:rPr>
                          <w:b/>
                          <w:color w:val="FFFFFF"/>
                          <w:sz w:val="20"/>
                          <w:lang w:val="fr-FR"/>
                        </w:rPr>
                        <w:t>OPEN ACCESS</w:t>
                      </w:r>
                    </w:p>
                  </w:txbxContent>
                </v:textbox>
                <w10:anchorlock/>
              </v:shape>
            </w:pict>
          </mc:Fallback>
        </mc:AlternateContent>
      </w:r>
    </w:p>
    <w:p w14:paraId="11E656DA" w14:textId="77777777" w:rsidR="002A3DAE" w:rsidRPr="00705294" w:rsidRDefault="002A3DAE" w:rsidP="002A3DAE">
      <w:pPr>
        <w:spacing w:line="240" w:lineRule="auto"/>
        <w:jc w:val="right"/>
        <w:rPr>
          <w:rFonts w:eastAsia="SimSun"/>
          <w:b/>
          <w:i/>
          <w:iCs/>
          <w:color w:val="511F60"/>
          <w:sz w:val="64"/>
          <w:szCs w:val="64"/>
          <w:lang w:val="en-US" w:eastAsia="zh-CN"/>
        </w:rPr>
      </w:pPr>
      <w:r w:rsidRPr="00705294">
        <w:rPr>
          <w:b/>
          <w:i/>
          <w:iCs/>
          <w:color w:val="511F60"/>
          <w:sz w:val="64"/>
          <w:szCs w:val="64"/>
          <w:lang w:val="en-US"/>
        </w:rPr>
        <w:t>laws</w:t>
      </w:r>
    </w:p>
    <w:p w14:paraId="4C9EB506" w14:textId="77777777" w:rsidR="00820F68" w:rsidRPr="00705294" w:rsidRDefault="00820F68" w:rsidP="00740D19">
      <w:pPr>
        <w:adjustRightInd w:val="0"/>
        <w:snapToGrid w:val="0"/>
        <w:spacing w:line="240" w:lineRule="auto"/>
        <w:jc w:val="right"/>
        <w:rPr>
          <w:b/>
          <w:szCs w:val="24"/>
          <w:lang w:val="en-US"/>
        </w:rPr>
      </w:pPr>
      <w:r w:rsidRPr="00705294">
        <w:rPr>
          <w:b/>
          <w:szCs w:val="24"/>
          <w:lang w:val="en-US"/>
        </w:rPr>
        <w:t>ISSN 2075-471X</w:t>
      </w:r>
    </w:p>
    <w:p w14:paraId="7F937A1F" w14:textId="77777777" w:rsidR="00434D17" w:rsidRPr="00705294" w:rsidRDefault="00820F68" w:rsidP="00740D19">
      <w:pPr>
        <w:adjustRightInd w:val="0"/>
        <w:snapToGrid w:val="0"/>
        <w:spacing w:line="240" w:lineRule="auto"/>
        <w:jc w:val="right"/>
        <w:rPr>
          <w:szCs w:val="24"/>
          <w:lang w:val="en-US"/>
        </w:rPr>
      </w:pPr>
      <w:r w:rsidRPr="00705294">
        <w:rPr>
          <w:color w:val="auto"/>
          <w:szCs w:val="24"/>
          <w:lang w:val="en-US"/>
        </w:rPr>
        <w:t>www.mdpi.com/journal/laws/</w:t>
      </w:r>
    </w:p>
    <w:p w14:paraId="57C0FA63" w14:textId="77777777" w:rsidR="001023E5" w:rsidRPr="00705294" w:rsidRDefault="001023E5" w:rsidP="00AE443F">
      <w:pPr>
        <w:adjustRightInd w:val="0"/>
        <w:snapToGrid w:val="0"/>
        <w:spacing w:after="240"/>
        <w:jc w:val="left"/>
        <w:rPr>
          <w:i/>
          <w:szCs w:val="24"/>
          <w:lang w:val="en-US"/>
        </w:rPr>
      </w:pPr>
      <w:r w:rsidRPr="00705294">
        <w:rPr>
          <w:i/>
          <w:iCs/>
          <w:szCs w:val="24"/>
          <w:lang w:val="en-US"/>
        </w:rPr>
        <w:t>Artic</w:t>
      </w:r>
      <w:r w:rsidR="00C4075F" w:rsidRPr="00705294">
        <w:rPr>
          <w:i/>
          <w:iCs/>
          <w:szCs w:val="24"/>
          <w:lang w:val="en-US"/>
        </w:rPr>
        <w:t>le</w:t>
      </w:r>
    </w:p>
    <w:p w14:paraId="21527D03" w14:textId="73F6FA76" w:rsidR="00C4075F" w:rsidRPr="00705294" w:rsidRDefault="00C4075F" w:rsidP="00C14B6A">
      <w:pPr>
        <w:pStyle w:val="Mdeck1articletitle"/>
      </w:pPr>
      <w:r w:rsidRPr="00705294">
        <w:t>The Age of Consent and the End</w:t>
      </w:r>
      <w:r w:rsidR="00774E10">
        <w:t>ing</w:t>
      </w:r>
      <w:r w:rsidRPr="00705294">
        <w:t xml:space="preserve"> of Queer Theory </w:t>
      </w:r>
    </w:p>
    <w:p w14:paraId="749295C8" w14:textId="77777777" w:rsidR="001023E5" w:rsidRPr="00705294" w:rsidRDefault="00C4075F" w:rsidP="00AE443F">
      <w:pPr>
        <w:adjustRightInd w:val="0"/>
        <w:snapToGrid w:val="0"/>
        <w:spacing w:before="240" w:after="240"/>
        <w:jc w:val="left"/>
        <w:rPr>
          <w:b/>
          <w:szCs w:val="24"/>
          <w:lang w:val="en-US"/>
        </w:rPr>
      </w:pPr>
      <w:bookmarkStart w:id="0" w:name="OLE_LINK1"/>
      <w:bookmarkStart w:id="1" w:name="OLE_LINK2"/>
      <w:r w:rsidRPr="00705294">
        <w:rPr>
          <w:b/>
          <w:szCs w:val="24"/>
          <w:lang w:val="en-US"/>
        </w:rPr>
        <w:t>Sarah Beresford</w:t>
      </w:r>
    </w:p>
    <w:bookmarkEnd w:id="0"/>
    <w:bookmarkEnd w:id="1"/>
    <w:p w14:paraId="3689149D" w14:textId="06446C7A" w:rsidR="00C4075F" w:rsidRPr="00705294" w:rsidRDefault="009A73D6" w:rsidP="00DB3C1A">
      <w:pPr>
        <w:autoSpaceDE w:val="0"/>
        <w:autoSpaceDN w:val="0"/>
        <w:adjustRightInd w:val="0"/>
        <w:snapToGrid w:val="0"/>
        <w:jc w:val="left"/>
        <w:rPr>
          <w:rFonts w:eastAsia="Calibri"/>
          <w:color w:val="auto"/>
          <w:szCs w:val="24"/>
          <w:lang w:val="en-US" w:eastAsia="en-US"/>
        </w:rPr>
      </w:pPr>
      <w:r>
        <w:rPr>
          <w:rFonts w:eastAsia="Calibri"/>
          <w:color w:val="auto"/>
          <w:szCs w:val="24"/>
          <w:lang w:val="en-US" w:eastAsia="en-US"/>
        </w:rPr>
        <w:t>The Law School,</w:t>
      </w:r>
      <w:r w:rsidR="00C4075F" w:rsidRPr="00705294">
        <w:rPr>
          <w:rFonts w:eastAsia="Calibri"/>
          <w:color w:val="auto"/>
          <w:szCs w:val="24"/>
          <w:lang w:val="en-US" w:eastAsia="en-US"/>
        </w:rPr>
        <w:t xml:space="preserve"> Lancaster University, Bailrigg</w:t>
      </w:r>
      <w:r w:rsidR="00740D19" w:rsidRPr="00705294">
        <w:rPr>
          <w:rFonts w:eastAsia="Calibri"/>
          <w:color w:val="auto"/>
          <w:szCs w:val="24"/>
          <w:lang w:val="en-US" w:eastAsia="en-US"/>
        </w:rPr>
        <w:t>, Lancaster</w:t>
      </w:r>
      <w:r w:rsidR="00C4075F" w:rsidRPr="00705294">
        <w:rPr>
          <w:rFonts w:eastAsia="Calibri"/>
          <w:color w:val="auto"/>
          <w:szCs w:val="24"/>
          <w:lang w:val="en-US" w:eastAsia="en-US"/>
        </w:rPr>
        <w:t xml:space="preserve"> LA1 4YN, UK; </w:t>
      </w:r>
    </w:p>
    <w:p w14:paraId="43E8A7B9" w14:textId="77777777" w:rsidR="00C4075F" w:rsidRPr="00705294" w:rsidRDefault="00C4075F" w:rsidP="00DB3C1A">
      <w:pPr>
        <w:autoSpaceDE w:val="0"/>
        <w:autoSpaceDN w:val="0"/>
        <w:adjustRightInd w:val="0"/>
        <w:snapToGrid w:val="0"/>
        <w:jc w:val="left"/>
        <w:rPr>
          <w:rFonts w:eastAsia="Calibri"/>
          <w:color w:val="auto"/>
          <w:szCs w:val="24"/>
          <w:lang w:val="en-US" w:eastAsia="en-US"/>
        </w:rPr>
      </w:pPr>
      <w:r w:rsidRPr="00705294">
        <w:rPr>
          <w:rFonts w:eastAsia="Calibri"/>
          <w:color w:val="auto"/>
          <w:szCs w:val="24"/>
          <w:lang w:val="en-US" w:eastAsia="en-US"/>
        </w:rPr>
        <w:t>E-Mail: s.beresford@lancaster.ac.uk; Tel: +44-1524-593</w:t>
      </w:r>
      <w:r w:rsidR="00740D19" w:rsidRPr="00705294">
        <w:rPr>
          <w:rFonts w:eastAsia="Calibri"/>
          <w:color w:val="auto"/>
          <w:szCs w:val="24"/>
          <w:lang w:val="en-US" w:eastAsia="en-US"/>
        </w:rPr>
        <w:t>-</w:t>
      </w:r>
      <w:r w:rsidRPr="00705294">
        <w:rPr>
          <w:rFonts w:eastAsia="Calibri"/>
          <w:color w:val="auto"/>
          <w:szCs w:val="24"/>
          <w:lang w:val="en-US" w:eastAsia="en-US"/>
        </w:rPr>
        <w:t xml:space="preserve">166 </w:t>
      </w:r>
    </w:p>
    <w:p w14:paraId="4F773222" w14:textId="77777777" w:rsidR="00C6440B" w:rsidRPr="00705294" w:rsidRDefault="00C6440B" w:rsidP="00C6440B">
      <w:pPr>
        <w:spacing w:before="240"/>
        <w:ind w:left="284" w:hanging="284"/>
        <w:jc w:val="left"/>
        <w:rPr>
          <w:szCs w:val="24"/>
          <w:lang w:val="en-US"/>
        </w:rPr>
      </w:pPr>
      <w:r w:rsidRPr="00705294">
        <w:rPr>
          <w:szCs w:val="24"/>
          <w:lang w:val="en-US"/>
        </w:rPr>
        <w:t>External Editor: Lawrence O. Gostin</w:t>
      </w:r>
    </w:p>
    <w:p w14:paraId="2ACB1898" w14:textId="77777777" w:rsidR="00434D17" w:rsidRPr="00705294" w:rsidRDefault="00434D17" w:rsidP="00AE443F">
      <w:pPr>
        <w:adjustRightInd w:val="0"/>
        <w:snapToGrid w:val="0"/>
        <w:spacing w:before="240"/>
        <w:jc w:val="left"/>
        <w:rPr>
          <w:i/>
          <w:szCs w:val="24"/>
          <w:lang w:val="en-US"/>
        </w:rPr>
      </w:pPr>
      <w:r w:rsidRPr="00705294">
        <w:rPr>
          <w:i/>
          <w:szCs w:val="24"/>
          <w:lang w:val="en-US"/>
        </w:rPr>
        <w:t xml:space="preserve">Received: </w:t>
      </w:r>
      <w:r w:rsidR="00300320" w:rsidRPr="00705294">
        <w:rPr>
          <w:i/>
          <w:szCs w:val="24"/>
          <w:lang w:val="en-US"/>
        </w:rPr>
        <w:t xml:space="preserve">1 July 2014; in revised form: 2 October 2014 </w:t>
      </w:r>
      <w:r w:rsidRPr="00705294">
        <w:rPr>
          <w:i/>
          <w:szCs w:val="24"/>
          <w:lang w:val="en-US"/>
        </w:rPr>
        <w:t xml:space="preserve">/ Accepted: </w:t>
      </w:r>
      <w:r w:rsidR="00300320" w:rsidRPr="00705294">
        <w:rPr>
          <w:i/>
          <w:szCs w:val="24"/>
          <w:lang w:val="en-US"/>
        </w:rPr>
        <w:t xml:space="preserve">13 October 2014 </w:t>
      </w:r>
      <w:r w:rsidRPr="00705294">
        <w:rPr>
          <w:i/>
          <w:szCs w:val="24"/>
          <w:lang w:val="en-US"/>
        </w:rPr>
        <w:t xml:space="preserve">/ </w:t>
      </w:r>
      <w:r w:rsidR="00300320" w:rsidRPr="00705294">
        <w:rPr>
          <w:i/>
          <w:szCs w:val="24"/>
          <w:lang w:val="en-US"/>
        </w:rPr>
        <w:br/>
      </w:r>
      <w:r w:rsidRPr="00705294">
        <w:rPr>
          <w:i/>
          <w:szCs w:val="24"/>
          <w:highlight w:val="green"/>
          <w:lang w:val="en-US"/>
        </w:rPr>
        <w:t>Published:</w:t>
      </w:r>
      <w:r w:rsidR="00300320" w:rsidRPr="00705294">
        <w:rPr>
          <w:i/>
          <w:szCs w:val="24"/>
          <w:lang w:val="en-US"/>
        </w:rPr>
        <w:t xml:space="preserve"> </w:t>
      </w:r>
      <w:r w:rsidR="00300320" w:rsidRPr="00705294">
        <w:rPr>
          <w:i/>
          <w:szCs w:val="24"/>
          <w:highlight w:val="green"/>
          <w:lang w:val="en-US"/>
        </w:rPr>
        <w:t>xx</w:t>
      </w:r>
      <w:r w:rsidR="00300320" w:rsidRPr="00705294">
        <w:rPr>
          <w:i/>
          <w:szCs w:val="24"/>
          <w:lang w:val="en-US"/>
        </w:rPr>
        <w:t xml:space="preserve"> October 2014</w:t>
      </w:r>
      <w:r w:rsidR="00231416" w:rsidRPr="00705294">
        <w:rPr>
          <w:i/>
          <w:szCs w:val="24"/>
          <w:lang w:val="en-US"/>
        </w:rPr>
        <w:t xml:space="preserve"> </w:t>
      </w:r>
    </w:p>
    <w:p w14:paraId="4C7B5BAE" w14:textId="77777777" w:rsidR="00434D17" w:rsidRPr="00705294" w:rsidRDefault="00434D17" w:rsidP="00AE443F">
      <w:pPr>
        <w:pBdr>
          <w:bottom w:val="single" w:sz="4" w:space="1" w:color="auto"/>
        </w:pBdr>
        <w:adjustRightInd w:val="0"/>
        <w:snapToGrid w:val="0"/>
        <w:rPr>
          <w:rFonts w:eastAsia="SimSun"/>
          <w:szCs w:val="24"/>
          <w:lang w:val="en-US" w:eastAsia="zh-CN"/>
        </w:rPr>
      </w:pPr>
    </w:p>
    <w:p w14:paraId="33790199" w14:textId="77777777" w:rsidR="00434D17" w:rsidRPr="00705294" w:rsidRDefault="00434D17" w:rsidP="00AE443F">
      <w:pPr>
        <w:adjustRightInd w:val="0"/>
        <w:snapToGrid w:val="0"/>
        <w:spacing w:before="240"/>
        <w:ind w:left="562" w:right="562"/>
        <w:rPr>
          <w:szCs w:val="24"/>
          <w:lang w:val="en-US" w:eastAsia="en-US"/>
        </w:rPr>
      </w:pPr>
      <w:r w:rsidRPr="00705294">
        <w:rPr>
          <w:b/>
          <w:szCs w:val="24"/>
          <w:lang w:val="en-US" w:eastAsia="en-US"/>
        </w:rPr>
        <w:t>Abstract:</w:t>
      </w:r>
      <w:r w:rsidRPr="00705294">
        <w:rPr>
          <w:szCs w:val="24"/>
          <w:lang w:val="en-US" w:eastAsia="en-US"/>
        </w:rPr>
        <w:t xml:space="preserve"> </w:t>
      </w:r>
      <w:r w:rsidR="00FF3DA6" w:rsidRPr="00705294">
        <w:rPr>
          <w:szCs w:val="24"/>
          <w:lang w:val="en-US" w:eastAsia="en-US"/>
        </w:rPr>
        <w:t xml:space="preserve">This article uses the debates surrounding the age of consent </w:t>
      </w:r>
      <w:r w:rsidR="00DF7AAA" w:rsidRPr="00705294">
        <w:rPr>
          <w:szCs w:val="24"/>
          <w:lang w:val="en-US" w:eastAsia="en-US"/>
        </w:rPr>
        <w:t xml:space="preserve">as a broad umbrella </w:t>
      </w:r>
      <w:r w:rsidR="00FF3DA6" w:rsidRPr="00705294">
        <w:rPr>
          <w:szCs w:val="24"/>
          <w:lang w:val="en-US" w:eastAsia="en-US"/>
        </w:rPr>
        <w:t xml:space="preserve">to question </w:t>
      </w:r>
      <w:r w:rsidR="00800043" w:rsidRPr="00705294">
        <w:rPr>
          <w:szCs w:val="24"/>
          <w:lang w:val="en-US" w:eastAsia="en-US"/>
        </w:rPr>
        <w:t xml:space="preserve">the continued usefulness of </w:t>
      </w:r>
      <w:r w:rsidR="00FF3DA6" w:rsidRPr="00705294">
        <w:rPr>
          <w:szCs w:val="24"/>
          <w:lang w:val="en-US" w:eastAsia="en-US"/>
        </w:rPr>
        <w:t xml:space="preserve">Queer Theory. </w:t>
      </w:r>
      <w:r w:rsidR="00C4075F" w:rsidRPr="00705294">
        <w:rPr>
          <w:color w:val="auto"/>
          <w:szCs w:val="24"/>
          <w:lang w:val="en-US"/>
        </w:rPr>
        <w:t xml:space="preserve">The debates surrounding the age of consent illustrate that Queer Theory has not fulfilled its original promise and that it is not (and possibly never been), </w:t>
      </w:r>
      <w:r w:rsidR="00133FF0" w:rsidRPr="00705294">
        <w:rPr>
          <w:color w:val="auto"/>
          <w:szCs w:val="24"/>
          <w:lang w:val="en-US"/>
        </w:rPr>
        <w:t>“</w:t>
      </w:r>
      <w:r w:rsidR="00C4075F" w:rsidRPr="00705294">
        <w:rPr>
          <w:color w:val="auto"/>
          <w:szCs w:val="24"/>
          <w:lang w:val="en-US"/>
        </w:rPr>
        <w:t>fit for purpose</w:t>
      </w:r>
      <w:r w:rsidR="00133FF0" w:rsidRPr="00705294">
        <w:rPr>
          <w:color w:val="auto"/>
          <w:szCs w:val="24"/>
          <w:lang w:val="en-US"/>
        </w:rPr>
        <w:t>”</w:t>
      </w:r>
      <w:r w:rsidR="00C4075F" w:rsidRPr="00705294">
        <w:rPr>
          <w:color w:val="auto"/>
          <w:szCs w:val="24"/>
          <w:lang w:val="en-US"/>
        </w:rPr>
        <w:t xml:space="preserve">. Towards the end of 2013, the topic of lowering the age of consent in England and Wales was once again much in the news. This article suggests that much of that debate focused expressly or impliedly on the age of which </w:t>
      </w:r>
      <w:r w:rsidR="00C4075F" w:rsidRPr="00705294">
        <w:rPr>
          <w:i/>
          <w:color w:val="auto"/>
          <w:szCs w:val="24"/>
          <w:lang w:val="en-US"/>
        </w:rPr>
        <w:t>men</w:t>
      </w:r>
      <w:r w:rsidR="00C4075F" w:rsidRPr="00705294">
        <w:rPr>
          <w:color w:val="auto"/>
          <w:szCs w:val="24"/>
          <w:lang w:val="en-US"/>
        </w:rPr>
        <w:t xml:space="preserve"> and </w:t>
      </w:r>
      <w:r w:rsidR="00C4075F" w:rsidRPr="00705294">
        <w:rPr>
          <w:i/>
          <w:color w:val="auto"/>
          <w:szCs w:val="24"/>
          <w:lang w:val="en-US"/>
        </w:rPr>
        <w:t>boys</w:t>
      </w:r>
      <w:r w:rsidR="00C4075F" w:rsidRPr="00705294">
        <w:rPr>
          <w:color w:val="auto"/>
          <w:szCs w:val="24"/>
          <w:lang w:val="en-US"/>
        </w:rPr>
        <w:t xml:space="preserve"> have sexual intercourse (whether gay or straight), rather than when </w:t>
      </w:r>
      <w:r w:rsidR="00C4075F" w:rsidRPr="00705294">
        <w:rPr>
          <w:i/>
          <w:color w:val="auto"/>
          <w:szCs w:val="24"/>
          <w:lang w:val="en-US"/>
        </w:rPr>
        <w:t>people</w:t>
      </w:r>
      <w:r w:rsidR="00C4075F" w:rsidRPr="00705294">
        <w:rPr>
          <w:color w:val="auto"/>
          <w:szCs w:val="24"/>
          <w:lang w:val="en-US"/>
        </w:rPr>
        <w:t xml:space="preserve"> have sexual intercourse. Queer Theory </w:t>
      </w:r>
      <w:r w:rsidR="003B07B7" w:rsidRPr="00705294">
        <w:rPr>
          <w:color w:val="auto"/>
          <w:szCs w:val="24"/>
          <w:lang w:val="en-US"/>
        </w:rPr>
        <w:t>(</w:t>
      </w:r>
      <w:r w:rsidR="00C4075F" w:rsidRPr="00705294">
        <w:rPr>
          <w:color w:val="auto"/>
          <w:szCs w:val="24"/>
          <w:lang w:val="en-US"/>
        </w:rPr>
        <w:t>originat</w:t>
      </w:r>
      <w:r w:rsidR="003B07B7" w:rsidRPr="00705294">
        <w:rPr>
          <w:color w:val="auto"/>
          <w:szCs w:val="24"/>
          <w:lang w:val="en-US"/>
        </w:rPr>
        <w:t>ing</w:t>
      </w:r>
      <w:r w:rsidR="00C4075F" w:rsidRPr="00705294">
        <w:rPr>
          <w:color w:val="auto"/>
          <w:szCs w:val="24"/>
          <w:lang w:val="en-US"/>
        </w:rPr>
        <w:t xml:space="preserve"> from feminism</w:t>
      </w:r>
      <w:r w:rsidR="003B07B7" w:rsidRPr="00705294">
        <w:rPr>
          <w:color w:val="auto"/>
          <w:szCs w:val="24"/>
          <w:lang w:val="en-US"/>
        </w:rPr>
        <w:t xml:space="preserve">), </w:t>
      </w:r>
      <w:r w:rsidR="00C4075F" w:rsidRPr="00705294">
        <w:rPr>
          <w:color w:val="auto"/>
          <w:szCs w:val="24"/>
          <w:lang w:val="en-US"/>
        </w:rPr>
        <w:t>was intended to be a liberating phenomenon</w:t>
      </w:r>
      <w:r w:rsidR="00800043" w:rsidRPr="00705294">
        <w:rPr>
          <w:color w:val="auto"/>
          <w:szCs w:val="24"/>
          <w:lang w:val="en-US"/>
        </w:rPr>
        <w:t xml:space="preserve">, but contrary to </w:t>
      </w:r>
      <w:r w:rsidR="00C4075F" w:rsidRPr="00705294">
        <w:rPr>
          <w:color w:val="auto"/>
          <w:szCs w:val="24"/>
          <w:lang w:val="en-US"/>
        </w:rPr>
        <w:t xml:space="preserve">these </w:t>
      </w:r>
      <w:r w:rsidR="003B07B7" w:rsidRPr="00705294">
        <w:rPr>
          <w:color w:val="auto"/>
          <w:szCs w:val="24"/>
          <w:lang w:val="en-US"/>
        </w:rPr>
        <w:t>hopes and intentions</w:t>
      </w:r>
      <w:r w:rsidR="0040177F" w:rsidRPr="00705294">
        <w:rPr>
          <w:color w:val="auto"/>
          <w:szCs w:val="24"/>
          <w:lang w:val="en-US"/>
        </w:rPr>
        <w:t>, Queer Theory</w:t>
      </w:r>
      <w:r w:rsidR="00C4075F" w:rsidRPr="00705294">
        <w:rPr>
          <w:color w:val="auto"/>
          <w:szCs w:val="24"/>
          <w:lang w:val="en-US"/>
        </w:rPr>
        <w:t xml:space="preserve"> evolved to become synonymous with white gay men, </w:t>
      </w:r>
      <w:r w:rsidR="0040177F" w:rsidRPr="00705294">
        <w:rPr>
          <w:color w:val="auto"/>
          <w:szCs w:val="24"/>
          <w:lang w:val="en-US"/>
        </w:rPr>
        <w:t xml:space="preserve">thus </w:t>
      </w:r>
      <w:r w:rsidR="00C4075F" w:rsidRPr="00705294">
        <w:rPr>
          <w:color w:val="auto"/>
          <w:szCs w:val="24"/>
          <w:lang w:val="en-US"/>
        </w:rPr>
        <w:t xml:space="preserve">denying its origins and becoming distinctly anti-feminist. Those who argue for a reduction in the age of consent have used (whether knowingly </w:t>
      </w:r>
      <w:r w:rsidR="00800043" w:rsidRPr="00705294">
        <w:rPr>
          <w:color w:val="auto"/>
          <w:szCs w:val="24"/>
          <w:lang w:val="en-US"/>
        </w:rPr>
        <w:t>or not) an approach which</w:t>
      </w:r>
      <w:r w:rsidR="00C4075F" w:rsidRPr="00705294">
        <w:rPr>
          <w:color w:val="auto"/>
          <w:szCs w:val="24"/>
          <w:lang w:val="en-US"/>
        </w:rPr>
        <w:t xml:space="preserve"> is consistent with this evolved version of Queer Theory. Consequently, the debate on the age of consent has ignored, or given insufficient attention to, the effect(s) a lowering of the age of consent will have on girls and women. This article, therefore, seeks to </w:t>
      </w:r>
      <w:r w:rsidR="0040177F" w:rsidRPr="00705294">
        <w:rPr>
          <w:color w:val="auto"/>
          <w:szCs w:val="24"/>
          <w:lang w:val="en-US"/>
        </w:rPr>
        <w:t xml:space="preserve">question, </w:t>
      </w:r>
      <w:r w:rsidR="00C4075F" w:rsidRPr="00705294">
        <w:rPr>
          <w:color w:val="auto"/>
          <w:szCs w:val="24"/>
          <w:lang w:val="en-US"/>
        </w:rPr>
        <w:t>disrupt and unsettle</w:t>
      </w:r>
      <w:r w:rsidR="0040177F" w:rsidRPr="00705294">
        <w:rPr>
          <w:color w:val="auto"/>
          <w:szCs w:val="24"/>
          <w:lang w:val="en-US"/>
        </w:rPr>
        <w:t>,</w:t>
      </w:r>
      <w:r w:rsidR="00C4075F" w:rsidRPr="00705294">
        <w:rPr>
          <w:color w:val="auto"/>
          <w:szCs w:val="24"/>
          <w:lang w:val="en-US"/>
        </w:rPr>
        <w:t xml:space="preserve"> what Queer Theory has become, suggesting that, in several significant aspects, it fails to</w:t>
      </w:r>
      <w:r w:rsidR="00616BCA" w:rsidRPr="00705294">
        <w:rPr>
          <w:color w:val="auto"/>
          <w:szCs w:val="24"/>
          <w:lang w:val="en-US"/>
        </w:rPr>
        <w:t xml:space="preserve"> fully </w:t>
      </w:r>
      <w:r w:rsidR="00C4075F" w:rsidRPr="00705294">
        <w:rPr>
          <w:color w:val="auto"/>
          <w:szCs w:val="24"/>
          <w:lang w:val="en-US"/>
        </w:rPr>
        <w:t xml:space="preserve">acknowledge patriarchy; render (lesbian) women visible; acknowledge and accommodate </w:t>
      </w:r>
      <w:r w:rsidR="0040177F" w:rsidRPr="00705294">
        <w:rPr>
          <w:color w:val="auto"/>
          <w:szCs w:val="24"/>
          <w:lang w:val="en-US"/>
        </w:rPr>
        <w:t>the lived experiences of women.</w:t>
      </w:r>
    </w:p>
    <w:p w14:paraId="443F06D3" w14:textId="6DEACFF5" w:rsidR="00434D17" w:rsidRPr="00DB3C1A" w:rsidRDefault="00434D17" w:rsidP="00AE443F">
      <w:pPr>
        <w:pStyle w:val="Mdeck3keywords"/>
        <w:rPr>
          <w:rFonts w:eastAsia="SimSun"/>
          <w:szCs w:val="24"/>
          <w:lang w:eastAsia="zh-CN"/>
        </w:rPr>
      </w:pPr>
      <w:r w:rsidRPr="00DB3C1A">
        <w:rPr>
          <w:b/>
          <w:szCs w:val="24"/>
          <w:lang w:eastAsia="en-US"/>
        </w:rPr>
        <w:t>Keywords:</w:t>
      </w:r>
      <w:r w:rsidRPr="00DB3C1A">
        <w:rPr>
          <w:szCs w:val="24"/>
          <w:lang w:eastAsia="en-US"/>
        </w:rPr>
        <w:t xml:space="preserve"> </w:t>
      </w:r>
      <w:r w:rsidR="00B8056C" w:rsidRPr="00DB3C1A">
        <w:rPr>
          <w:szCs w:val="24"/>
        </w:rPr>
        <w:t>a</w:t>
      </w:r>
      <w:r w:rsidR="00C4075F" w:rsidRPr="00DB3C1A">
        <w:rPr>
          <w:szCs w:val="24"/>
        </w:rPr>
        <w:t xml:space="preserve">ge of consent; </w:t>
      </w:r>
      <w:r w:rsidR="00B8056C" w:rsidRPr="00DB3C1A">
        <w:rPr>
          <w:szCs w:val="24"/>
        </w:rPr>
        <w:t>queer theory</w:t>
      </w:r>
      <w:r w:rsidR="005B2669" w:rsidRPr="00DB3C1A">
        <w:rPr>
          <w:szCs w:val="24"/>
        </w:rPr>
        <w:t xml:space="preserve">; </w:t>
      </w:r>
      <w:r w:rsidR="00B8056C" w:rsidRPr="00DB3C1A">
        <w:rPr>
          <w:szCs w:val="24"/>
        </w:rPr>
        <w:t>post-queer theory</w:t>
      </w:r>
      <w:r w:rsidR="005B2669" w:rsidRPr="00DB3C1A">
        <w:rPr>
          <w:szCs w:val="24"/>
        </w:rPr>
        <w:t xml:space="preserve">; </w:t>
      </w:r>
      <w:r w:rsidR="00B8056C" w:rsidRPr="00DB3C1A">
        <w:rPr>
          <w:szCs w:val="24"/>
        </w:rPr>
        <w:t>feminist</w:t>
      </w:r>
      <w:r w:rsidR="00822084" w:rsidRPr="00DB3C1A">
        <w:rPr>
          <w:szCs w:val="24"/>
        </w:rPr>
        <w:t xml:space="preserve">; </w:t>
      </w:r>
      <w:r w:rsidR="00B8056C" w:rsidRPr="00DB3C1A">
        <w:rPr>
          <w:szCs w:val="24"/>
        </w:rPr>
        <w:t>neo</w:t>
      </w:r>
      <w:r w:rsidR="00822084" w:rsidRPr="00DB3C1A">
        <w:rPr>
          <w:szCs w:val="24"/>
        </w:rPr>
        <w:t xml:space="preserve">-feminist </w:t>
      </w:r>
      <w:r w:rsidR="00DB3C1A">
        <w:rPr>
          <w:szCs w:val="24"/>
        </w:rPr>
        <w:br/>
      </w:r>
      <w:r w:rsidR="00B8056C" w:rsidRPr="00DB3C1A">
        <w:rPr>
          <w:szCs w:val="24"/>
        </w:rPr>
        <w:t>queer theory</w:t>
      </w:r>
    </w:p>
    <w:p w14:paraId="40F5A7FD" w14:textId="77777777" w:rsidR="00E67728" w:rsidRPr="00705294" w:rsidRDefault="00E67728" w:rsidP="00AE443F">
      <w:pPr>
        <w:pBdr>
          <w:bottom w:val="single" w:sz="4" w:space="1" w:color="auto"/>
        </w:pBdr>
        <w:adjustRightInd w:val="0"/>
        <w:snapToGrid w:val="0"/>
        <w:spacing w:after="480"/>
        <w:ind w:firstLine="288"/>
        <w:rPr>
          <w:rFonts w:eastAsia="SimSun"/>
          <w:color w:val="auto"/>
          <w:szCs w:val="24"/>
          <w:lang w:val="en-US" w:eastAsia="zh-CN"/>
        </w:rPr>
      </w:pPr>
    </w:p>
    <w:p w14:paraId="3AEA8661" w14:textId="77777777" w:rsidR="00DB3C1A" w:rsidRDefault="00DB3C1A" w:rsidP="00822084">
      <w:pPr>
        <w:pStyle w:val="Mdeck4heading1"/>
        <w:spacing w:before="0"/>
        <w:rPr>
          <w:szCs w:val="24"/>
          <w:lang w:eastAsia="en-US"/>
        </w:rPr>
      </w:pPr>
      <w:r>
        <w:rPr>
          <w:szCs w:val="24"/>
          <w:lang w:eastAsia="en-US"/>
        </w:rPr>
        <w:br w:type="page"/>
      </w:r>
    </w:p>
    <w:p w14:paraId="2B3A7EDC" w14:textId="7319AC0E" w:rsidR="00AE443F" w:rsidRPr="00705294" w:rsidRDefault="00822084" w:rsidP="00822084">
      <w:pPr>
        <w:pStyle w:val="Mdeck4heading1"/>
        <w:spacing w:before="0"/>
        <w:rPr>
          <w:szCs w:val="24"/>
          <w:lang w:eastAsia="en-US"/>
        </w:rPr>
      </w:pPr>
      <w:r w:rsidRPr="00705294">
        <w:rPr>
          <w:szCs w:val="24"/>
          <w:lang w:eastAsia="en-US"/>
        </w:rPr>
        <w:lastRenderedPageBreak/>
        <w:t xml:space="preserve">1. </w:t>
      </w:r>
      <w:r w:rsidR="00434D17" w:rsidRPr="00705294">
        <w:rPr>
          <w:szCs w:val="24"/>
          <w:lang w:eastAsia="en-US"/>
        </w:rPr>
        <w:t>Introduction</w:t>
      </w:r>
    </w:p>
    <w:p w14:paraId="7E21919D" w14:textId="3910D6C8" w:rsidR="009B751F" w:rsidRPr="00705294" w:rsidRDefault="009B751F" w:rsidP="00AE443F">
      <w:pPr>
        <w:pStyle w:val="Mdeck4text"/>
        <w:rPr>
          <w:szCs w:val="24"/>
        </w:rPr>
      </w:pPr>
      <w:r w:rsidRPr="00705294">
        <w:rPr>
          <w:szCs w:val="24"/>
        </w:rPr>
        <w:t>The debate surrounding whether or not the age of consent should be lowered re-surfaced again in late 2013. Much of the debate focused expressly, or impliedly, on the age of which men and boys have sexual intercourse (whether gay or straight).</w:t>
      </w:r>
      <w:r w:rsidRPr="00705294">
        <w:rPr>
          <w:rFonts w:eastAsiaTheme="minorHAnsi"/>
          <w:szCs w:val="24"/>
        </w:rPr>
        <w:t xml:space="preserve"> </w:t>
      </w:r>
      <w:r w:rsidRPr="00705294">
        <w:rPr>
          <w:szCs w:val="24"/>
        </w:rPr>
        <w:t xml:space="preserve">The parameters of the age of consent debate illustrate that the issues </w:t>
      </w:r>
      <w:r w:rsidR="00616BCA" w:rsidRPr="00705294">
        <w:rPr>
          <w:szCs w:val="24"/>
        </w:rPr>
        <w:t xml:space="preserve">were </w:t>
      </w:r>
      <w:r w:rsidRPr="00705294">
        <w:rPr>
          <w:szCs w:val="24"/>
        </w:rPr>
        <w:t xml:space="preserve">raised and discussed in a </w:t>
      </w:r>
      <w:r w:rsidR="00616BCA" w:rsidRPr="00705294">
        <w:rPr>
          <w:szCs w:val="24"/>
        </w:rPr>
        <w:t>manner that</w:t>
      </w:r>
      <w:r w:rsidRPr="00705294">
        <w:rPr>
          <w:szCs w:val="24"/>
        </w:rPr>
        <w:t xml:space="preserve"> on the face of it, discusses the sexual experiences of all individuals </w:t>
      </w:r>
      <w:r w:rsidR="00523C01" w:rsidRPr="00705294">
        <w:rPr>
          <w:szCs w:val="24"/>
        </w:rPr>
        <w:t xml:space="preserve">irrespective </w:t>
      </w:r>
      <w:r w:rsidRPr="00705294">
        <w:rPr>
          <w:szCs w:val="24"/>
        </w:rPr>
        <w:t>of sex or gender.</w:t>
      </w:r>
      <w:r w:rsidR="00231416" w:rsidRPr="00705294">
        <w:rPr>
          <w:szCs w:val="24"/>
        </w:rPr>
        <w:t xml:space="preserve"> </w:t>
      </w:r>
      <w:r w:rsidRPr="00705294">
        <w:rPr>
          <w:szCs w:val="24"/>
        </w:rPr>
        <w:t xml:space="preserve">However, I suggest that the </w:t>
      </w:r>
      <w:r w:rsidR="002B34AB" w:rsidRPr="00705294">
        <w:rPr>
          <w:szCs w:val="24"/>
        </w:rPr>
        <w:t>“</w:t>
      </w:r>
      <w:r w:rsidRPr="00705294">
        <w:rPr>
          <w:szCs w:val="24"/>
        </w:rPr>
        <w:t>consent debate</w:t>
      </w:r>
      <w:r w:rsidR="002B34AB" w:rsidRPr="00705294">
        <w:rPr>
          <w:szCs w:val="24"/>
        </w:rPr>
        <w:t>”</w:t>
      </w:r>
      <w:r w:rsidRPr="00705294">
        <w:rPr>
          <w:szCs w:val="24"/>
        </w:rPr>
        <w:t xml:space="preserve"> privileges the sexual experiences of boys, and underplays or ignores the</w:t>
      </w:r>
      <w:r w:rsidR="00231416" w:rsidRPr="00705294">
        <w:rPr>
          <w:szCs w:val="24"/>
        </w:rPr>
        <w:t xml:space="preserve"> sexual experiences of girls. </w:t>
      </w:r>
      <w:r w:rsidR="00E67728" w:rsidRPr="00705294">
        <w:rPr>
          <w:szCs w:val="24"/>
        </w:rPr>
        <w:t xml:space="preserve">Denying or </w:t>
      </w:r>
      <w:r w:rsidR="00705294">
        <w:rPr>
          <w:szCs w:val="24"/>
        </w:rPr>
        <w:t>minimizing</w:t>
      </w:r>
      <w:r w:rsidR="00E67728" w:rsidRPr="00705294">
        <w:rPr>
          <w:szCs w:val="24"/>
        </w:rPr>
        <w:t xml:space="preserve"> the experiences of some subjects whilst privileging the experiences of others</w:t>
      </w:r>
      <w:r w:rsidR="00800043" w:rsidRPr="00705294">
        <w:rPr>
          <w:szCs w:val="24"/>
        </w:rPr>
        <w:t>,</w:t>
      </w:r>
      <w:r w:rsidR="00E67728" w:rsidRPr="00705294">
        <w:rPr>
          <w:szCs w:val="24"/>
        </w:rPr>
        <w:t xml:space="preserve"> </w:t>
      </w:r>
      <w:r w:rsidRPr="00705294">
        <w:rPr>
          <w:szCs w:val="24"/>
        </w:rPr>
        <w:t>is reflective of what Queer Theory has become rather than what it originally intended to be.</w:t>
      </w:r>
      <w:r w:rsidR="00231416" w:rsidRPr="00705294">
        <w:rPr>
          <w:szCs w:val="24"/>
        </w:rPr>
        <w:t xml:space="preserve"> </w:t>
      </w:r>
      <w:r w:rsidR="00705294">
        <w:rPr>
          <w:szCs w:val="24"/>
        </w:rPr>
        <w:t xml:space="preserve">In this context, </w:t>
      </w:r>
      <w:r w:rsidRPr="00705294">
        <w:rPr>
          <w:szCs w:val="24"/>
        </w:rPr>
        <w:t xml:space="preserve">then, the debate is a </w:t>
      </w:r>
      <w:r w:rsidR="009A73D6">
        <w:rPr>
          <w:szCs w:val="24"/>
        </w:rPr>
        <w:t>“</w:t>
      </w:r>
      <w:r w:rsidRPr="00705294">
        <w:rPr>
          <w:szCs w:val="24"/>
        </w:rPr>
        <w:t>Queer</w:t>
      </w:r>
      <w:r w:rsidR="009A73D6" w:rsidRPr="00FE39C7">
        <w:rPr>
          <w:szCs w:val="24"/>
        </w:rPr>
        <w:t>”</w:t>
      </w:r>
      <w:r w:rsidRPr="00705294">
        <w:rPr>
          <w:szCs w:val="24"/>
        </w:rPr>
        <w:t xml:space="preserve"> one because the emphasis has focused upon the effects on teenage boys, at the expense of the impact on teenage girls. This article uses the age of consent debate to illustrate how the scope of Queer Theory has shrunk from its gloriously wide and wonderfully promising beginnings to a rather narrow and restrictive understanding now.</w:t>
      </w:r>
      <w:r w:rsidR="00231416" w:rsidRPr="00705294">
        <w:rPr>
          <w:szCs w:val="24"/>
        </w:rPr>
        <w:t xml:space="preserve"> </w:t>
      </w:r>
      <w:r w:rsidRPr="00705294">
        <w:rPr>
          <w:szCs w:val="24"/>
        </w:rPr>
        <w:t xml:space="preserve">I am not seeking to argue the suitability </w:t>
      </w:r>
      <w:r w:rsidR="00E67728" w:rsidRPr="00705294">
        <w:rPr>
          <w:szCs w:val="24"/>
        </w:rPr>
        <w:t xml:space="preserve">(or otherwise) </w:t>
      </w:r>
      <w:r w:rsidRPr="00705294">
        <w:rPr>
          <w:szCs w:val="24"/>
        </w:rPr>
        <w:t xml:space="preserve">of Queer Theory as an analytical lens with which to consider consent to sex per se, rather, I seek to illustrate how the debate on consent is illustrative of some of the drawbacks and </w:t>
      </w:r>
      <w:r w:rsidR="00DB3C1A">
        <w:rPr>
          <w:szCs w:val="24"/>
        </w:rPr>
        <w:br/>
      </w:r>
      <w:r w:rsidRPr="00705294">
        <w:rPr>
          <w:szCs w:val="24"/>
        </w:rPr>
        <w:t>dis-functionalities of Queer Theory.</w:t>
      </w:r>
      <w:r w:rsidR="00231416" w:rsidRPr="00705294">
        <w:rPr>
          <w:szCs w:val="24"/>
        </w:rPr>
        <w:t xml:space="preserve"> </w:t>
      </w:r>
      <w:r w:rsidRPr="00705294">
        <w:rPr>
          <w:szCs w:val="24"/>
        </w:rPr>
        <w:t>Queer Theory no longe</w:t>
      </w:r>
      <w:r w:rsidR="00214D81" w:rsidRPr="00705294">
        <w:rPr>
          <w:szCs w:val="24"/>
        </w:rPr>
        <w:t xml:space="preserve">r </w:t>
      </w:r>
      <w:r w:rsidR="00231416" w:rsidRPr="00705294">
        <w:rPr>
          <w:szCs w:val="24"/>
        </w:rPr>
        <w:t>“</w:t>
      </w:r>
      <w:r w:rsidR="00214D81" w:rsidRPr="00705294">
        <w:rPr>
          <w:szCs w:val="24"/>
        </w:rPr>
        <w:t>does what it says on the tin</w:t>
      </w:r>
      <w:r w:rsidR="00231416" w:rsidRPr="00705294">
        <w:rPr>
          <w:szCs w:val="24"/>
        </w:rPr>
        <w:t>”</w:t>
      </w:r>
      <w:r w:rsidR="00214D81" w:rsidRPr="00705294">
        <w:rPr>
          <w:szCs w:val="24"/>
        </w:rPr>
        <w:t xml:space="preserve">, and had </w:t>
      </w:r>
      <w:r w:rsidRPr="00705294">
        <w:rPr>
          <w:szCs w:val="24"/>
        </w:rPr>
        <w:t>tried and failed to successfully de-stabili</w:t>
      </w:r>
      <w:r w:rsidR="00705294">
        <w:rPr>
          <w:szCs w:val="24"/>
        </w:rPr>
        <w:t>z</w:t>
      </w:r>
      <w:r w:rsidRPr="00705294">
        <w:rPr>
          <w:szCs w:val="24"/>
        </w:rPr>
        <w:t xml:space="preserve">e dominant </w:t>
      </w:r>
      <w:r w:rsidR="00124B35" w:rsidRPr="00705294">
        <w:rPr>
          <w:szCs w:val="24"/>
        </w:rPr>
        <w:t xml:space="preserve">patriarchal </w:t>
      </w:r>
      <w:r w:rsidRPr="00705294">
        <w:rPr>
          <w:szCs w:val="24"/>
        </w:rPr>
        <w:t>normative discourse and power structures. I suggest that this is because that which underpins Queer Theory is the post-</w:t>
      </w:r>
      <w:r w:rsidR="00705294">
        <w:rPr>
          <w:szCs w:val="24"/>
        </w:rPr>
        <w:t>structuralist</w:t>
      </w:r>
      <w:r w:rsidRPr="00705294">
        <w:rPr>
          <w:szCs w:val="24"/>
        </w:rPr>
        <w:t xml:space="preserve"> idea that there is no subject, only discourse, and that it is discourse which gives </w:t>
      </w:r>
      <w:r w:rsidR="009A73D6">
        <w:rPr>
          <w:szCs w:val="24"/>
        </w:rPr>
        <w:t>“</w:t>
      </w:r>
      <w:r w:rsidRPr="00705294">
        <w:rPr>
          <w:szCs w:val="24"/>
        </w:rPr>
        <w:t>meaning</w:t>
      </w:r>
      <w:r w:rsidR="009A73D6">
        <w:rPr>
          <w:szCs w:val="24"/>
        </w:rPr>
        <w:t>”</w:t>
      </w:r>
      <w:r w:rsidRPr="00705294">
        <w:rPr>
          <w:szCs w:val="24"/>
        </w:rPr>
        <w:t xml:space="preserve"> to identity categories. </w:t>
      </w:r>
      <w:r w:rsidR="004E5E21" w:rsidRPr="00705294">
        <w:rPr>
          <w:szCs w:val="24"/>
        </w:rPr>
        <w:t>Consequently, i</w:t>
      </w:r>
      <w:r w:rsidRPr="00705294">
        <w:rPr>
          <w:szCs w:val="24"/>
        </w:rPr>
        <w:t xml:space="preserve">f there is no subject, there can be no discrimination or differential treatment experienced by the subject. However, I argue in this article that the subject does exist and that the denial of the subject is a denial of subjectively lived experience. Whist I happily endorse the idea that discourse plays a significant role in creating and giving </w:t>
      </w:r>
      <w:r w:rsidR="009A73D6">
        <w:rPr>
          <w:szCs w:val="24"/>
        </w:rPr>
        <w:t>“</w:t>
      </w:r>
      <w:r w:rsidRPr="00705294">
        <w:rPr>
          <w:szCs w:val="24"/>
        </w:rPr>
        <w:t>meaning</w:t>
      </w:r>
      <w:r w:rsidR="009A73D6">
        <w:rPr>
          <w:szCs w:val="24"/>
        </w:rPr>
        <w:t>”</w:t>
      </w:r>
      <w:r w:rsidRPr="00705294">
        <w:rPr>
          <w:szCs w:val="24"/>
        </w:rPr>
        <w:t xml:space="preserve"> to categories, Queer Theory and post-structuralism unintentionally re-create patriarchally defined categories of legal relevance. If there is to be a more inclusive and genuinely queer debate, such a debate needs to be more </w:t>
      </w:r>
      <w:r w:rsidR="00D64E51" w:rsidRPr="00705294">
        <w:rPr>
          <w:szCs w:val="24"/>
        </w:rPr>
        <w:t>explicit in acknowledging the lived experience of girls</w:t>
      </w:r>
      <w:r w:rsidR="006B7D68" w:rsidRPr="00705294">
        <w:rPr>
          <w:szCs w:val="24"/>
        </w:rPr>
        <w:t xml:space="preserve"> and thus more </w:t>
      </w:r>
      <w:r w:rsidRPr="00705294">
        <w:rPr>
          <w:szCs w:val="24"/>
        </w:rPr>
        <w:t>inclusive and reflective of the</w:t>
      </w:r>
      <w:r w:rsidR="006B7D68" w:rsidRPr="00705294">
        <w:rPr>
          <w:szCs w:val="24"/>
        </w:rPr>
        <w:t>se experiences.</w:t>
      </w:r>
      <w:r w:rsidR="00D84199" w:rsidRPr="00705294">
        <w:rPr>
          <w:szCs w:val="24"/>
        </w:rPr>
        <w:t xml:space="preserve"> </w:t>
      </w:r>
      <w:r w:rsidRPr="00705294">
        <w:rPr>
          <w:szCs w:val="24"/>
        </w:rPr>
        <w:t>Lowering the age of</w:t>
      </w:r>
      <w:r w:rsidR="00D84199" w:rsidRPr="00705294">
        <w:rPr>
          <w:szCs w:val="24"/>
        </w:rPr>
        <w:t xml:space="preserve"> consent is likely to lead to</w:t>
      </w:r>
      <w:r w:rsidRPr="00705294">
        <w:rPr>
          <w:szCs w:val="24"/>
        </w:rPr>
        <w:t xml:space="preserve"> even greater pressure on girls to be sexually active before they are ready, exposing them to experiences and consequences before they are sufficiently emotionally and physically mature. </w:t>
      </w:r>
    </w:p>
    <w:p w14:paraId="68DC301D" w14:textId="77777777" w:rsidR="00434D17" w:rsidRPr="00705294" w:rsidRDefault="009B751F" w:rsidP="00AE443F">
      <w:pPr>
        <w:adjustRightInd w:val="0"/>
        <w:snapToGrid w:val="0"/>
        <w:spacing w:before="240" w:after="240"/>
        <w:rPr>
          <w:b/>
          <w:szCs w:val="24"/>
          <w:lang w:val="en-US" w:eastAsia="en-US"/>
        </w:rPr>
      </w:pPr>
      <w:r w:rsidRPr="00705294">
        <w:rPr>
          <w:b/>
          <w:szCs w:val="24"/>
          <w:lang w:val="en-US" w:eastAsia="en-US"/>
        </w:rPr>
        <w:t xml:space="preserve">2. </w:t>
      </w:r>
      <w:r w:rsidRPr="00705294">
        <w:rPr>
          <w:b/>
          <w:bCs/>
          <w:color w:val="auto"/>
          <w:szCs w:val="24"/>
          <w:lang w:val="en-US"/>
        </w:rPr>
        <w:t>Brief History of the Age of Consent</w:t>
      </w:r>
    </w:p>
    <w:p w14:paraId="622EC0F1" w14:textId="01B98A63" w:rsidR="009B751F" w:rsidRPr="00705294" w:rsidRDefault="009B751F" w:rsidP="00B11D4A">
      <w:pPr>
        <w:autoSpaceDE w:val="0"/>
        <w:autoSpaceDN w:val="0"/>
        <w:adjustRightInd w:val="0"/>
        <w:snapToGrid w:val="0"/>
        <w:ind w:firstLine="425"/>
        <w:rPr>
          <w:rFonts w:eastAsia="Calibri"/>
          <w:color w:val="auto"/>
          <w:szCs w:val="24"/>
          <w:lang w:val="en-US" w:eastAsia="en-US"/>
        </w:rPr>
      </w:pPr>
      <w:r w:rsidRPr="00705294">
        <w:rPr>
          <w:rFonts w:eastAsia="Calibri"/>
          <w:color w:val="auto"/>
          <w:szCs w:val="24"/>
          <w:lang w:val="en-US" w:eastAsia="en-US"/>
        </w:rPr>
        <w:t>The development of the laws surrounding the age of consent has differed according to whether the focus has been on girls or boys and whether the sex</w:t>
      </w:r>
      <w:r w:rsidR="006250B5" w:rsidRPr="00705294">
        <w:rPr>
          <w:rFonts w:eastAsia="Calibri"/>
          <w:color w:val="auto"/>
          <w:szCs w:val="24"/>
          <w:lang w:val="en-US" w:eastAsia="en-US"/>
        </w:rPr>
        <w:t>ual activity</w:t>
      </w:r>
      <w:r w:rsidRPr="00705294">
        <w:rPr>
          <w:rFonts w:eastAsia="Calibri"/>
          <w:color w:val="auto"/>
          <w:szCs w:val="24"/>
          <w:lang w:val="en-US" w:eastAsia="en-US"/>
        </w:rPr>
        <w:t xml:space="preserve"> is heterosexual or homosexual. In England and Wales, the current age of consent is 16 for everyone, by virtue of </w:t>
      </w:r>
      <w:r w:rsidRPr="00587144">
        <w:rPr>
          <w:rFonts w:eastAsia="Calibri"/>
          <w:color w:val="auto"/>
          <w:szCs w:val="24"/>
          <w:lang w:val="en-US" w:eastAsia="en-US"/>
        </w:rPr>
        <w:t>s</w:t>
      </w:r>
      <w:r w:rsidR="00587144" w:rsidRPr="00587144">
        <w:rPr>
          <w:rFonts w:eastAsia="Calibri"/>
          <w:color w:val="auto"/>
          <w:szCs w:val="24"/>
          <w:lang w:val="en-US" w:eastAsia="en-US"/>
        </w:rPr>
        <w:t>ection</w:t>
      </w:r>
      <w:r w:rsidRPr="00587144">
        <w:rPr>
          <w:rFonts w:eastAsia="Calibri"/>
          <w:color w:val="auto"/>
          <w:szCs w:val="24"/>
          <w:lang w:val="en-US" w:eastAsia="en-US"/>
        </w:rPr>
        <w:t xml:space="preserve"> 9</w:t>
      </w:r>
      <w:r w:rsidRPr="00705294">
        <w:rPr>
          <w:rFonts w:eastAsia="Calibri"/>
          <w:color w:val="auto"/>
          <w:szCs w:val="24"/>
          <w:lang w:val="en-US" w:eastAsia="en-US"/>
        </w:rPr>
        <w:t xml:space="preserve"> of the Sexual Offences Act 2003, which removed the remaining legal distinctions in the criminal law between heterosexual and homosexual </w:t>
      </w:r>
      <w:r w:rsidR="006250B5" w:rsidRPr="00705294">
        <w:rPr>
          <w:rFonts w:eastAsia="Calibri"/>
          <w:color w:val="auto"/>
          <w:szCs w:val="24"/>
          <w:lang w:val="en-US" w:eastAsia="en-US"/>
        </w:rPr>
        <w:t xml:space="preserve">sexual </w:t>
      </w:r>
      <w:r w:rsidRPr="00705294">
        <w:rPr>
          <w:rFonts w:eastAsia="Calibri"/>
          <w:color w:val="auto"/>
          <w:szCs w:val="24"/>
          <w:lang w:val="en-US" w:eastAsia="en-US"/>
        </w:rPr>
        <w:t>activity. Children aged less than 13 years do not have</w:t>
      </w:r>
      <w:r w:rsidR="00AE443F" w:rsidRPr="00705294">
        <w:rPr>
          <w:rFonts w:eastAsia="Calibri"/>
          <w:color w:val="auto"/>
          <w:szCs w:val="24"/>
          <w:lang w:val="en-US" w:eastAsia="en-US"/>
        </w:rPr>
        <w:t xml:space="preserve"> legal capacity to give consen</w:t>
      </w:r>
      <w:r w:rsidR="00B11D4A" w:rsidRPr="00705294">
        <w:rPr>
          <w:rFonts w:eastAsia="Calibri"/>
          <w:color w:val="auto"/>
          <w:szCs w:val="24"/>
          <w:lang w:val="en-US" w:eastAsia="en-US"/>
        </w:rPr>
        <w:t>t</w:t>
      </w:r>
      <w:r w:rsidR="00AE443F" w:rsidRPr="00705294">
        <w:rPr>
          <w:rFonts w:eastAsia="Calibri"/>
          <w:color w:val="auto"/>
          <w:szCs w:val="24"/>
          <w:lang w:val="en-US" w:eastAsia="en-US"/>
        </w:rPr>
        <w:t xml:space="preserve"> </w:t>
      </w:r>
      <w:r w:rsidR="0080429F" w:rsidRPr="00C963B3">
        <w:rPr>
          <w:rFonts w:eastAsia="Calibri"/>
          <w:color w:val="auto"/>
          <w:szCs w:val="24"/>
          <w:lang w:val="en-US" w:eastAsia="en-US"/>
        </w:rPr>
        <w:t>[1]</w:t>
      </w:r>
      <w:r w:rsidR="00C963B3">
        <w:rPr>
          <w:rFonts w:eastAsia="Calibri"/>
          <w:color w:val="auto"/>
          <w:szCs w:val="24"/>
          <w:lang w:val="en-US" w:eastAsia="en-US"/>
        </w:rPr>
        <w:t>.</w:t>
      </w:r>
      <w:r w:rsidRPr="00705294">
        <w:rPr>
          <w:rFonts w:eastAsia="Calibri"/>
          <w:color w:val="auto"/>
          <w:szCs w:val="24"/>
          <w:lang w:val="en-US" w:eastAsia="en-US"/>
        </w:rPr>
        <w:t xml:space="preserve"> It was during the passage of the Sexual Offences Act 2003 that law makers were faced with the difficulty of drafting a law which would protect children from sexual exploitation </w:t>
      </w:r>
      <w:r w:rsidR="002B34AB" w:rsidRPr="00705294">
        <w:rPr>
          <w:rFonts w:eastAsia="Calibri"/>
          <w:color w:val="auto"/>
          <w:szCs w:val="24"/>
          <w:lang w:val="en-US" w:eastAsia="en-US"/>
        </w:rPr>
        <w:t>“</w:t>
      </w:r>
      <w:r w:rsidRPr="00705294">
        <w:rPr>
          <w:rFonts w:eastAsia="Calibri"/>
          <w:color w:val="auto"/>
          <w:szCs w:val="24"/>
          <w:lang w:val="en-US" w:eastAsia="en-US"/>
        </w:rPr>
        <w:t xml:space="preserve">whilst simultaneously </w:t>
      </w:r>
      <w:r w:rsidR="00705294">
        <w:rPr>
          <w:rFonts w:eastAsia="Calibri"/>
          <w:color w:val="auto"/>
          <w:szCs w:val="24"/>
          <w:lang w:val="en-US" w:eastAsia="en-US"/>
        </w:rPr>
        <w:t>recognizing</w:t>
      </w:r>
      <w:r w:rsidRPr="00705294">
        <w:rPr>
          <w:rFonts w:eastAsia="Calibri"/>
          <w:color w:val="auto"/>
          <w:szCs w:val="24"/>
          <w:lang w:val="en-US" w:eastAsia="en-US"/>
        </w:rPr>
        <w:t xml:space="preserve"> that young teens will inevitably and </w:t>
      </w:r>
      <w:r w:rsidR="009A73D6">
        <w:rPr>
          <w:rFonts w:eastAsia="Calibri"/>
          <w:color w:val="auto"/>
          <w:szCs w:val="24"/>
          <w:lang w:val="en-US" w:eastAsia="en-US"/>
        </w:rPr>
        <w:t>“</w:t>
      </w:r>
      <w:r w:rsidRPr="00705294">
        <w:rPr>
          <w:rFonts w:eastAsia="Calibri"/>
          <w:color w:val="auto"/>
          <w:szCs w:val="24"/>
          <w:lang w:val="en-US" w:eastAsia="en-US"/>
        </w:rPr>
        <w:t>consensually</w:t>
      </w:r>
      <w:r w:rsidR="009A73D6">
        <w:rPr>
          <w:rFonts w:eastAsia="Calibri"/>
          <w:color w:val="auto"/>
          <w:szCs w:val="24"/>
          <w:lang w:val="en-US" w:eastAsia="en-US"/>
        </w:rPr>
        <w:t>”</w:t>
      </w:r>
      <w:r w:rsidRPr="00705294">
        <w:rPr>
          <w:rFonts w:eastAsia="Calibri"/>
          <w:color w:val="auto"/>
          <w:szCs w:val="24"/>
          <w:lang w:val="en-US" w:eastAsia="en-US"/>
        </w:rPr>
        <w:t xml:space="preserve"> e</w:t>
      </w:r>
      <w:r w:rsidR="00A738B0">
        <w:rPr>
          <w:rFonts w:eastAsia="Calibri"/>
          <w:color w:val="auto"/>
          <w:szCs w:val="24"/>
          <w:lang w:val="en-US" w:eastAsia="en-US"/>
        </w:rPr>
        <w:t>ngage in sexual experimentation ([2], p. 131).</w:t>
      </w:r>
    </w:p>
    <w:p w14:paraId="36ACD9C8" w14:textId="3D986539" w:rsidR="009B751F" w:rsidRPr="00705294" w:rsidRDefault="009B751F" w:rsidP="00AE443F">
      <w:pPr>
        <w:autoSpaceDE w:val="0"/>
        <w:autoSpaceDN w:val="0"/>
        <w:adjustRightInd w:val="0"/>
        <w:snapToGrid w:val="0"/>
        <w:ind w:firstLine="425"/>
        <w:rPr>
          <w:rFonts w:eastAsia="Calibri"/>
          <w:color w:val="auto"/>
          <w:szCs w:val="24"/>
          <w:lang w:val="en-US" w:eastAsia="en-US"/>
        </w:rPr>
      </w:pPr>
      <w:r w:rsidRPr="00705294">
        <w:rPr>
          <w:rFonts w:eastAsia="Calibri"/>
          <w:color w:val="auto"/>
          <w:szCs w:val="24"/>
          <w:lang w:val="en-US" w:eastAsia="en-US"/>
        </w:rPr>
        <w:lastRenderedPageBreak/>
        <w:t xml:space="preserve">Historically, the Age of </w:t>
      </w:r>
      <w:r w:rsidR="00DC30E9" w:rsidRPr="00705294">
        <w:rPr>
          <w:rFonts w:eastAsia="Calibri"/>
          <w:color w:val="auto"/>
          <w:szCs w:val="24"/>
          <w:lang w:val="en-US" w:eastAsia="en-US"/>
        </w:rPr>
        <w:t xml:space="preserve">consent in England and Wales </w:t>
      </w:r>
      <w:r w:rsidR="0080429F" w:rsidRPr="00C963B3">
        <w:rPr>
          <w:rFonts w:eastAsia="Calibri"/>
          <w:color w:val="auto"/>
          <w:szCs w:val="24"/>
          <w:lang w:val="en-US" w:eastAsia="en-US"/>
        </w:rPr>
        <w:t>[3]</w:t>
      </w:r>
      <w:r w:rsidRPr="00705294">
        <w:rPr>
          <w:rFonts w:eastAsia="Calibri"/>
          <w:color w:val="auto"/>
          <w:szCs w:val="24"/>
          <w:lang w:val="en-US" w:eastAsia="en-US"/>
        </w:rPr>
        <w:t xml:space="preserve"> has varied from as young as 10 in 1576; 12 in the late 19th </w:t>
      </w:r>
      <w:r w:rsidR="004544A0" w:rsidRPr="00705294">
        <w:rPr>
          <w:rFonts w:eastAsia="Calibri"/>
          <w:color w:val="auto"/>
          <w:szCs w:val="24"/>
          <w:lang w:val="en-US" w:eastAsia="en-US"/>
        </w:rPr>
        <w:t>century [</w:t>
      </w:r>
      <w:r w:rsidR="00C963B3">
        <w:rPr>
          <w:rFonts w:eastAsia="Calibri"/>
          <w:color w:val="auto"/>
          <w:szCs w:val="24"/>
          <w:lang w:val="en-US" w:eastAsia="en-US"/>
        </w:rPr>
        <w:t>4</w:t>
      </w:r>
      <w:r w:rsidR="004544A0" w:rsidRPr="00705294">
        <w:rPr>
          <w:rFonts w:eastAsia="Calibri"/>
          <w:color w:val="auto"/>
          <w:szCs w:val="24"/>
          <w:lang w:val="en-US" w:eastAsia="en-US"/>
        </w:rPr>
        <w:t>]</w:t>
      </w:r>
      <w:r w:rsidRPr="00705294">
        <w:rPr>
          <w:rFonts w:eastAsia="Calibri"/>
          <w:color w:val="auto"/>
          <w:szCs w:val="24"/>
          <w:lang w:val="en-US" w:eastAsia="en-US"/>
        </w:rPr>
        <w:t xml:space="preserve">; 13 in 1875. The late Victorian age saw increasing concern for the female child prostitution exemplified by a campaign by the </w:t>
      </w:r>
      <w:r w:rsidRPr="00705294">
        <w:rPr>
          <w:rFonts w:eastAsia="Calibri"/>
          <w:i/>
          <w:iCs/>
          <w:color w:val="auto"/>
          <w:szCs w:val="24"/>
          <w:lang w:val="en-US" w:eastAsia="en-US"/>
        </w:rPr>
        <w:t xml:space="preserve">Pall Mall Gazette </w:t>
      </w:r>
      <w:r w:rsidRPr="00705294">
        <w:rPr>
          <w:rFonts w:eastAsia="Calibri"/>
          <w:color w:val="auto"/>
          <w:szCs w:val="24"/>
          <w:lang w:val="en-US" w:eastAsia="en-US"/>
        </w:rPr>
        <w:t xml:space="preserve">in 1885 on child prostitution, argued that young girls were </w:t>
      </w:r>
      <w:r w:rsidR="009A73D6">
        <w:rPr>
          <w:rFonts w:eastAsia="Calibri"/>
          <w:color w:val="auto"/>
          <w:szCs w:val="24"/>
          <w:lang w:val="en-US" w:eastAsia="en-US"/>
        </w:rPr>
        <w:t>“</w:t>
      </w:r>
      <w:r w:rsidRPr="00705294">
        <w:rPr>
          <w:rFonts w:eastAsia="Calibri"/>
          <w:color w:val="auto"/>
          <w:szCs w:val="24"/>
          <w:lang w:val="en-US" w:eastAsia="en-US"/>
        </w:rPr>
        <w:t>too young, in fact, to understand the nature of the crime of which</w:t>
      </w:r>
      <w:r w:rsidR="00676405">
        <w:rPr>
          <w:rFonts w:eastAsia="Calibri"/>
          <w:color w:val="auto"/>
          <w:szCs w:val="24"/>
          <w:lang w:val="en-US" w:eastAsia="en-US"/>
        </w:rPr>
        <w:t xml:space="preserve"> they are the unwilling victims</w:t>
      </w:r>
      <w:r w:rsidR="009A73D6">
        <w:rPr>
          <w:rFonts w:eastAsia="Calibri"/>
          <w:color w:val="auto"/>
          <w:szCs w:val="24"/>
          <w:lang w:val="en-US" w:eastAsia="en-US"/>
        </w:rPr>
        <w:t>”</w:t>
      </w:r>
      <w:r w:rsidR="00676405">
        <w:rPr>
          <w:rFonts w:eastAsia="Calibri"/>
          <w:color w:val="auto"/>
          <w:szCs w:val="24"/>
          <w:lang w:val="en-US" w:eastAsia="en-US"/>
        </w:rPr>
        <w:t>.</w:t>
      </w:r>
      <w:r w:rsidRPr="00705294">
        <w:rPr>
          <w:rFonts w:eastAsia="Calibri"/>
          <w:color w:val="auto"/>
          <w:szCs w:val="24"/>
          <w:lang w:val="en-US" w:eastAsia="en-US"/>
        </w:rPr>
        <w:t xml:space="preserve"> This campaign was arguably largely responsible for the Criminal Law Amendment Act </w:t>
      </w:r>
      <w:r w:rsidR="00AF7EC9" w:rsidRPr="00705294">
        <w:rPr>
          <w:rFonts w:eastAsia="Calibri"/>
          <w:color w:val="auto"/>
          <w:szCs w:val="24"/>
          <w:lang w:val="en-US" w:eastAsia="en-US"/>
        </w:rPr>
        <w:t>1885, which</w:t>
      </w:r>
      <w:r w:rsidRPr="00705294">
        <w:rPr>
          <w:rFonts w:eastAsia="Calibri"/>
          <w:color w:val="auto"/>
          <w:szCs w:val="24"/>
          <w:lang w:val="en-US" w:eastAsia="en-US"/>
        </w:rPr>
        <w:t xml:space="preserve"> </w:t>
      </w:r>
      <w:r w:rsidR="008A2DFE" w:rsidRPr="00705294">
        <w:rPr>
          <w:rFonts w:eastAsia="Calibri"/>
          <w:color w:val="auto"/>
          <w:szCs w:val="24"/>
          <w:lang w:val="en-US" w:eastAsia="en-US"/>
        </w:rPr>
        <w:t xml:space="preserve">increased </w:t>
      </w:r>
      <w:r w:rsidRPr="00705294">
        <w:rPr>
          <w:rFonts w:eastAsia="Calibri"/>
          <w:color w:val="auto"/>
          <w:szCs w:val="24"/>
          <w:lang w:val="en-US" w:eastAsia="en-US"/>
        </w:rPr>
        <w:t xml:space="preserve">the age of consent for girls to sixteen. In </w:t>
      </w:r>
      <w:r w:rsidR="00AF7EC9" w:rsidRPr="00705294">
        <w:rPr>
          <w:rFonts w:eastAsia="Calibri"/>
          <w:color w:val="auto"/>
          <w:szCs w:val="24"/>
          <w:lang w:val="en-US" w:eastAsia="en-US"/>
        </w:rPr>
        <w:t>1994,</w:t>
      </w:r>
      <w:r w:rsidRPr="00705294">
        <w:rPr>
          <w:rFonts w:eastAsia="Calibri"/>
          <w:color w:val="auto"/>
          <w:szCs w:val="24"/>
          <w:lang w:val="en-US" w:eastAsia="en-US"/>
        </w:rPr>
        <w:t xml:space="preserve"> the age of consent </w:t>
      </w:r>
      <w:r w:rsidR="00855D5E" w:rsidRPr="00705294">
        <w:rPr>
          <w:rFonts w:eastAsia="Calibri"/>
          <w:color w:val="auto"/>
          <w:szCs w:val="24"/>
          <w:lang w:val="en-US" w:eastAsia="en-US"/>
        </w:rPr>
        <w:t xml:space="preserve">for gay men </w:t>
      </w:r>
      <w:r w:rsidRPr="00705294">
        <w:rPr>
          <w:rFonts w:eastAsia="Calibri"/>
          <w:color w:val="auto"/>
          <w:szCs w:val="24"/>
          <w:lang w:val="en-US" w:eastAsia="en-US"/>
        </w:rPr>
        <w:t xml:space="preserve">was lowered from 21 to 18. </w:t>
      </w:r>
      <w:r w:rsidR="00AF7EC9" w:rsidRPr="00705294">
        <w:rPr>
          <w:rFonts w:eastAsia="Calibri"/>
          <w:color w:val="auto"/>
          <w:szCs w:val="24"/>
          <w:lang w:val="en-US" w:eastAsia="en-US"/>
        </w:rPr>
        <w:t>It was</w:t>
      </w:r>
      <w:r w:rsidR="00855D5E" w:rsidRPr="00705294">
        <w:rPr>
          <w:rFonts w:eastAsia="Calibri"/>
          <w:color w:val="auto"/>
          <w:szCs w:val="24"/>
          <w:lang w:val="en-US" w:eastAsia="en-US"/>
        </w:rPr>
        <w:t xml:space="preserve"> lowered to the present age of 16 in 2000 f</w:t>
      </w:r>
      <w:r w:rsidRPr="00705294">
        <w:rPr>
          <w:rFonts w:eastAsia="Calibri"/>
          <w:color w:val="auto"/>
          <w:szCs w:val="24"/>
          <w:lang w:val="en-US" w:eastAsia="en-US"/>
        </w:rPr>
        <w:t xml:space="preserve">ollowing the case of </w:t>
      </w:r>
      <w:r w:rsidRPr="00705294">
        <w:rPr>
          <w:rFonts w:eastAsia="Calibri"/>
          <w:i/>
          <w:iCs/>
          <w:color w:val="auto"/>
          <w:szCs w:val="24"/>
          <w:lang w:val="en-US" w:eastAsia="en-US"/>
        </w:rPr>
        <w:t xml:space="preserve">Sutherland v United Kingdom, the European Commission of Human Rights </w:t>
      </w:r>
      <w:r w:rsidRPr="00705294">
        <w:rPr>
          <w:rFonts w:eastAsia="Calibri"/>
          <w:color w:val="auto"/>
          <w:szCs w:val="24"/>
          <w:lang w:val="en-US" w:eastAsia="en-US"/>
        </w:rPr>
        <w:t>(1997) App. no.</w:t>
      </w:r>
      <w:r w:rsidR="00397A90" w:rsidRPr="00705294">
        <w:rPr>
          <w:rFonts w:eastAsia="Calibri"/>
          <w:color w:val="auto"/>
          <w:szCs w:val="24"/>
          <w:lang w:val="en-US" w:eastAsia="en-US"/>
        </w:rPr>
        <w:t xml:space="preserve"> </w:t>
      </w:r>
      <w:r w:rsidRPr="00705294">
        <w:rPr>
          <w:rFonts w:eastAsia="Calibri"/>
          <w:color w:val="auto"/>
          <w:szCs w:val="24"/>
          <w:lang w:val="en-US" w:eastAsia="en-US"/>
        </w:rPr>
        <w:t>25186/94</w:t>
      </w:r>
      <w:r w:rsidR="00855D5E" w:rsidRPr="00705294">
        <w:rPr>
          <w:rFonts w:eastAsia="Calibri"/>
          <w:color w:val="auto"/>
          <w:szCs w:val="24"/>
          <w:lang w:val="en-US" w:eastAsia="en-US"/>
        </w:rPr>
        <w:t xml:space="preserve"> and the </w:t>
      </w:r>
      <w:r w:rsidR="005B00AC" w:rsidRPr="00705294">
        <w:rPr>
          <w:rFonts w:eastAsia="Calibri"/>
          <w:color w:val="auto"/>
          <w:szCs w:val="24"/>
          <w:lang w:val="en-US" w:eastAsia="en-US"/>
        </w:rPr>
        <w:t>subsequent Sexual</w:t>
      </w:r>
      <w:r w:rsidR="00855D5E" w:rsidRPr="00705294">
        <w:rPr>
          <w:rFonts w:eastAsia="Calibri"/>
          <w:color w:val="auto"/>
          <w:szCs w:val="24"/>
          <w:lang w:val="en-US" w:eastAsia="en-US"/>
        </w:rPr>
        <w:t xml:space="preserve"> Offences (Amendment) Act 2000</w:t>
      </w:r>
      <w:r w:rsidRPr="00705294">
        <w:rPr>
          <w:rFonts w:eastAsia="Calibri"/>
          <w:color w:val="auto"/>
          <w:szCs w:val="24"/>
          <w:lang w:val="en-US" w:eastAsia="en-US"/>
        </w:rPr>
        <w:t xml:space="preserve">. </w:t>
      </w:r>
    </w:p>
    <w:p w14:paraId="202BADA4" w14:textId="77777777" w:rsidR="00B35A3E" w:rsidRPr="00705294" w:rsidRDefault="007F15A1" w:rsidP="007F15A1">
      <w:pPr>
        <w:pStyle w:val="Mdeck4heading1"/>
      </w:pPr>
      <w:r w:rsidRPr="00705294">
        <w:t xml:space="preserve">3. </w:t>
      </w:r>
      <w:r w:rsidR="00BD3A7B" w:rsidRPr="00705294">
        <w:t xml:space="preserve">What does the </w:t>
      </w:r>
      <w:r w:rsidRPr="00705294">
        <w:t xml:space="preserve">Term </w:t>
      </w:r>
      <w:r w:rsidR="00397A90" w:rsidRPr="00705294">
        <w:t>“</w:t>
      </w:r>
      <w:r w:rsidR="00BD3A7B" w:rsidRPr="00705294">
        <w:t>Age of Consent</w:t>
      </w:r>
      <w:r w:rsidR="00397A90" w:rsidRPr="00705294">
        <w:t>”</w:t>
      </w:r>
      <w:r w:rsidR="00BD3A7B" w:rsidRPr="00705294">
        <w:t xml:space="preserve"> </w:t>
      </w:r>
      <w:r w:rsidRPr="00705294">
        <w:t>Mean</w:t>
      </w:r>
      <w:r w:rsidR="00BD3A7B" w:rsidRPr="00705294">
        <w:t>?</w:t>
      </w:r>
    </w:p>
    <w:p w14:paraId="46B13A34" w14:textId="3804E337" w:rsidR="009C1A7F" w:rsidRPr="00705294" w:rsidRDefault="00BD3A7B" w:rsidP="00AE443F">
      <w:pPr>
        <w:pStyle w:val="Mdeck4text"/>
        <w:rPr>
          <w:rFonts w:eastAsia="Calibri"/>
          <w:szCs w:val="24"/>
          <w:lang w:eastAsia="en-US"/>
        </w:rPr>
      </w:pPr>
      <w:r w:rsidRPr="00705294">
        <w:rPr>
          <w:szCs w:val="24"/>
        </w:rPr>
        <w:t xml:space="preserve">At this stage, it might be useful to pause and consider in slightly more detail, what is understood by the term </w:t>
      </w:r>
      <w:r w:rsidR="009A73D6">
        <w:rPr>
          <w:szCs w:val="24"/>
        </w:rPr>
        <w:t>“</w:t>
      </w:r>
      <w:r w:rsidRPr="00705294">
        <w:rPr>
          <w:szCs w:val="24"/>
        </w:rPr>
        <w:t>age of consent</w:t>
      </w:r>
      <w:r w:rsidR="009A73D6">
        <w:rPr>
          <w:szCs w:val="24"/>
        </w:rPr>
        <w:t>”</w:t>
      </w:r>
      <w:r w:rsidRPr="00705294">
        <w:rPr>
          <w:szCs w:val="24"/>
        </w:rPr>
        <w:t xml:space="preserve">. Waites points out that in the late nineteenth century the phrase was </w:t>
      </w:r>
      <w:r w:rsidRPr="00DB3C1A">
        <w:rPr>
          <w:rFonts w:eastAsia="Calibri"/>
          <w:spacing w:val="-2"/>
          <w:szCs w:val="24"/>
          <w:lang w:eastAsia="en-US"/>
        </w:rPr>
        <w:t xml:space="preserve">understood as pertaining to </w:t>
      </w:r>
      <w:r w:rsidR="009A73D6" w:rsidRPr="00DB3C1A">
        <w:rPr>
          <w:rFonts w:eastAsia="Calibri"/>
          <w:spacing w:val="-2"/>
          <w:szCs w:val="24"/>
          <w:lang w:eastAsia="en-US"/>
        </w:rPr>
        <w:t>“</w:t>
      </w:r>
      <w:r w:rsidRPr="00DB3C1A">
        <w:rPr>
          <w:rFonts w:eastAsia="Calibri"/>
          <w:spacing w:val="-2"/>
          <w:szCs w:val="24"/>
          <w:lang w:eastAsia="en-US"/>
        </w:rPr>
        <w:t>the legal age for a female to consent to se</w:t>
      </w:r>
      <w:r w:rsidR="004A418E" w:rsidRPr="00DB3C1A">
        <w:rPr>
          <w:rFonts w:eastAsia="Calibri"/>
          <w:spacing w:val="-2"/>
          <w:szCs w:val="24"/>
          <w:lang w:eastAsia="en-US"/>
        </w:rPr>
        <w:t>xual intercourse with a male [</w:t>
      </w:r>
      <w:r w:rsidR="00C963B3" w:rsidRPr="00DB3C1A">
        <w:rPr>
          <w:rFonts w:eastAsia="Calibri"/>
          <w:color w:val="auto"/>
          <w:spacing w:val="-2"/>
          <w:szCs w:val="24"/>
          <w:lang w:eastAsia="en-US"/>
        </w:rPr>
        <w:t>5]</w:t>
      </w:r>
      <w:r w:rsidRPr="00DB3C1A">
        <w:rPr>
          <w:rFonts w:eastAsia="Calibri"/>
          <w:spacing w:val="-2"/>
          <w:szCs w:val="24"/>
          <w:lang w:eastAsia="en-US"/>
        </w:rPr>
        <w:t>.</w:t>
      </w:r>
      <w:r w:rsidR="009A73D6" w:rsidRPr="00DB3C1A">
        <w:rPr>
          <w:rFonts w:eastAsia="Calibri"/>
          <w:spacing w:val="-2"/>
          <w:szCs w:val="24"/>
          <w:lang w:eastAsia="en-US"/>
        </w:rPr>
        <w:t>”</w:t>
      </w:r>
      <w:r w:rsidRPr="00705294">
        <w:rPr>
          <w:rFonts w:eastAsia="Calibri"/>
          <w:szCs w:val="24"/>
          <w:lang w:eastAsia="en-US"/>
        </w:rPr>
        <w:t xml:space="preserve"> Waites suggests that the phrase </w:t>
      </w:r>
      <w:r w:rsidR="009A73D6">
        <w:rPr>
          <w:rFonts w:eastAsia="Calibri"/>
          <w:szCs w:val="24"/>
          <w:lang w:eastAsia="en-US"/>
        </w:rPr>
        <w:t>“</w:t>
      </w:r>
      <w:r w:rsidRPr="00705294">
        <w:rPr>
          <w:rFonts w:eastAsia="Calibri"/>
          <w:szCs w:val="24"/>
          <w:lang w:eastAsia="en-US"/>
        </w:rPr>
        <w:t>age of consent</w:t>
      </w:r>
      <w:r w:rsidR="009A73D6">
        <w:rPr>
          <w:rFonts w:eastAsia="Calibri"/>
          <w:szCs w:val="24"/>
          <w:lang w:eastAsia="en-US"/>
        </w:rPr>
        <w:t>”</w:t>
      </w:r>
      <w:r w:rsidRPr="00705294">
        <w:rPr>
          <w:rFonts w:eastAsia="Calibri"/>
          <w:szCs w:val="24"/>
          <w:lang w:eastAsia="en-US"/>
        </w:rPr>
        <w:t xml:space="preserve"> should be used to refer to </w:t>
      </w:r>
      <w:r w:rsidR="009A73D6">
        <w:rPr>
          <w:rFonts w:eastAsia="Calibri"/>
          <w:szCs w:val="24"/>
          <w:lang w:eastAsia="en-US"/>
        </w:rPr>
        <w:t>“</w:t>
      </w:r>
      <w:r w:rsidRPr="00705294">
        <w:rPr>
          <w:rFonts w:eastAsia="Calibri"/>
          <w:szCs w:val="24"/>
          <w:lang w:eastAsia="en-US"/>
        </w:rPr>
        <w:t>any law, past or present, which prohibits young people</w:t>
      </w:r>
      <w:r w:rsidR="003438F6">
        <w:rPr>
          <w:rFonts w:eastAsia="Calibri"/>
          <w:szCs w:val="24"/>
          <w:lang w:eastAsia="en-US"/>
        </w:rPr>
        <w:t>’</w:t>
      </w:r>
      <w:r w:rsidRPr="00705294">
        <w:rPr>
          <w:rFonts w:eastAsia="Calibri"/>
          <w:szCs w:val="24"/>
          <w:lang w:eastAsia="en-US"/>
        </w:rPr>
        <w:t xml:space="preserve">s involvement in any form of </w:t>
      </w:r>
      <w:r w:rsidR="009A73D6">
        <w:rPr>
          <w:rFonts w:eastAsia="Calibri"/>
          <w:szCs w:val="24"/>
          <w:lang w:eastAsia="en-US"/>
        </w:rPr>
        <w:t>“</w:t>
      </w:r>
      <w:r w:rsidRPr="00705294">
        <w:rPr>
          <w:rFonts w:eastAsia="Calibri"/>
          <w:szCs w:val="24"/>
          <w:lang w:eastAsia="en-US"/>
        </w:rPr>
        <w:t>assenting</w:t>
      </w:r>
      <w:r w:rsidR="009A73D6">
        <w:rPr>
          <w:rFonts w:eastAsia="Calibri"/>
          <w:szCs w:val="24"/>
          <w:lang w:eastAsia="en-US"/>
        </w:rPr>
        <w:t>”</w:t>
      </w:r>
      <w:r w:rsidRPr="00705294">
        <w:rPr>
          <w:rFonts w:eastAsia="Calibri"/>
          <w:szCs w:val="24"/>
          <w:lang w:eastAsia="en-US"/>
        </w:rPr>
        <w:t xml:space="preserve"> and/or </w:t>
      </w:r>
      <w:r w:rsidR="009A73D6">
        <w:rPr>
          <w:rFonts w:eastAsia="Calibri"/>
          <w:szCs w:val="24"/>
          <w:lang w:eastAsia="en-US"/>
        </w:rPr>
        <w:t>“</w:t>
      </w:r>
      <w:r w:rsidRPr="00705294">
        <w:rPr>
          <w:rFonts w:eastAsia="Calibri"/>
          <w:szCs w:val="24"/>
          <w:lang w:eastAsia="en-US"/>
        </w:rPr>
        <w:t>consenting</w:t>
      </w:r>
      <w:r w:rsidR="009A73D6">
        <w:rPr>
          <w:rFonts w:eastAsia="Calibri"/>
          <w:szCs w:val="24"/>
          <w:lang w:eastAsia="en-US"/>
        </w:rPr>
        <w:t>”</w:t>
      </w:r>
      <w:r w:rsidRPr="00705294">
        <w:rPr>
          <w:rFonts w:eastAsia="Calibri"/>
          <w:szCs w:val="24"/>
          <w:lang w:eastAsia="en-US"/>
        </w:rPr>
        <w:t xml:space="preserve"> sexual </w:t>
      </w:r>
      <w:r w:rsidR="00705294">
        <w:rPr>
          <w:rFonts w:eastAsia="Calibri"/>
          <w:szCs w:val="24"/>
          <w:lang w:eastAsia="en-US"/>
        </w:rPr>
        <w:t>behavior</w:t>
      </w:r>
      <w:r w:rsidR="00494BF8" w:rsidRPr="00705294">
        <w:rPr>
          <w:rFonts w:eastAsia="Calibri"/>
          <w:szCs w:val="24"/>
          <w:lang w:eastAsia="en-US"/>
        </w:rPr>
        <w:t xml:space="preserve"> below a particular age </w:t>
      </w:r>
      <w:r w:rsidR="001D6F6D">
        <w:rPr>
          <w:rFonts w:eastAsia="Calibri"/>
          <w:szCs w:val="24"/>
          <w:lang w:eastAsia="en-US"/>
        </w:rPr>
        <w:t>(</w:t>
      </w:r>
      <w:r w:rsidR="00494BF8" w:rsidRPr="00705294">
        <w:rPr>
          <w:rFonts w:eastAsia="Calibri"/>
          <w:szCs w:val="24"/>
          <w:lang w:eastAsia="en-US"/>
        </w:rPr>
        <w:t>[</w:t>
      </w:r>
      <w:r w:rsidR="00C963B3">
        <w:rPr>
          <w:rFonts w:eastAsia="Calibri"/>
          <w:color w:val="auto"/>
          <w:szCs w:val="24"/>
          <w:lang w:eastAsia="en-US"/>
        </w:rPr>
        <w:t>6</w:t>
      </w:r>
      <w:r w:rsidR="001D6F6D">
        <w:rPr>
          <w:rFonts w:eastAsia="Calibri"/>
          <w:color w:val="auto"/>
          <w:szCs w:val="24"/>
          <w:lang w:eastAsia="en-US"/>
        </w:rPr>
        <w:t>]</w:t>
      </w:r>
      <w:r w:rsidR="001D6F6D" w:rsidRPr="001D6F6D">
        <w:rPr>
          <w:rFonts w:eastAsia="Calibri"/>
          <w:color w:val="auto"/>
          <w:szCs w:val="24"/>
          <w:lang w:eastAsia="en-US"/>
        </w:rPr>
        <w:t>, p. 73</w:t>
      </w:r>
      <w:r w:rsidR="001D6F6D">
        <w:rPr>
          <w:rFonts w:eastAsia="Calibri"/>
          <w:color w:val="auto"/>
          <w:szCs w:val="24"/>
          <w:lang w:eastAsia="en-US"/>
        </w:rPr>
        <w:t>)</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 xml:space="preserve"> Current understandings suggest that</w:t>
      </w:r>
      <w:r w:rsidR="009C1A7F" w:rsidRPr="00705294">
        <w:rPr>
          <w:rFonts w:eastAsia="Calibri"/>
          <w:szCs w:val="24"/>
          <w:lang w:eastAsia="en-US"/>
        </w:rPr>
        <w:t xml:space="preserve"> the term </w:t>
      </w:r>
      <w:r w:rsidR="009A73D6">
        <w:rPr>
          <w:rFonts w:eastAsia="Calibri"/>
          <w:szCs w:val="24"/>
          <w:lang w:eastAsia="en-US"/>
        </w:rPr>
        <w:t>“</w:t>
      </w:r>
      <w:r w:rsidR="009C1A7F" w:rsidRPr="00705294">
        <w:rPr>
          <w:rFonts w:eastAsia="Calibri"/>
          <w:szCs w:val="24"/>
          <w:lang w:eastAsia="en-US"/>
        </w:rPr>
        <w:t>age of consent</w:t>
      </w:r>
      <w:r w:rsidR="009A73D6">
        <w:rPr>
          <w:rFonts w:eastAsia="Calibri"/>
          <w:szCs w:val="24"/>
          <w:lang w:eastAsia="en-US"/>
        </w:rPr>
        <w:t>”</w:t>
      </w:r>
      <w:r w:rsidR="009C1A7F" w:rsidRPr="00705294">
        <w:rPr>
          <w:rFonts w:eastAsia="Calibri"/>
          <w:szCs w:val="24"/>
          <w:lang w:eastAsia="en-US"/>
        </w:rPr>
        <w:t xml:space="preserve"> presents a twofold approach; </w:t>
      </w:r>
      <w:r w:rsidRPr="00705294">
        <w:rPr>
          <w:rFonts w:eastAsia="Calibri"/>
          <w:szCs w:val="24"/>
          <w:lang w:eastAsia="en-US"/>
        </w:rPr>
        <w:t xml:space="preserve">it is </w:t>
      </w:r>
      <w:r w:rsidR="009C1A7F" w:rsidRPr="00705294">
        <w:rPr>
          <w:rFonts w:eastAsia="Calibri"/>
          <w:szCs w:val="24"/>
          <w:lang w:eastAsia="en-US"/>
        </w:rPr>
        <w:t xml:space="preserve">firstly </w:t>
      </w:r>
      <w:r w:rsidRPr="00705294">
        <w:rPr>
          <w:rFonts w:eastAsia="Calibri"/>
          <w:szCs w:val="24"/>
          <w:lang w:eastAsia="en-US"/>
        </w:rPr>
        <w:t xml:space="preserve">generally understood to be the age at which individuals can legally engage in sexual intercourse and sexual activity. </w:t>
      </w:r>
      <w:r w:rsidR="009C1A7F" w:rsidRPr="00705294">
        <w:rPr>
          <w:rFonts w:eastAsia="Calibri"/>
          <w:szCs w:val="24"/>
          <w:lang w:eastAsia="en-US"/>
        </w:rPr>
        <w:t>Secondly, i</w:t>
      </w:r>
      <w:r w:rsidRPr="00705294">
        <w:rPr>
          <w:rFonts w:eastAsia="Calibri"/>
          <w:szCs w:val="24"/>
          <w:lang w:eastAsia="en-US"/>
        </w:rPr>
        <w:t xml:space="preserve">t is also the age at which the law deems those individuals to be capable of giving genuinely informed consent; it thus demands </w:t>
      </w:r>
      <w:r w:rsidR="009A73D6">
        <w:rPr>
          <w:rFonts w:eastAsia="Calibri"/>
          <w:szCs w:val="24"/>
          <w:lang w:eastAsia="en-US"/>
        </w:rPr>
        <w:t>“</w:t>
      </w:r>
      <w:r w:rsidRPr="00705294">
        <w:rPr>
          <w:rFonts w:eastAsia="Calibri"/>
          <w:szCs w:val="24"/>
          <w:lang w:eastAsia="en-US"/>
        </w:rPr>
        <w:t>a requisite level of cognitiv</w:t>
      </w:r>
      <w:r w:rsidR="00494BF8" w:rsidRPr="00705294">
        <w:rPr>
          <w:rFonts w:eastAsia="Calibri"/>
          <w:szCs w:val="24"/>
          <w:lang w:eastAsia="en-US"/>
        </w:rPr>
        <w:t>e and emotional understanding [</w:t>
      </w:r>
      <w:r w:rsidR="00C963B3">
        <w:rPr>
          <w:rFonts w:eastAsia="Calibri"/>
          <w:color w:val="auto"/>
          <w:szCs w:val="24"/>
          <w:lang w:eastAsia="en-US"/>
        </w:rPr>
        <w:t>7</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 xml:space="preserve"> </w:t>
      </w:r>
    </w:p>
    <w:p w14:paraId="1812BDA0" w14:textId="2C0A6CCF" w:rsidR="00ED1906" w:rsidRPr="00705294" w:rsidRDefault="0026776A" w:rsidP="002552C1">
      <w:pPr>
        <w:pStyle w:val="Mdeck4text"/>
        <w:rPr>
          <w:rFonts w:eastAsia="Calibri"/>
          <w:color w:val="auto"/>
          <w:szCs w:val="24"/>
          <w:lang w:eastAsia="en-US"/>
        </w:rPr>
      </w:pPr>
      <w:r w:rsidRPr="00705294">
        <w:rPr>
          <w:rFonts w:eastAsia="Calibri"/>
          <w:szCs w:val="24"/>
          <w:lang w:eastAsia="en-US"/>
        </w:rPr>
        <w:t>The issue of lowering the age of consent became prominent in the news once again shortly after the Number 10 Policy Unit proposed a reduction in the age of consent to 14</w:t>
      </w:r>
      <w:r w:rsidR="009C3AFC" w:rsidRPr="00705294">
        <w:rPr>
          <w:rFonts w:eastAsia="Calibri"/>
          <w:szCs w:val="24"/>
          <w:lang w:eastAsia="en-US"/>
        </w:rPr>
        <w:t xml:space="preserve"> </w:t>
      </w:r>
      <w:r w:rsidRPr="00705294">
        <w:rPr>
          <w:rFonts w:eastAsia="Calibri"/>
          <w:szCs w:val="24"/>
          <w:lang w:eastAsia="en-US"/>
        </w:rPr>
        <w:t>[</w:t>
      </w:r>
      <w:r w:rsidR="00C963B3">
        <w:rPr>
          <w:rFonts w:eastAsia="Calibri"/>
          <w:szCs w:val="24"/>
          <w:lang w:eastAsia="en-US"/>
        </w:rPr>
        <w:t>8</w:t>
      </w:r>
      <w:r w:rsidRPr="00705294">
        <w:rPr>
          <w:rFonts w:eastAsia="Calibri"/>
          <w:szCs w:val="24"/>
          <w:lang w:eastAsia="en-US"/>
        </w:rPr>
        <w:t>]</w:t>
      </w:r>
      <w:r w:rsidR="009C3AFC" w:rsidRPr="00705294">
        <w:rPr>
          <w:rFonts w:eastAsia="Calibri"/>
          <w:szCs w:val="24"/>
          <w:lang w:eastAsia="en-US"/>
        </w:rPr>
        <w:t>.</w:t>
      </w:r>
      <w:r w:rsidR="00231416" w:rsidRPr="00705294">
        <w:rPr>
          <w:rFonts w:eastAsia="Calibri"/>
          <w:szCs w:val="24"/>
          <w:lang w:eastAsia="en-US"/>
        </w:rPr>
        <w:t xml:space="preserve"> </w:t>
      </w:r>
      <w:r w:rsidR="00334DD1" w:rsidRPr="00705294">
        <w:rPr>
          <w:rFonts w:eastAsia="Calibri"/>
          <w:color w:val="auto"/>
          <w:szCs w:val="24"/>
          <w:lang w:eastAsia="en-US"/>
        </w:rPr>
        <w:t>There was a significant amount of both print and broadcast news</w:t>
      </w:r>
      <w:r w:rsidR="00F220C0" w:rsidRPr="00705294">
        <w:rPr>
          <w:rFonts w:eastAsia="Calibri"/>
          <w:color w:val="auto"/>
          <w:szCs w:val="24"/>
          <w:lang w:eastAsia="en-US"/>
        </w:rPr>
        <w:t xml:space="preserve"> time allocated to the debate.</w:t>
      </w:r>
      <w:r w:rsidR="00231416" w:rsidRPr="00705294">
        <w:rPr>
          <w:rFonts w:eastAsia="Calibri"/>
          <w:color w:val="auto"/>
          <w:szCs w:val="24"/>
          <w:lang w:eastAsia="en-US"/>
        </w:rPr>
        <w:t xml:space="preserve"> </w:t>
      </w:r>
      <w:r w:rsidR="00F220C0" w:rsidRPr="00705294">
        <w:rPr>
          <w:rFonts w:eastAsia="Calibri"/>
          <w:color w:val="auto"/>
          <w:szCs w:val="24"/>
          <w:lang w:eastAsia="en-US"/>
        </w:rPr>
        <w:t xml:space="preserve">The story appeared in </w:t>
      </w:r>
      <w:r w:rsidR="00155578" w:rsidRPr="00705294">
        <w:rPr>
          <w:rFonts w:eastAsia="Calibri"/>
          <w:color w:val="auto"/>
          <w:szCs w:val="24"/>
          <w:lang w:eastAsia="en-US"/>
        </w:rPr>
        <w:t xml:space="preserve">numerous news </w:t>
      </w:r>
      <w:r w:rsidR="00705294">
        <w:rPr>
          <w:rFonts w:eastAsia="Calibri"/>
          <w:color w:val="auto"/>
          <w:szCs w:val="24"/>
          <w:lang w:eastAsia="en-US"/>
        </w:rPr>
        <w:t>organization</w:t>
      </w:r>
      <w:r w:rsidR="00155578" w:rsidRPr="00705294">
        <w:rPr>
          <w:rFonts w:eastAsia="Calibri"/>
          <w:color w:val="auto"/>
          <w:szCs w:val="24"/>
          <w:lang w:eastAsia="en-US"/>
        </w:rPr>
        <w:t>s, both print and broadcast such as</w:t>
      </w:r>
      <w:r w:rsidR="00223E27" w:rsidRPr="00705294">
        <w:rPr>
          <w:rFonts w:eastAsia="Calibri"/>
          <w:color w:val="auto"/>
          <w:szCs w:val="24"/>
          <w:lang w:eastAsia="en-US"/>
        </w:rPr>
        <w:t>,</w:t>
      </w:r>
      <w:r w:rsidR="00155578" w:rsidRPr="00705294">
        <w:rPr>
          <w:rFonts w:eastAsia="Calibri"/>
          <w:color w:val="auto"/>
          <w:szCs w:val="24"/>
          <w:lang w:eastAsia="en-US"/>
        </w:rPr>
        <w:t xml:space="preserve"> </w:t>
      </w:r>
      <w:r w:rsidR="00F220C0" w:rsidRPr="00B15B64">
        <w:rPr>
          <w:rFonts w:eastAsia="Calibri"/>
          <w:i/>
          <w:color w:val="auto"/>
          <w:szCs w:val="24"/>
          <w:lang w:eastAsia="en-US"/>
        </w:rPr>
        <w:t>the Daily Mail</w:t>
      </w:r>
      <w:r w:rsidR="00F220C0" w:rsidRPr="00705294">
        <w:rPr>
          <w:rFonts w:eastAsia="Calibri"/>
          <w:color w:val="auto"/>
          <w:szCs w:val="24"/>
          <w:lang w:eastAsia="en-US"/>
        </w:rPr>
        <w:t xml:space="preserve"> </w:t>
      </w:r>
      <w:r w:rsidR="00334DD1" w:rsidRPr="00705294">
        <w:rPr>
          <w:rFonts w:eastAsia="Calibri"/>
          <w:color w:val="auto"/>
          <w:szCs w:val="24"/>
          <w:lang w:eastAsia="en-US"/>
        </w:rPr>
        <w:t>[</w:t>
      </w:r>
      <w:r w:rsidR="00C963B3">
        <w:rPr>
          <w:rFonts w:eastAsia="Calibri"/>
          <w:color w:val="auto"/>
          <w:szCs w:val="24"/>
          <w:lang w:eastAsia="en-US"/>
        </w:rPr>
        <w:t>9</w:t>
      </w:r>
      <w:r w:rsidR="00334DD1" w:rsidRPr="00705294">
        <w:rPr>
          <w:rFonts w:eastAsia="Calibri"/>
          <w:color w:val="auto"/>
          <w:szCs w:val="24"/>
          <w:lang w:eastAsia="en-US"/>
        </w:rPr>
        <w:t>]</w:t>
      </w:r>
      <w:r w:rsidR="00F220C0" w:rsidRPr="00705294">
        <w:rPr>
          <w:rFonts w:eastAsia="Calibri"/>
          <w:color w:val="auto"/>
          <w:szCs w:val="24"/>
          <w:lang w:eastAsia="en-US"/>
        </w:rPr>
        <w:t xml:space="preserve">; </w:t>
      </w:r>
      <w:r w:rsidR="00F220C0" w:rsidRPr="00705294">
        <w:rPr>
          <w:rFonts w:eastAsia="Calibri"/>
          <w:i/>
          <w:color w:val="auto"/>
          <w:szCs w:val="24"/>
          <w:lang w:eastAsia="en-US"/>
        </w:rPr>
        <w:t>The Guardian</w:t>
      </w:r>
      <w:r w:rsidR="00F220C0" w:rsidRPr="00705294">
        <w:rPr>
          <w:rFonts w:eastAsia="Calibri"/>
          <w:color w:val="auto"/>
          <w:szCs w:val="24"/>
          <w:lang w:eastAsia="en-US"/>
        </w:rPr>
        <w:t xml:space="preserve"> [</w:t>
      </w:r>
      <w:r w:rsidR="00C963B3">
        <w:rPr>
          <w:rFonts w:eastAsia="Calibri"/>
          <w:color w:val="auto"/>
          <w:szCs w:val="24"/>
          <w:lang w:eastAsia="en-US"/>
        </w:rPr>
        <w:t>10</w:t>
      </w:r>
      <w:r w:rsidR="00F220C0" w:rsidRPr="00705294">
        <w:rPr>
          <w:rFonts w:eastAsia="Calibri"/>
          <w:color w:val="auto"/>
          <w:szCs w:val="24"/>
          <w:lang w:eastAsia="en-US"/>
        </w:rPr>
        <w:t>];</w:t>
      </w:r>
      <w:r w:rsidR="00155578" w:rsidRPr="00705294">
        <w:rPr>
          <w:rFonts w:eastAsia="Calibri"/>
          <w:color w:val="auto"/>
          <w:szCs w:val="24"/>
          <w:lang w:eastAsia="en-US"/>
        </w:rPr>
        <w:t xml:space="preserve"> </w:t>
      </w:r>
      <w:r w:rsidR="00155578" w:rsidRPr="00705294">
        <w:rPr>
          <w:rFonts w:eastAsia="Calibri"/>
          <w:i/>
          <w:color w:val="auto"/>
          <w:szCs w:val="24"/>
          <w:lang w:eastAsia="en-US"/>
        </w:rPr>
        <w:t xml:space="preserve">The </w:t>
      </w:r>
      <w:r w:rsidR="00155578" w:rsidRPr="00DB3C1A">
        <w:rPr>
          <w:rFonts w:eastAsia="Calibri"/>
          <w:i/>
          <w:color w:val="auto"/>
          <w:spacing w:val="-2"/>
          <w:szCs w:val="24"/>
          <w:lang w:eastAsia="en-US"/>
        </w:rPr>
        <w:t>Independent</w:t>
      </w:r>
      <w:r w:rsidR="009D5F4C" w:rsidRPr="00DB3C1A">
        <w:rPr>
          <w:rFonts w:eastAsia="Calibri"/>
          <w:color w:val="auto"/>
          <w:spacing w:val="-2"/>
          <w:szCs w:val="24"/>
          <w:lang w:eastAsia="en-US"/>
        </w:rPr>
        <w:t xml:space="preserve"> </w:t>
      </w:r>
      <w:r w:rsidR="009D5F4C" w:rsidRPr="00533802">
        <w:rPr>
          <w:rFonts w:eastAsia="Calibri"/>
          <w:color w:val="auto"/>
          <w:spacing w:val="-2"/>
          <w:szCs w:val="24"/>
          <w:lang w:eastAsia="en-US"/>
        </w:rPr>
        <w:t>[</w:t>
      </w:r>
      <w:r w:rsidR="00C963B3" w:rsidRPr="00533802">
        <w:rPr>
          <w:rFonts w:eastAsia="Calibri"/>
          <w:color w:val="auto"/>
          <w:spacing w:val="-2"/>
          <w:szCs w:val="24"/>
          <w:lang w:eastAsia="en-US"/>
        </w:rPr>
        <w:t>1</w:t>
      </w:r>
      <w:r w:rsidR="00533802" w:rsidRPr="00533802">
        <w:rPr>
          <w:rFonts w:eastAsia="Calibri"/>
          <w:color w:val="auto"/>
          <w:spacing w:val="-2"/>
          <w:szCs w:val="24"/>
          <w:lang w:eastAsia="en-US"/>
        </w:rPr>
        <w:t>1</w:t>
      </w:r>
      <w:r w:rsidR="009D5F4C" w:rsidRPr="00533802">
        <w:rPr>
          <w:rFonts w:eastAsia="Calibri"/>
          <w:color w:val="auto"/>
          <w:spacing w:val="-2"/>
          <w:szCs w:val="24"/>
          <w:lang w:eastAsia="en-US"/>
        </w:rPr>
        <w:t>]</w:t>
      </w:r>
      <w:r w:rsidR="00155578" w:rsidRPr="00DB3C1A">
        <w:rPr>
          <w:rFonts w:eastAsia="Calibri"/>
          <w:color w:val="auto"/>
          <w:spacing w:val="-2"/>
          <w:szCs w:val="24"/>
          <w:lang w:eastAsia="en-US"/>
        </w:rPr>
        <w:t xml:space="preserve">; </w:t>
      </w:r>
      <w:r w:rsidR="00155578" w:rsidRPr="00DB3C1A">
        <w:rPr>
          <w:rFonts w:eastAsia="Calibri"/>
          <w:i/>
          <w:color w:val="auto"/>
          <w:spacing w:val="-2"/>
          <w:szCs w:val="24"/>
          <w:lang w:eastAsia="en-US"/>
        </w:rPr>
        <w:t>The Telegraph</w:t>
      </w:r>
      <w:r w:rsidR="00F341D4" w:rsidRPr="00DB3C1A">
        <w:rPr>
          <w:rFonts w:eastAsia="Calibri"/>
          <w:color w:val="auto"/>
          <w:spacing w:val="-2"/>
          <w:szCs w:val="24"/>
          <w:lang w:eastAsia="en-US"/>
        </w:rPr>
        <w:t xml:space="preserve"> [</w:t>
      </w:r>
      <w:r w:rsidR="00C963B3" w:rsidRPr="00DB3C1A">
        <w:rPr>
          <w:rFonts w:eastAsia="Calibri"/>
          <w:color w:val="auto"/>
          <w:spacing w:val="-2"/>
          <w:szCs w:val="24"/>
          <w:lang w:eastAsia="en-US"/>
        </w:rPr>
        <w:t>12</w:t>
      </w:r>
      <w:r w:rsidR="00F341D4" w:rsidRPr="00DB3C1A">
        <w:rPr>
          <w:rFonts w:eastAsia="Calibri"/>
          <w:color w:val="auto"/>
          <w:spacing w:val="-2"/>
          <w:szCs w:val="24"/>
          <w:lang w:eastAsia="en-US"/>
        </w:rPr>
        <w:t>]</w:t>
      </w:r>
      <w:r w:rsidR="00155578" w:rsidRPr="00DB3C1A">
        <w:rPr>
          <w:rFonts w:eastAsia="Calibri"/>
          <w:color w:val="auto"/>
          <w:spacing w:val="-2"/>
          <w:szCs w:val="24"/>
          <w:lang w:eastAsia="en-US"/>
        </w:rPr>
        <w:t xml:space="preserve">; </w:t>
      </w:r>
      <w:r w:rsidR="00155578" w:rsidRPr="00DB3C1A">
        <w:rPr>
          <w:rFonts w:eastAsia="Calibri"/>
          <w:i/>
          <w:color w:val="auto"/>
          <w:spacing w:val="-2"/>
          <w:szCs w:val="24"/>
          <w:lang w:eastAsia="en-US"/>
        </w:rPr>
        <w:t>The Times</w:t>
      </w:r>
      <w:r w:rsidR="00F341D4" w:rsidRPr="00DB3C1A">
        <w:rPr>
          <w:rFonts w:eastAsia="Calibri"/>
          <w:i/>
          <w:color w:val="auto"/>
          <w:spacing w:val="-2"/>
          <w:szCs w:val="24"/>
          <w:lang w:eastAsia="en-US"/>
        </w:rPr>
        <w:t xml:space="preserve"> </w:t>
      </w:r>
      <w:r w:rsidR="00F341D4" w:rsidRPr="00DB3C1A">
        <w:rPr>
          <w:rFonts w:eastAsia="Calibri"/>
          <w:color w:val="auto"/>
          <w:spacing w:val="-2"/>
          <w:szCs w:val="24"/>
          <w:lang w:eastAsia="en-US"/>
        </w:rPr>
        <w:t>[</w:t>
      </w:r>
      <w:r w:rsidR="00C963B3" w:rsidRPr="00DB3C1A">
        <w:rPr>
          <w:rFonts w:eastAsia="Calibri"/>
          <w:color w:val="auto"/>
          <w:spacing w:val="-2"/>
          <w:szCs w:val="24"/>
          <w:lang w:eastAsia="en-US"/>
        </w:rPr>
        <w:t>13</w:t>
      </w:r>
      <w:r w:rsidR="00F341D4" w:rsidRPr="00DB3C1A">
        <w:rPr>
          <w:rFonts w:eastAsia="Calibri"/>
          <w:color w:val="auto"/>
          <w:spacing w:val="-2"/>
          <w:szCs w:val="24"/>
          <w:lang w:eastAsia="en-US"/>
        </w:rPr>
        <w:t>]</w:t>
      </w:r>
      <w:r w:rsidR="00155578" w:rsidRPr="00DB3C1A">
        <w:rPr>
          <w:rFonts w:eastAsia="Calibri"/>
          <w:color w:val="auto"/>
          <w:spacing w:val="-2"/>
          <w:szCs w:val="24"/>
          <w:lang w:eastAsia="en-US"/>
        </w:rPr>
        <w:t xml:space="preserve">; </w:t>
      </w:r>
      <w:r w:rsidR="008337E2" w:rsidRPr="00DB3C1A">
        <w:rPr>
          <w:rFonts w:eastAsia="Calibri"/>
          <w:i/>
          <w:color w:val="auto"/>
          <w:spacing w:val="-2"/>
          <w:szCs w:val="24"/>
          <w:lang w:eastAsia="en-US"/>
        </w:rPr>
        <w:t>The Sunday Times</w:t>
      </w:r>
      <w:r w:rsidR="008337E2" w:rsidRPr="00DB3C1A">
        <w:rPr>
          <w:rFonts w:eastAsia="Calibri"/>
          <w:color w:val="auto"/>
          <w:spacing w:val="-2"/>
          <w:szCs w:val="24"/>
          <w:lang w:eastAsia="en-US"/>
        </w:rPr>
        <w:t xml:space="preserve"> [</w:t>
      </w:r>
      <w:r w:rsidR="00C963B3" w:rsidRPr="00DB3C1A">
        <w:rPr>
          <w:rFonts w:eastAsia="Calibri"/>
          <w:color w:val="auto"/>
          <w:spacing w:val="-2"/>
          <w:szCs w:val="24"/>
          <w:lang w:eastAsia="en-US"/>
        </w:rPr>
        <w:t>14</w:t>
      </w:r>
      <w:r w:rsidR="008337E2" w:rsidRPr="00DB3C1A">
        <w:rPr>
          <w:rFonts w:eastAsia="Calibri"/>
          <w:color w:val="auto"/>
          <w:spacing w:val="-2"/>
          <w:szCs w:val="24"/>
          <w:lang w:eastAsia="en-US"/>
        </w:rPr>
        <w:t xml:space="preserve">]; </w:t>
      </w:r>
      <w:r w:rsidR="00723B2B" w:rsidRPr="00DB3C1A">
        <w:rPr>
          <w:rFonts w:eastAsia="Calibri"/>
          <w:i/>
          <w:color w:val="auto"/>
          <w:spacing w:val="-2"/>
          <w:szCs w:val="24"/>
          <w:lang w:eastAsia="en-US"/>
        </w:rPr>
        <w:t>The Huffington Post</w:t>
      </w:r>
      <w:r w:rsidR="00723B2B" w:rsidRPr="00DB3C1A">
        <w:rPr>
          <w:rFonts w:eastAsia="Calibri"/>
          <w:color w:val="auto"/>
          <w:spacing w:val="-2"/>
          <w:szCs w:val="24"/>
          <w:lang w:eastAsia="en-US"/>
        </w:rPr>
        <w:t xml:space="preserve"> [</w:t>
      </w:r>
      <w:r w:rsidR="00C963B3" w:rsidRPr="00DB3C1A">
        <w:rPr>
          <w:rFonts w:eastAsia="Calibri"/>
          <w:color w:val="auto"/>
          <w:spacing w:val="-2"/>
          <w:szCs w:val="24"/>
          <w:lang w:eastAsia="en-US"/>
        </w:rPr>
        <w:t>15</w:t>
      </w:r>
      <w:r w:rsidR="00723B2B" w:rsidRPr="00DB3C1A">
        <w:rPr>
          <w:rFonts w:eastAsia="Calibri"/>
          <w:color w:val="auto"/>
          <w:spacing w:val="-2"/>
          <w:szCs w:val="24"/>
          <w:lang w:eastAsia="en-US"/>
        </w:rPr>
        <w:t>];</w:t>
      </w:r>
      <w:r w:rsidR="00723B2B" w:rsidRPr="00705294">
        <w:rPr>
          <w:rFonts w:eastAsia="Calibri"/>
          <w:color w:val="auto"/>
          <w:szCs w:val="24"/>
          <w:lang w:eastAsia="en-US"/>
        </w:rPr>
        <w:t xml:space="preserve"> </w:t>
      </w:r>
      <w:proofErr w:type="spellStart"/>
      <w:r w:rsidR="00155578" w:rsidRPr="00705294">
        <w:rPr>
          <w:rFonts w:eastAsia="Calibri"/>
          <w:color w:val="auto"/>
          <w:szCs w:val="24"/>
          <w:lang w:eastAsia="en-US"/>
        </w:rPr>
        <w:t>PinkNews</w:t>
      </w:r>
      <w:proofErr w:type="spellEnd"/>
      <w:r w:rsidR="00A43D5D" w:rsidRPr="00705294">
        <w:rPr>
          <w:rFonts w:eastAsia="Calibri"/>
          <w:color w:val="auto"/>
          <w:szCs w:val="24"/>
          <w:lang w:eastAsia="en-US"/>
        </w:rPr>
        <w:t xml:space="preserve"> [</w:t>
      </w:r>
      <w:r w:rsidR="00C963B3">
        <w:rPr>
          <w:rFonts w:eastAsia="Calibri"/>
          <w:color w:val="auto"/>
          <w:szCs w:val="24"/>
          <w:lang w:eastAsia="en-US"/>
        </w:rPr>
        <w:t>16</w:t>
      </w:r>
      <w:r w:rsidR="00A43D5D" w:rsidRPr="00705294">
        <w:rPr>
          <w:rFonts w:eastAsia="Calibri"/>
          <w:color w:val="auto"/>
          <w:szCs w:val="24"/>
          <w:lang w:eastAsia="en-US"/>
        </w:rPr>
        <w:t>]</w:t>
      </w:r>
      <w:r w:rsidR="00155578" w:rsidRPr="00705294">
        <w:rPr>
          <w:rFonts w:eastAsia="Calibri"/>
          <w:color w:val="auto"/>
          <w:szCs w:val="24"/>
          <w:lang w:eastAsia="en-US"/>
        </w:rPr>
        <w:t>; BBC News</w:t>
      </w:r>
      <w:r w:rsidR="00723B2B" w:rsidRPr="00705294">
        <w:rPr>
          <w:rFonts w:eastAsia="Calibri"/>
          <w:color w:val="auto"/>
          <w:szCs w:val="24"/>
          <w:lang w:eastAsia="en-US"/>
        </w:rPr>
        <w:t xml:space="preserve"> [</w:t>
      </w:r>
      <w:r w:rsidR="00C963B3">
        <w:rPr>
          <w:rFonts w:eastAsia="Calibri"/>
          <w:color w:val="auto"/>
          <w:szCs w:val="24"/>
          <w:lang w:eastAsia="en-US"/>
        </w:rPr>
        <w:t>17</w:t>
      </w:r>
      <w:r w:rsidR="00723B2B" w:rsidRPr="00705294">
        <w:rPr>
          <w:rFonts w:eastAsia="Calibri"/>
          <w:color w:val="auto"/>
          <w:szCs w:val="24"/>
          <w:lang w:eastAsia="en-US"/>
        </w:rPr>
        <w:t>]</w:t>
      </w:r>
      <w:r w:rsidR="00155578" w:rsidRPr="00705294">
        <w:rPr>
          <w:rFonts w:eastAsia="Calibri"/>
          <w:color w:val="auto"/>
          <w:szCs w:val="24"/>
          <w:lang w:eastAsia="en-US"/>
        </w:rPr>
        <w:t>; Sky News</w:t>
      </w:r>
      <w:r w:rsidR="0082776F" w:rsidRPr="00705294">
        <w:rPr>
          <w:rFonts w:eastAsia="Calibri"/>
          <w:color w:val="auto"/>
          <w:szCs w:val="24"/>
          <w:lang w:eastAsia="en-US"/>
        </w:rPr>
        <w:t xml:space="preserve"> [</w:t>
      </w:r>
      <w:r w:rsidR="00C963B3">
        <w:rPr>
          <w:rFonts w:eastAsia="Calibri"/>
          <w:color w:val="auto"/>
          <w:szCs w:val="24"/>
          <w:lang w:eastAsia="en-US"/>
        </w:rPr>
        <w:t>18</w:t>
      </w:r>
      <w:r w:rsidR="0082776F" w:rsidRPr="00705294">
        <w:rPr>
          <w:rFonts w:eastAsia="Calibri"/>
          <w:color w:val="auto"/>
          <w:szCs w:val="24"/>
          <w:lang w:eastAsia="en-US"/>
        </w:rPr>
        <w:t>]</w:t>
      </w:r>
      <w:r w:rsidR="00155578" w:rsidRPr="00705294">
        <w:rPr>
          <w:rFonts w:eastAsia="Calibri"/>
          <w:color w:val="auto"/>
          <w:szCs w:val="24"/>
          <w:lang w:eastAsia="en-US"/>
        </w:rPr>
        <w:t>; ITV News</w:t>
      </w:r>
      <w:r w:rsidR="0082776F" w:rsidRPr="00705294">
        <w:rPr>
          <w:rFonts w:eastAsia="Calibri"/>
          <w:color w:val="auto"/>
          <w:szCs w:val="24"/>
          <w:lang w:eastAsia="en-US"/>
        </w:rPr>
        <w:t xml:space="preserve"> [</w:t>
      </w:r>
      <w:r w:rsidR="00C963B3">
        <w:rPr>
          <w:rFonts w:eastAsia="Calibri"/>
          <w:color w:val="auto"/>
          <w:szCs w:val="24"/>
          <w:lang w:eastAsia="en-US"/>
        </w:rPr>
        <w:t>19</w:t>
      </w:r>
      <w:r w:rsidR="0082776F" w:rsidRPr="00705294">
        <w:rPr>
          <w:rFonts w:eastAsia="Calibri"/>
          <w:color w:val="auto"/>
          <w:szCs w:val="24"/>
          <w:lang w:eastAsia="en-US"/>
        </w:rPr>
        <w:t>]</w:t>
      </w:r>
      <w:r w:rsidR="00334DD1" w:rsidRPr="00705294">
        <w:rPr>
          <w:rFonts w:eastAsia="Calibri"/>
          <w:color w:val="auto"/>
          <w:szCs w:val="24"/>
          <w:lang w:eastAsia="en-US"/>
        </w:rPr>
        <w:t>.</w:t>
      </w:r>
      <w:r w:rsidR="00231416" w:rsidRPr="00705294">
        <w:rPr>
          <w:rFonts w:eastAsia="Calibri"/>
          <w:color w:val="auto"/>
          <w:szCs w:val="24"/>
          <w:lang w:eastAsia="en-US"/>
        </w:rPr>
        <w:t xml:space="preserve"> </w:t>
      </w:r>
      <w:r w:rsidR="00223E27" w:rsidRPr="00705294">
        <w:rPr>
          <w:rFonts w:eastAsia="Calibri"/>
          <w:color w:val="auto"/>
          <w:szCs w:val="24"/>
          <w:lang w:eastAsia="en-US"/>
        </w:rPr>
        <w:t>All of these news reports focused upon how the current law criminalizes under age sexual activity, and not one focused upon the issue of under 16 year old girls becoming pregnant.</w:t>
      </w:r>
      <w:r w:rsidR="00231416" w:rsidRPr="00705294">
        <w:rPr>
          <w:rFonts w:eastAsia="Calibri"/>
          <w:color w:val="auto"/>
          <w:szCs w:val="24"/>
          <w:lang w:eastAsia="en-US"/>
        </w:rPr>
        <w:t xml:space="preserve"> </w:t>
      </w:r>
      <w:r w:rsidR="003D4347" w:rsidRPr="00705294">
        <w:rPr>
          <w:rFonts w:eastAsia="Calibri"/>
          <w:szCs w:val="24"/>
          <w:lang w:eastAsia="en-US"/>
        </w:rPr>
        <w:t>Although th</w:t>
      </w:r>
      <w:r w:rsidR="00155578" w:rsidRPr="00705294">
        <w:rPr>
          <w:rFonts w:eastAsia="Calibri"/>
          <w:szCs w:val="24"/>
          <w:lang w:eastAsia="en-US"/>
        </w:rPr>
        <w:t>e</w:t>
      </w:r>
      <w:r w:rsidR="003D4347" w:rsidRPr="00705294">
        <w:rPr>
          <w:rFonts w:eastAsia="Calibri"/>
          <w:szCs w:val="24"/>
          <w:lang w:eastAsia="en-US"/>
        </w:rPr>
        <w:t xml:space="preserve"> p</w:t>
      </w:r>
      <w:r w:rsidR="00AF7EC9" w:rsidRPr="00705294">
        <w:rPr>
          <w:rFonts w:eastAsia="Calibri"/>
          <w:szCs w:val="24"/>
          <w:lang w:eastAsia="en-US"/>
        </w:rPr>
        <w:t xml:space="preserve">roposal </w:t>
      </w:r>
      <w:r w:rsidR="003D4347" w:rsidRPr="00705294">
        <w:rPr>
          <w:rFonts w:eastAsia="Calibri"/>
          <w:szCs w:val="24"/>
          <w:lang w:eastAsia="en-US"/>
        </w:rPr>
        <w:t xml:space="preserve">was quickly rejected by the Prime Minister, David Cameron, several other prominent figures declared themselves to be in </w:t>
      </w:r>
      <w:r w:rsidR="00705294">
        <w:rPr>
          <w:rFonts w:eastAsia="Calibri"/>
          <w:szCs w:val="24"/>
          <w:lang w:eastAsia="en-US"/>
        </w:rPr>
        <w:t>favor</w:t>
      </w:r>
      <w:r w:rsidR="003D4347" w:rsidRPr="00705294">
        <w:rPr>
          <w:rFonts w:eastAsia="Calibri"/>
          <w:szCs w:val="24"/>
          <w:lang w:eastAsia="en-US"/>
        </w:rPr>
        <w:t xml:space="preserve"> of a lowering of the age of consent. </w:t>
      </w:r>
      <w:r w:rsidR="00BD3A7B" w:rsidRPr="00705294">
        <w:rPr>
          <w:rFonts w:eastAsia="Calibri"/>
          <w:szCs w:val="24"/>
          <w:lang w:eastAsia="en-US"/>
        </w:rPr>
        <w:t>Th</w:t>
      </w:r>
      <w:r w:rsidR="002552C1" w:rsidRPr="00705294">
        <w:rPr>
          <w:rFonts w:eastAsia="Calibri"/>
          <w:szCs w:val="24"/>
          <w:lang w:eastAsia="en-US"/>
        </w:rPr>
        <w:t xml:space="preserve">ese included </w:t>
      </w:r>
      <w:r w:rsidR="00BD3A7B" w:rsidRPr="00705294">
        <w:rPr>
          <w:rFonts w:eastAsia="Calibri"/>
          <w:szCs w:val="24"/>
          <w:lang w:eastAsia="en-US"/>
        </w:rPr>
        <w:t>Professor John Ashton, President of the Faculty of Public Health, who proposed</w:t>
      </w:r>
      <w:r w:rsidR="00745783" w:rsidRPr="00705294">
        <w:rPr>
          <w:szCs w:val="24"/>
        </w:rPr>
        <w:t xml:space="preserve"> </w:t>
      </w:r>
      <w:r w:rsidR="00745783" w:rsidRPr="00705294">
        <w:rPr>
          <w:rFonts w:eastAsia="Calibri"/>
          <w:szCs w:val="24"/>
          <w:lang w:eastAsia="en-US"/>
        </w:rPr>
        <w:t>a lowering to 15</w:t>
      </w:r>
      <w:r w:rsidR="002552C1" w:rsidRPr="00705294">
        <w:rPr>
          <w:rFonts w:eastAsia="Calibri"/>
          <w:szCs w:val="24"/>
          <w:lang w:eastAsia="en-US"/>
        </w:rPr>
        <w:t xml:space="preserve">, although </w:t>
      </w:r>
      <w:r w:rsidR="00AF7EC9" w:rsidRPr="00705294">
        <w:rPr>
          <w:rFonts w:eastAsia="Calibri"/>
          <w:szCs w:val="24"/>
          <w:lang w:eastAsia="en-US"/>
        </w:rPr>
        <w:t xml:space="preserve">he </w:t>
      </w:r>
      <w:r w:rsidR="002552C1" w:rsidRPr="00705294">
        <w:rPr>
          <w:rFonts w:eastAsia="Calibri"/>
          <w:szCs w:val="24"/>
          <w:lang w:eastAsia="en-US"/>
        </w:rPr>
        <w:t>rejected a lowering to the age of 14</w:t>
      </w:r>
      <w:r w:rsidR="006812A6" w:rsidRPr="00705294">
        <w:rPr>
          <w:rFonts w:eastAsia="Calibri"/>
          <w:szCs w:val="24"/>
          <w:lang w:eastAsia="en-US"/>
        </w:rPr>
        <w:t xml:space="preserve"> [</w:t>
      </w:r>
      <w:r w:rsidR="00F24333">
        <w:rPr>
          <w:rFonts w:eastAsia="Calibri"/>
          <w:color w:val="auto"/>
          <w:szCs w:val="24"/>
          <w:lang w:eastAsia="en-US"/>
        </w:rPr>
        <w:t>11</w:t>
      </w:r>
      <w:r w:rsidR="00BD3A7B" w:rsidRPr="00705294">
        <w:rPr>
          <w:rFonts w:eastAsia="Calibri"/>
          <w:szCs w:val="24"/>
          <w:lang w:eastAsia="en-US"/>
        </w:rPr>
        <w:t>]</w:t>
      </w:r>
      <w:r w:rsidR="002552C1" w:rsidRPr="00705294">
        <w:rPr>
          <w:rFonts w:eastAsia="Calibri"/>
          <w:szCs w:val="24"/>
          <w:lang w:eastAsia="en-US"/>
        </w:rPr>
        <w:t>.</w:t>
      </w:r>
      <w:r w:rsidR="00231416" w:rsidRPr="00705294">
        <w:rPr>
          <w:rFonts w:eastAsia="Calibri"/>
          <w:szCs w:val="24"/>
          <w:lang w:eastAsia="en-US"/>
        </w:rPr>
        <w:t xml:space="preserve"> </w:t>
      </w:r>
      <w:r w:rsidR="002552C1" w:rsidRPr="00705294">
        <w:rPr>
          <w:rFonts w:eastAsia="Calibri"/>
          <w:szCs w:val="24"/>
          <w:lang w:eastAsia="en-US"/>
        </w:rPr>
        <w:t>Ashton</w:t>
      </w:r>
      <w:r w:rsidR="00225684">
        <w:rPr>
          <w:rFonts w:eastAsia="Calibri"/>
          <w:szCs w:val="24"/>
          <w:lang w:eastAsia="en-US"/>
        </w:rPr>
        <w:t>’</w:t>
      </w:r>
      <w:r w:rsidR="002552C1" w:rsidRPr="00705294">
        <w:rPr>
          <w:rFonts w:eastAsia="Calibri"/>
          <w:szCs w:val="24"/>
          <w:lang w:eastAsia="en-US"/>
        </w:rPr>
        <w:t xml:space="preserve">s argument was based almost exclusively on </w:t>
      </w:r>
      <w:r w:rsidR="00B91CAB" w:rsidRPr="00705294">
        <w:rPr>
          <w:rFonts w:eastAsia="Calibri"/>
          <w:szCs w:val="24"/>
          <w:lang w:eastAsia="en-US"/>
        </w:rPr>
        <w:t xml:space="preserve">his </w:t>
      </w:r>
      <w:r w:rsidR="002552C1" w:rsidRPr="00705294">
        <w:rPr>
          <w:rFonts w:eastAsia="Calibri"/>
          <w:szCs w:val="24"/>
          <w:lang w:eastAsia="en-US"/>
        </w:rPr>
        <w:t xml:space="preserve">concern that young people </w:t>
      </w:r>
      <w:r w:rsidR="00B91CAB" w:rsidRPr="00705294">
        <w:rPr>
          <w:rFonts w:eastAsia="Calibri"/>
          <w:szCs w:val="24"/>
          <w:lang w:eastAsia="en-US"/>
        </w:rPr>
        <w:t xml:space="preserve">were </w:t>
      </w:r>
      <w:r w:rsidR="00871F6E" w:rsidRPr="00705294">
        <w:rPr>
          <w:rFonts w:eastAsia="Calibri"/>
          <w:szCs w:val="24"/>
          <w:lang w:eastAsia="en-US"/>
        </w:rPr>
        <w:t xml:space="preserve">being denied access to health care treatment and information, and that a change in the age of consent </w:t>
      </w:r>
      <w:r w:rsidR="00BD3A7B" w:rsidRPr="00705294">
        <w:rPr>
          <w:rFonts w:eastAsia="Calibri"/>
          <w:szCs w:val="24"/>
          <w:lang w:eastAsia="en-US"/>
        </w:rPr>
        <w:t xml:space="preserve">would make it easier for 15-year-olds to get sexual health advice from the NHS. </w:t>
      </w:r>
      <w:r w:rsidR="00871F6E" w:rsidRPr="00705294">
        <w:rPr>
          <w:rFonts w:eastAsia="Calibri"/>
          <w:szCs w:val="24"/>
          <w:lang w:eastAsia="en-US"/>
        </w:rPr>
        <w:t xml:space="preserve">However, health professionals are already permitted to provide confidential sexual health advice, information or treatment, largely as a result of </w:t>
      </w:r>
      <w:r w:rsidR="00871F6E" w:rsidRPr="00705294">
        <w:rPr>
          <w:rFonts w:eastAsia="Calibri"/>
          <w:i/>
          <w:szCs w:val="24"/>
          <w:lang w:eastAsia="en-US"/>
        </w:rPr>
        <w:t xml:space="preserve">Gillick (A.P.) </w:t>
      </w:r>
      <w:r w:rsidR="00871F6E" w:rsidRPr="00705294">
        <w:rPr>
          <w:rFonts w:eastAsia="Calibri"/>
          <w:szCs w:val="24"/>
          <w:lang w:eastAsia="en-US"/>
        </w:rPr>
        <w:t xml:space="preserve">v </w:t>
      </w:r>
      <w:r w:rsidR="00871F6E" w:rsidRPr="00705294">
        <w:rPr>
          <w:rFonts w:eastAsia="Calibri"/>
          <w:i/>
          <w:szCs w:val="24"/>
          <w:lang w:eastAsia="en-US"/>
        </w:rPr>
        <w:t>West Norfolk and Wisbech Area Health Authority and the Department of Health and Social Security</w:t>
      </w:r>
      <w:r w:rsidR="00871F6E" w:rsidRPr="00705294">
        <w:rPr>
          <w:rFonts w:eastAsia="Calibri"/>
          <w:szCs w:val="24"/>
          <w:lang w:eastAsia="en-US"/>
        </w:rPr>
        <w:t xml:space="preserve">) [1986] AC 11. The </w:t>
      </w:r>
      <w:r w:rsidR="009A73D6">
        <w:rPr>
          <w:rFonts w:eastAsia="Calibri"/>
          <w:szCs w:val="24"/>
          <w:lang w:eastAsia="en-US"/>
        </w:rPr>
        <w:t>“</w:t>
      </w:r>
      <w:r w:rsidR="00871F6E" w:rsidRPr="00705294">
        <w:rPr>
          <w:rFonts w:eastAsia="Calibri"/>
          <w:szCs w:val="24"/>
          <w:lang w:eastAsia="en-US"/>
        </w:rPr>
        <w:t>Gillick Competence</w:t>
      </w:r>
      <w:r w:rsidR="009A73D6">
        <w:rPr>
          <w:rFonts w:eastAsia="Calibri"/>
          <w:szCs w:val="24"/>
          <w:lang w:eastAsia="en-US"/>
        </w:rPr>
        <w:t>”</w:t>
      </w:r>
      <w:r w:rsidR="00871F6E" w:rsidRPr="00705294">
        <w:rPr>
          <w:rFonts w:eastAsia="Calibri"/>
          <w:szCs w:val="24"/>
          <w:lang w:eastAsia="en-US"/>
        </w:rPr>
        <w:t xml:space="preserve"> test now forms the basis for deciding whether a child is capable of consenting to medical treatment. The case does not speak to the point of refusing medical treatment. </w:t>
      </w:r>
      <w:r w:rsidR="0019163C" w:rsidRPr="00705294">
        <w:rPr>
          <w:rFonts w:eastAsia="Calibri"/>
          <w:szCs w:val="24"/>
          <w:lang w:eastAsia="en-US"/>
        </w:rPr>
        <w:t xml:space="preserve">Although the Sexual Offences Act 20013 makes it an offence to aid, abet, counsel or otherwise facilitate sexual offences in children under the age of 16, it will not be a </w:t>
      </w:r>
      <w:r w:rsidR="0019163C" w:rsidRPr="00705294">
        <w:rPr>
          <w:rFonts w:eastAsia="Calibri"/>
          <w:szCs w:val="24"/>
          <w:lang w:eastAsia="en-US"/>
        </w:rPr>
        <w:lastRenderedPageBreak/>
        <w:t xml:space="preserve">criminal offence if health professionals give treatment in order </w:t>
      </w:r>
      <w:r w:rsidR="00871F6E" w:rsidRPr="00705294">
        <w:rPr>
          <w:rFonts w:eastAsia="Calibri"/>
          <w:szCs w:val="24"/>
          <w:lang w:eastAsia="en-US"/>
        </w:rPr>
        <w:t>to protect the young person</w:t>
      </w:r>
      <w:r w:rsidR="00225684">
        <w:rPr>
          <w:rFonts w:eastAsia="Calibri"/>
          <w:szCs w:val="24"/>
          <w:lang w:eastAsia="en-US"/>
        </w:rPr>
        <w:t>’</w:t>
      </w:r>
      <w:r w:rsidR="00871F6E" w:rsidRPr="00705294">
        <w:rPr>
          <w:rFonts w:eastAsia="Calibri"/>
          <w:szCs w:val="24"/>
          <w:lang w:eastAsia="en-US"/>
        </w:rPr>
        <w:t>s sexual health, physical safety or emotional wellbe</w:t>
      </w:r>
      <w:r w:rsidR="0019163C" w:rsidRPr="00705294">
        <w:rPr>
          <w:rFonts w:eastAsia="Calibri"/>
          <w:szCs w:val="24"/>
          <w:lang w:eastAsia="en-US"/>
        </w:rPr>
        <w:t>ing</w:t>
      </w:r>
      <w:r w:rsidR="002321D0" w:rsidRPr="00705294">
        <w:rPr>
          <w:rFonts w:eastAsia="Calibri"/>
          <w:szCs w:val="24"/>
          <w:lang w:eastAsia="en-US"/>
        </w:rPr>
        <w:t>.</w:t>
      </w:r>
      <w:r w:rsidR="00231416" w:rsidRPr="00705294">
        <w:rPr>
          <w:rFonts w:eastAsia="Calibri"/>
          <w:szCs w:val="24"/>
          <w:lang w:eastAsia="en-US"/>
        </w:rPr>
        <w:t xml:space="preserve"> </w:t>
      </w:r>
      <w:r w:rsidR="00B93CE3" w:rsidRPr="00705294">
        <w:rPr>
          <w:rFonts w:eastAsia="Calibri"/>
          <w:szCs w:val="24"/>
          <w:lang w:eastAsia="en-US"/>
        </w:rPr>
        <w:t>Of particular interest was the omission in Ashton</w:t>
      </w:r>
      <w:r w:rsidR="00225684">
        <w:rPr>
          <w:rFonts w:eastAsia="Calibri"/>
          <w:szCs w:val="24"/>
          <w:lang w:eastAsia="en-US"/>
        </w:rPr>
        <w:t>’</w:t>
      </w:r>
      <w:r w:rsidR="00B93CE3" w:rsidRPr="00705294">
        <w:rPr>
          <w:rFonts w:eastAsia="Calibri"/>
          <w:szCs w:val="24"/>
          <w:lang w:eastAsia="en-US"/>
        </w:rPr>
        <w:t xml:space="preserve">s arguments to any reference to the issue of legitimating the acceptability of </w:t>
      </w:r>
      <w:r w:rsidR="00A079C9" w:rsidRPr="00705294">
        <w:rPr>
          <w:rFonts w:eastAsia="Calibri"/>
          <w:szCs w:val="24"/>
          <w:lang w:eastAsia="en-US"/>
        </w:rPr>
        <w:t xml:space="preserve">under 16 </w:t>
      </w:r>
      <w:r w:rsidR="00B93CE3" w:rsidRPr="00705294">
        <w:rPr>
          <w:rFonts w:eastAsia="Calibri"/>
          <w:szCs w:val="24"/>
          <w:lang w:eastAsia="en-US"/>
        </w:rPr>
        <w:t xml:space="preserve">year old girls getting pregnant. </w:t>
      </w:r>
      <w:r w:rsidR="002552C1" w:rsidRPr="00705294">
        <w:rPr>
          <w:rFonts w:eastAsia="Calibri"/>
          <w:szCs w:val="24"/>
          <w:lang w:eastAsia="en-US"/>
        </w:rPr>
        <w:t xml:space="preserve">Similarly, </w:t>
      </w:r>
      <w:r w:rsidR="00BD3A7B" w:rsidRPr="00705294">
        <w:rPr>
          <w:rFonts w:eastAsia="Calibri"/>
          <w:szCs w:val="24"/>
          <w:lang w:eastAsia="en-US"/>
        </w:rPr>
        <w:t xml:space="preserve">Peter Tatchell, a political activist and campaigner well known in the </w:t>
      </w:r>
      <w:r w:rsidR="00745783" w:rsidRPr="00705294">
        <w:rPr>
          <w:rFonts w:eastAsia="Calibri"/>
          <w:szCs w:val="24"/>
          <w:lang w:eastAsia="en-US"/>
        </w:rPr>
        <w:t>UK</w:t>
      </w:r>
      <w:r w:rsidR="00BD3A7B" w:rsidRPr="00705294">
        <w:rPr>
          <w:rFonts w:eastAsia="Calibri"/>
          <w:szCs w:val="24"/>
          <w:lang w:eastAsia="en-US"/>
        </w:rPr>
        <w:t xml:space="preserve"> for his wo</w:t>
      </w:r>
      <w:r w:rsidR="006812A6" w:rsidRPr="00705294">
        <w:rPr>
          <w:rFonts w:eastAsia="Calibri"/>
          <w:szCs w:val="24"/>
          <w:lang w:eastAsia="en-US"/>
        </w:rPr>
        <w:t>rk in promoting</w:t>
      </w:r>
      <w:r w:rsidR="00231416" w:rsidRPr="00705294">
        <w:rPr>
          <w:rFonts w:eastAsia="Calibri"/>
          <w:szCs w:val="24"/>
          <w:lang w:eastAsia="en-US"/>
        </w:rPr>
        <w:t xml:space="preserve"> </w:t>
      </w:r>
      <w:r w:rsidR="00C963B3">
        <w:rPr>
          <w:rFonts w:eastAsia="Calibri"/>
          <w:szCs w:val="24"/>
          <w:lang w:eastAsia="en-US"/>
        </w:rPr>
        <w:t>LGBT issues</w:t>
      </w:r>
      <w:r w:rsidR="006812A6" w:rsidRPr="00705294">
        <w:rPr>
          <w:rFonts w:eastAsia="Calibri"/>
          <w:szCs w:val="24"/>
          <w:lang w:eastAsia="en-US"/>
        </w:rPr>
        <w:t xml:space="preserve"> </w:t>
      </w:r>
      <w:r w:rsidR="006812A6" w:rsidRPr="00C963B3">
        <w:rPr>
          <w:rFonts w:eastAsia="Calibri"/>
          <w:szCs w:val="24"/>
          <w:lang w:eastAsia="en-US"/>
        </w:rPr>
        <w:t>[</w:t>
      </w:r>
      <w:r w:rsidR="005D62AC">
        <w:rPr>
          <w:rFonts w:eastAsia="Calibri"/>
          <w:color w:val="auto"/>
          <w:szCs w:val="24"/>
          <w:lang w:eastAsia="en-US"/>
        </w:rPr>
        <w:t>2</w:t>
      </w:r>
      <w:r w:rsidR="00F24333">
        <w:rPr>
          <w:rFonts w:eastAsia="Calibri"/>
          <w:color w:val="auto"/>
          <w:szCs w:val="24"/>
          <w:lang w:eastAsia="en-US"/>
        </w:rPr>
        <w:t>0</w:t>
      </w:r>
      <w:r w:rsidR="00BD3A7B" w:rsidRPr="00C963B3">
        <w:rPr>
          <w:rFonts w:eastAsia="Calibri"/>
          <w:szCs w:val="24"/>
          <w:lang w:eastAsia="en-US"/>
        </w:rPr>
        <w:t>]</w:t>
      </w:r>
      <w:r w:rsidR="00C963B3">
        <w:rPr>
          <w:rFonts w:eastAsia="Calibri"/>
          <w:szCs w:val="24"/>
          <w:lang w:eastAsia="en-US"/>
        </w:rPr>
        <w:t>,</w:t>
      </w:r>
      <w:r w:rsidR="00BD3A7B" w:rsidRPr="00705294">
        <w:rPr>
          <w:rFonts w:eastAsia="Calibri"/>
          <w:szCs w:val="24"/>
          <w:lang w:eastAsia="en-US"/>
        </w:rPr>
        <w:t xml:space="preserve"> </w:t>
      </w:r>
      <w:r w:rsidR="00BD3A7B" w:rsidRPr="00FC5CE1">
        <w:rPr>
          <w:rFonts w:eastAsia="Calibri"/>
          <w:spacing w:val="-2"/>
          <w:szCs w:val="24"/>
          <w:lang w:eastAsia="en-US"/>
        </w:rPr>
        <w:t>suggest</w:t>
      </w:r>
      <w:r w:rsidR="004D29A7" w:rsidRPr="00FC5CE1">
        <w:rPr>
          <w:rFonts w:eastAsia="Calibri"/>
          <w:spacing w:val="-2"/>
          <w:szCs w:val="24"/>
          <w:lang w:eastAsia="en-US"/>
        </w:rPr>
        <w:t>ed</w:t>
      </w:r>
      <w:r w:rsidR="00BD3A7B" w:rsidRPr="00FC5CE1">
        <w:rPr>
          <w:rFonts w:eastAsia="Calibri"/>
          <w:spacing w:val="-2"/>
          <w:szCs w:val="24"/>
          <w:lang w:eastAsia="en-US"/>
        </w:rPr>
        <w:t xml:space="preserve"> lowering the age of consent to 14, based on a </w:t>
      </w:r>
      <w:r w:rsidR="009A73D6">
        <w:rPr>
          <w:rFonts w:eastAsia="Calibri"/>
          <w:spacing w:val="-2"/>
          <w:szCs w:val="24"/>
          <w:lang w:eastAsia="en-US"/>
        </w:rPr>
        <w:t>“</w:t>
      </w:r>
      <w:r w:rsidR="00BD3A7B" w:rsidRPr="00FC5CE1">
        <w:rPr>
          <w:rFonts w:eastAsia="Calibri"/>
          <w:spacing w:val="-2"/>
          <w:szCs w:val="24"/>
          <w:lang w:eastAsia="en-US"/>
        </w:rPr>
        <w:t>desire to reduce the criminali</w:t>
      </w:r>
      <w:r w:rsidR="00705294" w:rsidRPr="00FC5CE1">
        <w:rPr>
          <w:rFonts w:eastAsia="Calibri"/>
          <w:spacing w:val="-2"/>
          <w:szCs w:val="24"/>
          <w:lang w:eastAsia="en-US"/>
        </w:rPr>
        <w:t>z</w:t>
      </w:r>
      <w:r w:rsidR="00BD3A7B" w:rsidRPr="00FC5CE1">
        <w:rPr>
          <w:rFonts w:eastAsia="Calibri"/>
          <w:spacing w:val="-2"/>
          <w:szCs w:val="24"/>
          <w:lang w:eastAsia="en-US"/>
        </w:rPr>
        <w:t>ation of under-16s</w:t>
      </w:r>
      <w:r w:rsidR="00BD3A7B" w:rsidRPr="00705294">
        <w:rPr>
          <w:rFonts w:eastAsia="Calibri"/>
          <w:szCs w:val="24"/>
          <w:lang w:eastAsia="en-US"/>
        </w:rPr>
        <w:t xml:space="preserve"> who have consenting relationships with other </w:t>
      </w:r>
      <w:r w:rsidR="006812A6" w:rsidRPr="00705294">
        <w:rPr>
          <w:rFonts w:eastAsia="Calibri"/>
          <w:szCs w:val="24"/>
          <w:lang w:eastAsia="en-US"/>
        </w:rPr>
        <w:t>young people of similar ages [</w:t>
      </w:r>
      <w:r w:rsidR="005D62AC">
        <w:rPr>
          <w:rFonts w:eastAsia="Calibri"/>
          <w:color w:val="auto"/>
          <w:szCs w:val="24"/>
          <w:lang w:eastAsia="en-US"/>
        </w:rPr>
        <w:t>2</w:t>
      </w:r>
      <w:r w:rsidR="00F24333">
        <w:rPr>
          <w:rFonts w:eastAsia="Calibri"/>
          <w:color w:val="auto"/>
          <w:szCs w:val="24"/>
          <w:lang w:eastAsia="en-US"/>
        </w:rPr>
        <w:t>1</w:t>
      </w:r>
      <w:r w:rsidR="00BD3A7B" w:rsidRPr="00705294">
        <w:rPr>
          <w:rFonts w:eastAsia="Calibri"/>
          <w:szCs w:val="24"/>
          <w:lang w:eastAsia="en-US"/>
        </w:rPr>
        <w:t>]</w:t>
      </w:r>
      <w:r w:rsidR="009A73D6">
        <w:rPr>
          <w:rFonts w:eastAsia="Calibri"/>
          <w:szCs w:val="24"/>
          <w:lang w:eastAsia="en-US"/>
        </w:rPr>
        <w:t>”</w:t>
      </w:r>
      <w:r w:rsidR="00676405">
        <w:rPr>
          <w:rFonts w:eastAsia="Calibri"/>
          <w:szCs w:val="24"/>
          <w:lang w:eastAsia="en-US"/>
        </w:rPr>
        <w:t>.</w:t>
      </w:r>
      <w:r w:rsidR="00BD3A7B" w:rsidRPr="00705294">
        <w:rPr>
          <w:rFonts w:eastAsia="Calibri"/>
          <w:szCs w:val="24"/>
          <w:lang w:eastAsia="en-US"/>
        </w:rPr>
        <w:t xml:space="preserve"> Tatchell </w:t>
      </w:r>
      <w:r w:rsidR="00B45974" w:rsidRPr="00705294">
        <w:rPr>
          <w:rFonts w:eastAsia="Calibri"/>
          <w:szCs w:val="24"/>
          <w:lang w:eastAsia="en-US"/>
        </w:rPr>
        <w:t>was</w:t>
      </w:r>
      <w:r w:rsidR="00BD3A7B" w:rsidRPr="00705294">
        <w:rPr>
          <w:rFonts w:eastAsia="Calibri"/>
          <w:szCs w:val="24"/>
          <w:lang w:eastAsia="en-US"/>
        </w:rPr>
        <w:t xml:space="preserve"> clear that he is not advocating teenagers </w:t>
      </w:r>
      <w:r w:rsidR="009A73D6">
        <w:rPr>
          <w:rFonts w:eastAsia="Calibri"/>
          <w:szCs w:val="24"/>
          <w:lang w:eastAsia="en-US"/>
        </w:rPr>
        <w:t>“</w:t>
      </w:r>
      <w:r w:rsidR="00BD3A7B" w:rsidRPr="00705294">
        <w:rPr>
          <w:rFonts w:eastAsia="Calibri"/>
          <w:szCs w:val="24"/>
          <w:lang w:eastAsia="en-US"/>
        </w:rPr>
        <w:t>having sex</w:t>
      </w:r>
      <w:r w:rsidR="009A73D6">
        <w:rPr>
          <w:rFonts w:eastAsia="Calibri"/>
          <w:szCs w:val="24"/>
          <w:lang w:eastAsia="en-US"/>
        </w:rPr>
        <w:t>”</w:t>
      </w:r>
      <w:r w:rsidR="00BD3A7B" w:rsidRPr="00705294">
        <w:rPr>
          <w:rFonts w:eastAsia="Calibri"/>
          <w:szCs w:val="24"/>
          <w:lang w:eastAsia="en-US"/>
        </w:rPr>
        <w:t xml:space="preserve"> before the age of 16</w:t>
      </w:r>
      <w:r w:rsidR="00155E63" w:rsidRPr="00705294">
        <w:rPr>
          <w:rFonts w:eastAsia="Calibri"/>
          <w:szCs w:val="24"/>
          <w:lang w:eastAsia="en-US"/>
        </w:rPr>
        <w:t xml:space="preserve"> </w:t>
      </w:r>
      <w:r w:rsidR="00B93CE3" w:rsidRPr="00705294">
        <w:rPr>
          <w:rFonts w:eastAsia="Calibri"/>
          <w:szCs w:val="24"/>
          <w:lang w:eastAsia="en-US"/>
        </w:rPr>
        <w:t>[</w:t>
      </w:r>
      <w:r w:rsidR="005D62AC">
        <w:rPr>
          <w:rFonts w:eastAsia="Calibri"/>
          <w:szCs w:val="24"/>
          <w:lang w:eastAsia="en-US"/>
        </w:rPr>
        <w:t>2</w:t>
      </w:r>
      <w:r w:rsidR="00F24333">
        <w:rPr>
          <w:rFonts w:eastAsia="Calibri"/>
          <w:szCs w:val="24"/>
          <w:lang w:eastAsia="en-US"/>
        </w:rPr>
        <w:t>2</w:t>
      </w:r>
      <w:r w:rsidR="00B93CE3" w:rsidRPr="00705294">
        <w:rPr>
          <w:rFonts w:eastAsia="Calibri"/>
          <w:szCs w:val="24"/>
          <w:lang w:eastAsia="en-US"/>
        </w:rPr>
        <w:t>]</w:t>
      </w:r>
      <w:r w:rsidR="00155E63" w:rsidRPr="00705294">
        <w:rPr>
          <w:rFonts w:eastAsia="Calibri"/>
          <w:szCs w:val="24"/>
          <w:lang w:eastAsia="en-US"/>
        </w:rPr>
        <w:t>.</w:t>
      </w:r>
      <w:r w:rsidR="00BD3A7B" w:rsidRPr="00705294">
        <w:rPr>
          <w:rFonts w:eastAsia="Calibri"/>
          <w:szCs w:val="24"/>
          <w:lang w:eastAsia="en-US"/>
        </w:rPr>
        <w:t xml:space="preserve"> His emphasis </w:t>
      </w:r>
      <w:r w:rsidR="00B45974" w:rsidRPr="00705294">
        <w:rPr>
          <w:rFonts w:eastAsia="Calibri"/>
          <w:szCs w:val="24"/>
          <w:lang w:eastAsia="en-US"/>
        </w:rPr>
        <w:t xml:space="preserve">was </w:t>
      </w:r>
      <w:r w:rsidR="00BD3A7B" w:rsidRPr="00705294">
        <w:rPr>
          <w:rFonts w:eastAsia="Calibri"/>
          <w:szCs w:val="24"/>
          <w:lang w:eastAsia="en-US"/>
        </w:rPr>
        <w:t xml:space="preserve">that if teenagers do have sexual intercourse before the age of 16, they should not be arrested, given a criminal record and put on the sex offenders register. </w:t>
      </w:r>
      <w:r w:rsidR="00D20E13" w:rsidRPr="00705294">
        <w:rPr>
          <w:rFonts w:eastAsia="Calibri"/>
          <w:szCs w:val="24"/>
          <w:lang w:eastAsia="en-US"/>
        </w:rPr>
        <w:t>Tatchell ma</w:t>
      </w:r>
      <w:r w:rsidR="00B45974" w:rsidRPr="00705294">
        <w:rPr>
          <w:rFonts w:eastAsia="Calibri"/>
          <w:szCs w:val="24"/>
          <w:lang w:eastAsia="en-US"/>
        </w:rPr>
        <w:t xml:space="preserve">de </w:t>
      </w:r>
      <w:r w:rsidR="00D20E13" w:rsidRPr="00705294">
        <w:rPr>
          <w:rFonts w:eastAsia="Calibri"/>
          <w:szCs w:val="24"/>
          <w:lang w:eastAsia="en-US"/>
        </w:rPr>
        <w:t xml:space="preserve">a distinction between what he terms </w:t>
      </w:r>
      <w:r w:rsidR="009A73D6">
        <w:rPr>
          <w:rFonts w:eastAsia="Calibri"/>
          <w:szCs w:val="24"/>
          <w:lang w:eastAsia="en-US"/>
        </w:rPr>
        <w:t>“</w:t>
      </w:r>
      <w:r w:rsidR="00D20E13" w:rsidRPr="00705294">
        <w:rPr>
          <w:rFonts w:eastAsia="Calibri"/>
          <w:szCs w:val="24"/>
          <w:lang w:eastAsia="en-US"/>
        </w:rPr>
        <w:t>having sex</w:t>
      </w:r>
      <w:r w:rsidR="009A73D6">
        <w:rPr>
          <w:rFonts w:eastAsia="Calibri"/>
          <w:szCs w:val="24"/>
          <w:lang w:eastAsia="en-US"/>
        </w:rPr>
        <w:t>”</w:t>
      </w:r>
      <w:r w:rsidR="00D20E13" w:rsidRPr="00705294">
        <w:rPr>
          <w:rFonts w:eastAsia="Calibri"/>
          <w:szCs w:val="24"/>
          <w:lang w:eastAsia="en-US"/>
        </w:rPr>
        <w:t xml:space="preserve"> and </w:t>
      </w:r>
      <w:r w:rsidR="009A73D6">
        <w:rPr>
          <w:rFonts w:eastAsia="Calibri"/>
          <w:szCs w:val="24"/>
          <w:lang w:eastAsia="en-US"/>
        </w:rPr>
        <w:t>“</w:t>
      </w:r>
      <w:r w:rsidR="00D20E13" w:rsidRPr="00705294">
        <w:rPr>
          <w:rFonts w:eastAsia="Calibri"/>
          <w:szCs w:val="24"/>
          <w:lang w:eastAsia="en-US"/>
        </w:rPr>
        <w:t xml:space="preserve">sexual </w:t>
      </w:r>
      <w:r w:rsidR="00705294">
        <w:rPr>
          <w:rFonts w:eastAsia="Calibri"/>
          <w:szCs w:val="24"/>
          <w:lang w:eastAsia="en-US"/>
        </w:rPr>
        <w:t>behavior</w:t>
      </w:r>
      <w:r w:rsidR="009A73D6">
        <w:rPr>
          <w:rFonts w:eastAsia="Calibri"/>
          <w:szCs w:val="24"/>
          <w:lang w:eastAsia="en-US"/>
        </w:rPr>
        <w:t>”</w:t>
      </w:r>
      <w:r w:rsidR="00316D1D" w:rsidRPr="00705294">
        <w:rPr>
          <w:rFonts w:eastAsia="Calibri"/>
          <w:szCs w:val="24"/>
          <w:lang w:eastAsia="en-US"/>
        </w:rPr>
        <w:t>, although n</w:t>
      </w:r>
      <w:r w:rsidR="00D20E13" w:rsidRPr="00705294">
        <w:rPr>
          <w:rFonts w:eastAsia="Calibri"/>
          <w:szCs w:val="24"/>
          <w:lang w:eastAsia="en-US"/>
        </w:rPr>
        <w:t xml:space="preserve">either of these terms or phrases </w:t>
      </w:r>
      <w:r w:rsidR="00B45974" w:rsidRPr="00705294">
        <w:rPr>
          <w:rFonts w:eastAsia="Calibri"/>
          <w:szCs w:val="24"/>
          <w:lang w:eastAsia="en-US"/>
        </w:rPr>
        <w:t>w</w:t>
      </w:r>
      <w:r w:rsidR="00316D1D" w:rsidRPr="00705294">
        <w:rPr>
          <w:rFonts w:eastAsia="Calibri"/>
          <w:szCs w:val="24"/>
          <w:lang w:eastAsia="en-US"/>
        </w:rPr>
        <w:t xml:space="preserve">ere </w:t>
      </w:r>
      <w:r w:rsidR="00D20E13" w:rsidRPr="00705294">
        <w:rPr>
          <w:rFonts w:eastAsia="Calibri"/>
          <w:szCs w:val="24"/>
          <w:lang w:eastAsia="en-US"/>
        </w:rPr>
        <w:t>clarified</w:t>
      </w:r>
      <w:r w:rsidR="00316D1D" w:rsidRPr="00705294">
        <w:rPr>
          <w:rFonts w:eastAsia="Calibri"/>
          <w:szCs w:val="24"/>
          <w:lang w:eastAsia="en-US"/>
        </w:rPr>
        <w:t>. Perhaps more</w:t>
      </w:r>
      <w:r w:rsidR="00D20E13" w:rsidRPr="00705294">
        <w:rPr>
          <w:rFonts w:eastAsia="Calibri"/>
          <w:szCs w:val="24"/>
          <w:lang w:eastAsia="en-US"/>
        </w:rPr>
        <w:t xml:space="preserve"> pertinently for the purposes of this article, the issue of 14 and 15 year old girls getting pregnant </w:t>
      </w:r>
      <w:r w:rsidR="00B45974" w:rsidRPr="00705294">
        <w:rPr>
          <w:rFonts w:eastAsia="Calibri"/>
          <w:szCs w:val="24"/>
          <w:lang w:eastAsia="en-US"/>
        </w:rPr>
        <w:t xml:space="preserve">was </w:t>
      </w:r>
      <w:r w:rsidR="00D20E13" w:rsidRPr="00705294">
        <w:rPr>
          <w:rFonts w:eastAsia="Calibri"/>
          <w:szCs w:val="24"/>
          <w:lang w:eastAsia="en-US"/>
        </w:rPr>
        <w:t>not mentioned or addressed</w:t>
      </w:r>
      <w:r w:rsidR="00316D1D" w:rsidRPr="00705294">
        <w:rPr>
          <w:rFonts w:eastAsia="Calibri"/>
          <w:szCs w:val="24"/>
          <w:lang w:eastAsia="en-US"/>
        </w:rPr>
        <w:t>, the entire emphasis was on the undesirability of criminali</w:t>
      </w:r>
      <w:r w:rsidR="00705294">
        <w:rPr>
          <w:rFonts w:eastAsia="Calibri"/>
          <w:szCs w:val="24"/>
          <w:lang w:eastAsia="en-US"/>
        </w:rPr>
        <w:t>z</w:t>
      </w:r>
      <w:r w:rsidR="00316D1D" w:rsidRPr="00705294">
        <w:rPr>
          <w:rFonts w:eastAsia="Calibri"/>
          <w:szCs w:val="24"/>
          <w:lang w:eastAsia="en-US"/>
        </w:rPr>
        <w:t xml:space="preserve">ing under 16 sexual </w:t>
      </w:r>
      <w:r w:rsidR="000C214A" w:rsidRPr="00705294">
        <w:rPr>
          <w:rFonts w:eastAsia="Calibri"/>
          <w:szCs w:val="24"/>
          <w:lang w:eastAsia="en-US"/>
        </w:rPr>
        <w:t>activities</w:t>
      </w:r>
      <w:r w:rsidR="00D20E13" w:rsidRPr="00705294">
        <w:rPr>
          <w:rFonts w:eastAsia="Calibri"/>
          <w:szCs w:val="24"/>
          <w:lang w:eastAsia="en-US"/>
        </w:rPr>
        <w:t>.</w:t>
      </w:r>
      <w:r w:rsidR="00231416" w:rsidRPr="00705294">
        <w:rPr>
          <w:rFonts w:eastAsia="Calibri"/>
          <w:szCs w:val="24"/>
          <w:lang w:eastAsia="en-US"/>
        </w:rPr>
        <w:t xml:space="preserve"> </w:t>
      </w:r>
      <w:r w:rsidR="004D29A7" w:rsidRPr="00705294">
        <w:rPr>
          <w:rFonts w:eastAsia="Calibri"/>
          <w:color w:val="auto"/>
          <w:szCs w:val="24"/>
          <w:lang w:eastAsia="en-US"/>
        </w:rPr>
        <w:t xml:space="preserve">Part of </w:t>
      </w:r>
      <w:r w:rsidR="00BD3A7B" w:rsidRPr="00705294">
        <w:rPr>
          <w:rFonts w:eastAsia="Calibri"/>
          <w:color w:val="auto"/>
          <w:szCs w:val="24"/>
          <w:lang w:eastAsia="en-US"/>
        </w:rPr>
        <w:t>Tatchell</w:t>
      </w:r>
      <w:r w:rsidR="00194CB7">
        <w:rPr>
          <w:rFonts w:eastAsia="Calibri"/>
          <w:color w:val="auto"/>
          <w:szCs w:val="24"/>
          <w:lang w:eastAsia="en-US"/>
        </w:rPr>
        <w:t>’</w:t>
      </w:r>
      <w:r w:rsidR="00BD3A7B" w:rsidRPr="00705294">
        <w:rPr>
          <w:rFonts w:eastAsia="Calibri"/>
          <w:color w:val="auto"/>
          <w:szCs w:val="24"/>
          <w:lang w:eastAsia="en-US"/>
        </w:rPr>
        <w:t xml:space="preserve">s justification </w:t>
      </w:r>
      <w:r w:rsidR="00334DD1" w:rsidRPr="00705294">
        <w:rPr>
          <w:rFonts w:eastAsia="Calibri"/>
          <w:color w:val="auto"/>
          <w:szCs w:val="24"/>
          <w:lang w:eastAsia="en-US"/>
        </w:rPr>
        <w:t>was</w:t>
      </w:r>
      <w:r w:rsidR="00BD3A7B" w:rsidRPr="00705294">
        <w:rPr>
          <w:rFonts w:eastAsia="Calibri"/>
          <w:color w:val="auto"/>
          <w:szCs w:val="24"/>
          <w:lang w:eastAsia="en-US"/>
        </w:rPr>
        <w:t xml:space="preserve"> based on his assertion that the average age for first sexual experience is 14 (citing the National Survey of Sex</w:t>
      </w:r>
      <w:r w:rsidR="006812A6" w:rsidRPr="00705294">
        <w:rPr>
          <w:rFonts w:eastAsia="Calibri"/>
          <w:color w:val="auto"/>
          <w:szCs w:val="24"/>
          <w:lang w:eastAsia="en-US"/>
        </w:rPr>
        <w:t>ual Attitudes and Lifestyles [</w:t>
      </w:r>
      <w:r w:rsidR="005D62AC">
        <w:rPr>
          <w:rFonts w:eastAsia="Calibri"/>
          <w:color w:val="auto"/>
          <w:szCs w:val="24"/>
          <w:lang w:eastAsia="en-US"/>
        </w:rPr>
        <w:t>2</w:t>
      </w:r>
      <w:r w:rsidR="004162BE">
        <w:rPr>
          <w:rFonts w:eastAsia="Calibri"/>
          <w:color w:val="auto"/>
          <w:szCs w:val="24"/>
          <w:lang w:eastAsia="en-US"/>
        </w:rPr>
        <w:t>3</w:t>
      </w:r>
      <w:r w:rsidR="00BD3A7B" w:rsidRPr="00705294">
        <w:rPr>
          <w:rFonts w:eastAsia="Calibri"/>
          <w:color w:val="auto"/>
          <w:szCs w:val="24"/>
          <w:lang w:eastAsia="en-US"/>
        </w:rPr>
        <w:t>]). It is noteworthy that the Sexual Attitudes survey, relied upon by Tatchell, include</w:t>
      </w:r>
      <w:r w:rsidR="00B45974" w:rsidRPr="00705294">
        <w:rPr>
          <w:rFonts w:eastAsia="Calibri"/>
          <w:color w:val="auto"/>
          <w:szCs w:val="24"/>
          <w:lang w:eastAsia="en-US"/>
        </w:rPr>
        <w:t>d</w:t>
      </w:r>
      <w:r w:rsidR="00BD3A7B" w:rsidRPr="00705294">
        <w:rPr>
          <w:rFonts w:eastAsia="Calibri"/>
          <w:color w:val="auto"/>
          <w:szCs w:val="24"/>
          <w:lang w:eastAsia="en-US"/>
        </w:rPr>
        <w:t xml:space="preserve"> all first sexual experiences, not just first age of sexual intercourse. The suggestions put forward by Ashton and Tatchell were quickly rejected by all three of the m</w:t>
      </w:r>
      <w:r w:rsidR="006812A6" w:rsidRPr="00705294">
        <w:rPr>
          <w:rFonts w:eastAsia="Calibri"/>
          <w:color w:val="auto"/>
          <w:szCs w:val="24"/>
          <w:lang w:eastAsia="en-US"/>
        </w:rPr>
        <w:t>ajor political parties [</w:t>
      </w:r>
      <w:r w:rsidR="005D62AC">
        <w:rPr>
          <w:rFonts w:eastAsia="Calibri"/>
          <w:color w:val="auto"/>
          <w:szCs w:val="24"/>
          <w:lang w:eastAsia="en-US"/>
        </w:rPr>
        <w:t>2</w:t>
      </w:r>
      <w:r w:rsidR="004162BE">
        <w:rPr>
          <w:rFonts w:eastAsia="Calibri"/>
          <w:color w:val="auto"/>
          <w:szCs w:val="24"/>
          <w:lang w:eastAsia="en-US"/>
        </w:rPr>
        <w:t>4</w:t>
      </w:r>
      <w:r w:rsidR="004870A4" w:rsidRPr="00705294">
        <w:rPr>
          <w:rFonts w:eastAsia="Calibri"/>
          <w:color w:val="auto"/>
          <w:szCs w:val="24"/>
          <w:lang w:eastAsia="en-US"/>
        </w:rPr>
        <w:t>].</w:t>
      </w:r>
      <w:r w:rsidR="00231416" w:rsidRPr="00705294">
        <w:rPr>
          <w:rFonts w:eastAsia="Calibri"/>
          <w:color w:val="auto"/>
          <w:szCs w:val="24"/>
          <w:lang w:eastAsia="en-US"/>
        </w:rPr>
        <w:t xml:space="preserve"> </w:t>
      </w:r>
    </w:p>
    <w:p w14:paraId="220169B6" w14:textId="77777777" w:rsidR="004870A4" w:rsidRPr="00705294" w:rsidRDefault="003C5277" w:rsidP="00AE443F">
      <w:pPr>
        <w:adjustRightInd w:val="0"/>
        <w:snapToGrid w:val="0"/>
        <w:spacing w:before="240" w:after="240"/>
        <w:rPr>
          <w:b/>
          <w:szCs w:val="24"/>
          <w:lang w:val="en-US" w:eastAsia="en-US"/>
        </w:rPr>
      </w:pPr>
      <w:r w:rsidRPr="00705294">
        <w:rPr>
          <w:b/>
          <w:szCs w:val="24"/>
          <w:lang w:val="en-US" w:eastAsia="zh-CN"/>
        </w:rPr>
        <w:t>4</w:t>
      </w:r>
      <w:r w:rsidR="004870A4" w:rsidRPr="00705294">
        <w:rPr>
          <w:b/>
          <w:szCs w:val="24"/>
          <w:lang w:val="en-US" w:eastAsia="zh-CN"/>
        </w:rPr>
        <w:t xml:space="preserve">. </w:t>
      </w:r>
      <w:r w:rsidR="004870A4" w:rsidRPr="00705294">
        <w:rPr>
          <w:b/>
          <w:bCs/>
          <w:color w:val="auto"/>
          <w:szCs w:val="24"/>
          <w:lang w:val="en-US"/>
        </w:rPr>
        <w:t xml:space="preserve">Exploring the </w:t>
      </w:r>
      <w:r w:rsidR="00872595" w:rsidRPr="00705294">
        <w:rPr>
          <w:b/>
          <w:bCs/>
          <w:color w:val="auto"/>
          <w:szCs w:val="24"/>
          <w:lang w:val="en-US"/>
        </w:rPr>
        <w:t xml:space="preserve">Links </w:t>
      </w:r>
      <w:r w:rsidR="004870A4" w:rsidRPr="00705294">
        <w:rPr>
          <w:b/>
          <w:bCs/>
          <w:color w:val="auto"/>
          <w:szCs w:val="24"/>
          <w:lang w:val="en-US"/>
        </w:rPr>
        <w:t xml:space="preserve">between the </w:t>
      </w:r>
      <w:r w:rsidR="00872595" w:rsidRPr="00705294">
        <w:rPr>
          <w:b/>
          <w:bCs/>
          <w:color w:val="auto"/>
          <w:szCs w:val="24"/>
          <w:lang w:val="en-US"/>
        </w:rPr>
        <w:t xml:space="preserve">Age </w:t>
      </w:r>
      <w:r w:rsidR="004870A4" w:rsidRPr="00705294">
        <w:rPr>
          <w:b/>
          <w:bCs/>
          <w:color w:val="auto"/>
          <w:szCs w:val="24"/>
          <w:lang w:val="en-US"/>
        </w:rPr>
        <w:t xml:space="preserve">of </w:t>
      </w:r>
      <w:r w:rsidR="00872595" w:rsidRPr="00705294">
        <w:rPr>
          <w:b/>
          <w:bCs/>
          <w:color w:val="auto"/>
          <w:szCs w:val="24"/>
          <w:lang w:val="en-US"/>
        </w:rPr>
        <w:t xml:space="preserve">Consent </w:t>
      </w:r>
      <w:r w:rsidR="004870A4" w:rsidRPr="00705294">
        <w:rPr>
          <w:b/>
          <w:bCs/>
          <w:color w:val="auto"/>
          <w:szCs w:val="24"/>
          <w:lang w:val="en-US"/>
        </w:rPr>
        <w:t xml:space="preserve">and </w:t>
      </w:r>
      <w:r w:rsidR="00872595" w:rsidRPr="00705294">
        <w:rPr>
          <w:b/>
          <w:bCs/>
          <w:color w:val="auto"/>
          <w:szCs w:val="24"/>
          <w:lang w:val="en-US"/>
        </w:rPr>
        <w:t>Queer Theory</w:t>
      </w:r>
    </w:p>
    <w:p w14:paraId="2B4122A4" w14:textId="560C7632" w:rsidR="00EF64CB" w:rsidRDefault="004870A4" w:rsidP="00AE443F">
      <w:pPr>
        <w:autoSpaceDE w:val="0"/>
        <w:autoSpaceDN w:val="0"/>
        <w:adjustRightInd w:val="0"/>
        <w:snapToGrid w:val="0"/>
        <w:ind w:firstLine="284"/>
        <w:rPr>
          <w:color w:val="auto"/>
          <w:szCs w:val="24"/>
          <w:lang w:val="en-US"/>
        </w:rPr>
      </w:pPr>
      <w:r w:rsidRPr="00705294">
        <w:rPr>
          <w:color w:val="auto"/>
          <w:szCs w:val="24"/>
          <w:lang w:val="en-US"/>
        </w:rPr>
        <w:t>What, therefore, links the debate surrounding the age of consent and Queer Theory? I suggest that whilst on the face it, the age of consent debate is inclusive of all identities, it is instead, inherently privileging of patriarchy. Queer identity and Queer Theory have rested on the assumption that lesbians and ga</w:t>
      </w:r>
      <w:r w:rsidR="001D5E1D" w:rsidRPr="00705294">
        <w:rPr>
          <w:color w:val="auto"/>
          <w:szCs w:val="24"/>
          <w:lang w:val="en-US"/>
        </w:rPr>
        <w:t xml:space="preserve">y men are </w:t>
      </w:r>
      <w:r w:rsidR="009A73D6">
        <w:rPr>
          <w:color w:val="auto"/>
          <w:szCs w:val="24"/>
          <w:lang w:val="en-US"/>
        </w:rPr>
        <w:t>“</w:t>
      </w:r>
      <w:r w:rsidR="001D5E1D" w:rsidRPr="00705294">
        <w:rPr>
          <w:color w:val="auto"/>
          <w:szCs w:val="24"/>
          <w:lang w:val="en-US"/>
        </w:rPr>
        <w:t>all in this together</w:t>
      </w:r>
      <w:r w:rsidR="009A73D6">
        <w:rPr>
          <w:color w:val="auto"/>
          <w:szCs w:val="24"/>
          <w:lang w:val="en-US"/>
        </w:rPr>
        <w:t>”</w:t>
      </w:r>
      <w:r w:rsidR="001D5E1D" w:rsidRPr="00705294">
        <w:rPr>
          <w:color w:val="auto"/>
          <w:szCs w:val="24"/>
          <w:lang w:val="en-US"/>
        </w:rPr>
        <w:t>,</w:t>
      </w:r>
      <w:r w:rsidRPr="00705294">
        <w:rPr>
          <w:color w:val="auto"/>
          <w:szCs w:val="24"/>
          <w:lang w:val="en-US"/>
        </w:rPr>
        <w:t xml:space="preserve"> that there is a common cause to fight. Queer Theory as an approach, fails to fully </w:t>
      </w:r>
      <w:r w:rsidR="00705294">
        <w:rPr>
          <w:color w:val="auto"/>
          <w:szCs w:val="24"/>
          <w:lang w:val="en-US"/>
        </w:rPr>
        <w:t>recognize</w:t>
      </w:r>
      <w:r w:rsidRPr="00705294">
        <w:rPr>
          <w:color w:val="auto"/>
          <w:szCs w:val="24"/>
          <w:lang w:val="en-US"/>
        </w:rPr>
        <w:t xml:space="preserve"> how patriarchy functions because it fails to acknowledge the lived experiences of women </w:t>
      </w:r>
      <w:r w:rsidR="006F1E76" w:rsidRPr="00705294">
        <w:rPr>
          <w:color w:val="auto"/>
          <w:szCs w:val="24"/>
          <w:lang w:val="en-US"/>
        </w:rPr>
        <w:t>(whether lesbian or heterosexual)</w:t>
      </w:r>
      <w:r w:rsidRPr="00705294">
        <w:rPr>
          <w:color w:val="auto"/>
          <w:szCs w:val="24"/>
          <w:lang w:val="en-US"/>
        </w:rPr>
        <w:t xml:space="preserve">. As pointed out by Parnaby, one of the major demands of </w:t>
      </w:r>
      <w:r w:rsidRPr="00705294">
        <w:rPr>
          <w:i/>
          <w:color w:val="auto"/>
          <w:szCs w:val="24"/>
          <w:lang w:val="en-US"/>
        </w:rPr>
        <w:t>Outrage!</w:t>
      </w:r>
      <w:r w:rsidRPr="00705294">
        <w:rPr>
          <w:color w:val="auto"/>
          <w:szCs w:val="24"/>
          <w:lang w:val="en-US"/>
        </w:rPr>
        <w:t xml:space="preserve"> (a British pressure group, formed in 1990 to campaign for lesbian and gay rights), for example, was to campaign for a change in the age of consent laws.</w:t>
      </w:r>
      <w:r w:rsidR="00231416" w:rsidRPr="00705294">
        <w:rPr>
          <w:color w:val="auto"/>
          <w:szCs w:val="24"/>
          <w:lang w:val="en-US"/>
        </w:rPr>
        <w:t xml:space="preserve"> </w:t>
      </w:r>
      <w:r w:rsidRPr="00705294">
        <w:rPr>
          <w:color w:val="auto"/>
          <w:szCs w:val="24"/>
          <w:lang w:val="en-US"/>
        </w:rPr>
        <w:t xml:space="preserve">Given that there </w:t>
      </w:r>
      <w:r w:rsidR="00DE497C" w:rsidRPr="00705294">
        <w:rPr>
          <w:color w:val="auto"/>
          <w:szCs w:val="24"/>
          <w:lang w:val="en-US"/>
        </w:rPr>
        <w:t>was no age of consent restriction</w:t>
      </w:r>
      <w:r w:rsidRPr="00705294">
        <w:rPr>
          <w:color w:val="auto"/>
          <w:szCs w:val="24"/>
          <w:lang w:val="en-US"/>
        </w:rPr>
        <w:t xml:space="preserve"> at all for lesbians until the Sexual Offences (Amendment) Act 2000, this was an issue which did not affect lesbians, yet Queer tried to convince women to join a movement based almost solely on a g</w:t>
      </w:r>
      <w:r w:rsidR="006F1E76" w:rsidRPr="00705294">
        <w:rPr>
          <w:color w:val="auto"/>
          <w:szCs w:val="24"/>
          <w:lang w:val="en-US"/>
        </w:rPr>
        <w:t>ay male agend</w:t>
      </w:r>
      <w:r w:rsidR="006812A6" w:rsidRPr="00705294">
        <w:rPr>
          <w:color w:val="auto"/>
          <w:szCs w:val="24"/>
          <w:lang w:val="en-US"/>
        </w:rPr>
        <w:t xml:space="preserve">a </w:t>
      </w:r>
      <w:r w:rsidR="00BF2DB6">
        <w:rPr>
          <w:color w:val="auto"/>
          <w:szCs w:val="24"/>
          <w:lang w:val="en-US"/>
        </w:rPr>
        <w:t>(</w:t>
      </w:r>
      <w:r w:rsidR="006812A6" w:rsidRPr="00705294">
        <w:rPr>
          <w:color w:val="auto"/>
          <w:szCs w:val="24"/>
          <w:lang w:val="en-US"/>
        </w:rPr>
        <w:t>[</w:t>
      </w:r>
      <w:r w:rsidR="005D62AC">
        <w:rPr>
          <w:color w:val="auto"/>
          <w:szCs w:val="24"/>
          <w:lang w:val="en-US"/>
        </w:rPr>
        <w:t>2</w:t>
      </w:r>
      <w:r w:rsidR="008B108B">
        <w:rPr>
          <w:color w:val="auto"/>
          <w:szCs w:val="24"/>
          <w:lang w:val="en-US"/>
        </w:rPr>
        <w:t>5</w:t>
      </w:r>
      <w:r w:rsidR="00BF2DB6">
        <w:rPr>
          <w:color w:val="auto"/>
          <w:szCs w:val="24"/>
          <w:lang w:val="en-US"/>
        </w:rPr>
        <w:t>]</w:t>
      </w:r>
      <w:r w:rsidR="00BF2DB6" w:rsidRPr="00BF2DB6">
        <w:rPr>
          <w:color w:val="auto"/>
          <w:szCs w:val="24"/>
          <w:lang w:val="en-US"/>
        </w:rPr>
        <w:t>, p. 96</w:t>
      </w:r>
      <w:r w:rsidR="00BF2DB6">
        <w:rPr>
          <w:color w:val="auto"/>
          <w:szCs w:val="24"/>
          <w:lang w:val="en-US"/>
        </w:rPr>
        <w:t>)</w:t>
      </w:r>
      <w:r w:rsidR="006F1E76" w:rsidRPr="00705294">
        <w:rPr>
          <w:color w:val="auto"/>
          <w:szCs w:val="24"/>
          <w:lang w:val="en-US"/>
        </w:rPr>
        <w:t>.</w:t>
      </w:r>
      <w:r w:rsidR="00231416" w:rsidRPr="00705294">
        <w:rPr>
          <w:color w:val="auto"/>
          <w:szCs w:val="24"/>
          <w:lang w:val="en-US"/>
        </w:rPr>
        <w:t xml:space="preserve"> </w:t>
      </w:r>
      <w:r w:rsidR="00705294">
        <w:rPr>
          <w:color w:val="auto"/>
          <w:szCs w:val="24"/>
          <w:lang w:val="en-US"/>
        </w:rPr>
        <w:t xml:space="preserve">Thus, </w:t>
      </w:r>
      <w:r w:rsidRPr="00705294">
        <w:rPr>
          <w:color w:val="auto"/>
          <w:szCs w:val="24"/>
          <w:lang w:val="en-US"/>
        </w:rPr>
        <w:t xml:space="preserve">illustrating that the campaign ran by </w:t>
      </w:r>
      <w:r w:rsidRPr="00705294">
        <w:rPr>
          <w:i/>
          <w:color w:val="auto"/>
          <w:szCs w:val="24"/>
          <w:lang w:val="en-US"/>
        </w:rPr>
        <w:t>Outrage!</w:t>
      </w:r>
      <w:r w:rsidRPr="00705294">
        <w:rPr>
          <w:color w:val="auto"/>
          <w:szCs w:val="24"/>
          <w:lang w:val="en-US"/>
        </w:rPr>
        <w:t xml:space="preserve"> whilst purporting to be inclusive, was far from </w:t>
      </w:r>
      <w:r w:rsidR="00065117" w:rsidRPr="00705294">
        <w:rPr>
          <w:color w:val="auto"/>
          <w:szCs w:val="24"/>
          <w:lang w:val="en-US"/>
        </w:rPr>
        <w:t xml:space="preserve">inclusive, </w:t>
      </w:r>
      <w:r w:rsidRPr="00705294">
        <w:rPr>
          <w:color w:val="auto"/>
          <w:szCs w:val="24"/>
          <w:lang w:val="en-US"/>
        </w:rPr>
        <w:t xml:space="preserve">illustrating as it does the </w:t>
      </w:r>
      <w:r w:rsidR="00065117" w:rsidRPr="00705294">
        <w:rPr>
          <w:color w:val="auto"/>
          <w:szCs w:val="24"/>
          <w:lang w:val="en-US"/>
        </w:rPr>
        <w:t>patriarchy</w:t>
      </w:r>
      <w:r w:rsidRPr="00705294">
        <w:rPr>
          <w:color w:val="auto"/>
          <w:szCs w:val="24"/>
          <w:lang w:val="en-US"/>
        </w:rPr>
        <w:t xml:space="preserve"> presumed in the debate.</w:t>
      </w:r>
      <w:r w:rsidR="00231416" w:rsidRPr="00705294">
        <w:rPr>
          <w:color w:val="auto"/>
          <w:szCs w:val="24"/>
          <w:lang w:val="en-US"/>
        </w:rPr>
        <w:t xml:space="preserve"> </w:t>
      </w:r>
      <w:r w:rsidRPr="00705294">
        <w:rPr>
          <w:color w:val="auto"/>
          <w:szCs w:val="24"/>
          <w:lang w:val="en-US"/>
        </w:rPr>
        <w:t xml:space="preserve">In this context, the mention of, and use of Queer Theory is not being presented as a useful analysis in and of itself, but rather as an illustration of how </w:t>
      </w:r>
      <w:r w:rsidR="009A73D6">
        <w:rPr>
          <w:color w:val="auto"/>
          <w:szCs w:val="24"/>
          <w:lang w:val="en-US"/>
        </w:rPr>
        <w:t>“</w:t>
      </w:r>
      <w:r w:rsidRPr="00705294">
        <w:rPr>
          <w:color w:val="auto"/>
          <w:szCs w:val="24"/>
          <w:lang w:val="en-US"/>
        </w:rPr>
        <w:t>consent debates</w:t>
      </w:r>
      <w:r w:rsidR="009A73D6">
        <w:rPr>
          <w:color w:val="auto"/>
          <w:szCs w:val="24"/>
          <w:lang w:val="en-US"/>
        </w:rPr>
        <w:t>”</w:t>
      </w:r>
      <w:r w:rsidRPr="00705294">
        <w:rPr>
          <w:color w:val="auto"/>
          <w:szCs w:val="24"/>
          <w:lang w:val="en-US"/>
        </w:rPr>
        <w:t xml:space="preserve"> are </w:t>
      </w:r>
      <w:r w:rsidR="00065117" w:rsidRPr="00705294">
        <w:rPr>
          <w:color w:val="auto"/>
          <w:szCs w:val="24"/>
          <w:lang w:val="en-US"/>
        </w:rPr>
        <w:t xml:space="preserve">in and of themselves, </w:t>
      </w:r>
      <w:r w:rsidRPr="00705294">
        <w:rPr>
          <w:color w:val="auto"/>
          <w:szCs w:val="24"/>
          <w:lang w:val="en-US"/>
        </w:rPr>
        <w:t>limitingly queer.</w:t>
      </w:r>
      <w:r w:rsidR="00231416" w:rsidRPr="00705294">
        <w:rPr>
          <w:color w:val="auto"/>
          <w:szCs w:val="24"/>
          <w:lang w:val="en-US"/>
        </w:rPr>
        <w:t xml:space="preserve"> </w:t>
      </w:r>
      <w:r w:rsidRPr="00705294">
        <w:rPr>
          <w:color w:val="auto"/>
          <w:szCs w:val="24"/>
          <w:lang w:val="en-US"/>
        </w:rPr>
        <w:t xml:space="preserve">At this juncture, it may be useful to mention the tension(s) between the liberal </w:t>
      </w:r>
      <w:r w:rsidR="00065117" w:rsidRPr="00705294">
        <w:rPr>
          <w:color w:val="auto"/>
          <w:szCs w:val="24"/>
          <w:lang w:val="en-US"/>
        </w:rPr>
        <w:t xml:space="preserve">legal </w:t>
      </w:r>
      <w:r w:rsidRPr="00705294">
        <w:rPr>
          <w:color w:val="auto"/>
          <w:szCs w:val="24"/>
          <w:lang w:val="en-US"/>
        </w:rPr>
        <w:t>subject at the heart of the consent issue and some of the insights that could be potentially offered by Queer Theory.</w:t>
      </w:r>
      <w:r w:rsidR="00231416" w:rsidRPr="00705294">
        <w:rPr>
          <w:color w:val="auto"/>
          <w:szCs w:val="24"/>
          <w:lang w:val="en-US"/>
        </w:rPr>
        <w:t xml:space="preserve"> </w:t>
      </w:r>
      <w:r w:rsidRPr="00705294">
        <w:rPr>
          <w:color w:val="auto"/>
          <w:szCs w:val="24"/>
          <w:lang w:val="en-US"/>
        </w:rPr>
        <w:t>I do not of course wish to see norms of equality imposed upon the subject which will merely result in conformity to heterosexual and patriarchal identities.</w:t>
      </w:r>
      <w:r w:rsidR="00231416" w:rsidRPr="00705294">
        <w:rPr>
          <w:color w:val="auto"/>
          <w:szCs w:val="24"/>
          <w:lang w:val="en-US"/>
        </w:rPr>
        <w:t xml:space="preserve"> </w:t>
      </w:r>
      <w:r w:rsidR="006D065D" w:rsidRPr="00705294">
        <w:rPr>
          <w:color w:val="auto"/>
          <w:szCs w:val="24"/>
          <w:lang w:val="en-US"/>
        </w:rPr>
        <w:t>I am aware in this regard of</w:t>
      </w:r>
      <w:r w:rsidRPr="00705294">
        <w:rPr>
          <w:color w:val="auto"/>
          <w:szCs w:val="24"/>
          <w:lang w:val="en-US"/>
        </w:rPr>
        <w:t xml:space="preserve"> liberal subjectivity underpinning the consent to sex debate</w:t>
      </w:r>
      <w:r w:rsidR="006D065D" w:rsidRPr="00705294">
        <w:rPr>
          <w:color w:val="auto"/>
          <w:szCs w:val="24"/>
          <w:lang w:val="en-US"/>
        </w:rPr>
        <w:t xml:space="preserve"> and of </w:t>
      </w:r>
      <w:r w:rsidRPr="00705294">
        <w:rPr>
          <w:color w:val="auto"/>
          <w:szCs w:val="24"/>
          <w:lang w:val="en-US"/>
        </w:rPr>
        <w:t>course</w:t>
      </w:r>
      <w:r w:rsidR="00065117" w:rsidRPr="00705294">
        <w:rPr>
          <w:color w:val="auto"/>
          <w:szCs w:val="24"/>
          <w:lang w:val="en-US"/>
        </w:rPr>
        <w:t>,</w:t>
      </w:r>
      <w:r w:rsidRPr="00705294">
        <w:rPr>
          <w:color w:val="auto"/>
          <w:szCs w:val="24"/>
          <w:lang w:val="en-US"/>
        </w:rPr>
        <w:t xml:space="preserve"> tension</w:t>
      </w:r>
      <w:r w:rsidR="00425422" w:rsidRPr="00705294">
        <w:rPr>
          <w:color w:val="auto"/>
          <w:szCs w:val="24"/>
          <w:lang w:val="en-US"/>
        </w:rPr>
        <w:t>s</w:t>
      </w:r>
      <w:r w:rsidRPr="00705294">
        <w:rPr>
          <w:color w:val="auto"/>
          <w:szCs w:val="24"/>
          <w:lang w:val="en-US"/>
        </w:rPr>
        <w:t xml:space="preserve"> between so called liberal understandings of consent/autonomy.</w:t>
      </w:r>
      <w:r w:rsidR="00231416" w:rsidRPr="00705294">
        <w:rPr>
          <w:color w:val="auto"/>
          <w:szCs w:val="24"/>
          <w:lang w:val="en-US"/>
        </w:rPr>
        <w:t xml:space="preserve"> </w:t>
      </w:r>
      <w:r w:rsidR="006D065D" w:rsidRPr="00705294">
        <w:rPr>
          <w:color w:val="auto"/>
          <w:szCs w:val="24"/>
          <w:lang w:val="en-US"/>
        </w:rPr>
        <w:t xml:space="preserve">As I explore later in more detail, whilst I dispute the liberal notion of a sovereign singular physical body defined by heterosexuality and patriarchy, I </w:t>
      </w:r>
      <w:r w:rsidR="006D065D" w:rsidRPr="00705294">
        <w:rPr>
          <w:color w:val="auto"/>
          <w:szCs w:val="24"/>
          <w:lang w:val="en-US"/>
        </w:rPr>
        <w:lastRenderedPageBreak/>
        <w:t xml:space="preserve">accept that the physical body inhabited by the concept of </w:t>
      </w:r>
      <w:r w:rsidR="009A73D6">
        <w:rPr>
          <w:color w:val="auto"/>
          <w:szCs w:val="24"/>
          <w:lang w:val="en-US"/>
        </w:rPr>
        <w:t>“</w:t>
      </w:r>
      <w:r w:rsidR="006D065D" w:rsidRPr="00705294">
        <w:rPr>
          <w:color w:val="auto"/>
          <w:szCs w:val="24"/>
          <w:lang w:val="en-US"/>
        </w:rPr>
        <w:t>women</w:t>
      </w:r>
      <w:r w:rsidR="009A73D6">
        <w:rPr>
          <w:color w:val="auto"/>
          <w:szCs w:val="24"/>
          <w:lang w:val="en-US"/>
        </w:rPr>
        <w:t>”</w:t>
      </w:r>
      <w:r w:rsidR="006D065D" w:rsidRPr="00705294">
        <w:rPr>
          <w:color w:val="auto"/>
          <w:szCs w:val="24"/>
          <w:lang w:val="en-US"/>
        </w:rPr>
        <w:t xml:space="preserve"> has to exist in order to argue the relevance of subjectively lived experience.</w:t>
      </w:r>
      <w:r w:rsidR="00231416" w:rsidRPr="00705294">
        <w:rPr>
          <w:color w:val="auto"/>
          <w:szCs w:val="24"/>
          <w:lang w:val="en-US"/>
        </w:rPr>
        <w:t xml:space="preserve"> </w:t>
      </w:r>
      <w:r w:rsidRPr="00705294">
        <w:rPr>
          <w:color w:val="auto"/>
          <w:szCs w:val="24"/>
          <w:lang w:val="en-US"/>
        </w:rPr>
        <w:t xml:space="preserve">Whilst Queer Theory </w:t>
      </w:r>
      <w:r w:rsidR="00001ED8" w:rsidRPr="00705294">
        <w:rPr>
          <w:color w:val="auto"/>
          <w:szCs w:val="24"/>
          <w:lang w:val="en-US"/>
        </w:rPr>
        <w:t>(</w:t>
      </w:r>
      <w:r w:rsidRPr="00705294">
        <w:rPr>
          <w:color w:val="auto"/>
          <w:szCs w:val="24"/>
          <w:lang w:val="en-US"/>
        </w:rPr>
        <w:t xml:space="preserve">as originally </w:t>
      </w:r>
      <w:r w:rsidR="006D065D" w:rsidRPr="00705294">
        <w:rPr>
          <w:color w:val="auto"/>
          <w:szCs w:val="24"/>
          <w:lang w:val="en-US"/>
        </w:rPr>
        <w:t>conceived</w:t>
      </w:r>
      <w:r w:rsidR="00001ED8" w:rsidRPr="00705294">
        <w:rPr>
          <w:color w:val="auto"/>
          <w:szCs w:val="24"/>
          <w:lang w:val="en-US"/>
        </w:rPr>
        <w:t xml:space="preserve">) has the potentiality to </w:t>
      </w:r>
      <w:r w:rsidRPr="00705294">
        <w:rPr>
          <w:color w:val="auto"/>
          <w:szCs w:val="24"/>
          <w:lang w:val="en-US"/>
        </w:rPr>
        <w:t xml:space="preserve">contribute some interesting </w:t>
      </w:r>
      <w:r w:rsidR="00001ED8" w:rsidRPr="00705294">
        <w:rPr>
          <w:color w:val="auto"/>
          <w:szCs w:val="24"/>
          <w:lang w:val="en-US"/>
        </w:rPr>
        <w:t>viewpoints</w:t>
      </w:r>
      <w:r w:rsidRPr="00705294">
        <w:rPr>
          <w:color w:val="auto"/>
          <w:szCs w:val="24"/>
          <w:lang w:val="en-US"/>
        </w:rPr>
        <w:t xml:space="preserve"> that might alter perspectives on the debate, the current application of Queer Theory is ill equipped to </w:t>
      </w:r>
      <w:r w:rsidR="00001ED8" w:rsidRPr="00705294">
        <w:rPr>
          <w:color w:val="auto"/>
          <w:szCs w:val="24"/>
          <w:lang w:val="en-US"/>
        </w:rPr>
        <w:t>do either</w:t>
      </w:r>
      <w:r w:rsidRPr="00705294">
        <w:rPr>
          <w:color w:val="auto"/>
          <w:szCs w:val="24"/>
          <w:lang w:val="en-US"/>
        </w:rPr>
        <w:t xml:space="preserve">, given that Queer Theory perspectives are incapable of acknowledging </w:t>
      </w:r>
      <w:r w:rsidR="00CA5E9A" w:rsidRPr="00CA5E9A">
        <w:rPr>
          <w:color w:val="auto"/>
          <w:szCs w:val="24"/>
          <w:lang w:val="en-US"/>
        </w:rPr>
        <w:t>heteropatriarchal</w:t>
      </w:r>
      <w:r w:rsidRPr="00705294">
        <w:rPr>
          <w:color w:val="auto"/>
          <w:szCs w:val="24"/>
          <w:lang w:val="en-US"/>
        </w:rPr>
        <w:t xml:space="preserve"> norms. I now turn to examine in slightly more detail, some of the origins of the term.</w:t>
      </w:r>
    </w:p>
    <w:p w14:paraId="7CDAB7E7" w14:textId="77777777" w:rsidR="00BC42C6" w:rsidRPr="00705294" w:rsidRDefault="00BC42C6" w:rsidP="00DB3C1A">
      <w:pPr>
        <w:pStyle w:val="Mdeck4heading2"/>
        <w:rPr>
          <w:rFonts w:eastAsia="Calibri"/>
          <w:szCs w:val="24"/>
          <w:lang w:eastAsia="en-US"/>
        </w:rPr>
      </w:pPr>
      <w:r w:rsidRPr="00705294">
        <w:rPr>
          <w:szCs w:val="24"/>
        </w:rPr>
        <w:t>4.</w:t>
      </w:r>
      <w:r w:rsidRPr="00705294">
        <w:rPr>
          <w:rFonts w:eastAsia="Calibri"/>
          <w:szCs w:val="24"/>
          <w:lang w:eastAsia="en-US"/>
        </w:rPr>
        <w:t xml:space="preserve">1. Queer Theory </w:t>
      </w:r>
    </w:p>
    <w:p w14:paraId="6DCE2050" w14:textId="60BE782D" w:rsidR="00BC42C6" w:rsidRPr="00705294" w:rsidRDefault="008B4ED1" w:rsidP="00AE443F">
      <w:pPr>
        <w:pStyle w:val="Mdeck4text"/>
        <w:rPr>
          <w:rFonts w:eastAsia="Calibri"/>
          <w:szCs w:val="24"/>
          <w:lang w:eastAsia="en-US"/>
        </w:rPr>
      </w:pPr>
      <w:r w:rsidRPr="00705294">
        <w:rPr>
          <w:rFonts w:eastAsia="Calibri"/>
          <w:szCs w:val="24"/>
          <w:lang w:eastAsia="en-US"/>
        </w:rPr>
        <w:t>Triggered partly by homophobic response</w:t>
      </w:r>
      <w:r w:rsidR="00FD771C" w:rsidRPr="00705294">
        <w:rPr>
          <w:rFonts w:eastAsia="Calibri"/>
          <w:szCs w:val="24"/>
          <w:lang w:eastAsia="en-US"/>
        </w:rPr>
        <w:t>s to AIDS</w:t>
      </w:r>
      <w:r w:rsidRPr="00705294">
        <w:rPr>
          <w:rFonts w:eastAsia="Calibri"/>
          <w:szCs w:val="24"/>
          <w:lang w:eastAsia="en-US"/>
        </w:rPr>
        <w:t xml:space="preserve">, </w:t>
      </w:r>
      <w:r w:rsidR="00BC42C6" w:rsidRPr="00705294">
        <w:rPr>
          <w:rFonts w:eastAsia="Calibri"/>
          <w:szCs w:val="24"/>
          <w:lang w:eastAsia="en-US"/>
        </w:rPr>
        <w:t>Queer Legal Theory emerged in the</w:t>
      </w:r>
      <w:r w:rsidRPr="00705294">
        <w:rPr>
          <w:rFonts w:eastAsia="Calibri"/>
          <w:szCs w:val="24"/>
          <w:lang w:eastAsia="en-US"/>
        </w:rPr>
        <w:t xml:space="preserve"> mid-1990s in response to</w:t>
      </w:r>
      <w:r w:rsidR="00BC42C6" w:rsidRPr="00705294">
        <w:rPr>
          <w:rFonts w:eastAsia="Calibri"/>
          <w:szCs w:val="24"/>
          <w:lang w:eastAsia="en-US"/>
        </w:rPr>
        <w:t xml:space="preserve"> political and legal events [</w:t>
      </w:r>
      <w:r w:rsidR="005D62AC">
        <w:rPr>
          <w:rFonts w:eastAsia="Calibri"/>
          <w:color w:val="auto"/>
          <w:szCs w:val="24"/>
          <w:lang w:eastAsia="en-US"/>
        </w:rPr>
        <w:t>2</w:t>
      </w:r>
      <w:r w:rsidR="008B108B">
        <w:rPr>
          <w:rFonts w:eastAsia="Calibri"/>
          <w:color w:val="auto"/>
          <w:szCs w:val="24"/>
          <w:lang w:eastAsia="en-US"/>
        </w:rPr>
        <w:t>6</w:t>
      </w:r>
      <w:r w:rsidRPr="00705294">
        <w:rPr>
          <w:rFonts w:eastAsia="Calibri"/>
          <w:szCs w:val="24"/>
          <w:lang w:eastAsia="en-US"/>
        </w:rPr>
        <w:t>]</w:t>
      </w:r>
      <w:r w:rsidR="00BC42C6" w:rsidRPr="00705294">
        <w:rPr>
          <w:rFonts w:eastAsia="Calibri"/>
          <w:szCs w:val="24"/>
          <w:lang w:eastAsia="en-US"/>
        </w:rPr>
        <w:t xml:space="preserve">. The term </w:t>
      </w:r>
      <w:r w:rsidR="009A73D6">
        <w:rPr>
          <w:rFonts w:eastAsia="Calibri"/>
          <w:szCs w:val="24"/>
          <w:lang w:eastAsia="en-US"/>
        </w:rPr>
        <w:t>“</w:t>
      </w:r>
      <w:r w:rsidR="00BC42C6" w:rsidRPr="00705294">
        <w:rPr>
          <w:rFonts w:eastAsia="Calibri"/>
          <w:szCs w:val="24"/>
          <w:lang w:eastAsia="en-US"/>
        </w:rPr>
        <w:t>queer</w:t>
      </w:r>
      <w:r w:rsidR="009A73D6">
        <w:rPr>
          <w:rFonts w:eastAsia="Calibri"/>
          <w:szCs w:val="24"/>
          <w:lang w:eastAsia="en-US"/>
        </w:rPr>
        <w:t>”</w:t>
      </w:r>
      <w:r w:rsidR="00BC42C6" w:rsidRPr="00705294">
        <w:rPr>
          <w:rFonts w:eastAsia="Calibri"/>
          <w:szCs w:val="24"/>
          <w:lang w:eastAsia="en-US"/>
        </w:rPr>
        <w:t xml:space="preserve"> used to be a slang word for homosexual, or a term of hate speech, and as such, constituted homophobic abuse. More recently, queer has come to be used differently, sometimes as an umbrella term. Despite the fact that Queer Theory does not explicitly acknowledge its roots, feminism </w:t>
      </w:r>
      <w:r w:rsidR="00D000FD" w:rsidRPr="00705294">
        <w:rPr>
          <w:rFonts w:eastAsia="Calibri"/>
          <w:szCs w:val="24"/>
          <w:lang w:eastAsia="en-US"/>
        </w:rPr>
        <w:t xml:space="preserve">never the less </w:t>
      </w:r>
      <w:r w:rsidR="00705294">
        <w:rPr>
          <w:rFonts w:eastAsia="Calibri"/>
          <w:szCs w:val="24"/>
          <w:lang w:eastAsia="en-US"/>
        </w:rPr>
        <w:t>allowed for</w:t>
      </w:r>
      <w:r w:rsidR="00196980" w:rsidRPr="00705294">
        <w:rPr>
          <w:rFonts w:eastAsia="Calibri"/>
          <w:szCs w:val="24"/>
          <w:lang w:eastAsia="en-US"/>
        </w:rPr>
        <w:t xml:space="preserve"> Queer Theory</w:t>
      </w:r>
      <w:r w:rsidR="00794360">
        <w:rPr>
          <w:rFonts w:eastAsia="Calibri"/>
          <w:szCs w:val="24"/>
          <w:lang w:eastAsia="en-US"/>
        </w:rPr>
        <w:t>’</w:t>
      </w:r>
      <w:r w:rsidR="00196980" w:rsidRPr="00705294">
        <w:rPr>
          <w:rFonts w:eastAsia="Calibri"/>
          <w:szCs w:val="24"/>
          <w:lang w:eastAsia="en-US"/>
        </w:rPr>
        <w:t xml:space="preserve">s emergence </w:t>
      </w:r>
      <w:r w:rsidR="00C337BA">
        <w:rPr>
          <w:rFonts w:eastAsia="Calibri"/>
          <w:szCs w:val="24"/>
          <w:lang w:eastAsia="en-US"/>
        </w:rPr>
        <w:t>(</w:t>
      </w:r>
      <w:r w:rsidR="00196980" w:rsidRPr="00705294">
        <w:rPr>
          <w:rFonts w:eastAsia="Calibri"/>
          <w:szCs w:val="24"/>
          <w:lang w:eastAsia="en-US"/>
        </w:rPr>
        <w:t>[</w:t>
      </w:r>
      <w:r w:rsidR="005D62AC">
        <w:rPr>
          <w:rFonts w:eastAsia="Calibri"/>
          <w:color w:val="auto"/>
          <w:szCs w:val="24"/>
          <w:lang w:eastAsia="en-US"/>
        </w:rPr>
        <w:t>2</w:t>
      </w:r>
      <w:r w:rsidR="008B108B">
        <w:rPr>
          <w:rFonts w:eastAsia="Calibri"/>
          <w:color w:val="auto"/>
          <w:szCs w:val="24"/>
          <w:lang w:eastAsia="en-US"/>
        </w:rPr>
        <w:t>7</w:t>
      </w:r>
      <w:r w:rsidR="00C337BA">
        <w:rPr>
          <w:rFonts w:eastAsia="Calibri"/>
          <w:color w:val="auto"/>
          <w:szCs w:val="24"/>
          <w:lang w:eastAsia="en-US"/>
        </w:rPr>
        <w:t>]</w:t>
      </w:r>
      <w:r w:rsidR="00C337BA" w:rsidRPr="00C337BA">
        <w:rPr>
          <w:rFonts w:eastAsia="Calibri"/>
          <w:color w:val="auto"/>
          <w:szCs w:val="24"/>
          <w:lang w:eastAsia="en-US"/>
        </w:rPr>
        <w:t>, p. 142</w:t>
      </w:r>
      <w:r w:rsidR="00C337BA">
        <w:rPr>
          <w:rFonts w:eastAsia="Calibri"/>
          <w:color w:val="auto"/>
          <w:szCs w:val="24"/>
          <w:lang w:eastAsia="en-US"/>
        </w:rPr>
        <w:t>)</w:t>
      </w:r>
      <w:r w:rsidR="00BC42C6" w:rsidRPr="00705294">
        <w:rPr>
          <w:rFonts w:eastAsia="Calibri"/>
          <w:szCs w:val="24"/>
          <w:lang w:eastAsia="en-US"/>
        </w:rPr>
        <w:t>. It draws heavily on feminist theory</w:t>
      </w:r>
      <w:r w:rsidR="00794360">
        <w:rPr>
          <w:rFonts w:eastAsia="Calibri"/>
          <w:szCs w:val="24"/>
          <w:lang w:eastAsia="en-US"/>
        </w:rPr>
        <w:t>’</w:t>
      </w:r>
      <w:r w:rsidR="00BC42C6" w:rsidRPr="00705294">
        <w:rPr>
          <w:rFonts w:eastAsia="Calibri"/>
          <w:szCs w:val="24"/>
          <w:lang w:eastAsia="en-US"/>
        </w:rPr>
        <w:t xml:space="preserve">s commitment to </w:t>
      </w:r>
      <w:r w:rsidR="009A73D6">
        <w:rPr>
          <w:rFonts w:eastAsia="Calibri"/>
          <w:szCs w:val="24"/>
          <w:lang w:eastAsia="en-US"/>
        </w:rPr>
        <w:t>“</w:t>
      </w:r>
      <w:r w:rsidR="00BC42C6" w:rsidRPr="00705294">
        <w:rPr>
          <w:rFonts w:eastAsia="Calibri"/>
          <w:szCs w:val="24"/>
          <w:lang w:eastAsia="en-US"/>
        </w:rPr>
        <w:t>disestablishing patriarchy; Critical Race Theory</w:t>
      </w:r>
      <w:r w:rsidR="00794360">
        <w:rPr>
          <w:rFonts w:eastAsia="Calibri"/>
          <w:szCs w:val="24"/>
          <w:lang w:eastAsia="en-US"/>
        </w:rPr>
        <w:t>’</w:t>
      </w:r>
      <w:r w:rsidR="00BC42C6" w:rsidRPr="00705294">
        <w:rPr>
          <w:rFonts w:eastAsia="Calibri"/>
          <w:szCs w:val="24"/>
          <w:lang w:eastAsia="en-US"/>
        </w:rPr>
        <w:t>s dedication to unmasking the deep racist structures within society and life; Critical Legal Theory</w:t>
      </w:r>
      <w:r w:rsidR="00794360">
        <w:rPr>
          <w:rFonts w:eastAsia="Calibri"/>
          <w:szCs w:val="24"/>
          <w:lang w:eastAsia="en-US"/>
        </w:rPr>
        <w:t>’</w:t>
      </w:r>
      <w:r w:rsidR="00BC42C6" w:rsidRPr="00705294">
        <w:rPr>
          <w:rFonts w:eastAsia="Calibri"/>
          <w:szCs w:val="24"/>
          <w:lang w:eastAsia="en-US"/>
        </w:rPr>
        <w:t>s examination of how class structures are perpetuated and reinforced, and Gay and Lesbian Legal Theories of understanding how heteronormativity is constructed and reproduced [</w:t>
      </w:r>
      <w:r w:rsidR="005D62AC">
        <w:rPr>
          <w:rFonts w:eastAsia="Calibri"/>
          <w:color w:val="auto"/>
          <w:szCs w:val="24"/>
          <w:lang w:eastAsia="en-US"/>
        </w:rPr>
        <w:t>2</w:t>
      </w:r>
      <w:r w:rsidR="00C0227A">
        <w:rPr>
          <w:rFonts w:eastAsia="Calibri"/>
          <w:color w:val="auto"/>
          <w:szCs w:val="24"/>
          <w:lang w:eastAsia="en-US"/>
        </w:rPr>
        <w:t>6</w:t>
      </w:r>
      <w:r w:rsidR="00BC42C6" w:rsidRPr="00705294">
        <w:rPr>
          <w:rFonts w:eastAsia="Calibri"/>
          <w:szCs w:val="24"/>
          <w:lang w:eastAsia="en-US"/>
        </w:rPr>
        <w:t>].</w:t>
      </w:r>
      <w:r w:rsidR="009A73D6">
        <w:rPr>
          <w:rFonts w:eastAsia="Calibri"/>
          <w:szCs w:val="24"/>
          <w:lang w:eastAsia="en-US"/>
        </w:rPr>
        <w:t>”</w:t>
      </w:r>
      <w:r w:rsidR="00BC42C6" w:rsidRPr="00705294">
        <w:rPr>
          <w:rFonts w:eastAsia="Calibri"/>
          <w:szCs w:val="24"/>
          <w:lang w:eastAsia="en-US"/>
        </w:rPr>
        <w:t xml:space="preserve"> </w:t>
      </w:r>
    </w:p>
    <w:p w14:paraId="17BA7F99" w14:textId="1AFB1ED2" w:rsidR="00BC42C6" w:rsidRPr="00705294" w:rsidRDefault="00BC42C6" w:rsidP="00AE443F">
      <w:pPr>
        <w:pStyle w:val="Mdeck4text"/>
        <w:rPr>
          <w:rFonts w:eastAsia="Calibri"/>
          <w:szCs w:val="24"/>
          <w:lang w:eastAsia="en-US"/>
        </w:rPr>
      </w:pPr>
      <w:r w:rsidRPr="00705294">
        <w:rPr>
          <w:rFonts w:eastAsia="Calibri"/>
          <w:szCs w:val="24"/>
          <w:lang w:eastAsia="en-US"/>
        </w:rPr>
        <w:t xml:space="preserve">The term </w:t>
      </w:r>
      <w:r w:rsidR="009A73D6">
        <w:rPr>
          <w:rFonts w:eastAsia="Calibri"/>
          <w:szCs w:val="24"/>
          <w:lang w:eastAsia="en-US"/>
        </w:rPr>
        <w:t>“</w:t>
      </w:r>
      <w:r w:rsidRPr="00705294">
        <w:rPr>
          <w:rFonts w:eastAsia="Calibri"/>
          <w:szCs w:val="24"/>
          <w:lang w:eastAsia="en-US"/>
        </w:rPr>
        <w:t>Queer</w:t>
      </w:r>
      <w:r w:rsidR="009A73D6">
        <w:rPr>
          <w:rFonts w:eastAsia="Calibri"/>
          <w:szCs w:val="24"/>
          <w:lang w:eastAsia="en-US"/>
        </w:rPr>
        <w:t>”</w:t>
      </w:r>
      <w:r w:rsidRPr="00705294">
        <w:rPr>
          <w:rFonts w:eastAsia="Calibri"/>
          <w:szCs w:val="24"/>
          <w:lang w:eastAsia="en-US"/>
        </w:rPr>
        <w:t xml:space="preserve">, as Halperin suggests, is by definition whatever is at odds with the normal, the </w:t>
      </w:r>
      <w:r w:rsidR="004774D1" w:rsidRPr="00705294">
        <w:rPr>
          <w:rFonts w:eastAsia="Calibri"/>
          <w:szCs w:val="24"/>
          <w:lang w:eastAsia="en-US"/>
        </w:rPr>
        <w:t>legitimate, and the dominant [</w:t>
      </w:r>
      <w:r w:rsidR="00A86028">
        <w:rPr>
          <w:rFonts w:eastAsia="Calibri"/>
          <w:color w:val="auto"/>
          <w:szCs w:val="24"/>
          <w:lang w:eastAsia="en-US"/>
        </w:rPr>
        <w:t>28</w:t>
      </w:r>
      <w:r w:rsidRPr="00705294">
        <w:rPr>
          <w:rFonts w:eastAsia="Calibri"/>
          <w:szCs w:val="24"/>
          <w:lang w:eastAsia="en-US"/>
        </w:rPr>
        <w:t>]</w:t>
      </w:r>
      <w:r w:rsidR="001C4160" w:rsidRPr="00705294">
        <w:rPr>
          <w:rFonts w:eastAsia="Calibri"/>
          <w:szCs w:val="24"/>
          <w:lang w:eastAsia="en-US"/>
        </w:rPr>
        <w:t xml:space="preserve">, and aims </w:t>
      </w:r>
      <w:r w:rsidRPr="00705294">
        <w:rPr>
          <w:rFonts w:eastAsia="Calibri"/>
          <w:szCs w:val="24"/>
          <w:lang w:eastAsia="en-US"/>
        </w:rPr>
        <w:t xml:space="preserve">to destabilize dominant ideas of identity, whether that identity is sexual, gendered, ethnic, national, </w:t>
      </w:r>
      <w:r w:rsidR="001C4160" w:rsidRPr="00705294">
        <w:rPr>
          <w:rFonts w:eastAsia="Calibri"/>
          <w:szCs w:val="24"/>
          <w:lang w:eastAsia="en-US"/>
        </w:rPr>
        <w:t>and political</w:t>
      </w:r>
      <w:r w:rsidRPr="00705294">
        <w:rPr>
          <w:rFonts w:eastAsia="Calibri"/>
          <w:szCs w:val="24"/>
          <w:lang w:eastAsia="en-US"/>
        </w:rPr>
        <w:t xml:space="preserve"> and so forth. Queer is not an identity, rather, it is a critique of identity and of identity construction. </w:t>
      </w:r>
      <w:r w:rsidR="00705294">
        <w:rPr>
          <w:rFonts w:eastAsia="Calibri"/>
          <w:szCs w:val="24"/>
          <w:lang w:eastAsia="en-US"/>
        </w:rPr>
        <w:t xml:space="preserve">Thus, </w:t>
      </w:r>
      <w:r w:rsidRPr="00705294">
        <w:rPr>
          <w:rFonts w:eastAsia="Calibri"/>
          <w:szCs w:val="24"/>
          <w:lang w:eastAsia="en-US"/>
        </w:rPr>
        <w:t>Queer,</w:t>
      </w:r>
    </w:p>
    <w:p w14:paraId="68BDBEA9" w14:textId="7B8C77A1" w:rsidR="00817260" w:rsidRPr="00705294" w:rsidRDefault="00BC42C6" w:rsidP="00AE443F">
      <w:pPr>
        <w:pStyle w:val="Mdeck4textlrindent"/>
        <w:spacing w:before="120" w:after="120"/>
        <w:rPr>
          <w:rFonts w:eastAsia="Calibri"/>
          <w:szCs w:val="24"/>
          <w:lang w:eastAsia="en-US"/>
        </w:rPr>
      </w:pPr>
      <w:r w:rsidRPr="00705294">
        <w:rPr>
          <w:rFonts w:eastAsia="Calibri"/>
          <w:szCs w:val="24"/>
          <w:lang w:eastAsia="en-US"/>
        </w:rPr>
        <w:t xml:space="preserve">[U]ndermines fixed identities and explores those areas excluded by such identities. Therefore, queer functions as a kind of catalyst that strategically decenters identity positions without becoming a site of identity or </w:t>
      </w:r>
      <w:r w:rsidR="004774D1" w:rsidRPr="00705294">
        <w:rPr>
          <w:rFonts w:eastAsia="Calibri"/>
          <w:szCs w:val="24"/>
          <w:lang w:eastAsia="en-US"/>
        </w:rPr>
        <w:t xml:space="preserve">identity construction itself </w:t>
      </w:r>
      <w:r w:rsidR="009605C7">
        <w:rPr>
          <w:rFonts w:eastAsia="Calibri"/>
          <w:szCs w:val="24"/>
          <w:lang w:eastAsia="en-US"/>
        </w:rPr>
        <w:t>(</w:t>
      </w:r>
      <w:r w:rsidR="004774D1" w:rsidRPr="00705294">
        <w:rPr>
          <w:rFonts w:eastAsia="Calibri"/>
          <w:szCs w:val="24"/>
          <w:lang w:eastAsia="en-US"/>
        </w:rPr>
        <w:t>[</w:t>
      </w:r>
      <w:r w:rsidR="00A86028">
        <w:rPr>
          <w:rFonts w:eastAsia="Calibri"/>
          <w:color w:val="auto"/>
          <w:szCs w:val="24"/>
          <w:lang w:eastAsia="en-US"/>
        </w:rPr>
        <w:t>29</w:t>
      </w:r>
      <w:r w:rsidR="009605C7">
        <w:rPr>
          <w:rFonts w:eastAsia="Calibri"/>
          <w:color w:val="auto"/>
          <w:szCs w:val="24"/>
          <w:lang w:eastAsia="en-US"/>
        </w:rPr>
        <w:t>]</w:t>
      </w:r>
      <w:r w:rsidR="009605C7" w:rsidRPr="009605C7">
        <w:rPr>
          <w:rFonts w:eastAsia="Calibri"/>
          <w:color w:val="auto"/>
          <w:szCs w:val="24"/>
          <w:lang w:eastAsia="en-US"/>
        </w:rPr>
        <w:t>, p. 7</w:t>
      </w:r>
      <w:r w:rsidR="009605C7">
        <w:rPr>
          <w:rFonts w:eastAsia="Calibri"/>
          <w:color w:val="auto"/>
          <w:szCs w:val="24"/>
          <w:lang w:eastAsia="en-US"/>
        </w:rPr>
        <w:t>)</w:t>
      </w:r>
      <w:r w:rsidRPr="00705294">
        <w:rPr>
          <w:rFonts w:eastAsia="Calibri"/>
          <w:szCs w:val="24"/>
          <w:lang w:eastAsia="en-US"/>
        </w:rPr>
        <w:t xml:space="preserve">. </w:t>
      </w:r>
    </w:p>
    <w:p w14:paraId="52484E6F" w14:textId="06A3D4DF" w:rsidR="00BC42C6" w:rsidRPr="00705294" w:rsidRDefault="009A5E78" w:rsidP="00AE443F">
      <w:pPr>
        <w:pStyle w:val="Mdeck4text"/>
        <w:rPr>
          <w:rFonts w:eastAsia="Calibri"/>
          <w:szCs w:val="24"/>
          <w:lang w:eastAsia="en-US"/>
        </w:rPr>
      </w:pPr>
      <w:r w:rsidRPr="00705294">
        <w:rPr>
          <w:rFonts w:eastAsia="Calibri"/>
          <w:szCs w:val="24"/>
          <w:lang w:eastAsia="en-US"/>
        </w:rPr>
        <w:t>Queer is therefore</w:t>
      </w:r>
      <w:r w:rsidR="00BC42C6" w:rsidRPr="00705294">
        <w:rPr>
          <w:rFonts w:eastAsia="Calibri"/>
          <w:szCs w:val="24"/>
          <w:lang w:eastAsia="en-US"/>
        </w:rPr>
        <w:t xml:space="preserve"> used as a verb</w:t>
      </w:r>
      <w:r w:rsidRPr="00705294">
        <w:rPr>
          <w:rFonts w:eastAsia="Calibri"/>
          <w:szCs w:val="24"/>
          <w:lang w:eastAsia="en-US"/>
        </w:rPr>
        <w:t>;</w:t>
      </w:r>
      <w:r w:rsidR="002A6F07">
        <w:rPr>
          <w:rFonts w:eastAsia="Calibri"/>
          <w:szCs w:val="24"/>
          <w:lang w:eastAsia="en-US"/>
        </w:rPr>
        <w:t xml:space="preserve"> </w:t>
      </w:r>
      <w:r w:rsidR="009A73D6">
        <w:rPr>
          <w:rFonts w:eastAsia="Calibri"/>
          <w:szCs w:val="24"/>
          <w:lang w:eastAsia="en-US"/>
        </w:rPr>
        <w:t>“</w:t>
      </w:r>
      <w:r w:rsidR="002A6F07">
        <w:rPr>
          <w:rFonts w:eastAsia="Calibri"/>
          <w:szCs w:val="24"/>
          <w:lang w:eastAsia="en-US"/>
        </w:rPr>
        <w:t>to queer</w:t>
      </w:r>
      <w:r w:rsidR="009A73D6">
        <w:rPr>
          <w:rFonts w:eastAsia="Calibri"/>
          <w:szCs w:val="24"/>
          <w:lang w:eastAsia="en-US"/>
        </w:rPr>
        <w:t>”</w:t>
      </w:r>
      <w:r w:rsidR="002A6F07">
        <w:rPr>
          <w:rFonts w:eastAsia="Calibri"/>
          <w:szCs w:val="24"/>
          <w:lang w:eastAsia="en-US"/>
        </w:rPr>
        <w:t>.</w:t>
      </w:r>
      <w:r w:rsidR="00BC42C6" w:rsidRPr="00705294">
        <w:rPr>
          <w:rFonts w:eastAsia="Calibri"/>
          <w:szCs w:val="24"/>
          <w:lang w:eastAsia="en-US"/>
        </w:rPr>
        <w:t xml:space="preserve"> Queer Theory suggests that it is through the use of binary categories that </w:t>
      </w:r>
      <w:r w:rsidR="009A73D6">
        <w:rPr>
          <w:rFonts w:eastAsia="Calibri"/>
          <w:szCs w:val="24"/>
          <w:lang w:eastAsia="en-US"/>
        </w:rPr>
        <w:t>“</w:t>
      </w:r>
      <w:r w:rsidR="00BC42C6" w:rsidRPr="00705294">
        <w:rPr>
          <w:rFonts w:eastAsia="Calibri"/>
          <w:szCs w:val="24"/>
          <w:lang w:eastAsia="en-US"/>
        </w:rPr>
        <w:t>meaning</w:t>
      </w:r>
      <w:r w:rsidR="009A73D6">
        <w:rPr>
          <w:rFonts w:eastAsia="Calibri"/>
          <w:szCs w:val="24"/>
          <w:lang w:eastAsia="en-US"/>
        </w:rPr>
        <w:t>”</w:t>
      </w:r>
      <w:r w:rsidR="00BC42C6" w:rsidRPr="00705294">
        <w:rPr>
          <w:rFonts w:eastAsia="Calibri"/>
          <w:szCs w:val="24"/>
          <w:lang w:eastAsia="en-US"/>
        </w:rPr>
        <w:t xml:space="preserve"> is created. Thus, society only understands what </w:t>
      </w:r>
      <w:r w:rsidR="009A73D6">
        <w:rPr>
          <w:rFonts w:eastAsia="Calibri"/>
          <w:szCs w:val="24"/>
          <w:lang w:eastAsia="en-US"/>
        </w:rPr>
        <w:t>“</w:t>
      </w:r>
      <w:r w:rsidR="00BC42C6" w:rsidRPr="00705294">
        <w:rPr>
          <w:rFonts w:eastAsia="Calibri"/>
          <w:szCs w:val="24"/>
          <w:lang w:eastAsia="en-US"/>
        </w:rPr>
        <w:t>homosexual</w:t>
      </w:r>
      <w:r w:rsidR="009A73D6">
        <w:rPr>
          <w:rFonts w:eastAsia="Calibri"/>
          <w:szCs w:val="24"/>
          <w:lang w:eastAsia="en-US"/>
        </w:rPr>
        <w:t>”</w:t>
      </w:r>
      <w:r w:rsidR="00BC42C6" w:rsidRPr="00705294">
        <w:rPr>
          <w:rFonts w:eastAsia="Calibri"/>
          <w:szCs w:val="24"/>
          <w:lang w:eastAsia="en-US"/>
        </w:rPr>
        <w:t xml:space="preserve"> means in relation to the concept of </w:t>
      </w:r>
      <w:r w:rsidR="009A73D6">
        <w:rPr>
          <w:rFonts w:eastAsia="Calibri"/>
          <w:szCs w:val="24"/>
          <w:lang w:eastAsia="en-US"/>
        </w:rPr>
        <w:t>“</w:t>
      </w:r>
      <w:r w:rsidR="00BC42C6" w:rsidRPr="00705294">
        <w:rPr>
          <w:rFonts w:eastAsia="Calibri"/>
          <w:szCs w:val="24"/>
          <w:lang w:eastAsia="en-US"/>
        </w:rPr>
        <w:t>heterosexual</w:t>
      </w:r>
      <w:r w:rsidR="009A73D6">
        <w:rPr>
          <w:rFonts w:eastAsia="Calibri"/>
          <w:szCs w:val="24"/>
          <w:lang w:eastAsia="en-US"/>
        </w:rPr>
        <w:t>”</w:t>
      </w:r>
      <w:r w:rsidR="00BC42C6" w:rsidRPr="00705294">
        <w:rPr>
          <w:rFonts w:eastAsia="Calibri"/>
          <w:szCs w:val="24"/>
          <w:lang w:eastAsia="en-US"/>
        </w:rPr>
        <w:t xml:space="preserve"> to which it is oppositionally positioned. Similarly, society can only understand what </w:t>
      </w:r>
      <w:r w:rsidR="009A73D6">
        <w:rPr>
          <w:rFonts w:eastAsia="Calibri"/>
          <w:szCs w:val="24"/>
          <w:lang w:eastAsia="en-US"/>
        </w:rPr>
        <w:t>“</w:t>
      </w:r>
      <w:r w:rsidR="00BC42C6" w:rsidRPr="00705294">
        <w:rPr>
          <w:rFonts w:eastAsia="Calibri"/>
          <w:szCs w:val="24"/>
          <w:lang w:eastAsia="en-US"/>
        </w:rPr>
        <w:t>man</w:t>
      </w:r>
      <w:r w:rsidR="009A73D6">
        <w:rPr>
          <w:rFonts w:eastAsia="Calibri"/>
          <w:szCs w:val="24"/>
          <w:lang w:eastAsia="en-US"/>
        </w:rPr>
        <w:t>”</w:t>
      </w:r>
      <w:r w:rsidR="00BC42C6" w:rsidRPr="00705294">
        <w:rPr>
          <w:rFonts w:eastAsia="Calibri"/>
          <w:szCs w:val="24"/>
          <w:lang w:eastAsia="en-US"/>
        </w:rPr>
        <w:t xml:space="preserve"> means in re</w:t>
      </w:r>
      <w:r w:rsidR="002A6F07">
        <w:rPr>
          <w:rFonts w:eastAsia="Calibri"/>
          <w:szCs w:val="24"/>
          <w:lang w:eastAsia="en-US"/>
        </w:rPr>
        <w:t xml:space="preserve">lation to the concept of </w:t>
      </w:r>
      <w:r w:rsidR="009A73D6">
        <w:rPr>
          <w:rFonts w:eastAsia="Calibri"/>
          <w:szCs w:val="24"/>
          <w:lang w:eastAsia="en-US"/>
        </w:rPr>
        <w:t>“</w:t>
      </w:r>
      <w:r w:rsidR="002A6F07">
        <w:rPr>
          <w:rFonts w:eastAsia="Calibri"/>
          <w:szCs w:val="24"/>
          <w:lang w:eastAsia="en-US"/>
        </w:rPr>
        <w:t>woman</w:t>
      </w:r>
      <w:r w:rsidR="009A73D6">
        <w:rPr>
          <w:rFonts w:eastAsia="Calibri"/>
          <w:szCs w:val="24"/>
          <w:lang w:eastAsia="en-US"/>
        </w:rPr>
        <w:t>”</w:t>
      </w:r>
      <w:r w:rsidR="002A6F07">
        <w:rPr>
          <w:rFonts w:eastAsia="Calibri"/>
          <w:szCs w:val="24"/>
          <w:lang w:eastAsia="en-US"/>
        </w:rPr>
        <w:t>,</w:t>
      </w:r>
      <w:r w:rsidR="00BC42C6" w:rsidRPr="00705294">
        <w:rPr>
          <w:rFonts w:eastAsia="Calibri"/>
          <w:szCs w:val="24"/>
          <w:lang w:eastAsia="en-US"/>
        </w:rPr>
        <w:t xml:space="preserve"> which again is constructed and positioned as the opposite. Although the terms in these binaries appear fixed and natural, as Stychin argues, they are actually contingent and socially constructed and are far</w:t>
      </w:r>
      <w:r w:rsidR="004774D1" w:rsidRPr="00705294">
        <w:rPr>
          <w:rFonts w:eastAsia="Calibri"/>
          <w:szCs w:val="24"/>
          <w:lang w:eastAsia="en-US"/>
        </w:rPr>
        <w:t xml:space="preserve"> from being natural or fixed [</w:t>
      </w:r>
      <w:r w:rsidR="005D62AC">
        <w:rPr>
          <w:rFonts w:eastAsia="Calibri"/>
          <w:color w:val="auto"/>
          <w:szCs w:val="24"/>
          <w:lang w:eastAsia="en-US"/>
        </w:rPr>
        <w:t>3</w:t>
      </w:r>
      <w:r w:rsidR="00A86028">
        <w:rPr>
          <w:rFonts w:eastAsia="Calibri"/>
          <w:color w:val="auto"/>
          <w:szCs w:val="24"/>
          <w:lang w:eastAsia="en-US"/>
        </w:rPr>
        <w:t>0</w:t>
      </w:r>
      <w:r w:rsidR="00BC42C6" w:rsidRPr="00705294">
        <w:rPr>
          <w:rFonts w:eastAsia="Calibri"/>
          <w:szCs w:val="24"/>
          <w:lang w:eastAsia="en-US"/>
        </w:rPr>
        <w:t xml:space="preserve">]. </w:t>
      </w:r>
    </w:p>
    <w:p w14:paraId="3AF5C786" w14:textId="77777777" w:rsidR="00BC42C6" w:rsidRPr="00705294" w:rsidRDefault="00BC42C6" w:rsidP="00AE443F">
      <w:pPr>
        <w:pStyle w:val="Mdeck4text"/>
        <w:rPr>
          <w:rFonts w:eastAsia="Calibri"/>
          <w:szCs w:val="24"/>
          <w:lang w:eastAsia="en-US"/>
        </w:rPr>
      </w:pPr>
      <w:r w:rsidRPr="00705294">
        <w:rPr>
          <w:rFonts w:eastAsia="Calibri"/>
          <w:szCs w:val="24"/>
          <w:lang w:eastAsia="en-US"/>
        </w:rPr>
        <w:t xml:space="preserve">Queer Theory owes its intellectual roots to feminist theory, gender studies and to certain key writers such as Judith Butler, Jacques Derrida, Michel Foucault, Eve Kosofsky Sedgwick and Adrienne Rich. The person </w:t>
      </w:r>
      <w:r w:rsidR="001D08F0" w:rsidRPr="00705294">
        <w:rPr>
          <w:rFonts w:eastAsia="Calibri"/>
          <w:szCs w:val="24"/>
          <w:lang w:eastAsia="en-US"/>
        </w:rPr>
        <w:t xml:space="preserve">commonly </w:t>
      </w:r>
      <w:r w:rsidRPr="00705294">
        <w:rPr>
          <w:rFonts w:eastAsia="Calibri"/>
          <w:szCs w:val="24"/>
          <w:lang w:eastAsia="en-US"/>
        </w:rPr>
        <w:t xml:space="preserve">credited with introducing the phrase was Teresa de Lauretis, who meant it to indicate at least three interrelated critical projects: </w:t>
      </w:r>
    </w:p>
    <w:p w14:paraId="01F4394C" w14:textId="77777777" w:rsidR="00BC42C6" w:rsidRPr="00705294" w:rsidRDefault="00BC42C6" w:rsidP="00DD1317">
      <w:pPr>
        <w:numPr>
          <w:ilvl w:val="0"/>
          <w:numId w:val="1"/>
        </w:numPr>
        <w:autoSpaceDE w:val="0"/>
        <w:autoSpaceDN w:val="0"/>
        <w:adjustRightInd w:val="0"/>
        <w:snapToGrid w:val="0"/>
        <w:spacing w:before="120"/>
        <w:ind w:left="709" w:hanging="425"/>
        <w:rPr>
          <w:rFonts w:eastAsia="Calibri"/>
          <w:color w:val="auto"/>
          <w:szCs w:val="24"/>
          <w:lang w:val="en-US" w:eastAsia="en-US"/>
        </w:rPr>
      </w:pPr>
      <w:r w:rsidRPr="00705294">
        <w:rPr>
          <w:rFonts w:eastAsia="Calibri"/>
          <w:color w:val="auto"/>
          <w:szCs w:val="24"/>
          <w:lang w:val="en-US" w:eastAsia="en-US"/>
        </w:rPr>
        <w:t xml:space="preserve">a refusal of heterosexuality as the benchmark for all sexual formations; </w:t>
      </w:r>
    </w:p>
    <w:p w14:paraId="1146D561" w14:textId="77777777" w:rsidR="00BC42C6" w:rsidRPr="00705294" w:rsidRDefault="00BC42C6" w:rsidP="00DD1317">
      <w:pPr>
        <w:numPr>
          <w:ilvl w:val="0"/>
          <w:numId w:val="1"/>
        </w:numPr>
        <w:autoSpaceDE w:val="0"/>
        <w:autoSpaceDN w:val="0"/>
        <w:adjustRightInd w:val="0"/>
        <w:snapToGrid w:val="0"/>
        <w:ind w:left="709" w:hanging="425"/>
        <w:rPr>
          <w:rFonts w:eastAsia="Calibri"/>
          <w:color w:val="auto"/>
          <w:szCs w:val="24"/>
          <w:lang w:val="en-US" w:eastAsia="en-US"/>
        </w:rPr>
      </w:pPr>
      <w:r w:rsidRPr="00705294">
        <w:rPr>
          <w:rFonts w:eastAsia="Calibri"/>
          <w:color w:val="auto"/>
          <w:szCs w:val="24"/>
          <w:lang w:val="en-US" w:eastAsia="en-US"/>
        </w:rPr>
        <w:t xml:space="preserve">an attentiveness to gender capable of interrogating the frequent assumption that lesbian and gay studies is a single, homogeneous object; </w:t>
      </w:r>
    </w:p>
    <w:p w14:paraId="6574A9A1" w14:textId="44D1E261" w:rsidR="00BC42C6" w:rsidRPr="00705294" w:rsidRDefault="00BC42C6" w:rsidP="006C5E7A">
      <w:pPr>
        <w:numPr>
          <w:ilvl w:val="0"/>
          <w:numId w:val="1"/>
        </w:numPr>
        <w:autoSpaceDE w:val="0"/>
        <w:autoSpaceDN w:val="0"/>
        <w:adjustRightInd w:val="0"/>
        <w:snapToGrid w:val="0"/>
        <w:spacing w:after="120"/>
        <w:rPr>
          <w:rFonts w:eastAsia="Calibri"/>
          <w:color w:val="auto"/>
          <w:szCs w:val="24"/>
          <w:lang w:val="en-US" w:eastAsia="en-US"/>
        </w:rPr>
      </w:pPr>
      <w:r w:rsidRPr="00705294">
        <w:rPr>
          <w:rFonts w:eastAsia="Calibri"/>
          <w:color w:val="auto"/>
          <w:szCs w:val="24"/>
          <w:lang w:val="en-US" w:eastAsia="en-US"/>
        </w:rPr>
        <w:lastRenderedPageBreak/>
        <w:t xml:space="preserve">an insistence on the multiple ways in which race crucially shapes sexual subjectivities. She welcomed it saying that </w:t>
      </w:r>
      <w:r w:rsidR="001D08F0" w:rsidRPr="00705294">
        <w:rPr>
          <w:rFonts w:eastAsia="Calibri"/>
          <w:color w:val="auto"/>
          <w:szCs w:val="24"/>
          <w:lang w:val="en-US" w:eastAsia="en-US"/>
        </w:rPr>
        <w:t xml:space="preserve">it was </w:t>
      </w:r>
      <w:r w:rsidR="009A73D6">
        <w:rPr>
          <w:rFonts w:eastAsia="Calibri"/>
          <w:color w:val="auto"/>
          <w:szCs w:val="24"/>
          <w:lang w:val="en-US" w:eastAsia="en-US"/>
        </w:rPr>
        <w:t>“</w:t>
      </w:r>
      <w:r w:rsidRPr="00705294">
        <w:rPr>
          <w:rFonts w:eastAsia="Calibri"/>
          <w:color w:val="auto"/>
          <w:szCs w:val="24"/>
          <w:lang w:val="en-US" w:eastAsia="en-US"/>
        </w:rPr>
        <w:t>another discursive horizon, anothe</w:t>
      </w:r>
      <w:r w:rsidR="00D71480" w:rsidRPr="00705294">
        <w:rPr>
          <w:rFonts w:eastAsia="Calibri"/>
          <w:color w:val="auto"/>
          <w:szCs w:val="24"/>
          <w:lang w:val="en-US" w:eastAsia="en-US"/>
        </w:rPr>
        <w:t xml:space="preserve">r way of thinking the sexual </w:t>
      </w:r>
      <w:r w:rsidR="006C5E7A">
        <w:rPr>
          <w:rFonts w:eastAsia="Calibri"/>
          <w:color w:val="auto"/>
          <w:szCs w:val="24"/>
          <w:lang w:val="en-US" w:eastAsia="en-US"/>
        </w:rPr>
        <w:t>(</w:t>
      </w:r>
      <w:r w:rsidR="00D71480" w:rsidRPr="00705294">
        <w:rPr>
          <w:rFonts w:eastAsia="Calibri"/>
          <w:color w:val="auto"/>
          <w:szCs w:val="24"/>
          <w:lang w:val="en-US" w:eastAsia="en-US"/>
        </w:rPr>
        <w:t>[</w:t>
      </w:r>
      <w:r w:rsidR="005D62AC">
        <w:rPr>
          <w:rFonts w:eastAsia="Calibri"/>
          <w:color w:val="auto"/>
          <w:szCs w:val="24"/>
          <w:lang w:val="en-US" w:eastAsia="en-US"/>
        </w:rPr>
        <w:t>3</w:t>
      </w:r>
      <w:r w:rsidR="00A86028">
        <w:rPr>
          <w:rFonts w:eastAsia="Calibri"/>
          <w:color w:val="auto"/>
          <w:szCs w:val="24"/>
          <w:lang w:val="en-US" w:eastAsia="en-US"/>
        </w:rPr>
        <w:t>1</w:t>
      </w:r>
      <w:r w:rsidR="006C5E7A">
        <w:rPr>
          <w:rFonts w:eastAsia="Calibri"/>
          <w:color w:val="auto"/>
          <w:szCs w:val="24"/>
          <w:lang w:val="en-US" w:eastAsia="en-US"/>
        </w:rPr>
        <w:t>]</w:t>
      </w:r>
      <w:r w:rsidR="006C5E7A" w:rsidRPr="006C5E7A">
        <w:rPr>
          <w:rFonts w:eastAsia="Calibri"/>
          <w:color w:val="auto"/>
          <w:szCs w:val="24"/>
          <w:lang w:val="en-US" w:eastAsia="en-US"/>
        </w:rPr>
        <w:t>, p.</w:t>
      </w:r>
      <w:r w:rsidR="006C5E7A">
        <w:rPr>
          <w:rFonts w:eastAsia="Calibri"/>
          <w:color w:val="auto"/>
          <w:szCs w:val="24"/>
          <w:lang w:val="en-US" w:eastAsia="en-US"/>
        </w:rPr>
        <w:t xml:space="preserve"> </w:t>
      </w:r>
      <w:proofErr w:type="gramStart"/>
      <w:r w:rsidR="006C5E7A" w:rsidRPr="006C5E7A">
        <w:rPr>
          <w:rFonts w:eastAsia="Calibri"/>
          <w:color w:val="auto"/>
          <w:szCs w:val="24"/>
          <w:lang w:val="en-US" w:eastAsia="en-US"/>
        </w:rPr>
        <w:t>iv</w:t>
      </w:r>
      <w:proofErr w:type="gramEnd"/>
      <w:r w:rsidR="006C5E7A">
        <w:rPr>
          <w:rFonts w:eastAsia="Calibri"/>
          <w:color w:val="auto"/>
          <w:szCs w:val="24"/>
          <w:lang w:val="en-US" w:eastAsia="en-US"/>
        </w:rPr>
        <w:t>)</w:t>
      </w:r>
      <w:r w:rsidRPr="00705294">
        <w:rPr>
          <w:rFonts w:eastAsia="Calibri"/>
          <w:color w:val="auto"/>
          <w:szCs w:val="24"/>
          <w:lang w:val="en-US" w:eastAsia="en-US"/>
        </w:rPr>
        <w:t>.</w:t>
      </w:r>
      <w:r w:rsidR="009A73D6">
        <w:rPr>
          <w:rFonts w:eastAsia="Calibri"/>
          <w:color w:val="auto"/>
          <w:szCs w:val="24"/>
          <w:lang w:val="en-US" w:eastAsia="en-US"/>
        </w:rPr>
        <w:t>”</w:t>
      </w:r>
      <w:r w:rsidRPr="00705294">
        <w:rPr>
          <w:rFonts w:eastAsia="Calibri"/>
          <w:color w:val="auto"/>
          <w:szCs w:val="24"/>
          <w:lang w:val="en-US" w:eastAsia="en-US"/>
        </w:rPr>
        <w:t xml:space="preserve"> </w:t>
      </w:r>
    </w:p>
    <w:p w14:paraId="479C6998" w14:textId="09A46E15" w:rsidR="00BC42C6" w:rsidRPr="00705294" w:rsidRDefault="00BC42C6" w:rsidP="00737741">
      <w:pPr>
        <w:pStyle w:val="Mdeck4text"/>
        <w:rPr>
          <w:rFonts w:eastAsia="Calibri"/>
          <w:szCs w:val="24"/>
          <w:lang w:eastAsia="en-US"/>
        </w:rPr>
      </w:pPr>
      <w:r w:rsidRPr="00705294">
        <w:rPr>
          <w:rFonts w:eastAsia="Calibri"/>
          <w:szCs w:val="24"/>
          <w:lang w:eastAsia="en-US"/>
        </w:rPr>
        <w:t xml:space="preserve">Drawing upon </w:t>
      </w:r>
      <w:r w:rsidR="00DC5204" w:rsidRPr="00705294">
        <w:rPr>
          <w:rFonts w:eastAsia="Calibri"/>
          <w:szCs w:val="24"/>
          <w:lang w:eastAsia="en-US"/>
        </w:rPr>
        <w:t xml:space="preserve">some of </w:t>
      </w:r>
      <w:r w:rsidRPr="00705294">
        <w:rPr>
          <w:rFonts w:eastAsia="Calibri"/>
          <w:szCs w:val="24"/>
          <w:lang w:eastAsia="en-US"/>
        </w:rPr>
        <w:t>Foucault</w:t>
      </w:r>
      <w:r w:rsidR="00995E41">
        <w:rPr>
          <w:rFonts w:eastAsia="Calibri"/>
          <w:szCs w:val="24"/>
          <w:lang w:eastAsia="en-US"/>
        </w:rPr>
        <w:t>’</w:t>
      </w:r>
      <w:r w:rsidRPr="00705294">
        <w:rPr>
          <w:rFonts w:eastAsia="Calibri"/>
          <w:szCs w:val="24"/>
          <w:lang w:eastAsia="en-US"/>
        </w:rPr>
        <w:t>s work on sexuality and his notion that bodies are given meaning by discourse and social structures of knowledge and power, Queer Theory aimed to challenge the categori</w:t>
      </w:r>
      <w:r w:rsidR="00705294">
        <w:rPr>
          <w:rFonts w:eastAsia="Calibri"/>
          <w:szCs w:val="24"/>
          <w:lang w:eastAsia="en-US"/>
        </w:rPr>
        <w:t>z</w:t>
      </w:r>
      <w:r w:rsidRPr="00705294">
        <w:rPr>
          <w:rFonts w:eastAsia="Calibri"/>
          <w:szCs w:val="24"/>
          <w:lang w:eastAsia="en-US"/>
        </w:rPr>
        <w:t>ation(s) of gender and sexuality. It was a political and theoretical critique of heteronormativity</w:t>
      </w:r>
      <w:r w:rsidR="00DC5204" w:rsidRPr="00705294">
        <w:rPr>
          <w:rFonts w:eastAsia="Calibri"/>
          <w:szCs w:val="24"/>
          <w:lang w:eastAsia="en-US"/>
        </w:rPr>
        <w:t>,</w:t>
      </w:r>
      <w:r w:rsidR="00705294" w:rsidRPr="00705294">
        <w:rPr>
          <w:rFonts w:eastAsia="Calibri"/>
          <w:i/>
          <w:szCs w:val="24"/>
          <w:lang w:eastAsia="en-US"/>
        </w:rPr>
        <w:t xml:space="preserve"> i.e</w:t>
      </w:r>
      <w:r w:rsidR="00DC5204" w:rsidRPr="00705294">
        <w:rPr>
          <w:rFonts w:eastAsia="Calibri"/>
          <w:szCs w:val="24"/>
          <w:lang w:eastAsia="en-US"/>
        </w:rPr>
        <w:t>., a critique of</w:t>
      </w:r>
      <w:r w:rsidRPr="00705294">
        <w:rPr>
          <w:rFonts w:eastAsia="Calibri"/>
          <w:szCs w:val="24"/>
          <w:lang w:eastAsia="en-US"/>
        </w:rPr>
        <w:t xml:space="preserve"> the institutions, structures, relations and acts that maintain heterosexuality as homogeneous, natural and all-embracing</w:t>
      </w:r>
      <w:r w:rsidRPr="00705294">
        <w:rPr>
          <w:szCs w:val="24"/>
          <w:lang w:eastAsia="en-US"/>
        </w:rPr>
        <w:t>.</w:t>
      </w:r>
      <w:r w:rsidRPr="00705294">
        <w:rPr>
          <w:rFonts w:eastAsia="Calibri"/>
          <w:szCs w:val="24"/>
          <w:lang w:eastAsia="en-US"/>
        </w:rPr>
        <w:t xml:space="preserve"> </w:t>
      </w:r>
    </w:p>
    <w:p w14:paraId="568BB978" w14:textId="77777777" w:rsidR="00434D17" w:rsidRPr="00705294" w:rsidRDefault="004F6D7F" w:rsidP="00737741">
      <w:pPr>
        <w:pStyle w:val="Mdeck4heading2"/>
        <w:rPr>
          <w:szCs w:val="24"/>
          <w:lang w:eastAsia="en-US"/>
        </w:rPr>
      </w:pPr>
      <w:r w:rsidRPr="00705294">
        <w:rPr>
          <w:szCs w:val="24"/>
        </w:rPr>
        <w:t xml:space="preserve">4.2. Praise, </w:t>
      </w:r>
      <w:r w:rsidR="000B0C86" w:rsidRPr="00705294">
        <w:rPr>
          <w:szCs w:val="24"/>
        </w:rPr>
        <w:t xml:space="preserve">Criticism </w:t>
      </w:r>
      <w:r w:rsidRPr="00705294">
        <w:rPr>
          <w:szCs w:val="24"/>
        </w:rPr>
        <w:t xml:space="preserve">and </w:t>
      </w:r>
      <w:r w:rsidR="000B0C86" w:rsidRPr="00705294">
        <w:rPr>
          <w:szCs w:val="24"/>
        </w:rPr>
        <w:t xml:space="preserve">Constraints </w:t>
      </w:r>
      <w:r w:rsidRPr="00705294">
        <w:rPr>
          <w:szCs w:val="24"/>
        </w:rPr>
        <w:t>of Queer Theory</w:t>
      </w:r>
    </w:p>
    <w:p w14:paraId="495714D9" w14:textId="2265A3E4" w:rsidR="004F6D7F" w:rsidRPr="00705294" w:rsidRDefault="00705294" w:rsidP="00737741">
      <w:pPr>
        <w:pStyle w:val="Mdeck4text"/>
        <w:rPr>
          <w:rFonts w:eastAsia="Calibri"/>
          <w:szCs w:val="24"/>
          <w:lang w:eastAsia="en-US"/>
        </w:rPr>
      </w:pPr>
      <w:r>
        <w:rPr>
          <w:rFonts w:eastAsia="Calibri"/>
          <w:szCs w:val="24"/>
          <w:lang w:eastAsia="en-US"/>
        </w:rPr>
        <w:t xml:space="preserve">Thus </w:t>
      </w:r>
      <w:r w:rsidR="004F6D7F" w:rsidRPr="00705294">
        <w:rPr>
          <w:rFonts w:eastAsia="Calibri"/>
          <w:szCs w:val="24"/>
          <w:lang w:eastAsia="en-US"/>
        </w:rPr>
        <w:t xml:space="preserve">potentially, there is much to commend an engagement with Queer Theory and of </w:t>
      </w:r>
      <w:r>
        <w:rPr>
          <w:rFonts w:eastAsia="Calibri"/>
          <w:szCs w:val="24"/>
          <w:lang w:eastAsia="en-US"/>
        </w:rPr>
        <w:t>utilizing</w:t>
      </w:r>
      <w:r w:rsidR="004F6D7F" w:rsidRPr="00705294">
        <w:rPr>
          <w:rFonts w:eastAsia="Calibri"/>
          <w:szCs w:val="24"/>
          <w:lang w:eastAsia="en-US"/>
        </w:rPr>
        <w:t xml:space="preserve"> the methodological tools it provides in order to challenge some of the essentialist notions supporting ideas of a core identity, or a natural, innate, inborn </w:t>
      </w:r>
      <w:r w:rsidR="009A73D6">
        <w:rPr>
          <w:rFonts w:eastAsia="Calibri"/>
          <w:szCs w:val="24"/>
          <w:lang w:eastAsia="en-US"/>
        </w:rPr>
        <w:t>“</w:t>
      </w:r>
      <w:r w:rsidR="004F6D7F" w:rsidRPr="00705294">
        <w:rPr>
          <w:rFonts w:eastAsia="Calibri"/>
          <w:szCs w:val="24"/>
          <w:lang w:eastAsia="en-US"/>
        </w:rPr>
        <w:t>self</w:t>
      </w:r>
      <w:r w:rsidR="009A73D6">
        <w:rPr>
          <w:rFonts w:eastAsia="Calibri"/>
          <w:szCs w:val="24"/>
          <w:lang w:eastAsia="en-US"/>
        </w:rPr>
        <w:t>”</w:t>
      </w:r>
      <w:r w:rsidR="004F6D7F" w:rsidRPr="00705294">
        <w:rPr>
          <w:rFonts w:eastAsia="Calibri"/>
          <w:szCs w:val="24"/>
          <w:lang w:eastAsia="en-US"/>
        </w:rPr>
        <w:t xml:space="preserve">. Indeed, Queer Theory has been instrumental in destabilizing and deconstructing some heterosexist norms. One of the main attractions of Queer Theory, therefore, is that it strives to avoid the damaging essentialist meaning often presumed by the terms </w:t>
      </w:r>
      <w:r w:rsidR="009A73D6">
        <w:rPr>
          <w:rFonts w:eastAsia="Calibri"/>
          <w:szCs w:val="24"/>
          <w:lang w:eastAsia="en-US"/>
        </w:rPr>
        <w:t>“</w:t>
      </w:r>
      <w:r w:rsidR="004F6D7F" w:rsidRPr="00705294">
        <w:rPr>
          <w:rFonts w:eastAsia="Calibri"/>
          <w:szCs w:val="24"/>
          <w:lang w:eastAsia="en-US"/>
        </w:rPr>
        <w:t>heterosexuality</w:t>
      </w:r>
      <w:r w:rsidR="009A73D6">
        <w:rPr>
          <w:rFonts w:eastAsia="Calibri"/>
          <w:szCs w:val="24"/>
          <w:lang w:eastAsia="en-US"/>
        </w:rPr>
        <w:t>”</w:t>
      </w:r>
      <w:r w:rsidR="004F6D7F" w:rsidRPr="00705294">
        <w:rPr>
          <w:rFonts w:eastAsia="Calibri"/>
          <w:szCs w:val="24"/>
          <w:lang w:eastAsia="en-US"/>
        </w:rPr>
        <w:t xml:space="preserve">, </w:t>
      </w:r>
      <w:r w:rsidR="009A73D6">
        <w:rPr>
          <w:rFonts w:eastAsia="Calibri"/>
          <w:szCs w:val="24"/>
          <w:lang w:eastAsia="en-US"/>
        </w:rPr>
        <w:t>“</w:t>
      </w:r>
      <w:r w:rsidR="004F6D7F" w:rsidRPr="00705294">
        <w:rPr>
          <w:rFonts w:eastAsia="Calibri"/>
          <w:szCs w:val="24"/>
          <w:lang w:eastAsia="en-US"/>
        </w:rPr>
        <w:t>homosexuality</w:t>
      </w:r>
      <w:r w:rsidR="009A73D6">
        <w:rPr>
          <w:rFonts w:eastAsia="Calibri"/>
          <w:szCs w:val="24"/>
          <w:lang w:eastAsia="en-US"/>
        </w:rPr>
        <w:t>”</w:t>
      </w:r>
      <w:r w:rsidR="004F6D7F" w:rsidRPr="00705294">
        <w:rPr>
          <w:rFonts w:eastAsia="Calibri"/>
          <w:szCs w:val="24"/>
          <w:lang w:eastAsia="en-US"/>
        </w:rPr>
        <w:t xml:space="preserve">, </w:t>
      </w:r>
      <w:r w:rsidR="009A73D6">
        <w:rPr>
          <w:rFonts w:eastAsia="Calibri"/>
          <w:szCs w:val="24"/>
          <w:lang w:eastAsia="en-US"/>
        </w:rPr>
        <w:t>“</w:t>
      </w:r>
      <w:r w:rsidR="004F6D7F" w:rsidRPr="00705294">
        <w:rPr>
          <w:rFonts w:eastAsia="Calibri"/>
          <w:szCs w:val="24"/>
          <w:lang w:eastAsia="en-US"/>
        </w:rPr>
        <w:t>lesbian</w:t>
      </w:r>
      <w:r w:rsidR="009A73D6">
        <w:rPr>
          <w:rFonts w:eastAsia="Calibri"/>
          <w:szCs w:val="24"/>
          <w:lang w:eastAsia="en-US"/>
        </w:rPr>
        <w:t>”</w:t>
      </w:r>
      <w:r w:rsidR="004F6D7F" w:rsidRPr="00705294">
        <w:rPr>
          <w:rFonts w:eastAsia="Calibri"/>
          <w:szCs w:val="24"/>
          <w:lang w:eastAsia="en-US"/>
        </w:rPr>
        <w:t xml:space="preserve"> and </w:t>
      </w:r>
      <w:r w:rsidR="009A73D6">
        <w:rPr>
          <w:rFonts w:eastAsia="Calibri"/>
          <w:szCs w:val="24"/>
          <w:lang w:eastAsia="en-US"/>
        </w:rPr>
        <w:t>“</w:t>
      </w:r>
      <w:r w:rsidR="004F6D7F" w:rsidRPr="00705294">
        <w:rPr>
          <w:rFonts w:eastAsia="Calibri"/>
          <w:szCs w:val="24"/>
          <w:lang w:eastAsia="en-US"/>
        </w:rPr>
        <w:t>gay</w:t>
      </w:r>
      <w:r w:rsidR="009A73D6">
        <w:rPr>
          <w:rFonts w:eastAsia="Calibri"/>
          <w:szCs w:val="24"/>
          <w:lang w:eastAsia="en-US"/>
        </w:rPr>
        <w:t>”</w:t>
      </w:r>
      <w:r w:rsidR="00D71480" w:rsidRPr="00705294">
        <w:rPr>
          <w:rFonts w:eastAsia="Calibri"/>
          <w:szCs w:val="24"/>
          <w:lang w:eastAsia="en-US"/>
        </w:rPr>
        <w:t xml:space="preserve"> [</w:t>
      </w:r>
      <w:r w:rsidR="005D62AC">
        <w:rPr>
          <w:rFonts w:eastAsia="Calibri"/>
          <w:color w:val="auto"/>
          <w:szCs w:val="24"/>
          <w:lang w:eastAsia="en-US"/>
        </w:rPr>
        <w:t>3</w:t>
      </w:r>
      <w:r w:rsidR="00A86028">
        <w:rPr>
          <w:rFonts w:eastAsia="Calibri"/>
          <w:color w:val="auto"/>
          <w:szCs w:val="24"/>
          <w:lang w:eastAsia="en-US"/>
        </w:rPr>
        <w:t>2</w:t>
      </w:r>
      <w:r w:rsidR="00E565A0" w:rsidRPr="00705294">
        <w:rPr>
          <w:rFonts w:eastAsia="Calibri"/>
          <w:szCs w:val="24"/>
          <w:lang w:eastAsia="en-US"/>
        </w:rPr>
        <w:t>].</w:t>
      </w:r>
      <w:r w:rsidR="00231416" w:rsidRPr="00705294">
        <w:rPr>
          <w:rFonts w:eastAsia="Calibri"/>
          <w:szCs w:val="24"/>
          <w:lang w:eastAsia="en-US"/>
        </w:rPr>
        <w:t xml:space="preserve"> </w:t>
      </w:r>
      <w:r w:rsidR="004F6D7F" w:rsidRPr="00705294">
        <w:rPr>
          <w:rFonts w:eastAsia="Calibri"/>
          <w:szCs w:val="24"/>
          <w:lang w:eastAsia="en-US"/>
        </w:rPr>
        <w:t>For Queer Theory, therefore, the concepts of individuali</w:t>
      </w:r>
      <w:r>
        <w:rPr>
          <w:rFonts w:eastAsia="Calibri"/>
          <w:szCs w:val="24"/>
          <w:lang w:eastAsia="en-US"/>
        </w:rPr>
        <w:t>z</w:t>
      </w:r>
      <w:r w:rsidR="004F6D7F" w:rsidRPr="00705294">
        <w:rPr>
          <w:rFonts w:eastAsia="Calibri"/>
          <w:szCs w:val="24"/>
          <w:lang w:eastAsia="en-US"/>
        </w:rPr>
        <w:t>ed and compartmentali</w:t>
      </w:r>
      <w:r>
        <w:rPr>
          <w:rFonts w:eastAsia="Calibri"/>
          <w:szCs w:val="24"/>
          <w:lang w:eastAsia="en-US"/>
        </w:rPr>
        <w:t>z</w:t>
      </w:r>
      <w:r w:rsidR="004F6D7F" w:rsidRPr="00705294">
        <w:rPr>
          <w:rFonts w:eastAsia="Calibri"/>
          <w:szCs w:val="24"/>
          <w:lang w:eastAsia="en-US"/>
        </w:rPr>
        <w:t>ed sexualities cease to exist because there is no subject and no definite distinction m</w:t>
      </w:r>
      <w:r w:rsidR="00D71480" w:rsidRPr="00705294">
        <w:rPr>
          <w:rFonts w:eastAsia="Calibri"/>
          <w:szCs w:val="24"/>
          <w:lang w:eastAsia="en-US"/>
        </w:rPr>
        <w:t xml:space="preserve">ade between these categories </w:t>
      </w:r>
      <w:r w:rsidR="001712A7">
        <w:rPr>
          <w:rFonts w:eastAsia="Calibri"/>
          <w:szCs w:val="24"/>
          <w:lang w:eastAsia="en-US"/>
        </w:rPr>
        <w:t>(</w:t>
      </w:r>
      <w:r w:rsidR="00D71480" w:rsidRPr="00705294">
        <w:rPr>
          <w:rFonts w:eastAsia="Calibri"/>
          <w:szCs w:val="24"/>
          <w:lang w:eastAsia="en-US"/>
        </w:rPr>
        <w:t>[</w:t>
      </w:r>
      <w:r w:rsidR="005D62AC">
        <w:rPr>
          <w:rFonts w:eastAsia="Calibri"/>
          <w:color w:val="auto"/>
          <w:szCs w:val="24"/>
          <w:lang w:eastAsia="en-US"/>
        </w:rPr>
        <w:t>3</w:t>
      </w:r>
      <w:r w:rsidR="00A86028">
        <w:rPr>
          <w:rFonts w:eastAsia="Calibri"/>
          <w:color w:val="auto"/>
          <w:szCs w:val="24"/>
          <w:lang w:eastAsia="en-US"/>
        </w:rPr>
        <w:t>3</w:t>
      </w:r>
      <w:r w:rsidR="001712A7">
        <w:rPr>
          <w:rFonts w:eastAsia="Calibri"/>
          <w:color w:val="auto"/>
          <w:szCs w:val="24"/>
          <w:lang w:eastAsia="en-US"/>
        </w:rPr>
        <w:t>]</w:t>
      </w:r>
      <w:r w:rsidR="001712A7" w:rsidRPr="001712A7">
        <w:rPr>
          <w:rFonts w:eastAsia="Calibri"/>
          <w:color w:val="auto"/>
          <w:szCs w:val="24"/>
          <w:lang w:eastAsia="en-US"/>
        </w:rPr>
        <w:t>, p. 453</w:t>
      </w:r>
      <w:r w:rsidR="001712A7">
        <w:rPr>
          <w:rFonts w:eastAsia="Calibri"/>
          <w:color w:val="auto"/>
          <w:szCs w:val="24"/>
          <w:lang w:eastAsia="en-US"/>
        </w:rPr>
        <w:t>)</w:t>
      </w:r>
      <w:r w:rsidR="004F6D7F" w:rsidRPr="00705294">
        <w:rPr>
          <w:rFonts w:eastAsia="Calibri"/>
          <w:szCs w:val="24"/>
          <w:lang w:eastAsia="en-US"/>
        </w:rPr>
        <w:t xml:space="preserve">. For Queer Theory, there is only discourse. </w:t>
      </w:r>
    </w:p>
    <w:p w14:paraId="2CC7A405" w14:textId="051B9945" w:rsidR="004F6D7F" w:rsidRPr="00705294" w:rsidRDefault="004F6D7F" w:rsidP="00737741">
      <w:pPr>
        <w:pStyle w:val="Mdeck4text"/>
        <w:rPr>
          <w:rFonts w:eastAsia="Calibri"/>
          <w:szCs w:val="24"/>
          <w:lang w:eastAsia="en-US"/>
        </w:rPr>
      </w:pPr>
      <w:r w:rsidRPr="00705294">
        <w:rPr>
          <w:rFonts w:eastAsia="Calibri"/>
          <w:szCs w:val="24"/>
          <w:lang w:eastAsia="en-US"/>
        </w:rPr>
        <w:t xml:space="preserve">However, Queer Theory promised so much and delivered so little. Queer Theory was an exciting project, and I for one am deeply saddened that it has not delivered on its promises. To some, Queer Theory has had it day and </w:t>
      </w:r>
      <w:r w:rsidR="009A73D6">
        <w:rPr>
          <w:rFonts w:eastAsia="Calibri"/>
          <w:szCs w:val="24"/>
          <w:lang w:eastAsia="en-US"/>
        </w:rPr>
        <w:t>“</w:t>
      </w:r>
      <w:r w:rsidRPr="00705294">
        <w:rPr>
          <w:rFonts w:eastAsia="Calibri"/>
          <w:szCs w:val="24"/>
          <w:lang w:eastAsia="en-US"/>
        </w:rPr>
        <w:t xml:space="preserve">its project made obsolete by the full </w:t>
      </w:r>
      <w:r w:rsidR="00D71480" w:rsidRPr="00705294">
        <w:rPr>
          <w:rFonts w:eastAsia="Calibri"/>
          <w:szCs w:val="24"/>
          <w:lang w:eastAsia="en-US"/>
        </w:rPr>
        <w:t>elaboration of its own logic [</w:t>
      </w:r>
      <w:r w:rsidR="005D62AC">
        <w:rPr>
          <w:rFonts w:eastAsia="Calibri"/>
          <w:color w:val="auto"/>
          <w:szCs w:val="24"/>
          <w:lang w:eastAsia="en-US"/>
        </w:rPr>
        <w:t>3</w:t>
      </w:r>
      <w:r w:rsidR="00A86028">
        <w:rPr>
          <w:rFonts w:eastAsia="Calibri"/>
          <w:color w:val="auto"/>
          <w:szCs w:val="24"/>
          <w:lang w:eastAsia="en-US"/>
        </w:rPr>
        <w:t>4</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 xml:space="preserve"> Of direct relevance to this article, I suggest that Queer Theory fails in several significant aspects</w:t>
      </w:r>
      <w:r w:rsidR="00CC7B14" w:rsidRPr="00705294">
        <w:rPr>
          <w:rFonts w:eastAsia="Calibri"/>
          <w:szCs w:val="24"/>
          <w:lang w:eastAsia="en-US"/>
        </w:rPr>
        <w:t xml:space="preserve"> to</w:t>
      </w:r>
      <w:r w:rsidR="008B108B" w:rsidRPr="00705294">
        <w:rPr>
          <w:rFonts w:eastAsia="Calibri"/>
          <w:szCs w:val="24"/>
          <w:lang w:eastAsia="en-US"/>
        </w:rPr>
        <w:t>; acknowledge</w:t>
      </w:r>
      <w:r w:rsidR="00CC7B14" w:rsidRPr="00705294">
        <w:rPr>
          <w:rFonts w:eastAsia="Calibri"/>
          <w:szCs w:val="24"/>
          <w:lang w:eastAsia="en-US"/>
        </w:rPr>
        <w:t xml:space="preserve"> </w:t>
      </w:r>
      <w:r w:rsidRPr="00705294">
        <w:rPr>
          <w:rFonts w:eastAsia="Calibri"/>
          <w:szCs w:val="24"/>
          <w:lang w:eastAsia="en-US"/>
        </w:rPr>
        <w:t>patriarc</w:t>
      </w:r>
      <w:r w:rsidR="00CC7B14" w:rsidRPr="00705294">
        <w:rPr>
          <w:rFonts w:eastAsia="Calibri"/>
          <w:szCs w:val="24"/>
          <w:lang w:eastAsia="en-US"/>
        </w:rPr>
        <w:t>hy</w:t>
      </w:r>
      <w:r w:rsidR="002F7471">
        <w:rPr>
          <w:rFonts w:eastAsia="Calibri"/>
          <w:szCs w:val="24"/>
          <w:lang w:eastAsia="en-US"/>
        </w:rPr>
        <w:t xml:space="preserve"> and </w:t>
      </w:r>
      <w:r w:rsidR="00CC7B14" w:rsidRPr="00705294">
        <w:rPr>
          <w:rFonts w:eastAsia="Calibri"/>
          <w:szCs w:val="24"/>
          <w:lang w:eastAsia="en-US"/>
        </w:rPr>
        <w:t>render</w:t>
      </w:r>
      <w:r w:rsidR="006044C7" w:rsidRPr="00705294">
        <w:rPr>
          <w:rFonts w:eastAsia="Calibri"/>
          <w:szCs w:val="24"/>
          <w:lang w:eastAsia="en-US"/>
        </w:rPr>
        <w:t xml:space="preserve"> (lesbian) women </w:t>
      </w:r>
      <w:r w:rsidRPr="00705294">
        <w:rPr>
          <w:rFonts w:eastAsia="Calibri"/>
          <w:szCs w:val="24"/>
          <w:lang w:eastAsia="en-US"/>
        </w:rPr>
        <w:t>visible</w:t>
      </w:r>
      <w:r w:rsidR="002F7471">
        <w:rPr>
          <w:rFonts w:eastAsia="Calibri"/>
          <w:szCs w:val="24"/>
          <w:lang w:eastAsia="en-US"/>
        </w:rPr>
        <w:t>.</w:t>
      </w:r>
      <w:r w:rsidRPr="00705294">
        <w:rPr>
          <w:rFonts w:eastAsia="Calibri"/>
          <w:szCs w:val="24"/>
          <w:lang w:eastAsia="en-US"/>
        </w:rPr>
        <w:t xml:space="preserve"> </w:t>
      </w:r>
    </w:p>
    <w:p w14:paraId="01EC2FD5" w14:textId="77777777" w:rsidR="004F6D7F" w:rsidRPr="00705294" w:rsidRDefault="004F6D7F" w:rsidP="00AE443F">
      <w:pPr>
        <w:adjustRightInd w:val="0"/>
        <w:snapToGrid w:val="0"/>
        <w:spacing w:before="240" w:after="240"/>
        <w:rPr>
          <w:b/>
          <w:szCs w:val="24"/>
          <w:lang w:val="en-US" w:eastAsia="en-US"/>
        </w:rPr>
      </w:pPr>
      <w:r w:rsidRPr="00705294">
        <w:rPr>
          <w:b/>
          <w:szCs w:val="24"/>
          <w:lang w:val="en-US" w:eastAsia="zh-CN"/>
        </w:rPr>
        <w:t xml:space="preserve">5. </w:t>
      </w:r>
      <w:r w:rsidRPr="00705294">
        <w:rPr>
          <w:b/>
          <w:bCs/>
          <w:color w:val="auto"/>
          <w:szCs w:val="24"/>
          <w:lang w:val="en-US"/>
        </w:rPr>
        <w:t xml:space="preserve">Failing to </w:t>
      </w:r>
      <w:r w:rsidR="00F47FAC" w:rsidRPr="00705294">
        <w:rPr>
          <w:b/>
          <w:bCs/>
          <w:color w:val="auto"/>
          <w:szCs w:val="24"/>
          <w:lang w:val="en-US"/>
        </w:rPr>
        <w:t xml:space="preserve">Address Patriarchy </w:t>
      </w:r>
      <w:r w:rsidRPr="00705294">
        <w:rPr>
          <w:b/>
          <w:bCs/>
          <w:color w:val="auto"/>
          <w:szCs w:val="24"/>
          <w:lang w:val="en-US"/>
        </w:rPr>
        <w:t xml:space="preserve">and </w:t>
      </w:r>
      <w:r w:rsidR="00F47FAC" w:rsidRPr="00705294">
        <w:rPr>
          <w:b/>
          <w:bCs/>
          <w:color w:val="auto"/>
          <w:szCs w:val="24"/>
          <w:lang w:val="en-US"/>
        </w:rPr>
        <w:t xml:space="preserve">Rendering Lesbians/Women Invisible Again </w:t>
      </w:r>
    </w:p>
    <w:p w14:paraId="5CF3B3F4" w14:textId="5D079322" w:rsidR="000D35FC" w:rsidRPr="00705294" w:rsidRDefault="000D35FC" w:rsidP="00737741">
      <w:pPr>
        <w:pStyle w:val="Mdeck4text"/>
        <w:rPr>
          <w:rFonts w:eastAsia="Calibri"/>
          <w:szCs w:val="24"/>
          <w:lang w:eastAsia="en-US"/>
        </w:rPr>
      </w:pPr>
      <w:r w:rsidRPr="00705294">
        <w:rPr>
          <w:rFonts w:eastAsia="Calibri"/>
          <w:szCs w:val="24"/>
          <w:lang w:eastAsia="en-US"/>
        </w:rPr>
        <w:t>According to Queer Theory, oppositional identity ter</w:t>
      </w:r>
      <w:r w:rsidR="002A6F07">
        <w:rPr>
          <w:rFonts w:eastAsia="Calibri"/>
          <w:szCs w:val="24"/>
          <w:lang w:eastAsia="en-US"/>
        </w:rPr>
        <w:t xml:space="preserve">ms (such as </w:t>
      </w:r>
      <w:r w:rsidR="009A73D6">
        <w:rPr>
          <w:rFonts w:eastAsia="Calibri"/>
          <w:szCs w:val="24"/>
          <w:lang w:eastAsia="en-US"/>
        </w:rPr>
        <w:t>“</w:t>
      </w:r>
      <w:r w:rsidR="002A6F07">
        <w:rPr>
          <w:rFonts w:eastAsia="Calibri"/>
          <w:szCs w:val="24"/>
          <w:lang w:eastAsia="en-US"/>
        </w:rPr>
        <w:t>woman</w:t>
      </w:r>
      <w:r w:rsidR="009A73D6">
        <w:rPr>
          <w:rFonts w:eastAsia="Calibri"/>
          <w:szCs w:val="24"/>
          <w:lang w:eastAsia="en-US"/>
        </w:rPr>
        <w:t>”</w:t>
      </w:r>
      <w:r w:rsidR="002A6F07">
        <w:rPr>
          <w:rFonts w:eastAsia="Calibri"/>
          <w:szCs w:val="24"/>
          <w:lang w:eastAsia="en-US"/>
        </w:rPr>
        <w:t xml:space="preserve">, </w:t>
      </w:r>
      <w:r w:rsidR="009A73D6">
        <w:rPr>
          <w:rFonts w:eastAsia="Calibri"/>
          <w:szCs w:val="24"/>
          <w:lang w:eastAsia="en-US"/>
        </w:rPr>
        <w:t>“</w:t>
      </w:r>
      <w:r w:rsidR="002A6F07">
        <w:rPr>
          <w:rFonts w:eastAsia="Calibri"/>
          <w:szCs w:val="24"/>
          <w:lang w:eastAsia="en-US"/>
        </w:rPr>
        <w:t>feminine</w:t>
      </w:r>
      <w:r w:rsidR="009A73D6">
        <w:rPr>
          <w:rFonts w:eastAsia="Calibri"/>
          <w:szCs w:val="24"/>
          <w:lang w:eastAsia="en-US"/>
        </w:rPr>
        <w:t>”</w:t>
      </w:r>
      <w:r w:rsidR="002A6F07">
        <w:rPr>
          <w:rFonts w:eastAsia="Calibri"/>
          <w:szCs w:val="24"/>
          <w:lang w:eastAsia="en-US"/>
        </w:rPr>
        <w:t xml:space="preserve">, </w:t>
      </w:r>
      <w:r w:rsidR="009A73D6">
        <w:rPr>
          <w:rFonts w:eastAsia="Calibri"/>
          <w:szCs w:val="24"/>
          <w:lang w:eastAsia="en-US"/>
        </w:rPr>
        <w:t>“</w:t>
      </w:r>
      <w:r w:rsidRPr="00705294">
        <w:rPr>
          <w:rFonts w:eastAsia="Calibri"/>
          <w:szCs w:val="24"/>
          <w:lang w:eastAsia="en-US"/>
        </w:rPr>
        <w:t>mother</w:t>
      </w:r>
      <w:r w:rsidR="009A73D6">
        <w:rPr>
          <w:rFonts w:eastAsia="Calibri"/>
          <w:szCs w:val="24"/>
          <w:lang w:eastAsia="en-US"/>
        </w:rPr>
        <w:t>”</w:t>
      </w:r>
      <w:r w:rsidRPr="00705294">
        <w:rPr>
          <w:rFonts w:eastAsia="Calibri"/>
          <w:szCs w:val="24"/>
          <w:lang w:eastAsia="en-US"/>
        </w:rPr>
        <w:t xml:space="preserve"> </w:t>
      </w:r>
      <w:r w:rsidR="000F7819" w:rsidRPr="00705294">
        <w:rPr>
          <w:rFonts w:eastAsia="Calibri"/>
          <w:i/>
          <w:szCs w:val="24"/>
          <w:lang w:eastAsia="en-US"/>
        </w:rPr>
        <w:t>etc.</w:t>
      </w:r>
      <w:r w:rsidRPr="00705294">
        <w:rPr>
          <w:rFonts w:eastAsia="Calibri"/>
          <w:szCs w:val="24"/>
          <w:lang w:eastAsia="en-US"/>
        </w:rPr>
        <w:t xml:space="preserve">) are used to oppress all individuals, not just those who are regarded as being in a minority. If Queer Theory does </w:t>
      </w:r>
      <w:r w:rsidR="009A73D6">
        <w:rPr>
          <w:rFonts w:eastAsia="Calibri"/>
          <w:szCs w:val="24"/>
          <w:lang w:eastAsia="en-US"/>
        </w:rPr>
        <w:t>“</w:t>
      </w:r>
      <w:r w:rsidRPr="00705294">
        <w:rPr>
          <w:rFonts w:eastAsia="Calibri"/>
          <w:szCs w:val="24"/>
          <w:lang w:eastAsia="en-US"/>
        </w:rPr>
        <w:t>work</w:t>
      </w:r>
      <w:r w:rsidR="009A73D6">
        <w:rPr>
          <w:rFonts w:eastAsia="Calibri"/>
          <w:szCs w:val="24"/>
          <w:lang w:eastAsia="en-US"/>
        </w:rPr>
        <w:t>”</w:t>
      </w:r>
      <w:r w:rsidRPr="00705294">
        <w:rPr>
          <w:rFonts w:eastAsia="Calibri"/>
          <w:szCs w:val="24"/>
          <w:lang w:eastAsia="en-US"/>
        </w:rPr>
        <w:t xml:space="preserve"> in successfully destabili</w:t>
      </w:r>
      <w:r w:rsidR="00705294">
        <w:rPr>
          <w:rFonts w:eastAsia="Calibri"/>
          <w:szCs w:val="24"/>
          <w:lang w:eastAsia="en-US"/>
        </w:rPr>
        <w:t>z</w:t>
      </w:r>
      <w:r w:rsidRPr="00705294">
        <w:rPr>
          <w:rFonts w:eastAsia="Calibri"/>
          <w:szCs w:val="24"/>
          <w:lang w:eastAsia="en-US"/>
        </w:rPr>
        <w:t xml:space="preserve">ing identity constructs, it can act as a liberating force for all individuals. One of its original aims, therefore, was to be inclusive. However, a major criticism raised here against Queer Theory is that it is no longer inclusive (if it ever was). Although the word and/or the concept of queer </w:t>
      </w:r>
      <w:r w:rsidR="00DB3E50" w:rsidRPr="00705294">
        <w:rPr>
          <w:rFonts w:eastAsia="Calibri"/>
          <w:szCs w:val="24"/>
          <w:lang w:eastAsia="en-US"/>
        </w:rPr>
        <w:t>has the potential to be liberating</w:t>
      </w:r>
      <w:r w:rsidRPr="00705294">
        <w:rPr>
          <w:rFonts w:eastAsia="Calibri"/>
          <w:szCs w:val="24"/>
          <w:lang w:eastAsia="en-US"/>
        </w:rPr>
        <w:t xml:space="preserve">, it has been and continues to be, interpreted according to the dictats of the dominant discourses of heterosexuality and patriarchy. I suggest therefore that Queer Theory has not successfully managed to </w:t>
      </w:r>
      <w:r w:rsidR="00B60D4B" w:rsidRPr="00705294">
        <w:rPr>
          <w:rFonts w:eastAsia="Calibri"/>
          <w:szCs w:val="24"/>
          <w:lang w:eastAsia="en-US"/>
        </w:rPr>
        <w:t xml:space="preserve">challenge </w:t>
      </w:r>
      <w:r w:rsidRPr="00705294">
        <w:rPr>
          <w:rFonts w:eastAsia="Calibri"/>
          <w:szCs w:val="24"/>
          <w:lang w:eastAsia="en-US"/>
        </w:rPr>
        <w:t>the patriarchal</w:t>
      </w:r>
      <w:r w:rsidR="00D71480" w:rsidRPr="00705294">
        <w:rPr>
          <w:rFonts w:eastAsia="Calibri"/>
          <w:szCs w:val="24"/>
          <w:lang w:eastAsia="en-US"/>
        </w:rPr>
        <w:t xml:space="preserve"> aspects of heteronormativity </w:t>
      </w:r>
      <w:r w:rsidR="00356F59">
        <w:rPr>
          <w:rFonts w:eastAsia="Calibri"/>
          <w:szCs w:val="24"/>
          <w:lang w:eastAsia="en-US"/>
        </w:rPr>
        <w:t>(</w:t>
      </w:r>
      <w:r w:rsidR="00D71480" w:rsidRPr="00705294">
        <w:rPr>
          <w:rFonts w:eastAsia="Calibri"/>
          <w:szCs w:val="24"/>
          <w:lang w:eastAsia="en-US"/>
        </w:rPr>
        <w:t>[</w:t>
      </w:r>
      <w:r w:rsidR="008249DA">
        <w:rPr>
          <w:rFonts w:eastAsia="Calibri"/>
          <w:color w:val="auto"/>
          <w:szCs w:val="24"/>
          <w:lang w:eastAsia="en-US"/>
        </w:rPr>
        <w:t>3</w:t>
      </w:r>
      <w:r w:rsidR="00A86028">
        <w:rPr>
          <w:rFonts w:eastAsia="Calibri"/>
          <w:color w:val="auto"/>
          <w:szCs w:val="24"/>
          <w:lang w:eastAsia="en-US"/>
        </w:rPr>
        <w:t>5</w:t>
      </w:r>
      <w:r w:rsidR="00356F59">
        <w:rPr>
          <w:rFonts w:eastAsia="Calibri"/>
          <w:color w:val="auto"/>
          <w:szCs w:val="24"/>
          <w:lang w:eastAsia="en-US"/>
        </w:rPr>
        <w:t>]</w:t>
      </w:r>
      <w:r w:rsidR="00356F59" w:rsidRPr="00356F59">
        <w:rPr>
          <w:rFonts w:eastAsia="Calibri"/>
          <w:color w:val="auto"/>
          <w:szCs w:val="24"/>
          <w:lang w:eastAsia="en-US"/>
        </w:rPr>
        <w:t>, p. 164</w:t>
      </w:r>
      <w:r w:rsidR="00356F59">
        <w:rPr>
          <w:rFonts w:eastAsia="Calibri"/>
          <w:color w:val="auto"/>
          <w:szCs w:val="24"/>
          <w:lang w:eastAsia="en-US"/>
        </w:rPr>
        <w:t>)</w:t>
      </w:r>
      <w:r w:rsidRPr="00705294">
        <w:rPr>
          <w:rFonts w:eastAsia="Calibri"/>
          <w:szCs w:val="24"/>
          <w:lang w:eastAsia="en-US"/>
        </w:rPr>
        <w:t>. Wilkinson and Kitzinger for example, perceive Queer theory to be gay male-centered, primarily concerned with the needs of gay males</w:t>
      </w:r>
      <w:r w:rsidR="00662501" w:rsidRPr="00705294">
        <w:rPr>
          <w:rFonts w:eastAsia="Calibri"/>
          <w:szCs w:val="24"/>
          <w:lang w:eastAsia="en-US"/>
        </w:rPr>
        <w:t xml:space="preserve"> </w:t>
      </w:r>
      <w:r w:rsidR="00F95937">
        <w:rPr>
          <w:rFonts w:eastAsia="Calibri"/>
          <w:szCs w:val="24"/>
          <w:lang w:eastAsia="en-US"/>
        </w:rPr>
        <w:t>(</w:t>
      </w:r>
      <w:r w:rsidR="00D71480" w:rsidRPr="00705294">
        <w:rPr>
          <w:rFonts w:eastAsia="Calibri"/>
          <w:szCs w:val="24"/>
          <w:lang w:eastAsia="en-US"/>
        </w:rPr>
        <w:t>[</w:t>
      </w:r>
      <w:r w:rsidR="008249DA">
        <w:rPr>
          <w:rFonts w:eastAsia="Calibri"/>
          <w:color w:val="auto"/>
          <w:szCs w:val="24"/>
          <w:lang w:eastAsia="en-US"/>
        </w:rPr>
        <w:t>3</w:t>
      </w:r>
      <w:r w:rsidR="00A86028">
        <w:rPr>
          <w:rFonts w:eastAsia="Calibri"/>
          <w:color w:val="auto"/>
          <w:szCs w:val="24"/>
          <w:lang w:eastAsia="en-US"/>
        </w:rPr>
        <w:t>6</w:t>
      </w:r>
      <w:r w:rsidR="00F95937">
        <w:rPr>
          <w:rFonts w:eastAsia="Calibri"/>
          <w:color w:val="auto"/>
          <w:szCs w:val="24"/>
          <w:lang w:eastAsia="en-US"/>
        </w:rPr>
        <w:t>]</w:t>
      </w:r>
      <w:r w:rsidR="00F95937" w:rsidRPr="00F95937">
        <w:rPr>
          <w:rFonts w:eastAsia="Calibri"/>
          <w:color w:val="auto"/>
          <w:szCs w:val="24"/>
          <w:lang w:eastAsia="en-US"/>
        </w:rPr>
        <w:t>, pp. 375–82</w:t>
      </w:r>
      <w:r w:rsidR="00F95937">
        <w:rPr>
          <w:rFonts w:eastAsia="Calibri"/>
          <w:color w:val="auto"/>
          <w:szCs w:val="24"/>
          <w:lang w:eastAsia="en-US"/>
        </w:rPr>
        <w:t>)</w:t>
      </w:r>
      <w:r w:rsidRPr="00705294">
        <w:rPr>
          <w:rFonts w:eastAsia="Calibri"/>
          <w:szCs w:val="24"/>
          <w:lang w:eastAsia="en-US"/>
        </w:rPr>
        <w:t>. As we have already seen, Teresa de Lauretis, credited with introducing the term, abandoned the term relatively quickly after introducing it, arguing that it had been taken over by the very mainstream forces and institutions it was originally coined to resist. She returned in</w:t>
      </w:r>
      <w:r w:rsidR="006C5B61" w:rsidRPr="00705294">
        <w:rPr>
          <w:rFonts w:eastAsia="Calibri"/>
          <w:szCs w:val="24"/>
          <w:lang w:eastAsia="en-US"/>
        </w:rPr>
        <w:t xml:space="preserve">stead, to use the word </w:t>
      </w:r>
      <w:r w:rsidR="009A73D6">
        <w:rPr>
          <w:rFonts w:eastAsia="Calibri"/>
          <w:szCs w:val="24"/>
          <w:lang w:eastAsia="en-US"/>
        </w:rPr>
        <w:t>“</w:t>
      </w:r>
      <w:r w:rsidR="006C5B61" w:rsidRPr="00705294">
        <w:rPr>
          <w:rFonts w:eastAsia="Calibri"/>
          <w:szCs w:val="24"/>
          <w:lang w:eastAsia="en-US"/>
        </w:rPr>
        <w:t>lesbian</w:t>
      </w:r>
      <w:r w:rsidR="009A73D6">
        <w:rPr>
          <w:rFonts w:eastAsia="Calibri"/>
          <w:szCs w:val="24"/>
          <w:lang w:eastAsia="en-US"/>
        </w:rPr>
        <w:t>”</w:t>
      </w:r>
      <w:r w:rsidR="006C5B61" w:rsidRPr="00705294">
        <w:rPr>
          <w:rFonts w:eastAsia="Calibri"/>
          <w:szCs w:val="24"/>
          <w:lang w:eastAsia="en-US"/>
        </w:rPr>
        <w:t>,</w:t>
      </w:r>
      <w:r w:rsidRPr="00705294">
        <w:rPr>
          <w:rFonts w:eastAsia="Calibri"/>
          <w:szCs w:val="24"/>
          <w:lang w:eastAsia="en-US"/>
        </w:rPr>
        <w:t xml:space="preserve"> arguing </w:t>
      </w:r>
      <w:r w:rsidRPr="00DB3C1A">
        <w:rPr>
          <w:rFonts w:eastAsia="Calibri"/>
          <w:spacing w:val="-2"/>
          <w:szCs w:val="24"/>
          <w:lang w:eastAsia="en-US"/>
        </w:rPr>
        <w:t xml:space="preserve">that, for her, queer had rapidly become </w:t>
      </w:r>
      <w:r w:rsidR="009A73D6" w:rsidRPr="00DB3C1A">
        <w:rPr>
          <w:rFonts w:eastAsia="Calibri"/>
          <w:spacing w:val="-2"/>
          <w:szCs w:val="24"/>
          <w:lang w:eastAsia="en-US"/>
        </w:rPr>
        <w:t>“</w:t>
      </w:r>
      <w:r w:rsidRPr="00DB3C1A">
        <w:rPr>
          <w:rFonts w:eastAsia="Calibri"/>
          <w:spacing w:val="-2"/>
          <w:szCs w:val="24"/>
          <w:lang w:eastAsia="en-US"/>
        </w:rPr>
        <w:t>a conceptually vacuous creatur</w:t>
      </w:r>
      <w:r w:rsidR="00D71480" w:rsidRPr="00DB3C1A">
        <w:rPr>
          <w:rFonts w:eastAsia="Calibri"/>
          <w:spacing w:val="-2"/>
          <w:szCs w:val="24"/>
          <w:lang w:eastAsia="en-US"/>
        </w:rPr>
        <w:t xml:space="preserve">e of the publishing industry </w:t>
      </w:r>
      <w:r w:rsidR="00FA4D3D" w:rsidRPr="00DB3C1A">
        <w:rPr>
          <w:rFonts w:eastAsia="Calibri"/>
          <w:spacing w:val="-2"/>
          <w:szCs w:val="24"/>
          <w:lang w:eastAsia="en-US"/>
        </w:rPr>
        <w:t>(</w:t>
      </w:r>
      <w:r w:rsidR="00D71480" w:rsidRPr="00DB3C1A">
        <w:rPr>
          <w:rFonts w:eastAsia="Calibri"/>
          <w:spacing w:val="-2"/>
          <w:szCs w:val="24"/>
          <w:lang w:eastAsia="en-US"/>
        </w:rPr>
        <w:t>[</w:t>
      </w:r>
      <w:r w:rsidR="008249DA" w:rsidRPr="00DB3C1A">
        <w:rPr>
          <w:rFonts w:eastAsia="Calibri"/>
          <w:color w:val="auto"/>
          <w:spacing w:val="-2"/>
          <w:szCs w:val="24"/>
          <w:lang w:eastAsia="en-US"/>
        </w:rPr>
        <w:t>3</w:t>
      </w:r>
      <w:r w:rsidR="00A86028" w:rsidRPr="00DB3C1A">
        <w:rPr>
          <w:rFonts w:eastAsia="Calibri"/>
          <w:color w:val="auto"/>
          <w:spacing w:val="-2"/>
          <w:szCs w:val="24"/>
          <w:lang w:eastAsia="en-US"/>
        </w:rPr>
        <w:t>7</w:t>
      </w:r>
      <w:r w:rsidR="00FA4D3D" w:rsidRPr="00DB3C1A">
        <w:rPr>
          <w:rFonts w:eastAsia="Calibri"/>
          <w:color w:val="auto"/>
          <w:spacing w:val="-2"/>
          <w:szCs w:val="24"/>
          <w:lang w:eastAsia="en-US"/>
        </w:rPr>
        <w:t>],</w:t>
      </w:r>
      <w:r w:rsidR="00FA4D3D">
        <w:rPr>
          <w:rFonts w:eastAsia="Calibri"/>
          <w:color w:val="auto"/>
          <w:szCs w:val="24"/>
          <w:lang w:eastAsia="en-US"/>
        </w:rPr>
        <w:t xml:space="preserve"> </w:t>
      </w:r>
      <w:r w:rsidR="00FA4D3D" w:rsidRPr="00FA4D3D">
        <w:rPr>
          <w:rFonts w:eastAsia="Calibri"/>
          <w:color w:val="auto"/>
          <w:szCs w:val="24"/>
          <w:lang w:eastAsia="en-US"/>
        </w:rPr>
        <w:lastRenderedPageBreak/>
        <w:t>p.</w:t>
      </w:r>
      <w:r w:rsidR="00DB3C1A">
        <w:rPr>
          <w:rFonts w:eastAsia="Calibri"/>
          <w:color w:val="auto"/>
          <w:szCs w:val="24"/>
          <w:lang w:eastAsia="en-US"/>
        </w:rPr>
        <w:t xml:space="preserve"> </w:t>
      </w:r>
      <w:r w:rsidR="00FA4D3D" w:rsidRPr="00FA4D3D">
        <w:rPr>
          <w:rFonts w:eastAsia="Calibri"/>
          <w:color w:val="auto"/>
          <w:szCs w:val="24"/>
          <w:lang w:eastAsia="en-US"/>
        </w:rPr>
        <w:t>297</w:t>
      </w:r>
      <w:r w:rsidR="00FA4D3D">
        <w:rPr>
          <w:rFonts w:eastAsia="Calibri"/>
          <w:color w:val="auto"/>
          <w:szCs w:val="24"/>
          <w:lang w:eastAsia="en-US"/>
        </w:rPr>
        <w:t>)</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 xml:space="preserve"> </w:t>
      </w:r>
      <w:r w:rsidR="00705294">
        <w:rPr>
          <w:rFonts w:eastAsia="Calibri"/>
          <w:szCs w:val="24"/>
          <w:lang w:eastAsia="en-US"/>
        </w:rPr>
        <w:t xml:space="preserve">Thus, </w:t>
      </w:r>
      <w:r w:rsidR="00334F40" w:rsidRPr="00705294">
        <w:rPr>
          <w:rFonts w:eastAsia="Calibri"/>
          <w:szCs w:val="24"/>
          <w:lang w:eastAsia="en-US"/>
        </w:rPr>
        <w:t>Queer Theory</w:t>
      </w:r>
      <w:r w:rsidR="00995E41">
        <w:rPr>
          <w:rFonts w:eastAsia="Calibri"/>
          <w:szCs w:val="24"/>
          <w:lang w:eastAsia="en-US"/>
        </w:rPr>
        <w:t>’</w:t>
      </w:r>
      <w:r w:rsidR="00334F40" w:rsidRPr="00705294">
        <w:rPr>
          <w:rFonts w:eastAsia="Calibri"/>
          <w:szCs w:val="24"/>
          <w:lang w:eastAsia="en-US"/>
        </w:rPr>
        <w:t xml:space="preserve">s failure to disrupt dominant hegemony further contributed towards the invisibility of </w:t>
      </w:r>
      <w:r w:rsidRPr="00705294">
        <w:rPr>
          <w:rFonts w:eastAsia="Calibri"/>
          <w:szCs w:val="24"/>
          <w:lang w:eastAsia="en-US"/>
        </w:rPr>
        <w:t>lesbian identity</w:t>
      </w:r>
      <w:r w:rsidR="00334F40" w:rsidRPr="00705294">
        <w:rPr>
          <w:rFonts w:eastAsia="Calibri"/>
          <w:szCs w:val="24"/>
          <w:lang w:eastAsia="en-US"/>
        </w:rPr>
        <w:t xml:space="preserve"> because of what Queer Theory had come to signify.</w:t>
      </w:r>
      <w:r w:rsidR="00231416" w:rsidRPr="00705294">
        <w:rPr>
          <w:rFonts w:eastAsia="Calibri"/>
          <w:szCs w:val="24"/>
          <w:lang w:eastAsia="en-US"/>
        </w:rPr>
        <w:t xml:space="preserve"> </w:t>
      </w:r>
      <w:r w:rsidRPr="00705294">
        <w:rPr>
          <w:rFonts w:eastAsia="Calibri"/>
          <w:szCs w:val="24"/>
          <w:lang w:eastAsia="en-US"/>
        </w:rPr>
        <w:t xml:space="preserve">This, as Bindel points out is unlikely to change unless and until </w:t>
      </w:r>
      <w:r w:rsidR="009A73D6">
        <w:rPr>
          <w:rFonts w:eastAsia="Calibri"/>
          <w:szCs w:val="24"/>
          <w:lang w:eastAsia="en-US"/>
        </w:rPr>
        <w:t>“</w:t>
      </w:r>
      <w:r w:rsidRPr="00705294">
        <w:rPr>
          <w:rFonts w:eastAsia="Calibri"/>
          <w:szCs w:val="24"/>
          <w:lang w:eastAsia="en-US"/>
        </w:rPr>
        <w:t xml:space="preserve">gay men </w:t>
      </w:r>
      <w:r w:rsidR="00705294">
        <w:rPr>
          <w:rFonts w:eastAsia="Calibri"/>
          <w:szCs w:val="24"/>
          <w:lang w:eastAsia="en-US"/>
        </w:rPr>
        <w:t>recognize</w:t>
      </w:r>
      <w:r w:rsidRPr="00705294">
        <w:rPr>
          <w:rFonts w:eastAsia="Calibri"/>
          <w:szCs w:val="24"/>
          <w:lang w:eastAsia="en-US"/>
        </w:rPr>
        <w:t xml:space="preserve"> that lesbians suffer the double bind o</w:t>
      </w:r>
      <w:r w:rsidR="00D71480" w:rsidRPr="00705294">
        <w:rPr>
          <w:rFonts w:eastAsia="Calibri"/>
          <w:szCs w:val="24"/>
          <w:lang w:eastAsia="en-US"/>
        </w:rPr>
        <w:t>f sexism and anti-lesbianism [</w:t>
      </w:r>
      <w:r w:rsidR="00A86028">
        <w:rPr>
          <w:rFonts w:eastAsia="Calibri"/>
          <w:color w:val="auto"/>
          <w:szCs w:val="24"/>
          <w:lang w:eastAsia="en-US"/>
        </w:rPr>
        <w:t>38</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w:t>
      </w:r>
      <w:r w:rsidR="00231416" w:rsidRPr="00705294">
        <w:rPr>
          <w:rFonts w:eastAsia="Calibri"/>
          <w:szCs w:val="24"/>
          <w:lang w:eastAsia="en-US"/>
        </w:rPr>
        <w:t xml:space="preserve"> </w:t>
      </w:r>
      <w:r w:rsidRPr="00705294">
        <w:rPr>
          <w:rFonts w:eastAsia="Calibri"/>
          <w:szCs w:val="24"/>
          <w:lang w:eastAsia="en-US"/>
        </w:rPr>
        <w:t xml:space="preserve">It would appear then that </w:t>
      </w:r>
      <w:r w:rsidR="009A73D6">
        <w:rPr>
          <w:rFonts w:eastAsia="Calibri"/>
          <w:szCs w:val="24"/>
          <w:lang w:eastAsia="en-US"/>
        </w:rPr>
        <w:t>“</w:t>
      </w:r>
      <w:r w:rsidRPr="00705294">
        <w:rPr>
          <w:rFonts w:eastAsia="Calibri"/>
          <w:szCs w:val="24"/>
          <w:lang w:eastAsia="en-US"/>
        </w:rPr>
        <w:t xml:space="preserve">Queer Theory disappeared lesbians </w:t>
      </w:r>
      <w:r w:rsidR="00676405">
        <w:rPr>
          <w:rFonts w:eastAsia="Calibri"/>
          <w:szCs w:val="24"/>
          <w:lang w:eastAsia="en-US"/>
        </w:rPr>
        <w:t>‘</w:t>
      </w:r>
      <w:r w:rsidRPr="00705294">
        <w:rPr>
          <w:rFonts w:eastAsia="Calibri"/>
          <w:szCs w:val="24"/>
          <w:lang w:eastAsia="en-US"/>
        </w:rPr>
        <w:t>by subsuming them, at best, into a variety of gay men</w:t>
      </w:r>
      <w:r w:rsidR="00676405">
        <w:rPr>
          <w:rFonts w:eastAsia="Calibri"/>
          <w:szCs w:val="24"/>
          <w:lang w:eastAsia="en-US"/>
        </w:rPr>
        <w:t>’</w:t>
      </w:r>
      <w:r w:rsidRPr="00705294">
        <w:rPr>
          <w:rFonts w:eastAsia="Calibri"/>
          <w:szCs w:val="24"/>
          <w:lang w:eastAsia="en-US"/>
        </w:rPr>
        <w:t xml:space="preserve"> </w:t>
      </w:r>
      <w:r w:rsidR="00346600">
        <w:rPr>
          <w:rFonts w:eastAsia="Calibri"/>
          <w:szCs w:val="24"/>
          <w:lang w:eastAsia="en-US"/>
        </w:rPr>
        <w:t>(</w:t>
      </w:r>
      <w:r w:rsidRPr="00705294">
        <w:rPr>
          <w:rFonts w:eastAsia="Calibri"/>
          <w:szCs w:val="24"/>
          <w:lang w:eastAsia="en-US"/>
        </w:rPr>
        <w:t>[</w:t>
      </w:r>
      <w:r w:rsidR="00A86028">
        <w:rPr>
          <w:rFonts w:eastAsia="Calibri"/>
          <w:color w:val="auto"/>
          <w:szCs w:val="24"/>
          <w:lang w:eastAsia="en-US"/>
        </w:rPr>
        <w:t>39</w:t>
      </w:r>
      <w:r w:rsidR="00346600">
        <w:rPr>
          <w:rFonts w:eastAsia="Calibri"/>
          <w:color w:val="auto"/>
          <w:szCs w:val="24"/>
          <w:lang w:eastAsia="en-US"/>
        </w:rPr>
        <w:t>],</w:t>
      </w:r>
      <w:r w:rsidR="00346600" w:rsidRPr="00346600">
        <w:rPr>
          <w:rFonts w:eastAsia="Calibri"/>
          <w:color w:val="auto"/>
          <w:szCs w:val="24"/>
          <w:lang w:eastAsia="en-US"/>
        </w:rPr>
        <w:t xml:space="preserve"> pp. 269–78</w:t>
      </w:r>
      <w:r w:rsidR="00346600">
        <w:rPr>
          <w:rFonts w:eastAsia="Calibri"/>
          <w:color w:val="auto"/>
          <w:szCs w:val="24"/>
          <w:lang w:eastAsia="en-US"/>
        </w:rPr>
        <w:t>)</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 xml:space="preserve"> </w:t>
      </w:r>
    </w:p>
    <w:p w14:paraId="0C4B6C9D" w14:textId="09236034" w:rsidR="00817260" w:rsidRPr="00705294" w:rsidRDefault="000D35FC" w:rsidP="00737741">
      <w:pPr>
        <w:pStyle w:val="Mdeck4text"/>
        <w:rPr>
          <w:rFonts w:eastAsia="Calibri"/>
          <w:szCs w:val="24"/>
          <w:lang w:eastAsia="en-US"/>
        </w:rPr>
      </w:pPr>
      <w:r w:rsidRPr="00705294">
        <w:rPr>
          <w:rFonts w:eastAsia="Calibri"/>
          <w:szCs w:val="24"/>
          <w:lang w:eastAsia="en-US"/>
        </w:rPr>
        <w:t xml:space="preserve">Queer theory was meant to be an all-encompassing rhetorical umbrella, but the appearance of </w:t>
      </w:r>
      <w:r w:rsidR="009A73D6">
        <w:rPr>
          <w:rFonts w:eastAsia="Calibri"/>
          <w:szCs w:val="24"/>
          <w:lang w:eastAsia="en-US"/>
        </w:rPr>
        <w:t>“</w:t>
      </w:r>
      <w:r w:rsidRPr="00705294">
        <w:rPr>
          <w:rFonts w:eastAsia="Calibri"/>
          <w:szCs w:val="24"/>
          <w:lang w:eastAsia="en-US"/>
        </w:rPr>
        <w:t>the Queer</w:t>
      </w:r>
      <w:r w:rsidR="009A73D6">
        <w:rPr>
          <w:rFonts w:eastAsia="Calibri"/>
          <w:szCs w:val="24"/>
          <w:lang w:eastAsia="en-US"/>
        </w:rPr>
        <w:t>”</w:t>
      </w:r>
      <w:r w:rsidRPr="00705294">
        <w:rPr>
          <w:rFonts w:eastAsia="Calibri"/>
          <w:szCs w:val="24"/>
          <w:lang w:eastAsia="en-US"/>
        </w:rPr>
        <w:t xml:space="preserve">, signals the disappearance of </w:t>
      </w:r>
      <w:r w:rsidR="009A73D6">
        <w:rPr>
          <w:rFonts w:eastAsia="Calibri"/>
          <w:szCs w:val="24"/>
          <w:lang w:eastAsia="en-US"/>
        </w:rPr>
        <w:t>“</w:t>
      </w:r>
      <w:r w:rsidR="00676405">
        <w:rPr>
          <w:rFonts w:eastAsia="Calibri"/>
          <w:szCs w:val="24"/>
          <w:lang w:eastAsia="en-US"/>
        </w:rPr>
        <w:t>the lesbian</w:t>
      </w:r>
      <w:r w:rsidR="009A73D6">
        <w:rPr>
          <w:rFonts w:eastAsia="Calibri"/>
          <w:szCs w:val="24"/>
          <w:lang w:eastAsia="en-US"/>
        </w:rPr>
        <w:t>”</w:t>
      </w:r>
      <w:r w:rsidR="00676405">
        <w:rPr>
          <w:rFonts w:eastAsia="Calibri"/>
          <w:szCs w:val="24"/>
          <w:lang w:eastAsia="en-US"/>
        </w:rPr>
        <w:t>.</w:t>
      </w:r>
      <w:r w:rsidRPr="00705294">
        <w:rPr>
          <w:rFonts w:eastAsia="Calibri"/>
          <w:szCs w:val="24"/>
          <w:lang w:eastAsia="en-US"/>
        </w:rPr>
        <w:t xml:space="preserve"> As convincingly argued by Cruikshank, </w:t>
      </w:r>
      <w:r w:rsidR="009A73D6">
        <w:rPr>
          <w:rFonts w:eastAsia="Calibri"/>
          <w:szCs w:val="24"/>
          <w:lang w:eastAsia="en-US"/>
        </w:rPr>
        <w:t>“</w:t>
      </w:r>
      <w:r w:rsidRPr="00705294">
        <w:rPr>
          <w:rFonts w:eastAsia="Calibri"/>
          <w:szCs w:val="24"/>
          <w:lang w:eastAsia="en-US"/>
        </w:rPr>
        <w:t>I have fought too hard for the psychic freedom to name myself as lesbian to disappea</w:t>
      </w:r>
      <w:r w:rsidR="00AB28BD" w:rsidRPr="00705294">
        <w:rPr>
          <w:rFonts w:eastAsia="Calibri"/>
          <w:szCs w:val="24"/>
          <w:lang w:eastAsia="en-US"/>
        </w:rPr>
        <w:t xml:space="preserve">r now under the queer rubric </w:t>
      </w:r>
      <w:r w:rsidR="00DB78EC">
        <w:rPr>
          <w:rFonts w:eastAsia="Calibri"/>
          <w:szCs w:val="24"/>
          <w:lang w:eastAsia="en-US"/>
        </w:rPr>
        <w:t>(</w:t>
      </w:r>
      <w:r w:rsidR="00AB28BD" w:rsidRPr="00705294">
        <w:rPr>
          <w:rFonts w:eastAsia="Calibri"/>
          <w:szCs w:val="24"/>
          <w:lang w:eastAsia="en-US"/>
        </w:rPr>
        <w:t>[</w:t>
      </w:r>
      <w:r w:rsidR="008249DA">
        <w:rPr>
          <w:rFonts w:eastAsia="Calibri"/>
          <w:color w:val="auto"/>
          <w:szCs w:val="24"/>
          <w:lang w:eastAsia="en-US"/>
        </w:rPr>
        <w:t>4</w:t>
      </w:r>
      <w:r w:rsidR="00A86028">
        <w:rPr>
          <w:rFonts w:eastAsia="Calibri"/>
          <w:color w:val="auto"/>
          <w:szCs w:val="24"/>
          <w:lang w:eastAsia="en-US"/>
        </w:rPr>
        <w:t>0</w:t>
      </w:r>
      <w:r w:rsidR="00DB78EC">
        <w:rPr>
          <w:rFonts w:eastAsia="Calibri"/>
          <w:color w:val="auto"/>
          <w:szCs w:val="24"/>
          <w:lang w:eastAsia="en-US"/>
        </w:rPr>
        <w:t>]</w:t>
      </w:r>
      <w:r w:rsidR="00DB78EC" w:rsidRPr="00DB78EC">
        <w:rPr>
          <w:rFonts w:eastAsia="Calibri"/>
          <w:color w:val="auto"/>
          <w:szCs w:val="24"/>
          <w:lang w:eastAsia="en-US"/>
        </w:rPr>
        <w:t>, p. xii</w:t>
      </w:r>
      <w:r w:rsidR="00DB78EC">
        <w:rPr>
          <w:rFonts w:eastAsia="Calibri"/>
          <w:color w:val="auto"/>
          <w:szCs w:val="24"/>
          <w:lang w:eastAsia="en-US"/>
        </w:rPr>
        <w:t>)</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 xml:space="preserve"> As Jeffreys argues, Queer Theory threatens to render lesbians and lesbian issues invisible again; </w:t>
      </w:r>
      <w:r w:rsidR="009A73D6">
        <w:rPr>
          <w:rFonts w:eastAsia="Calibri"/>
          <w:szCs w:val="24"/>
          <w:lang w:eastAsia="en-US"/>
        </w:rPr>
        <w:t>“</w:t>
      </w:r>
      <w:r w:rsidRPr="00705294">
        <w:rPr>
          <w:rFonts w:eastAsia="Calibri"/>
          <w:szCs w:val="24"/>
          <w:lang w:eastAsia="en-US"/>
        </w:rPr>
        <w:t>The appearance of queer theory and queer studies threatens to mean the disappearance of lesbians [</w:t>
      </w:r>
      <w:r w:rsidR="008249DA">
        <w:rPr>
          <w:rFonts w:eastAsia="Calibri"/>
          <w:color w:val="auto"/>
          <w:szCs w:val="24"/>
          <w:lang w:eastAsia="en-US"/>
        </w:rPr>
        <w:t>4</w:t>
      </w:r>
      <w:r w:rsidR="00A86028">
        <w:rPr>
          <w:rFonts w:eastAsia="Calibri"/>
          <w:color w:val="auto"/>
          <w:szCs w:val="24"/>
          <w:lang w:eastAsia="en-US"/>
        </w:rPr>
        <w:t>1</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 xml:space="preserve"> Jeffreys criticizes Queer Theory as the product of </w:t>
      </w:r>
      <w:r w:rsidR="009A73D6">
        <w:rPr>
          <w:rFonts w:eastAsia="Calibri"/>
          <w:szCs w:val="24"/>
          <w:lang w:eastAsia="en-US"/>
        </w:rPr>
        <w:t>“</w:t>
      </w:r>
      <w:r w:rsidRPr="00705294">
        <w:rPr>
          <w:rFonts w:eastAsia="Calibri"/>
          <w:szCs w:val="24"/>
          <w:lang w:eastAsia="en-US"/>
        </w:rPr>
        <w:t xml:space="preserve">a powerful gay </w:t>
      </w:r>
      <w:r w:rsidR="00AB38A9">
        <w:rPr>
          <w:rFonts w:eastAsia="Calibri"/>
          <w:szCs w:val="24"/>
          <w:lang w:eastAsia="en-US"/>
        </w:rPr>
        <w:t>male culture</w:t>
      </w:r>
      <w:r w:rsidR="009A73D6">
        <w:rPr>
          <w:rFonts w:eastAsia="Calibri"/>
          <w:szCs w:val="24"/>
          <w:lang w:eastAsia="en-US"/>
        </w:rPr>
        <w:t>”</w:t>
      </w:r>
      <w:r w:rsidR="00AB38A9">
        <w:rPr>
          <w:rFonts w:eastAsia="Calibri"/>
          <w:szCs w:val="24"/>
          <w:lang w:eastAsia="en-US"/>
        </w:rPr>
        <w:t>,</w:t>
      </w:r>
      <w:r w:rsidRPr="00705294">
        <w:rPr>
          <w:rFonts w:eastAsia="Calibri"/>
          <w:szCs w:val="24"/>
          <w:lang w:eastAsia="en-US"/>
        </w:rPr>
        <w:t xml:space="preserve"> which </w:t>
      </w:r>
      <w:r w:rsidR="009A73D6">
        <w:rPr>
          <w:rFonts w:eastAsia="Calibri"/>
          <w:szCs w:val="24"/>
          <w:lang w:eastAsia="en-US"/>
        </w:rPr>
        <w:t>“</w:t>
      </w:r>
      <w:r w:rsidRPr="00705294">
        <w:rPr>
          <w:rFonts w:eastAsia="Calibri"/>
          <w:szCs w:val="24"/>
          <w:lang w:eastAsia="en-US"/>
        </w:rPr>
        <w:t>celebrated masculine privilege</w:t>
      </w:r>
      <w:r w:rsidR="009A73D6">
        <w:rPr>
          <w:rFonts w:eastAsia="Calibri"/>
          <w:szCs w:val="24"/>
          <w:lang w:eastAsia="en-US"/>
        </w:rPr>
        <w:t>”</w:t>
      </w:r>
      <w:r w:rsidRPr="00705294">
        <w:rPr>
          <w:rFonts w:eastAsia="Calibri"/>
          <w:szCs w:val="24"/>
          <w:lang w:eastAsia="en-US"/>
        </w:rPr>
        <w:t xml:space="preserve"> and </w:t>
      </w:r>
      <w:r w:rsidR="009A73D6">
        <w:rPr>
          <w:rFonts w:eastAsia="Calibri"/>
          <w:szCs w:val="24"/>
          <w:lang w:eastAsia="en-US"/>
        </w:rPr>
        <w:t>“</w:t>
      </w:r>
      <w:r w:rsidR="00AB38A9">
        <w:rPr>
          <w:rFonts w:eastAsia="Calibri"/>
          <w:szCs w:val="24"/>
          <w:lang w:eastAsia="en-US"/>
        </w:rPr>
        <w:t>enshrined a cult of masculinity</w:t>
      </w:r>
      <w:r w:rsidR="009A73D6">
        <w:rPr>
          <w:rFonts w:eastAsia="Calibri"/>
          <w:szCs w:val="24"/>
          <w:lang w:eastAsia="en-US"/>
        </w:rPr>
        <w:t>”</w:t>
      </w:r>
      <w:r w:rsidR="00AB38A9">
        <w:rPr>
          <w:rFonts w:eastAsia="Calibri"/>
          <w:szCs w:val="24"/>
          <w:lang w:eastAsia="en-US"/>
        </w:rPr>
        <w:t>.</w:t>
      </w:r>
      <w:r w:rsidRPr="00705294">
        <w:rPr>
          <w:rFonts w:eastAsia="Calibri"/>
          <w:szCs w:val="24"/>
          <w:lang w:eastAsia="en-US"/>
        </w:rPr>
        <w:t xml:space="preserve"> She repudiates Queer Theory as anti-lesbian, a</w:t>
      </w:r>
      <w:r w:rsidR="00AB28BD" w:rsidRPr="00705294">
        <w:rPr>
          <w:rFonts w:eastAsia="Calibri"/>
          <w:szCs w:val="24"/>
          <w:lang w:eastAsia="en-US"/>
        </w:rPr>
        <w:t xml:space="preserve">nti-feminist, and anti-women </w:t>
      </w:r>
      <w:r w:rsidR="00563D7C">
        <w:rPr>
          <w:rFonts w:eastAsia="Calibri"/>
          <w:szCs w:val="24"/>
          <w:lang w:eastAsia="en-US"/>
        </w:rPr>
        <w:t>(</w:t>
      </w:r>
      <w:r w:rsidR="00AB28BD" w:rsidRPr="00705294">
        <w:rPr>
          <w:rFonts w:eastAsia="Calibri"/>
          <w:szCs w:val="24"/>
          <w:lang w:eastAsia="en-US"/>
        </w:rPr>
        <w:t>[</w:t>
      </w:r>
      <w:r w:rsidR="008249DA">
        <w:rPr>
          <w:rFonts w:eastAsia="Calibri"/>
          <w:color w:val="auto"/>
          <w:szCs w:val="24"/>
          <w:lang w:eastAsia="en-US"/>
        </w:rPr>
        <w:t>4</w:t>
      </w:r>
      <w:r w:rsidR="00A86028">
        <w:rPr>
          <w:rFonts w:eastAsia="Calibri"/>
          <w:color w:val="auto"/>
          <w:szCs w:val="24"/>
          <w:lang w:eastAsia="en-US"/>
        </w:rPr>
        <w:t>2</w:t>
      </w:r>
      <w:r w:rsidR="00563D7C">
        <w:rPr>
          <w:rFonts w:eastAsia="Calibri"/>
          <w:color w:val="auto"/>
          <w:szCs w:val="24"/>
          <w:lang w:eastAsia="en-US"/>
        </w:rPr>
        <w:t>]</w:t>
      </w:r>
      <w:r w:rsidR="00563D7C" w:rsidRPr="00563D7C">
        <w:rPr>
          <w:rFonts w:eastAsia="Calibri"/>
          <w:color w:val="auto"/>
          <w:szCs w:val="24"/>
          <w:lang w:eastAsia="en-US"/>
        </w:rPr>
        <w:t>, pp. 1–2</w:t>
      </w:r>
      <w:r w:rsidR="00563D7C">
        <w:rPr>
          <w:rFonts w:eastAsia="Calibri"/>
          <w:color w:val="auto"/>
          <w:szCs w:val="24"/>
          <w:lang w:eastAsia="en-US"/>
        </w:rPr>
        <w:t>)</w:t>
      </w:r>
      <w:r w:rsidRPr="00705294">
        <w:rPr>
          <w:rFonts w:eastAsia="Calibri"/>
          <w:szCs w:val="24"/>
          <w:lang w:eastAsia="en-US"/>
        </w:rPr>
        <w:t>. Thus, despite its supposedly counter-normative associations, queer, and Queer Theory has come to signify gay male</w:t>
      </w:r>
      <w:r w:rsidR="007023D7" w:rsidRPr="00705294">
        <w:rPr>
          <w:rFonts w:eastAsia="Calibri"/>
          <w:szCs w:val="24"/>
          <w:lang w:eastAsia="en-US"/>
        </w:rPr>
        <w:t xml:space="preserve"> (as</w:t>
      </w:r>
      <w:r w:rsidR="00582E0D" w:rsidRPr="00705294">
        <w:rPr>
          <w:rFonts w:eastAsia="Calibri"/>
          <w:szCs w:val="24"/>
          <w:lang w:eastAsia="en-US"/>
        </w:rPr>
        <w:t xml:space="preserve"> we shall s</w:t>
      </w:r>
      <w:r w:rsidR="007023D7" w:rsidRPr="00705294">
        <w:rPr>
          <w:rFonts w:eastAsia="Calibri"/>
          <w:szCs w:val="24"/>
          <w:lang w:eastAsia="en-US"/>
        </w:rPr>
        <w:t>e</w:t>
      </w:r>
      <w:r w:rsidR="00582E0D" w:rsidRPr="00705294">
        <w:rPr>
          <w:rFonts w:eastAsia="Calibri"/>
          <w:szCs w:val="24"/>
          <w:lang w:eastAsia="en-US"/>
        </w:rPr>
        <w:t xml:space="preserve">e, gay </w:t>
      </w:r>
      <w:r w:rsidR="00582E0D" w:rsidRPr="00705294">
        <w:rPr>
          <w:rFonts w:eastAsia="Calibri"/>
          <w:i/>
          <w:szCs w:val="24"/>
          <w:lang w:eastAsia="en-US"/>
        </w:rPr>
        <w:t>white</w:t>
      </w:r>
      <w:r w:rsidR="00582E0D" w:rsidRPr="00705294">
        <w:rPr>
          <w:rFonts w:eastAsia="Calibri"/>
          <w:szCs w:val="24"/>
          <w:lang w:eastAsia="en-US"/>
        </w:rPr>
        <w:t xml:space="preserve"> male)</w:t>
      </w:r>
      <w:r w:rsidRPr="00705294">
        <w:rPr>
          <w:rFonts w:eastAsia="Calibri"/>
          <w:szCs w:val="24"/>
          <w:lang w:eastAsia="en-US"/>
        </w:rPr>
        <w:t xml:space="preserve">, which means it does not challenge or change; it is simply </w:t>
      </w:r>
      <w:r w:rsidR="009A73D6">
        <w:rPr>
          <w:rFonts w:eastAsia="Calibri"/>
          <w:szCs w:val="24"/>
          <w:lang w:eastAsia="en-US"/>
        </w:rPr>
        <w:t>“</w:t>
      </w:r>
      <w:r w:rsidR="006677BD" w:rsidRPr="00705294">
        <w:rPr>
          <w:rFonts w:eastAsia="Calibri"/>
          <w:szCs w:val="24"/>
          <w:lang w:eastAsia="en-US"/>
        </w:rPr>
        <w:t>yet more patriarchy</w:t>
      </w:r>
      <w:r w:rsidR="009A73D6">
        <w:rPr>
          <w:rFonts w:eastAsia="Calibri"/>
          <w:szCs w:val="24"/>
          <w:lang w:eastAsia="en-US"/>
        </w:rPr>
        <w:t>”</w:t>
      </w:r>
      <w:r w:rsidRPr="00705294">
        <w:rPr>
          <w:rFonts w:eastAsia="Calibri"/>
          <w:szCs w:val="24"/>
          <w:lang w:eastAsia="en-US"/>
        </w:rPr>
        <w:t xml:space="preserve">. The debate surrounding </w:t>
      </w:r>
      <w:r w:rsidR="00512619" w:rsidRPr="00705294">
        <w:rPr>
          <w:rFonts w:eastAsia="Calibri"/>
          <w:szCs w:val="24"/>
          <w:lang w:eastAsia="en-US"/>
        </w:rPr>
        <w:t>lowering the age of consent has</w:t>
      </w:r>
      <w:r w:rsidRPr="00705294">
        <w:rPr>
          <w:rFonts w:eastAsia="Calibri"/>
          <w:szCs w:val="24"/>
          <w:lang w:eastAsia="en-US"/>
        </w:rPr>
        <w:t xml:space="preserve"> on the face of it, focused its aim on helping both boys </w:t>
      </w:r>
      <w:r w:rsidRPr="00705294">
        <w:rPr>
          <w:rFonts w:eastAsia="Calibri"/>
          <w:i/>
          <w:iCs/>
          <w:szCs w:val="24"/>
          <w:lang w:eastAsia="en-US"/>
        </w:rPr>
        <w:t xml:space="preserve">and </w:t>
      </w:r>
      <w:r w:rsidRPr="00705294">
        <w:rPr>
          <w:rFonts w:eastAsia="Calibri"/>
          <w:szCs w:val="24"/>
          <w:lang w:eastAsia="en-US"/>
        </w:rPr>
        <w:t>girls under 16; it purports to be inclusionary. However, to a significant degree, the debate has placed insufficient emphasis upon the potentially damaging effect(s) a lowering of the age of consent will</w:t>
      </w:r>
      <w:r w:rsidR="00512619" w:rsidRPr="00705294">
        <w:rPr>
          <w:rFonts w:eastAsia="Calibri"/>
          <w:szCs w:val="24"/>
          <w:lang w:eastAsia="en-US"/>
        </w:rPr>
        <w:t xml:space="preserve"> have on teenage girls, and has</w:t>
      </w:r>
      <w:r w:rsidRPr="00705294">
        <w:rPr>
          <w:rFonts w:eastAsia="Calibri"/>
          <w:szCs w:val="24"/>
          <w:lang w:eastAsia="en-US"/>
        </w:rPr>
        <w:t xml:space="preserve"> </w:t>
      </w:r>
      <w:r w:rsidR="00E75144" w:rsidRPr="00705294">
        <w:rPr>
          <w:rFonts w:eastAsia="Calibri"/>
          <w:szCs w:val="24"/>
          <w:lang w:eastAsia="en-US"/>
        </w:rPr>
        <w:t xml:space="preserve">become </w:t>
      </w:r>
      <w:r w:rsidRPr="00705294">
        <w:rPr>
          <w:rFonts w:eastAsia="Calibri"/>
          <w:szCs w:val="24"/>
          <w:lang w:eastAsia="en-US"/>
        </w:rPr>
        <w:t>therefore, exclusionary rather than inclusionary</w:t>
      </w:r>
      <w:r w:rsidR="00A931AC" w:rsidRPr="00705294">
        <w:rPr>
          <w:szCs w:val="24"/>
        </w:rPr>
        <w:t xml:space="preserve"> and </w:t>
      </w:r>
      <w:r w:rsidR="00A931AC" w:rsidRPr="00705294">
        <w:rPr>
          <w:rFonts w:eastAsia="Calibri"/>
          <w:szCs w:val="24"/>
          <w:lang w:eastAsia="en-US"/>
        </w:rPr>
        <w:t xml:space="preserve">complicit in perpetuating in exclusionary </w:t>
      </w:r>
      <w:r w:rsidR="009C340D" w:rsidRPr="00705294">
        <w:rPr>
          <w:rFonts w:eastAsia="Calibri"/>
          <w:szCs w:val="24"/>
          <w:lang w:eastAsia="en-US"/>
        </w:rPr>
        <w:t>heteropatriarchal</w:t>
      </w:r>
      <w:r w:rsidR="00A931AC" w:rsidRPr="00705294">
        <w:rPr>
          <w:rFonts w:eastAsia="Calibri"/>
          <w:szCs w:val="24"/>
          <w:lang w:eastAsia="en-US"/>
        </w:rPr>
        <w:t xml:space="preserve"> practices</w:t>
      </w:r>
      <w:r w:rsidRPr="00705294">
        <w:rPr>
          <w:rFonts w:eastAsia="Calibri"/>
          <w:szCs w:val="24"/>
          <w:lang w:eastAsia="en-US"/>
        </w:rPr>
        <w:t xml:space="preserve">. </w:t>
      </w:r>
      <w:r w:rsidR="00705294">
        <w:rPr>
          <w:rFonts w:eastAsia="Calibri"/>
          <w:szCs w:val="24"/>
          <w:lang w:eastAsia="en-US"/>
        </w:rPr>
        <w:t xml:space="preserve">In this context, </w:t>
      </w:r>
      <w:r w:rsidRPr="00705294">
        <w:rPr>
          <w:rFonts w:eastAsia="Calibri"/>
          <w:szCs w:val="24"/>
          <w:lang w:eastAsia="en-US"/>
        </w:rPr>
        <w:t xml:space="preserve">then, Queer Theory, therefore, is not interested in examining the ways in which the implications of its normative power operate upon girls; for whilst it has the potentiality to bring </w:t>
      </w:r>
      <w:r w:rsidR="009A73D6">
        <w:rPr>
          <w:rFonts w:eastAsia="Calibri"/>
          <w:szCs w:val="24"/>
          <w:lang w:eastAsia="en-US"/>
        </w:rPr>
        <w:t>“</w:t>
      </w:r>
      <w:r w:rsidRPr="00705294">
        <w:rPr>
          <w:rFonts w:eastAsia="Calibri"/>
          <w:szCs w:val="24"/>
          <w:lang w:eastAsia="en-US"/>
        </w:rPr>
        <w:t>new conceptual frameworks for the a</w:t>
      </w:r>
      <w:r w:rsidR="00676405">
        <w:rPr>
          <w:rFonts w:eastAsia="Calibri"/>
          <w:szCs w:val="24"/>
          <w:lang w:eastAsia="en-US"/>
        </w:rPr>
        <w:t>nalysis of gender and sexuality</w:t>
      </w:r>
      <w:r w:rsidRPr="00705294">
        <w:rPr>
          <w:rFonts w:eastAsia="Calibri"/>
          <w:szCs w:val="24"/>
          <w:lang w:eastAsia="en-US"/>
        </w:rPr>
        <w:t>... [these] frameworks [are] not exclusively concerned with th</w:t>
      </w:r>
      <w:r w:rsidR="00AB28BD" w:rsidRPr="00705294">
        <w:rPr>
          <w:rFonts w:eastAsia="Calibri"/>
          <w:szCs w:val="24"/>
          <w:lang w:eastAsia="en-US"/>
        </w:rPr>
        <w:t xml:space="preserve">e lived experiences of women </w:t>
      </w:r>
      <w:r w:rsidR="009F5D71">
        <w:rPr>
          <w:rFonts w:eastAsia="Calibri"/>
          <w:szCs w:val="24"/>
          <w:lang w:eastAsia="en-US"/>
        </w:rPr>
        <w:t>(</w:t>
      </w:r>
      <w:r w:rsidR="00AB28BD" w:rsidRPr="00705294">
        <w:rPr>
          <w:rFonts w:eastAsia="Calibri"/>
          <w:szCs w:val="24"/>
          <w:lang w:eastAsia="en-US"/>
        </w:rPr>
        <w:t>[</w:t>
      </w:r>
      <w:r w:rsidR="008249DA">
        <w:rPr>
          <w:rFonts w:eastAsia="Calibri"/>
          <w:color w:val="auto"/>
          <w:szCs w:val="24"/>
          <w:lang w:eastAsia="en-US"/>
        </w:rPr>
        <w:t>4</w:t>
      </w:r>
      <w:r w:rsidR="00A86028">
        <w:rPr>
          <w:rFonts w:eastAsia="Calibri"/>
          <w:color w:val="auto"/>
          <w:szCs w:val="24"/>
          <w:lang w:eastAsia="en-US"/>
        </w:rPr>
        <w:t>3</w:t>
      </w:r>
      <w:r w:rsidR="009F5D71">
        <w:rPr>
          <w:rFonts w:eastAsia="Calibri"/>
          <w:color w:val="auto"/>
          <w:szCs w:val="24"/>
          <w:lang w:eastAsia="en-US"/>
        </w:rPr>
        <w:t>]</w:t>
      </w:r>
      <w:r w:rsidR="009F5D71" w:rsidRPr="009F5D71">
        <w:rPr>
          <w:rFonts w:eastAsia="Calibri"/>
          <w:color w:val="auto"/>
          <w:szCs w:val="24"/>
          <w:lang w:eastAsia="en-US"/>
        </w:rPr>
        <w:t>, p. 10</w:t>
      </w:r>
      <w:r w:rsidR="009F5D71">
        <w:rPr>
          <w:rFonts w:eastAsia="Calibri"/>
          <w:color w:val="auto"/>
          <w:szCs w:val="24"/>
          <w:lang w:eastAsia="en-US"/>
        </w:rPr>
        <w:t>)</w:t>
      </w:r>
      <w:r w:rsidRPr="00705294">
        <w:rPr>
          <w:rFonts w:eastAsia="Calibri"/>
          <w:szCs w:val="24"/>
          <w:lang w:eastAsia="en-US"/>
        </w:rPr>
        <w:t>.</w:t>
      </w:r>
      <w:r w:rsidR="009A73D6">
        <w:rPr>
          <w:rFonts w:eastAsia="Calibri"/>
          <w:szCs w:val="24"/>
          <w:lang w:eastAsia="en-US"/>
        </w:rPr>
        <w:t>”</w:t>
      </w:r>
      <w:r w:rsidR="00A931AC" w:rsidRPr="00705294">
        <w:rPr>
          <w:szCs w:val="24"/>
        </w:rPr>
        <w:t xml:space="preserve"> Further, </w:t>
      </w:r>
      <w:r w:rsidR="00A931AC" w:rsidRPr="00705294">
        <w:rPr>
          <w:rFonts w:eastAsia="Calibri"/>
          <w:szCs w:val="24"/>
          <w:lang w:eastAsia="en-US"/>
        </w:rPr>
        <w:t xml:space="preserve">the problems of Queer Theory go deeper than a failure to acknowledge and critique of the lived experience of girls, for whilst </w:t>
      </w:r>
      <w:r w:rsidR="00817260" w:rsidRPr="00705294">
        <w:rPr>
          <w:rFonts w:eastAsia="Calibri"/>
          <w:szCs w:val="24"/>
          <w:lang w:eastAsia="en-US"/>
        </w:rPr>
        <w:t xml:space="preserve">Queer Theory is </w:t>
      </w:r>
      <w:r w:rsidR="00A931AC" w:rsidRPr="00705294">
        <w:rPr>
          <w:rFonts w:eastAsia="Calibri"/>
          <w:szCs w:val="24"/>
          <w:lang w:eastAsia="en-US"/>
        </w:rPr>
        <w:t xml:space="preserve">purportedly </w:t>
      </w:r>
      <w:r w:rsidR="00817260" w:rsidRPr="00705294">
        <w:rPr>
          <w:rFonts w:eastAsia="Calibri"/>
          <w:szCs w:val="24"/>
          <w:lang w:eastAsia="en-US"/>
        </w:rPr>
        <w:t>concerned with destabili</w:t>
      </w:r>
      <w:r w:rsidR="00705294">
        <w:rPr>
          <w:rFonts w:eastAsia="Calibri"/>
          <w:szCs w:val="24"/>
          <w:lang w:eastAsia="en-US"/>
        </w:rPr>
        <w:t>z</w:t>
      </w:r>
      <w:r w:rsidR="00817260" w:rsidRPr="00705294">
        <w:rPr>
          <w:rFonts w:eastAsia="Calibri"/>
          <w:szCs w:val="24"/>
          <w:lang w:eastAsia="en-US"/>
        </w:rPr>
        <w:t xml:space="preserve">ing the </w:t>
      </w:r>
      <w:r w:rsidR="00817260" w:rsidRPr="00705294">
        <w:rPr>
          <w:rFonts w:eastAsia="Calibri"/>
          <w:i/>
          <w:szCs w:val="24"/>
          <w:lang w:eastAsia="en-US"/>
        </w:rPr>
        <w:t>heterosexual</w:t>
      </w:r>
      <w:r w:rsidR="00817260" w:rsidRPr="00705294">
        <w:rPr>
          <w:rFonts w:eastAsia="Calibri"/>
          <w:szCs w:val="24"/>
          <w:lang w:eastAsia="en-US"/>
        </w:rPr>
        <w:t xml:space="preserve"> norm, it is not concerned with heterosexuality </w:t>
      </w:r>
      <w:r w:rsidR="00817260" w:rsidRPr="00705294">
        <w:rPr>
          <w:rFonts w:eastAsia="Calibri"/>
          <w:i/>
          <w:szCs w:val="24"/>
          <w:lang w:eastAsia="en-US"/>
        </w:rPr>
        <w:t>as</w:t>
      </w:r>
      <w:r w:rsidR="00817260" w:rsidRPr="00705294">
        <w:rPr>
          <w:rFonts w:eastAsia="Calibri"/>
          <w:szCs w:val="24"/>
          <w:lang w:eastAsia="en-US"/>
        </w:rPr>
        <w:t xml:space="preserve"> patriarchy</w:t>
      </w:r>
      <w:r w:rsidR="007A6B4B" w:rsidRPr="00705294">
        <w:rPr>
          <w:rFonts w:eastAsia="Calibri"/>
          <w:szCs w:val="24"/>
          <w:lang w:eastAsia="en-US"/>
        </w:rPr>
        <w:t>.</w:t>
      </w:r>
      <w:r w:rsidR="00231416" w:rsidRPr="00705294">
        <w:rPr>
          <w:rFonts w:eastAsia="Calibri"/>
          <w:szCs w:val="24"/>
          <w:lang w:eastAsia="en-US"/>
        </w:rPr>
        <w:t xml:space="preserve"> </w:t>
      </w:r>
      <w:r w:rsidR="007A6B4B" w:rsidRPr="00705294">
        <w:rPr>
          <w:rFonts w:eastAsia="Calibri"/>
          <w:szCs w:val="24"/>
          <w:lang w:eastAsia="en-US"/>
        </w:rPr>
        <w:t>C</w:t>
      </w:r>
      <w:r w:rsidR="00817260" w:rsidRPr="00705294">
        <w:rPr>
          <w:rFonts w:eastAsia="Calibri"/>
          <w:szCs w:val="24"/>
          <w:lang w:eastAsia="en-US"/>
        </w:rPr>
        <w:t xml:space="preserve">onsequently, in order to be effective, any </w:t>
      </w:r>
      <w:r w:rsidR="0043757E" w:rsidRPr="00705294">
        <w:rPr>
          <w:rFonts w:eastAsia="Calibri"/>
          <w:szCs w:val="24"/>
          <w:lang w:eastAsia="en-US"/>
        </w:rPr>
        <w:t xml:space="preserve">queer </w:t>
      </w:r>
      <w:r w:rsidR="00817260" w:rsidRPr="00705294">
        <w:rPr>
          <w:rFonts w:eastAsia="Calibri"/>
          <w:szCs w:val="24"/>
          <w:lang w:eastAsia="en-US"/>
        </w:rPr>
        <w:t xml:space="preserve">critique of heterosexuality must address both heteronormativity </w:t>
      </w:r>
      <w:r w:rsidR="00817260" w:rsidRPr="00705294">
        <w:rPr>
          <w:rFonts w:eastAsia="Calibri"/>
          <w:i/>
          <w:szCs w:val="24"/>
          <w:lang w:eastAsia="en-US"/>
        </w:rPr>
        <w:t>and</w:t>
      </w:r>
      <w:r w:rsidR="00AA096B" w:rsidRPr="00705294">
        <w:rPr>
          <w:rFonts w:eastAsia="Calibri"/>
          <w:szCs w:val="24"/>
          <w:lang w:eastAsia="en-US"/>
        </w:rPr>
        <w:t xml:space="preserve"> male dominance </w:t>
      </w:r>
      <w:r w:rsidR="007703BA">
        <w:rPr>
          <w:rFonts w:eastAsia="Calibri"/>
          <w:szCs w:val="24"/>
          <w:lang w:eastAsia="en-US"/>
        </w:rPr>
        <w:t>(</w:t>
      </w:r>
      <w:r w:rsidR="00AA096B" w:rsidRPr="00705294">
        <w:rPr>
          <w:rFonts w:eastAsia="Calibri"/>
          <w:szCs w:val="24"/>
          <w:lang w:eastAsia="en-US"/>
        </w:rPr>
        <w:t>[</w:t>
      </w:r>
      <w:r w:rsidR="008249DA">
        <w:rPr>
          <w:rFonts w:eastAsia="Calibri"/>
          <w:color w:val="auto"/>
          <w:szCs w:val="24"/>
          <w:lang w:eastAsia="en-US"/>
        </w:rPr>
        <w:t>4</w:t>
      </w:r>
      <w:r w:rsidR="00A86028">
        <w:rPr>
          <w:rFonts w:eastAsia="Calibri"/>
          <w:color w:val="auto"/>
          <w:szCs w:val="24"/>
          <w:lang w:eastAsia="en-US"/>
        </w:rPr>
        <w:t>4</w:t>
      </w:r>
      <w:r w:rsidR="007703BA">
        <w:rPr>
          <w:rFonts w:eastAsia="Calibri"/>
          <w:color w:val="auto"/>
          <w:szCs w:val="24"/>
          <w:lang w:eastAsia="en-US"/>
        </w:rPr>
        <w:t>], p. 290</w:t>
      </w:r>
      <w:r w:rsidR="000C7647">
        <w:rPr>
          <w:rFonts w:eastAsia="Calibri"/>
          <w:szCs w:val="24"/>
          <w:lang w:eastAsia="en-US"/>
        </w:rPr>
        <w:t>)</w:t>
      </w:r>
      <w:r w:rsidR="00817260" w:rsidRPr="00705294">
        <w:rPr>
          <w:rFonts w:eastAsia="Calibri"/>
          <w:szCs w:val="24"/>
          <w:lang w:eastAsia="en-US"/>
        </w:rPr>
        <w:t xml:space="preserve">. This is illustrated by the </w:t>
      </w:r>
      <w:r w:rsidR="009A73D6">
        <w:rPr>
          <w:rFonts w:eastAsia="Calibri"/>
          <w:szCs w:val="24"/>
          <w:lang w:eastAsia="en-US"/>
        </w:rPr>
        <w:t>“</w:t>
      </w:r>
      <w:r w:rsidR="00817260" w:rsidRPr="00705294">
        <w:rPr>
          <w:rFonts w:eastAsia="Calibri"/>
          <w:szCs w:val="24"/>
          <w:lang w:eastAsia="en-US"/>
        </w:rPr>
        <w:t>mainstreaming</w:t>
      </w:r>
      <w:r w:rsidR="009A73D6">
        <w:rPr>
          <w:rFonts w:eastAsia="Calibri"/>
          <w:szCs w:val="24"/>
          <w:lang w:eastAsia="en-US"/>
        </w:rPr>
        <w:t>”</w:t>
      </w:r>
      <w:r w:rsidR="00817260" w:rsidRPr="00705294">
        <w:rPr>
          <w:rFonts w:eastAsia="Calibri"/>
          <w:szCs w:val="24"/>
          <w:lang w:eastAsia="en-US"/>
        </w:rPr>
        <w:t xml:space="preserve"> of Queer Theory</w:t>
      </w:r>
      <w:r w:rsidR="00DF7AAA" w:rsidRPr="00705294">
        <w:rPr>
          <w:rFonts w:eastAsia="Calibri"/>
          <w:szCs w:val="24"/>
          <w:lang w:eastAsia="en-US"/>
        </w:rPr>
        <w:t xml:space="preserve"> and the </w:t>
      </w:r>
      <w:r w:rsidR="00817260" w:rsidRPr="00705294">
        <w:rPr>
          <w:rFonts w:eastAsia="Calibri"/>
          <w:szCs w:val="24"/>
          <w:lang w:eastAsia="en-US"/>
        </w:rPr>
        <w:t xml:space="preserve">process of </w:t>
      </w:r>
      <w:r w:rsidR="00DF7AAA" w:rsidRPr="00705294">
        <w:rPr>
          <w:rFonts w:eastAsia="Calibri"/>
          <w:szCs w:val="24"/>
          <w:lang w:eastAsia="en-US"/>
        </w:rPr>
        <w:t>the adoption of heteronormative assumptions, combined with neoliberal promises that amo</w:t>
      </w:r>
      <w:r w:rsidR="003275B0" w:rsidRPr="00705294">
        <w:rPr>
          <w:rFonts w:eastAsia="Calibri"/>
          <w:szCs w:val="24"/>
          <w:lang w:eastAsia="en-US"/>
        </w:rPr>
        <w:t xml:space="preserve">unt to assimilative discourse </w:t>
      </w:r>
      <w:r w:rsidR="00EF7F12">
        <w:rPr>
          <w:rFonts w:eastAsia="Calibri"/>
          <w:szCs w:val="24"/>
          <w:lang w:eastAsia="en-US"/>
        </w:rPr>
        <w:t>(</w:t>
      </w:r>
      <w:r w:rsidR="003275B0" w:rsidRPr="00705294">
        <w:rPr>
          <w:rFonts w:eastAsia="Calibri"/>
          <w:szCs w:val="24"/>
          <w:lang w:eastAsia="en-US"/>
        </w:rPr>
        <w:t>[</w:t>
      </w:r>
      <w:r w:rsidR="008249DA">
        <w:rPr>
          <w:rFonts w:eastAsia="Calibri"/>
          <w:color w:val="auto"/>
          <w:szCs w:val="24"/>
          <w:lang w:eastAsia="en-US"/>
        </w:rPr>
        <w:t>4</w:t>
      </w:r>
      <w:r w:rsidR="00A86028">
        <w:rPr>
          <w:rFonts w:eastAsia="Calibri"/>
          <w:color w:val="auto"/>
          <w:szCs w:val="24"/>
          <w:lang w:eastAsia="en-US"/>
        </w:rPr>
        <w:t>5</w:t>
      </w:r>
      <w:r w:rsidR="00EF7F12">
        <w:rPr>
          <w:rFonts w:eastAsia="Calibri"/>
          <w:color w:val="auto"/>
          <w:szCs w:val="24"/>
          <w:lang w:eastAsia="en-US"/>
        </w:rPr>
        <w:t>]</w:t>
      </w:r>
      <w:r w:rsidR="00EF7F12" w:rsidRPr="00EF7F12">
        <w:rPr>
          <w:rFonts w:eastAsia="Calibri"/>
          <w:color w:val="auto"/>
          <w:szCs w:val="24"/>
          <w:lang w:eastAsia="en-US"/>
        </w:rPr>
        <w:t>, p. 179</w:t>
      </w:r>
      <w:r w:rsidR="00EF7F12">
        <w:rPr>
          <w:rFonts w:eastAsia="Calibri"/>
          <w:color w:val="auto"/>
          <w:szCs w:val="24"/>
          <w:lang w:eastAsia="en-US"/>
        </w:rPr>
        <w:t>)</w:t>
      </w:r>
      <w:r w:rsidR="00DF7AAA" w:rsidRPr="00705294">
        <w:rPr>
          <w:rFonts w:eastAsia="Calibri"/>
          <w:szCs w:val="24"/>
          <w:lang w:eastAsia="en-US"/>
        </w:rPr>
        <w:t xml:space="preserve">. It is this assimilative discourse which, in part, contributes to </w:t>
      </w:r>
      <w:r w:rsidR="006B3475" w:rsidRPr="00705294">
        <w:rPr>
          <w:rFonts w:eastAsia="Calibri"/>
          <w:szCs w:val="24"/>
          <w:lang w:eastAsia="en-US"/>
        </w:rPr>
        <w:t xml:space="preserve">the </w:t>
      </w:r>
      <w:r w:rsidR="00DF7AAA" w:rsidRPr="00705294">
        <w:rPr>
          <w:rFonts w:eastAsia="Calibri"/>
          <w:szCs w:val="24"/>
          <w:lang w:eastAsia="en-US"/>
        </w:rPr>
        <w:t>failure to take account of the lived experience of teenage girls</w:t>
      </w:r>
      <w:r w:rsidR="006B3475" w:rsidRPr="00705294">
        <w:rPr>
          <w:rFonts w:eastAsia="Calibri"/>
          <w:szCs w:val="24"/>
          <w:lang w:eastAsia="en-US"/>
        </w:rPr>
        <w:t xml:space="preserve"> and is </w:t>
      </w:r>
      <w:r w:rsidR="00817260" w:rsidRPr="00705294">
        <w:rPr>
          <w:rFonts w:eastAsia="Calibri"/>
          <w:szCs w:val="24"/>
          <w:lang w:eastAsia="en-US"/>
        </w:rPr>
        <w:t xml:space="preserve">no more than a </w:t>
      </w:r>
      <w:r w:rsidR="009A73D6">
        <w:rPr>
          <w:rFonts w:eastAsia="Calibri"/>
          <w:szCs w:val="24"/>
          <w:lang w:eastAsia="en-US"/>
        </w:rPr>
        <w:t>“</w:t>
      </w:r>
      <w:r w:rsidR="00817260" w:rsidRPr="00705294">
        <w:rPr>
          <w:rFonts w:eastAsia="Calibri"/>
          <w:szCs w:val="24"/>
          <w:lang w:eastAsia="en-US"/>
        </w:rPr>
        <w:t>strategy for priva</w:t>
      </w:r>
      <w:r w:rsidR="006C5B61" w:rsidRPr="00705294">
        <w:rPr>
          <w:rFonts w:eastAsia="Calibri"/>
          <w:szCs w:val="24"/>
          <w:lang w:eastAsia="en-US"/>
        </w:rPr>
        <w:t>ti</w:t>
      </w:r>
      <w:r w:rsidR="00705294">
        <w:rPr>
          <w:rFonts w:eastAsia="Calibri"/>
          <w:szCs w:val="24"/>
          <w:lang w:eastAsia="en-US"/>
        </w:rPr>
        <w:t>z</w:t>
      </w:r>
      <w:r w:rsidR="006C5B61" w:rsidRPr="00705294">
        <w:rPr>
          <w:rFonts w:eastAsia="Calibri"/>
          <w:szCs w:val="24"/>
          <w:lang w:eastAsia="en-US"/>
        </w:rPr>
        <w:t>ing gay politics</w:t>
      </w:r>
      <w:r w:rsidR="009A73D6">
        <w:rPr>
          <w:rFonts w:eastAsia="Calibri"/>
          <w:szCs w:val="24"/>
          <w:lang w:eastAsia="en-US"/>
        </w:rPr>
        <w:t>”</w:t>
      </w:r>
      <w:r w:rsidR="006C5B61" w:rsidRPr="00705294">
        <w:rPr>
          <w:rFonts w:eastAsia="Calibri"/>
          <w:szCs w:val="24"/>
          <w:lang w:eastAsia="en-US"/>
        </w:rPr>
        <w:t>,</w:t>
      </w:r>
      <w:r w:rsidR="007C7411" w:rsidRPr="00705294">
        <w:rPr>
          <w:rFonts w:eastAsia="Calibri"/>
          <w:szCs w:val="24"/>
          <w:lang w:eastAsia="en-US"/>
        </w:rPr>
        <w:t xml:space="preserve"> in which we have </w:t>
      </w:r>
      <w:r w:rsidR="009A73D6">
        <w:rPr>
          <w:rFonts w:eastAsia="Calibri"/>
          <w:szCs w:val="24"/>
          <w:lang w:eastAsia="en-US"/>
        </w:rPr>
        <w:t>“</w:t>
      </w:r>
      <w:r w:rsidR="00817260" w:rsidRPr="00705294">
        <w:rPr>
          <w:rFonts w:eastAsia="Calibri"/>
          <w:szCs w:val="24"/>
          <w:lang w:eastAsia="en-US"/>
        </w:rPr>
        <w:t xml:space="preserve">been administered a kind of </w:t>
      </w:r>
      <w:r w:rsidR="00817260" w:rsidRPr="00DB3C1A">
        <w:rPr>
          <w:rFonts w:eastAsia="Calibri"/>
          <w:spacing w:val="-4"/>
          <w:szCs w:val="24"/>
          <w:lang w:eastAsia="en-US"/>
        </w:rPr>
        <w:t>political sedative</w:t>
      </w:r>
      <w:r w:rsidR="00AB38A9" w:rsidRPr="00DB3C1A">
        <w:rPr>
          <w:rFonts w:eastAsia="Calibri"/>
          <w:spacing w:val="-4"/>
          <w:szCs w:val="24"/>
          <w:lang w:eastAsia="en-US"/>
        </w:rPr>
        <w:t>—</w:t>
      </w:r>
      <w:r w:rsidR="00817260" w:rsidRPr="00DB3C1A">
        <w:rPr>
          <w:rFonts w:eastAsia="Calibri"/>
          <w:spacing w:val="-4"/>
          <w:szCs w:val="24"/>
          <w:lang w:eastAsia="en-US"/>
        </w:rPr>
        <w:t>we get marriage and the military, and then we go</w:t>
      </w:r>
      <w:r w:rsidR="007C7411" w:rsidRPr="00DB3C1A">
        <w:rPr>
          <w:rFonts w:eastAsia="Calibri"/>
          <w:spacing w:val="-4"/>
          <w:szCs w:val="24"/>
          <w:lang w:eastAsia="en-US"/>
        </w:rPr>
        <w:t xml:space="preserve"> h</w:t>
      </w:r>
      <w:r w:rsidR="003275B0" w:rsidRPr="00DB3C1A">
        <w:rPr>
          <w:rFonts w:eastAsia="Calibri"/>
          <w:spacing w:val="-4"/>
          <w:szCs w:val="24"/>
          <w:lang w:eastAsia="en-US"/>
        </w:rPr>
        <w:t xml:space="preserve">ome and cook dinner, forever </w:t>
      </w:r>
      <w:r w:rsidR="0061011F" w:rsidRPr="00DB3C1A">
        <w:rPr>
          <w:rFonts w:eastAsia="Calibri"/>
          <w:spacing w:val="-4"/>
          <w:szCs w:val="24"/>
          <w:lang w:eastAsia="en-US"/>
        </w:rPr>
        <w:t>(</w:t>
      </w:r>
      <w:r w:rsidR="003275B0" w:rsidRPr="00DB3C1A">
        <w:rPr>
          <w:rFonts w:eastAsia="Calibri"/>
          <w:spacing w:val="-4"/>
          <w:szCs w:val="24"/>
          <w:lang w:eastAsia="en-US"/>
        </w:rPr>
        <w:t>[</w:t>
      </w:r>
      <w:r w:rsidR="008249DA" w:rsidRPr="00DB3C1A">
        <w:rPr>
          <w:rFonts w:eastAsia="Calibri"/>
          <w:color w:val="auto"/>
          <w:spacing w:val="-4"/>
          <w:szCs w:val="24"/>
          <w:lang w:eastAsia="en-US"/>
        </w:rPr>
        <w:t>4</w:t>
      </w:r>
      <w:r w:rsidR="00A86028" w:rsidRPr="00DB3C1A">
        <w:rPr>
          <w:rFonts w:eastAsia="Calibri"/>
          <w:color w:val="auto"/>
          <w:spacing w:val="-4"/>
          <w:szCs w:val="24"/>
          <w:lang w:eastAsia="en-US"/>
        </w:rPr>
        <w:t>6</w:t>
      </w:r>
      <w:r w:rsidR="0061011F" w:rsidRPr="00DB3C1A">
        <w:rPr>
          <w:rFonts w:eastAsia="Calibri"/>
          <w:color w:val="auto"/>
          <w:spacing w:val="-4"/>
          <w:szCs w:val="24"/>
          <w:lang w:eastAsia="en-US"/>
        </w:rPr>
        <w:t>],</w:t>
      </w:r>
      <w:r w:rsidR="0061011F" w:rsidRPr="0061011F">
        <w:rPr>
          <w:rFonts w:eastAsia="Calibri"/>
          <w:color w:val="auto"/>
          <w:szCs w:val="24"/>
          <w:lang w:eastAsia="en-US"/>
        </w:rPr>
        <w:t xml:space="preserve"> p.</w:t>
      </w:r>
      <w:r w:rsidR="00DB3C1A">
        <w:rPr>
          <w:rFonts w:eastAsia="Calibri"/>
          <w:color w:val="auto"/>
          <w:szCs w:val="24"/>
          <w:lang w:eastAsia="en-US"/>
        </w:rPr>
        <w:t xml:space="preserve"> </w:t>
      </w:r>
      <w:r w:rsidR="0061011F" w:rsidRPr="0061011F">
        <w:rPr>
          <w:rFonts w:eastAsia="Calibri"/>
          <w:color w:val="auto"/>
          <w:szCs w:val="24"/>
          <w:lang w:eastAsia="en-US"/>
        </w:rPr>
        <w:t>189</w:t>
      </w:r>
      <w:r w:rsidR="0061011F">
        <w:rPr>
          <w:rFonts w:eastAsia="Calibri"/>
          <w:color w:val="auto"/>
          <w:szCs w:val="24"/>
          <w:lang w:eastAsia="en-US"/>
        </w:rPr>
        <w:t>)</w:t>
      </w:r>
      <w:r w:rsidR="00817260" w:rsidRPr="00705294">
        <w:rPr>
          <w:rFonts w:eastAsia="Calibri"/>
          <w:szCs w:val="24"/>
          <w:lang w:eastAsia="en-US"/>
        </w:rPr>
        <w:t xml:space="preserve">. </w:t>
      </w:r>
      <w:r w:rsidR="00705294">
        <w:rPr>
          <w:rFonts w:eastAsia="Calibri"/>
          <w:szCs w:val="24"/>
          <w:lang w:eastAsia="en-US"/>
        </w:rPr>
        <w:t xml:space="preserve">Thus, </w:t>
      </w:r>
      <w:r w:rsidR="00E96C9C" w:rsidRPr="00705294">
        <w:rPr>
          <w:rFonts w:eastAsia="Calibri"/>
          <w:szCs w:val="24"/>
          <w:lang w:eastAsia="en-US"/>
        </w:rPr>
        <w:t>the assimilative nature of Queer Theory leads to patriarchy</w:t>
      </w:r>
      <w:r w:rsidR="00995E41">
        <w:rPr>
          <w:rFonts w:eastAsia="Calibri"/>
          <w:szCs w:val="24"/>
          <w:lang w:eastAsia="en-US"/>
        </w:rPr>
        <w:t>’</w:t>
      </w:r>
      <w:r w:rsidR="001B1C12" w:rsidRPr="00705294">
        <w:rPr>
          <w:rFonts w:eastAsia="Calibri"/>
          <w:szCs w:val="24"/>
          <w:lang w:eastAsia="en-US"/>
        </w:rPr>
        <w:t xml:space="preserve">s hierarchical position </w:t>
      </w:r>
      <w:r w:rsidR="00E96C9C" w:rsidRPr="00705294">
        <w:rPr>
          <w:rFonts w:eastAsia="Calibri"/>
          <w:szCs w:val="24"/>
          <w:lang w:eastAsia="en-US"/>
        </w:rPr>
        <w:t xml:space="preserve">being implicitly </w:t>
      </w:r>
      <w:r w:rsidR="001B1C12" w:rsidRPr="00705294">
        <w:rPr>
          <w:rFonts w:eastAsia="Calibri"/>
          <w:szCs w:val="24"/>
          <w:lang w:eastAsia="en-US"/>
        </w:rPr>
        <w:t xml:space="preserve">maintained as </w:t>
      </w:r>
      <w:r w:rsidR="009A73D6" w:rsidRPr="00B15B64">
        <w:rPr>
          <w:rFonts w:eastAsia="Calibri"/>
          <w:szCs w:val="24"/>
          <w:lang w:eastAsia="en-US"/>
        </w:rPr>
        <w:t>“</w:t>
      </w:r>
      <w:r w:rsidR="001B1C12" w:rsidRPr="00705294">
        <w:rPr>
          <w:rFonts w:eastAsia="Calibri"/>
          <w:szCs w:val="24"/>
          <w:lang w:eastAsia="en-US"/>
        </w:rPr>
        <w:t>correct</w:t>
      </w:r>
      <w:r w:rsidR="00B15B64">
        <w:rPr>
          <w:rFonts w:eastAsia="Calibri"/>
          <w:szCs w:val="24"/>
          <w:lang w:eastAsia="en-US"/>
        </w:rPr>
        <w:t>”</w:t>
      </w:r>
      <w:r w:rsidR="00E96C9C" w:rsidRPr="00705294">
        <w:rPr>
          <w:rFonts w:eastAsia="Calibri"/>
          <w:szCs w:val="24"/>
          <w:lang w:eastAsia="en-US"/>
        </w:rPr>
        <w:t xml:space="preserve"> </w:t>
      </w:r>
      <w:r w:rsidR="00E96C9C" w:rsidRPr="00972437">
        <w:rPr>
          <w:rFonts w:eastAsia="Calibri"/>
          <w:szCs w:val="24"/>
          <w:lang w:eastAsia="en-US"/>
        </w:rPr>
        <w:t>[</w:t>
      </w:r>
      <w:r w:rsidR="008249DA" w:rsidRPr="00972437">
        <w:rPr>
          <w:rFonts w:eastAsia="Calibri"/>
          <w:color w:val="auto"/>
          <w:szCs w:val="24"/>
          <w:lang w:eastAsia="en-US"/>
        </w:rPr>
        <w:t>4</w:t>
      </w:r>
      <w:r w:rsidR="00A86028" w:rsidRPr="00972437">
        <w:rPr>
          <w:rFonts w:eastAsia="Calibri"/>
          <w:color w:val="auto"/>
          <w:szCs w:val="24"/>
          <w:lang w:eastAsia="en-US"/>
        </w:rPr>
        <w:t>7</w:t>
      </w:r>
      <w:r w:rsidR="00E96C9C" w:rsidRPr="00972437">
        <w:rPr>
          <w:rFonts w:eastAsia="Calibri"/>
          <w:szCs w:val="24"/>
          <w:lang w:eastAsia="en-US"/>
        </w:rPr>
        <w:t>]</w:t>
      </w:r>
      <w:bookmarkStart w:id="2" w:name="_GoBack"/>
      <w:bookmarkEnd w:id="2"/>
      <w:r w:rsidR="00E96C9C" w:rsidRPr="00705294">
        <w:rPr>
          <w:rFonts w:eastAsia="Calibri"/>
          <w:szCs w:val="24"/>
          <w:lang w:eastAsia="en-US"/>
        </w:rPr>
        <w:t>.</w:t>
      </w:r>
      <w:r w:rsidR="00231416" w:rsidRPr="00705294">
        <w:rPr>
          <w:rFonts w:eastAsia="Calibri"/>
          <w:szCs w:val="24"/>
          <w:lang w:eastAsia="en-US"/>
        </w:rPr>
        <w:t xml:space="preserve"> </w:t>
      </w:r>
      <w:r w:rsidR="00817260" w:rsidRPr="00705294">
        <w:rPr>
          <w:rFonts w:eastAsia="Calibri"/>
          <w:szCs w:val="24"/>
          <w:lang w:eastAsia="en-US"/>
        </w:rPr>
        <w:t xml:space="preserve">If Queer Theory has failed to successfully resist assimilative discourse, </w:t>
      </w:r>
      <w:r w:rsidR="00D805B3" w:rsidRPr="00705294">
        <w:rPr>
          <w:rFonts w:eastAsia="Calibri"/>
          <w:szCs w:val="24"/>
          <w:lang w:eastAsia="en-US"/>
        </w:rPr>
        <w:t xml:space="preserve">what implications does this have in for its ability to account for and </w:t>
      </w:r>
      <w:r w:rsidR="00594AE6" w:rsidRPr="00705294">
        <w:rPr>
          <w:rFonts w:eastAsia="Calibri"/>
          <w:szCs w:val="24"/>
          <w:lang w:eastAsia="en-US"/>
        </w:rPr>
        <w:t xml:space="preserve">acknowledge </w:t>
      </w:r>
      <w:r w:rsidR="00F11ADB">
        <w:rPr>
          <w:rFonts w:eastAsia="Calibri"/>
          <w:szCs w:val="24"/>
          <w:lang w:eastAsia="en-US"/>
        </w:rPr>
        <w:br/>
      </w:r>
      <w:r w:rsidR="00594AE6" w:rsidRPr="00705294">
        <w:rPr>
          <w:rFonts w:eastAsia="Calibri"/>
          <w:szCs w:val="24"/>
          <w:lang w:eastAsia="en-US"/>
        </w:rPr>
        <w:t>lived experience?</w:t>
      </w:r>
    </w:p>
    <w:p w14:paraId="44928CC4" w14:textId="77777777" w:rsidR="00594AE6" w:rsidRPr="00705294" w:rsidRDefault="00594AE6" w:rsidP="00737741">
      <w:pPr>
        <w:pStyle w:val="Mdeck4heading1"/>
        <w:rPr>
          <w:rFonts w:eastAsia="Calibri"/>
          <w:szCs w:val="24"/>
          <w:lang w:eastAsia="en-US"/>
        </w:rPr>
      </w:pPr>
      <w:r w:rsidRPr="00705294">
        <w:rPr>
          <w:rFonts w:eastAsia="Calibri"/>
          <w:szCs w:val="24"/>
          <w:lang w:eastAsia="en-US"/>
        </w:rPr>
        <w:t xml:space="preserve">6. Failure to </w:t>
      </w:r>
      <w:r w:rsidR="006C5B61" w:rsidRPr="00705294">
        <w:rPr>
          <w:rFonts w:eastAsia="Calibri"/>
          <w:szCs w:val="24"/>
          <w:lang w:eastAsia="en-US"/>
        </w:rPr>
        <w:t xml:space="preserve">Acknowledge </w:t>
      </w:r>
      <w:r w:rsidRPr="00705294">
        <w:rPr>
          <w:rFonts w:eastAsia="Calibri"/>
          <w:szCs w:val="24"/>
          <w:lang w:eastAsia="en-US"/>
        </w:rPr>
        <w:t xml:space="preserve">and </w:t>
      </w:r>
      <w:r w:rsidR="006C5B61" w:rsidRPr="00705294">
        <w:rPr>
          <w:rFonts w:eastAsia="Calibri"/>
          <w:szCs w:val="24"/>
          <w:lang w:eastAsia="en-US"/>
        </w:rPr>
        <w:t xml:space="preserve">Accommodate </w:t>
      </w:r>
      <w:r w:rsidRPr="00705294">
        <w:rPr>
          <w:rFonts w:eastAsia="Calibri"/>
          <w:szCs w:val="24"/>
          <w:lang w:eastAsia="en-US"/>
        </w:rPr>
        <w:t xml:space="preserve">the </w:t>
      </w:r>
      <w:r w:rsidR="006C5B61" w:rsidRPr="00705294">
        <w:rPr>
          <w:rFonts w:eastAsia="Calibri"/>
          <w:szCs w:val="24"/>
          <w:lang w:eastAsia="en-US"/>
        </w:rPr>
        <w:t xml:space="preserve">Lived Experiences </w:t>
      </w:r>
      <w:r w:rsidRPr="00705294">
        <w:rPr>
          <w:rFonts w:eastAsia="Calibri"/>
          <w:szCs w:val="24"/>
          <w:lang w:eastAsia="en-US"/>
        </w:rPr>
        <w:t xml:space="preserve">of </w:t>
      </w:r>
      <w:r w:rsidR="006C5B61" w:rsidRPr="00705294">
        <w:rPr>
          <w:rFonts w:eastAsia="Calibri"/>
          <w:szCs w:val="24"/>
          <w:lang w:eastAsia="en-US"/>
        </w:rPr>
        <w:t>Women</w:t>
      </w:r>
      <w:r w:rsidRPr="00705294">
        <w:rPr>
          <w:rFonts w:eastAsia="Calibri"/>
          <w:szCs w:val="24"/>
          <w:lang w:eastAsia="en-US"/>
        </w:rPr>
        <w:t xml:space="preserve">. </w:t>
      </w:r>
    </w:p>
    <w:p w14:paraId="452F0ADA" w14:textId="3FF28646" w:rsidR="00992EAA" w:rsidRPr="00705294" w:rsidRDefault="00BC44A0" w:rsidP="00737741">
      <w:pPr>
        <w:pStyle w:val="Mdeck4text"/>
        <w:rPr>
          <w:rFonts w:eastAsia="Calibri"/>
          <w:szCs w:val="24"/>
          <w:lang w:eastAsia="en-US"/>
        </w:rPr>
      </w:pPr>
      <w:r w:rsidRPr="00705294">
        <w:rPr>
          <w:rFonts w:eastAsia="Calibri"/>
          <w:szCs w:val="24"/>
          <w:lang w:eastAsia="en-US"/>
        </w:rPr>
        <w:t xml:space="preserve">When </w:t>
      </w:r>
      <w:r w:rsidR="00992EAA" w:rsidRPr="00705294">
        <w:rPr>
          <w:rFonts w:eastAsia="Calibri"/>
          <w:szCs w:val="24"/>
          <w:lang w:eastAsia="en-US"/>
        </w:rPr>
        <w:t>Queer Theory</w:t>
      </w:r>
      <w:r w:rsidRPr="00705294">
        <w:rPr>
          <w:rFonts w:eastAsia="Calibri"/>
          <w:szCs w:val="24"/>
          <w:lang w:eastAsia="en-US"/>
        </w:rPr>
        <w:t xml:space="preserve"> </w:t>
      </w:r>
      <w:r w:rsidR="00540562" w:rsidRPr="00705294">
        <w:rPr>
          <w:rFonts w:eastAsia="Calibri"/>
          <w:szCs w:val="24"/>
          <w:lang w:eastAsia="en-US"/>
        </w:rPr>
        <w:t xml:space="preserve">denies the </w:t>
      </w:r>
      <w:r w:rsidR="00992EAA" w:rsidRPr="00705294">
        <w:rPr>
          <w:rFonts w:eastAsia="Calibri"/>
          <w:szCs w:val="24"/>
          <w:lang w:eastAsia="en-US"/>
        </w:rPr>
        <w:t xml:space="preserve">subject, </w:t>
      </w:r>
      <w:r w:rsidRPr="00705294">
        <w:rPr>
          <w:rFonts w:eastAsia="Calibri"/>
          <w:szCs w:val="24"/>
          <w:lang w:eastAsia="en-US"/>
        </w:rPr>
        <w:t xml:space="preserve">it also </w:t>
      </w:r>
      <w:r w:rsidR="00992EAA" w:rsidRPr="00705294">
        <w:rPr>
          <w:rFonts w:eastAsia="Calibri"/>
          <w:szCs w:val="24"/>
          <w:lang w:eastAsia="en-US"/>
        </w:rPr>
        <w:t>consequently denies the existence of what I argue are much need</w:t>
      </w:r>
      <w:r w:rsidRPr="00705294">
        <w:rPr>
          <w:rFonts w:eastAsia="Calibri"/>
          <w:szCs w:val="24"/>
          <w:lang w:eastAsia="en-US"/>
        </w:rPr>
        <w:t>ed</w:t>
      </w:r>
      <w:r w:rsidR="00992EAA" w:rsidRPr="00705294">
        <w:rPr>
          <w:rFonts w:eastAsia="Calibri"/>
          <w:szCs w:val="24"/>
          <w:lang w:eastAsia="en-US"/>
        </w:rPr>
        <w:t xml:space="preserve"> categories of legal releva</w:t>
      </w:r>
      <w:r w:rsidR="005700BD" w:rsidRPr="00705294">
        <w:rPr>
          <w:rFonts w:eastAsia="Calibri"/>
          <w:szCs w:val="24"/>
          <w:lang w:eastAsia="en-US"/>
        </w:rPr>
        <w:t xml:space="preserve">nce; that of </w:t>
      </w:r>
      <w:r w:rsidR="009A73D6">
        <w:rPr>
          <w:rFonts w:eastAsia="Calibri"/>
          <w:szCs w:val="24"/>
          <w:lang w:eastAsia="en-US"/>
        </w:rPr>
        <w:t>“</w:t>
      </w:r>
      <w:r w:rsidR="005700BD" w:rsidRPr="00705294">
        <w:rPr>
          <w:rFonts w:eastAsia="Calibri"/>
          <w:szCs w:val="24"/>
          <w:lang w:eastAsia="en-US"/>
        </w:rPr>
        <w:t>girls</w:t>
      </w:r>
      <w:r w:rsidR="009A73D6">
        <w:rPr>
          <w:rFonts w:eastAsia="Calibri"/>
          <w:szCs w:val="24"/>
          <w:lang w:eastAsia="en-US"/>
        </w:rPr>
        <w:t>”</w:t>
      </w:r>
      <w:r w:rsidR="005700BD" w:rsidRPr="00705294">
        <w:rPr>
          <w:rFonts w:eastAsia="Calibri"/>
          <w:szCs w:val="24"/>
          <w:lang w:eastAsia="en-US"/>
        </w:rPr>
        <w:t xml:space="preserve"> and </w:t>
      </w:r>
      <w:r w:rsidR="009A73D6">
        <w:rPr>
          <w:rFonts w:eastAsia="Calibri"/>
          <w:szCs w:val="24"/>
          <w:lang w:eastAsia="en-US"/>
        </w:rPr>
        <w:t>“</w:t>
      </w:r>
      <w:r w:rsidR="005700BD" w:rsidRPr="00705294">
        <w:rPr>
          <w:rFonts w:eastAsia="Calibri"/>
          <w:szCs w:val="24"/>
          <w:lang w:eastAsia="en-US"/>
        </w:rPr>
        <w:t>woman</w:t>
      </w:r>
      <w:r w:rsidR="009A73D6">
        <w:rPr>
          <w:rFonts w:eastAsia="Calibri"/>
          <w:szCs w:val="24"/>
          <w:lang w:eastAsia="en-US"/>
        </w:rPr>
        <w:t>”</w:t>
      </w:r>
      <w:r w:rsidR="005700BD" w:rsidRPr="00705294">
        <w:rPr>
          <w:rFonts w:eastAsia="Calibri"/>
          <w:szCs w:val="24"/>
          <w:lang w:eastAsia="en-US"/>
        </w:rPr>
        <w:t>.</w:t>
      </w:r>
      <w:r w:rsidR="00992EAA" w:rsidRPr="00705294">
        <w:rPr>
          <w:rFonts w:eastAsia="Calibri"/>
          <w:szCs w:val="24"/>
          <w:lang w:eastAsia="en-US"/>
        </w:rPr>
        <w:t xml:space="preserve"> I thus now turn to an </w:t>
      </w:r>
      <w:r w:rsidR="00992EAA" w:rsidRPr="00705294">
        <w:rPr>
          <w:rFonts w:eastAsia="Calibri"/>
          <w:szCs w:val="24"/>
          <w:lang w:eastAsia="en-US"/>
        </w:rPr>
        <w:lastRenderedPageBreak/>
        <w:t xml:space="preserve">additional problem with Queer Theory; the denial of the subject. As outlined above, part of the attractiveness of Queer Theory and of post-structuralism is that it can act as a liberating methodological tool to resist a dominant hegemony of identity. However, this approach leads to the denial of not only the subject, and </w:t>
      </w:r>
      <w:r w:rsidR="00BA71E6" w:rsidRPr="00705294">
        <w:rPr>
          <w:rFonts w:eastAsia="Calibri"/>
          <w:szCs w:val="24"/>
          <w:lang w:eastAsia="en-US"/>
        </w:rPr>
        <w:t xml:space="preserve">thus </w:t>
      </w:r>
      <w:r w:rsidR="00992EAA" w:rsidRPr="00705294">
        <w:rPr>
          <w:rFonts w:eastAsia="Calibri"/>
          <w:szCs w:val="24"/>
          <w:lang w:eastAsia="en-US"/>
        </w:rPr>
        <w:t>the continued subjection, oppression and the denial of subjectively lived experience</w:t>
      </w:r>
      <w:r w:rsidR="00BA71E6" w:rsidRPr="00705294">
        <w:rPr>
          <w:rFonts w:eastAsia="Calibri"/>
          <w:szCs w:val="24"/>
          <w:lang w:eastAsia="en-US"/>
        </w:rPr>
        <w:t>.</w:t>
      </w:r>
      <w:r w:rsidR="00231416" w:rsidRPr="00705294">
        <w:rPr>
          <w:rFonts w:eastAsia="Calibri"/>
          <w:szCs w:val="24"/>
          <w:lang w:eastAsia="en-US"/>
        </w:rPr>
        <w:t xml:space="preserve"> </w:t>
      </w:r>
      <w:r w:rsidR="00BA71E6" w:rsidRPr="00705294">
        <w:rPr>
          <w:rFonts w:eastAsia="Calibri"/>
          <w:szCs w:val="24"/>
          <w:lang w:eastAsia="en-US"/>
        </w:rPr>
        <w:t xml:space="preserve">It </w:t>
      </w:r>
      <w:r w:rsidR="00992EAA" w:rsidRPr="00705294">
        <w:rPr>
          <w:rFonts w:eastAsia="Calibri"/>
          <w:szCs w:val="24"/>
          <w:lang w:eastAsia="en-US"/>
        </w:rPr>
        <w:t xml:space="preserve">can also be seen as a </w:t>
      </w:r>
      <w:r w:rsidR="009A73D6">
        <w:rPr>
          <w:rFonts w:eastAsia="Calibri"/>
          <w:szCs w:val="24"/>
          <w:lang w:eastAsia="en-US"/>
        </w:rPr>
        <w:t>“</w:t>
      </w:r>
      <w:r w:rsidR="00992EAA" w:rsidRPr="00705294">
        <w:rPr>
          <w:rFonts w:eastAsia="Calibri"/>
          <w:szCs w:val="24"/>
          <w:lang w:eastAsia="en-US"/>
        </w:rPr>
        <w:t>violence</w:t>
      </w:r>
      <w:r w:rsidR="009A73D6">
        <w:rPr>
          <w:rFonts w:eastAsia="Calibri"/>
          <w:szCs w:val="24"/>
          <w:lang w:eastAsia="en-US"/>
        </w:rPr>
        <w:t>”</w:t>
      </w:r>
      <w:r w:rsidR="00992EAA" w:rsidRPr="00705294">
        <w:rPr>
          <w:rFonts w:eastAsia="Calibri"/>
          <w:szCs w:val="24"/>
          <w:lang w:eastAsia="en-US"/>
        </w:rPr>
        <w:t xml:space="preserve"> to women as a class of persons, thus, reinf</w:t>
      </w:r>
      <w:r w:rsidR="002A33A3" w:rsidRPr="00705294">
        <w:rPr>
          <w:rFonts w:eastAsia="Calibri"/>
          <w:szCs w:val="24"/>
          <w:lang w:eastAsia="en-US"/>
        </w:rPr>
        <w:t xml:space="preserve">orcing hegemonic masculinity </w:t>
      </w:r>
      <w:r w:rsidR="00C8770D" w:rsidRPr="00F11ADB">
        <w:rPr>
          <w:rFonts w:eastAsia="Calibri"/>
          <w:szCs w:val="24"/>
          <w:highlight w:val="yellow"/>
          <w:lang w:eastAsia="en-US"/>
        </w:rPr>
        <w:t>(</w:t>
      </w:r>
      <w:r w:rsidR="002A33A3" w:rsidRPr="00F11ADB">
        <w:rPr>
          <w:rFonts w:eastAsia="Calibri"/>
          <w:szCs w:val="24"/>
          <w:highlight w:val="yellow"/>
          <w:lang w:eastAsia="en-US"/>
        </w:rPr>
        <w:t>[</w:t>
      </w:r>
      <w:commentRangeStart w:id="3"/>
      <w:r w:rsidR="00A86028" w:rsidRPr="00F11ADB">
        <w:rPr>
          <w:rFonts w:eastAsia="Calibri"/>
          <w:color w:val="auto"/>
          <w:szCs w:val="24"/>
          <w:highlight w:val="yellow"/>
          <w:lang w:eastAsia="en-US"/>
        </w:rPr>
        <w:t>4</w:t>
      </w:r>
      <w:r w:rsidR="00200D48" w:rsidRPr="00F11ADB">
        <w:rPr>
          <w:rFonts w:eastAsia="Calibri"/>
          <w:color w:val="auto"/>
          <w:szCs w:val="24"/>
          <w:highlight w:val="yellow"/>
          <w:lang w:eastAsia="en-US"/>
        </w:rPr>
        <w:t>9</w:t>
      </w:r>
      <w:commentRangeEnd w:id="3"/>
      <w:r w:rsidR="000C7647">
        <w:rPr>
          <w:rStyle w:val="CommentReference"/>
          <w:rFonts w:cs="Times New Roman"/>
          <w:snapToGrid/>
          <w:lang w:val="en-GB" w:bidi="ar-SA"/>
        </w:rPr>
        <w:commentReference w:id="3"/>
      </w:r>
      <w:r w:rsidR="00F11ADB" w:rsidRPr="00F11ADB">
        <w:rPr>
          <w:rFonts w:eastAsia="Calibri"/>
          <w:color w:val="auto"/>
          <w:szCs w:val="24"/>
          <w:highlight w:val="yellow"/>
          <w:lang w:eastAsia="en-US"/>
        </w:rPr>
        <w:t>]</w:t>
      </w:r>
      <w:r w:rsidR="00F11ADB">
        <w:rPr>
          <w:rFonts w:eastAsia="Calibri"/>
          <w:color w:val="auto"/>
          <w:szCs w:val="24"/>
          <w:lang w:eastAsia="en-US"/>
        </w:rPr>
        <w:t>,</w:t>
      </w:r>
      <w:r w:rsidR="00C8770D" w:rsidRPr="00C8770D">
        <w:rPr>
          <w:rFonts w:eastAsia="Calibri"/>
          <w:color w:val="auto"/>
          <w:szCs w:val="24"/>
          <w:lang w:eastAsia="en-US"/>
        </w:rPr>
        <w:t xml:space="preserve"> </w:t>
      </w:r>
      <w:commentRangeStart w:id="4"/>
      <w:r w:rsidR="00C8770D" w:rsidRPr="00C8770D">
        <w:rPr>
          <w:rFonts w:eastAsia="Calibri"/>
          <w:color w:val="auto"/>
          <w:szCs w:val="24"/>
          <w:lang w:eastAsia="en-US"/>
        </w:rPr>
        <w:t>p</w:t>
      </w:r>
      <w:commentRangeEnd w:id="4"/>
      <w:r w:rsidR="00885764">
        <w:rPr>
          <w:rStyle w:val="CommentReference"/>
          <w:rFonts w:cs="Times New Roman"/>
          <w:snapToGrid/>
          <w:lang w:val="en-GB" w:bidi="ar-SA"/>
        </w:rPr>
        <w:commentReference w:id="4"/>
      </w:r>
      <w:r w:rsidR="00C8770D" w:rsidRPr="00C8770D">
        <w:rPr>
          <w:rFonts w:eastAsia="Calibri"/>
          <w:color w:val="auto"/>
          <w:szCs w:val="24"/>
          <w:lang w:eastAsia="en-US"/>
        </w:rPr>
        <w:t>. 173</w:t>
      </w:r>
      <w:r w:rsidR="00C8770D">
        <w:rPr>
          <w:rFonts w:eastAsia="Calibri"/>
          <w:color w:val="auto"/>
          <w:szCs w:val="24"/>
          <w:lang w:eastAsia="en-US"/>
        </w:rPr>
        <w:t>)</w:t>
      </w:r>
      <w:r w:rsidR="00992EAA" w:rsidRPr="00705294">
        <w:rPr>
          <w:rFonts w:eastAsia="Calibri"/>
          <w:szCs w:val="24"/>
          <w:lang w:eastAsia="en-US"/>
        </w:rPr>
        <w:t xml:space="preserve">. In other words, the subject does not exist; the </w:t>
      </w:r>
      <w:r w:rsidR="009A73D6">
        <w:rPr>
          <w:rFonts w:eastAsia="Calibri"/>
          <w:szCs w:val="24"/>
          <w:lang w:eastAsia="en-US"/>
        </w:rPr>
        <w:t>“</w:t>
      </w:r>
      <w:r w:rsidR="00992EAA" w:rsidRPr="00705294">
        <w:rPr>
          <w:rFonts w:eastAsia="Calibri"/>
          <w:szCs w:val="24"/>
          <w:lang w:eastAsia="en-US"/>
        </w:rPr>
        <w:t>I</w:t>
      </w:r>
      <w:r w:rsidR="009A73D6">
        <w:rPr>
          <w:rFonts w:eastAsia="Calibri"/>
          <w:szCs w:val="24"/>
          <w:lang w:eastAsia="en-US"/>
        </w:rPr>
        <w:t>”</w:t>
      </w:r>
      <w:r w:rsidR="00992EAA" w:rsidRPr="00705294">
        <w:rPr>
          <w:rFonts w:eastAsia="Calibri"/>
          <w:szCs w:val="24"/>
          <w:lang w:eastAsia="en-US"/>
        </w:rPr>
        <w:t xml:space="preserve"> and the</w:t>
      </w:r>
      <w:r w:rsidR="00BA71E6" w:rsidRPr="00705294">
        <w:rPr>
          <w:rFonts w:eastAsia="Calibri"/>
          <w:szCs w:val="24"/>
          <w:lang w:eastAsia="en-US"/>
        </w:rPr>
        <w:t xml:space="preserve"> </w:t>
      </w:r>
      <w:r w:rsidR="009A73D6">
        <w:rPr>
          <w:rFonts w:eastAsia="Calibri"/>
          <w:szCs w:val="24"/>
          <w:lang w:eastAsia="en-US"/>
        </w:rPr>
        <w:t>“</w:t>
      </w:r>
      <w:r w:rsidR="00BA71E6" w:rsidRPr="00705294">
        <w:rPr>
          <w:rFonts w:eastAsia="Calibri"/>
          <w:szCs w:val="24"/>
          <w:lang w:eastAsia="en-US"/>
        </w:rPr>
        <w:t>self</w:t>
      </w:r>
      <w:r w:rsidR="009A73D6">
        <w:rPr>
          <w:rFonts w:eastAsia="Calibri"/>
          <w:szCs w:val="24"/>
          <w:lang w:eastAsia="en-US"/>
        </w:rPr>
        <w:t>”</w:t>
      </w:r>
      <w:r w:rsidR="00BA71E6" w:rsidRPr="00705294">
        <w:rPr>
          <w:rFonts w:eastAsia="Calibri"/>
          <w:szCs w:val="24"/>
          <w:lang w:eastAsia="en-US"/>
        </w:rPr>
        <w:t xml:space="preserve"> of lived experience are</w:t>
      </w:r>
      <w:r w:rsidR="00AC3BF6" w:rsidRPr="00705294">
        <w:rPr>
          <w:rFonts w:eastAsia="Calibri"/>
          <w:szCs w:val="24"/>
          <w:lang w:eastAsia="en-US"/>
        </w:rPr>
        <w:t xml:space="preserve"> thus</w:t>
      </w:r>
      <w:r w:rsidR="00992EAA" w:rsidRPr="00705294">
        <w:rPr>
          <w:rFonts w:eastAsia="Calibri"/>
          <w:szCs w:val="24"/>
          <w:lang w:eastAsia="en-US"/>
        </w:rPr>
        <w:t xml:space="preserve"> dismissed. Queer Theory suggests that identity is the product of discou</w:t>
      </w:r>
      <w:r w:rsidR="002A33A3" w:rsidRPr="00705294">
        <w:rPr>
          <w:rFonts w:eastAsia="Calibri"/>
          <w:szCs w:val="24"/>
          <w:lang w:eastAsia="en-US"/>
        </w:rPr>
        <w:t>rse not the source of action [</w:t>
      </w:r>
      <w:r w:rsidR="00200D48">
        <w:rPr>
          <w:rFonts w:eastAsia="Calibri"/>
          <w:color w:val="auto"/>
          <w:szCs w:val="24"/>
          <w:lang w:eastAsia="en-US"/>
        </w:rPr>
        <w:t>50</w:t>
      </w:r>
      <w:r w:rsidR="00992EAA" w:rsidRPr="00705294">
        <w:rPr>
          <w:rFonts w:eastAsia="Calibri"/>
          <w:szCs w:val="24"/>
          <w:lang w:eastAsia="en-US"/>
        </w:rPr>
        <w:t xml:space="preserve">]. My concerns with the shortcomings of Queer Theory </w:t>
      </w:r>
      <w:r w:rsidR="000802CD" w:rsidRPr="00705294">
        <w:rPr>
          <w:rFonts w:eastAsia="Calibri"/>
          <w:szCs w:val="24"/>
          <w:lang w:eastAsia="en-US"/>
        </w:rPr>
        <w:t xml:space="preserve">in this respect </w:t>
      </w:r>
      <w:r w:rsidR="00992EAA" w:rsidRPr="00705294">
        <w:rPr>
          <w:rFonts w:eastAsia="Calibri"/>
          <w:szCs w:val="24"/>
          <w:lang w:eastAsia="en-US"/>
        </w:rPr>
        <w:t xml:space="preserve">are not isolated. Various authors have suggested that Queer Theory ignores the social and institutional conditions within </w:t>
      </w:r>
      <w:r w:rsidR="009B7A41" w:rsidRPr="00705294">
        <w:rPr>
          <w:rFonts w:eastAsia="Calibri"/>
          <w:szCs w:val="24"/>
          <w:lang w:eastAsia="en-US"/>
        </w:rPr>
        <w:t xml:space="preserve">which lesbians </w:t>
      </w:r>
      <w:r w:rsidR="00456B65" w:rsidRPr="00705294">
        <w:rPr>
          <w:rFonts w:eastAsia="Calibri"/>
          <w:szCs w:val="24"/>
          <w:lang w:eastAsia="en-US"/>
        </w:rPr>
        <w:t>(</w:t>
      </w:r>
      <w:r w:rsidR="009B7A41" w:rsidRPr="00705294">
        <w:rPr>
          <w:rFonts w:eastAsia="Calibri"/>
          <w:szCs w:val="24"/>
          <w:lang w:eastAsia="en-US"/>
        </w:rPr>
        <w:t>and gay</w:t>
      </w:r>
      <w:r w:rsidR="00710A8C" w:rsidRPr="00705294">
        <w:rPr>
          <w:rFonts w:eastAsia="Calibri"/>
          <w:szCs w:val="24"/>
          <w:lang w:eastAsia="en-US"/>
        </w:rPr>
        <w:t xml:space="preserve"> men</w:t>
      </w:r>
      <w:r w:rsidR="00456B65" w:rsidRPr="00705294">
        <w:rPr>
          <w:rFonts w:eastAsia="Calibri"/>
          <w:szCs w:val="24"/>
          <w:lang w:eastAsia="en-US"/>
        </w:rPr>
        <w:t>)</w:t>
      </w:r>
      <w:r w:rsidR="00710A8C" w:rsidRPr="00705294">
        <w:rPr>
          <w:rFonts w:eastAsia="Calibri"/>
          <w:szCs w:val="24"/>
          <w:lang w:eastAsia="en-US"/>
        </w:rPr>
        <w:t xml:space="preserve"> </w:t>
      </w:r>
      <w:r w:rsidR="009B7A41" w:rsidRPr="00705294">
        <w:rPr>
          <w:rFonts w:eastAsia="Calibri"/>
          <w:szCs w:val="24"/>
          <w:lang w:eastAsia="en-US"/>
        </w:rPr>
        <w:t>live [</w:t>
      </w:r>
      <w:r w:rsidR="008249DA">
        <w:rPr>
          <w:rFonts w:eastAsia="Calibri"/>
          <w:color w:val="auto"/>
          <w:szCs w:val="24"/>
          <w:lang w:eastAsia="en-US"/>
        </w:rPr>
        <w:t>5</w:t>
      </w:r>
      <w:r w:rsidR="00200D48">
        <w:rPr>
          <w:rFonts w:eastAsia="Calibri"/>
          <w:color w:val="auto"/>
          <w:szCs w:val="24"/>
          <w:lang w:eastAsia="en-US"/>
        </w:rPr>
        <w:t>1</w:t>
      </w:r>
      <w:r w:rsidR="00992EAA" w:rsidRPr="00705294">
        <w:rPr>
          <w:rFonts w:eastAsia="Calibri"/>
          <w:szCs w:val="24"/>
          <w:lang w:eastAsia="en-US"/>
        </w:rPr>
        <w:t xml:space="preserve">]; that it renders it impossible to talk in terms of a </w:t>
      </w:r>
      <w:r w:rsidR="009A73D6">
        <w:rPr>
          <w:rFonts w:eastAsia="Calibri"/>
          <w:szCs w:val="24"/>
          <w:lang w:eastAsia="en-US"/>
        </w:rPr>
        <w:t>“</w:t>
      </w:r>
      <w:r w:rsidR="00992EAA" w:rsidRPr="00705294">
        <w:rPr>
          <w:rFonts w:eastAsia="Calibri"/>
          <w:szCs w:val="24"/>
          <w:lang w:eastAsia="en-US"/>
        </w:rPr>
        <w:t>lesbian</w:t>
      </w:r>
      <w:r w:rsidR="009A73D6">
        <w:rPr>
          <w:rFonts w:eastAsia="Calibri"/>
          <w:szCs w:val="24"/>
          <w:lang w:eastAsia="en-US"/>
        </w:rPr>
        <w:t>”</w:t>
      </w:r>
      <w:r w:rsidR="00992EAA" w:rsidRPr="00705294">
        <w:rPr>
          <w:rFonts w:eastAsia="Calibri"/>
          <w:szCs w:val="24"/>
          <w:lang w:eastAsia="en-US"/>
        </w:rPr>
        <w:t xml:space="preserve"> subject [</w:t>
      </w:r>
      <w:r w:rsidR="008249DA">
        <w:rPr>
          <w:rFonts w:eastAsia="Calibri"/>
          <w:color w:val="auto"/>
          <w:szCs w:val="24"/>
          <w:lang w:eastAsia="en-US"/>
        </w:rPr>
        <w:t>5</w:t>
      </w:r>
      <w:r w:rsidR="00200D48">
        <w:rPr>
          <w:rFonts w:eastAsia="Calibri"/>
          <w:color w:val="auto"/>
          <w:szCs w:val="24"/>
          <w:lang w:eastAsia="en-US"/>
        </w:rPr>
        <w:t>2</w:t>
      </w:r>
      <w:r w:rsidR="00992EAA" w:rsidRPr="00705294">
        <w:rPr>
          <w:rFonts w:eastAsia="Calibri"/>
          <w:szCs w:val="24"/>
          <w:lang w:eastAsia="en-US"/>
        </w:rPr>
        <w:t xml:space="preserve">]. </w:t>
      </w:r>
    </w:p>
    <w:p w14:paraId="38C02A42" w14:textId="27C5115E" w:rsidR="00992EAA" w:rsidRPr="00705294" w:rsidRDefault="00992EAA" w:rsidP="00737741">
      <w:pPr>
        <w:pStyle w:val="Mdeck4text"/>
        <w:rPr>
          <w:rFonts w:eastAsia="Calibri"/>
          <w:szCs w:val="24"/>
          <w:lang w:eastAsia="en-US"/>
        </w:rPr>
      </w:pPr>
      <w:r w:rsidRPr="00705294">
        <w:rPr>
          <w:rFonts w:eastAsia="Calibri"/>
          <w:szCs w:val="24"/>
          <w:lang w:eastAsia="en-US"/>
        </w:rPr>
        <w:t>The result is a non-existent subject, which consequently therefore, cannot be repressed. There is therefore, no acknowledgment of the possibility of affecting or challenging discourse or any acknowledgement of the effects of dominant ideological discourse. Thus, there is no consequent recognition of the repression of the subject</w:t>
      </w:r>
      <w:r w:rsidR="0045336C">
        <w:rPr>
          <w:rFonts w:eastAsia="Calibri"/>
          <w:szCs w:val="24"/>
          <w:lang w:eastAsia="en-US"/>
        </w:rPr>
        <w:t>’</w:t>
      </w:r>
      <w:r w:rsidRPr="00705294">
        <w:rPr>
          <w:rFonts w:eastAsia="Calibri"/>
          <w:szCs w:val="24"/>
          <w:lang w:eastAsia="en-US"/>
        </w:rPr>
        <w:t>s exercise of self-determination. A major criticism levelled at Queer Theory therefore, is that it denies or ignores the material conditions and factors impacting on people</w:t>
      </w:r>
      <w:r w:rsidR="0045336C">
        <w:rPr>
          <w:rFonts w:eastAsia="Calibri"/>
          <w:szCs w:val="24"/>
          <w:lang w:eastAsia="en-US"/>
        </w:rPr>
        <w:t>’</w:t>
      </w:r>
      <w:r w:rsidRPr="00705294">
        <w:rPr>
          <w:rFonts w:eastAsia="Calibri"/>
          <w:szCs w:val="24"/>
          <w:lang w:eastAsia="en-US"/>
        </w:rPr>
        <w:t>s l</w:t>
      </w:r>
      <w:r w:rsidR="009B7A41" w:rsidRPr="00705294">
        <w:rPr>
          <w:rFonts w:eastAsia="Calibri"/>
          <w:szCs w:val="24"/>
          <w:lang w:eastAsia="en-US"/>
        </w:rPr>
        <w:t>ives that underpin discourse [</w:t>
      </w:r>
      <w:r w:rsidR="008249DA">
        <w:rPr>
          <w:rFonts w:eastAsia="Calibri"/>
          <w:color w:val="auto"/>
          <w:szCs w:val="24"/>
          <w:lang w:eastAsia="en-US"/>
        </w:rPr>
        <w:t>5</w:t>
      </w:r>
      <w:r w:rsidR="00200D48">
        <w:rPr>
          <w:rFonts w:eastAsia="Calibri"/>
          <w:color w:val="auto"/>
          <w:szCs w:val="24"/>
          <w:lang w:eastAsia="en-US"/>
        </w:rPr>
        <w:t>3</w:t>
      </w:r>
      <w:r w:rsidRPr="00705294">
        <w:rPr>
          <w:rFonts w:eastAsia="Calibri"/>
          <w:szCs w:val="24"/>
          <w:lang w:eastAsia="en-US"/>
        </w:rPr>
        <w:t>]. In many respects, this is hardly surprising given its roots in de-constructionism and post-structuralism. These roots make it highly problematic for Queer Theory to</w:t>
      </w:r>
      <w:r w:rsidRPr="00705294">
        <w:rPr>
          <w:rFonts w:eastAsiaTheme="minorHAnsi"/>
          <w:szCs w:val="24"/>
          <w:lang w:eastAsia="en-US"/>
        </w:rPr>
        <w:t xml:space="preserve"> </w:t>
      </w:r>
      <w:r w:rsidRPr="00705294">
        <w:rPr>
          <w:rFonts w:eastAsia="Calibri"/>
          <w:szCs w:val="24"/>
          <w:lang w:eastAsia="en-US"/>
        </w:rPr>
        <w:t xml:space="preserve">engage meaningfully with the concepts of </w:t>
      </w:r>
      <w:r w:rsidR="009A73D6">
        <w:rPr>
          <w:rFonts w:eastAsia="Calibri"/>
          <w:szCs w:val="24"/>
          <w:lang w:eastAsia="en-US"/>
        </w:rPr>
        <w:t>“</w:t>
      </w:r>
      <w:r w:rsidRPr="00705294">
        <w:rPr>
          <w:rFonts w:eastAsia="Calibri"/>
          <w:szCs w:val="24"/>
          <w:lang w:eastAsia="en-US"/>
        </w:rPr>
        <w:t>wo</w:t>
      </w:r>
      <w:r w:rsidR="009B7A41" w:rsidRPr="00705294">
        <w:rPr>
          <w:rFonts w:eastAsia="Calibri"/>
          <w:szCs w:val="24"/>
          <w:lang w:eastAsia="en-US"/>
        </w:rPr>
        <w:t>man</w:t>
      </w:r>
      <w:r w:rsidR="009A73D6">
        <w:rPr>
          <w:rFonts w:eastAsia="Calibri"/>
          <w:szCs w:val="24"/>
          <w:lang w:eastAsia="en-US"/>
        </w:rPr>
        <w:t>”</w:t>
      </w:r>
      <w:r w:rsidR="009B7A41" w:rsidRPr="00705294">
        <w:rPr>
          <w:rFonts w:eastAsia="Calibri"/>
          <w:szCs w:val="24"/>
          <w:lang w:eastAsia="en-US"/>
        </w:rPr>
        <w:t xml:space="preserve"> or a </w:t>
      </w:r>
      <w:r w:rsidR="009A73D6">
        <w:rPr>
          <w:rFonts w:eastAsia="Calibri"/>
          <w:szCs w:val="24"/>
          <w:lang w:eastAsia="en-US"/>
        </w:rPr>
        <w:t>“</w:t>
      </w:r>
      <w:r w:rsidR="009B7A41" w:rsidRPr="00705294">
        <w:rPr>
          <w:rFonts w:eastAsia="Calibri"/>
          <w:szCs w:val="24"/>
          <w:lang w:eastAsia="en-US"/>
        </w:rPr>
        <w:t>girl</w:t>
      </w:r>
      <w:r w:rsidR="009A73D6">
        <w:rPr>
          <w:rFonts w:eastAsia="Calibri"/>
          <w:szCs w:val="24"/>
          <w:lang w:eastAsia="en-US"/>
        </w:rPr>
        <w:t>”</w:t>
      </w:r>
      <w:r w:rsidR="009B7A41" w:rsidRPr="00705294">
        <w:rPr>
          <w:rFonts w:eastAsia="Calibri"/>
          <w:szCs w:val="24"/>
          <w:lang w:eastAsia="en-US"/>
        </w:rPr>
        <w:t xml:space="preserve"> as subjects [</w:t>
      </w:r>
      <w:r w:rsidR="008249DA">
        <w:rPr>
          <w:rFonts w:eastAsia="Calibri"/>
          <w:color w:val="auto"/>
          <w:szCs w:val="24"/>
          <w:lang w:eastAsia="en-US"/>
        </w:rPr>
        <w:t>5</w:t>
      </w:r>
      <w:r w:rsidR="00200D48">
        <w:rPr>
          <w:rFonts w:eastAsia="Calibri"/>
          <w:color w:val="auto"/>
          <w:szCs w:val="24"/>
          <w:lang w:eastAsia="en-US"/>
        </w:rPr>
        <w:t>4</w:t>
      </w:r>
      <w:r w:rsidRPr="00705294">
        <w:rPr>
          <w:rFonts w:eastAsia="Calibri"/>
          <w:szCs w:val="24"/>
          <w:lang w:eastAsia="en-US"/>
        </w:rPr>
        <w:t>]. In Queer Theory, there are, of course, no subjects, no ca</w:t>
      </w:r>
      <w:r w:rsidR="009B7A41" w:rsidRPr="00705294">
        <w:rPr>
          <w:rFonts w:eastAsia="Calibri"/>
          <w:szCs w:val="24"/>
          <w:lang w:eastAsia="en-US"/>
        </w:rPr>
        <w:t xml:space="preserve">tegories, only a </w:t>
      </w:r>
      <w:r w:rsidR="009A73D6">
        <w:rPr>
          <w:rFonts w:eastAsia="Calibri"/>
          <w:szCs w:val="24"/>
          <w:lang w:eastAsia="en-US"/>
        </w:rPr>
        <w:t>“</w:t>
      </w:r>
      <w:r w:rsidR="009B7A41" w:rsidRPr="00705294">
        <w:rPr>
          <w:rFonts w:eastAsia="Calibri"/>
          <w:szCs w:val="24"/>
          <w:lang w:eastAsia="en-US"/>
        </w:rPr>
        <w:t>fetishi</w:t>
      </w:r>
      <w:r w:rsidR="00705294">
        <w:rPr>
          <w:rFonts w:eastAsia="Calibri"/>
          <w:szCs w:val="24"/>
          <w:lang w:eastAsia="en-US"/>
        </w:rPr>
        <w:t>z</w:t>
      </w:r>
      <w:r w:rsidR="009B7A41" w:rsidRPr="00705294">
        <w:rPr>
          <w:rFonts w:eastAsia="Calibri"/>
          <w:szCs w:val="24"/>
          <w:lang w:eastAsia="en-US"/>
        </w:rPr>
        <w:t>ing [</w:t>
      </w:r>
      <w:r w:rsidR="008249DA">
        <w:rPr>
          <w:rFonts w:eastAsia="Calibri"/>
          <w:color w:val="auto"/>
          <w:szCs w:val="24"/>
          <w:lang w:eastAsia="en-US"/>
        </w:rPr>
        <w:t>5</w:t>
      </w:r>
      <w:r w:rsidR="00200D48">
        <w:rPr>
          <w:rFonts w:eastAsia="Calibri"/>
          <w:color w:val="auto"/>
          <w:szCs w:val="24"/>
          <w:lang w:eastAsia="en-US"/>
        </w:rPr>
        <w:t>5</w:t>
      </w:r>
      <w:r w:rsidRPr="00705294">
        <w:rPr>
          <w:rFonts w:eastAsia="Calibri"/>
          <w:szCs w:val="24"/>
          <w:lang w:eastAsia="en-US"/>
        </w:rPr>
        <w:t>]</w:t>
      </w:r>
      <w:r w:rsidR="009A73D6">
        <w:rPr>
          <w:rFonts w:eastAsia="Calibri"/>
          <w:szCs w:val="24"/>
          <w:lang w:eastAsia="en-US"/>
        </w:rPr>
        <w:t>”</w:t>
      </w:r>
      <w:r w:rsidRPr="00705294">
        <w:rPr>
          <w:rFonts w:eastAsia="Calibri"/>
          <w:szCs w:val="24"/>
          <w:lang w:eastAsia="en-US"/>
        </w:rPr>
        <w:t xml:space="preserve"> of discourse. Therefore, as a framework for examining those subjects, Queer Theory is next to useless. A major premise of this article is that the debate surrounding the age of consent denies the lived experience and subje</w:t>
      </w:r>
      <w:r w:rsidR="00AB38A9">
        <w:rPr>
          <w:rFonts w:eastAsia="Calibri"/>
          <w:szCs w:val="24"/>
          <w:lang w:eastAsia="en-US"/>
        </w:rPr>
        <w:t xml:space="preserve">ctivity of the subject of </w:t>
      </w:r>
      <w:r w:rsidR="009A73D6">
        <w:rPr>
          <w:rFonts w:eastAsia="Calibri"/>
          <w:szCs w:val="24"/>
          <w:lang w:eastAsia="en-US"/>
        </w:rPr>
        <w:t>“</w:t>
      </w:r>
      <w:r w:rsidR="00AB38A9">
        <w:rPr>
          <w:rFonts w:eastAsia="Calibri"/>
          <w:szCs w:val="24"/>
          <w:lang w:eastAsia="en-US"/>
        </w:rPr>
        <w:t>girl</w:t>
      </w:r>
      <w:r w:rsidR="009A73D6">
        <w:rPr>
          <w:rFonts w:eastAsia="Calibri"/>
          <w:szCs w:val="24"/>
          <w:lang w:eastAsia="en-US"/>
        </w:rPr>
        <w:t>”</w:t>
      </w:r>
      <w:r w:rsidR="00AB38A9">
        <w:rPr>
          <w:rFonts w:eastAsia="Calibri"/>
          <w:szCs w:val="24"/>
          <w:lang w:eastAsia="en-US"/>
        </w:rPr>
        <w:t>.</w:t>
      </w:r>
      <w:r w:rsidRPr="00705294">
        <w:rPr>
          <w:rFonts w:eastAsia="Calibri"/>
          <w:szCs w:val="24"/>
          <w:lang w:eastAsia="en-US"/>
        </w:rPr>
        <w:t xml:space="preserve"> In direct opposition to the strictures of Queer Theory, I posit that s</w:t>
      </w:r>
      <w:r w:rsidR="00456B65" w:rsidRPr="00705294">
        <w:rPr>
          <w:rFonts w:eastAsia="Calibri"/>
          <w:szCs w:val="24"/>
          <w:lang w:eastAsia="en-US"/>
        </w:rPr>
        <w:t>uch a subject does indeed exist</w:t>
      </w:r>
      <w:r w:rsidRPr="00705294">
        <w:rPr>
          <w:rFonts w:eastAsia="Calibri"/>
          <w:szCs w:val="24"/>
          <w:lang w:eastAsia="en-US"/>
        </w:rPr>
        <w:t xml:space="preserve">, and that in existing, it has the potentiality to act as a site of resistance; how else am I to otherwise begin to successfully argue that this subject is ignored in current discourse? </w:t>
      </w:r>
      <w:r w:rsidR="00456B65" w:rsidRPr="00705294">
        <w:rPr>
          <w:rFonts w:eastAsia="Calibri"/>
          <w:szCs w:val="24"/>
          <w:lang w:eastAsia="en-US"/>
        </w:rPr>
        <w:t xml:space="preserve">Women have no choice but to occupy the discursive space of </w:t>
      </w:r>
      <w:r w:rsidR="009A73D6">
        <w:rPr>
          <w:rFonts w:eastAsia="Calibri"/>
          <w:szCs w:val="24"/>
          <w:lang w:eastAsia="en-US"/>
        </w:rPr>
        <w:t>“</w:t>
      </w:r>
      <w:r w:rsidR="00456B65" w:rsidRPr="00705294">
        <w:rPr>
          <w:rFonts w:eastAsia="Calibri"/>
          <w:szCs w:val="24"/>
          <w:lang w:eastAsia="en-US"/>
        </w:rPr>
        <w:t>woman</w:t>
      </w:r>
      <w:r w:rsidR="009A73D6">
        <w:rPr>
          <w:rFonts w:eastAsia="Calibri"/>
          <w:szCs w:val="24"/>
          <w:lang w:eastAsia="en-US"/>
        </w:rPr>
        <w:t>”</w:t>
      </w:r>
      <w:r w:rsidR="00456B65" w:rsidRPr="00705294">
        <w:rPr>
          <w:rFonts w:eastAsia="Calibri"/>
          <w:szCs w:val="24"/>
          <w:lang w:eastAsia="en-US"/>
        </w:rPr>
        <w:t xml:space="preserve"> if for example, they wish to argue for such things as the right to vote; equal pay and human rights </w:t>
      </w:r>
      <w:r w:rsidR="00705294" w:rsidRPr="00705294">
        <w:rPr>
          <w:rFonts w:eastAsia="Calibri"/>
          <w:i/>
          <w:szCs w:val="24"/>
          <w:lang w:eastAsia="en-US"/>
        </w:rPr>
        <w:t>etc.</w:t>
      </w:r>
      <w:r w:rsidR="00231416" w:rsidRPr="00705294">
        <w:rPr>
          <w:rFonts w:eastAsia="Calibri"/>
          <w:szCs w:val="24"/>
          <w:lang w:eastAsia="en-US"/>
        </w:rPr>
        <w:t xml:space="preserve"> </w:t>
      </w:r>
      <w:r w:rsidR="00456B65" w:rsidRPr="00705294">
        <w:rPr>
          <w:rFonts w:eastAsia="Calibri"/>
          <w:szCs w:val="24"/>
          <w:lang w:eastAsia="en-US"/>
        </w:rPr>
        <w:t xml:space="preserve">Whilst the term </w:t>
      </w:r>
      <w:r w:rsidR="009A73D6">
        <w:rPr>
          <w:rFonts w:eastAsia="Calibri"/>
          <w:szCs w:val="24"/>
          <w:lang w:eastAsia="en-US"/>
        </w:rPr>
        <w:t>“</w:t>
      </w:r>
      <w:r w:rsidR="006A0749" w:rsidRPr="00705294">
        <w:rPr>
          <w:rFonts w:eastAsia="Calibri"/>
          <w:szCs w:val="24"/>
          <w:lang w:eastAsia="en-US"/>
        </w:rPr>
        <w:t>woman</w:t>
      </w:r>
      <w:r w:rsidR="009A73D6">
        <w:rPr>
          <w:rFonts w:eastAsia="Calibri"/>
          <w:szCs w:val="24"/>
          <w:lang w:eastAsia="en-US"/>
        </w:rPr>
        <w:t>”</w:t>
      </w:r>
      <w:r w:rsidR="00490E00" w:rsidRPr="00705294">
        <w:rPr>
          <w:rFonts w:eastAsia="Calibri"/>
          <w:szCs w:val="24"/>
          <w:lang w:eastAsia="en-US"/>
        </w:rPr>
        <w:t xml:space="preserve"> may be patriarchically con</w:t>
      </w:r>
      <w:r w:rsidR="00456B65" w:rsidRPr="00705294">
        <w:rPr>
          <w:rFonts w:eastAsia="Calibri"/>
          <w:szCs w:val="24"/>
          <w:lang w:eastAsia="en-US"/>
        </w:rPr>
        <w:t xml:space="preserve">structed, we still have to </w:t>
      </w:r>
      <w:r w:rsidR="009A73D6">
        <w:rPr>
          <w:rFonts w:eastAsia="Calibri"/>
          <w:szCs w:val="24"/>
          <w:lang w:eastAsia="en-US"/>
        </w:rPr>
        <w:t>“</w:t>
      </w:r>
      <w:r w:rsidR="005700BD" w:rsidRPr="00705294">
        <w:rPr>
          <w:rFonts w:eastAsia="Calibri"/>
          <w:szCs w:val="24"/>
          <w:lang w:eastAsia="en-US"/>
        </w:rPr>
        <w:t>embrace the terms that injure</w:t>
      </w:r>
      <w:r w:rsidR="00490E00" w:rsidRPr="00705294">
        <w:rPr>
          <w:rFonts w:eastAsia="Calibri"/>
          <w:szCs w:val="24"/>
          <w:lang w:eastAsia="en-US"/>
        </w:rPr>
        <w:t>… because they constitute [us]</w:t>
      </w:r>
      <w:r w:rsidR="005700BD" w:rsidRPr="00705294">
        <w:rPr>
          <w:rFonts w:eastAsia="Calibri"/>
          <w:szCs w:val="24"/>
          <w:lang w:eastAsia="en-US"/>
        </w:rPr>
        <w:t xml:space="preserve"> socially</w:t>
      </w:r>
      <w:r w:rsidR="009A73D6">
        <w:rPr>
          <w:rFonts w:eastAsia="Calibri"/>
          <w:szCs w:val="24"/>
          <w:lang w:eastAsia="en-US"/>
        </w:rPr>
        <w:t>”</w:t>
      </w:r>
      <w:r w:rsidR="00C15B0D">
        <w:rPr>
          <w:rFonts w:eastAsia="Calibri"/>
          <w:szCs w:val="24"/>
          <w:lang w:eastAsia="en-US"/>
        </w:rPr>
        <w:t xml:space="preserve"> </w:t>
      </w:r>
      <w:r w:rsidR="00EE63DA">
        <w:rPr>
          <w:rFonts w:eastAsia="Calibri"/>
          <w:szCs w:val="24"/>
          <w:lang w:eastAsia="en-US"/>
        </w:rPr>
        <w:t>(</w:t>
      </w:r>
      <w:r w:rsidR="00C15B0D">
        <w:rPr>
          <w:rFonts w:eastAsia="Calibri"/>
          <w:szCs w:val="24"/>
          <w:lang w:eastAsia="en-US"/>
        </w:rPr>
        <w:t>[5</w:t>
      </w:r>
      <w:r w:rsidR="00200D48">
        <w:rPr>
          <w:rFonts w:eastAsia="Calibri"/>
          <w:szCs w:val="24"/>
          <w:lang w:eastAsia="en-US"/>
        </w:rPr>
        <w:t>6</w:t>
      </w:r>
      <w:r w:rsidR="00EE63DA">
        <w:rPr>
          <w:rFonts w:eastAsia="Calibri"/>
          <w:szCs w:val="24"/>
          <w:lang w:eastAsia="en-US"/>
        </w:rPr>
        <w:t>]</w:t>
      </w:r>
      <w:r w:rsidR="00EE63DA" w:rsidRPr="00EE63DA">
        <w:rPr>
          <w:rFonts w:eastAsia="Calibri"/>
          <w:szCs w:val="24"/>
          <w:lang w:eastAsia="en-US"/>
        </w:rPr>
        <w:t>, p. 104</w:t>
      </w:r>
      <w:r w:rsidR="00EE63DA">
        <w:rPr>
          <w:rFonts w:eastAsia="Calibri"/>
          <w:szCs w:val="24"/>
          <w:lang w:eastAsia="en-US"/>
        </w:rPr>
        <w:t>)</w:t>
      </w:r>
      <w:r w:rsidR="005700BD" w:rsidRPr="00705294">
        <w:rPr>
          <w:rFonts w:eastAsia="Calibri"/>
          <w:szCs w:val="24"/>
          <w:lang w:eastAsia="en-US"/>
        </w:rPr>
        <w:t>.</w:t>
      </w:r>
      <w:r w:rsidR="00456B65" w:rsidRPr="00705294">
        <w:rPr>
          <w:rFonts w:eastAsia="Calibri"/>
          <w:szCs w:val="24"/>
          <w:lang w:eastAsia="en-US"/>
        </w:rPr>
        <w:t xml:space="preserve"> </w:t>
      </w:r>
      <w:r w:rsidRPr="00705294">
        <w:rPr>
          <w:rFonts w:eastAsia="Calibri"/>
          <w:szCs w:val="24"/>
          <w:lang w:eastAsia="en-US"/>
        </w:rPr>
        <w:t xml:space="preserve">It is the distinct lack of attention to the visible constructed gendered girl subject, which results in the continuation of the acceptable subject as male and, thus, exempted from </w:t>
      </w:r>
      <w:r w:rsidRPr="00F11ADB">
        <w:rPr>
          <w:rFonts w:eastAsia="Calibri"/>
          <w:szCs w:val="24"/>
          <w:lang w:eastAsia="en-US"/>
        </w:rPr>
        <w:t xml:space="preserve">critique </w:t>
      </w:r>
      <w:r w:rsidR="00E96C9C" w:rsidRPr="00F11ADB">
        <w:rPr>
          <w:rFonts w:eastAsia="Calibri"/>
          <w:szCs w:val="24"/>
          <w:lang w:eastAsia="en-US"/>
        </w:rPr>
        <w:t>[</w:t>
      </w:r>
      <w:r w:rsidR="00C15B0D" w:rsidRPr="00F11ADB">
        <w:rPr>
          <w:rFonts w:eastAsia="Calibri"/>
          <w:color w:val="auto"/>
          <w:szCs w:val="24"/>
          <w:lang w:eastAsia="en-US"/>
        </w:rPr>
        <w:t>5</w:t>
      </w:r>
      <w:r w:rsidR="00200D48" w:rsidRPr="00F11ADB">
        <w:rPr>
          <w:rFonts w:eastAsia="Calibri"/>
          <w:color w:val="auto"/>
          <w:szCs w:val="24"/>
          <w:lang w:eastAsia="en-US"/>
        </w:rPr>
        <w:t>7</w:t>
      </w:r>
      <w:r w:rsidRPr="00F11ADB">
        <w:rPr>
          <w:rFonts w:eastAsia="Calibri"/>
          <w:szCs w:val="24"/>
          <w:lang w:eastAsia="en-US"/>
        </w:rPr>
        <w:t xml:space="preserve">]. Within this context then, how can I identify and adopt the labels of </w:t>
      </w:r>
      <w:r w:rsidR="009A73D6" w:rsidRPr="00F11ADB">
        <w:rPr>
          <w:rFonts w:eastAsia="Calibri"/>
          <w:szCs w:val="24"/>
          <w:lang w:eastAsia="en-US"/>
        </w:rPr>
        <w:t>“</w:t>
      </w:r>
      <w:r w:rsidRPr="00F11ADB">
        <w:rPr>
          <w:rFonts w:eastAsia="Calibri"/>
          <w:szCs w:val="24"/>
          <w:lang w:eastAsia="en-US"/>
        </w:rPr>
        <w:t>girl</w:t>
      </w:r>
      <w:r w:rsidR="009A73D6" w:rsidRPr="00F11ADB">
        <w:rPr>
          <w:rFonts w:eastAsia="Calibri"/>
          <w:szCs w:val="24"/>
          <w:lang w:eastAsia="en-US"/>
        </w:rPr>
        <w:t>”</w:t>
      </w:r>
      <w:r w:rsidR="000C7647">
        <w:rPr>
          <w:rFonts w:eastAsia="Calibri"/>
          <w:szCs w:val="24"/>
          <w:lang w:eastAsia="en-US"/>
        </w:rPr>
        <w:t>,</w:t>
      </w:r>
      <w:r w:rsidRPr="00F11ADB">
        <w:rPr>
          <w:rFonts w:eastAsia="Calibri"/>
          <w:szCs w:val="24"/>
          <w:lang w:eastAsia="en-US"/>
        </w:rPr>
        <w:t xml:space="preserve"> </w:t>
      </w:r>
      <w:r w:rsidR="009A73D6" w:rsidRPr="00F11ADB">
        <w:rPr>
          <w:rFonts w:eastAsia="Calibri"/>
          <w:szCs w:val="24"/>
          <w:lang w:eastAsia="en-US"/>
        </w:rPr>
        <w:t>“</w:t>
      </w:r>
      <w:r w:rsidRPr="00F11ADB">
        <w:rPr>
          <w:rFonts w:eastAsia="Calibri"/>
          <w:szCs w:val="24"/>
          <w:lang w:eastAsia="en-US"/>
        </w:rPr>
        <w:t>female</w:t>
      </w:r>
      <w:r w:rsidR="009A73D6" w:rsidRPr="00F11ADB">
        <w:rPr>
          <w:rFonts w:eastAsia="Calibri"/>
          <w:szCs w:val="24"/>
          <w:lang w:eastAsia="en-US"/>
        </w:rPr>
        <w:t>”</w:t>
      </w:r>
      <w:r w:rsidRPr="00F11ADB">
        <w:rPr>
          <w:rFonts w:eastAsia="Calibri"/>
          <w:szCs w:val="24"/>
          <w:lang w:eastAsia="en-US"/>
        </w:rPr>
        <w:t xml:space="preserve"> and </w:t>
      </w:r>
      <w:r w:rsidR="009A73D6" w:rsidRPr="00F11ADB">
        <w:rPr>
          <w:rFonts w:eastAsia="Calibri"/>
          <w:szCs w:val="24"/>
          <w:lang w:eastAsia="en-US"/>
        </w:rPr>
        <w:t>“</w:t>
      </w:r>
      <w:r w:rsidRPr="00F11ADB">
        <w:rPr>
          <w:rFonts w:eastAsia="Calibri"/>
          <w:szCs w:val="24"/>
          <w:lang w:eastAsia="en-US"/>
        </w:rPr>
        <w:t>lesbian</w:t>
      </w:r>
      <w:r w:rsidR="009A73D6" w:rsidRPr="00F11ADB">
        <w:rPr>
          <w:rFonts w:eastAsia="Calibri"/>
          <w:szCs w:val="24"/>
          <w:lang w:eastAsia="en-US"/>
        </w:rPr>
        <w:t>”</w:t>
      </w:r>
      <w:r w:rsidRPr="00F11ADB">
        <w:rPr>
          <w:rFonts w:eastAsia="Calibri"/>
          <w:szCs w:val="24"/>
          <w:lang w:eastAsia="en-US"/>
        </w:rPr>
        <w:t>, without resorting to biological essentialism?</w:t>
      </w:r>
      <w:r w:rsidRPr="00705294">
        <w:rPr>
          <w:rFonts w:eastAsia="Calibri"/>
          <w:szCs w:val="24"/>
          <w:lang w:eastAsia="en-US"/>
        </w:rPr>
        <w:t xml:space="preserve"> I would suggest that categories of identity can still be used as a site of resistance whilst simultaneously opening up discourse and challenging </w:t>
      </w:r>
      <w:r w:rsidR="00473395">
        <w:rPr>
          <w:rFonts w:eastAsia="Calibri"/>
          <w:szCs w:val="24"/>
          <w:lang w:eastAsia="en-US"/>
        </w:rPr>
        <w:br/>
      </w:r>
      <w:r w:rsidRPr="00705294">
        <w:rPr>
          <w:rFonts w:eastAsia="Calibri"/>
          <w:szCs w:val="24"/>
          <w:lang w:eastAsia="en-US"/>
        </w:rPr>
        <w:t>the exclusionary operations and power relations tha</w:t>
      </w:r>
      <w:r w:rsidR="009B7A41" w:rsidRPr="00705294">
        <w:rPr>
          <w:rFonts w:eastAsia="Calibri"/>
          <w:szCs w:val="24"/>
          <w:lang w:eastAsia="en-US"/>
        </w:rPr>
        <w:t xml:space="preserve">t construct and limit </w:t>
      </w:r>
      <w:r w:rsidR="009A73D6">
        <w:rPr>
          <w:rFonts w:eastAsia="Calibri"/>
          <w:szCs w:val="24"/>
          <w:lang w:eastAsia="en-US"/>
        </w:rPr>
        <w:t>“</w:t>
      </w:r>
      <w:r w:rsidR="009B7A41" w:rsidRPr="00705294">
        <w:rPr>
          <w:rFonts w:eastAsia="Calibri"/>
          <w:szCs w:val="24"/>
          <w:lang w:eastAsia="en-US"/>
        </w:rPr>
        <w:t>women</w:t>
      </w:r>
      <w:r w:rsidR="009A73D6">
        <w:rPr>
          <w:rFonts w:eastAsia="Calibri"/>
          <w:szCs w:val="24"/>
          <w:lang w:eastAsia="en-US"/>
        </w:rPr>
        <w:t>”</w:t>
      </w:r>
      <w:r w:rsidR="009B7A41" w:rsidRPr="00705294">
        <w:rPr>
          <w:rFonts w:eastAsia="Calibri"/>
          <w:szCs w:val="24"/>
          <w:lang w:eastAsia="en-US"/>
        </w:rPr>
        <w:t xml:space="preserve"> [</w:t>
      </w:r>
      <w:r w:rsidR="00C15B0D">
        <w:rPr>
          <w:rFonts w:eastAsia="Calibri"/>
          <w:color w:val="auto"/>
          <w:szCs w:val="24"/>
          <w:lang w:eastAsia="en-US"/>
        </w:rPr>
        <w:t>5</w:t>
      </w:r>
      <w:r w:rsidR="00200D48">
        <w:rPr>
          <w:rFonts w:eastAsia="Calibri"/>
          <w:color w:val="auto"/>
          <w:szCs w:val="24"/>
          <w:lang w:eastAsia="en-US"/>
        </w:rPr>
        <w:t>8</w:t>
      </w:r>
      <w:r w:rsidRPr="00705294">
        <w:rPr>
          <w:rFonts w:eastAsia="Calibri"/>
          <w:szCs w:val="24"/>
          <w:lang w:eastAsia="en-US"/>
        </w:rPr>
        <w:t>]. Thus, as argued by Butl</w:t>
      </w:r>
      <w:r w:rsidR="007157EC" w:rsidRPr="00705294">
        <w:rPr>
          <w:rFonts w:eastAsia="Calibri"/>
          <w:szCs w:val="24"/>
          <w:lang w:eastAsia="en-US"/>
        </w:rPr>
        <w:t>er,</w:t>
      </w:r>
    </w:p>
    <w:p w14:paraId="3F21F061" w14:textId="099739B1" w:rsidR="00992EAA" w:rsidRPr="00705294" w:rsidRDefault="00992EAA" w:rsidP="00737741">
      <w:pPr>
        <w:pStyle w:val="Mdeck4textlrindent"/>
        <w:spacing w:before="120" w:after="120"/>
        <w:rPr>
          <w:rFonts w:eastAsia="Calibri"/>
          <w:szCs w:val="24"/>
          <w:lang w:eastAsia="en-US"/>
        </w:rPr>
      </w:pPr>
      <w:r w:rsidRPr="00705294">
        <w:rPr>
          <w:rFonts w:eastAsia="Calibri"/>
          <w:szCs w:val="24"/>
          <w:lang w:eastAsia="en-US"/>
        </w:rPr>
        <w:t xml:space="preserve">The category of women does not become useless through deconstruction, but becomes one whose uses are no longer reified as “referents”, and which stand a chance of being opened up, indeed, of coming to signify in ways that none of us can predict in advance. Surely, it must be possible both to use the term, to use it tactfully even as one is, as it were, used and positioned by it, and also to subject the term to a critique which interrogates the </w:t>
      </w:r>
      <w:r w:rsidRPr="00705294">
        <w:rPr>
          <w:rFonts w:eastAsia="Calibri"/>
          <w:szCs w:val="24"/>
          <w:lang w:eastAsia="en-US"/>
        </w:rPr>
        <w:lastRenderedPageBreak/>
        <w:t>exclusionary operations and differential power-relations that construct and delimit f</w:t>
      </w:r>
      <w:r w:rsidR="009B7A41" w:rsidRPr="00705294">
        <w:rPr>
          <w:rFonts w:eastAsia="Calibri"/>
          <w:szCs w:val="24"/>
          <w:lang w:eastAsia="en-US"/>
        </w:rPr>
        <w:t>eminist invocations of “women</w:t>
      </w:r>
      <w:r w:rsidR="005700BD" w:rsidRPr="00705294">
        <w:rPr>
          <w:rFonts w:eastAsia="Calibri"/>
          <w:szCs w:val="24"/>
          <w:lang w:eastAsia="en-US"/>
        </w:rPr>
        <w:t>”</w:t>
      </w:r>
      <w:r w:rsidR="009B7A41" w:rsidRPr="00705294">
        <w:rPr>
          <w:rFonts w:eastAsia="Calibri"/>
          <w:szCs w:val="24"/>
          <w:lang w:eastAsia="en-US"/>
        </w:rPr>
        <w:t xml:space="preserve"> </w:t>
      </w:r>
      <w:r w:rsidR="00955004" w:rsidRPr="00B2351E">
        <w:rPr>
          <w:rFonts w:eastAsia="Calibri"/>
          <w:szCs w:val="24"/>
          <w:lang w:eastAsia="en-US"/>
        </w:rPr>
        <w:t>(</w:t>
      </w:r>
      <w:r w:rsidR="009B7A41" w:rsidRPr="00B2351E">
        <w:rPr>
          <w:rFonts w:eastAsia="Calibri"/>
          <w:szCs w:val="24"/>
          <w:lang w:eastAsia="en-US"/>
        </w:rPr>
        <w:t>[</w:t>
      </w:r>
      <w:r w:rsidR="00A86028" w:rsidRPr="00B2351E">
        <w:rPr>
          <w:rFonts w:eastAsia="Calibri"/>
          <w:color w:val="auto"/>
          <w:szCs w:val="24"/>
          <w:lang w:eastAsia="en-US"/>
        </w:rPr>
        <w:t>5</w:t>
      </w:r>
      <w:r w:rsidR="002E3210" w:rsidRPr="00B2351E">
        <w:rPr>
          <w:rFonts w:eastAsia="Calibri"/>
          <w:color w:val="auto"/>
          <w:szCs w:val="24"/>
          <w:lang w:eastAsia="en-US"/>
        </w:rPr>
        <w:t>8</w:t>
      </w:r>
      <w:r w:rsidR="00A124EB" w:rsidRPr="00B2351E">
        <w:rPr>
          <w:rFonts w:eastAsia="Calibri"/>
          <w:color w:val="auto"/>
          <w:szCs w:val="24"/>
          <w:lang w:eastAsia="en-US"/>
        </w:rPr>
        <w:t>]</w:t>
      </w:r>
      <w:r w:rsidR="00955004" w:rsidRPr="00B2351E">
        <w:rPr>
          <w:rFonts w:eastAsia="Calibri"/>
          <w:color w:val="auto"/>
          <w:szCs w:val="24"/>
          <w:lang w:eastAsia="en-US"/>
        </w:rPr>
        <w:t xml:space="preserve">, </w:t>
      </w:r>
      <w:r w:rsidR="00955004" w:rsidRPr="00955004">
        <w:rPr>
          <w:rFonts w:eastAsia="Calibri"/>
          <w:color w:val="auto"/>
          <w:szCs w:val="24"/>
          <w:lang w:eastAsia="en-US"/>
        </w:rPr>
        <w:t>p. 29</w:t>
      </w:r>
      <w:r w:rsidR="00955004">
        <w:rPr>
          <w:rFonts w:eastAsia="Calibri"/>
          <w:color w:val="auto"/>
          <w:szCs w:val="24"/>
          <w:lang w:eastAsia="en-US"/>
        </w:rPr>
        <w:t>)</w:t>
      </w:r>
      <w:r w:rsidR="005700BD" w:rsidRPr="00705294">
        <w:rPr>
          <w:rFonts w:eastAsia="Calibri"/>
          <w:szCs w:val="24"/>
          <w:lang w:eastAsia="en-US"/>
        </w:rPr>
        <w:t>.</w:t>
      </w:r>
    </w:p>
    <w:p w14:paraId="140FA13E" w14:textId="2FE8C0D6" w:rsidR="00992EAA" w:rsidRPr="00705294" w:rsidRDefault="0031723D" w:rsidP="00AE443F">
      <w:pPr>
        <w:adjustRightInd w:val="0"/>
        <w:snapToGrid w:val="0"/>
        <w:ind w:firstLine="284"/>
        <w:rPr>
          <w:rFonts w:eastAsia="Calibri"/>
          <w:color w:val="auto"/>
          <w:szCs w:val="24"/>
          <w:lang w:val="en-US" w:eastAsia="en-US"/>
        </w:rPr>
      </w:pPr>
      <w:r w:rsidRPr="00705294">
        <w:rPr>
          <w:rFonts w:eastAsia="Calibri"/>
          <w:color w:val="auto"/>
          <w:szCs w:val="24"/>
          <w:lang w:val="en-US" w:eastAsia="en-US"/>
        </w:rPr>
        <w:t>Therefore</w:t>
      </w:r>
      <w:r w:rsidR="00940786" w:rsidRPr="00705294">
        <w:rPr>
          <w:rFonts w:eastAsia="Calibri"/>
          <w:color w:val="auto"/>
          <w:szCs w:val="24"/>
          <w:lang w:val="en-US" w:eastAsia="en-US"/>
        </w:rPr>
        <w:t xml:space="preserve">, whilst Butler might reject </w:t>
      </w:r>
      <w:r w:rsidR="00C543D0" w:rsidRPr="00705294">
        <w:rPr>
          <w:rFonts w:eastAsia="Calibri"/>
          <w:color w:val="auto"/>
          <w:szCs w:val="24"/>
          <w:lang w:val="en-US" w:eastAsia="en-US"/>
        </w:rPr>
        <w:t xml:space="preserve">some of the </w:t>
      </w:r>
      <w:r w:rsidR="00940786" w:rsidRPr="00705294">
        <w:rPr>
          <w:rFonts w:eastAsia="Calibri"/>
          <w:color w:val="auto"/>
          <w:szCs w:val="24"/>
          <w:lang w:val="en-US" w:eastAsia="en-US"/>
        </w:rPr>
        <w:t xml:space="preserve">early feminist interpretations of a </w:t>
      </w:r>
      <w:r w:rsidR="001307AB" w:rsidRPr="00705294">
        <w:rPr>
          <w:rFonts w:eastAsia="Calibri"/>
          <w:color w:val="auto"/>
          <w:szCs w:val="24"/>
          <w:lang w:val="en-US" w:eastAsia="en-US"/>
        </w:rPr>
        <w:t>unified</w:t>
      </w:r>
      <w:r w:rsidR="00940786" w:rsidRPr="00705294">
        <w:rPr>
          <w:rFonts w:eastAsia="Calibri"/>
          <w:color w:val="auto"/>
          <w:szCs w:val="24"/>
          <w:lang w:val="en-US" w:eastAsia="en-US"/>
        </w:rPr>
        <w:t xml:space="preserve"> subject of </w:t>
      </w:r>
      <w:r w:rsidR="009A73D6">
        <w:rPr>
          <w:rFonts w:eastAsia="Calibri"/>
          <w:color w:val="auto"/>
          <w:szCs w:val="24"/>
          <w:lang w:val="en-US" w:eastAsia="en-US"/>
        </w:rPr>
        <w:t>“</w:t>
      </w:r>
      <w:r w:rsidR="00940786" w:rsidRPr="00705294">
        <w:rPr>
          <w:rFonts w:eastAsia="Calibri"/>
          <w:color w:val="auto"/>
          <w:szCs w:val="24"/>
          <w:lang w:val="en-US" w:eastAsia="en-US"/>
        </w:rPr>
        <w:t>women</w:t>
      </w:r>
      <w:r w:rsidR="009A73D6">
        <w:rPr>
          <w:rFonts w:eastAsia="Calibri"/>
          <w:color w:val="auto"/>
          <w:szCs w:val="24"/>
          <w:lang w:val="en-US" w:eastAsia="en-US"/>
        </w:rPr>
        <w:t>”</w:t>
      </w:r>
      <w:r w:rsidR="00940786" w:rsidRPr="00705294">
        <w:rPr>
          <w:rFonts w:eastAsia="Calibri"/>
          <w:color w:val="auto"/>
          <w:szCs w:val="24"/>
          <w:lang w:val="en-US" w:eastAsia="en-US"/>
        </w:rPr>
        <w:t xml:space="preserve">, her </w:t>
      </w:r>
      <w:r w:rsidR="001307AB" w:rsidRPr="00705294">
        <w:rPr>
          <w:rFonts w:eastAsia="Calibri"/>
          <w:color w:val="auto"/>
          <w:szCs w:val="24"/>
          <w:lang w:val="en-US" w:eastAsia="en-US"/>
        </w:rPr>
        <w:t>analysis</w:t>
      </w:r>
      <w:r w:rsidR="00940786" w:rsidRPr="00705294">
        <w:rPr>
          <w:rFonts w:eastAsia="Calibri"/>
          <w:color w:val="auto"/>
          <w:szCs w:val="24"/>
          <w:lang w:val="en-US" w:eastAsia="en-US"/>
        </w:rPr>
        <w:t xml:space="preserve"> </w:t>
      </w:r>
      <w:r w:rsidR="001215F7" w:rsidRPr="00705294">
        <w:rPr>
          <w:rFonts w:eastAsia="Calibri"/>
          <w:color w:val="auto"/>
          <w:szCs w:val="24"/>
          <w:lang w:val="en-US" w:eastAsia="en-US"/>
        </w:rPr>
        <w:t>nevertheless</w:t>
      </w:r>
      <w:r w:rsidR="00940786" w:rsidRPr="00705294">
        <w:rPr>
          <w:rFonts w:eastAsia="Calibri"/>
          <w:color w:val="auto"/>
          <w:szCs w:val="24"/>
          <w:lang w:val="en-US" w:eastAsia="en-US"/>
        </w:rPr>
        <w:t xml:space="preserve"> opens up possibilities of </w:t>
      </w:r>
      <w:r w:rsidR="00490E00" w:rsidRPr="00705294">
        <w:rPr>
          <w:rFonts w:eastAsia="Calibri"/>
          <w:color w:val="auto"/>
          <w:szCs w:val="24"/>
          <w:lang w:val="en-US" w:eastAsia="en-US"/>
        </w:rPr>
        <w:t>explor</w:t>
      </w:r>
      <w:r w:rsidR="00940786" w:rsidRPr="00705294">
        <w:rPr>
          <w:rFonts w:eastAsia="Calibri"/>
          <w:color w:val="auto"/>
          <w:szCs w:val="24"/>
          <w:lang w:val="en-US" w:eastAsia="en-US"/>
        </w:rPr>
        <w:t xml:space="preserve">ing </w:t>
      </w:r>
      <w:r w:rsidR="00490E00" w:rsidRPr="00705294">
        <w:rPr>
          <w:rFonts w:eastAsia="Calibri"/>
          <w:color w:val="auto"/>
          <w:szCs w:val="24"/>
          <w:lang w:val="en-US" w:eastAsia="en-US"/>
        </w:rPr>
        <w:t>identit</w:t>
      </w:r>
      <w:r w:rsidR="00940786" w:rsidRPr="00705294">
        <w:rPr>
          <w:rFonts w:eastAsia="Calibri"/>
          <w:color w:val="auto"/>
          <w:szCs w:val="24"/>
          <w:lang w:val="en-US" w:eastAsia="en-US"/>
        </w:rPr>
        <w:t>ies a</w:t>
      </w:r>
      <w:r w:rsidR="00490E00" w:rsidRPr="00705294">
        <w:rPr>
          <w:rFonts w:eastAsia="Calibri"/>
          <w:color w:val="auto"/>
          <w:szCs w:val="24"/>
          <w:lang w:val="en-US" w:eastAsia="en-US"/>
        </w:rPr>
        <w:t xml:space="preserve">t the </w:t>
      </w:r>
      <w:r w:rsidR="00940786" w:rsidRPr="00705294">
        <w:rPr>
          <w:rFonts w:eastAsia="Calibri"/>
          <w:color w:val="auto"/>
          <w:szCs w:val="24"/>
          <w:lang w:val="en-US" w:eastAsia="en-US"/>
        </w:rPr>
        <w:t>intersection between sexua</w:t>
      </w:r>
      <w:r w:rsidR="00490E00" w:rsidRPr="00705294">
        <w:rPr>
          <w:rFonts w:eastAsia="Calibri"/>
          <w:color w:val="auto"/>
          <w:szCs w:val="24"/>
          <w:lang w:val="en-US" w:eastAsia="en-US"/>
        </w:rPr>
        <w:t xml:space="preserve">lity/queer/gender </w:t>
      </w:r>
      <w:r w:rsidR="00481C7C" w:rsidRPr="00B2351E">
        <w:rPr>
          <w:rFonts w:eastAsia="Calibri"/>
          <w:color w:val="auto"/>
          <w:szCs w:val="24"/>
          <w:lang w:val="en-US" w:eastAsia="en-US"/>
        </w:rPr>
        <w:t>(</w:t>
      </w:r>
      <w:r w:rsidR="00490E00" w:rsidRPr="00B2351E">
        <w:rPr>
          <w:rFonts w:eastAsia="Calibri"/>
          <w:color w:val="auto"/>
          <w:szCs w:val="24"/>
          <w:lang w:val="en-US" w:eastAsia="en-US"/>
        </w:rPr>
        <w:t>[</w:t>
      </w:r>
      <w:r w:rsidR="002D50EF" w:rsidRPr="00B2351E">
        <w:rPr>
          <w:rFonts w:eastAsia="Calibri"/>
          <w:color w:val="auto"/>
          <w:szCs w:val="24"/>
          <w:lang w:val="en-US" w:eastAsia="en-US"/>
        </w:rPr>
        <w:t>59</w:t>
      </w:r>
      <w:r w:rsidR="00481C7C" w:rsidRPr="00B2351E">
        <w:rPr>
          <w:rFonts w:eastAsia="Calibri"/>
          <w:color w:val="auto"/>
          <w:szCs w:val="24"/>
          <w:lang w:val="en-US" w:eastAsia="en-US"/>
        </w:rPr>
        <w:t xml:space="preserve">], </w:t>
      </w:r>
      <w:r w:rsidR="00481C7C" w:rsidRPr="00481C7C">
        <w:rPr>
          <w:rFonts w:eastAsia="Calibri"/>
          <w:color w:val="auto"/>
          <w:szCs w:val="24"/>
          <w:lang w:val="en-US" w:eastAsia="en-US"/>
        </w:rPr>
        <w:t xml:space="preserve">p. </w:t>
      </w:r>
      <w:proofErr w:type="gramStart"/>
      <w:r w:rsidR="00481C7C" w:rsidRPr="00481C7C">
        <w:rPr>
          <w:rFonts w:eastAsia="Calibri"/>
          <w:color w:val="auto"/>
          <w:szCs w:val="24"/>
          <w:lang w:val="en-US" w:eastAsia="en-US"/>
        </w:rPr>
        <w:t>vi</w:t>
      </w:r>
      <w:proofErr w:type="gramEnd"/>
      <w:r w:rsidR="00481C7C">
        <w:rPr>
          <w:rFonts w:eastAsia="Calibri"/>
          <w:color w:val="auto"/>
          <w:szCs w:val="24"/>
          <w:lang w:val="en-US" w:eastAsia="en-US"/>
        </w:rPr>
        <w:t>)</w:t>
      </w:r>
      <w:r w:rsidR="00490E00" w:rsidRPr="00705294">
        <w:rPr>
          <w:rFonts w:eastAsia="Calibri"/>
          <w:color w:val="auto"/>
          <w:szCs w:val="24"/>
          <w:lang w:val="en-US" w:eastAsia="en-US"/>
        </w:rPr>
        <w:t>.</w:t>
      </w:r>
      <w:r w:rsidR="00231416" w:rsidRPr="00705294">
        <w:rPr>
          <w:rFonts w:eastAsia="Calibri"/>
          <w:color w:val="auto"/>
          <w:szCs w:val="24"/>
          <w:lang w:val="en-US" w:eastAsia="en-US"/>
        </w:rPr>
        <w:t xml:space="preserve"> </w:t>
      </w:r>
      <w:r w:rsidR="00C543D0" w:rsidRPr="00705294">
        <w:rPr>
          <w:rFonts w:eastAsia="Calibri"/>
          <w:color w:val="auto"/>
          <w:szCs w:val="24"/>
          <w:lang w:val="en-US" w:eastAsia="en-US"/>
        </w:rPr>
        <w:t xml:space="preserve">Indeed, this also </w:t>
      </w:r>
      <w:r w:rsidR="00705294">
        <w:rPr>
          <w:rFonts w:eastAsia="Calibri"/>
          <w:color w:val="auto"/>
          <w:szCs w:val="24"/>
          <w:lang w:val="en-US" w:eastAsia="en-US"/>
        </w:rPr>
        <w:t>allows for</w:t>
      </w:r>
      <w:r w:rsidR="00C543D0" w:rsidRPr="00705294">
        <w:rPr>
          <w:rFonts w:eastAsia="Calibri"/>
          <w:color w:val="auto"/>
          <w:szCs w:val="24"/>
          <w:lang w:val="en-US" w:eastAsia="en-US"/>
        </w:rPr>
        <w:t xml:space="preserve"> an acceptance of Foucault</w:t>
      </w:r>
      <w:r w:rsidR="0045336C">
        <w:rPr>
          <w:rFonts w:eastAsia="Calibri"/>
          <w:color w:val="auto"/>
          <w:szCs w:val="24"/>
          <w:lang w:val="en-US" w:eastAsia="en-US"/>
        </w:rPr>
        <w:t>’</w:t>
      </w:r>
      <w:r w:rsidR="00C543D0" w:rsidRPr="00705294">
        <w:rPr>
          <w:rFonts w:eastAsia="Calibri"/>
          <w:color w:val="auto"/>
          <w:szCs w:val="24"/>
          <w:lang w:val="en-US" w:eastAsia="en-US"/>
        </w:rPr>
        <w:t>s work on discourse and subjectivity.</w:t>
      </w:r>
      <w:r w:rsidR="00231416" w:rsidRPr="00705294">
        <w:rPr>
          <w:rFonts w:eastAsia="Calibri"/>
          <w:color w:val="auto"/>
          <w:szCs w:val="24"/>
          <w:lang w:val="en-US" w:eastAsia="en-US"/>
        </w:rPr>
        <w:t xml:space="preserve"> </w:t>
      </w:r>
      <w:r w:rsidR="00992EAA" w:rsidRPr="00705294">
        <w:rPr>
          <w:rFonts w:eastAsia="Calibri"/>
          <w:color w:val="auto"/>
          <w:szCs w:val="24"/>
          <w:lang w:val="en-US" w:eastAsia="en-US"/>
        </w:rPr>
        <w:t>Given Queer Theory</w:t>
      </w:r>
      <w:r w:rsidR="0045336C">
        <w:rPr>
          <w:rFonts w:eastAsia="Calibri"/>
          <w:color w:val="auto"/>
          <w:szCs w:val="24"/>
          <w:lang w:val="en-US" w:eastAsia="en-US"/>
        </w:rPr>
        <w:t>’</w:t>
      </w:r>
      <w:r w:rsidR="00992EAA" w:rsidRPr="00705294">
        <w:rPr>
          <w:rFonts w:eastAsia="Calibri"/>
          <w:color w:val="auto"/>
          <w:szCs w:val="24"/>
          <w:lang w:val="en-US" w:eastAsia="en-US"/>
        </w:rPr>
        <w:t>s post-structuralist roots, it follows that Michael Foucault</w:t>
      </w:r>
      <w:r w:rsidR="0045336C">
        <w:rPr>
          <w:rFonts w:eastAsia="Calibri"/>
          <w:color w:val="auto"/>
          <w:szCs w:val="24"/>
          <w:lang w:val="en-US" w:eastAsia="en-US"/>
        </w:rPr>
        <w:t>’</w:t>
      </w:r>
      <w:r w:rsidR="00992EAA" w:rsidRPr="00705294">
        <w:rPr>
          <w:rFonts w:eastAsia="Calibri"/>
          <w:color w:val="auto"/>
          <w:szCs w:val="24"/>
          <w:lang w:val="en-US" w:eastAsia="en-US"/>
        </w:rPr>
        <w:t>s writing has bee</w:t>
      </w:r>
      <w:r w:rsidR="008E1E06">
        <w:rPr>
          <w:rFonts w:eastAsia="Calibri"/>
          <w:color w:val="auto"/>
          <w:szCs w:val="24"/>
          <w:lang w:val="en-US" w:eastAsia="en-US"/>
        </w:rPr>
        <w:t>n influential upon Queer Theory [60].</w:t>
      </w:r>
      <w:r w:rsidR="00992EAA" w:rsidRPr="00705294">
        <w:rPr>
          <w:rFonts w:eastAsia="Calibri"/>
          <w:color w:val="auto"/>
          <w:szCs w:val="24"/>
          <w:lang w:val="en-US" w:eastAsia="en-US"/>
        </w:rPr>
        <w:t xml:space="preserve"> Much of Foucault</w:t>
      </w:r>
      <w:r w:rsidR="0045336C">
        <w:rPr>
          <w:rFonts w:eastAsia="Calibri"/>
          <w:color w:val="auto"/>
          <w:szCs w:val="24"/>
          <w:lang w:val="en-US" w:eastAsia="en-US"/>
        </w:rPr>
        <w:t>’</w:t>
      </w:r>
      <w:r w:rsidR="00992EAA" w:rsidRPr="00705294">
        <w:rPr>
          <w:rFonts w:eastAsia="Calibri"/>
          <w:color w:val="auto"/>
          <w:szCs w:val="24"/>
          <w:lang w:val="en-US" w:eastAsia="en-US"/>
        </w:rPr>
        <w:t xml:space="preserve">s work neglects and systematically excludes the lived experiences of girls and women. For example, in </w:t>
      </w:r>
      <w:r w:rsidR="00992EAA" w:rsidRPr="00705294">
        <w:rPr>
          <w:rFonts w:eastAsia="Calibri"/>
          <w:i/>
          <w:iCs/>
          <w:color w:val="auto"/>
          <w:szCs w:val="24"/>
          <w:lang w:val="en-US" w:eastAsia="en-US"/>
        </w:rPr>
        <w:t xml:space="preserve">Discipline and Punish: the Birth of the Prison </w:t>
      </w:r>
      <w:r w:rsidR="009B7A41" w:rsidRPr="00705294">
        <w:rPr>
          <w:rFonts w:eastAsia="Calibri"/>
          <w:color w:val="auto"/>
          <w:szCs w:val="24"/>
          <w:lang w:val="en-US" w:eastAsia="en-US"/>
        </w:rPr>
        <w:t>[</w:t>
      </w:r>
      <w:r w:rsidR="00C15B0D">
        <w:rPr>
          <w:rFonts w:eastAsia="Calibri"/>
          <w:color w:val="auto"/>
          <w:szCs w:val="24"/>
          <w:lang w:val="en-US" w:eastAsia="en-US"/>
        </w:rPr>
        <w:t>6</w:t>
      </w:r>
      <w:r w:rsidR="00725849">
        <w:rPr>
          <w:rFonts w:eastAsia="Calibri"/>
          <w:color w:val="auto"/>
          <w:szCs w:val="24"/>
          <w:lang w:val="en-US" w:eastAsia="en-US"/>
        </w:rPr>
        <w:t>1</w:t>
      </w:r>
      <w:r w:rsidR="00992EAA" w:rsidRPr="00705294">
        <w:rPr>
          <w:rFonts w:eastAsia="Calibri"/>
          <w:color w:val="auto"/>
          <w:szCs w:val="24"/>
          <w:lang w:val="en-US" w:eastAsia="en-US"/>
        </w:rPr>
        <w:t xml:space="preserve">], whilst Foucault acknowledges that women, like men, are subject to many of the same disciplinary practices, he </w:t>
      </w:r>
      <w:r w:rsidR="009A73D6">
        <w:rPr>
          <w:rFonts w:eastAsia="Calibri"/>
          <w:color w:val="auto"/>
          <w:szCs w:val="24"/>
          <w:lang w:val="en-US" w:eastAsia="en-US"/>
        </w:rPr>
        <w:t>“</w:t>
      </w:r>
      <w:r w:rsidR="00992EAA" w:rsidRPr="00705294">
        <w:rPr>
          <w:rFonts w:eastAsia="Calibri"/>
          <w:color w:val="auto"/>
          <w:szCs w:val="24"/>
          <w:lang w:val="en-US" w:eastAsia="en-US"/>
        </w:rPr>
        <w:t>treats the bodily experienc</w:t>
      </w:r>
      <w:r w:rsidR="00206F9D" w:rsidRPr="00705294">
        <w:rPr>
          <w:rFonts w:eastAsia="Calibri"/>
          <w:color w:val="auto"/>
          <w:szCs w:val="24"/>
          <w:lang w:val="en-US" w:eastAsia="en-US"/>
        </w:rPr>
        <w:t>es of men and women as the same</w:t>
      </w:r>
      <w:r w:rsidR="00992EAA" w:rsidRPr="00705294">
        <w:rPr>
          <w:rFonts w:eastAsia="Calibri"/>
          <w:color w:val="auto"/>
          <w:szCs w:val="24"/>
          <w:lang w:val="en-US" w:eastAsia="en-US"/>
        </w:rPr>
        <w:t>... and is blind to those disciplines that produce a modality of embodiment that</w:t>
      </w:r>
      <w:r w:rsidR="009B7A41" w:rsidRPr="00705294">
        <w:rPr>
          <w:rFonts w:eastAsia="Calibri"/>
          <w:color w:val="auto"/>
          <w:szCs w:val="24"/>
          <w:lang w:val="en-US" w:eastAsia="en-US"/>
        </w:rPr>
        <w:t xml:space="preserve"> is particularly feminine [</w:t>
      </w:r>
      <w:r w:rsidR="002D50EF">
        <w:rPr>
          <w:rFonts w:eastAsia="Calibri"/>
          <w:color w:val="auto"/>
          <w:szCs w:val="24"/>
          <w:lang w:val="en-US" w:eastAsia="en-US"/>
        </w:rPr>
        <w:t>59</w:t>
      </w:r>
      <w:r w:rsidR="00992EAA" w:rsidRPr="00705294">
        <w:rPr>
          <w:rFonts w:eastAsia="Calibri"/>
          <w:color w:val="auto"/>
          <w:szCs w:val="24"/>
          <w:lang w:val="en-US" w:eastAsia="en-US"/>
        </w:rPr>
        <w:t>].</w:t>
      </w:r>
      <w:r w:rsidR="009A73D6">
        <w:rPr>
          <w:rFonts w:eastAsia="Calibri"/>
          <w:color w:val="auto"/>
          <w:szCs w:val="24"/>
          <w:lang w:val="en-US" w:eastAsia="en-US"/>
        </w:rPr>
        <w:t>”</w:t>
      </w:r>
      <w:r w:rsidR="00992EAA" w:rsidRPr="00705294">
        <w:rPr>
          <w:rFonts w:eastAsia="Calibri"/>
          <w:color w:val="auto"/>
          <w:szCs w:val="24"/>
          <w:lang w:val="en-US" w:eastAsia="en-US"/>
        </w:rPr>
        <w:t xml:space="preserve"> Foucault argued that the subject does exist or have </w:t>
      </w:r>
      <w:r w:rsidR="009A73D6">
        <w:rPr>
          <w:rFonts w:eastAsia="Calibri"/>
          <w:color w:val="auto"/>
          <w:szCs w:val="24"/>
          <w:lang w:val="en-US" w:eastAsia="en-US"/>
        </w:rPr>
        <w:t>“</w:t>
      </w:r>
      <w:r w:rsidR="00992EAA" w:rsidRPr="00705294">
        <w:rPr>
          <w:rFonts w:eastAsia="Calibri"/>
          <w:color w:val="auto"/>
          <w:szCs w:val="24"/>
          <w:lang w:val="en-US" w:eastAsia="en-US"/>
        </w:rPr>
        <w:t>m</w:t>
      </w:r>
      <w:r w:rsidR="009B7A41" w:rsidRPr="00705294">
        <w:rPr>
          <w:rFonts w:eastAsia="Calibri"/>
          <w:color w:val="auto"/>
          <w:szCs w:val="24"/>
          <w:lang w:val="en-US" w:eastAsia="en-US"/>
        </w:rPr>
        <w:t>eaning</w:t>
      </w:r>
      <w:r w:rsidR="009A73D6">
        <w:rPr>
          <w:rFonts w:eastAsia="Calibri"/>
          <w:color w:val="auto"/>
          <w:szCs w:val="24"/>
          <w:lang w:val="en-US" w:eastAsia="en-US"/>
        </w:rPr>
        <w:t>”</w:t>
      </w:r>
      <w:r w:rsidR="009B7A41" w:rsidRPr="00705294">
        <w:rPr>
          <w:rFonts w:eastAsia="Calibri"/>
          <w:color w:val="auto"/>
          <w:szCs w:val="24"/>
          <w:lang w:val="en-US" w:eastAsia="en-US"/>
        </w:rPr>
        <w:t xml:space="preserve"> outside of discourse</w:t>
      </w:r>
      <w:r w:rsidR="002D50EF">
        <w:rPr>
          <w:rFonts w:eastAsia="Calibri"/>
          <w:color w:val="auto"/>
          <w:szCs w:val="24"/>
          <w:lang w:val="en-US" w:eastAsia="en-US"/>
        </w:rPr>
        <w:t xml:space="preserve"> suggesting that </w:t>
      </w:r>
      <w:r w:rsidR="00992EAA" w:rsidRPr="00705294">
        <w:rPr>
          <w:rFonts w:eastAsia="Calibri"/>
          <w:color w:val="auto"/>
          <w:szCs w:val="24"/>
          <w:lang w:val="en-US" w:eastAsia="en-US"/>
        </w:rPr>
        <w:t xml:space="preserve">discourse refers not just to language, but also to the practices that operate to produce objects of knowledge. It is these practices he argued, which caused </w:t>
      </w:r>
      <w:r w:rsidR="009A73D6">
        <w:rPr>
          <w:rFonts w:eastAsia="Calibri"/>
          <w:color w:val="auto"/>
          <w:szCs w:val="24"/>
          <w:lang w:val="en-US" w:eastAsia="en-US"/>
        </w:rPr>
        <w:t>“</w:t>
      </w:r>
      <w:r w:rsidR="00992EAA" w:rsidRPr="00705294">
        <w:rPr>
          <w:rFonts w:eastAsia="Calibri"/>
          <w:color w:val="auto"/>
          <w:szCs w:val="24"/>
          <w:lang w:val="en-US" w:eastAsia="en-US"/>
        </w:rPr>
        <w:t>regimes of truth</w:t>
      </w:r>
      <w:r w:rsidR="009A73D6">
        <w:rPr>
          <w:rFonts w:eastAsia="Calibri"/>
          <w:color w:val="auto"/>
          <w:szCs w:val="24"/>
          <w:lang w:val="en-US" w:eastAsia="en-US"/>
        </w:rPr>
        <w:t>”</w:t>
      </w:r>
      <w:r w:rsidR="00992EAA" w:rsidRPr="00705294">
        <w:rPr>
          <w:rFonts w:eastAsia="Calibri"/>
          <w:color w:val="auto"/>
          <w:szCs w:val="24"/>
          <w:lang w:val="en-US" w:eastAsia="en-US"/>
        </w:rPr>
        <w:t xml:space="preserve"> to emerge and dominate. In other words, Foucault suggested that the subject is not the source of the meaning attributed to </w:t>
      </w:r>
      <w:r w:rsidR="009A73D6">
        <w:rPr>
          <w:rFonts w:eastAsia="Calibri"/>
          <w:color w:val="auto"/>
          <w:szCs w:val="24"/>
          <w:lang w:val="en-US" w:eastAsia="en-US"/>
        </w:rPr>
        <w:t>“</w:t>
      </w:r>
      <w:r w:rsidR="00992EAA" w:rsidRPr="00705294">
        <w:rPr>
          <w:rFonts w:eastAsia="Calibri"/>
          <w:color w:val="auto"/>
          <w:szCs w:val="24"/>
          <w:lang w:val="en-US" w:eastAsia="en-US"/>
        </w:rPr>
        <w:t>woman</w:t>
      </w:r>
      <w:r w:rsidR="009A73D6">
        <w:rPr>
          <w:rFonts w:eastAsia="Calibri"/>
          <w:color w:val="auto"/>
          <w:szCs w:val="24"/>
          <w:lang w:val="en-US" w:eastAsia="en-US"/>
        </w:rPr>
        <w:t>”</w:t>
      </w:r>
      <w:r w:rsidR="00992EAA" w:rsidRPr="00705294">
        <w:rPr>
          <w:rFonts w:eastAsia="Calibri"/>
          <w:color w:val="auto"/>
          <w:szCs w:val="24"/>
          <w:lang w:val="en-US" w:eastAsia="en-US"/>
        </w:rPr>
        <w:t xml:space="preserve"> or </w:t>
      </w:r>
      <w:r w:rsidR="009A73D6">
        <w:rPr>
          <w:rFonts w:eastAsia="Calibri"/>
          <w:color w:val="auto"/>
          <w:szCs w:val="24"/>
          <w:lang w:val="en-US" w:eastAsia="en-US"/>
        </w:rPr>
        <w:t>“</w:t>
      </w:r>
      <w:r w:rsidR="00992EAA" w:rsidRPr="00705294">
        <w:rPr>
          <w:rFonts w:eastAsia="Calibri"/>
          <w:color w:val="auto"/>
          <w:szCs w:val="24"/>
          <w:lang w:val="en-US" w:eastAsia="en-US"/>
        </w:rPr>
        <w:t>girl</w:t>
      </w:r>
      <w:r w:rsidR="009A73D6">
        <w:rPr>
          <w:rFonts w:eastAsia="Calibri"/>
          <w:color w:val="auto"/>
          <w:szCs w:val="24"/>
          <w:lang w:val="en-US" w:eastAsia="en-US"/>
        </w:rPr>
        <w:t>”</w:t>
      </w:r>
      <w:r w:rsidR="00992EAA" w:rsidRPr="00705294">
        <w:rPr>
          <w:rFonts w:eastAsia="Calibri"/>
          <w:color w:val="auto"/>
          <w:szCs w:val="24"/>
          <w:lang w:val="en-US" w:eastAsia="en-US"/>
        </w:rPr>
        <w:t>. Whilst much of Foucault</w:t>
      </w:r>
      <w:r w:rsidR="0045336C">
        <w:rPr>
          <w:rFonts w:eastAsia="Calibri"/>
          <w:color w:val="auto"/>
          <w:szCs w:val="24"/>
          <w:lang w:val="en-US" w:eastAsia="en-US"/>
        </w:rPr>
        <w:t>’</w:t>
      </w:r>
      <w:r w:rsidR="00992EAA" w:rsidRPr="00705294">
        <w:rPr>
          <w:rFonts w:eastAsia="Calibri"/>
          <w:color w:val="auto"/>
          <w:szCs w:val="24"/>
          <w:lang w:val="en-US" w:eastAsia="en-US"/>
        </w:rPr>
        <w:t xml:space="preserve">s work concentrates upon the production of knowledge, it was arguably </w:t>
      </w:r>
      <w:r w:rsidR="00992EAA" w:rsidRPr="00705294">
        <w:rPr>
          <w:rFonts w:eastAsia="Calibri"/>
          <w:i/>
          <w:iCs/>
          <w:color w:val="auto"/>
          <w:szCs w:val="24"/>
          <w:lang w:val="en-US" w:eastAsia="en-US"/>
        </w:rPr>
        <w:t xml:space="preserve">The History of Sexuality, </w:t>
      </w:r>
      <w:r w:rsidR="00992EAA" w:rsidRPr="00705294">
        <w:rPr>
          <w:rFonts w:eastAsia="Calibri"/>
          <w:color w:val="auto"/>
          <w:szCs w:val="24"/>
          <w:lang w:val="en-US" w:eastAsia="en-US"/>
        </w:rPr>
        <w:t xml:space="preserve">which </w:t>
      </w:r>
      <w:r w:rsidR="00C21912" w:rsidRPr="00705294">
        <w:rPr>
          <w:rFonts w:eastAsia="Calibri"/>
          <w:color w:val="auto"/>
          <w:szCs w:val="24"/>
          <w:lang w:val="en-US" w:eastAsia="en-US"/>
        </w:rPr>
        <w:t xml:space="preserve">was of most </w:t>
      </w:r>
      <w:r w:rsidR="001307AB" w:rsidRPr="00705294">
        <w:rPr>
          <w:rFonts w:eastAsia="Calibri"/>
          <w:color w:val="auto"/>
          <w:szCs w:val="24"/>
          <w:lang w:val="en-US" w:eastAsia="en-US"/>
        </w:rPr>
        <w:t>significant</w:t>
      </w:r>
      <w:r w:rsidR="00C21912" w:rsidRPr="00705294">
        <w:rPr>
          <w:rFonts w:eastAsia="Calibri"/>
          <w:color w:val="auto"/>
          <w:szCs w:val="24"/>
          <w:lang w:val="en-US" w:eastAsia="en-US"/>
        </w:rPr>
        <w:t xml:space="preserve"> importance </w:t>
      </w:r>
      <w:r w:rsidR="00992EAA" w:rsidRPr="00705294">
        <w:rPr>
          <w:rFonts w:eastAsia="Calibri"/>
          <w:color w:val="auto"/>
          <w:szCs w:val="24"/>
          <w:lang w:val="en-US" w:eastAsia="en-US"/>
        </w:rPr>
        <w:t xml:space="preserve">for </w:t>
      </w:r>
      <w:r w:rsidR="00C21912" w:rsidRPr="00705294">
        <w:rPr>
          <w:rFonts w:eastAsia="Calibri"/>
          <w:color w:val="auto"/>
          <w:szCs w:val="24"/>
          <w:lang w:val="en-US" w:eastAsia="en-US"/>
        </w:rPr>
        <w:t xml:space="preserve">the development of </w:t>
      </w:r>
      <w:r w:rsidR="00992EAA" w:rsidRPr="00705294">
        <w:rPr>
          <w:rFonts w:eastAsia="Calibri"/>
          <w:color w:val="auto"/>
          <w:szCs w:val="24"/>
          <w:lang w:val="en-US" w:eastAsia="en-US"/>
        </w:rPr>
        <w:t xml:space="preserve">Queer Theory. </w:t>
      </w:r>
      <w:r w:rsidR="00F3322E" w:rsidRPr="00705294">
        <w:rPr>
          <w:rFonts w:eastAsia="Calibri"/>
          <w:color w:val="auto"/>
          <w:szCs w:val="24"/>
          <w:lang w:val="en-US" w:eastAsia="en-US"/>
        </w:rPr>
        <w:t xml:space="preserve">Foucault </w:t>
      </w:r>
      <w:r w:rsidR="00992EAA" w:rsidRPr="00705294">
        <w:rPr>
          <w:rFonts w:eastAsia="Calibri"/>
          <w:color w:val="auto"/>
          <w:szCs w:val="24"/>
          <w:lang w:val="en-US" w:eastAsia="en-US"/>
        </w:rPr>
        <w:t>suggest</w:t>
      </w:r>
      <w:r w:rsidR="00F3322E" w:rsidRPr="00705294">
        <w:rPr>
          <w:rFonts w:eastAsia="Calibri"/>
          <w:color w:val="auto"/>
          <w:szCs w:val="24"/>
          <w:lang w:val="en-US" w:eastAsia="en-US"/>
        </w:rPr>
        <w:t xml:space="preserve">ed </w:t>
      </w:r>
      <w:r w:rsidR="00992EAA" w:rsidRPr="00705294">
        <w:rPr>
          <w:rFonts w:eastAsia="Calibri"/>
          <w:color w:val="auto"/>
          <w:szCs w:val="24"/>
          <w:lang w:val="en-US" w:eastAsia="en-US"/>
        </w:rPr>
        <w:t xml:space="preserve">that since the 17th century, there has been a fixation with sexuality and it is this </w:t>
      </w:r>
      <w:r w:rsidR="001D112E" w:rsidRPr="00705294">
        <w:rPr>
          <w:rFonts w:eastAsia="Calibri"/>
          <w:color w:val="auto"/>
          <w:szCs w:val="24"/>
          <w:lang w:val="en-US" w:eastAsia="en-US"/>
        </w:rPr>
        <w:t>fixation which has</w:t>
      </w:r>
      <w:r w:rsidR="00992EAA" w:rsidRPr="00705294">
        <w:rPr>
          <w:rFonts w:eastAsia="Calibri"/>
          <w:color w:val="auto"/>
          <w:szCs w:val="24"/>
          <w:lang w:val="en-US" w:eastAsia="en-US"/>
        </w:rPr>
        <w:t xml:space="preserve"> created a </w:t>
      </w:r>
      <w:r w:rsidR="00EB7630">
        <w:rPr>
          <w:rFonts w:eastAsia="Calibri"/>
          <w:color w:val="auto"/>
          <w:szCs w:val="24"/>
          <w:lang w:val="en-US" w:eastAsia="en-US"/>
        </w:rPr>
        <w:t>“</w:t>
      </w:r>
      <w:r w:rsidR="00992EAA" w:rsidRPr="00705294">
        <w:rPr>
          <w:rFonts w:eastAsia="Calibri"/>
          <w:color w:val="auto"/>
          <w:szCs w:val="24"/>
          <w:lang w:val="en-US" w:eastAsia="en-US"/>
        </w:rPr>
        <w:t>repressive</w:t>
      </w:r>
      <w:r w:rsidR="00EB7630">
        <w:rPr>
          <w:rFonts w:eastAsia="Calibri"/>
          <w:color w:val="auto"/>
          <w:szCs w:val="24"/>
          <w:lang w:val="en-US" w:eastAsia="en-US"/>
        </w:rPr>
        <w:t>”</w:t>
      </w:r>
      <w:r w:rsidR="00992EAA" w:rsidRPr="00705294">
        <w:rPr>
          <w:rFonts w:eastAsia="Calibri"/>
          <w:color w:val="auto"/>
          <w:szCs w:val="24"/>
          <w:lang w:val="en-US" w:eastAsia="en-US"/>
        </w:rPr>
        <w:t xml:space="preserve"> discourse that has largely been responsible for the creation of sexual minorities such as </w:t>
      </w:r>
      <w:r w:rsidR="009A73D6">
        <w:rPr>
          <w:rFonts w:eastAsia="Calibri"/>
          <w:color w:val="auto"/>
          <w:szCs w:val="24"/>
          <w:lang w:val="en-US" w:eastAsia="en-US"/>
        </w:rPr>
        <w:t>“</w:t>
      </w:r>
      <w:r w:rsidR="00992EAA" w:rsidRPr="00705294">
        <w:rPr>
          <w:rFonts w:eastAsia="Calibri"/>
          <w:color w:val="auto"/>
          <w:szCs w:val="24"/>
          <w:lang w:val="en-US" w:eastAsia="en-US"/>
        </w:rPr>
        <w:t>the homosexual.</w:t>
      </w:r>
      <w:r w:rsidR="009A73D6">
        <w:rPr>
          <w:rFonts w:eastAsia="Calibri"/>
          <w:color w:val="auto"/>
          <w:szCs w:val="24"/>
          <w:lang w:val="en-US" w:eastAsia="en-US"/>
        </w:rPr>
        <w:t>”</w:t>
      </w:r>
      <w:r w:rsidR="00992EAA" w:rsidRPr="00705294">
        <w:rPr>
          <w:rFonts w:eastAsia="Calibri"/>
          <w:color w:val="auto"/>
          <w:szCs w:val="24"/>
          <w:lang w:val="en-US" w:eastAsia="en-US"/>
        </w:rPr>
        <w:t xml:space="preserve"> </w:t>
      </w:r>
    </w:p>
    <w:p w14:paraId="36A97F7F" w14:textId="3DB8EF64" w:rsidR="00992EAA" w:rsidRPr="00705294" w:rsidRDefault="00940786" w:rsidP="00AE443F">
      <w:pPr>
        <w:adjustRightInd w:val="0"/>
        <w:snapToGrid w:val="0"/>
        <w:ind w:firstLine="284"/>
        <w:rPr>
          <w:rFonts w:eastAsia="Calibri"/>
          <w:color w:val="auto"/>
          <w:szCs w:val="24"/>
          <w:lang w:val="en-US" w:eastAsia="en-US"/>
        </w:rPr>
      </w:pPr>
      <w:r w:rsidRPr="00705294">
        <w:rPr>
          <w:rFonts w:eastAsia="Calibri"/>
          <w:color w:val="auto"/>
          <w:szCs w:val="24"/>
          <w:lang w:val="en-US" w:eastAsia="en-US"/>
        </w:rPr>
        <w:t>T</w:t>
      </w:r>
      <w:r w:rsidR="00992EAA" w:rsidRPr="00705294">
        <w:rPr>
          <w:rFonts w:eastAsia="Calibri"/>
          <w:color w:val="auto"/>
          <w:szCs w:val="24"/>
          <w:lang w:val="en-US" w:eastAsia="en-US"/>
        </w:rPr>
        <w:t>h</w:t>
      </w:r>
      <w:r w:rsidRPr="00705294">
        <w:rPr>
          <w:rFonts w:eastAsia="Calibri"/>
          <w:color w:val="auto"/>
          <w:szCs w:val="24"/>
          <w:lang w:val="en-US" w:eastAsia="en-US"/>
        </w:rPr>
        <w:t xml:space="preserve">e </w:t>
      </w:r>
      <w:r w:rsidR="00992EAA" w:rsidRPr="00705294">
        <w:rPr>
          <w:rFonts w:eastAsia="Calibri"/>
          <w:color w:val="auto"/>
          <w:szCs w:val="24"/>
          <w:lang w:val="en-US" w:eastAsia="en-US"/>
        </w:rPr>
        <w:t xml:space="preserve">approach taken by Foucault, Butler Post-structuralism and Queer Theory </w:t>
      </w:r>
      <w:r w:rsidR="00705294">
        <w:rPr>
          <w:rFonts w:eastAsia="Calibri"/>
          <w:color w:val="auto"/>
          <w:szCs w:val="24"/>
          <w:lang w:val="en-US" w:eastAsia="en-US"/>
        </w:rPr>
        <w:t>allows for</w:t>
      </w:r>
      <w:r w:rsidR="00992EAA" w:rsidRPr="00705294">
        <w:rPr>
          <w:rFonts w:eastAsia="Calibri"/>
          <w:color w:val="auto"/>
          <w:szCs w:val="24"/>
          <w:lang w:val="en-US" w:eastAsia="en-US"/>
        </w:rPr>
        <w:t xml:space="preserve"> an adoption of the idea that identity, particularly sexual and gender identity, is culturally constructed. It also simultaneously rejects biological essentialism as an explanation for the constitution of the subject. The debate surrounding the age of consent and the consequences for girls demands that we acknowledge the existence of the subject whilst resisting and subjecting to critique, the current discursive construction of </w:t>
      </w:r>
      <w:r w:rsidR="009A73D6">
        <w:rPr>
          <w:rFonts w:eastAsia="Calibri"/>
          <w:color w:val="auto"/>
          <w:szCs w:val="24"/>
          <w:lang w:val="en-US" w:eastAsia="en-US"/>
        </w:rPr>
        <w:t>“</w:t>
      </w:r>
      <w:r w:rsidR="00992EAA" w:rsidRPr="00705294">
        <w:rPr>
          <w:rFonts w:eastAsia="Calibri"/>
          <w:color w:val="auto"/>
          <w:szCs w:val="24"/>
          <w:lang w:val="en-US" w:eastAsia="en-US"/>
        </w:rPr>
        <w:t>girl</w:t>
      </w:r>
      <w:r w:rsidR="009A73D6">
        <w:rPr>
          <w:rFonts w:eastAsia="Calibri"/>
          <w:color w:val="auto"/>
          <w:szCs w:val="24"/>
          <w:lang w:val="en-US" w:eastAsia="en-US"/>
        </w:rPr>
        <w:t>”</w:t>
      </w:r>
      <w:r w:rsidR="00992EAA" w:rsidRPr="00705294">
        <w:rPr>
          <w:rFonts w:eastAsia="Calibri"/>
          <w:color w:val="auto"/>
          <w:szCs w:val="24"/>
          <w:lang w:val="en-US" w:eastAsia="en-US"/>
        </w:rPr>
        <w:t xml:space="preserve">. I can therefore resist the imperative of biological essentialism and still argue that there are biological differences between the bodies of girls and boys and that these differences are more than just mere semantic discursive constructions. There are significant physical and biological differences </w:t>
      </w:r>
      <w:r w:rsidR="00425521" w:rsidRPr="00705294">
        <w:rPr>
          <w:rFonts w:eastAsia="Calibri"/>
          <w:color w:val="auto"/>
          <w:szCs w:val="24"/>
          <w:lang w:val="en-US" w:eastAsia="en-US"/>
        </w:rPr>
        <w:t xml:space="preserve">for </w:t>
      </w:r>
      <w:r w:rsidR="00992EAA" w:rsidRPr="00705294">
        <w:rPr>
          <w:rFonts w:eastAsia="Calibri"/>
          <w:color w:val="auto"/>
          <w:szCs w:val="24"/>
          <w:lang w:val="en-US" w:eastAsia="en-US"/>
        </w:rPr>
        <w:t xml:space="preserve">the consequences of </w:t>
      </w:r>
      <w:r w:rsidR="00425521" w:rsidRPr="00705294">
        <w:rPr>
          <w:rFonts w:eastAsia="Calibri"/>
          <w:color w:val="auto"/>
          <w:szCs w:val="24"/>
          <w:lang w:val="en-US" w:eastAsia="en-US"/>
        </w:rPr>
        <w:t xml:space="preserve">heterosexual </w:t>
      </w:r>
      <w:r w:rsidR="00992EAA" w:rsidRPr="00705294">
        <w:rPr>
          <w:rFonts w:eastAsia="Calibri"/>
          <w:color w:val="auto"/>
          <w:szCs w:val="24"/>
          <w:lang w:val="en-US" w:eastAsia="en-US"/>
        </w:rPr>
        <w:t xml:space="preserve">sexual intercourse for boys and girls. The most obvious of these is, of course, pregnancy. Lowering the age of consent not only tells teenagers that this is the age at which they can legally have sexual intercourse, </w:t>
      </w:r>
      <w:r w:rsidR="00425521" w:rsidRPr="00705294">
        <w:rPr>
          <w:rFonts w:eastAsia="Calibri"/>
          <w:color w:val="auto"/>
          <w:szCs w:val="24"/>
          <w:lang w:val="en-US" w:eastAsia="en-US"/>
        </w:rPr>
        <w:t xml:space="preserve">but it specifically </w:t>
      </w:r>
      <w:r w:rsidR="00992EAA" w:rsidRPr="00705294">
        <w:rPr>
          <w:rFonts w:eastAsia="Calibri"/>
          <w:color w:val="auto"/>
          <w:szCs w:val="24"/>
          <w:lang w:val="en-US" w:eastAsia="en-US"/>
        </w:rPr>
        <w:t xml:space="preserve">tells 14 or 15 year old girls that this is when society and law consider that they are physically and emotionally mature enough to become mothers; a position I disagree with. This position </w:t>
      </w:r>
      <w:r w:rsidR="009E4DEA" w:rsidRPr="00705294">
        <w:rPr>
          <w:rFonts w:eastAsia="Calibri"/>
          <w:color w:val="auto"/>
          <w:szCs w:val="24"/>
          <w:lang w:val="en-US" w:eastAsia="en-US"/>
        </w:rPr>
        <w:t xml:space="preserve">has </w:t>
      </w:r>
      <w:r w:rsidR="00992EAA" w:rsidRPr="00705294">
        <w:rPr>
          <w:rFonts w:eastAsia="Calibri"/>
          <w:color w:val="auto"/>
          <w:szCs w:val="24"/>
          <w:lang w:val="en-US" w:eastAsia="en-US"/>
        </w:rPr>
        <w:t xml:space="preserve">not </w:t>
      </w:r>
      <w:r w:rsidR="009E4DEA" w:rsidRPr="00705294">
        <w:rPr>
          <w:rFonts w:eastAsia="Calibri"/>
          <w:color w:val="auto"/>
          <w:szCs w:val="24"/>
          <w:lang w:val="en-US" w:eastAsia="en-US"/>
        </w:rPr>
        <w:t xml:space="preserve">been </w:t>
      </w:r>
      <w:r w:rsidR="00992EAA" w:rsidRPr="00705294">
        <w:rPr>
          <w:rFonts w:eastAsia="Calibri"/>
          <w:color w:val="auto"/>
          <w:szCs w:val="24"/>
          <w:lang w:val="en-US" w:eastAsia="en-US"/>
        </w:rPr>
        <w:t xml:space="preserve">sufficiently acknowledged in the debates surrounding lowering the age of consent. </w:t>
      </w:r>
    </w:p>
    <w:p w14:paraId="1F8CF8EA" w14:textId="32E96416" w:rsidR="00992EAA" w:rsidRPr="00705294" w:rsidRDefault="00992EAA" w:rsidP="00AE443F">
      <w:pPr>
        <w:adjustRightInd w:val="0"/>
        <w:snapToGrid w:val="0"/>
        <w:ind w:firstLine="284"/>
        <w:rPr>
          <w:rFonts w:eastAsia="Calibri"/>
          <w:color w:val="auto"/>
          <w:szCs w:val="24"/>
          <w:lang w:val="en-US" w:eastAsia="en-US"/>
        </w:rPr>
      </w:pPr>
      <w:r w:rsidRPr="00705294">
        <w:rPr>
          <w:rFonts w:eastAsia="Calibri"/>
          <w:color w:val="auto"/>
          <w:szCs w:val="24"/>
          <w:lang w:val="en-US" w:eastAsia="en-US"/>
        </w:rPr>
        <w:t xml:space="preserve">The social and medical risks to becoming a parent at 14 or 15 include increased maternal and infant </w:t>
      </w:r>
      <w:r w:rsidRPr="00473395">
        <w:rPr>
          <w:rFonts w:eastAsia="Calibri"/>
          <w:color w:val="auto"/>
          <w:spacing w:val="-4"/>
          <w:szCs w:val="24"/>
          <w:lang w:val="en-US" w:eastAsia="en-US"/>
        </w:rPr>
        <w:t>death, low birth weight, lower educational achievement, and poorer lon</w:t>
      </w:r>
      <w:r w:rsidR="00E96C9C" w:rsidRPr="00473395">
        <w:rPr>
          <w:rFonts w:eastAsia="Calibri"/>
          <w:color w:val="auto"/>
          <w:spacing w:val="-4"/>
          <w:szCs w:val="24"/>
          <w:lang w:val="en-US" w:eastAsia="en-US"/>
        </w:rPr>
        <w:t>g-term cognitive development</w:t>
      </w:r>
      <w:r w:rsidR="009B7A41" w:rsidRPr="00473395">
        <w:rPr>
          <w:rFonts w:eastAsia="Calibri"/>
          <w:color w:val="auto"/>
          <w:spacing w:val="-4"/>
          <w:szCs w:val="24"/>
          <w:lang w:val="en-US" w:eastAsia="en-US"/>
        </w:rPr>
        <w:t xml:space="preserve"> [</w:t>
      </w:r>
      <w:r w:rsidR="00C15B0D" w:rsidRPr="00473395">
        <w:rPr>
          <w:rFonts w:eastAsia="Calibri"/>
          <w:color w:val="auto"/>
          <w:spacing w:val="-4"/>
          <w:szCs w:val="24"/>
          <w:lang w:val="en-US" w:eastAsia="en-US"/>
        </w:rPr>
        <w:t>6</w:t>
      </w:r>
      <w:r w:rsidR="003A5F05">
        <w:rPr>
          <w:rFonts w:eastAsia="Calibri"/>
          <w:color w:val="auto"/>
          <w:spacing w:val="-4"/>
          <w:szCs w:val="24"/>
          <w:lang w:val="en-US" w:eastAsia="en-US"/>
        </w:rPr>
        <w:t>2</w:t>
      </w:r>
      <w:r w:rsidRPr="00473395">
        <w:rPr>
          <w:rFonts w:eastAsia="Calibri"/>
          <w:color w:val="auto"/>
          <w:spacing w:val="-4"/>
          <w:szCs w:val="24"/>
          <w:lang w:val="en-US" w:eastAsia="en-US"/>
        </w:rPr>
        <w:t>].</w:t>
      </w:r>
      <w:r w:rsidR="00231416" w:rsidRPr="00705294">
        <w:rPr>
          <w:rFonts w:eastAsia="Calibri"/>
          <w:color w:val="auto"/>
          <w:szCs w:val="24"/>
          <w:lang w:val="en-US" w:eastAsia="en-US"/>
        </w:rPr>
        <w:t xml:space="preserve"> </w:t>
      </w:r>
      <w:r w:rsidRPr="00705294">
        <w:rPr>
          <w:rFonts w:eastAsia="Calibri"/>
          <w:color w:val="auto"/>
          <w:szCs w:val="24"/>
          <w:lang w:val="en-US" w:eastAsia="en-US"/>
        </w:rPr>
        <w:t xml:space="preserve">More specifically, some of the medical risks </w:t>
      </w:r>
      <w:r w:rsidR="0031723D" w:rsidRPr="00705294">
        <w:rPr>
          <w:rFonts w:eastAsia="Calibri"/>
          <w:color w:val="auto"/>
          <w:szCs w:val="24"/>
          <w:lang w:val="en-US" w:eastAsia="en-US"/>
        </w:rPr>
        <w:t>attendant for young teenage pregnancy includes</w:t>
      </w:r>
      <w:r w:rsidRPr="00705294">
        <w:rPr>
          <w:rFonts w:eastAsia="Calibri"/>
          <w:color w:val="auto"/>
          <w:szCs w:val="24"/>
          <w:lang w:val="en-US" w:eastAsia="en-US"/>
        </w:rPr>
        <w:t xml:space="preserve"> low birth weight, premature </w:t>
      </w:r>
      <w:r w:rsidR="00705294">
        <w:rPr>
          <w:rFonts w:eastAsia="Calibri"/>
          <w:color w:val="auto"/>
          <w:szCs w:val="24"/>
          <w:lang w:val="en-US" w:eastAsia="en-US"/>
        </w:rPr>
        <w:t>labor</w:t>
      </w:r>
      <w:r w:rsidRPr="00705294">
        <w:rPr>
          <w:rFonts w:eastAsia="Calibri"/>
          <w:color w:val="auto"/>
          <w:szCs w:val="24"/>
          <w:lang w:val="en-US" w:eastAsia="en-US"/>
        </w:rPr>
        <w:t xml:space="preserve">, anemia, and pre-eclampsia. World Health Organization (WHO) research demonstrates that girls giving birth aged 14 or younger are five times as likely to die, and that stillbirths and </w:t>
      </w:r>
      <w:r w:rsidR="001307AB" w:rsidRPr="00705294">
        <w:rPr>
          <w:rFonts w:eastAsia="Calibri"/>
          <w:color w:val="auto"/>
          <w:szCs w:val="24"/>
          <w:lang w:val="en-US" w:eastAsia="en-US"/>
        </w:rPr>
        <w:t>new-born</w:t>
      </w:r>
      <w:r w:rsidRPr="00705294">
        <w:rPr>
          <w:rFonts w:eastAsia="Calibri"/>
          <w:color w:val="auto"/>
          <w:szCs w:val="24"/>
          <w:lang w:val="en-US" w:eastAsia="en-US"/>
        </w:rPr>
        <w:t xml:space="preserve"> deaths are 50% higher among infants of adolescent mothers than among infants of women aged 20</w:t>
      </w:r>
      <w:r w:rsidR="00B00A3F" w:rsidRPr="00705294">
        <w:rPr>
          <w:rFonts w:eastAsia="Calibri"/>
          <w:color w:val="auto"/>
          <w:szCs w:val="24"/>
          <w:lang w:val="en-US" w:eastAsia="en-US"/>
        </w:rPr>
        <w:t>–</w:t>
      </w:r>
      <w:r w:rsidRPr="00705294">
        <w:rPr>
          <w:rFonts w:eastAsia="Calibri"/>
          <w:color w:val="auto"/>
          <w:szCs w:val="24"/>
          <w:lang w:val="en-US" w:eastAsia="en-US"/>
        </w:rPr>
        <w:t>29 years.</w:t>
      </w:r>
      <w:r w:rsidR="00231416" w:rsidRPr="00705294">
        <w:rPr>
          <w:rFonts w:eastAsia="Calibri"/>
          <w:color w:val="auto"/>
          <w:szCs w:val="24"/>
          <w:lang w:val="en-US" w:eastAsia="en-US"/>
        </w:rPr>
        <w:t xml:space="preserve"> </w:t>
      </w:r>
      <w:r w:rsidRPr="00705294">
        <w:rPr>
          <w:rFonts w:eastAsia="Calibri"/>
          <w:color w:val="auto"/>
          <w:szCs w:val="24"/>
          <w:lang w:val="en-US" w:eastAsia="en-US"/>
        </w:rPr>
        <w:t xml:space="preserve">In addition, WHO research demonstrates that the rates of preterm </w:t>
      </w:r>
      <w:r w:rsidRPr="00705294">
        <w:rPr>
          <w:rFonts w:eastAsia="Calibri"/>
          <w:color w:val="auto"/>
          <w:szCs w:val="24"/>
          <w:lang w:val="en-US" w:eastAsia="en-US"/>
        </w:rPr>
        <w:lastRenderedPageBreak/>
        <w:t xml:space="preserve">birth, low birth weight and asphyxia are higher among the children of adolescents, all of which increase the chance of death and of future </w:t>
      </w:r>
      <w:r w:rsidR="00371668" w:rsidRPr="00705294">
        <w:rPr>
          <w:rFonts w:eastAsia="Calibri"/>
          <w:color w:val="auto"/>
          <w:szCs w:val="24"/>
          <w:lang w:val="en-US" w:eastAsia="en-US"/>
        </w:rPr>
        <w:t>health problems for the baby</w:t>
      </w:r>
      <w:r w:rsidR="009B7A41" w:rsidRPr="00705294">
        <w:rPr>
          <w:rFonts w:eastAsia="Calibri"/>
          <w:color w:val="auto"/>
          <w:szCs w:val="24"/>
          <w:lang w:val="en-US" w:eastAsia="en-US"/>
        </w:rPr>
        <w:t xml:space="preserve"> [</w:t>
      </w:r>
      <w:r w:rsidR="00C15B0D">
        <w:rPr>
          <w:rFonts w:eastAsia="Calibri"/>
          <w:color w:val="auto"/>
          <w:szCs w:val="24"/>
          <w:lang w:val="en-US" w:eastAsia="en-US"/>
        </w:rPr>
        <w:t>6</w:t>
      </w:r>
      <w:r w:rsidR="003A5F05">
        <w:rPr>
          <w:rFonts w:eastAsia="Calibri"/>
          <w:color w:val="auto"/>
          <w:szCs w:val="24"/>
          <w:lang w:val="en-US" w:eastAsia="en-US"/>
        </w:rPr>
        <w:t>3</w:t>
      </w:r>
      <w:r w:rsidRPr="00705294">
        <w:rPr>
          <w:rFonts w:eastAsia="Calibri"/>
          <w:color w:val="auto"/>
          <w:szCs w:val="24"/>
          <w:lang w:val="en-US" w:eastAsia="en-US"/>
        </w:rPr>
        <w:t>]. Early first sexual intercourse is also more likely to be unprotected against pregnancy and infe</w:t>
      </w:r>
      <w:r w:rsidR="0081003A" w:rsidRPr="00705294">
        <w:rPr>
          <w:rFonts w:eastAsia="Calibri"/>
          <w:color w:val="auto"/>
          <w:szCs w:val="24"/>
          <w:lang w:val="en-US" w:eastAsia="en-US"/>
        </w:rPr>
        <w:t xml:space="preserve">ction </w:t>
      </w:r>
      <w:r w:rsidR="0081003A" w:rsidRPr="00D86065">
        <w:rPr>
          <w:rFonts w:eastAsia="Calibri"/>
          <w:color w:val="auto"/>
          <w:szCs w:val="24"/>
          <w:lang w:val="en-US" w:eastAsia="en-US"/>
        </w:rPr>
        <w:t>[</w:t>
      </w:r>
      <w:r w:rsidR="00C15B0D" w:rsidRPr="00D86065">
        <w:rPr>
          <w:rFonts w:eastAsia="Calibri"/>
          <w:color w:val="auto"/>
          <w:szCs w:val="24"/>
          <w:lang w:val="en-US" w:eastAsia="en-US"/>
        </w:rPr>
        <w:t>6</w:t>
      </w:r>
      <w:r w:rsidR="003A5F05">
        <w:rPr>
          <w:rFonts w:eastAsia="Calibri"/>
          <w:color w:val="auto"/>
          <w:szCs w:val="24"/>
          <w:lang w:val="en-US" w:eastAsia="en-US"/>
        </w:rPr>
        <w:t>4</w:t>
      </w:r>
      <w:r w:rsidRPr="00D86065">
        <w:rPr>
          <w:rFonts w:eastAsia="Calibri"/>
          <w:color w:val="auto"/>
          <w:szCs w:val="24"/>
          <w:lang w:val="en-US" w:eastAsia="en-US"/>
        </w:rPr>
        <w:t>].</w:t>
      </w:r>
      <w:r w:rsidRPr="00705294">
        <w:rPr>
          <w:rFonts w:eastAsia="Calibri"/>
          <w:color w:val="auto"/>
          <w:szCs w:val="24"/>
          <w:lang w:val="en-US" w:eastAsia="en-US"/>
        </w:rPr>
        <w:t xml:space="preserve"> The </w:t>
      </w:r>
      <w:r w:rsidR="000D123E" w:rsidRPr="00705294">
        <w:rPr>
          <w:rFonts w:eastAsia="Calibri"/>
          <w:color w:val="auto"/>
          <w:szCs w:val="24"/>
          <w:lang w:val="en-US" w:eastAsia="en-US"/>
        </w:rPr>
        <w:t xml:space="preserve">UK </w:t>
      </w:r>
      <w:r w:rsidR="001307AB" w:rsidRPr="00705294">
        <w:rPr>
          <w:rFonts w:eastAsia="Calibri"/>
          <w:color w:val="auto"/>
          <w:szCs w:val="24"/>
          <w:lang w:val="en-US" w:eastAsia="en-US"/>
        </w:rPr>
        <w:t>Parliamentary</w:t>
      </w:r>
      <w:r w:rsidR="000D123E" w:rsidRPr="00705294">
        <w:rPr>
          <w:rFonts w:eastAsia="Calibri"/>
          <w:color w:val="auto"/>
          <w:szCs w:val="24"/>
          <w:lang w:val="en-US" w:eastAsia="en-US"/>
        </w:rPr>
        <w:t xml:space="preserve"> </w:t>
      </w:r>
      <w:r w:rsidRPr="00705294">
        <w:rPr>
          <w:rFonts w:eastAsia="Calibri"/>
          <w:color w:val="auto"/>
          <w:szCs w:val="24"/>
          <w:lang w:val="en-US" w:eastAsia="en-US"/>
        </w:rPr>
        <w:t xml:space="preserve">Policy Advisory Committee also advised against a lowering of the age of consent due to the </w:t>
      </w:r>
      <w:r w:rsidR="009A73D6">
        <w:rPr>
          <w:rFonts w:eastAsia="Calibri"/>
          <w:color w:val="auto"/>
          <w:szCs w:val="24"/>
          <w:lang w:val="en-US" w:eastAsia="en-US"/>
        </w:rPr>
        <w:t>“</w:t>
      </w:r>
      <w:r w:rsidRPr="00705294">
        <w:rPr>
          <w:rFonts w:eastAsia="Calibri"/>
          <w:color w:val="auto"/>
          <w:szCs w:val="24"/>
          <w:lang w:val="en-US" w:eastAsia="en-US"/>
        </w:rPr>
        <w:t>undesirability o</w:t>
      </w:r>
      <w:r w:rsidR="00AB38A9">
        <w:rPr>
          <w:rFonts w:eastAsia="Calibri"/>
          <w:color w:val="auto"/>
          <w:szCs w:val="24"/>
          <w:lang w:val="en-US" w:eastAsia="en-US"/>
        </w:rPr>
        <w:t>f pregnancy at too early an age</w:t>
      </w:r>
      <w:r w:rsidR="009A73D6">
        <w:rPr>
          <w:rFonts w:eastAsia="Calibri"/>
          <w:color w:val="auto"/>
          <w:szCs w:val="24"/>
          <w:lang w:val="en-US" w:eastAsia="en-US"/>
        </w:rPr>
        <w:t>”</w:t>
      </w:r>
      <w:r w:rsidR="00AB38A9">
        <w:rPr>
          <w:rFonts w:eastAsia="Calibri"/>
          <w:color w:val="auto"/>
          <w:szCs w:val="24"/>
          <w:lang w:val="en-US" w:eastAsia="en-US"/>
        </w:rPr>
        <w:t>.</w:t>
      </w:r>
      <w:r w:rsidRPr="00705294">
        <w:rPr>
          <w:rFonts w:eastAsia="Calibri"/>
          <w:color w:val="auto"/>
          <w:szCs w:val="24"/>
          <w:lang w:val="en-US" w:eastAsia="en-US"/>
        </w:rPr>
        <w:t xml:space="preserve"> Young teenage mothers are at greater risk of experiencing a range of poor outcomes. For example, the infant mortality rate for babies born to teenage mothers is 60% higher than for babies born to older mothers, and young teenage mothers have three times the rate of post-natal depression of older mothers and a higher risk of poor mental health for</w:t>
      </w:r>
      <w:r w:rsidR="00E96C9C" w:rsidRPr="00705294">
        <w:rPr>
          <w:rFonts w:eastAsia="Calibri"/>
          <w:color w:val="auto"/>
          <w:szCs w:val="24"/>
          <w:lang w:val="en-US" w:eastAsia="en-US"/>
        </w:rPr>
        <w:t xml:space="preserve"> three</w:t>
      </w:r>
      <w:r w:rsidR="00F07D36" w:rsidRPr="00705294">
        <w:rPr>
          <w:rFonts w:eastAsia="Calibri"/>
          <w:color w:val="auto"/>
          <w:szCs w:val="24"/>
          <w:lang w:val="en-US" w:eastAsia="en-US"/>
        </w:rPr>
        <w:t xml:space="preserve"> years after the birth [</w:t>
      </w:r>
      <w:r w:rsidR="00C15B0D">
        <w:rPr>
          <w:rFonts w:eastAsia="Calibri"/>
          <w:color w:val="auto"/>
          <w:szCs w:val="24"/>
          <w:lang w:val="en-US" w:eastAsia="en-US"/>
        </w:rPr>
        <w:t>6</w:t>
      </w:r>
      <w:r w:rsidR="003A5F05">
        <w:rPr>
          <w:rFonts w:eastAsia="Calibri"/>
          <w:color w:val="auto"/>
          <w:szCs w:val="24"/>
          <w:lang w:val="en-US" w:eastAsia="en-US"/>
        </w:rPr>
        <w:t>5</w:t>
      </w:r>
      <w:r w:rsidRPr="00705294">
        <w:rPr>
          <w:rFonts w:eastAsia="Calibri"/>
          <w:color w:val="auto"/>
          <w:szCs w:val="24"/>
          <w:lang w:val="en-US" w:eastAsia="en-US"/>
        </w:rPr>
        <w:t>].</w:t>
      </w:r>
    </w:p>
    <w:p w14:paraId="7E35F14F" w14:textId="7D190428" w:rsidR="00992EAA" w:rsidRPr="00705294" w:rsidRDefault="00992EAA" w:rsidP="00504502">
      <w:pPr>
        <w:adjustRightInd w:val="0"/>
        <w:snapToGrid w:val="0"/>
        <w:ind w:firstLine="284"/>
        <w:rPr>
          <w:rFonts w:eastAsia="Calibri"/>
          <w:color w:val="auto"/>
          <w:szCs w:val="24"/>
          <w:lang w:val="en-US" w:eastAsia="en-US"/>
        </w:rPr>
      </w:pPr>
      <w:r w:rsidRPr="00705294">
        <w:rPr>
          <w:rFonts w:eastAsia="Calibri"/>
          <w:color w:val="auto"/>
          <w:szCs w:val="24"/>
          <w:lang w:val="en-US" w:eastAsia="en-US"/>
        </w:rPr>
        <w:t xml:space="preserve">Some of the social risks associated with early teenage pregnancy include </w:t>
      </w:r>
      <w:r w:rsidR="00504502" w:rsidRPr="00504502">
        <w:rPr>
          <w:rFonts w:eastAsia="Calibri"/>
          <w:color w:val="auto"/>
          <w:szCs w:val="24"/>
          <w:lang w:val="en-US" w:eastAsia="en-US"/>
        </w:rPr>
        <w:t>long-term social</w:t>
      </w:r>
      <w:r w:rsidR="00D86065">
        <w:rPr>
          <w:rFonts w:eastAsia="Calibri"/>
          <w:color w:val="auto"/>
          <w:szCs w:val="24"/>
          <w:lang w:val="en-US" w:eastAsia="en-US"/>
        </w:rPr>
        <w:t xml:space="preserve"> e</w:t>
      </w:r>
      <w:r w:rsidR="00504502" w:rsidRPr="00504502">
        <w:rPr>
          <w:rFonts w:eastAsia="Calibri"/>
          <w:color w:val="auto"/>
          <w:szCs w:val="24"/>
          <w:lang w:val="en-US" w:eastAsia="en-US"/>
        </w:rPr>
        <w:t>xclusion</w:t>
      </w:r>
      <w:r w:rsidR="003A5F05">
        <w:rPr>
          <w:rFonts w:eastAsia="Calibri"/>
          <w:color w:val="auto"/>
          <w:szCs w:val="24"/>
          <w:lang w:val="en-US" w:eastAsia="en-US"/>
        </w:rPr>
        <w:t xml:space="preserve"> [66</w:t>
      </w:r>
      <w:r w:rsidR="00504502">
        <w:rPr>
          <w:rFonts w:eastAsia="Calibri"/>
          <w:color w:val="auto"/>
          <w:szCs w:val="24"/>
          <w:lang w:val="en-US" w:eastAsia="en-US"/>
        </w:rPr>
        <w:t xml:space="preserve">], </w:t>
      </w:r>
      <w:r w:rsidRPr="00705294">
        <w:rPr>
          <w:rFonts w:eastAsia="Calibri"/>
          <w:color w:val="auto"/>
          <w:szCs w:val="24"/>
          <w:lang w:val="en-US" w:eastAsia="en-US"/>
        </w:rPr>
        <w:t>lower educational levels, higher rates of poverty and other poorer life outcomes in children of teenage mothers. Only 30 per cent of teenage mothers are in educa</w:t>
      </w:r>
      <w:r w:rsidR="00F07D36" w:rsidRPr="00705294">
        <w:rPr>
          <w:rFonts w:eastAsia="Calibri"/>
          <w:color w:val="auto"/>
          <w:szCs w:val="24"/>
          <w:lang w:val="en-US" w:eastAsia="en-US"/>
        </w:rPr>
        <w:t xml:space="preserve">tion, training or employment </w:t>
      </w:r>
      <w:r w:rsidR="00F07D36" w:rsidRPr="00693EE8">
        <w:rPr>
          <w:rFonts w:eastAsia="Calibri"/>
          <w:color w:val="auto"/>
          <w:szCs w:val="24"/>
          <w:lang w:val="en-US" w:eastAsia="en-US"/>
        </w:rPr>
        <w:t>[</w:t>
      </w:r>
      <w:r w:rsidR="00C15B0D" w:rsidRPr="00693EE8">
        <w:rPr>
          <w:rFonts w:eastAsia="Calibri"/>
          <w:color w:val="auto"/>
          <w:szCs w:val="24"/>
          <w:lang w:val="en-US" w:eastAsia="en-US"/>
        </w:rPr>
        <w:t>6</w:t>
      </w:r>
      <w:r w:rsidR="003A5F05">
        <w:rPr>
          <w:rFonts w:eastAsia="Calibri"/>
          <w:color w:val="auto"/>
          <w:szCs w:val="24"/>
          <w:lang w:val="en-US" w:eastAsia="en-US"/>
        </w:rPr>
        <w:t>7</w:t>
      </w:r>
      <w:r w:rsidRPr="00693EE8">
        <w:rPr>
          <w:rFonts w:eastAsia="Calibri"/>
          <w:color w:val="auto"/>
          <w:szCs w:val="24"/>
          <w:lang w:val="en-US" w:eastAsia="en-US"/>
        </w:rPr>
        <w:t>].</w:t>
      </w:r>
      <w:r w:rsidRPr="00705294">
        <w:rPr>
          <w:rFonts w:eastAsia="Calibri"/>
          <w:color w:val="auto"/>
          <w:szCs w:val="24"/>
          <w:lang w:val="en-US" w:eastAsia="en-US"/>
        </w:rPr>
        <w:t xml:space="preserve"> Additionally, the age of consent </w:t>
      </w:r>
      <w:r w:rsidR="001D112E" w:rsidRPr="00705294">
        <w:rPr>
          <w:rFonts w:eastAsia="Calibri"/>
          <w:color w:val="auto"/>
          <w:szCs w:val="24"/>
          <w:lang w:val="en-US" w:eastAsia="en-US"/>
        </w:rPr>
        <w:t xml:space="preserve">debate </w:t>
      </w:r>
      <w:r w:rsidRPr="00705294">
        <w:rPr>
          <w:rFonts w:eastAsia="Calibri"/>
          <w:color w:val="auto"/>
          <w:szCs w:val="24"/>
          <w:lang w:val="en-US" w:eastAsia="en-US"/>
        </w:rPr>
        <w:t>has always, historically, been linked to the age at</w:t>
      </w:r>
      <w:r w:rsidR="00F07D36" w:rsidRPr="00705294">
        <w:rPr>
          <w:rFonts w:eastAsia="Calibri"/>
          <w:color w:val="auto"/>
          <w:szCs w:val="24"/>
          <w:lang w:val="en-US" w:eastAsia="en-US"/>
        </w:rPr>
        <w:t xml:space="preserve"> which people can get married [</w:t>
      </w:r>
      <w:r w:rsidR="00A86028">
        <w:rPr>
          <w:rFonts w:eastAsia="Calibri"/>
          <w:color w:val="auto"/>
          <w:szCs w:val="24"/>
          <w:lang w:val="en-US" w:eastAsia="en-US"/>
        </w:rPr>
        <w:t>6</w:t>
      </w:r>
      <w:r w:rsidR="003A5F05">
        <w:rPr>
          <w:rFonts w:eastAsia="Calibri"/>
          <w:color w:val="auto"/>
          <w:szCs w:val="24"/>
          <w:lang w:val="en-US" w:eastAsia="en-US"/>
        </w:rPr>
        <w:t>8</w:t>
      </w:r>
      <w:r w:rsidRPr="00705294">
        <w:rPr>
          <w:rFonts w:eastAsia="Calibri"/>
          <w:color w:val="auto"/>
          <w:szCs w:val="24"/>
          <w:lang w:val="en-US" w:eastAsia="en-US"/>
        </w:rPr>
        <w:t>]. Whilst this is not an automatic link, it is highly unlikely that current or future law would say to teenagers that they can have sexual intercourse at 14, but</w:t>
      </w:r>
      <w:r w:rsidR="00F07D36" w:rsidRPr="00705294">
        <w:rPr>
          <w:rFonts w:eastAsia="Calibri"/>
          <w:color w:val="auto"/>
          <w:szCs w:val="24"/>
          <w:lang w:val="en-US" w:eastAsia="en-US"/>
        </w:rPr>
        <w:t xml:space="preserve"> not marry until they are 16 [</w:t>
      </w:r>
      <w:r w:rsidR="003A5F05">
        <w:rPr>
          <w:rFonts w:eastAsia="Calibri"/>
          <w:color w:val="auto"/>
          <w:szCs w:val="24"/>
          <w:lang w:val="en-US" w:eastAsia="en-US"/>
        </w:rPr>
        <w:t>69</w:t>
      </w:r>
      <w:r w:rsidRPr="00705294">
        <w:rPr>
          <w:rFonts w:eastAsia="Calibri"/>
          <w:color w:val="auto"/>
          <w:szCs w:val="24"/>
          <w:lang w:val="en-US" w:eastAsia="en-US"/>
        </w:rPr>
        <w:t>]. Thus, to lower the age of consent would be likely to have the consequence of lowering the age of legal marriage and effectively encourage what is currently co</w:t>
      </w:r>
      <w:r w:rsidR="00F07D36" w:rsidRPr="00705294">
        <w:rPr>
          <w:rFonts w:eastAsia="Calibri"/>
          <w:color w:val="auto"/>
          <w:szCs w:val="24"/>
          <w:lang w:val="en-US" w:eastAsia="en-US"/>
        </w:rPr>
        <w:t>nsidered to be child marriage [</w:t>
      </w:r>
      <w:r w:rsidR="00C15B0D">
        <w:rPr>
          <w:rFonts w:eastAsia="Calibri"/>
          <w:color w:val="auto"/>
          <w:szCs w:val="24"/>
          <w:lang w:val="en-US" w:eastAsia="en-US"/>
        </w:rPr>
        <w:t>7</w:t>
      </w:r>
      <w:r w:rsidR="003A5F05">
        <w:rPr>
          <w:rFonts w:eastAsia="Calibri"/>
          <w:color w:val="auto"/>
          <w:szCs w:val="24"/>
          <w:lang w:val="en-US" w:eastAsia="en-US"/>
        </w:rPr>
        <w:t>0</w:t>
      </w:r>
      <w:r w:rsidRPr="00705294">
        <w:rPr>
          <w:rFonts w:eastAsia="Calibri"/>
          <w:color w:val="auto"/>
          <w:szCs w:val="24"/>
          <w:lang w:val="en-US" w:eastAsia="en-US"/>
        </w:rPr>
        <w:t>]. According to the Convention on the Elimination on All Forms of Discrim</w:t>
      </w:r>
      <w:r w:rsidR="00F07D36" w:rsidRPr="00705294">
        <w:rPr>
          <w:rFonts w:eastAsia="Calibri"/>
          <w:color w:val="auto"/>
          <w:szCs w:val="24"/>
          <w:lang w:val="en-US" w:eastAsia="en-US"/>
        </w:rPr>
        <w:t>ination against Women (CEDAW) [</w:t>
      </w:r>
      <w:r w:rsidR="003A5F05">
        <w:rPr>
          <w:rFonts w:eastAsia="Calibri"/>
          <w:color w:val="auto"/>
          <w:szCs w:val="24"/>
          <w:lang w:val="en-US" w:eastAsia="en-US"/>
        </w:rPr>
        <w:t>71</w:t>
      </w:r>
      <w:r w:rsidRPr="00705294">
        <w:rPr>
          <w:rFonts w:eastAsia="Calibri"/>
          <w:color w:val="auto"/>
          <w:szCs w:val="24"/>
          <w:lang w:val="en-US" w:eastAsia="en-US"/>
        </w:rPr>
        <w:t xml:space="preserve">], marriage before the age of 18 should not be allowed, since children do not have the </w:t>
      </w:r>
      <w:r w:rsidR="009A73D6">
        <w:rPr>
          <w:rFonts w:eastAsia="Calibri"/>
          <w:color w:val="auto"/>
          <w:szCs w:val="24"/>
          <w:lang w:val="en-US" w:eastAsia="en-US"/>
        </w:rPr>
        <w:t>“</w:t>
      </w:r>
      <w:r w:rsidRPr="00705294">
        <w:rPr>
          <w:rFonts w:eastAsia="Calibri"/>
          <w:color w:val="auto"/>
          <w:szCs w:val="24"/>
          <w:lang w:val="en-US" w:eastAsia="en-US"/>
        </w:rPr>
        <w:t>fu</w:t>
      </w:r>
      <w:r w:rsidR="00B00A3F" w:rsidRPr="00705294">
        <w:rPr>
          <w:rFonts w:eastAsia="Calibri"/>
          <w:color w:val="auto"/>
          <w:szCs w:val="24"/>
          <w:lang w:val="en-US" w:eastAsia="en-US"/>
        </w:rPr>
        <w:t>ll maturity and capacity to act</w:t>
      </w:r>
      <w:r w:rsidR="009A73D6">
        <w:rPr>
          <w:rFonts w:eastAsia="Calibri"/>
          <w:color w:val="auto"/>
          <w:szCs w:val="24"/>
          <w:lang w:val="en-US" w:eastAsia="en-US"/>
        </w:rPr>
        <w:t>”</w:t>
      </w:r>
      <w:r w:rsidR="00B00A3F" w:rsidRPr="00705294">
        <w:rPr>
          <w:rFonts w:eastAsia="Calibri"/>
          <w:color w:val="auto"/>
          <w:szCs w:val="24"/>
          <w:lang w:val="en-US" w:eastAsia="en-US"/>
        </w:rPr>
        <w:t>.</w:t>
      </w:r>
      <w:r w:rsidRPr="00705294">
        <w:rPr>
          <w:rFonts w:eastAsia="Calibri"/>
          <w:color w:val="auto"/>
          <w:szCs w:val="24"/>
          <w:lang w:val="en-US" w:eastAsia="en-US"/>
        </w:rPr>
        <w:t xml:space="preserve"> Child marriages are, of course, not just a problem in the UK. UNICEF estimates that between 2011 and 2012, there were 100 million </w:t>
      </w:r>
      <w:r w:rsidR="00F07D36" w:rsidRPr="00705294">
        <w:rPr>
          <w:rFonts w:eastAsia="Calibri"/>
          <w:color w:val="auto"/>
          <w:szCs w:val="24"/>
          <w:lang w:val="en-US" w:eastAsia="en-US"/>
        </w:rPr>
        <w:t>female child brides worldwide [</w:t>
      </w:r>
      <w:r w:rsidR="003A5F05">
        <w:rPr>
          <w:rFonts w:eastAsia="Calibri"/>
          <w:color w:val="auto"/>
          <w:szCs w:val="24"/>
          <w:lang w:val="en-US" w:eastAsia="en-US"/>
        </w:rPr>
        <w:t>72</w:t>
      </w:r>
      <w:r w:rsidRPr="00705294">
        <w:rPr>
          <w:rFonts w:eastAsia="Calibri"/>
          <w:color w:val="auto"/>
          <w:szCs w:val="24"/>
          <w:lang w:val="en-US" w:eastAsia="en-US"/>
        </w:rPr>
        <w:t>]. In the UK, the All Party Parliamentary Group on Population, Development and Reproductive Health has also stated that the effect of lowering the age of consent would be to encourage child m</w:t>
      </w:r>
      <w:r w:rsidR="00F07D36" w:rsidRPr="00705294">
        <w:rPr>
          <w:rFonts w:eastAsia="Calibri"/>
          <w:color w:val="auto"/>
          <w:szCs w:val="24"/>
          <w:lang w:val="en-US" w:eastAsia="en-US"/>
        </w:rPr>
        <w:t>arriage [</w:t>
      </w:r>
      <w:r w:rsidR="00C15B0D">
        <w:rPr>
          <w:rFonts w:eastAsia="Calibri"/>
          <w:color w:val="auto"/>
          <w:szCs w:val="24"/>
          <w:lang w:val="en-US" w:eastAsia="en-US"/>
        </w:rPr>
        <w:t>7</w:t>
      </w:r>
      <w:r w:rsidR="003A5F05">
        <w:rPr>
          <w:rFonts w:eastAsia="Calibri"/>
          <w:color w:val="auto"/>
          <w:szCs w:val="24"/>
          <w:lang w:val="en-US" w:eastAsia="en-US"/>
        </w:rPr>
        <w:t>1</w:t>
      </w:r>
      <w:r w:rsidRPr="00705294">
        <w:rPr>
          <w:rFonts w:eastAsia="Calibri"/>
          <w:color w:val="auto"/>
          <w:szCs w:val="24"/>
          <w:lang w:val="en-US" w:eastAsia="en-US"/>
        </w:rPr>
        <w:t xml:space="preserve">]. </w:t>
      </w:r>
    </w:p>
    <w:p w14:paraId="76776EC3" w14:textId="50F499F7" w:rsidR="00473395" w:rsidRDefault="00992EAA" w:rsidP="001916F3">
      <w:pPr>
        <w:adjustRightInd w:val="0"/>
        <w:snapToGrid w:val="0"/>
        <w:ind w:firstLine="284"/>
        <w:rPr>
          <w:rFonts w:eastAsia="Calibri"/>
          <w:color w:val="auto"/>
          <w:szCs w:val="24"/>
          <w:lang w:val="en-US" w:eastAsia="en-US"/>
        </w:rPr>
      </w:pPr>
      <w:r w:rsidRPr="00705294">
        <w:rPr>
          <w:rFonts w:eastAsia="Calibri"/>
          <w:color w:val="auto"/>
          <w:szCs w:val="24"/>
          <w:lang w:val="en-US" w:eastAsia="en-US"/>
        </w:rPr>
        <w:t xml:space="preserve">Part of the justification for lowering the age of consent has been that young teenagers are having sex anyway, either with other underage teenagers or with those just over the age of consent. I reject this justification as a sufficient basis for a change in the law; </w:t>
      </w:r>
      <w:r w:rsidR="009A73D6">
        <w:rPr>
          <w:rFonts w:eastAsia="Calibri"/>
          <w:color w:val="auto"/>
          <w:szCs w:val="24"/>
          <w:lang w:val="en-US" w:eastAsia="en-US"/>
        </w:rPr>
        <w:t>“</w:t>
      </w:r>
      <w:r w:rsidRPr="00705294">
        <w:rPr>
          <w:rFonts w:eastAsia="Calibri"/>
          <w:color w:val="auto"/>
          <w:szCs w:val="24"/>
          <w:lang w:val="en-US" w:eastAsia="en-US"/>
        </w:rPr>
        <w:t>[t]</w:t>
      </w:r>
      <w:proofErr w:type="gramStart"/>
      <w:r w:rsidRPr="00705294">
        <w:rPr>
          <w:rFonts w:eastAsia="Calibri"/>
          <w:color w:val="auto"/>
          <w:szCs w:val="24"/>
          <w:lang w:val="en-US" w:eastAsia="en-US"/>
        </w:rPr>
        <w:t>he</w:t>
      </w:r>
      <w:proofErr w:type="gramEnd"/>
      <w:r w:rsidRPr="00705294">
        <w:rPr>
          <w:rFonts w:eastAsia="Calibri"/>
          <w:color w:val="auto"/>
          <w:szCs w:val="24"/>
          <w:lang w:val="en-US" w:eastAsia="en-US"/>
        </w:rPr>
        <w:t xml:space="preserve"> extent of underage sex is not necessarily an argumen</w:t>
      </w:r>
      <w:r w:rsidR="00F07D36" w:rsidRPr="00705294">
        <w:rPr>
          <w:rFonts w:eastAsia="Calibri"/>
          <w:color w:val="auto"/>
          <w:szCs w:val="24"/>
          <w:lang w:val="en-US" w:eastAsia="en-US"/>
        </w:rPr>
        <w:t>t for a lower age of consent [</w:t>
      </w:r>
      <w:r w:rsidR="00C15B0D">
        <w:rPr>
          <w:rFonts w:eastAsia="Calibri"/>
          <w:color w:val="auto"/>
          <w:szCs w:val="24"/>
          <w:lang w:val="en-US" w:eastAsia="en-US"/>
        </w:rPr>
        <w:t>7</w:t>
      </w:r>
      <w:r w:rsidR="009D6567">
        <w:rPr>
          <w:rFonts w:eastAsia="Calibri"/>
          <w:color w:val="auto"/>
          <w:szCs w:val="24"/>
          <w:lang w:val="en-US" w:eastAsia="en-US"/>
        </w:rPr>
        <w:t>2</w:t>
      </w:r>
      <w:r w:rsidR="00AB38A9">
        <w:rPr>
          <w:rFonts w:eastAsia="Calibri"/>
          <w:color w:val="auto"/>
          <w:szCs w:val="24"/>
          <w:lang w:val="en-US" w:eastAsia="en-US"/>
        </w:rPr>
        <w:t>]</w:t>
      </w:r>
      <w:r w:rsidR="009A73D6">
        <w:rPr>
          <w:rFonts w:eastAsia="Calibri"/>
          <w:color w:val="auto"/>
          <w:szCs w:val="24"/>
          <w:lang w:val="en-US" w:eastAsia="en-US"/>
        </w:rPr>
        <w:t>”</w:t>
      </w:r>
      <w:r w:rsidR="00AB38A9">
        <w:rPr>
          <w:rFonts w:eastAsia="Calibri"/>
          <w:color w:val="auto"/>
          <w:szCs w:val="24"/>
          <w:lang w:val="en-US" w:eastAsia="en-US"/>
        </w:rPr>
        <w:t>.</w:t>
      </w:r>
      <w:r w:rsidRPr="00705294">
        <w:rPr>
          <w:rFonts w:eastAsia="Calibri"/>
          <w:color w:val="auto"/>
          <w:szCs w:val="24"/>
          <w:lang w:val="en-US" w:eastAsia="en-US"/>
        </w:rPr>
        <w:t xml:space="preserve"> Just because teenage girls are having sexual intercourse and sexual encounters below the age of 16, does</w:t>
      </w:r>
      <w:r w:rsidR="001D112E" w:rsidRPr="00705294">
        <w:rPr>
          <w:rFonts w:eastAsia="Calibri"/>
          <w:color w:val="auto"/>
          <w:szCs w:val="24"/>
          <w:lang w:val="en-US" w:eastAsia="en-US"/>
        </w:rPr>
        <w:t xml:space="preserve"> not </w:t>
      </w:r>
      <w:r w:rsidRPr="00705294">
        <w:rPr>
          <w:rFonts w:eastAsia="Calibri"/>
          <w:color w:val="auto"/>
          <w:szCs w:val="24"/>
          <w:lang w:val="en-US" w:eastAsia="en-US"/>
        </w:rPr>
        <w:t>automati</w:t>
      </w:r>
      <w:r w:rsidR="00AB38A9">
        <w:rPr>
          <w:rFonts w:eastAsia="Calibri"/>
          <w:color w:val="auto"/>
          <w:szCs w:val="24"/>
          <w:lang w:val="en-US" w:eastAsia="en-US"/>
        </w:rPr>
        <w:t xml:space="preserve">cally mean that they are </w:t>
      </w:r>
      <w:r w:rsidR="009A73D6">
        <w:rPr>
          <w:rFonts w:eastAsia="Calibri"/>
          <w:color w:val="auto"/>
          <w:szCs w:val="24"/>
          <w:lang w:val="en-US" w:eastAsia="en-US"/>
        </w:rPr>
        <w:t>“</w:t>
      </w:r>
      <w:r w:rsidR="00AB38A9">
        <w:rPr>
          <w:rFonts w:eastAsia="Calibri"/>
          <w:color w:val="auto"/>
          <w:szCs w:val="24"/>
          <w:lang w:val="en-US" w:eastAsia="en-US"/>
        </w:rPr>
        <w:t>ready</w:t>
      </w:r>
      <w:r w:rsidR="009A73D6">
        <w:rPr>
          <w:rFonts w:eastAsia="Calibri"/>
          <w:color w:val="auto"/>
          <w:szCs w:val="24"/>
          <w:lang w:val="en-US" w:eastAsia="en-US"/>
        </w:rPr>
        <w:t>”</w:t>
      </w:r>
      <w:r w:rsidR="00AB38A9">
        <w:rPr>
          <w:rFonts w:eastAsia="Calibri"/>
          <w:color w:val="auto"/>
          <w:szCs w:val="24"/>
          <w:lang w:val="en-US" w:eastAsia="en-US"/>
        </w:rPr>
        <w:t>,</w:t>
      </w:r>
      <w:r w:rsidRPr="00705294">
        <w:rPr>
          <w:rFonts w:eastAsia="Calibri"/>
          <w:color w:val="auto"/>
          <w:szCs w:val="24"/>
          <w:lang w:val="en-US" w:eastAsia="en-US"/>
        </w:rPr>
        <w:t xml:space="preserve"> that they do so free from peer pressure and that the sexual activity is genuinely consensual. Similarly, the fact that </w:t>
      </w:r>
      <w:r w:rsidRPr="00705294">
        <w:rPr>
          <w:rFonts w:eastAsia="Calibri"/>
          <w:i/>
          <w:iCs/>
          <w:color w:val="auto"/>
          <w:szCs w:val="24"/>
          <w:lang w:val="en-US" w:eastAsia="en-US"/>
        </w:rPr>
        <w:t xml:space="preserve">both </w:t>
      </w:r>
      <w:r w:rsidRPr="00705294">
        <w:rPr>
          <w:rFonts w:eastAsia="Calibri"/>
          <w:color w:val="auto"/>
          <w:szCs w:val="24"/>
          <w:lang w:val="en-US" w:eastAsia="en-US"/>
        </w:rPr>
        <w:t xml:space="preserve">parties are under 16 does not automatically mean that the activity is </w:t>
      </w:r>
      <w:r w:rsidRPr="00473395">
        <w:rPr>
          <w:rFonts w:eastAsia="Calibri"/>
          <w:color w:val="auto"/>
          <w:spacing w:val="-4"/>
          <w:szCs w:val="24"/>
          <w:lang w:val="en-US" w:eastAsia="en-US"/>
        </w:rPr>
        <w:t xml:space="preserve">consensual, since </w:t>
      </w:r>
      <w:r w:rsidR="009A73D6" w:rsidRPr="00473395">
        <w:rPr>
          <w:rFonts w:eastAsia="Calibri"/>
          <w:color w:val="auto"/>
          <w:spacing w:val="-4"/>
          <w:szCs w:val="24"/>
          <w:lang w:val="en-US" w:eastAsia="en-US"/>
        </w:rPr>
        <w:t>“</w:t>
      </w:r>
      <w:r w:rsidRPr="00473395">
        <w:rPr>
          <w:rFonts w:eastAsia="Calibri"/>
          <w:color w:val="auto"/>
          <w:spacing w:val="-4"/>
          <w:szCs w:val="24"/>
          <w:lang w:val="en-US" w:eastAsia="en-US"/>
        </w:rPr>
        <w:t>earlier first intercourse is less likely to be an autonomous and a consensual event [</w:t>
      </w:r>
      <w:r w:rsidR="00C15B0D" w:rsidRPr="00473395">
        <w:rPr>
          <w:rFonts w:eastAsia="Calibri"/>
          <w:color w:val="auto"/>
          <w:spacing w:val="-4"/>
          <w:szCs w:val="24"/>
          <w:lang w:val="en-US" w:eastAsia="en-US"/>
        </w:rPr>
        <w:t>7</w:t>
      </w:r>
      <w:r w:rsidR="009D6567" w:rsidRPr="00473395">
        <w:rPr>
          <w:rFonts w:eastAsia="Calibri"/>
          <w:color w:val="auto"/>
          <w:spacing w:val="-4"/>
          <w:szCs w:val="24"/>
          <w:lang w:val="en-US" w:eastAsia="en-US"/>
        </w:rPr>
        <w:t>3</w:t>
      </w:r>
      <w:r w:rsidR="00F07D36" w:rsidRPr="00473395">
        <w:rPr>
          <w:rFonts w:eastAsia="Calibri"/>
          <w:color w:val="auto"/>
          <w:spacing w:val="-4"/>
          <w:szCs w:val="24"/>
          <w:lang w:val="en-US" w:eastAsia="en-US"/>
        </w:rPr>
        <w:t>].</w:t>
      </w:r>
      <w:r w:rsidR="009A73D6" w:rsidRPr="00473395">
        <w:rPr>
          <w:rFonts w:eastAsia="Calibri"/>
          <w:color w:val="auto"/>
          <w:spacing w:val="-4"/>
          <w:szCs w:val="24"/>
          <w:lang w:val="en-US" w:eastAsia="en-US"/>
        </w:rPr>
        <w:t>”</w:t>
      </w:r>
      <w:r w:rsidR="00F07D36" w:rsidRPr="00705294">
        <w:rPr>
          <w:rFonts w:eastAsia="Calibri"/>
          <w:color w:val="auto"/>
          <w:szCs w:val="24"/>
          <w:lang w:val="en-US" w:eastAsia="en-US"/>
        </w:rPr>
        <w:t xml:space="preserve"> </w:t>
      </w:r>
      <w:r w:rsidR="00566960">
        <w:rPr>
          <w:rFonts w:eastAsia="Calibri"/>
          <w:color w:val="auto"/>
          <w:szCs w:val="24"/>
          <w:lang w:val="en-US" w:eastAsia="en-US"/>
        </w:rPr>
        <w:t>M</w:t>
      </w:r>
      <w:r w:rsidRPr="00705294">
        <w:rPr>
          <w:rFonts w:eastAsia="Calibri"/>
          <w:color w:val="auto"/>
          <w:szCs w:val="24"/>
          <w:lang w:val="en-US" w:eastAsia="en-US"/>
        </w:rPr>
        <w:t>ore than 15% of all the calls that ChildLine receives about peer pressure are related to sex</w:t>
      </w:r>
      <w:r w:rsidR="001D545E">
        <w:rPr>
          <w:rFonts w:eastAsia="Calibri"/>
          <w:color w:val="auto"/>
          <w:szCs w:val="24"/>
          <w:lang w:val="en-US" w:eastAsia="en-US"/>
        </w:rPr>
        <w:t>,</w:t>
      </w:r>
      <w:r w:rsidRPr="00705294">
        <w:rPr>
          <w:rFonts w:eastAsia="Calibri"/>
          <w:color w:val="auto"/>
          <w:szCs w:val="24"/>
          <w:lang w:val="en-US" w:eastAsia="en-US"/>
        </w:rPr>
        <w:t xml:space="preserve"> (they define </w:t>
      </w:r>
      <w:r w:rsidR="009A73D6">
        <w:rPr>
          <w:rFonts w:eastAsia="Calibri"/>
          <w:color w:val="auto"/>
          <w:szCs w:val="24"/>
          <w:lang w:val="en-US" w:eastAsia="en-US"/>
        </w:rPr>
        <w:t>“</w:t>
      </w:r>
      <w:r w:rsidRPr="00705294">
        <w:rPr>
          <w:rFonts w:eastAsia="Calibri"/>
          <w:color w:val="auto"/>
          <w:szCs w:val="24"/>
          <w:lang w:val="en-US" w:eastAsia="en-US"/>
        </w:rPr>
        <w:t>child</w:t>
      </w:r>
      <w:r w:rsidR="009A73D6">
        <w:rPr>
          <w:rFonts w:eastAsia="Calibri"/>
          <w:color w:val="auto"/>
          <w:szCs w:val="24"/>
          <w:lang w:val="en-US" w:eastAsia="en-US"/>
        </w:rPr>
        <w:t>”</w:t>
      </w:r>
      <w:r w:rsidRPr="00705294">
        <w:rPr>
          <w:rFonts w:eastAsia="Calibri"/>
          <w:color w:val="auto"/>
          <w:szCs w:val="24"/>
          <w:lang w:val="en-US" w:eastAsia="en-US"/>
        </w:rPr>
        <w:t xml:space="preserve"> as anyone aged 17 or under)</w:t>
      </w:r>
      <w:r w:rsidR="00124CD6">
        <w:rPr>
          <w:rFonts w:eastAsia="Calibri"/>
          <w:color w:val="auto"/>
          <w:szCs w:val="24"/>
          <w:lang w:val="en-US" w:eastAsia="en-US"/>
        </w:rPr>
        <w:t xml:space="preserve">, </w:t>
      </w:r>
      <w:r w:rsidR="001916F3">
        <w:rPr>
          <w:rFonts w:eastAsia="Calibri"/>
          <w:color w:val="auto"/>
          <w:szCs w:val="24"/>
          <w:lang w:val="en-US" w:eastAsia="en-US"/>
        </w:rPr>
        <w:t>and this is differentiated by gender, suggesting that g</w:t>
      </w:r>
      <w:r w:rsidR="001916F3" w:rsidRPr="001916F3">
        <w:rPr>
          <w:rFonts w:eastAsia="Calibri"/>
          <w:color w:val="auto"/>
          <w:szCs w:val="24"/>
          <w:lang w:val="en-US" w:eastAsia="en-US"/>
        </w:rPr>
        <w:t xml:space="preserve">irls were twice as likely as boys to rate their experiences of </w:t>
      </w:r>
      <w:r w:rsidR="001916F3">
        <w:rPr>
          <w:rFonts w:eastAsia="Calibri"/>
          <w:color w:val="auto"/>
          <w:szCs w:val="24"/>
          <w:lang w:val="en-US" w:eastAsia="en-US"/>
        </w:rPr>
        <w:t xml:space="preserve">early </w:t>
      </w:r>
      <w:r w:rsidR="001916F3" w:rsidRPr="001916F3">
        <w:rPr>
          <w:rFonts w:eastAsia="Calibri"/>
          <w:color w:val="auto"/>
          <w:szCs w:val="24"/>
          <w:lang w:val="en-US" w:eastAsia="en-US"/>
        </w:rPr>
        <w:t xml:space="preserve">intercourse negatively </w:t>
      </w:r>
      <w:r w:rsidR="009D6567">
        <w:rPr>
          <w:rFonts w:eastAsia="Calibri"/>
          <w:color w:val="auto"/>
          <w:szCs w:val="24"/>
          <w:lang w:val="en-US" w:eastAsia="en-US"/>
        </w:rPr>
        <w:t>[74</w:t>
      </w:r>
      <w:r w:rsidR="00566960">
        <w:rPr>
          <w:rFonts w:eastAsia="Calibri"/>
          <w:color w:val="auto"/>
          <w:szCs w:val="24"/>
          <w:lang w:val="en-US" w:eastAsia="en-US"/>
        </w:rPr>
        <w:t>]</w:t>
      </w:r>
      <w:r w:rsidR="00AB38A9">
        <w:rPr>
          <w:rFonts w:eastAsia="Calibri"/>
          <w:color w:val="auto"/>
          <w:szCs w:val="24"/>
          <w:lang w:val="en-US" w:eastAsia="en-US"/>
        </w:rPr>
        <w:t>.</w:t>
      </w:r>
      <w:r w:rsidRPr="00705294">
        <w:rPr>
          <w:rFonts w:eastAsia="Calibri"/>
          <w:color w:val="auto"/>
          <w:szCs w:val="24"/>
          <w:lang w:val="en-US" w:eastAsia="en-US"/>
        </w:rPr>
        <w:t xml:space="preserve"> The pressure to have sexual intercourse at</w:t>
      </w:r>
      <w:r w:rsidRPr="00705294">
        <w:rPr>
          <w:rFonts w:eastAsiaTheme="minorHAnsi"/>
          <w:color w:val="auto"/>
          <w:szCs w:val="24"/>
          <w:lang w:val="en-US" w:eastAsia="en-US"/>
        </w:rPr>
        <w:t xml:space="preserve"> </w:t>
      </w:r>
      <w:r w:rsidRPr="00705294">
        <w:rPr>
          <w:rFonts w:eastAsia="Calibri"/>
          <w:color w:val="auto"/>
          <w:szCs w:val="24"/>
          <w:lang w:val="en-US" w:eastAsia="en-US"/>
        </w:rPr>
        <w:t xml:space="preserve">a young age is borne out by research carried out by various </w:t>
      </w:r>
      <w:r w:rsidR="00705294">
        <w:rPr>
          <w:rFonts w:eastAsia="Calibri"/>
          <w:color w:val="auto"/>
          <w:szCs w:val="24"/>
          <w:lang w:val="en-US" w:eastAsia="en-US"/>
        </w:rPr>
        <w:t>organization</w:t>
      </w:r>
      <w:r w:rsidRPr="00705294">
        <w:rPr>
          <w:rFonts w:eastAsia="Calibri"/>
          <w:color w:val="auto"/>
          <w:szCs w:val="24"/>
          <w:lang w:val="en-US" w:eastAsia="en-US"/>
        </w:rPr>
        <w:t>s. The NSPCC, for example, found that two out of three cases of sexual abuse in teenagers aged 0</w:t>
      </w:r>
      <w:r w:rsidR="00CA10AC" w:rsidRPr="00705294">
        <w:rPr>
          <w:rFonts w:eastAsia="Calibri"/>
          <w:color w:val="auto"/>
          <w:szCs w:val="24"/>
          <w:lang w:val="en-US" w:eastAsia="en-US"/>
        </w:rPr>
        <w:t>–</w:t>
      </w:r>
      <w:r w:rsidRPr="00705294">
        <w:rPr>
          <w:rFonts w:eastAsia="Calibri"/>
          <w:color w:val="auto"/>
          <w:szCs w:val="24"/>
          <w:lang w:val="en-US" w:eastAsia="en-US"/>
        </w:rPr>
        <w:t>17 years were carried out by perpet</w:t>
      </w:r>
      <w:r w:rsidR="00647EAF" w:rsidRPr="00705294">
        <w:rPr>
          <w:rFonts w:eastAsia="Calibri"/>
          <w:color w:val="auto"/>
          <w:szCs w:val="24"/>
          <w:lang w:val="en-US" w:eastAsia="en-US"/>
        </w:rPr>
        <w:t>rators who were also under 18 [</w:t>
      </w:r>
      <w:r w:rsidR="00BE51E0">
        <w:rPr>
          <w:rFonts w:eastAsia="Calibri"/>
          <w:color w:val="auto"/>
          <w:szCs w:val="24"/>
          <w:lang w:val="en-US" w:eastAsia="en-US"/>
        </w:rPr>
        <w:t>7</w:t>
      </w:r>
      <w:r w:rsidR="00200D48">
        <w:rPr>
          <w:rFonts w:eastAsia="Calibri"/>
          <w:color w:val="auto"/>
          <w:szCs w:val="24"/>
          <w:lang w:val="en-US" w:eastAsia="en-US"/>
        </w:rPr>
        <w:t>4</w:t>
      </w:r>
      <w:r w:rsidRPr="00705294">
        <w:rPr>
          <w:rFonts w:eastAsia="Calibri"/>
          <w:color w:val="auto"/>
          <w:szCs w:val="24"/>
          <w:lang w:val="en-US" w:eastAsia="en-US"/>
        </w:rPr>
        <w:t xml:space="preserve">]. </w:t>
      </w:r>
      <w:r w:rsidR="00473395">
        <w:rPr>
          <w:rFonts w:eastAsia="Calibri"/>
          <w:color w:val="auto"/>
          <w:szCs w:val="24"/>
          <w:lang w:val="en-US" w:eastAsia="en-US"/>
        </w:rPr>
        <w:br w:type="page"/>
      </w:r>
    </w:p>
    <w:p w14:paraId="5EE133D6" w14:textId="6E6A18D2" w:rsidR="00992EAA" w:rsidRPr="00705294" w:rsidRDefault="00992EAA" w:rsidP="00473395">
      <w:pPr>
        <w:pStyle w:val="Mdeck4heading1"/>
        <w:spacing w:before="0"/>
        <w:rPr>
          <w:szCs w:val="24"/>
          <w:lang w:eastAsia="en-US"/>
        </w:rPr>
      </w:pPr>
      <w:r w:rsidRPr="00705294">
        <w:rPr>
          <w:szCs w:val="24"/>
          <w:lang w:eastAsia="en-US"/>
        </w:rPr>
        <w:lastRenderedPageBreak/>
        <w:t xml:space="preserve">7. Is </w:t>
      </w:r>
      <w:r w:rsidR="00956A94" w:rsidRPr="00705294">
        <w:rPr>
          <w:szCs w:val="24"/>
          <w:lang w:eastAsia="en-US"/>
        </w:rPr>
        <w:t xml:space="preserve">Concern </w:t>
      </w:r>
      <w:r w:rsidRPr="00705294">
        <w:rPr>
          <w:szCs w:val="24"/>
          <w:lang w:eastAsia="en-US"/>
        </w:rPr>
        <w:t xml:space="preserve">for </w:t>
      </w:r>
      <w:r w:rsidR="00956A94" w:rsidRPr="00705294">
        <w:rPr>
          <w:szCs w:val="24"/>
          <w:lang w:eastAsia="en-US"/>
        </w:rPr>
        <w:t xml:space="preserve">Young Pregnancy Being </w:t>
      </w:r>
      <w:r w:rsidR="009A73D6">
        <w:rPr>
          <w:szCs w:val="24"/>
          <w:lang w:eastAsia="en-US"/>
        </w:rPr>
        <w:t>“</w:t>
      </w:r>
      <w:r w:rsidR="00956A94" w:rsidRPr="00705294">
        <w:rPr>
          <w:szCs w:val="24"/>
          <w:lang w:eastAsia="en-US"/>
        </w:rPr>
        <w:t>Protectionist</w:t>
      </w:r>
      <w:r w:rsidR="009A73D6">
        <w:rPr>
          <w:szCs w:val="24"/>
          <w:lang w:eastAsia="en-US"/>
        </w:rPr>
        <w:t>”</w:t>
      </w:r>
      <w:r w:rsidR="00956A94" w:rsidRPr="00705294">
        <w:rPr>
          <w:szCs w:val="24"/>
          <w:lang w:eastAsia="en-US"/>
        </w:rPr>
        <w:t xml:space="preserve"> Towards Women</w:t>
      </w:r>
      <w:r w:rsidR="00F32131" w:rsidRPr="00705294">
        <w:rPr>
          <w:szCs w:val="24"/>
          <w:lang w:eastAsia="en-US"/>
        </w:rPr>
        <w:t>?</w:t>
      </w:r>
    </w:p>
    <w:p w14:paraId="008E8278" w14:textId="36C51AB1" w:rsidR="00992EAA" w:rsidRPr="00705294" w:rsidRDefault="00992EAA" w:rsidP="00AE443F">
      <w:pPr>
        <w:adjustRightInd w:val="0"/>
        <w:snapToGrid w:val="0"/>
        <w:ind w:firstLine="284"/>
        <w:rPr>
          <w:szCs w:val="24"/>
          <w:lang w:val="en-US" w:eastAsia="en-US"/>
        </w:rPr>
      </w:pPr>
      <w:r w:rsidRPr="00705294">
        <w:rPr>
          <w:szCs w:val="24"/>
          <w:lang w:val="en-US" w:eastAsia="en-US"/>
        </w:rPr>
        <w:t xml:space="preserve">I am aware that in arguing for an emphasis upon the potential dangers of young pregnancy, I </w:t>
      </w:r>
      <w:r w:rsidR="006A0749" w:rsidRPr="00705294">
        <w:rPr>
          <w:szCs w:val="24"/>
          <w:lang w:val="en-US" w:eastAsia="en-US"/>
        </w:rPr>
        <w:t>might be</w:t>
      </w:r>
      <w:r w:rsidRPr="00705294">
        <w:rPr>
          <w:szCs w:val="24"/>
          <w:lang w:val="en-US" w:eastAsia="en-US"/>
        </w:rPr>
        <w:t xml:space="preserve"> accused of falling into the trap of denying young girls their agency or of adopting a protectionist approach. Historically, women have been perceived as </w:t>
      </w:r>
      <w:r w:rsidR="009A73D6">
        <w:rPr>
          <w:szCs w:val="24"/>
          <w:lang w:val="en-US" w:eastAsia="en-US"/>
        </w:rPr>
        <w:t>“</w:t>
      </w:r>
      <w:r w:rsidRPr="00705294">
        <w:rPr>
          <w:szCs w:val="24"/>
          <w:lang w:val="en-US" w:eastAsia="en-US"/>
        </w:rPr>
        <w:t>profoundly lacking in the forms of rational competence necessary to make decisions as autonomous subjects ([5]</w:t>
      </w:r>
      <w:r w:rsidR="00956A94" w:rsidRPr="00705294">
        <w:rPr>
          <w:szCs w:val="24"/>
          <w:lang w:val="en-US" w:eastAsia="en-US"/>
        </w:rPr>
        <w:t>,</w:t>
      </w:r>
      <w:r w:rsidRPr="00705294">
        <w:rPr>
          <w:szCs w:val="24"/>
          <w:lang w:val="en-US" w:eastAsia="en-US"/>
        </w:rPr>
        <w:t xml:space="preserve"> p.</w:t>
      </w:r>
      <w:r w:rsidR="00956A94" w:rsidRPr="00705294">
        <w:rPr>
          <w:szCs w:val="24"/>
          <w:lang w:val="en-US" w:eastAsia="en-US"/>
        </w:rPr>
        <w:t xml:space="preserve"> </w:t>
      </w:r>
      <w:r w:rsidRPr="00705294">
        <w:rPr>
          <w:szCs w:val="24"/>
          <w:lang w:val="en-US" w:eastAsia="en-US"/>
        </w:rPr>
        <w:t>72).</w:t>
      </w:r>
      <w:r w:rsidR="009A73D6">
        <w:rPr>
          <w:szCs w:val="24"/>
          <w:lang w:val="en-US" w:eastAsia="en-US"/>
        </w:rPr>
        <w:t>”</w:t>
      </w:r>
      <w:r w:rsidRPr="00705294">
        <w:rPr>
          <w:szCs w:val="24"/>
          <w:lang w:val="en-US" w:eastAsia="en-US"/>
        </w:rPr>
        <w:t xml:space="preserve"> Referring to the Sexual Offences Bill, Lacey suggests that it reflec</w:t>
      </w:r>
      <w:r w:rsidR="00D217E3" w:rsidRPr="00705294">
        <w:rPr>
          <w:szCs w:val="24"/>
          <w:lang w:val="en-US" w:eastAsia="en-US"/>
        </w:rPr>
        <w:t xml:space="preserve">ts an underlying paternalism </w:t>
      </w:r>
      <w:r w:rsidR="000C239F">
        <w:rPr>
          <w:szCs w:val="24"/>
          <w:lang w:val="en-US" w:eastAsia="en-US"/>
        </w:rPr>
        <w:t>(</w:t>
      </w:r>
      <w:r w:rsidR="00D217E3" w:rsidRPr="00705294">
        <w:rPr>
          <w:szCs w:val="24"/>
          <w:lang w:val="en-US" w:eastAsia="en-US"/>
        </w:rPr>
        <w:t>[</w:t>
      </w:r>
      <w:r w:rsidR="00C15B0D">
        <w:rPr>
          <w:szCs w:val="24"/>
          <w:lang w:val="en-US" w:eastAsia="en-US"/>
        </w:rPr>
        <w:t>7</w:t>
      </w:r>
      <w:r w:rsidR="006427C2">
        <w:rPr>
          <w:szCs w:val="24"/>
          <w:lang w:val="en-US" w:eastAsia="en-US"/>
        </w:rPr>
        <w:t>5</w:t>
      </w:r>
      <w:r w:rsidR="000C239F">
        <w:rPr>
          <w:szCs w:val="24"/>
          <w:lang w:val="en-US" w:eastAsia="en-US"/>
        </w:rPr>
        <w:t>]</w:t>
      </w:r>
      <w:r w:rsidR="000C239F" w:rsidRPr="000C239F">
        <w:rPr>
          <w:szCs w:val="24"/>
          <w:lang w:val="en-US" w:eastAsia="en-US"/>
        </w:rPr>
        <w:t>, p. 518</w:t>
      </w:r>
      <w:r w:rsidR="000C239F">
        <w:rPr>
          <w:szCs w:val="24"/>
          <w:lang w:val="en-US" w:eastAsia="en-US"/>
        </w:rPr>
        <w:t>)</w:t>
      </w:r>
      <w:r w:rsidRPr="00705294">
        <w:rPr>
          <w:szCs w:val="24"/>
          <w:lang w:val="en-US" w:eastAsia="en-US"/>
        </w:rPr>
        <w:t xml:space="preserve">. Indeed, the rationale underlying the Sexual Offences Act 2003 makes it clear that the purpose behind the legislation was the </w:t>
      </w:r>
      <w:r w:rsidR="009A73D6">
        <w:rPr>
          <w:szCs w:val="24"/>
          <w:lang w:val="en-US" w:eastAsia="en-US"/>
        </w:rPr>
        <w:t>“</w:t>
      </w:r>
      <w:r w:rsidRPr="00705294">
        <w:rPr>
          <w:szCs w:val="24"/>
          <w:lang w:val="en-US" w:eastAsia="en-US"/>
        </w:rPr>
        <w:t>prot</w:t>
      </w:r>
      <w:r w:rsidR="00F07D36" w:rsidRPr="00705294">
        <w:rPr>
          <w:szCs w:val="24"/>
          <w:lang w:val="en-US" w:eastAsia="en-US"/>
        </w:rPr>
        <w:t>ection of children from harm [</w:t>
      </w:r>
      <w:r w:rsidR="00C15B0D">
        <w:rPr>
          <w:szCs w:val="24"/>
          <w:lang w:val="en-US" w:eastAsia="en-US"/>
        </w:rPr>
        <w:t>7</w:t>
      </w:r>
      <w:r w:rsidR="006427C2">
        <w:rPr>
          <w:szCs w:val="24"/>
          <w:lang w:val="en-US" w:eastAsia="en-US"/>
        </w:rPr>
        <w:t>6</w:t>
      </w:r>
      <w:r w:rsidRPr="00705294">
        <w:rPr>
          <w:szCs w:val="24"/>
          <w:lang w:val="en-US" w:eastAsia="en-US"/>
        </w:rPr>
        <w:t>].</w:t>
      </w:r>
      <w:r w:rsidR="009A73D6">
        <w:rPr>
          <w:szCs w:val="24"/>
          <w:lang w:val="en-US" w:eastAsia="en-US"/>
        </w:rPr>
        <w:t>”</w:t>
      </w:r>
      <w:r w:rsidRPr="00705294">
        <w:rPr>
          <w:szCs w:val="24"/>
          <w:lang w:val="en-US" w:eastAsia="en-US"/>
        </w:rPr>
        <w:t xml:space="preserve"> This of course, has a historical influence mentioned above; the Victorians were concerned with protections young girls from prostitution and sexual exploitation, based on notions of sexual innocence. </w:t>
      </w:r>
    </w:p>
    <w:p w14:paraId="762FF461" w14:textId="39C4C6DB" w:rsidR="00992EAA" w:rsidRPr="00705294" w:rsidRDefault="00992EAA" w:rsidP="00AE443F">
      <w:pPr>
        <w:adjustRightInd w:val="0"/>
        <w:snapToGrid w:val="0"/>
        <w:ind w:firstLine="284"/>
        <w:rPr>
          <w:szCs w:val="24"/>
          <w:lang w:val="en-US" w:eastAsia="en-US"/>
        </w:rPr>
      </w:pPr>
      <w:r w:rsidRPr="00705294">
        <w:rPr>
          <w:szCs w:val="24"/>
          <w:lang w:val="en-US" w:eastAsia="en-US"/>
        </w:rPr>
        <w:t>I concede that the current law surrounding the age of consent not only denies the agency of girls and boys under the age of 16, but also places them in a position of non-autonomous passivity. It would be difficult to argue against a position of reproductive autonomy for adult female bodies. There can be no full citizenship if there is no control over the body</w:t>
      </w:r>
      <w:r w:rsidR="001F3350" w:rsidRPr="00705294">
        <w:rPr>
          <w:szCs w:val="24"/>
          <w:lang w:val="en-US" w:eastAsia="en-US"/>
        </w:rPr>
        <w:t xml:space="preserve"> and c</w:t>
      </w:r>
      <w:r w:rsidRPr="00705294">
        <w:rPr>
          <w:szCs w:val="24"/>
          <w:lang w:val="en-US" w:eastAsia="en-US"/>
        </w:rPr>
        <w:t>ontrolling one</w:t>
      </w:r>
      <w:r w:rsidR="0045336C">
        <w:rPr>
          <w:szCs w:val="24"/>
          <w:lang w:val="en-US" w:eastAsia="en-US"/>
        </w:rPr>
        <w:t>’</w:t>
      </w:r>
      <w:r w:rsidRPr="00705294">
        <w:rPr>
          <w:szCs w:val="24"/>
          <w:lang w:val="en-US" w:eastAsia="en-US"/>
        </w:rPr>
        <w:t>s own body is a necessar</w:t>
      </w:r>
      <w:r w:rsidR="001F3350" w:rsidRPr="00705294">
        <w:rPr>
          <w:szCs w:val="24"/>
          <w:lang w:val="en-US" w:eastAsia="en-US"/>
        </w:rPr>
        <w:t>y condition for any freedom</w:t>
      </w:r>
      <w:r w:rsidRPr="00705294">
        <w:rPr>
          <w:szCs w:val="24"/>
          <w:lang w:val="en-US" w:eastAsia="en-US"/>
        </w:rPr>
        <w:t xml:space="preserve">. Yet, it is the paternalistic and patriarchal views of the female body, as something in need of protection, which has shaped law and policy. How then can these two positions be reconciled? Perhaps a full answer to this question cannot be given, for such an answer would have to resolve the question of when girls become autonomous, sovereign, liberal individuals capable of giving (or not) consent to sexual activity. In order for this to occur, law must, </w:t>
      </w:r>
    </w:p>
    <w:p w14:paraId="28BF35B0" w14:textId="77B83D9C" w:rsidR="00992EAA" w:rsidRPr="00705294" w:rsidRDefault="00992EAA" w:rsidP="0044290D">
      <w:pPr>
        <w:pStyle w:val="Mdeck4textlrindent"/>
        <w:spacing w:before="120" w:after="120"/>
        <w:rPr>
          <w:szCs w:val="24"/>
          <w:lang w:eastAsia="en-US"/>
        </w:rPr>
      </w:pPr>
      <w:r w:rsidRPr="00705294">
        <w:rPr>
          <w:szCs w:val="24"/>
          <w:lang w:eastAsia="en-US"/>
        </w:rPr>
        <w:t>[T]ake into account structural inequalities found in the very process of the formation of the individual subject, as well as in the material circumstances of lived experience, which impact on the quality of ch</w:t>
      </w:r>
      <w:r w:rsidR="00D233E6" w:rsidRPr="00705294">
        <w:rPr>
          <w:szCs w:val="24"/>
          <w:lang w:eastAsia="en-US"/>
        </w:rPr>
        <w:t xml:space="preserve">oices, consents and refusals </w:t>
      </w:r>
      <w:r w:rsidR="00F5112C">
        <w:rPr>
          <w:szCs w:val="24"/>
          <w:lang w:eastAsia="en-US"/>
        </w:rPr>
        <w:t>(</w:t>
      </w:r>
      <w:r w:rsidR="00D233E6" w:rsidRPr="00705294">
        <w:rPr>
          <w:szCs w:val="24"/>
          <w:lang w:eastAsia="en-US"/>
        </w:rPr>
        <w:t>[</w:t>
      </w:r>
      <w:r w:rsidR="00A86028">
        <w:rPr>
          <w:szCs w:val="24"/>
          <w:lang w:eastAsia="en-US"/>
        </w:rPr>
        <w:t>7</w:t>
      </w:r>
      <w:r w:rsidR="001B2696">
        <w:rPr>
          <w:szCs w:val="24"/>
          <w:lang w:eastAsia="en-US"/>
        </w:rPr>
        <w:t>7</w:t>
      </w:r>
      <w:r w:rsidR="00F5112C">
        <w:rPr>
          <w:szCs w:val="24"/>
          <w:lang w:eastAsia="en-US"/>
        </w:rPr>
        <w:t>]</w:t>
      </w:r>
      <w:r w:rsidR="00F5112C" w:rsidRPr="00F5112C">
        <w:rPr>
          <w:szCs w:val="24"/>
          <w:lang w:eastAsia="en-US"/>
        </w:rPr>
        <w:t>, p. 5</w:t>
      </w:r>
      <w:r w:rsidR="00F5112C">
        <w:rPr>
          <w:szCs w:val="24"/>
          <w:lang w:eastAsia="en-US"/>
        </w:rPr>
        <w:t>)</w:t>
      </w:r>
      <w:r w:rsidRPr="00705294">
        <w:rPr>
          <w:szCs w:val="24"/>
          <w:lang w:eastAsia="en-US"/>
        </w:rPr>
        <w:t xml:space="preserve">. </w:t>
      </w:r>
    </w:p>
    <w:p w14:paraId="4A7B571C" w14:textId="06A259A4" w:rsidR="00AF1399" w:rsidRPr="00705294" w:rsidRDefault="00992EAA" w:rsidP="00BF4A30">
      <w:pPr>
        <w:adjustRightInd w:val="0"/>
        <w:snapToGrid w:val="0"/>
        <w:ind w:firstLine="284"/>
        <w:rPr>
          <w:szCs w:val="24"/>
          <w:lang w:val="en-US" w:eastAsia="en-US"/>
        </w:rPr>
      </w:pPr>
      <w:r w:rsidRPr="00705294">
        <w:rPr>
          <w:szCs w:val="24"/>
          <w:lang w:val="en-US" w:eastAsia="en-US"/>
        </w:rPr>
        <w:t>At the risk of stating the obvious, successful attempts to make Law take account of structural inequalities have been meagre.</w:t>
      </w:r>
      <w:r w:rsidR="00231416" w:rsidRPr="00705294">
        <w:rPr>
          <w:szCs w:val="24"/>
          <w:lang w:val="en-US" w:eastAsia="en-US"/>
        </w:rPr>
        <w:t xml:space="preserve"> </w:t>
      </w:r>
      <w:r w:rsidRPr="00705294">
        <w:rPr>
          <w:szCs w:val="24"/>
          <w:lang w:val="en-US" w:eastAsia="en-US"/>
        </w:rPr>
        <w:t xml:space="preserve">However, whilst Law can be argued to be </w:t>
      </w:r>
      <w:r w:rsidR="009A73D6">
        <w:rPr>
          <w:szCs w:val="24"/>
          <w:lang w:val="en-US" w:eastAsia="en-US"/>
        </w:rPr>
        <w:t>“</w:t>
      </w:r>
      <w:r w:rsidRPr="00705294">
        <w:rPr>
          <w:szCs w:val="24"/>
          <w:lang w:val="en-US" w:eastAsia="en-US"/>
        </w:rPr>
        <w:t>part of the problem</w:t>
      </w:r>
      <w:r w:rsidR="009A73D6">
        <w:rPr>
          <w:szCs w:val="24"/>
          <w:lang w:val="en-US" w:eastAsia="en-US"/>
        </w:rPr>
        <w:t>”</w:t>
      </w:r>
      <w:r w:rsidRPr="00705294">
        <w:rPr>
          <w:szCs w:val="24"/>
          <w:lang w:val="en-US" w:eastAsia="en-US"/>
        </w:rPr>
        <w:t>, it also has the potentially to be part of the solution.</w:t>
      </w:r>
      <w:r w:rsidR="00231416" w:rsidRPr="00705294">
        <w:rPr>
          <w:szCs w:val="24"/>
          <w:lang w:val="en-US" w:eastAsia="en-US"/>
        </w:rPr>
        <w:t xml:space="preserve"> </w:t>
      </w:r>
      <w:r w:rsidRPr="00705294">
        <w:rPr>
          <w:szCs w:val="24"/>
          <w:lang w:val="en-US" w:eastAsia="en-US"/>
        </w:rPr>
        <w:t xml:space="preserve">Preventing female bodes under the age of 16 from becoming pregnant is a desirable and welcome outcome, and the consequent denial of agency is therefore necessary. One small way for Law to </w:t>
      </w:r>
      <w:r w:rsidR="00865FF6" w:rsidRPr="00705294">
        <w:rPr>
          <w:szCs w:val="24"/>
          <w:lang w:val="en-US" w:eastAsia="en-US"/>
        </w:rPr>
        <w:t>consider structural inequalities</w:t>
      </w:r>
      <w:r w:rsidRPr="00705294">
        <w:rPr>
          <w:szCs w:val="24"/>
          <w:lang w:val="en-US" w:eastAsia="en-US"/>
        </w:rPr>
        <w:t xml:space="preserve"> is to continue to deny the agency of girls under 16 to give consent to sexual intercourse without resorting to heteronormative patriarchal imperatives. The </w:t>
      </w:r>
      <w:r w:rsidR="00865FF6" w:rsidRPr="00705294">
        <w:rPr>
          <w:szCs w:val="24"/>
          <w:lang w:val="en-US" w:eastAsia="en-US"/>
        </w:rPr>
        <w:t>so-called</w:t>
      </w:r>
      <w:r w:rsidRPr="00705294">
        <w:rPr>
          <w:szCs w:val="24"/>
          <w:lang w:val="en-US" w:eastAsia="en-US"/>
        </w:rPr>
        <w:t xml:space="preserve"> </w:t>
      </w:r>
      <w:r w:rsidR="009A73D6">
        <w:rPr>
          <w:szCs w:val="24"/>
          <w:lang w:val="en-US" w:eastAsia="en-US"/>
        </w:rPr>
        <w:t>“</w:t>
      </w:r>
      <w:r w:rsidRPr="00705294">
        <w:rPr>
          <w:szCs w:val="24"/>
          <w:lang w:val="en-US" w:eastAsia="en-US"/>
        </w:rPr>
        <w:t>autonomous choice</w:t>
      </w:r>
      <w:r w:rsidR="009A73D6">
        <w:rPr>
          <w:szCs w:val="24"/>
          <w:lang w:val="en-US" w:eastAsia="en-US"/>
        </w:rPr>
        <w:t>”</w:t>
      </w:r>
      <w:r w:rsidRPr="00705294">
        <w:rPr>
          <w:szCs w:val="24"/>
          <w:lang w:val="en-US" w:eastAsia="en-US"/>
        </w:rPr>
        <w:t xml:space="preserve"> made by a 14 year old girl is not made in a </w:t>
      </w:r>
      <w:r w:rsidR="009A73D6">
        <w:rPr>
          <w:szCs w:val="24"/>
          <w:lang w:val="en-US" w:eastAsia="en-US"/>
        </w:rPr>
        <w:t>“</w:t>
      </w:r>
      <w:r w:rsidRPr="00705294">
        <w:rPr>
          <w:szCs w:val="24"/>
          <w:lang w:val="en-US" w:eastAsia="en-US"/>
        </w:rPr>
        <w:t>free will vacuum.</w:t>
      </w:r>
      <w:r w:rsidR="009A73D6">
        <w:rPr>
          <w:szCs w:val="24"/>
          <w:lang w:val="en-US" w:eastAsia="en-US"/>
        </w:rPr>
        <w:t>”</w:t>
      </w:r>
      <w:r w:rsidRPr="00705294">
        <w:rPr>
          <w:szCs w:val="24"/>
          <w:lang w:val="en-US" w:eastAsia="en-US"/>
        </w:rPr>
        <w:t xml:space="preserve"> Thus, the issue of the age of consent for girls is inextricably linked with the question of when those girls become mothers. This has the consequences of widening the issue to become one of the </w:t>
      </w:r>
      <w:r w:rsidR="00AF1399" w:rsidRPr="00705294">
        <w:rPr>
          <w:szCs w:val="24"/>
          <w:lang w:val="en-US" w:eastAsia="en-US"/>
        </w:rPr>
        <w:t>transitions</w:t>
      </w:r>
      <w:r w:rsidRPr="00705294">
        <w:rPr>
          <w:szCs w:val="24"/>
          <w:lang w:val="en-US" w:eastAsia="en-US"/>
        </w:rPr>
        <w:t xml:space="preserve"> from girl child to adult mother. Queer Theory has been unable </w:t>
      </w:r>
      <w:r w:rsidR="00C17B04" w:rsidRPr="00705294">
        <w:rPr>
          <w:szCs w:val="24"/>
          <w:lang w:val="en-US" w:eastAsia="en-US"/>
        </w:rPr>
        <w:t xml:space="preserve">to successfully </w:t>
      </w:r>
      <w:r w:rsidRPr="00705294">
        <w:rPr>
          <w:szCs w:val="24"/>
          <w:lang w:val="en-US" w:eastAsia="en-US"/>
        </w:rPr>
        <w:t xml:space="preserve">address this problem due to its inability to </w:t>
      </w:r>
      <w:r w:rsidR="00AF1399" w:rsidRPr="00705294">
        <w:rPr>
          <w:szCs w:val="24"/>
          <w:lang w:val="en-US" w:eastAsia="en-US"/>
        </w:rPr>
        <w:t xml:space="preserve">satisfactorily </w:t>
      </w:r>
      <w:r w:rsidRPr="00705294">
        <w:rPr>
          <w:szCs w:val="24"/>
          <w:lang w:val="en-US" w:eastAsia="en-US"/>
        </w:rPr>
        <w:t xml:space="preserve">account for the influence of patriarchy. I would suggest that in the alternative, we must return to feminism as a possible way forward in addressing how to </w:t>
      </w:r>
      <w:r w:rsidR="00705294" w:rsidRPr="00705294">
        <w:rPr>
          <w:szCs w:val="24"/>
          <w:lang w:val="en-US" w:eastAsia="en-US"/>
        </w:rPr>
        <w:t>contextualize</w:t>
      </w:r>
      <w:r w:rsidRPr="00705294">
        <w:rPr>
          <w:szCs w:val="24"/>
          <w:lang w:val="en-US" w:eastAsia="en-US"/>
        </w:rPr>
        <w:t xml:space="preserve"> discussions regarding the age of consent. This would allow for a legal re-appraisal of </w:t>
      </w:r>
      <w:r w:rsidRPr="00705294">
        <w:rPr>
          <w:i/>
          <w:szCs w:val="24"/>
          <w:lang w:val="en-US" w:eastAsia="en-US"/>
        </w:rPr>
        <w:t>why</w:t>
      </w:r>
      <w:r w:rsidRPr="00705294">
        <w:rPr>
          <w:szCs w:val="24"/>
          <w:lang w:val="en-US" w:eastAsia="en-US"/>
        </w:rPr>
        <w:t xml:space="preserve"> girls under 16 should not be considered capable of consent to become mothers, separate from the historical patriarchally heterosexist one of non-autonomous passivity. A feminist analysis </w:t>
      </w:r>
      <w:r w:rsidR="00705294">
        <w:rPr>
          <w:szCs w:val="24"/>
          <w:lang w:val="en-US" w:eastAsia="en-US"/>
        </w:rPr>
        <w:t>allows for</w:t>
      </w:r>
      <w:r w:rsidRPr="00705294">
        <w:rPr>
          <w:szCs w:val="24"/>
          <w:lang w:val="en-US" w:eastAsia="en-US"/>
        </w:rPr>
        <w:t xml:space="preserve"> the explicit acknowledgement that we live in a society where patriarchal heterosexuality is (still) pervasively dominant and</w:t>
      </w:r>
      <w:r w:rsidR="00EA5098" w:rsidRPr="00705294">
        <w:rPr>
          <w:szCs w:val="24"/>
          <w:lang w:val="en-US" w:eastAsia="en-US"/>
        </w:rPr>
        <w:t xml:space="preserve"> continues to impose</w:t>
      </w:r>
      <w:r w:rsidRPr="00705294">
        <w:rPr>
          <w:szCs w:val="24"/>
          <w:lang w:val="en-US" w:eastAsia="en-US"/>
        </w:rPr>
        <w:t xml:space="preserve"> a </w:t>
      </w:r>
      <w:r w:rsidR="009A73D6">
        <w:rPr>
          <w:szCs w:val="24"/>
          <w:lang w:val="en-US" w:eastAsia="en-US"/>
        </w:rPr>
        <w:t>“</w:t>
      </w:r>
      <w:r w:rsidRPr="00705294">
        <w:rPr>
          <w:szCs w:val="24"/>
          <w:lang w:val="en-US" w:eastAsia="en-US"/>
        </w:rPr>
        <w:t>natural</w:t>
      </w:r>
      <w:r w:rsidR="009A73D6">
        <w:rPr>
          <w:szCs w:val="24"/>
          <w:lang w:val="en-US" w:eastAsia="en-US"/>
        </w:rPr>
        <w:t>”</w:t>
      </w:r>
      <w:r w:rsidRPr="00705294">
        <w:rPr>
          <w:szCs w:val="24"/>
          <w:lang w:val="en-US" w:eastAsia="en-US"/>
        </w:rPr>
        <w:t xml:space="preserve"> role for girls and women</w:t>
      </w:r>
      <w:r w:rsidR="00956A94" w:rsidRPr="00705294">
        <w:rPr>
          <w:szCs w:val="24"/>
          <w:lang w:val="en-US" w:eastAsia="en-US"/>
        </w:rPr>
        <w:t>—</w:t>
      </w:r>
      <w:r w:rsidRPr="00705294">
        <w:rPr>
          <w:szCs w:val="24"/>
          <w:lang w:val="en-US" w:eastAsia="en-US"/>
        </w:rPr>
        <w:t xml:space="preserve">part of that role being one a child bearer and raiser. Whilst I advocate a return to feminism </w:t>
      </w:r>
      <w:r w:rsidRPr="00705294">
        <w:rPr>
          <w:szCs w:val="24"/>
          <w:lang w:val="en-US" w:eastAsia="en-US"/>
        </w:rPr>
        <w:lastRenderedPageBreak/>
        <w:t xml:space="preserve">and feminist principles as </w:t>
      </w:r>
      <w:r w:rsidR="00AF1399" w:rsidRPr="00705294">
        <w:rPr>
          <w:szCs w:val="24"/>
          <w:lang w:val="en-US" w:eastAsia="en-US"/>
        </w:rPr>
        <w:t>one way to continue questioning patriarchy,</w:t>
      </w:r>
      <w:r w:rsidRPr="00705294">
        <w:rPr>
          <w:szCs w:val="24"/>
          <w:lang w:val="en-US" w:eastAsia="en-US"/>
        </w:rPr>
        <w:t xml:space="preserve"> I am aware of the potential dangers of the </w:t>
      </w:r>
      <w:r w:rsidR="009A73D6">
        <w:rPr>
          <w:szCs w:val="24"/>
          <w:lang w:val="en-US" w:eastAsia="en-US"/>
        </w:rPr>
        <w:t>“</w:t>
      </w:r>
      <w:r w:rsidRPr="00705294">
        <w:rPr>
          <w:szCs w:val="24"/>
          <w:lang w:val="en-US" w:eastAsia="en-US"/>
        </w:rPr>
        <w:t>grand claims</w:t>
      </w:r>
      <w:r w:rsidR="009A73D6">
        <w:rPr>
          <w:szCs w:val="24"/>
          <w:lang w:val="en-US" w:eastAsia="en-US"/>
        </w:rPr>
        <w:t>”</w:t>
      </w:r>
      <w:r w:rsidRPr="00705294">
        <w:rPr>
          <w:szCs w:val="24"/>
          <w:lang w:val="en-US" w:eastAsia="en-US"/>
        </w:rPr>
        <w:t xml:space="preserve"> and/or essentialism trap.</w:t>
      </w:r>
      <w:r w:rsidR="00231416" w:rsidRPr="00705294">
        <w:rPr>
          <w:szCs w:val="24"/>
          <w:lang w:val="en-US" w:eastAsia="en-US"/>
        </w:rPr>
        <w:t xml:space="preserve"> </w:t>
      </w:r>
      <w:r w:rsidRPr="00705294">
        <w:rPr>
          <w:szCs w:val="24"/>
          <w:lang w:val="en-US" w:eastAsia="en-US"/>
        </w:rPr>
        <w:t>As mentioned above, th</w:t>
      </w:r>
      <w:r w:rsidR="00EA5098" w:rsidRPr="00705294">
        <w:rPr>
          <w:szCs w:val="24"/>
          <w:lang w:val="en-US" w:eastAsia="en-US"/>
        </w:rPr>
        <w:t xml:space="preserve">is </w:t>
      </w:r>
      <w:r w:rsidRPr="00705294">
        <w:rPr>
          <w:szCs w:val="24"/>
          <w:lang w:val="en-US" w:eastAsia="en-US"/>
        </w:rPr>
        <w:t xml:space="preserve">trap can be avoided by using the term </w:t>
      </w:r>
      <w:r w:rsidR="009A73D6">
        <w:rPr>
          <w:szCs w:val="24"/>
          <w:lang w:val="en-US" w:eastAsia="en-US"/>
        </w:rPr>
        <w:t>“</w:t>
      </w:r>
      <w:r w:rsidRPr="00705294">
        <w:rPr>
          <w:szCs w:val="24"/>
          <w:lang w:val="en-US" w:eastAsia="en-US"/>
        </w:rPr>
        <w:t>women</w:t>
      </w:r>
      <w:r w:rsidR="009A73D6">
        <w:rPr>
          <w:szCs w:val="24"/>
          <w:lang w:val="en-US" w:eastAsia="en-US"/>
        </w:rPr>
        <w:t>”</w:t>
      </w:r>
      <w:r w:rsidRPr="00705294">
        <w:rPr>
          <w:szCs w:val="24"/>
          <w:lang w:val="en-US" w:eastAsia="en-US"/>
        </w:rPr>
        <w:t xml:space="preserve"> as Butler suggests</w:t>
      </w:r>
      <w:r w:rsidR="00EA5098" w:rsidRPr="00705294">
        <w:rPr>
          <w:szCs w:val="24"/>
          <w:lang w:val="en-US" w:eastAsia="en-US"/>
        </w:rPr>
        <w:t xml:space="preserve"> it be used;</w:t>
      </w:r>
      <w:r w:rsidRPr="00705294">
        <w:rPr>
          <w:szCs w:val="24"/>
          <w:lang w:val="en-US" w:eastAsia="en-US"/>
        </w:rPr>
        <w:t xml:space="preserve"> as a tactic whilst simultaneously subjecting the term to an interrogatory critique.</w:t>
      </w:r>
      <w:r w:rsidR="00231416" w:rsidRPr="00705294">
        <w:rPr>
          <w:szCs w:val="24"/>
          <w:lang w:val="en-US" w:eastAsia="en-US"/>
        </w:rPr>
        <w:t xml:space="preserve"> </w:t>
      </w:r>
      <w:r w:rsidR="00EA5098" w:rsidRPr="00705294">
        <w:rPr>
          <w:szCs w:val="24"/>
          <w:lang w:val="en-US" w:eastAsia="en-US"/>
        </w:rPr>
        <w:t>A</w:t>
      </w:r>
      <w:r w:rsidRPr="00705294">
        <w:rPr>
          <w:szCs w:val="24"/>
          <w:lang w:val="en-US" w:eastAsia="en-US"/>
        </w:rPr>
        <w:t xml:space="preserve"> feminist approach reminds us, in ways that Queer Theory cannot, of the normative effects of gender </w:t>
      </w:r>
      <w:r w:rsidR="002E3265" w:rsidRPr="00705294">
        <w:rPr>
          <w:szCs w:val="24"/>
          <w:lang w:val="en-US" w:eastAsia="en-US"/>
        </w:rPr>
        <w:t>performativity</w:t>
      </w:r>
      <w:r w:rsidR="00AF1399" w:rsidRPr="00705294">
        <w:rPr>
          <w:szCs w:val="24"/>
          <w:lang w:val="en-US" w:eastAsia="en-US"/>
        </w:rPr>
        <w:t xml:space="preserve"> and the difference that gender makes.</w:t>
      </w:r>
      <w:r w:rsidR="00231416" w:rsidRPr="00705294">
        <w:rPr>
          <w:szCs w:val="24"/>
          <w:lang w:val="en-US" w:eastAsia="en-US"/>
        </w:rPr>
        <w:t xml:space="preserve"> </w:t>
      </w:r>
      <w:r w:rsidR="00AF1399" w:rsidRPr="00705294">
        <w:rPr>
          <w:szCs w:val="24"/>
          <w:lang w:val="en-US" w:eastAsia="en-US"/>
        </w:rPr>
        <w:t xml:space="preserve">As Walters points out, feminism sees male as the default gender and homosexual is commonly imagined as male, thus to see queer as </w:t>
      </w:r>
      <w:r w:rsidR="009A73D6">
        <w:rPr>
          <w:szCs w:val="24"/>
          <w:lang w:val="en-US" w:eastAsia="en-US"/>
        </w:rPr>
        <w:t>“</w:t>
      </w:r>
      <w:r w:rsidR="00AF1399" w:rsidRPr="00705294">
        <w:rPr>
          <w:szCs w:val="24"/>
          <w:lang w:val="en-US" w:eastAsia="en-US"/>
        </w:rPr>
        <w:t xml:space="preserve">gender neutral is ludicrous and </w:t>
      </w:r>
      <w:r w:rsidR="00705294" w:rsidRPr="00705294">
        <w:rPr>
          <w:szCs w:val="24"/>
          <w:lang w:val="en-US" w:eastAsia="en-US"/>
        </w:rPr>
        <w:t>willfully</w:t>
      </w:r>
      <w:r w:rsidR="00AF1399" w:rsidRPr="00705294">
        <w:rPr>
          <w:szCs w:val="24"/>
          <w:lang w:val="en-US" w:eastAsia="en-US"/>
        </w:rPr>
        <w:t xml:space="preserve"> naïve</w:t>
      </w:r>
      <w:r w:rsidR="009A73D6">
        <w:rPr>
          <w:szCs w:val="24"/>
          <w:lang w:val="en-US" w:eastAsia="en-US"/>
        </w:rPr>
        <w:t>”</w:t>
      </w:r>
      <w:r w:rsidR="00A86028">
        <w:rPr>
          <w:szCs w:val="24"/>
          <w:lang w:val="en-US" w:eastAsia="en-US"/>
        </w:rPr>
        <w:t xml:space="preserve"> [</w:t>
      </w:r>
      <w:r w:rsidR="007033B2">
        <w:rPr>
          <w:szCs w:val="24"/>
          <w:lang w:val="en-US" w:eastAsia="en-US"/>
        </w:rPr>
        <w:t>7</w:t>
      </w:r>
      <w:r w:rsidR="001B2696">
        <w:rPr>
          <w:szCs w:val="24"/>
          <w:lang w:val="en-US" w:eastAsia="en-US"/>
        </w:rPr>
        <w:t>8</w:t>
      </w:r>
      <w:r w:rsidR="00D70FD6">
        <w:rPr>
          <w:szCs w:val="24"/>
          <w:lang w:val="en-US" w:eastAsia="en-US"/>
        </w:rPr>
        <w:t>]</w:t>
      </w:r>
      <w:r w:rsidR="00AF1399" w:rsidRPr="00705294">
        <w:rPr>
          <w:szCs w:val="24"/>
          <w:lang w:val="en-US" w:eastAsia="en-US"/>
        </w:rPr>
        <w:t>.</w:t>
      </w:r>
      <w:r w:rsidR="00231416" w:rsidRPr="00705294">
        <w:rPr>
          <w:szCs w:val="24"/>
          <w:lang w:val="en-US" w:eastAsia="en-US"/>
        </w:rPr>
        <w:t xml:space="preserve"> </w:t>
      </w:r>
      <w:r w:rsidR="00AF1399" w:rsidRPr="00705294">
        <w:rPr>
          <w:szCs w:val="24"/>
          <w:lang w:val="en-US" w:eastAsia="en-US"/>
        </w:rPr>
        <w:t xml:space="preserve">Whilst the original aim of Queer Theory to challenge and expand upon the concept of difference is laudable, </w:t>
      </w:r>
      <w:r w:rsidR="009A73D6">
        <w:rPr>
          <w:szCs w:val="24"/>
          <w:lang w:val="en-US" w:eastAsia="en-US"/>
        </w:rPr>
        <w:t>“</w:t>
      </w:r>
      <w:r w:rsidR="00AF1399" w:rsidRPr="00705294">
        <w:rPr>
          <w:szCs w:val="24"/>
          <w:lang w:val="en-US" w:eastAsia="en-US"/>
        </w:rPr>
        <w:t>too often, gender is not complicated but merely ignored, dismissed or transcended</w:t>
      </w:r>
      <w:r w:rsidR="009A73D6">
        <w:rPr>
          <w:szCs w:val="24"/>
          <w:lang w:val="en-US" w:eastAsia="en-US"/>
        </w:rPr>
        <w:t>”</w:t>
      </w:r>
      <w:r w:rsidR="00AF1399" w:rsidRPr="00705294">
        <w:rPr>
          <w:szCs w:val="24"/>
          <w:lang w:val="en-US" w:eastAsia="en-US"/>
        </w:rPr>
        <w:t>.</w:t>
      </w:r>
    </w:p>
    <w:p w14:paraId="78C9B385" w14:textId="36C2C21D" w:rsidR="00B06CF5" w:rsidRPr="00C84D92" w:rsidRDefault="002E3265" w:rsidP="00EA5098">
      <w:pPr>
        <w:adjustRightInd w:val="0"/>
        <w:snapToGrid w:val="0"/>
        <w:ind w:firstLine="284"/>
        <w:rPr>
          <w:spacing w:val="-4"/>
          <w:szCs w:val="24"/>
          <w:lang w:val="en-US" w:eastAsia="en-US"/>
        </w:rPr>
      </w:pPr>
      <w:r w:rsidRPr="00705294">
        <w:rPr>
          <w:szCs w:val="24"/>
          <w:lang w:val="en-US" w:eastAsia="en-US"/>
        </w:rPr>
        <w:t xml:space="preserve">A feminist approach also allows us to </w:t>
      </w:r>
      <w:r w:rsidR="00705294">
        <w:rPr>
          <w:szCs w:val="24"/>
          <w:lang w:val="en-US" w:eastAsia="en-US"/>
        </w:rPr>
        <w:t>recognize</w:t>
      </w:r>
      <w:r w:rsidRPr="00705294">
        <w:rPr>
          <w:szCs w:val="24"/>
          <w:lang w:val="en-US" w:eastAsia="en-US"/>
        </w:rPr>
        <w:t xml:space="preserve"> the importance of power relations in the constructions of male and female identities and of the specificity of women</w:t>
      </w:r>
      <w:r w:rsidR="0045336C">
        <w:rPr>
          <w:szCs w:val="24"/>
          <w:lang w:val="en-US" w:eastAsia="en-US"/>
        </w:rPr>
        <w:t>’</w:t>
      </w:r>
      <w:r w:rsidRPr="00705294">
        <w:rPr>
          <w:szCs w:val="24"/>
          <w:lang w:val="en-US" w:eastAsia="en-US"/>
        </w:rPr>
        <w:t xml:space="preserve">s location in, and experience of, socio-legal constructs; again, </w:t>
      </w:r>
      <w:r w:rsidR="00865FF6" w:rsidRPr="00705294">
        <w:rPr>
          <w:szCs w:val="24"/>
          <w:lang w:val="en-US" w:eastAsia="en-US"/>
        </w:rPr>
        <w:t>something that</w:t>
      </w:r>
      <w:r w:rsidRPr="00705294">
        <w:rPr>
          <w:szCs w:val="24"/>
          <w:lang w:val="en-US" w:eastAsia="en-US"/>
        </w:rPr>
        <w:t xml:space="preserve"> Queer Theory fails to do to the same extent. There is not unfortunately the time and space within this article to undertake a large scale exploration of the different variations of feminist approaches and methodologies and I do not wish to engage here in an exploration of which </w:t>
      </w:r>
      <w:r w:rsidR="009A73D6">
        <w:rPr>
          <w:szCs w:val="24"/>
          <w:lang w:val="en-US" w:eastAsia="en-US"/>
        </w:rPr>
        <w:t>“</w:t>
      </w:r>
      <w:r w:rsidRPr="00705294">
        <w:rPr>
          <w:szCs w:val="24"/>
          <w:lang w:val="en-US" w:eastAsia="en-US"/>
        </w:rPr>
        <w:t>type</w:t>
      </w:r>
      <w:r w:rsidR="009A73D6">
        <w:rPr>
          <w:szCs w:val="24"/>
          <w:lang w:val="en-US" w:eastAsia="en-US"/>
        </w:rPr>
        <w:t>”</w:t>
      </w:r>
      <w:r w:rsidRPr="00705294">
        <w:rPr>
          <w:szCs w:val="24"/>
          <w:lang w:val="en-US" w:eastAsia="en-US"/>
        </w:rPr>
        <w:t xml:space="preserve"> of feminism would be </w:t>
      </w:r>
      <w:r w:rsidR="009A73D6">
        <w:rPr>
          <w:szCs w:val="24"/>
          <w:lang w:val="en-US" w:eastAsia="en-US"/>
        </w:rPr>
        <w:t>“</w:t>
      </w:r>
      <w:r w:rsidRPr="00705294">
        <w:rPr>
          <w:szCs w:val="24"/>
          <w:lang w:val="en-US" w:eastAsia="en-US"/>
        </w:rPr>
        <w:t>best</w:t>
      </w:r>
      <w:r w:rsidR="009A73D6">
        <w:rPr>
          <w:szCs w:val="24"/>
          <w:lang w:val="en-US" w:eastAsia="en-US"/>
        </w:rPr>
        <w:t>”</w:t>
      </w:r>
      <w:r w:rsidRPr="00705294">
        <w:rPr>
          <w:szCs w:val="24"/>
          <w:lang w:val="en-US" w:eastAsia="en-US"/>
        </w:rPr>
        <w:t>.</w:t>
      </w:r>
      <w:r w:rsidR="00231416" w:rsidRPr="00705294">
        <w:rPr>
          <w:szCs w:val="24"/>
          <w:lang w:val="en-US" w:eastAsia="en-US"/>
        </w:rPr>
        <w:t xml:space="preserve"> </w:t>
      </w:r>
      <w:r w:rsidR="007F225D" w:rsidRPr="00705294">
        <w:rPr>
          <w:szCs w:val="24"/>
          <w:lang w:val="en-US" w:eastAsia="en-US"/>
        </w:rPr>
        <w:t>Each interpretation of feminist theory has value, even whilst differing in focus</w:t>
      </w:r>
      <w:r w:rsidR="007A02AC" w:rsidRPr="00705294">
        <w:rPr>
          <w:szCs w:val="24"/>
          <w:lang w:val="en-US" w:eastAsia="en-US"/>
        </w:rPr>
        <w:t xml:space="preserve"> and th</w:t>
      </w:r>
      <w:r w:rsidR="007F225D" w:rsidRPr="00705294">
        <w:rPr>
          <w:szCs w:val="24"/>
          <w:lang w:val="en-US" w:eastAsia="en-US"/>
        </w:rPr>
        <w:t>ey often overlap with each other</w:t>
      </w:r>
      <w:r w:rsidR="00BF4A30" w:rsidRPr="00705294">
        <w:rPr>
          <w:szCs w:val="24"/>
          <w:lang w:val="en-US" w:eastAsia="en-US"/>
        </w:rPr>
        <w:t xml:space="preserve">; many feminists identify with more than one </w:t>
      </w:r>
      <w:r w:rsidR="009A73D6">
        <w:rPr>
          <w:szCs w:val="24"/>
          <w:lang w:val="en-US" w:eastAsia="en-US"/>
        </w:rPr>
        <w:t>“</w:t>
      </w:r>
      <w:r w:rsidR="00BF4A30" w:rsidRPr="00705294">
        <w:rPr>
          <w:szCs w:val="24"/>
          <w:lang w:val="en-US" w:eastAsia="en-US"/>
        </w:rPr>
        <w:t>branch</w:t>
      </w:r>
      <w:r w:rsidR="009A73D6">
        <w:rPr>
          <w:szCs w:val="24"/>
          <w:lang w:val="en-US" w:eastAsia="en-US"/>
        </w:rPr>
        <w:t>”</w:t>
      </w:r>
      <w:r w:rsidR="00BF4A30" w:rsidRPr="00705294">
        <w:rPr>
          <w:szCs w:val="24"/>
          <w:lang w:val="en-US" w:eastAsia="en-US"/>
        </w:rPr>
        <w:t xml:space="preserve"> of feminist thought.</w:t>
      </w:r>
      <w:r w:rsidR="007F225D" w:rsidRPr="00705294">
        <w:rPr>
          <w:szCs w:val="24"/>
          <w:lang w:val="en-US" w:eastAsia="en-US"/>
        </w:rPr>
        <w:t xml:space="preserve"> </w:t>
      </w:r>
      <w:r w:rsidR="006A1977" w:rsidRPr="00705294">
        <w:rPr>
          <w:szCs w:val="24"/>
          <w:lang w:val="en-US" w:eastAsia="en-US"/>
        </w:rPr>
        <w:t>Other studies have explored different types of feminism in more satisfactory detail than can be covered here</w:t>
      </w:r>
      <w:r w:rsidR="00DD13EB">
        <w:rPr>
          <w:szCs w:val="24"/>
          <w:lang w:val="en-US" w:eastAsia="en-US"/>
        </w:rPr>
        <w:t>, but see for example these works</w:t>
      </w:r>
      <w:r w:rsidR="006A1977" w:rsidRPr="00705294">
        <w:rPr>
          <w:szCs w:val="24"/>
          <w:lang w:val="en-US" w:eastAsia="en-US"/>
        </w:rPr>
        <w:t xml:space="preserve"> [</w:t>
      </w:r>
      <w:r w:rsidR="001B2696">
        <w:rPr>
          <w:szCs w:val="24"/>
          <w:lang w:val="en-US" w:eastAsia="en-US"/>
        </w:rPr>
        <w:t>79</w:t>
      </w:r>
      <w:r w:rsidR="002A714F">
        <w:rPr>
          <w:szCs w:val="24"/>
          <w:lang w:val="en-US" w:eastAsia="en-US"/>
        </w:rPr>
        <w:t>–</w:t>
      </w:r>
      <w:r w:rsidR="00C950E3">
        <w:rPr>
          <w:szCs w:val="24"/>
          <w:lang w:val="en-US" w:eastAsia="en-US"/>
        </w:rPr>
        <w:t>85</w:t>
      </w:r>
      <w:r w:rsidR="009A64D7" w:rsidRPr="00705294">
        <w:rPr>
          <w:szCs w:val="24"/>
          <w:lang w:val="en-US" w:eastAsia="en-US"/>
        </w:rPr>
        <w:t>], but a brief overview might suggest that l</w:t>
      </w:r>
      <w:r w:rsidR="007F225D" w:rsidRPr="00705294">
        <w:rPr>
          <w:szCs w:val="24"/>
          <w:lang w:val="en-US" w:eastAsia="en-US"/>
        </w:rPr>
        <w:t>iberal feminism for example, primarily seeks equality of men and women without necessarily seeking radical changes in societal structure.</w:t>
      </w:r>
      <w:r w:rsidR="00231416" w:rsidRPr="00705294">
        <w:rPr>
          <w:szCs w:val="24"/>
          <w:lang w:val="en-US" w:eastAsia="en-US"/>
        </w:rPr>
        <w:t xml:space="preserve"> </w:t>
      </w:r>
      <w:r w:rsidR="007A02AC" w:rsidRPr="00705294">
        <w:rPr>
          <w:szCs w:val="24"/>
          <w:lang w:val="en-US" w:eastAsia="en-US"/>
        </w:rPr>
        <w:t>Radical feminists generally consider that women</w:t>
      </w:r>
      <w:r w:rsidR="0045336C">
        <w:rPr>
          <w:szCs w:val="24"/>
          <w:lang w:val="en-US" w:eastAsia="en-US"/>
        </w:rPr>
        <w:t>’</w:t>
      </w:r>
      <w:r w:rsidR="007A02AC" w:rsidRPr="00705294">
        <w:rPr>
          <w:szCs w:val="24"/>
          <w:lang w:val="en-US" w:eastAsia="en-US"/>
        </w:rPr>
        <w:t>s oppression comes from a sexist patriarchal society that over values male concerns.</w:t>
      </w:r>
      <w:r w:rsidR="00231416" w:rsidRPr="00705294">
        <w:rPr>
          <w:szCs w:val="24"/>
          <w:lang w:val="en-US" w:eastAsia="en-US"/>
        </w:rPr>
        <w:t xml:space="preserve"> </w:t>
      </w:r>
      <w:r w:rsidR="007A02AC" w:rsidRPr="00705294">
        <w:rPr>
          <w:szCs w:val="24"/>
          <w:lang w:val="en-US" w:eastAsia="en-US"/>
        </w:rPr>
        <w:t>For radical feminists, women</w:t>
      </w:r>
      <w:r w:rsidR="0045336C">
        <w:rPr>
          <w:szCs w:val="24"/>
          <w:lang w:val="en-US" w:eastAsia="en-US"/>
        </w:rPr>
        <w:t>’</w:t>
      </w:r>
      <w:r w:rsidR="007A02AC" w:rsidRPr="00705294">
        <w:rPr>
          <w:szCs w:val="24"/>
          <w:lang w:val="en-US" w:eastAsia="en-US"/>
        </w:rPr>
        <w:t xml:space="preserve">s liberation will come through the abolition of sexist society and the values that underpin this patriarchal system. </w:t>
      </w:r>
      <w:r w:rsidR="00F6177B" w:rsidRPr="00705294">
        <w:rPr>
          <w:szCs w:val="24"/>
          <w:lang w:val="en-US" w:eastAsia="en-US"/>
        </w:rPr>
        <w:t xml:space="preserve">Within radical </w:t>
      </w:r>
      <w:r w:rsidR="0083354A" w:rsidRPr="00705294">
        <w:rPr>
          <w:szCs w:val="24"/>
          <w:lang w:val="en-US" w:eastAsia="en-US"/>
        </w:rPr>
        <w:t>feminism,</w:t>
      </w:r>
      <w:r w:rsidR="00F6177B" w:rsidRPr="00705294">
        <w:rPr>
          <w:szCs w:val="24"/>
          <w:lang w:val="en-US" w:eastAsia="en-US"/>
        </w:rPr>
        <w:t xml:space="preserve"> there is an emphasis male violence against women as central to women</w:t>
      </w:r>
      <w:r w:rsidR="0045336C">
        <w:rPr>
          <w:szCs w:val="24"/>
          <w:lang w:val="en-US" w:eastAsia="en-US"/>
        </w:rPr>
        <w:t>’</w:t>
      </w:r>
      <w:r w:rsidR="00F6177B" w:rsidRPr="00705294">
        <w:rPr>
          <w:szCs w:val="24"/>
          <w:lang w:val="en-US" w:eastAsia="en-US"/>
        </w:rPr>
        <w:t>s oppression [</w:t>
      </w:r>
      <w:r w:rsidR="00D70FD6">
        <w:rPr>
          <w:szCs w:val="24"/>
          <w:lang w:val="en-US" w:eastAsia="en-US"/>
        </w:rPr>
        <w:t>8</w:t>
      </w:r>
      <w:r w:rsidR="00C950E3">
        <w:rPr>
          <w:szCs w:val="24"/>
          <w:lang w:val="en-US" w:eastAsia="en-US"/>
        </w:rPr>
        <w:t>6</w:t>
      </w:r>
      <w:r w:rsidR="00F6177B" w:rsidRPr="00705294">
        <w:rPr>
          <w:szCs w:val="24"/>
          <w:lang w:val="en-US" w:eastAsia="en-US"/>
        </w:rPr>
        <w:t xml:space="preserve">]. </w:t>
      </w:r>
      <w:r w:rsidR="007A02AC" w:rsidRPr="00705294">
        <w:rPr>
          <w:szCs w:val="24"/>
          <w:lang w:val="en-US" w:eastAsia="en-US"/>
        </w:rPr>
        <w:t xml:space="preserve">Cultural feminism promotes the idea that there are differences between women and men, but that these differences are </w:t>
      </w:r>
      <w:r w:rsidR="00B06CF5" w:rsidRPr="00705294">
        <w:rPr>
          <w:szCs w:val="24"/>
          <w:lang w:val="en-US" w:eastAsia="en-US"/>
        </w:rPr>
        <w:t>culturally</w:t>
      </w:r>
      <w:r w:rsidR="007A02AC" w:rsidRPr="00705294">
        <w:rPr>
          <w:szCs w:val="24"/>
          <w:lang w:val="en-US" w:eastAsia="en-US"/>
        </w:rPr>
        <w:t xml:space="preserve"> constructed rather than biological</w:t>
      </w:r>
      <w:r w:rsidR="00B06CF5" w:rsidRPr="00705294">
        <w:rPr>
          <w:szCs w:val="24"/>
          <w:lang w:val="en-US" w:eastAsia="en-US"/>
        </w:rPr>
        <w:t xml:space="preserve"> </w:t>
      </w:r>
      <w:r w:rsidR="00C361C4">
        <w:rPr>
          <w:szCs w:val="24"/>
          <w:lang w:val="en-US" w:eastAsia="en-US"/>
        </w:rPr>
        <w:t>(</w:t>
      </w:r>
      <w:r w:rsidR="00B06CF5" w:rsidRPr="00705294">
        <w:rPr>
          <w:szCs w:val="24"/>
          <w:lang w:val="en-US" w:eastAsia="en-US"/>
        </w:rPr>
        <w:t>[</w:t>
      </w:r>
      <w:r w:rsidR="009725E2">
        <w:rPr>
          <w:szCs w:val="24"/>
          <w:lang w:val="en-US" w:eastAsia="en-US"/>
        </w:rPr>
        <w:t>8</w:t>
      </w:r>
      <w:r w:rsidR="00C950E3">
        <w:rPr>
          <w:szCs w:val="24"/>
          <w:lang w:val="en-US" w:eastAsia="en-US"/>
        </w:rPr>
        <w:t>7</w:t>
      </w:r>
      <w:r w:rsidR="00C361C4">
        <w:rPr>
          <w:szCs w:val="24"/>
          <w:lang w:val="en-US" w:eastAsia="en-US"/>
        </w:rPr>
        <w:t>], p.</w:t>
      </w:r>
      <w:r w:rsidR="00C361C4" w:rsidRPr="00C361C4">
        <w:rPr>
          <w:szCs w:val="24"/>
          <w:lang w:val="en-US" w:eastAsia="en-US"/>
        </w:rPr>
        <w:t>32</w:t>
      </w:r>
      <w:r w:rsidR="00C361C4">
        <w:rPr>
          <w:szCs w:val="24"/>
          <w:lang w:val="en-US" w:eastAsia="en-US"/>
        </w:rPr>
        <w:t>)</w:t>
      </w:r>
      <w:r w:rsidR="007A02AC" w:rsidRPr="00705294">
        <w:rPr>
          <w:szCs w:val="24"/>
          <w:lang w:val="en-US" w:eastAsia="en-US"/>
        </w:rPr>
        <w:t>.</w:t>
      </w:r>
      <w:r w:rsidR="00231416" w:rsidRPr="00705294">
        <w:rPr>
          <w:szCs w:val="24"/>
          <w:lang w:val="en-US" w:eastAsia="en-US"/>
        </w:rPr>
        <w:t xml:space="preserve"> </w:t>
      </w:r>
      <w:r w:rsidR="007F225D" w:rsidRPr="00705294">
        <w:rPr>
          <w:szCs w:val="24"/>
          <w:lang w:val="en-US" w:eastAsia="en-US"/>
        </w:rPr>
        <w:t xml:space="preserve">Socialist feminism finds inspiration from </w:t>
      </w:r>
      <w:r w:rsidR="00566BFB" w:rsidRPr="00705294">
        <w:rPr>
          <w:szCs w:val="24"/>
          <w:lang w:val="en-US" w:eastAsia="en-US"/>
        </w:rPr>
        <w:t>Marxist ideas linked to</w:t>
      </w:r>
      <w:r w:rsidR="007F225D" w:rsidRPr="00705294">
        <w:rPr>
          <w:szCs w:val="24"/>
          <w:lang w:val="en-US" w:eastAsia="en-US"/>
        </w:rPr>
        <w:t xml:space="preserve"> the oppression of women </w:t>
      </w:r>
      <w:r w:rsidR="00566BFB" w:rsidRPr="00705294">
        <w:rPr>
          <w:szCs w:val="24"/>
          <w:lang w:val="en-US" w:eastAsia="en-US"/>
        </w:rPr>
        <w:t xml:space="preserve">and </w:t>
      </w:r>
      <w:r w:rsidR="007F225D" w:rsidRPr="00705294">
        <w:rPr>
          <w:szCs w:val="24"/>
          <w:lang w:val="en-US" w:eastAsia="en-US"/>
        </w:rPr>
        <w:t xml:space="preserve">to the issue of capital and </w:t>
      </w:r>
      <w:r w:rsidR="00705294">
        <w:rPr>
          <w:szCs w:val="24"/>
          <w:lang w:val="en-US" w:eastAsia="en-US"/>
        </w:rPr>
        <w:t>labor</w:t>
      </w:r>
      <w:r w:rsidR="007F225D" w:rsidRPr="00705294">
        <w:rPr>
          <w:szCs w:val="24"/>
          <w:lang w:val="en-US" w:eastAsia="en-US"/>
        </w:rPr>
        <w:t xml:space="preserve">. </w:t>
      </w:r>
      <w:r w:rsidR="00B06CF5" w:rsidRPr="00705294">
        <w:rPr>
          <w:szCs w:val="24"/>
          <w:lang w:val="en-US" w:eastAsia="en-US"/>
        </w:rPr>
        <w:t xml:space="preserve">Separatist feminism is closely related to lesbian feminism and focuses on the idea that women are oppressed due to heteronormativity. </w:t>
      </w:r>
      <w:r w:rsidR="00ED3A75" w:rsidRPr="00705294">
        <w:rPr>
          <w:szCs w:val="24"/>
          <w:lang w:val="en-US" w:eastAsia="en-US"/>
        </w:rPr>
        <w:t xml:space="preserve">Black feminism looks to racism as the primary cause of oppression for women </w:t>
      </w:r>
      <w:r w:rsidR="00ED3A75" w:rsidRPr="00936EEC">
        <w:rPr>
          <w:spacing w:val="-2"/>
          <w:szCs w:val="24"/>
          <w:lang w:val="en-US" w:eastAsia="en-US"/>
        </w:rPr>
        <w:t>whilst acknowledging that gender and class inte</w:t>
      </w:r>
      <w:r w:rsidR="00CA1F92" w:rsidRPr="00936EEC">
        <w:rPr>
          <w:spacing w:val="-2"/>
          <w:szCs w:val="24"/>
          <w:lang w:val="en-US" w:eastAsia="en-US"/>
        </w:rPr>
        <w:t xml:space="preserve">rsect with ethnicity and </w:t>
      </w:r>
      <w:r w:rsidR="00705294" w:rsidRPr="00936EEC">
        <w:rPr>
          <w:spacing w:val="-2"/>
          <w:szCs w:val="24"/>
          <w:lang w:val="en-US" w:eastAsia="en-US"/>
        </w:rPr>
        <w:t>color</w:t>
      </w:r>
      <w:r w:rsidR="00ED3A75" w:rsidRPr="00936EEC">
        <w:rPr>
          <w:spacing w:val="-2"/>
          <w:szCs w:val="24"/>
          <w:lang w:val="en-US" w:eastAsia="en-US"/>
        </w:rPr>
        <w:t xml:space="preserve"> [</w:t>
      </w:r>
      <w:r w:rsidR="009725E2" w:rsidRPr="00936EEC">
        <w:rPr>
          <w:spacing w:val="-2"/>
          <w:szCs w:val="24"/>
          <w:lang w:val="en-US" w:eastAsia="en-US"/>
        </w:rPr>
        <w:t>8</w:t>
      </w:r>
      <w:r w:rsidR="00C950E3">
        <w:rPr>
          <w:spacing w:val="-2"/>
          <w:szCs w:val="24"/>
          <w:lang w:val="en-US" w:eastAsia="en-US"/>
        </w:rPr>
        <w:t>8</w:t>
      </w:r>
      <w:r w:rsidR="00ED3A75" w:rsidRPr="00936EEC">
        <w:rPr>
          <w:spacing w:val="-2"/>
          <w:szCs w:val="24"/>
          <w:lang w:val="en-US" w:eastAsia="en-US"/>
        </w:rPr>
        <w:t>].</w:t>
      </w:r>
      <w:r w:rsidR="00231416" w:rsidRPr="00936EEC">
        <w:rPr>
          <w:spacing w:val="-2"/>
          <w:szCs w:val="24"/>
          <w:lang w:val="en-US" w:eastAsia="en-US"/>
        </w:rPr>
        <w:t xml:space="preserve"> </w:t>
      </w:r>
      <w:r w:rsidR="002D383A" w:rsidRPr="00936EEC">
        <w:rPr>
          <w:spacing w:val="-2"/>
          <w:szCs w:val="24"/>
          <w:lang w:val="en-US" w:eastAsia="en-US"/>
        </w:rPr>
        <w:t>Emerging in the early 1970s, l</w:t>
      </w:r>
      <w:r w:rsidR="00790FD9" w:rsidRPr="00936EEC">
        <w:rPr>
          <w:spacing w:val="-2"/>
          <w:szCs w:val="24"/>
          <w:lang w:val="en-US" w:eastAsia="en-US"/>
        </w:rPr>
        <w:t>esbian feminism s</w:t>
      </w:r>
      <w:r w:rsidR="00F34D87" w:rsidRPr="00936EEC">
        <w:rPr>
          <w:spacing w:val="-2"/>
          <w:szCs w:val="24"/>
          <w:lang w:val="en-US" w:eastAsia="en-US"/>
        </w:rPr>
        <w:t xml:space="preserve">ought </w:t>
      </w:r>
      <w:r w:rsidR="00790FD9" w:rsidRPr="00936EEC">
        <w:rPr>
          <w:spacing w:val="-2"/>
          <w:szCs w:val="24"/>
          <w:lang w:val="en-US" w:eastAsia="en-US"/>
        </w:rPr>
        <w:t>to contest</w:t>
      </w:r>
      <w:r w:rsidR="00790FD9" w:rsidRPr="00705294">
        <w:rPr>
          <w:szCs w:val="24"/>
          <w:lang w:val="en-US" w:eastAsia="en-US"/>
        </w:rPr>
        <w:t xml:space="preserve">, among other things, the institution of </w:t>
      </w:r>
      <w:r w:rsidR="003D4347" w:rsidRPr="00705294">
        <w:rPr>
          <w:szCs w:val="24"/>
          <w:lang w:val="en-US" w:eastAsia="en-US"/>
        </w:rPr>
        <w:t>heterosexuality [</w:t>
      </w:r>
      <w:r w:rsidR="009725E2">
        <w:rPr>
          <w:szCs w:val="24"/>
          <w:lang w:val="en-US" w:eastAsia="en-US"/>
        </w:rPr>
        <w:t>8</w:t>
      </w:r>
      <w:r w:rsidR="00C950E3">
        <w:rPr>
          <w:szCs w:val="24"/>
          <w:lang w:val="en-US" w:eastAsia="en-US"/>
        </w:rPr>
        <w:t>9</w:t>
      </w:r>
      <w:r w:rsidR="00CA1F92" w:rsidRPr="00705294">
        <w:rPr>
          <w:szCs w:val="24"/>
          <w:lang w:val="en-US" w:eastAsia="en-US"/>
        </w:rPr>
        <w:t>]</w:t>
      </w:r>
      <w:r w:rsidR="00EC3464" w:rsidRPr="00705294">
        <w:rPr>
          <w:szCs w:val="24"/>
          <w:lang w:val="en-US" w:eastAsia="en-US"/>
        </w:rPr>
        <w:t>, and attempt</w:t>
      </w:r>
      <w:r w:rsidR="00F34D87" w:rsidRPr="00705294">
        <w:rPr>
          <w:szCs w:val="24"/>
          <w:lang w:val="en-US" w:eastAsia="en-US"/>
        </w:rPr>
        <w:t>ed</w:t>
      </w:r>
      <w:r w:rsidR="00EC3464" w:rsidRPr="00705294">
        <w:rPr>
          <w:szCs w:val="24"/>
          <w:lang w:val="en-US" w:eastAsia="en-US"/>
        </w:rPr>
        <w:t xml:space="preserve"> to place focus upon how </w:t>
      </w:r>
      <w:r w:rsidR="005A7C9A" w:rsidRPr="00705294">
        <w:rPr>
          <w:szCs w:val="24"/>
          <w:lang w:val="en-US" w:eastAsia="en-US"/>
        </w:rPr>
        <w:t>persistent structural differences and access to resources can be challenged.</w:t>
      </w:r>
      <w:r w:rsidR="00231416" w:rsidRPr="00705294">
        <w:rPr>
          <w:szCs w:val="24"/>
          <w:lang w:val="en-US" w:eastAsia="en-US"/>
        </w:rPr>
        <w:t xml:space="preserve"> </w:t>
      </w:r>
      <w:r w:rsidR="005A7C9A" w:rsidRPr="00705294">
        <w:rPr>
          <w:szCs w:val="24"/>
          <w:lang w:val="en-US" w:eastAsia="en-US"/>
        </w:rPr>
        <w:t xml:space="preserve">Lesbian feminism </w:t>
      </w:r>
      <w:r w:rsidR="000E273F" w:rsidRPr="00705294">
        <w:rPr>
          <w:szCs w:val="24"/>
          <w:lang w:val="en-US" w:eastAsia="en-US"/>
        </w:rPr>
        <w:t xml:space="preserve">was </w:t>
      </w:r>
      <w:r w:rsidR="005A7C9A" w:rsidRPr="00705294">
        <w:rPr>
          <w:szCs w:val="24"/>
          <w:lang w:val="en-US" w:eastAsia="en-US"/>
        </w:rPr>
        <w:t>challenged for its adherence to a unified or unitary subject.</w:t>
      </w:r>
      <w:r w:rsidR="00231416" w:rsidRPr="00705294">
        <w:rPr>
          <w:szCs w:val="24"/>
          <w:lang w:val="en-US" w:eastAsia="en-US"/>
        </w:rPr>
        <w:t xml:space="preserve"> </w:t>
      </w:r>
      <w:r w:rsidR="005A7C9A" w:rsidRPr="00705294">
        <w:rPr>
          <w:szCs w:val="24"/>
          <w:lang w:val="en-US" w:eastAsia="en-US"/>
        </w:rPr>
        <w:t xml:space="preserve">Indeed, the idea of unified subjectivity has been the basis on which much of feminism (how so ever defined) has been </w:t>
      </w:r>
      <w:r w:rsidR="000E273F" w:rsidRPr="00705294">
        <w:rPr>
          <w:szCs w:val="24"/>
          <w:lang w:val="en-US" w:eastAsia="en-US"/>
        </w:rPr>
        <w:t>critiqued</w:t>
      </w:r>
      <w:r w:rsidR="005A7C9A" w:rsidRPr="00705294">
        <w:rPr>
          <w:szCs w:val="24"/>
          <w:lang w:val="en-US" w:eastAsia="en-US"/>
        </w:rPr>
        <w:t xml:space="preserve"> and arguably, it was dissatisfaction </w:t>
      </w:r>
      <w:r w:rsidR="004F05BA" w:rsidRPr="00705294">
        <w:rPr>
          <w:szCs w:val="24"/>
          <w:lang w:val="en-US" w:eastAsia="en-US"/>
        </w:rPr>
        <w:t>w</w:t>
      </w:r>
      <w:r w:rsidR="005A7C9A" w:rsidRPr="00705294">
        <w:rPr>
          <w:szCs w:val="24"/>
          <w:lang w:val="en-US" w:eastAsia="en-US"/>
        </w:rPr>
        <w:t xml:space="preserve">ith a defined subject that </w:t>
      </w:r>
      <w:r w:rsidR="006A1977" w:rsidRPr="00705294">
        <w:rPr>
          <w:szCs w:val="24"/>
          <w:lang w:val="en-US" w:eastAsia="en-US"/>
        </w:rPr>
        <w:t>helped to gi</w:t>
      </w:r>
      <w:r w:rsidR="005A7C9A" w:rsidRPr="00705294">
        <w:rPr>
          <w:szCs w:val="24"/>
          <w:lang w:val="en-US" w:eastAsia="en-US"/>
        </w:rPr>
        <w:t>ve rise to post-structuralism and Queer Theory.</w:t>
      </w:r>
      <w:r w:rsidR="00231416" w:rsidRPr="00705294">
        <w:rPr>
          <w:szCs w:val="24"/>
          <w:lang w:val="en-US" w:eastAsia="en-US"/>
        </w:rPr>
        <w:t xml:space="preserve"> </w:t>
      </w:r>
      <w:r w:rsidR="00BF4A30" w:rsidRPr="00705294">
        <w:rPr>
          <w:szCs w:val="24"/>
          <w:lang w:val="en-US" w:eastAsia="en-US"/>
        </w:rPr>
        <w:t>There are of course other</w:t>
      </w:r>
      <w:r w:rsidR="00F34D87" w:rsidRPr="00705294">
        <w:rPr>
          <w:szCs w:val="24"/>
          <w:lang w:val="en-US" w:eastAsia="en-US"/>
        </w:rPr>
        <w:t xml:space="preserve"> </w:t>
      </w:r>
      <w:r w:rsidR="009A73D6">
        <w:rPr>
          <w:szCs w:val="24"/>
          <w:lang w:val="en-US" w:eastAsia="en-US"/>
        </w:rPr>
        <w:t>“</w:t>
      </w:r>
      <w:r w:rsidR="00F34D87" w:rsidRPr="00705294">
        <w:rPr>
          <w:szCs w:val="24"/>
          <w:lang w:val="en-US" w:eastAsia="en-US"/>
        </w:rPr>
        <w:t>feminisms</w:t>
      </w:r>
      <w:r w:rsidR="009A73D6">
        <w:rPr>
          <w:szCs w:val="24"/>
          <w:lang w:val="en-US" w:eastAsia="en-US"/>
        </w:rPr>
        <w:t>”</w:t>
      </w:r>
      <w:r w:rsidR="00BF4A30" w:rsidRPr="00705294">
        <w:rPr>
          <w:szCs w:val="24"/>
          <w:lang w:val="en-US" w:eastAsia="en-US"/>
        </w:rPr>
        <w:t xml:space="preserve"> such as third-world </w:t>
      </w:r>
      <w:r w:rsidR="00BF4A30" w:rsidRPr="00C84D92">
        <w:rPr>
          <w:spacing w:val="-4"/>
          <w:szCs w:val="24"/>
          <w:lang w:val="en-US" w:eastAsia="en-US"/>
        </w:rPr>
        <w:t>feminism; Postcolonial feminism; postmodern feminism; standpoint fem</w:t>
      </w:r>
      <w:r w:rsidR="00AB38A9" w:rsidRPr="00C84D92">
        <w:rPr>
          <w:spacing w:val="-4"/>
          <w:szCs w:val="24"/>
          <w:lang w:val="en-US" w:eastAsia="en-US"/>
        </w:rPr>
        <w:t>inism; post-structural feminism.</w:t>
      </w:r>
    </w:p>
    <w:p w14:paraId="6CF8FA29" w14:textId="77A56CA1" w:rsidR="002E3265" w:rsidRPr="00705294" w:rsidRDefault="003B5337" w:rsidP="00AE443F">
      <w:pPr>
        <w:adjustRightInd w:val="0"/>
        <w:snapToGrid w:val="0"/>
        <w:ind w:firstLine="284"/>
        <w:rPr>
          <w:szCs w:val="24"/>
          <w:lang w:val="en-US" w:eastAsia="en-US"/>
        </w:rPr>
      </w:pPr>
      <w:r w:rsidRPr="00705294">
        <w:rPr>
          <w:szCs w:val="24"/>
          <w:lang w:val="en-US" w:eastAsia="en-US"/>
        </w:rPr>
        <w:t xml:space="preserve">Given the enormous scope of what can legitimately be referred to as </w:t>
      </w:r>
      <w:r w:rsidR="009A73D6">
        <w:rPr>
          <w:szCs w:val="24"/>
          <w:lang w:val="en-US" w:eastAsia="en-US"/>
        </w:rPr>
        <w:t>“</w:t>
      </w:r>
      <w:r w:rsidRPr="00705294">
        <w:rPr>
          <w:szCs w:val="24"/>
          <w:lang w:val="en-US" w:eastAsia="en-US"/>
        </w:rPr>
        <w:t>feminist</w:t>
      </w:r>
      <w:r w:rsidR="009A73D6">
        <w:rPr>
          <w:szCs w:val="24"/>
          <w:lang w:val="en-US" w:eastAsia="en-US"/>
        </w:rPr>
        <w:t>”</w:t>
      </w:r>
      <w:r w:rsidRPr="00705294">
        <w:rPr>
          <w:szCs w:val="24"/>
          <w:lang w:val="en-US" w:eastAsia="en-US"/>
        </w:rPr>
        <w:t xml:space="preserve"> work, e</w:t>
      </w:r>
      <w:r w:rsidR="009674DD" w:rsidRPr="00705294">
        <w:rPr>
          <w:szCs w:val="24"/>
          <w:lang w:val="en-US" w:eastAsia="en-US"/>
        </w:rPr>
        <w:t xml:space="preserve">ngaging with the question of </w:t>
      </w:r>
      <w:r w:rsidR="009A73D6">
        <w:rPr>
          <w:szCs w:val="24"/>
          <w:lang w:val="en-US" w:eastAsia="en-US"/>
        </w:rPr>
        <w:t>“</w:t>
      </w:r>
      <w:r w:rsidR="009674DD" w:rsidRPr="00705294">
        <w:rPr>
          <w:szCs w:val="24"/>
          <w:lang w:val="en-US" w:eastAsia="en-US"/>
        </w:rPr>
        <w:t>which feminist</w:t>
      </w:r>
      <w:r w:rsidR="009A73D6">
        <w:rPr>
          <w:szCs w:val="24"/>
          <w:lang w:val="en-US" w:eastAsia="en-US"/>
        </w:rPr>
        <w:t>”</w:t>
      </w:r>
      <w:r w:rsidR="009674DD" w:rsidRPr="00705294">
        <w:rPr>
          <w:szCs w:val="24"/>
          <w:lang w:val="en-US" w:eastAsia="en-US"/>
        </w:rPr>
        <w:t xml:space="preserve"> discourse or methodology should prevail </w:t>
      </w:r>
      <w:r w:rsidR="00A50B33" w:rsidRPr="00705294">
        <w:rPr>
          <w:szCs w:val="24"/>
          <w:lang w:val="en-US" w:eastAsia="en-US"/>
        </w:rPr>
        <w:t xml:space="preserve">would be to </w:t>
      </w:r>
      <w:r w:rsidR="006A1977" w:rsidRPr="00705294">
        <w:rPr>
          <w:szCs w:val="24"/>
          <w:lang w:val="en-US" w:eastAsia="en-US"/>
        </w:rPr>
        <w:t xml:space="preserve">impliedly </w:t>
      </w:r>
      <w:r w:rsidR="00705294" w:rsidRPr="00705294">
        <w:rPr>
          <w:szCs w:val="24"/>
          <w:lang w:val="en-US" w:eastAsia="en-US"/>
        </w:rPr>
        <w:t>criticize</w:t>
      </w:r>
      <w:r w:rsidRPr="00705294">
        <w:rPr>
          <w:szCs w:val="24"/>
          <w:lang w:val="en-US" w:eastAsia="en-US"/>
        </w:rPr>
        <w:t xml:space="preserve"> </w:t>
      </w:r>
      <w:r w:rsidR="00A50B33" w:rsidRPr="00705294">
        <w:rPr>
          <w:szCs w:val="24"/>
          <w:lang w:val="en-US" w:eastAsia="en-US"/>
        </w:rPr>
        <w:t>the choices made by other feminists and feminist methodologies.</w:t>
      </w:r>
      <w:r w:rsidR="00231416" w:rsidRPr="00705294">
        <w:rPr>
          <w:szCs w:val="24"/>
          <w:lang w:val="en-US" w:eastAsia="en-US"/>
        </w:rPr>
        <w:t xml:space="preserve"> </w:t>
      </w:r>
      <w:r w:rsidR="002E3265" w:rsidRPr="00705294">
        <w:rPr>
          <w:szCs w:val="24"/>
          <w:lang w:val="en-US" w:eastAsia="en-US"/>
        </w:rPr>
        <w:t xml:space="preserve">Such an exercise would be an unnecessary distraction. </w:t>
      </w:r>
      <w:r w:rsidR="0083354A" w:rsidRPr="00705294">
        <w:rPr>
          <w:szCs w:val="24"/>
          <w:lang w:val="en-US" w:eastAsia="en-US"/>
        </w:rPr>
        <w:t xml:space="preserve">Whilst ongoing discussions are important to the development of ideas, the </w:t>
      </w:r>
      <w:r w:rsidR="0083354A" w:rsidRPr="00705294">
        <w:rPr>
          <w:szCs w:val="24"/>
          <w:lang w:val="en-US" w:eastAsia="en-US"/>
        </w:rPr>
        <w:lastRenderedPageBreak/>
        <w:t xml:space="preserve">danger is that </w:t>
      </w:r>
      <w:r w:rsidR="009A73D6">
        <w:rPr>
          <w:szCs w:val="24"/>
          <w:lang w:val="en-US" w:eastAsia="en-US"/>
        </w:rPr>
        <w:t>“</w:t>
      </w:r>
      <w:r w:rsidR="0083354A" w:rsidRPr="00705294">
        <w:rPr>
          <w:szCs w:val="24"/>
          <w:lang w:val="en-US" w:eastAsia="en-US"/>
        </w:rPr>
        <w:t>the point becomes one of disagreement rather than looking to new ways of engaging with</w:t>
      </w:r>
      <w:r w:rsidR="00D70FD6">
        <w:rPr>
          <w:szCs w:val="24"/>
          <w:lang w:val="en-US" w:eastAsia="en-US"/>
        </w:rPr>
        <w:t xml:space="preserve"> the issues said to be at stake</w:t>
      </w:r>
      <w:r w:rsidR="00725849">
        <w:rPr>
          <w:szCs w:val="24"/>
          <w:lang w:val="en-US" w:eastAsia="en-US"/>
        </w:rPr>
        <w:t>”</w:t>
      </w:r>
      <w:r w:rsidR="00D70FD6">
        <w:rPr>
          <w:szCs w:val="24"/>
          <w:lang w:val="en-US" w:eastAsia="en-US"/>
        </w:rPr>
        <w:t xml:space="preserve"> </w:t>
      </w:r>
      <w:r w:rsidR="00821EEF">
        <w:rPr>
          <w:szCs w:val="24"/>
          <w:lang w:val="en-US" w:eastAsia="en-US"/>
        </w:rPr>
        <w:t>(</w:t>
      </w:r>
      <w:r w:rsidR="0083354A" w:rsidRPr="00705294">
        <w:rPr>
          <w:szCs w:val="24"/>
          <w:lang w:val="en-US" w:eastAsia="en-US"/>
        </w:rPr>
        <w:t>[</w:t>
      </w:r>
      <w:r w:rsidR="008E1E06">
        <w:rPr>
          <w:szCs w:val="24"/>
          <w:lang w:val="en-US" w:eastAsia="en-US"/>
        </w:rPr>
        <w:t>61</w:t>
      </w:r>
      <w:r w:rsidR="00821EEF">
        <w:rPr>
          <w:szCs w:val="24"/>
          <w:lang w:val="en-US" w:eastAsia="en-US"/>
        </w:rPr>
        <w:t>]</w:t>
      </w:r>
      <w:r w:rsidR="00821EEF" w:rsidRPr="00821EEF">
        <w:rPr>
          <w:szCs w:val="24"/>
          <w:lang w:val="en-US" w:eastAsia="en-US"/>
        </w:rPr>
        <w:t>, p. 3</w:t>
      </w:r>
      <w:r w:rsidR="00821EEF">
        <w:rPr>
          <w:szCs w:val="24"/>
          <w:lang w:val="en-US" w:eastAsia="en-US"/>
        </w:rPr>
        <w:t>)</w:t>
      </w:r>
      <w:r w:rsidR="0083354A" w:rsidRPr="00705294">
        <w:rPr>
          <w:szCs w:val="24"/>
          <w:lang w:val="en-US" w:eastAsia="en-US"/>
        </w:rPr>
        <w:t>.</w:t>
      </w:r>
      <w:r w:rsidR="00231416" w:rsidRPr="00705294">
        <w:rPr>
          <w:szCs w:val="24"/>
          <w:lang w:val="en-US" w:eastAsia="en-US"/>
        </w:rPr>
        <w:t xml:space="preserve"> </w:t>
      </w:r>
      <w:r w:rsidR="002E3265" w:rsidRPr="00705294">
        <w:rPr>
          <w:szCs w:val="24"/>
          <w:lang w:val="en-US" w:eastAsia="en-US"/>
        </w:rPr>
        <w:t xml:space="preserve">If feminists continue to expend energy disagreeing with each other of what </w:t>
      </w:r>
      <w:r w:rsidR="009A73D6">
        <w:rPr>
          <w:szCs w:val="24"/>
          <w:lang w:val="en-US" w:eastAsia="en-US"/>
        </w:rPr>
        <w:t>“</w:t>
      </w:r>
      <w:r w:rsidR="002E3265" w:rsidRPr="00705294">
        <w:rPr>
          <w:szCs w:val="24"/>
          <w:lang w:val="en-US" w:eastAsia="en-US"/>
        </w:rPr>
        <w:t>type</w:t>
      </w:r>
      <w:r w:rsidR="009A73D6">
        <w:rPr>
          <w:szCs w:val="24"/>
          <w:lang w:val="en-US" w:eastAsia="en-US"/>
        </w:rPr>
        <w:t>”</w:t>
      </w:r>
      <w:r w:rsidR="002E3265" w:rsidRPr="00705294">
        <w:rPr>
          <w:szCs w:val="24"/>
          <w:lang w:val="en-US" w:eastAsia="en-US"/>
        </w:rPr>
        <w:t xml:space="preserve"> of feminism should </w:t>
      </w:r>
      <w:r w:rsidR="00DD7BF7" w:rsidRPr="00705294">
        <w:rPr>
          <w:szCs w:val="24"/>
          <w:lang w:val="en-US" w:eastAsia="en-US"/>
        </w:rPr>
        <w:t>prevail</w:t>
      </w:r>
      <w:r w:rsidR="002E3265" w:rsidRPr="00705294">
        <w:rPr>
          <w:szCs w:val="24"/>
          <w:lang w:val="en-US" w:eastAsia="en-US"/>
        </w:rPr>
        <w:t>, patriarchy continues to successfully divide and rule.</w:t>
      </w:r>
      <w:r w:rsidR="00231416" w:rsidRPr="00705294">
        <w:rPr>
          <w:szCs w:val="24"/>
          <w:lang w:val="en-US" w:eastAsia="en-US"/>
        </w:rPr>
        <w:t xml:space="preserve"> </w:t>
      </w:r>
      <w:r w:rsidR="002E3265" w:rsidRPr="00705294">
        <w:rPr>
          <w:szCs w:val="24"/>
          <w:lang w:val="en-US" w:eastAsia="en-US"/>
        </w:rPr>
        <w:t>Suffice to say however that whichever of the different feminist</w:t>
      </w:r>
      <w:r w:rsidR="00DD7BF7" w:rsidRPr="00705294">
        <w:rPr>
          <w:szCs w:val="24"/>
          <w:lang w:val="en-US" w:eastAsia="en-US"/>
        </w:rPr>
        <w:t xml:space="preserve"> methodological approaches are </w:t>
      </w:r>
      <w:r w:rsidR="00DD7BF7" w:rsidRPr="004D5A8B">
        <w:rPr>
          <w:spacing w:val="-2"/>
          <w:szCs w:val="24"/>
          <w:lang w:val="en-US" w:eastAsia="en-US"/>
        </w:rPr>
        <w:t>used</w:t>
      </w:r>
      <w:r w:rsidR="002E3265" w:rsidRPr="004D5A8B">
        <w:rPr>
          <w:spacing w:val="-2"/>
          <w:szCs w:val="24"/>
          <w:lang w:val="en-US" w:eastAsia="en-US"/>
        </w:rPr>
        <w:t>, feminism</w:t>
      </w:r>
      <w:r w:rsidR="0045336C" w:rsidRPr="004D5A8B">
        <w:rPr>
          <w:spacing w:val="-2"/>
          <w:szCs w:val="24"/>
          <w:lang w:val="en-US" w:eastAsia="en-US"/>
        </w:rPr>
        <w:t>’</w:t>
      </w:r>
      <w:r w:rsidR="002E3265" w:rsidRPr="004D5A8B">
        <w:rPr>
          <w:spacing w:val="-2"/>
          <w:szCs w:val="24"/>
          <w:lang w:val="en-US" w:eastAsia="en-US"/>
        </w:rPr>
        <w:t>s focus on gender as an axis of power continues</w:t>
      </w:r>
      <w:r w:rsidR="00DB2976" w:rsidRPr="004D5A8B">
        <w:rPr>
          <w:spacing w:val="-2"/>
          <w:szCs w:val="24"/>
          <w:lang w:val="en-US" w:eastAsia="en-US"/>
        </w:rPr>
        <w:t xml:space="preserve"> to have </w:t>
      </w:r>
      <w:r w:rsidR="009A73D6" w:rsidRPr="004D5A8B">
        <w:rPr>
          <w:spacing w:val="-2"/>
          <w:szCs w:val="24"/>
          <w:lang w:val="en-US" w:eastAsia="en-US"/>
        </w:rPr>
        <w:t>“</w:t>
      </w:r>
      <w:r w:rsidR="00DB2976" w:rsidRPr="004D5A8B">
        <w:rPr>
          <w:spacing w:val="-2"/>
          <w:szCs w:val="24"/>
          <w:lang w:val="en-US" w:eastAsia="en-US"/>
        </w:rPr>
        <w:t>analytic purchase</w:t>
      </w:r>
      <w:r w:rsidR="009A73D6" w:rsidRPr="004D5A8B">
        <w:rPr>
          <w:spacing w:val="-2"/>
          <w:szCs w:val="24"/>
          <w:lang w:val="en-US" w:eastAsia="en-US"/>
        </w:rPr>
        <w:t>”</w:t>
      </w:r>
      <w:r w:rsidR="00DB2976" w:rsidRPr="004D5A8B">
        <w:rPr>
          <w:spacing w:val="-2"/>
          <w:szCs w:val="24"/>
          <w:lang w:val="en-US" w:eastAsia="en-US"/>
        </w:rPr>
        <w:t xml:space="preserve"> </w:t>
      </w:r>
      <w:r w:rsidR="00077400" w:rsidRPr="004D5A8B">
        <w:rPr>
          <w:spacing w:val="-2"/>
          <w:szCs w:val="24"/>
          <w:lang w:val="en-US" w:eastAsia="en-US"/>
        </w:rPr>
        <w:t>(</w:t>
      </w:r>
      <w:r w:rsidR="00DB2976" w:rsidRPr="004D5A8B">
        <w:rPr>
          <w:spacing w:val="-2"/>
          <w:szCs w:val="24"/>
          <w:lang w:val="en-US" w:eastAsia="en-US"/>
        </w:rPr>
        <w:t>[</w:t>
      </w:r>
      <w:r w:rsidR="00C950E3">
        <w:rPr>
          <w:spacing w:val="-2"/>
          <w:szCs w:val="24"/>
          <w:lang w:val="en-US" w:eastAsia="en-US"/>
        </w:rPr>
        <w:t>90</w:t>
      </w:r>
      <w:r w:rsidR="00077400" w:rsidRPr="004D5A8B">
        <w:rPr>
          <w:spacing w:val="-2"/>
          <w:szCs w:val="24"/>
          <w:lang w:val="en-US" w:eastAsia="en-US"/>
        </w:rPr>
        <w:t>], p.</w:t>
      </w:r>
      <w:r w:rsidR="004D5A8B" w:rsidRPr="004D5A8B">
        <w:rPr>
          <w:spacing w:val="-2"/>
          <w:szCs w:val="24"/>
          <w:lang w:val="en-US" w:eastAsia="en-US"/>
        </w:rPr>
        <w:t xml:space="preserve"> </w:t>
      </w:r>
      <w:r w:rsidR="00077400" w:rsidRPr="004D5A8B">
        <w:rPr>
          <w:spacing w:val="-2"/>
          <w:szCs w:val="24"/>
          <w:lang w:val="en-US" w:eastAsia="en-US"/>
        </w:rPr>
        <w:t>24)</w:t>
      </w:r>
      <w:r w:rsidR="002E3265" w:rsidRPr="004D5A8B">
        <w:rPr>
          <w:spacing w:val="-2"/>
          <w:szCs w:val="24"/>
          <w:lang w:val="en-US" w:eastAsia="en-US"/>
        </w:rPr>
        <w:t>.</w:t>
      </w:r>
      <w:r w:rsidR="00231416" w:rsidRPr="00705294">
        <w:rPr>
          <w:szCs w:val="24"/>
          <w:lang w:val="en-US" w:eastAsia="en-US"/>
        </w:rPr>
        <w:t xml:space="preserve"> </w:t>
      </w:r>
      <w:r w:rsidR="00A50B33" w:rsidRPr="00705294">
        <w:rPr>
          <w:szCs w:val="24"/>
          <w:lang w:val="en-US" w:eastAsia="en-US"/>
        </w:rPr>
        <w:t xml:space="preserve">Of singular importance to any type of feminist discourse </w:t>
      </w:r>
      <w:r w:rsidR="00803CBB" w:rsidRPr="00705294">
        <w:rPr>
          <w:szCs w:val="24"/>
          <w:lang w:val="en-US" w:eastAsia="en-US"/>
        </w:rPr>
        <w:t>are</w:t>
      </w:r>
      <w:r w:rsidR="00A50B33" w:rsidRPr="00705294">
        <w:rPr>
          <w:szCs w:val="24"/>
          <w:lang w:val="en-US" w:eastAsia="en-US"/>
        </w:rPr>
        <w:t xml:space="preserve"> t</w:t>
      </w:r>
      <w:r w:rsidR="002E3265" w:rsidRPr="00705294">
        <w:rPr>
          <w:szCs w:val="24"/>
          <w:lang w:val="en-US" w:eastAsia="en-US"/>
        </w:rPr>
        <w:t xml:space="preserve">he issue of patriarchally defined gender </w:t>
      </w:r>
      <w:r w:rsidR="00A50B33" w:rsidRPr="00705294">
        <w:rPr>
          <w:szCs w:val="24"/>
          <w:lang w:val="en-US" w:eastAsia="en-US"/>
        </w:rPr>
        <w:t xml:space="preserve">performativity and the facilitating of investigations in to normative gendered practices and assumptions. This issue </w:t>
      </w:r>
      <w:r w:rsidR="002E3265" w:rsidRPr="00705294">
        <w:rPr>
          <w:szCs w:val="24"/>
          <w:lang w:val="en-US" w:eastAsia="en-US"/>
        </w:rPr>
        <w:t>is central to feminism and feminist studies in ways in which it</w:t>
      </w:r>
      <w:r w:rsidR="00A50B33" w:rsidRPr="00705294">
        <w:rPr>
          <w:szCs w:val="24"/>
          <w:lang w:val="en-US" w:eastAsia="en-US"/>
        </w:rPr>
        <w:t xml:space="preserve"> is not central to Queer Theory</w:t>
      </w:r>
      <w:r w:rsidR="002F6A5C" w:rsidRPr="00705294">
        <w:rPr>
          <w:szCs w:val="24"/>
          <w:lang w:val="en-US" w:eastAsia="en-US"/>
        </w:rPr>
        <w:t xml:space="preserve">, failing as it does to compensate adequately </w:t>
      </w:r>
      <w:r w:rsidR="009A73D6">
        <w:rPr>
          <w:szCs w:val="24"/>
          <w:lang w:val="en-US" w:eastAsia="en-US"/>
        </w:rPr>
        <w:t>“</w:t>
      </w:r>
      <w:r w:rsidR="002F6A5C" w:rsidRPr="00705294">
        <w:rPr>
          <w:szCs w:val="24"/>
          <w:lang w:val="en-US" w:eastAsia="en-US"/>
        </w:rPr>
        <w:t>for real, persistent structural differences in style, ideology, and access to resources</w:t>
      </w:r>
      <w:r w:rsidR="009A73D6">
        <w:rPr>
          <w:szCs w:val="24"/>
          <w:lang w:val="en-US" w:eastAsia="en-US"/>
        </w:rPr>
        <w:t>”</w:t>
      </w:r>
      <w:r w:rsidR="002F6A5C" w:rsidRPr="00705294">
        <w:rPr>
          <w:szCs w:val="24"/>
          <w:lang w:val="en-US" w:eastAsia="en-US"/>
        </w:rPr>
        <w:t xml:space="preserve"> [</w:t>
      </w:r>
      <w:r w:rsidR="00C950E3">
        <w:rPr>
          <w:szCs w:val="24"/>
          <w:lang w:val="en-US" w:eastAsia="en-US"/>
        </w:rPr>
        <w:t>91</w:t>
      </w:r>
      <w:r w:rsidR="002F6A5C" w:rsidRPr="00705294">
        <w:rPr>
          <w:szCs w:val="24"/>
          <w:lang w:val="en-US" w:eastAsia="en-US"/>
        </w:rPr>
        <w:t>].</w:t>
      </w:r>
      <w:r w:rsidR="00A50B33" w:rsidRPr="00705294">
        <w:rPr>
          <w:szCs w:val="24"/>
          <w:lang w:val="en-US" w:eastAsia="en-US"/>
        </w:rPr>
        <w:t xml:space="preserve"> If </w:t>
      </w:r>
      <w:r w:rsidR="002E3265" w:rsidRPr="00705294">
        <w:rPr>
          <w:szCs w:val="24"/>
          <w:lang w:val="en-US" w:eastAsia="en-US"/>
        </w:rPr>
        <w:t xml:space="preserve">Queer Theory has demonstrably failed to </w:t>
      </w:r>
      <w:r w:rsidR="00A50B33" w:rsidRPr="00705294">
        <w:rPr>
          <w:szCs w:val="24"/>
          <w:lang w:val="en-US" w:eastAsia="en-US"/>
        </w:rPr>
        <w:t>have analytic purchase on patriarchally defined gender performativity, w</w:t>
      </w:r>
      <w:r w:rsidR="002E3265" w:rsidRPr="00705294">
        <w:rPr>
          <w:szCs w:val="24"/>
          <w:lang w:val="en-US" w:eastAsia="en-US"/>
        </w:rPr>
        <w:t xml:space="preserve">hat </w:t>
      </w:r>
      <w:r w:rsidR="00A50B33" w:rsidRPr="00705294">
        <w:rPr>
          <w:szCs w:val="24"/>
          <w:lang w:val="en-US" w:eastAsia="en-US"/>
        </w:rPr>
        <w:t xml:space="preserve">might be a possible future </w:t>
      </w:r>
      <w:r w:rsidR="002E3265" w:rsidRPr="00705294">
        <w:rPr>
          <w:szCs w:val="24"/>
          <w:lang w:val="en-US" w:eastAsia="en-US"/>
        </w:rPr>
        <w:t>for Queer Theory?</w:t>
      </w:r>
    </w:p>
    <w:p w14:paraId="6C8D282B" w14:textId="1AFD50A8" w:rsidR="002A714F" w:rsidRDefault="00D003DC" w:rsidP="00AE443F">
      <w:pPr>
        <w:adjustRightInd w:val="0"/>
        <w:snapToGrid w:val="0"/>
        <w:ind w:firstLine="284"/>
        <w:rPr>
          <w:szCs w:val="24"/>
          <w:lang w:val="en-US" w:eastAsia="en-US"/>
        </w:rPr>
      </w:pPr>
      <w:r w:rsidRPr="00705294">
        <w:rPr>
          <w:szCs w:val="24"/>
          <w:lang w:val="en-US" w:eastAsia="en-US"/>
        </w:rPr>
        <w:t xml:space="preserve">Before moving on to examine </w:t>
      </w:r>
      <w:r w:rsidR="00E15686" w:rsidRPr="00705294">
        <w:rPr>
          <w:szCs w:val="24"/>
          <w:lang w:val="en-US" w:eastAsia="en-US"/>
        </w:rPr>
        <w:t xml:space="preserve">some of these </w:t>
      </w:r>
      <w:r w:rsidRPr="00705294">
        <w:rPr>
          <w:szCs w:val="24"/>
          <w:lang w:val="en-US" w:eastAsia="en-US"/>
        </w:rPr>
        <w:t>possible futures and alternatives</w:t>
      </w:r>
      <w:r w:rsidR="00E15686" w:rsidRPr="00705294">
        <w:rPr>
          <w:szCs w:val="24"/>
          <w:lang w:val="en-US" w:eastAsia="en-US"/>
        </w:rPr>
        <w:t>,</w:t>
      </w:r>
      <w:r w:rsidRPr="00705294">
        <w:rPr>
          <w:szCs w:val="24"/>
          <w:lang w:val="en-US" w:eastAsia="en-US"/>
        </w:rPr>
        <w:t xml:space="preserve"> I wish to pause briefly to outline </w:t>
      </w:r>
      <w:r w:rsidR="002E3265" w:rsidRPr="00705294">
        <w:rPr>
          <w:szCs w:val="24"/>
          <w:lang w:val="en-US" w:eastAsia="en-US"/>
        </w:rPr>
        <w:t>a further concern with Queer Theory</w:t>
      </w:r>
      <w:r w:rsidRPr="00705294">
        <w:rPr>
          <w:szCs w:val="24"/>
          <w:lang w:val="en-US" w:eastAsia="en-US"/>
        </w:rPr>
        <w:t xml:space="preserve">; that of </w:t>
      </w:r>
      <w:r w:rsidR="005E69C7" w:rsidRPr="00705294">
        <w:rPr>
          <w:szCs w:val="24"/>
          <w:lang w:val="en-US" w:eastAsia="en-US"/>
        </w:rPr>
        <w:t>the whiteness of queer theory.</w:t>
      </w:r>
      <w:r w:rsidR="00231416" w:rsidRPr="00705294">
        <w:rPr>
          <w:szCs w:val="24"/>
          <w:lang w:val="en-US" w:eastAsia="en-US"/>
        </w:rPr>
        <w:t xml:space="preserve"> </w:t>
      </w:r>
      <w:r w:rsidR="005E69C7" w:rsidRPr="00705294">
        <w:rPr>
          <w:szCs w:val="24"/>
          <w:lang w:val="en-US" w:eastAsia="en-US"/>
        </w:rPr>
        <w:t>P</w:t>
      </w:r>
      <w:r w:rsidRPr="00705294">
        <w:rPr>
          <w:szCs w:val="24"/>
          <w:lang w:val="en-US" w:eastAsia="en-US"/>
        </w:rPr>
        <w:t>ostcolonial queer theory</w:t>
      </w:r>
      <w:r w:rsidR="005E69C7" w:rsidRPr="00705294">
        <w:rPr>
          <w:szCs w:val="24"/>
          <w:lang w:val="en-US" w:eastAsia="en-US"/>
        </w:rPr>
        <w:t xml:space="preserve"> is deserving of a significantly greater and more ext</w:t>
      </w:r>
      <w:r w:rsidR="002E3265" w:rsidRPr="00705294">
        <w:rPr>
          <w:szCs w:val="24"/>
          <w:lang w:val="en-US" w:eastAsia="en-US"/>
        </w:rPr>
        <w:t xml:space="preserve">ensive analysis than can be given here; indeed the issue of what postcolonial queer theorist can or cannot contribute to our understanding of the age of consent debate justifies separate, further </w:t>
      </w:r>
      <w:r w:rsidR="00723CF7" w:rsidRPr="00705294">
        <w:rPr>
          <w:szCs w:val="24"/>
          <w:lang w:val="en-US" w:eastAsia="en-US"/>
        </w:rPr>
        <w:t>research</w:t>
      </w:r>
      <w:r w:rsidR="002E3265" w:rsidRPr="00705294">
        <w:rPr>
          <w:szCs w:val="24"/>
          <w:lang w:val="en-US" w:eastAsia="en-US"/>
        </w:rPr>
        <w:t>.</w:t>
      </w:r>
      <w:r w:rsidR="00231416" w:rsidRPr="00705294">
        <w:rPr>
          <w:szCs w:val="24"/>
          <w:lang w:val="en-US" w:eastAsia="en-US"/>
        </w:rPr>
        <w:t xml:space="preserve"> </w:t>
      </w:r>
      <w:r w:rsidR="002E3265" w:rsidRPr="00705294">
        <w:rPr>
          <w:szCs w:val="24"/>
          <w:lang w:val="en-US" w:eastAsia="en-US"/>
        </w:rPr>
        <w:t>However, I never the less wish to acknowledge, albeit briefly, the implicit imperial whiteness of Queer Theory.</w:t>
      </w:r>
      <w:r w:rsidR="00231416" w:rsidRPr="00705294">
        <w:rPr>
          <w:szCs w:val="24"/>
          <w:lang w:val="en-US" w:eastAsia="en-US"/>
        </w:rPr>
        <w:t xml:space="preserve"> </w:t>
      </w:r>
      <w:r w:rsidR="002E3265" w:rsidRPr="00705294">
        <w:rPr>
          <w:szCs w:val="24"/>
          <w:lang w:val="en-US" w:eastAsia="en-US"/>
        </w:rPr>
        <w:t>The prevalence of white gay men w</w:t>
      </w:r>
      <w:r w:rsidR="00FE37B2" w:rsidRPr="00705294">
        <w:rPr>
          <w:szCs w:val="24"/>
          <w:lang w:val="en-US" w:eastAsia="en-US"/>
        </w:rPr>
        <w:t xml:space="preserve">ithin Queer Theory </w:t>
      </w:r>
      <w:r w:rsidR="00FD22F3">
        <w:rPr>
          <w:szCs w:val="24"/>
          <w:lang w:val="en-US" w:eastAsia="en-US"/>
        </w:rPr>
        <w:t>(</w:t>
      </w:r>
      <w:r w:rsidR="00FE37B2" w:rsidRPr="00705294">
        <w:rPr>
          <w:szCs w:val="24"/>
          <w:lang w:val="en-US" w:eastAsia="en-US"/>
        </w:rPr>
        <w:t>[</w:t>
      </w:r>
      <w:r w:rsidR="00C950E3">
        <w:rPr>
          <w:szCs w:val="24"/>
          <w:lang w:val="en-US" w:eastAsia="en-US"/>
        </w:rPr>
        <w:t>92</w:t>
      </w:r>
      <w:r w:rsidR="00FD22F3">
        <w:rPr>
          <w:szCs w:val="24"/>
          <w:lang w:val="en-US" w:eastAsia="en-US"/>
        </w:rPr>
        <w:t>]</w:t>
      </w:r>
      <w:r w:rsidR="00FD22F3" w:rsidRPr="00FD22F3">
        <w:rPr>
          <w:szCs w:val="24"/>
          <w:lang w:val="en-US" w:eastAsia="en-US"/>
        </w:rPr>
        <w:t>, p. 7</w:t>
      </w:r>
      <w:r w:rsidR="00FD22F3">
        <w:rPr>
          <w:szCs w:val="24"/>
          <w:lang w:val="en-US" w:eastAsia="en-US"/>
        </w:rPr>
        <w:t>),</w:t>
      </w:r>
      <w:r w:rsidR="002E3265" w:rsidRPr="00705294">
        <w:rPr>
          <w:szCs w:val="24"/>
          <w:lang w:val="en-US" w:eastAsia="en-US"/>
        </w:rPr>
        <w:t xml:space="preserve"> has been commented upon and writers such as Kapur have set out to try and de</w:t>
      </w:r>
      <w:r w:rsidR="00705294">
        <w:rPr>
          <w:szCs w:val="24"/>
          <w:lang w:val="en-US" w:eastAsia="en-US"/>
        </w:rPr>
        <w:t>center</w:t>
      </w:r>
      <w:r w:rsidR="002E3265" w:rsidRPr="00705294">
        <w:rPr>
          <w:szCs w:val="24"/>
          <w:lang w:val="en-US" w:eastAsia="en-US"/>
        </w:rPr>
        <w:t xml:space="preserve"> queer theory by refusing to use queer theory as </w:t>
      </w:r>
      <w:r w:rsidR="009A73D6">
        <w:rPr>
          <w:szCs w:val="24"/>
          <w:lang w:val="en-US" w:eastAsia="en-US"/>
        </w:rPr>
        <w:t>“</w:t>
      </w:r>
      <w:r w:rsidR="002E3265" w:rsidRPr="00705294">
        <w:rPr>
          <w:szCs w:val="24"/>
          <w:lang w:val="en-US" w:eastAsia="en-US"/>
        </w:rPr>
        <w:t>the</w:t>
      </w:r>
      <w:r w:rsidR="00B065F9" w:rsidRPr="00705294">
        <w:rPr>
          <w:szCs w:val="24"/>
          <w:lang w:val="en-US" w:eastAsia="en-US"/>
        </w:rPr>
        <w:t xml:space="preserve"> starting point</w:t>
      </w:r>
      <w:r w:rsidR="009A73D6">
        <w:rPr>
          <w:szCs w:val="24"/>
          <w:lang w:val="en-US" w:eastAsia="en-US"/>
        </w:rPr>
        <w:t>”</w:t>
      </w:r>
      <w:r w:rsidR="00B065F9" w:rsidRPr="00705294">
        <w:rPr>
          <w:szCs w:val="24"/>
          <w:lang w:val="en-US" w:eastAsia="en-US"/>
        </w:rPr>
        <w:t xml:space="preserve"> of analysis </w:t>
      </w:r>
      <w:r w:rsidR="008140AC">
        <w:rPr>
          <w:szCs w:val="24"/>
          <w:lang w:val="en-US" w:eastAsia="en-US"/>
        </w:rPr>
        <w:t>(</w:t>
      </w:r>
      <w:r w:rsidR="00B065F9" w:rsidRPr="00705294">
        <w:rPr>
          <w:szCs w:val="24"/>
          <w:lang w:val="en-US" w:eastAsia="en-US"/>
        </w:rPr>
        <w:t>[</w:t>
      </w:r>
      <w:r w:rsidR="00C950E3">
        <w:rPr>
          <w:szCs w:val="24"/>
          <w:lang w:val="en-US" w:eastAsia="en-US"/>
        </w:rPr>
        <w:t>93</w:t>
      </w:r>
      <w:r w:rsidR="008140AC">
        <w:rPr>
          <w:szCs w:val="24"/>
          <w:lang w:val="en-US" w:eastAsia="en-US"/>
        </w:rPr>
        <w:t>]</w:t>
      </w:r>
      <w:r w:rsidR="008140AC" w:rsidRPr="008140AC">
        <w:rPr>
          <w:szCs w:val="24"/>
          <w:lang w:val="en-US" w:eastAsia="en-US"/>
        </w:rPr>
        <w:t>, p. 38</w:t>
      </w:r>
      <w:r w:rsidR="008140AC">
        <w:rPr>
          <w:szCs w:val="24"/>
          <w:lang w:val="en-US" w:eastAsia="en-US"/>
        </w:rPr>
        <w:t>)</w:t>
      </w:r>
      <w:r w:rsidR="002E3265" w:rsidRPr="00705294">
        <w:rPr>
          <w:szCs w:val="24"/>
          <w:lang w:val="en-US" w:eastAsia="en-US"/>
        </w:rPr>
        <w:t xml:space="preserve">. Others, such as Puar, have examined the concepts of </w:t>
      </w:r>
      <w:r w:rsidR="009A73D6">
        <w:rPr>
          <w:szCs w:val="24"/>
          <w:lang w:val="en-US" w:eastAsia="en-US"/>
        </w:rPr>
        <w:t>“</w:t>
      </w:r>
      <w:r w:rsidR="002E3265" w:rsidRPr="00705294">
        <w:rPr>
          <w:szCs w:val="24"/>
          <w:lang w:val="en-US" w:eastAsia="en-US"/>
        </w:rPr>
        <w:t>Sikh</w:t>
      </w:r>
      <w:r w:rsidR="009A73D6">
        <w:rPr>
          <w:szCs w:val="24"/>
          <w:lang w:val="en-US" w:eastAsia="en-US"/>
        </w:rPr>
        <w:t>”</w:t>
      </w:r>
      <w:r w:rsidR="002E3265" w:rsidRPr="00705294">
        <w:rPr>
          <w:szCs w:val="24"/>
          <w:lang w:val="en-US" w:eastAsia="en-US"/>
        </w:rPr>
        <w:t xml:space="preserve"> and </w:t>
      </w:r>
      <w:r w:rsidR="009A73D6">
        <w:rPr>
          <w:szCs w:val="24"/>
          <w:lang w:val="en-US" w:eastAsia="en-US"/>
        </w:rPr>
        <w:t>“</w:t>
      </w:r>
      <w:r w:rsidR="002E3265" w:rsidRPr="00705294">
        <w:rPr>
          <w:szCs w:val="24"/>
          <w:lang w:val="en-US" w:eastAsia="en-US"/>
        </w:rPr>
        <w:t>Muslim</w:t>
      </w:r>
      <w:r w:rsidR="009A73D6">
        <w:rPr>
          <w:szCs w:val="24"/>
          <w:lang w:val="en-US" w:eastAsia="en-US"/>
        </w:rPr>
        <w:t>”</w:t>
      </w:r>
      <w:r w:rsidR="002E3265" w:rsidRPr="00705294">
        <w:rPr>
          <w:szCs w:val="24"/>
          <w:lang w:val="en-US" w:eastAsia="en-US"/>
        </w:rPr>
        <w:t xml:space="preserve"> from a queer perspective looking at how the war on terror </w:t>
      </w:r>
      <w:r w:rsidR="009A73D6">
        <w:rPr>
          <w:szCs w:val="24"/>
          <w:lang w:val="en-US" w:eastAsia="en-US"/>
        </w:rPr>
        <w:t>“</w:t>
      </w:r>
      <w:r w:rsidR="002E3265" w:rsidRPr="00705294">
        <w:rPr>
          <w:szCs w:val="24"/>
          <w:lang w:val="en-US" w:eastAsia="en-US"/>
        </w:rPr>
        <w:t>reconciles queerness to the liberal demands of rational subject formation</w:t>
      </w:r>
      <w:r w:rsidR="009A73D6">
        <w:rPr>
          <w:szCs w:val="24"/>
          <w:lang w:val="en-US" w:eastAsia="en-US"/>
        </w:rPr>
        <w:t>”</w:t>
      </w:r>
      <w:r w:rsidR="002E3265" w:rsidRPr="00705294">
        <w:rPr>
          <w:szCs w:val="24"/>
          <w:lang w:val="en-US" w:eastAsia="en-US"/>
        </w:rPr>
        <w:t>.</w:t>
      </w:r>
      <w:r w:rsidR="00231416" w:rsidRPr="00705294">
        <w:rPr>
          <w:szCs w:val="24"/>
          <w:lang w:val="en-US" w:eastAsia="en-US"/>
        </w:rPr>
        <w:t xml:space="preserve"> </w:t>
      </w:r>
      <w:r w:rsidR="002E3265" w:rsidRPr="00705294">
        <w:rPr>
          <w:szCs w:val="24"/>
          <w:lang w:val="en-US" w:eastAsia="en-US"/>
        </w:rPr>
        <w:t xml:space="preserve">In so doing, Puar exposes how Sikhs and Muslims are constructed as </w:t>
      </w:r>
      <w:r w:rsidR="009A73D6">
        <w:rPr>
          <w:szCs w:val="24"/>
          <w:lang w:val="en-US" w:eastAsia="en-US"/>
        </w:rPr>
        <w:t>“</w:t>
      </w:r>
      <w:r w:rsidR="002E3265" w:rsidRPr="00705294">
        <w:rPr>
          <w:szCs w:val="24"/>
          <w:lang w:val="en-US" w:eastAsia="en-US"/>
        </w:rPr>
        <w:t xml:space="preserve">homophobic and </w:t>
      </w:r>
      <w:r w:rsidR="009A73D6">
        <w:rPr>
          <w:szCs w:val="24"/>
          <w:lang w:val="en-US" w:eastAsia="en-US"/>
        </w:rPr>
        <w:t>“</w:t>
      </w:r>
      <w:r w:rsidR="002E3265" w:rsidRPr="00705294">
        <w:rPr>
          <w:szCs w:val="24"/>
          <w:lang w:val="en-US" w:eastAsia="en-US"/>
        </w:rPr>
        <w:t>backward</w:t>
      </w:r>
      <w:r w:rsidR="009A73D6">
        <w:rPr>
          <w:szCs w:val="24"/>
          <w:lang w:val="en-US" w:eastAsia="en-US"/>
        </w:rPr>
        <w:t>”</w:t>
      </w:r>
      <w:r w:rsidR="002E3265" w:rsidRPr="00705294">
        <w:rPr>
          <w:szCs w:val="24"/>
          <w:lang w:val="en-US" w:eastAsia="en-US"/>
        </w:rPr>
        <w:t>, whilst simultaneously constructing the We</w:t>
      </w:r>
      <w:r w:rsidR="00B065F9" w:rsidRPr="00705294">
        <w:rPr>
          <w:szCs w:val="24"/>
          <w:lang w:val="en-US" w:eastAsia="en-US"/>
        </w:rPr>
        <w:t xml:space="preserve">stern identity as </w:t>
      </w:r>
      <w:r w:rsidR="009A73D6">
        <w:rPr>
          <w:szCs w:val="24"/>
          <w:lang w:val="en-US" w:eastAsia="en-US"/>
        </w:rPr>
        <w:t>“</w:t>
      </w:r>
      <w:r w:rsidR="00B065F9" w:rsidRPr="00705294">
        <w:rPr>
          <w:szCs w:val="24"/>
          <w:lang w:val="en-US" w:eastAsia="en-US"/>
        </w:rPr>
        <w:t>tolerant</w:t>
      </w:r>
      <w:r w:rsidR="009A73D6">
        <w:rPr>
          <w:szCs w:val="24"/>
          <w:lang w:val="en-US" w:eastAsia="en-US"/>
        </w:rPr>
        <w:t>”</w:t>
      </w:r>
      <w:r w:rsidR="00B065F9" w:rsidRPr="00705294">
        <w:rPr>
          <w:szCs w:val="24"/>
          <w:lang w:val="en-US" w:eastAsia="en-US"/>
        </w:rPr>
        <w:t xml:space="preserve"> [</w:t>
      </w:r>
      <w:r w:rsidR="00C950E3">
        <w:rPr>
          <w:szCs w:val="24"/>
          <w:lang w:val="en-US" w:eastAsia="en-US"/>
        </w:rPr>
        <w:t>94</w:t>
      </w:r>
      <w:r w:rsidR="002E3265" w:rsidRPr="00705294">
        <w:rPr>
          <w:szCs w:val="24"/>
          <w:lang w:val="en-US" w:eastAsia="en-US"/>
        </w:rPr>
        <w:t>]</w:t>
      </w:r>
      <w:r w:rsidR="00705294">
        <w:rPr>
          <w:szCs w:val="24"/>
          <w:lang w:val="en-US" w:eastAsia="en-US"/>
        </w:rPr>
        <w:t xml:space="preserve">. Therefore, </w:t>
      </w:r>
      <w:r w:rsidR="002E3265" w:rsidRPr="00705294">
        <w:rPr>
          <w:szCs w:val="24"/>
          <w:lang w:val="en-US" w:eastAsia="en-US"/>
        </w:rPr>
        <w:t>pervasive and unacknowledged has been the whiteness of queer theory, that it has led some writers to suggest that</w:t>
      </w:r>
      <w:r w:rsidR="0045336C" w:rsidRPr="0045336C">
        <w:rPr>
          <w:szCs w:val="24"/>
          <w:lang w:val="en-US" w:eastAsia="en-US"/>
        </w:rPr>
        <w:t>,</w:t>
      </w:r>
    </w:p>
    <w:p w14:paraId="2EDC0878" w14:textId="10ED7B1E" w:rsidR="002E3265" w:rsidRPr="00705294" w:rsidRDefault="002E3265" w:rsidP="002A714F">
      <w:pPr>
        <w:pStyle w:val="Mdeck4textlrindent"/>
        <w:spacing w:before="120" w:after="120"/>
        <w:rPr>
          <w:szCs w:val="24"/>
          <w:lang w:eastAsia="en-US"/>
        </w:rPr>
      </w:pPr>
      <w:r w:rsidRPr="00705294">
        <w:rPr>
          <w:szCs w:val="24"/>
          <w:lang w:eastAsia="en-US"/>
        </w:rPr>
        <w:t>[M]</w:t>
      </w:r>
      <w:proofErr w:type="spellStart"/>
      <w:r w:rsidRPr="00705294">
        <w:rPr>
          <w:szCs w:val="24"/>
          <w:lang w:eastAsia="en-US"/>
        </w:rPr>
        <w:t>uch</w:t>
      </w:r>
      <w:proofErr w:type="spellEnd"/>
      <w:r w:rsidRPr="00705294">
        <w:rPr>
          <w:szCs w:val="24"/>
          <w:lang w:eastAsia="en-US"/>
        </w:rPr>
        <w:t xml:space="preserve"> of queer theory nowadays sounds like a metanarrative about the domestic affairs of white homosexuals.</w:t>
      </w:r>
      <w:r w:rsidR="00231416" w:rsidRPr="00705294">
        <w:rPr>
          <w:szCs w:val="24"/>
          <w:lang w:eastAsia="en-US"/>
        </w:rPr>
        <w:t xml:space="preserve"> </w:t>
      </w:r>
      <w:r w:rsidRPr="00705294">
        <w:rPr>
          <w:szCs w:val="24"/>
          <w:lang w:eastAsia="en-US"/>
        </w:rPr>
        <w:t>Surely, Queer studies promises more than a history of gay men, a sociology of gay male sex clubs, an anthology of gay male tourism, a s</w:t>
      </w:r>
      <w:r w:rsidR="00D233E6" w:rsidRPr="00705294">
        <w:rPr>
          <w:szCs w:val="24"/>
          <w:lang w:eastAsia="en-US"/>
        </w:rPr>
        <w:t xml:space="preserve">urvey of gay male aesthetics </w:t>
      </w:r>
      <w:r w:rsidR="00DD4DC2">
        <w:rPr>
          <w:szCs w:val="24"/>
          <w:lang w:eastAsia="en-US"/>
        </w:rPr>
        <w:t>(</w:t>
      </w:r>
      <w:r w:rsidR="00D233E6" w:rsidRPr="00705294">
        <w:rPr>
          <w:szCs w:val="24"/>
          <w:lang w:eastAsia="en-US"/>
        </w:rPr>
        <w:t>[</w:t>
      </w:r>
      <w:r w:rsidR="00C950E3">
        <w:rPr>
          <w:szCs w:val="24"/>
          <w:lang w:eastAsia="en-US"/>
        </w:rPr>
        <w:t>95</w:t>
      </w:r>
      <w:r w:rsidR="00DD4DC2">
        <w:rPr>
          <w:szCs w:val="24"/>
          <w:lang w:eastAsia="en-US"/>
        </w:rPr>
        <w:t>]</w:t>
      </w:r>
      <w:r w:rsidR="00DD4DC2" w:rsidRPr="00DD4DC2">
        <w:rPr>
          <w:szCs w:val="24"/>
          <w:lang w:eastAsia="en-US"/>
        </w:rPr>
        <w:t>, p. 12</w:t>
      </w:r>
      <w:r w:rsidR="00DD4DC2">
        <w:rPr>
          <w:szCs w:val="24"/>
          <w:lang w:eastAsia="en-US"/>
        </w:rPr>
        <w:t>)</w:t>
      </w:r>
      <w:r w:rsidRPr="00705294">
        <w:rPr>
          <w:szCs w:val="24"/>
          <w:lang w:eastAsia="en-US"/>
        </w:rPr>
        <w:t>.</w:t>
      </w:r>
    </w:p>
    <w:p w14:paraId="4A3DA588" w14:textId="77777777" w:rsidR="002E3265" w:rsidRPr="00705294" w:rsidRDefault="00FF7938" w:rsidP="0044290D">
      <w:pPr>
        <w:pStyle w:val="Mdeck4text"/>
        <w:rPr>
          <w:szCs w:val="24"/>
          <w:lang w:eastAsia="en-US"/>
        </w:rPr>
      </w:pPr>
      <w:r w:rsidRPr="00705294">
        <w:rPr>
          <w:szCs w:val="24"/>
          <w:lang w:eastAsia="en-US"/>
        </w:rPr>
        <w:t xml:space="preserve">It would appear therefore that Queer Theory has become a methodology for white gay </w:t>
      </w:r>
      <w:r w:rsidR="004C3E86" w:rsidRPr="00705294">
        <w:rPr>
          <w:szCs w:val="24"/>
          <w:lang w:eastAsia="en-US"/>
        </w:rPr>
        <w:t>men</w:t>
      </w:r>
      <w:r w:rsidR="008327D8" w:rsidRPr="00705294">
        <w:rPr>
          <w:szCs w:val="24"/>
          <w:lang w:eastAsia="en-US"/>
        </w:rPr>
        <w:t>; g</w:t>
      </w:r>
      <w:r w:rsidR="004C3E86" w:rsidRPr="00705294">
        <w:rPr>
          <w:szCs w:val="24"/>
          <w:lang w:eastAsia="en-US"/>
        </w:rPr>
        <w:t xml:space="preserve">iven these limitations, should Queer Theory be </w:t>
      </w:r>
      <w:r w:rsidRPr="00705294">
        <w:rPr>
          <w:szCs w:val="24"/>
          <w:lang w:eastAsia="en-US"/>
        </w:rPr>
        <w:t>abandon</w:t>
      </w:r>
      <w:r w:rsidR="004C3E86" w:rsidRPr="00705294">
        <w:rPr>
          <w:szCs w:val="24"/>
          <w:lang w:eastAsia="en-US"/>
        </w:rPr>
        <w:t>ed completely?</w:t>
      </w:r>
      <w:r w:rsidR="00231416" w:rsidRPr="00705294">
        <w:rPr>
          <w:szCs w:val="24"/>
          <w:lang w:eastAsia="en-US"/>
        </w:rPr>
        <w:t xml:space="preserve"> </w:t>
      </w:r>
      <w:r w:rsidRPr="00705294">
        <w:rPr>
          <w:szCs w:val="24"/>
          <w:lang w:eastAsia="en-US"/>
        </w:rPr>
        <w:t xml:space="preserve">Is there any way perhaps that Queer Theory, or some alternative </w:t>
      </w:r>
      <w:r w:rsidR="008327D8" w:rsidRPr="00705294">
        <w:rPr>
          <w:szCs w:val="24"/>
          <w:lang w:eastAsia="en-US"/>
        </w:rPr>
        <w:t xml:space="preserve">interpretation </w:t>
      </w:r>
      <w:r w:rsidRPr="00705294">
        <w:rPr>
          <w:szCs w:val="24"/>
          <w:lang w:eastAsia="en-US"/>
        </w:rPr>
        <w:t>of it, could possibly continue to be used?</w:t>
      </w:r>
    </w:p>
    <w:p w14:paraId="3A042640" w14:textId="12AB09C5" w:rsidR="002E3265" w:rsidRPr="00705294" w:rsidRDefault="00E83502" w:rsidP="005C686B">
      <w:pPr>
        <w:pStyle w:val="Mdeck4heading1"/>
        <w:rPr>
          <w:szCs w:val="24"/>
          <w:lang w:eastAsia="en-US"/>
        </w:rPr>
      </w:pPr>
      <w:r>
        <w:rPr>
          <w:szCs w:val="24"/>
          <w:lang w:eastAsia="en-US"/>
        </w:rPr>
        <w:t>8</w:t>
      </w:r>
      <w:r w:rsidR="002E3265" w:rsidRPr="00705294">
        <w:rPr>
          <w:szCs w:val="24"/>
          <w:lang w:eastAsia="en-US"/>
        </w:rPr>
        <w:t xml:space="preserve">. </w:t>
      </w:r>
      <w:r>
        <w:rPr>
          <w:szCs w:val="24"/>
          <w:lang w:eastAsia="en-US"/>
        </w:rPr>
        <w:t>“</w:t>
      </w:r>
      <w:r w:rsidR="002E3265" w:rsidRPr="00705294">
        <w:rPr>
          <w:szCs w:val="24"/>
          <w:lang w:eastAsia="en-US"/>
        </w:rPr>
        <w:t>Post-</w:t>
      </w:r>
      <w:r w:rsidR="00956A94" w:rsidRPr="00705294">
        <w:rPr>
          <w:szCs w:val="24"/>
          <w:lang w:eastAsia="en-US"/>
        </w:rPr>
        <w:t>Queer</w:t>
      </w:r>
      <w:r>
        <w:rPr>
          <w:szCs w:val="24"/>
          <w:lang w:eastAsia="en-US"/>
        </w:rPr>
        <w:t>”</w:t>
      </w:r>
      <w:r w:rsidR="00956A94" w:rsidRPr="00705294">
        <w:rPr>
          <w:szCs w:val="24"/>
          <w:lang w:eastAsia="en-US"/>
        </w:rPr>
        <w:t xml:space="preserve"> </w:t>
      </w:r>
      <w:r w:rsidR="002E3265" w:rsidRPr="00705294">
        <w:rPr>
          <w:szCs w:val="24"/>
          <w:lang w:eastAsia="en-US"/>
        </w:rPr>
        <w:t xml:space="preserve">as a </w:t>
      </w:r>
      <w:r w:rsidR="00956A94" w:rsidRPr="00705294">
        <w:rPr>
          <w:szCs w:val="24"/>
          <w:lang w:eastAsia="en-US"/>
        </w:rPr>
        <w:t>Way Forward</w:t>
      </w:r>
      <w:r w:rsidR="002E3265" w:rsidRPr="00705294">
        <w:rPr>
          <w:szCs w:val="24"/>
          <w:lang w:eastAsia="en-US"/>
        </w:rPr>
        <w:t xml:space="preserve">? </w:t>
      </w:r>
    </w:p>
    <w:p w14:paraId="4C3C48E7" w14:textId="79400679" w:rsidR="002E3265" w:rsidRPr="00705294" w:rsidRDefault="002E3265" w:rsidP="009E2DD2">
      <w:pPr>
        <w:adjustRightInd w:val="0"/>
        <w:snapToGrid w:val="0"/>
        <w:ind w:firstLine="284"/>
        <w:rPr>
          <w:szCs w:val="24"/>
          <w:lang w:val="en-US" w:eastAsia="en-US"/>
        </w:rPr>
      </w:pPr>
      <w:r w:rsidRPr="00705294">
        <w:rPr>
          <w:szCs w:val="24"/>
          <w:lang w:val="en-US" w:eastAsia="en-US"/>
        </w:rPr>
        <w:t xml:space="preserve">Given that Queer Theory no longer does </w:t>
      </w:r>
      <w:r w:rsidR="009A73D6">
        <w:rPr>
          <w:szCs w:val="24"/>
          <w:lang w:val="en-US" w:eastAsia="en-US"/>
        </w:rPr>
        <w:t>“</w:t>
      </w:r>
      <w:r w:rsidRPr="00705294">
        <w:rPr>
          <w:szCs w:val="24"/>
          <w:lang w:val="en-US" w:eastAsia="en-US"/>
        </w:rPr>
        <w:t>what it says on the tin</w:t>
      </w:r>
      <w:r w:rsidR="009A73D6">
        <w:rPr>
          <w:szCs w:val="24"/>
          <w:lang w:val="en-US" w:eastAsia="en-US"/>
        </w:rPr>
        <w:t>”</w:t>
      </w:r>
      <w:r w:rsidRPr="00705294">
        <w:rPr>
          <w:szCs w:val="24"/>
          <w:lang w:val="en-US" w:eastAsia="en-US"/>
        </w:rPr>
        <w:t xml:space="preserve">, what scope is there then for a possible re-interpretation </w:t>
      </w:r>
      <w:r w:rsidR="001C4521" w:rsidRPr="00705294">
        <w:rPr>
          <w:szCs w:val="24"/>
          <w:lang w:val="en-US" w:eastAsia="en-US"/>
        </w:rPr>
        <w:t xml:space="preserve">or re-formulation </w:t>
      </w:r>
      <w:r w:rsidRPr="00705294">
        <w:rPr>
          <w:szCs w:val="24"/>
          <w:lang w:val="en-US" w:eastAsia="en-US"/>
        </w:rPr>
        <w:t>of Queer Theory? Is it possible to re-</w:t>
      </w:r>
      <w:r w:rsidR="00705294">
        <w:rPr>
          <w:szCs w:val="24"/>
          <w:lang w:val="en-US" w:eastAsia="en-US"/>
        </w:rPr>
        <w:t>conceptualize</w:t>
      </w:r>
      <w:r w:rsidRPr="00705294">
        <w:rPr>
          <w:szCs w:val="24"/>
          <w:lang w:val="en-US" w:eastAsia="en-US"/>
        </w:rPr>
        <w:t xml:space="preserve"> the</w:t>
      </w:r>
      <w:r w:rsidR="0086574F" w:rsidRPr="00705294">
        <w:rPr>
          <w:szCs w:val="24"/>
          <w:lang w:val="en-US" w:eastAsia="en-US"/>
        </w:rPr>
        <w:t xml:space="preserve"> </w:t>
      </w:r>
      <w:r w:rsidRPr="00705294">
        <w:rPr>
          <w:szCs w:val="24"/>
          <w:lang w:val="en-US" w:eastAsia="en-US"/>
        </w:rPr>
        <w:t>theor</w:t>
      </w:r>
      <w:r w:rsidR="0086574F" w:rsidRPr="00705294">
        <w:rPr>
          <w:szCs w:val="24"/>
          <w:lang w:val="en-US" w:eastAsia="en-US"/>
        </w:rPr>
        <w:t>y</w:t>
      </w:r>
      <w:r w:rsidRPr="00705294">
        <w:rPr>
          <w:szCs w:val="24"/>
          <w:lang w:val="en-US" w:eastAsia="en-US"/>
        </w:rPr>
        <w:t xml:space="preserve"> or indeed to discover or develop new theories in order to address the problems outlined above? Might it be possible to think in terms of </w:t>
      </w:r>
      <w:r w:rsidR="009A73D6">
        <w:rPr>
          <w:szCs w:val="24"/>
          <w:lang w:val="en-US" w:eastAsia="en-US"/>
        </w:rPr>
        <w:t>“</w:t>
      </w:r>
      <w:r w:rsidRPr="00705294">
        <w:rPr>
          <w:szCs w:val="24"/>
          <w:lang w:val="en-US" w:eastAsia="en-US"/>
        </w:rPr>
        <w:t>post-queer</w:t>
      </w:r>
      <w:r w:rsidR="009A73D6">
        <w:rPr>
          <w:szCs w:val="24"/>
          <w:lang w:val="en-US" w:eastAsia="en-US"/>
        </w:rPr>
        <w:t>”</w:t>
      </w:r>
      <w:r w:rsidRPr="00705294">
        <w:rPr>
          <w:szCs w:val="24"/>
          <w:lang w:val="en-US" w:eastAsia="en-US"/>
        </w:rPr>
        <w:t xml:space="preserve"> or</w:t>
      </w:r>
      <w:r w:rsidR="001C4521" w:rsidRPr="00705294">
        <w:rPr>
          <w:szCs w:val="24"/>
          <w:lang w:val="en-US" w:eastAsia="en-US"/>
        </w:rPr>
        <w:t xml:space="preserve"> a</w:t>
      </w:r>
      <w:r w:rsidRPr="00705294">
        <w:rPr>
          <w:szCs w:val="24"/>
          <w:lang w:val="en-US" w:eastAsia="en-US"/>
        </w:rPr>
        <w:t xml:space="preserve"> </w:t>
      </w:r>
      <w:r w:rsidR="009A73D6">
        <w:rPr>
          <w:szCs w:val="24"/>
          <w:lang w:val="en-US" w:eastAsia="en-US"/>
        </w:rPr>
        <w:t>“</w:t>
      </w:r>
      <w:r w:rsidRPr="00705294">
        <w:rPr>
          <w:szCs w:val="24"/>
          <w:lang w:val="en-US" w:eastAsia="en-US"/>
        </w:rPr>
        <w:t>n</w:t>
      </w:r>
      <w:r w:rsidR="004A39A0" w:rsidRPr="00705294">
        <w:rPr>
          <w:szCs w:val="24"/>
          <w:lang w:val="en-US" w:eastAsia="en-US"/>
        </w:rPr>
        <w:t>eo-queer</w:t>
      </w:r>
      <w:r w:rsidR="009A73D6">
        <w:rPr>
          <w:szCs w:val="24"/>
          <w:lang w:val="en-US" w:eastAsia="en-US"/>
        </w:rPr>
        <w:t>”</w:t>
      </w:r>
      <w:r w:rsidR="004A39A0" w:rsidRPr="00705294">
        <w:rPr>
          <w:szCs w:val="24"/>
          <w:lang w:val="en-US" w:eastAsia="en-US"/>
        </w:rPr>
        <w:t xml:space="preserve"> theoretical </w:t>
      </w:r>
      <w:r w:rsidR="00FD7BC7" w:rsidRPr="00705294">
        <w:rPr>
          <w:szCs w:val="24"/>
          <w:lang w:val="en-US" w:eastAsia="en-US"/>
        </w:rPr>
        <w:t>framework that</w:t>
      </w:r>
      <w:r w:rsidR="004A39A0" w:rsidRPr="00705294">
        <w:rPr>
          <w:szCs w:val="24"/>
          <w:lang w:val="en-US" w:eastAsia="en-US"/>
        </w:rPr>
        <w:t xml:space="preserve"> might </w:t>
      </w:r>
      <w:r w:rsidR="00C9797E" w:rsidRPr="00705294">
        <w:rPr>
          <w:szCs w:val="24"/>
          <w:lang w:val="en-US" w:eastAsia="en-US"/>
        </w:rPr>
        <w:t>address some of the shortcomings of Queer Theory</w:t>
      </w:r>
      <w:r w:rsidR="004A39A0" w:rsidRPr="00705294">
        <w:rPr>
          <w:szCs w:val="24"/>
          <w:lang w:val="en-US" w:eastAsia="en-US"/>
        </w:rPr>
        <w:t>?</w:t>
      </w:r>
    </w:p>
    <w:p w14:paraId="3FC5B616" w14:textId="65813C18" w:rsidR="00634676" w:rsidRPr="00705294" w:rsidRDefault="002E3265" w:rsidP="00AE443F">
      <w:pPr>
        <w:adjustRightInd w:val="0"/>
        <w:snapToGrid w:val="0"/>
        <w:ind w:firstLine="284"/>
        <w:rPr>
          <w:szCs w:val="24"/>
          <w:lang w:val="en-US" w:eastAsia="en-US"/>
        </w:rPr>
      </w:pPr>
      <w:r w:rsidRPr="00705294">
        <w:rPr>
          <w:szCs w:val="24"/>
          <w:lang w:val="en-US" w:eastAsia="en-US"/>
        </w:rPr>
        <w:lastRenderedPageBreak/>
        <w:t xml:space="preserve">I suggest that a </w:t>
      </w:r>
      <w:r w:rsidR="00616026" w:rsidRPr="00705294">
        <w:rPr>
          <w:szCs w:val="24"/>
          <w:lang w:val="en-US" w:eastAsia="en-US"/>
        </w:rPr>
        <w:t xml:space="preserve">fusion </w:t>
      </w:r>
      <w:r w:rsidRPr="00705294">
        <w:rPr>
          <w:szCs w:val="24"/>
          <w:lang w:val="en-US" w:eastAsia="en-US"/>
        </w:rPr>
        <w:t xml:space="preserve">of some of the </w:t>
      </w:r>
      <w:r w:rsidR="008D7267" w:rsidRPr="00705294">
        <w:rPr>
          <w:szCs w:val="24"/>
          <w:lang w:val="en-US" w:eastAsia="en-US"/>
        </w:rPr>
        <w:t xml:space="preserve">disruptive </w:t>
      </w:r>
      <w:r w:rsidRPr="00705294">
        <w:rPr>
          <w:szCs w:val="24"/>
          <w:lang w:val="en-US" w:eastAsia="en-US"/>
        </w:rPr>
        <w:t xml:space="preserve">aspects of Queer Theory and feminism could go some way towards incorporating the concerns outlined above. </w:t>
      </w:r>
      <w:r w:rsidR="00705294">
        <w:rPr>
          <w:szCs w:val="24"/>
          <w:lang w:val="en-US" w:eastAsia="en-US"/>
        </w:rPr>
        <w:t>Recognizing</w:t>
      </w:r>
      <w:r w:rsidR="00911979" w:rsidRPr="00705294">
        <w:rPr>
          <w:szCs w:val="24"/>
          <w:lang w:val="en-US" w:eastAsia="en-US"/>
        </w:rPr>
        <w:t xml:space="preserve"> that the concerns raised in this article represent </w:t>
      </w:r>
      <w:r w:rsidR="00616026" w:rsidRPr="00705294">
        <w:rPr>
          <w:szCs w:val="24"/>
          <w:lang w:val="en-US" w:eastAsia="en-US"/>
        </w:rPr>
        <w:t xml:space="preserve">only </w:t>
      </w:r>
      <w:r w:rsidR="00911979" w:rsidRPr="00705294">
        <w:rPr>
          <w:szCs w:val="24"/>
          <w:lang w:val="en-US" w:eastAsia="en-US"/>
        </w:rPr>
        <w:t xml:space="preserve">a small part in a much larger on-going project, I </w:t>
      </w:r>
      <w:r w:rsidR="00616026" w:rsidRPr="00705294">
        <w:rPr>
          <w:szCs w:val="24"/>
          <w:lang w:val="en-US" w:eastAsia="en-US"/>
        </w:rPr>
        <w:t xml:space="preserve">have termed </w:t>
      </w:r>
      <w:r w:rsidR="00911979" w:rsidRPr="00705294">
        <w:rPr>
          <w:szCs w:val="24"/>
          <w:lang w:val="en-US" w:eastAsia="en-US"/>
        </w:rPr>
        <w:t xml:space="preserve">this </w:t>
      </w:r>
      <w:r w:rsidR="00616026" w:rsidRPr="00705294">
        <w:rPr>
          <w:szCs w:val="24"/>
          <w:lang w:val="en-US" w:eastAsia="en-US"/>
        </w:rPr>
        <w:t>(</w:t>
      </w:r>
      <w:r w:rsidR="00911979" w:rsidRPr="00705294">
        <w:rPr>
          <w:szCs w:val="24"/>
          <w:lang w:val="en-US" w:eastAsia="en-US"/>
        </w:rPr>
        <w:t>for the time being</w:t>
      </w:r>
      <w:r w:rsidR="00616026" w:rsidRPr="00705294">
        <w:rPr>
          <w:szCs w:val="24"/>
          <w:lang w:val="en-US" w:eastAsia="en-US"/>
        </w:rPr>
        <w:t>)</w:t>
      </w:r>
      <w:r w:rsidR="00911979" w:rsidRPr="00705294">
        <w:rPr>
          <w:szCs w:val="24"/>
          <w:lang w:val="en-US" w:eastAsia="en-US"/>
        </w:rPr>
        <w:t xml:space="preserve">, </w:t>
      </w:r>
      <w:r w:rsidR="009A73D6">
        <w:rPr>
          <w:szCs w:val="24"/>
          <w:lang w:val="en-US" w:eastAsia="en-US"/>
        </w:rPr>
        <w:t>“</w:t>
      </w:r>
      <w:r w:rsidR="00911979" w:rsidRPr="00705294">
        <w:rPr>
          <w:szCs w:val="24"/>
          <w:lang w:val="en-US" w:eastAsia="en-US"/>
        </w:rPr>
        <w:t>neo-feminist queer theory</w:t>
      </w:r>
      <w:r w:rsidR="009A73D6">
        <w:rPr>
          <w:szCs w:val="24"/>
          <w:lang w:val="en-US" w:eastAsia="en-US"/>
        </w:rPr>
        <w:t>”</w:t>
      </w:r>
      <w:r w:rsidR="00911979" w:rsidRPr="00705294">
        <w:rPr>
          <w:szCs w:val="24"/>
          <w:lang w:val="en-US" w:eastAsia="en-US"/>
        </w:rPr>
        <w:t>.</w:t>
      </w:r>
      <w:r w:rsidR="00231416" w:rsidRPr="00705294">
        <w:rPr>
          <w:szCs w:val="24"/>
          <w:lang w:val="en-US" w:eastAsia="en-US"/>
        </w:rPr>
        <w:t xml:space="preserve"> </w:t>
      </w:r>
      <w:r w:rsidRPr="00705294">
        <w:rPr>
          <w:szCs w:val="24"/>
          <w:lang w:val="en-US" w:eastAsia="en-US"/>
        </w:rPr>
        <w:t>In many ways, I wish to preserve the deconstr</w:t>
      </w:r>
      <w:r w:rsidR="00466235" w:rsidRPr="00705294">
        <w:rPr>
          <w:szCs w:val="24"/>
          <w:lang w:val="en-US" w:eastAsia="en-US"/>
        </w:rPr>
        <w:t>uction</w:t>
      </w:r>
      <w:r w:rsidRPr="00705294">
        <w:rPr>
          <w:szCs w:val="24"/>
          <w:lang w:val="en-US" w:eastAsia="en-US"/>
        </w:rPr>
        <w:t>ist function</w:t>
      </w:r>
      <w:r w:rsidR="00400C48" w:rsidRPr="00705294">
        <w:rPr>
          <w:szCs w:val="24"/>
          <w:lang w:val="en-US" w:eastAsia="en-US"/>
        </w:rPr>
        <w:t>ality</w:t>
      </w:r>
      <w:r w:rsidRPr="00705294">
        <w:rPr>
          <w:szCs w:val="24"/>
          <w:lang w:val="en-US" w:eastAsia="en-US"/>
        </w:rPr>
        <w:t xml:space="preserve"> of Queer Theory, </w:t>
      </w:r>
      <w:r w:rsidR="00400C48" w:rsidRPr="00705294">
        <w:rPr>
          <w:szCs w:val="24"/>
          <w:lang w:val="en-US" w:eastAsia="en-US"/>
        </w:rPr>
        <w:t>as it has the potentiality to facilitate an avoidance of using gender as a definitional tool. Queer Theory has helped enormously in seeing gender as that which is discursively constructed and performed.</w:t>
      </w:r>
      <w:r w:rsidR="00231416" w:rsidRPr="00705294">
        <w:rPr>
          <w:szCs w:val="24"/>
          <w:lang w:val="en-US" w:eastAsia="en-US"/>
        </w:rPr>
        <w:t xml:space="preserve"> </w:t>
      </w:r>
      <w:r w:rsidR="009A7062" w:rsidRPr="00705294">
        <w:rPr>
          <w:szCs w:val="24"/>
          <w:lang w:val="en-US" w:eastAsia="en-US"/>
        </w:rPr>
        <w:t>I suggest that a possible way forward might be a</w:t>
      </w:r>
      <w:r w:rsidR="00400C48" w:rsidRPr="00705294">
        <w:rPr>
          <w:szCs w:val="24"/>
          <w:lang w:val="en-US" w:eastAsia="en-US"/>
        </w:rPr>
        <w:t xml:space="preserve"> return to the feminist concern of gender with Queer</w:t>
      </w:r>
      <w:r w:rsidR="003E78B6">
        <w:rPr>
          <w:szCs w:val="24"/>
          <w:lang w:val="en-US" w:eastAsia="en-US"/>
        </w:rPr>
        <w:t>’</w:t>
      </w:r>
      <w:r w:rsidR="00400C48" w:rsidRPr="00705294">
        <w:rPr>
          <w:szCs w:val="24"/>
          <w:lang w:val="en-US" w:eastAsia="en-US"/>
        </w:rPr>
        <w:t xml:space="preserve">s focus on </w:t>
      </w:r>
      <w:r w:rsidR="009A7062" w:rsidRPr="00705294">
        <w:rPr>
          <w:szCs w:val="24"/>
          <w:lang w:val="en-US" w:eastAsia="en-US"/>
        </w:rPr>
        <w:t>disrupting</w:t>
      </w:r>
      <w:r w:rsidR="00400C48" w:rsidRPr="00705294">
        <w:rPr>
          <w:szCs w:val="24"/>
          <w:lang w:val="en-US" w:eastAsia="en-US"/>
        </w:rPr>
        <w:t xml:space="preserve"> ideas of </w:t>
      </w:r>
      <w:r w:rsidR="009A73D6">
        <w:rPr>
          <w:szCs w:val="24"/>
          <w:lang w:val="en-US" w:eastAsia="en-US"/>
        </w:rPr>
        <w:t>“</w:t>
      </w:r>
      <w:r w:rsidR="00400C48" w:rsidRPr="00705294">
        <w:rPr>
          <w:szCs w:val="24"/>
          <w:lang w:val="en-US" w:eastAsia="en-US"/>
        </w:rPr>
        <w:t>normal</w:t>
      </w:r>
      <w:r w:rsidR="009A7062" w:rsidRPr="00705294">
        <w:rPr>
          <w:szCs w:val="24"/>
          <w:lang w:val="en-US" w:eastAsia="en-US"/>
        </w:rPr>
        <w:t>ity</w:t>
      </w:r>
      <w:r w:rsidR="009A73D6">
        <w:rPr>
          <w:szCs w:val="24"/>
          <w:lang w:val="en-US" w:eastAsia="en-US"/>
        </w:rPr>
        <w:t>”</w:t>
      </w:r>
      <w:r w:rsidR="00616026" w:rsidRPr="00705294">
        <w:rPr>
          <w:szCs w:val="24"/>
          <w:lang w:val="en-US" w:eastAsia="en-US"/>
        </w:rPr>
        <w:t xml:space="preserve"> which will help to continue the much needed critique of heterosexuality</w:t>
      </w:r>
      <w:r w:rsidR="009A7062" w:rsidRPr="00705294">
        <w:rPr>
          <w:szCs w:val="24"/>
          <w:lang w:val="en-US" w:eastAsia="en-US"/>
        </w:rPr>
        <w:t xml:space="preserve">. </w:t>
      </w:r>
      <w:r w:rsidRPr="00705294">
        <w:rPr>
          <w:szCs w:val="24"/>
          <w:lang w:val="en-US" w:eastAsia="en-US"/>
        </w:rPr>
        <w:t xml:space="preserve">Perhaps it might be possible to </w:t>
      </w:r>
      <w:r w:rsidR="00705294">
        <w:rPr>
          <w:szCs w:val="24"/>
          <w:lang w:val="en-US" w:eastAsia="en-US"/>
        </w:rPr>
        <w:t>conceptualize</w:t>
      </w:r>
      <w:r w:rsidRPr="00705294">
        <w:rPr>
          <w:szCs w:val="24"/>
          <w:lang w:val="en-US" w:eastAsia="en-US"/>
        </w:rPr>
        <w:t xml:space="preserve"> the material body and the material subject</w:t>
      </w:r>
      <w:r w:rsidR="009A7062" w:rsidRPr="00705294">
        <w:rPr>
          <w:szCs w:val="24"/>
          <w:lang w:val="en-US" w:eastAsia="en-US"/>
        </w:rPr>
        <w:t xml:space="preserve"> as an on-going ontological process</w:t>
      </w:r>
      <w:r w:rsidRPr="00705294">
        <w:rPr>
          <w:szCs w:val="24"/>
          <w:lang w:val="en-US" w:eastAsia="en-US"/>
        </w:rPr>
        <w:t>, not only in relation to discourse and deconstruction, but also in relation to institutions such as the State, the family, the court</w:t>
      </w:r>
      <w:r w:rsidR="007E786A" w:rsidRPr="00705294">
        <w:rPr>
          <w:szCs w:val="24"/>
          <w:lang w:val="en-US" w:eastAsia="en-US"/>
        </w:rPr>
        <w:t>s</w:t>
      </w:r>
      <w:r w:rsidRPr="00705294">
        <w:rPr>
          <w:szCs w:val="24"/>
          <w:lang w:val="en-US" w:eastAsia="en-US"/>
        </w:rPr>
        <w:t xml:space="preserve"> and so forth. This would mean that </w:t>
      </w:r>
      <w:r w:rsidR="009A73D6">
        <w:rPr>
          <w:szCs w:val="24"/>
          <w:lang w:val="en-US" w:eastAsia="en-US"/>
        </w:rPr>
        <w:t>“</w:t>
      </w:r>
      <w:r w:rsidRPr="00705294">
        <w:rPr>
          <w:szCs w:val="24"/>
          <w:lang w:val="en-US" w:eastAsia="en-US"/>
        </w:rPr>
        <w:t>the subject</w:t>
      </w:r>
      <w:r w:rsidR="009A73D6">
        <w:rPr>
          <w:szCs w:val="24"/>
          <w:lang w:val="en-US" w:eastAsia="en-US"/>
        </w:rPr>
        <w:t>”</w:t>
      </w:r>
      <w:r w:rsidRPr="00705294">
        <w:rPr>
          <w:szCs w:val="24"/>
          <w:lang w:val="en-US" w:eastAsia="en-US"/>
        </w:rPr>
        <w:t xml:space="preserve"> </w:t>
      </w:r>
      <w:r w:rsidR="00FD7BC7" w:rsidRPr="00705294">
        <w:rPr>
          <w:szCs w:val="24"/>
          <w:lang w:val="en-US" w:eastAsia="en-US"/>
        </w:rPr>
        <w:t>could</w:t>
      </w:r>
      <w:r w:rsidRPr="00705294">
        <w:rPr>
          <w:szCs w:val="24"/>
          <w:lang w:val="en-US" w:eastAsia="en-US"/>
        </w:rPr>
        <w:t xml:space="preserve"> be studied as </w:t>
      </w:r>
      <w:r w:rsidR="00FD3892" w:rsidRPr="00705294">
        <w:rPr>
          <w:szCs w:val="24"/>
          <w:lang w:val="en-US" w:eastAsia="en-US"/>
        </w:rPr>
        <w:t xml:space="preserve">the </w:t>
      </w:r>
      <w:r w:rsidR="009A7062" w:rsidRPr="00705294">
        <w:rPr>
          <w:szCs w:val="24"/>
          <w:lang w:val="en-US" w:eastAsia="en-US"/>
        </w:rPr>
        <w:t xml:space="preserve">on-going </w:t>
      </w:r>
      <w:r w:rsidR="00723CF7" w:rsidRPr="00705294">
        <w:rPr>
          <w:szCs w:val="24"/>
          <w:lang w:val="en-US" w:eastAsia="en-US"/>
        </w:rPr>
        <w:t>phenomenon</w:t>
      </w:r>
      <w:r w:rsidR="00FD3892" w:rsidRPr="00705294">
        <w:rPr>
          <w:szCs w:val="24"/>
          <w:lang w:val="en-US" w:eastAsia="en-US"/>
        </w:rPr>
        <w:t xml:space="preserve"> </w:t>
      </w:r>
      <w:r w:rsidR="00723CF7" w:rsidRPr="00705294">
        <w:rPr>
          <w:szCs w:val="24"/>
          <w:lang w:val="en-US" w:eastAsia="en-US"/>
        </w:rPr>
        <w:t>existing</w:t>
      </w:r>
      <w:r w:rsidR="00FD3892" w:rsidRPr="00705294">
        <w:rPr>
          <w:szCs w:val="24"/>
          <w:lang w:val="en-US" w:eastAsia="en-US"/>
        </w:rPr>
        <w:t xml:space="preserve"> in the gap</w:t>
      </w:r>
      <w:r w:rsidR="009A7062" w:rsidRPr="00705294">
        <w:rPr>
          <w:szCs w:val="24"/>
          <w:lang w:val="en-US" w:eastAsia="en-US"/>
        </w:rPr>
        <w:t>(s)</w:t>
      </w:r>
      <w:r w:rsidR="00FD3892" w:rsidRPr="00705294">
        <w:rPr>
          <w:szCs w:val="24"/>
          <w:lang w:val="en-US" w:eastAsia="en-US"/>
        </w:rPr>
        <w:t xml:space="preserve"> between the discursive creation </w:t>
      </w:r>
      <w:r w:rsidRPr="00705294">
        <w:rPr>
          <w:szCs w:val="24"/>
          <w:lang w:val="en-US" w:eastAsia="en-US"/>
        </w:rPr>
        <w:t>and the institution</w:t>
      </w:r>
      <w:r w:rsidR="00FD3892" w:rsidRPr="00705294">
        <w:rPr>
          <w:szCs w:val="24"/>
          <w:lang w:val="en-US" w:eastAsia="en-US"/>
        </w:rPr>
        <w:t>/state</w:t>
      </w:r>
      <w:r w:rsidRPr="00705294">
        <w:rPr>
          <w:szCs w:val="24"/>
          <w:lang w:val="en-US" w:eastAsia="en-US"/>
        </w:rPr>
        <w:t xml:space="preserve">. Connell argues for something similar, in suggesting that sexuality should be understood as </w:t>
      </w:r>
      <w:r w:rsidR="009A73D6">
        <w:rPr>
          <w:szCs w:val="24"/>
          <w:lang w:val="en-US" w:eastAsia="en-US"/>
        </w:rPr>
        <w:t>“</w:t>
      </w:r>
      <w:r w:rsidRPr="00705294">
        <w:rPr>
          <w:szCs w:val="24"/>
          <w:lang w:val="en-US" w:eastAsia="en-US"/>
        </w:rPr>
        <w:t>neither as nature nor discourse, but as a sphere of social practices that</w:t>
      </w:r>
      <w:r w:rsidR="003B4B7C" w:rsidRPr="00705294">
        <w:rPr>
          <w:szCs w:val="24"/>
          <w:lang w:val="en-US" w:eastAsia="en-US"/>
        </w:rPr>
        <w:t xml:space="preserve"> constitute social relations </w:t>
      </w:r>
      <w:r w:rsidR="008D03DE">
        <w:rPr>
          <w:szCs w:val="24"/>
          <w:lang w:val="en-US" w:eastAsia="en-US"/>
        </w:rPr>
        <w:t>(</w:t>
      </w:r>
      <w:r w:rsidR="003B4B7C" w:rsidRPr="00705294">
        <w:rPr>
          <w:szCs w:val="24"/>
          <w:lang w:val="en-US" w:eastAsia="en-US"/>
        </w:rPr>
        <w:t>[</w:t>
      </w:r>
      <w:r w:rsidR="009725E2">
        <w:rPr>
          <w:szCs w:val="24"/>
          <w:lang w:val="en-US" w:eastAsia="en-US"/>
        </w:rPr>
        <w:t>9</w:t>
      </w:r>
      <w:r w:rsidR="00C950E3">
        <w:rPr>
          <w:szCs w:val="24"/>
          <w:lang w:val="en-US" w:eastAsia="en-US"/>
        </w:rPr>
        <w:t>6</w:t>
      </w:r>
      <w:r w:rsidR="008D03DE">
        <w:rPr>
          <w:szCs w:val="24"/>
          <w:lang w:val="en-US" w:eastAsia="en-US"/>
        </w:rPr>
        <w:t>]</w:t>
      </w:r>
      <w:r w:rsidR="008D03DE" w:rsidRPr="008D03DE">
        <w:rPr>
          <w:szCs w:val="24"/>
          <w:lang w:val="en-US" w:eastAsia="en-US"/>
        </w:rPr>
        <w:t>, p. 390</w:t>
      </w:r>
      <w:r w:rsidR="008D03DE">
        <w:rPr>
          <w:szCs w:val="24"/>
          <w:lang w:val="en-US" w:eastAsia="en-US"/>
        </w:rPr>
        <w:t>)</w:t>
      </w:r>
      <w:r w:rsidRPr="00705294">
        <w:rPr>
          <w:szCs w:val="24"/>
          <w:lang w:val="en-US" w:eastAsia="en-US"/>
        </w:rPr>
        <w:t>.</w:t>
      </w:r>
      <w:r w:rsidR="009A73D6">
        <w:rPr>
          <w:szCs w:val="24"/>
          <w:lang w:val="en-US" w:eastAsia="en-US"/>
        </w:rPr>
        <w:t>”</w:t>
      </w:r>
      <w:r w:rsidRPr="00705294">
        <w:rPr>
          <w:szCs w:val="24"/>
          <w:lang w:val="en-US" w:eastAsia="en-US"/>
        </w:rPr>
        <w:t xml:space="preserve"> This would allow for the possibility of the ex</w:t>
      </w:r>
      <w:r w:rsidR="005648EB" w:rsidRPr="00705294">
        <w:rPr>
          <w:szCs w:val="24"/>
          <w:lang w:val="en-US" w:eastAsia="en-US"/>
        </w:rPr>
        <w:t xml:space="preserve">istence of a category of </w:t>
      </w:r>
      <w:r w:rsidR="009A73D6">
        <w:rPr>
          <w:szCs w:val="24"/>
          <w:lang w:val="en-US" w:eastAsia="en-US"/>
        </w:rPr>
        <w:t>“</w:t>
      </w:r>
      <w:r w:rsidR="005648EB" w:rsidRPr="00705294">
        <w:rPr>
          <w:szCs w:val="24"/>
          <w:lang w:val="en-US" w:eastAsia="en-US"/>
        </w:rPr>
        <w:t>woman</w:t>
      </w:r>
      <w:r w:rsidR="009A73D6">
        <w:rPr>
          <w:szCs w:val="24"/>
          <w:lang w:val="en-US" w:eastAsia="en-US"/>
        </w:rPr>
        <w:t>”</w:t>
      </w:r>
      <w:r w:rsidR="005648EB" w:rsidRPr="00705294">
        <w:rPr>
          <w:szCs w:val="24"/>
          <w:lang w:val="en-US" w:eastAsia="en-US"/>
        </w:rPr>
        <w:t>,</w:t>
      </w:r>
      <w:r w:rsidRPr="00705294">
        <w:rPr>
          <w:szCs w:val="24"/>
          <w:lang w:val="en-US" w:eastAsia="en-US"/>
        </w:rPr>
        <w:t xml:space="preserve"> without succumbing to notions of essentialism. The subject has the potentiality to have more than one meaning and giving up the idea that there is one specific meaning associated with the subject does not m</w:t>
      </w:r>
      <w:r w:rsidR="00FD1545" w:rsidRPr="00705294">
        <w:rPr>
          <w:szCs w:val="24"/>
          <w:lang w:val="en-US" w:eastAsia="en-US"/>
        </w:rPr>
        <w:t>ean th</w:t>
      </w:r>
      <w:r w:rsidR="00C43398" w:rsidRPr="00705294">
        <w:rPr>
          <w:szCs w:val="24"/>
          <w:lang w:val="en-US" w:eastAsia="en-US"/>
        </w:rPr>
        <w:t xml:space="preserve">e non-existence of the </w:t>
      </w:r>
      <w:r w:rsidR="00FD1545" w:rsidRPr="00705294">
        <w:rPr>
          <w:szCs w:val="24"/>
          <w:lang w:val="en-US" w:eastAsia="en-US"/>
        </w:rPr>
        <w:t>subject [</w:t>
      </w:r>
      <w:r w:rsidR="009725E2">
        <w:rPr>
          <w:szCs w:val="24"/>
          <w:lang w:val="en-US" w:eastAsia="en-US"/>
        </w:rPr>
        <w:t>9</w:t>
      </w:r>
      <w:r w:rsidR="00C950E3">
        <w:rPr>
          <w:szCs w:val="24"/>
          <w:lang w:val="en-US" w:eastAsia="en-US"/>
        </w:rPr>
        <w:t>7</w:t>
      </w:r>
      <w:r w:rsidRPr="00705294">
        <w:rPr>
          <w:szCs w:val="24"/>
          <w:lang w:val="en-US" w:eastAsia="en-US"/>
        </w:rPr>
        <w:t>].</w:t>
      </w:r>
      <w:r w:rsidR="00231416" w:rsidRPr="00705294">
        <w:rPr>
          <w:szCs w:val="24"/>
          <w:lang w:val="en-US" w:eastAsia="en-US"/>
        </w:rPr>
        <w:t xml:space="preserve"> </w:t>
      </w:r>
      <w:r w:rsidR="007E786A" w:rsidRPr="00705294">
        <w:rPr>
          <w:szCs w:val="24"/>
          <w:lang w:val="en-US" w:eastAsia="en-US"/>
        </w:rPr>
        <w:t xml:space="preserve">If Queer Theory is truly flexible and continuously evolving as it claims to be, it has </w:t>
      </w:r>
      <w:r w:rsidR="00634676" w:rsidRPr="00705294">
        <w:rPr>
          <w:szCs w:val="24"/>
          <w:lang w:val="en-US" w:eastAsia="en-US"/>
        </w:rPr>
        <w:t xml:space="preserve">the potentiality and flexibility to </w:t>
      </w:r>
      <w:r w:rsidR="009A73D6">
        <w:rPr>
          <w:szCs w:val="24"/>
          <w:lang w:val="en-US" w:eastAsia="en-US"/>
        </w:rPr>
        <w:t>“</w:t>
      </w:r>
      <w:r w:rsidR="00705294">
        <w:rPr>
          <w:szCs w:val="24"/>
          <w:lang w:val="en-US" w:eastAsia="en-US"/>
        </w:rPr>
        <w:t>mold</w:t>
      </w:r>
      <w:r w:rsidR="009A73D6">
        <w:rPr>
          <w:szCs w:val="24"/>
          <w:lang w:val="en-US" w:eastAsia="en-US"/>
        </w:rPr>
        <w:t>”</w:t>
      </w:r>
      <w:r w:rsidR="00634676" w:rsidRPr="00705294">
        <w:rPr>
          <w:szCs w:val="24"/>
          <w:lang w:val="en-US" w:eastAsia="en-US"/>
        </w:rPr>
        <w:t xml:space="preserve"> itself around all critiques and criticisms levelled against it</w:t>
      </w:r>
      <w:r w:rsidR="007E786A" w:rsidRPr="00705294">
        <w:rPr>
          <w:szCs w:val="24"/>
          <w:lang w:val="en-US" w:eastAsia="en-US"/>
        </w:rPr>
        <w:t>.</w:t>
      </w:r>
      <w:r w:rsidR="00231416" w:rsidRPr="00705294">
        <w:rPr>
          <w:szCs w:val="24"/>
          <w:lang w:val="en-US" w:eastAsia="en-US"/>
        </w:rPr>
        <w:t xml:space="preserve"> </w:t>
      </w:r>
      <w:r w:rsidR="007E786A" w:rsidRPr="00705294">
        <w:rPr>
          <w:szCs w:val="24"/>
          <w:lang w:val="en-US" w:eastAsia="en-US"/>
        </w:rPr>
        <w:t xml:space="preserve">There is no need for Queer Theory to defend itself </w:t>
      </w:r>
      <w:r w:rsidR="00634676" w:rsidRPr="00705294">
        <w:rPr>
          <w:szCs w:val="24"/>
          <w:lang w:val="en-US" w:eastAsia="en-US"/>
        </w:rPr>
        <w:t>against criticisms</w:t>
      </w:r>
      <w:r w:rsidR="007E786A" w:rsidRPr="00705294">
        <w:rPr>
          <w:szCs w:val="24"/>
          <w:lang w:val="en-US" w:eastAsia="en-US"/>
        </w:rPr>
        <w:t>, it can, and should, re-incorporate feminist concern</w:t>
      </w:r>
      <w:r w:rsidR="00491FBF" w:rsidRPr="00705294">
        <w:rPr>
          <w:szCs w:val="24"/>
          <w:lang w:val="en-US" w:eastAsia="en-US"/>
        </w:rPr>
        <w:t>s</w:t>
      </w:r>
      <w:r w:rsidR="007E786A" w:rsidRPr="00705294">
        <w:rPr>
          <w:szCs w:val="24"/>
          <w:lang w:val="en-US" w:eastAsia="en-US"/>
        </w:rPr>
        <w:t>.</w:t>
      </w:r>
      <w:r w:rsidR="00231416" w:rsidRPr="00705294">
        <w:rPr>
          <w:szCs w:val="24"/>
          <w:lang w:val="en-US" w:eastAsia="en-US"/>
        </w:rPr>
        <w:t xml:space="preserve"> </w:t>
      </w:r>
      <w:r w:rsidR="00491FBF" w:rsidRPr="00705294">
        <w:rPr>
          <w:szCs w:val="24"/>
          <w:lang w:val="en-US" w:eastAsia="en-US"/>
        </w:rPr>
        <w:t xml:space="preserve">In </w:t>
      </w:r>
      <w:r w:rsidR="001C4521" w:rsidRPr="00705294">
        <w:rPr>
          <w:szCs w:val="24"/>
          <w:lang w:val="en-US" w:eastAsia="en-US"/>
        </w:rPr>
        <w:t xml:space="preserve">so doing, </w:t>
      </w:r>
      <w:r w:rsidR="00634676" w:rsidRPr="00705294">
        <w:rPr>
          <w:szCs w:val="24"/>
          <w:lang w:val="en-US" w:eastAsia="en-US"/>
        </w:rPr>
        <w:t>Queer Theory can be revised</w:t>
      </w:r>
      <w:r w:rsidR="00491FBF" w:rsidRPr="00705294">
        <w:rPr>
          <w:szCs w:val="24"/>
          <w:lang w:val="en-US" w:eastAsia="en-US"/>
        </w:rPr>
        <w:t xml:space="preserve"> and yield itself </w:t>
      </w:r>
      <w:r w:rsidR="00634676" w:rsidRPr="00705294">
        <w:rPr>
          <w:szCs w:val="24"/>
          <w:lang w:val="en-US" w:eastAsia="en-US"/>
        </w:rPr>
        <w:t xml:space="preserve">to </w:t>
      </w:r>
      <w:r w:rsidR="00491FBF" w:rsidRPr="00705294">
        <w:rPr>
          <w:szCs w:val="24"/>
          <w:lang w:val="en-US" w:eastAsia="en-US"/>
        </w:rPr>
        <w:t xml:space="preserve">feminist </w:t>
      </w:r>
      <w:r w:rsidR="00F81994" w:rsidRPr="00705294">
        <w:rPr>
          <w:szCs w:val="24"/>
          <w:lang w:val="en-US" w:eastAsia="en-US"/>
        </w:rPr>
        <w:t>concerns</w:t>
      </w:r>
      <w:r w:rsidR="00FD1545" w:rsidRPr="00705294">
        <w:rPr>
          <w:szCs w:val="24"/>
          <w:lang w:val="en-US" w:eastAsia="en-US"/>
        </w:rPr>
        <w:t xml:space="preserve"> </w:t>
      </w:r>
      <w:r w:rsidR="00A76B0F">
        <w:rPr>
          <w:szCs w:val="24"/>
          <w:lang w:val="en-US" w:eastAsia="en-US"/>
        </w:rPr>
        <w:t>(</w:t>
      </w:r>
      <w:r w:rsidR="00FD1545" w:rsidRPr="00705294">
        <w:rPr>
          <w:szCs w:val="24"/>
          <w:lang w:val="en-US" w:eastAsia="en-US"/>
        </w:rPr>
        <w:t>[</w:t>
      </w:r>
      <w:r w:rsidR="00665F07">
        <w:rPr>
          <w:szCs w:val="24"/>
          <w:lang w:val="en-US" w:eastAsia="en-US"/>
        </w:rPr>
        <w:t>58</w:t>
      </w:r>
      <w:r w:rsidR="00A76B0F">
        <w:rPr>
          <w:szCs w:val="24"/>
          <w:lang w:val="en-US" w:eastAsia="en-US"/>
        </w:rPr>
        <w:t>]</w:t>
      </w:r>
      <w:r w:rsidR="00A76B0F" w:rsidRPr="00A76B0F">
        <w:rPr>
          <w:szCs w:val="24"/>
          <w:lang w:val="en-US" w:eastAsia="en-US"/>
        </w:rPr>
        <w:t>, p. 229</w:t>
      </w:r>
      <w:r w:rsidR="00A76B0F">
        <w:rPr>
          <w:szCs w:val="24"/>
          <w:lang w:val="en-US" w:eastAsia="en-US"/>
        </w:rPr>
        <w:t>)</w:t>
      </w:r>
      <w:r w:rsidR="00491FBF" w:rsidRPr="00705294">
        <w:rPr>
          <w:szCs w:val="24"/>
          <w:lang w:val="en-US" w:eastAsia="en-US"/>
        </w:rPr>
        <w:t>.</w:t>
      </w:r>
      <w:r w:rsidR="00634676" w:rsidRPr="00705294">
        <w:rPr>
          <w:szCs w:val="24"/>
          <w:lang w:val="en-US" w:eastAsia="en-US"/>
        </w:rPr>
        <w:t xml:space="preserve"> </w:t>
      </w:r>
    </w:p>
    <w:p w14:paraId="1EE7409D" w14:textId="4C7FB097" w:rsidR="00FC499D" w:rsidRPr="00705294" w:rsidRDefault="00FC499D" w:rsidP="00AE443F">
      <w:pPr>
        <w:adjustRightInd w:val="0"/>
        <w:snapToGrid w:val="0"/>
        <w:ind w:firstLine="284"/>
        <w:rPr>
          <w:szCs w:val="24"/>
          <w:lang w:val="en-US" w:eastAsia="en-US"/>
        </w:rPr>
      </w:pPr>
      <w:r w:rsidRPr="00705294">
        <w:rPr>
          <w:szCs w:val="24"/>
          <w:lang w:val="en-US" w:eastAsia="en-US"/>
        </w:rPr>
        <w:t xml:space="preserve">There are those however, who would suggest that there </w:t>
      </w:r>
      <w:r w:rsidR="005C5F28">
        <w:rPr>
          <w:szCs w:val="24"/>
          <w:lang w:val="en-US" w:eastAsia="en-US"/>
        </w:rPr>
        <w:t xml:space="preserve">is no such thing as </w:t>
      </w:r>
      <w:r w:rsidR="009A73D6">
        <w:rPr>
          <w:szCs w:val="24"/>
          <w:lang w:val="en-US" w:eastAsia="en-US"/>
        </w:rPr>
        <w:t>“</w:t>
      </w:r>
      <w:r w:rsidR="005C5F28">
        <w:rPr>
          <w:szCs w:val="24"/>
          <w:lang w:val="en-US" w:eastAsia="en-US"/>
        </w:rPr>
        <w:t>post-queer</w:t>
      </w:r>
      <w:r w:rsidR="009A73D6">
        <w:rPr>
          <w:szCs w:val="24"/>
          <w:lang w:val="en-US" w:eastAsia="en-US"/>
        </w:rPr>
        <w:t>”</w:t>
      </w:r>
      <w:r w:rsidR="005C5F28">
        <w:rPr>
          <w:szCs w:val="24"/>
          <w:lang w:val="en-US" w:eastAsia="en-US"/>
        </w:rPr>
        <w:t>,</w:t>
      </w:r>
      <w:r w:rsidRPr="00705294">
        <w:rPr>
          <w:szCs w:val="24"/>
          <w:lang w:val="en-US" w:eastAsia="en-US"/>
        </w:rPr>
        <w:t xml:space="preserve"> because Queer Theory is not, and never was, a phenomenon that could be superseded or overtaken by subsequent theories. Queer Theory would reject that kind of linear </w:t>
      </w:r>
      <w:r w:rsidR="009A73D6">
        <w:rPr>
          <w:szCs w:val="24"/>
          <w:lang w:val="en-US" w:eastAsia="en-US"/>
        </w:rPr>
        <w:t>“</w:t>
      </w:r>
      <w:r w:rsidRPr="00705294">
        <w:rPr>
          <w:szCs w:val="24"/>
          <w:lang w:val="en-US" w:eastAsia="en-US"/>
        </w:rPr>
        <w:t>building block</w:t>
      </w:r>
      <w:r w:rsidR="009A73D6">
        <w:rPr>
          <w:szCs w:val="24"/>
          <w:lang w:val="en-US" w:eastAsia="en-US"/>
        </w:rPr>
        <w:t>”</w:t>
      </w:r>
      <w:r w:rsidRPr="00705294">
        <w:rPr>
          <w:szCs w:val="24"/>
          <w:lang w:val="en-US" w:eastAsia="en-US"/>
        </w:rPr>
        <w:t xml:space="preserve"> approach and indeed, as Richardson points out, would reject the notion that just because Queer Theory came after feminism it supersedes it</w:t>
      </w:r>
      <w:r w:rsidR="009725E2">
        <w:rPr>
          <w:szCs w:val="24"/>
          <w:lang w:val="en-US" w:eastAsia="en-US"/>
        </w:rPr>
        <w:t xml:space="preserve"> </w:t>
      </w:r>
      <w:r w:rsidR="00906BAA">
        <w:rPr>
          <w:szCs w:val="24"/>
          <w:lang w:val="en-US" w:eastAsia="en-US"/>
        </w:rPr>
        <w:t>(</w:t>
      </w:r>
      <w:r w:rsidR="009725E2">
        <w:rPr>
          <w:szCs w:val="24"/>
          <w:lang w:val="en-US" w:eastAsia="en-US"/>
        </w:rPr>
        <w:t>[9</w:t>
      </w:r>
      <w:r w:rsidR="00914EF0">
        <w:rPr>
          <w:szCs w:val="24"/>
          <w:lang w:val="en-US" w:eastAsia="en-US"/>
        </w:rPr>
        <w:t>8</w:t>
      </w:r>
      <w:r w:rsidR="00906BAA">
        <w:rPr>
          <w:szCs w:val="24"/>
          <w:lang w:val="en-US" w:eastAsia="en-US"/>
        </w:rPr>
        <w:t>]</w:t>
      </w:r>
      <w:r w:rsidR="00906BAA" w:rsidRPr="00906BAA">
        <w:rPr>
          <w:szCs w:val="24"/>
          <w:lang w:val="en-US" w:eastAsia="en-US"/>
        </w:rPr>
        <w:t>, p. 4</w:t>
      </w:r>
      <w:r w:rsidR="00906BAA">
        <w:rPr>
          <w:szCs w:val="24"/>
          <w:lang w:val="en-US" w:eastAsia="en-US"/>
        </w:rPr>
        <w:t>)</w:t>
      </w:r>
      <w:r w:rsidR="00956599">
        <w:rPr>
          <w:szCs w:val="24"/>
          <w:lang w:val="en-US" w:eastAsia="en-US"/>
        </w:rPr>
        <w:t xml:space="preserve">. </w:t>
      </w:r>
      <w:r w:rsidR="008D7267" w:rsidRPr="00705294">
        <w:rPr>
          <w:szCs w:val="24"/>
          <w:lang w:val="en-US" w:eastAsia="en-US"/>
        </w:rPr>
        <w:t xml:space="preserve">If Queer can be anything and is not bounded by boundaries, then there is no ontological reason why it cannot be </w:t>
      </w:r>
      <w:r w:rsidR="009A73D6">
        <w:rPr>
          <w:szCs w:val="24"/>
          <w:lang w:val="en-US" w:eastAsia="en-US"/>
        </w:rPr>
        <w:t>“</w:t>
      </w:r>
      <w:r w:rsidR="008D7267" w:rsidRPr="00705294">
        <w:rPr>
          <w:szCs w:val="24"/>
          <w:lang w:val="en-US" w:eastAsia="en-US"/>
        </w:rPr>
        <w:t>post</w:t>
      </w:r>
      <w:r w:rsidR="009A73D6">
        <w:rPr>
          <w:szCs w:val="24"/>
          <w:lang w:val="en-US" w:eastAsia="en-US"/>
        </w:rPr>
        <w:t>”</w:t>
      </w:r>
      <w:r w:rsidR="008D7267" w:rsidRPr="00705294">
        <w:rPr>
          <w:szCs w:val="24"/>
          <w:lang w:val="en-US" w:eastAsia="en-US"/>
        </w:rPr>
        <w:t xml:space="preserve"> and why it cannot be combined with feminism</w:t>
      </w:r>
      <w:r w:rsidR="00231416" w:rsidRPr="00705294">
        <w:rPr>
          <w:szCs w:val="24"/>
          <w:lang w:val="en-US" w:eastAsia="en-US"/>
        </w:rPr>
        <w:t xml:space="preserve"> </w:t>
      </w:r>
      <w:r w:rsidR="008D7267" w:rsidRPr="00705294">
        <w:rPr>
          <w:szCs w:val="24"/>
          <w:lang w:val="en-US" w:eastAsia="en-US"/>
        </w:rPr>
        <w:t xml:space="preserve">in order to engage with material realities and material bodies in posing an effective challenge to oppressive structures </w:t>
      </w:r>
      <w:r w:rsidR="001B24D9">
        <w:rPr>
          <w:szCs w:val="24"/>
          <w:lang w:val="en-US" w:eastAsia="en-US"/>
        </w:rPr>
        <w:t>(</w:t>
      </w:r>
      <w:r w:rsidR="008D7267" w:rsidRPr="00705294">
        <w:rPr>
          <w:szCs w:val="24"/>
          <w:lang w:val="en-US" w:eastAsia="en-US"/>
        </w:rPr>
        <w:t>[</w:t>
      </w:r>
      <w:r w:rsidR="00914EF0">
        <w:rPr>
          <w:szCs w:val="24"/>
          <w:lang w:val="en-US" w:eastAsia="en-US"/>
        </w:rPr>
        <w:t>99</w:t>
      </w:r>
      <w:r w:rsidR="001B24D9">
        <w:rPr>
          <w:szCs w:val="24"/>
          <w:lang w:val="en-US" w:eastAsia="en-US"/>
        </w:rPr>
        <w:t>],</w:t>
      </w:r>
      <w:r w:rsidR="001B24D9" w:rsidRPr="001B24D9">
        <w:t xml:space="preserve"> </w:t>
      </w:r>
      <w:r w:rsidR="000258D3">
        <w:rPr>
          <w:szCs w:val="24"/>
          <w:lang w:val="en-US" w:eastAsia="en-US"/>
        </w:rPr>
        <w:t>p. 171).</w:t>
      </w:r>
      <w:r w:rsidR="00231416" w:rsidRPr="00705294">
        <w:rPr>
          <w:szCs w:val="24"/>
          <w:lang w:val="en-US" w:eastAsia="en-US"/>
        </w:rPr>
        <w:t xml:space="preserve"> </w:t>
      </w:r>
      <w:r w:rsidRPr="00705294">
        <w:rPr>
          <w:szCs w:val="24"/>
          <w:lang w:val="en-US" w:eastAsia="en-US"/>
        </w:rPr>
        <w:t xml:space="preserve">What I suggest matters, is that the lived experience of girls and women are taken into account in more meaningful ways within the operation of law and policy. It therefore does not matter what label is given to how this is done. What matters more than the label is that that the lived experience of young girls are </w:t>
      </w:r>
      <w:r w:rsidRPr="00705294">
        <w:rPr>
          <w:i/>
          <w:szCs w:val="24"/>
          <w:lang w:val="en-US" w:eastAsia="en-US"/>
        </w:rPr>
        <w:t>seen</w:t>
      </w:r>
      <w:r w:rsidRPr="00705294">
        <w:rPr>
          <w:szCs w:val="24"/>
          <w:lang w:val="en-US" w:eastAsia="en-US"/>
        </w:rPr>
        <w:t xml:space="preserve"> to matter and in a Butlerian sense, the </w:t>
      </w:r>
      <w:r w:rsidRPr="00705294">
        <w:rPr>
          <w:i/>
          <w:iCs/>
          <w:szCs w:val="24"/>
          <w:lang w:val="en-US" w:eastAsia="en-US"/>
        </w:rPr>
        <w:t xml:space="preserve">Bodies that [should] Matter </w:t>
      </w:r>
      <w:r w:rsidRPr="00705294">
        <w:rPr>
          <w:szCs w:val="24"/>
          <w:lang w:val="en-US" w:eastAsia="en-US"/>
        </w:rPr>
        <w:t>are the bodies of young teenage girls.</w:t>
      </w:r>
    </w:p>
    <w:p w14:paraId="28A6799D" w14:textId="62ECBC1D" w:rsidR="002E3265" w:rsidRPr="00705294" w:rsidRDefault="00E83502" w:rsidP="006D2C4D">
      <w:pPr>
        <w:pStyle w:val="Mdeck4heading1"/>
        <w:rPr>
          <w:szCs w:val="24"/>
          <w:lang w:eastAsia="en-US"/>
        </w:rPr>
      </w:pPr>
      <w:r>
        <w:rPr>
          <w:szCs w:val="24"/>
          <w:lang w:eastAsia="en-US"/>
        </w:rPr>
        <w:t>9</w:t>
      </w:r>
      <w:r w:rsidR="002E3265" w:rsidRPr="00705294">
        <w:rPr>
          <w:szCs w:val="24"/>
          <w:lang w:eastAsia="en-US"/>
        </w:rPr>
        <w:t xml:space="preserve">. Concluding Remarks </w:t>
      </w:r>
    </w:p>
    <w:p w14:paraId="159446D1" w14:textId="5980CE32" w:rsidR="00CE5827" w:rsidRPr="00705294" w:rsidRDefault="002E3265" w:rsidP="00AE443F">
      <w:pPr>
        <w:adjustRightInd w:val="0"/>
        <w:snapToGrid w:val="0"/>
        <w:ind w:firstLine="284"/>
        <w:rPr>
          <w:szCs w:val="24"/>
          <w:lang w:val="en-US" w:eastAsia="en-US"/>
        </w:rPr>
      </w:pPr>
      <w:r w:rsidRPr="00705294">
        <w:rPr>
          <w:szCs w:val="24"/>
          <w:lang w:val="en-US" w:eastAsia="en-US"/>
        </w:rPr>
        <w:t xml:space="preserve">This article has sought to interrogate some of the norms underpinning the discourse surrounding the age of consent. I have attempted to combine the </w:t>
      </w:r>
      <w:r w:rsidR="008D7267" w:rsidRPr="00705294">
        <w:rPr>
          <w:szCs w:val="24"/>
          <w:lang w:val="en-US" w:eastAsia="en-US"/>
        </w:rPr>
        <w:t xml:space="preserve">disruptive </w:t>
      </w:r>
      <w:r w:rsidRPr="00705294">
        <w:rPr>
          <w:szCs w:val="24"/>
          <w:lang w:val="en-US" w:eastAsia="en-US"/>
        </w:rPr>
        <w:t xml:space="preserve">theoretical aspects </w:t>
      </w:r>
      <w:r w:rsidR="008D7267" w:rsidRPr="00705294">
        <w:rPr>
          <w:szCs w:val="24"/>
          <w:lang w:val="en-US" w:eastAsia="en-US"/>
        </w:rPr>
        <w:t>of Queer Theory and f</w:t>
      </w:r>
      <w:r w:rsidR="006F0D13" w:rsidRPr="00705294">
        <w:rPr>
          <w:szCs w:val="24"/>
          <w:lang w:val="en-US" w:eastAsia="en-US"/>
        </w:rPr>
        <w:t xml:space="preserve">eminism </w:t>
      </w:r>
      <w:r w:rsidRPr="00705294">
        <w:rPr>
          <w:szCs w:val="24"/>
          <w:lang w:val="en-US" w:eastAsia="en-US"/>
        </w:rPr>
        <w:t>to bear upon the practical application of sexual ag</w:t>
      </w:r>
      <w:r w:rsidR="006F0D13" w:rsidRPr="00705294">
        <w:rPr>
          <w:szCs w:val="24"/>
          <w:lang w:val="en-US" w:eastAsia="en-US"/>
        </w:rPr>
        <w:t>e of consent laws. It would</w:t>
      </w:r>
      <w:r w:rsidRPr="00705294">
        <w:rPr>
          <w:szCs w:val="24"/>
          <w:lang w:val="en-US" w:eastAsia="en-US"/>
        </w:rPr>
        <w:t xml:space="preserve"> that appear that Queer Theory </w:t>
      </w:r>
      <w:r w:rsidR="003B6282" w:rsidRPr="00705294">
        <w:rPr>
          <w:szCs w:val="24"/>
          <w:lang w:val="en-US" w:eastAsia="en-US"/>
        </w:rPr>
        <w:t xml:space="preserve">as originally envisaged </w:t>
      </w:r>
      <w:r w:rsidRPr="00705294">
        <w:rPr>
          <w:szCs w:val="24"/>
          <w:lang w:val="en-US" w:eastAsia="en-US"/>
        </w:rPr>
        <w:t>has tried and failed to successfully de-</w:t>
      </w:r>
      <w:r w:rsidR="00705294" w:rsidRPr="00705294">
        <w:rPr>
          <w:szCs w:val="24"/>
          <w:lang w:val="en-US" w:eastAsia="en-US"/>
        </w:rPr>
        <w:t>stabilize</w:t>
      </w:r>
      <w:r w:rsidRPr="00705294">
        <w:rPr>
          <w:szCs w:val="24"/>
          <w:lang w:val="en-US" w:eastAsia="en-US"/>
        </w:rPr>
        <w:t xml:space="preserve"> dominant hegemony, discourse and power structures and perhaps, more importantly, failed also to disrupt the </w:t>
      </w:r>
      <w:r w:rsidRPr="00705294">
        <w:rPr>
          <w:szCs w:val="24"/>
          <w:lang w:val="en-US" w:eastAsia="en-US"/>
        </w:rPr>
        <w:lastRenderedPageBreak/>
        <w:t>influence of patriarchy. Queer Theory has failed to fully take account of, and incorporate, the interlocking and overlapping underpinnings of the</w:t>
      </w:r>
      <w:r w:rsidR="00CE5827" w:rsidRPr="00705294">
        <w:rPr>
          <w:rFonts w:eastAsiaTheme="minorHAnsi"/>
          <w:color w:val="auto"/>
          <w:szCs w:val="24"/>
          <w:lang w:val="en-US" w:eastAsia="en-US"/>
        </w:rPr>
        <w:t xml:space="preserve"> </w:t>
      </w:r>
      <w:r w:rsidR="00CE5827" w:rsidRPr="00705294">
        <w:rPr>
          <w:szCs w:val="24"/>
          <w:lang w:val="en-US" w:eastAsia="en-US"/>
        </w:rPr>
        <w:t xml:space="preserve">normative frameworks by which </w:t>
      </w:r>
      <w:r w:rsidR="00CE5827" w:rsidRPr="00705294">
        <w:rPr>
          <w:i/>
          <w:iCs/>
          <w:szCs w:val="24"/>
          <w:lang w:val="en-US" w:eastAsia="en-US"/>
        </w:rPr>
        <w:t xml:space="preserve">female </w:t>
      </w:r>
      <w:r w:rsidR="00CE5827" w:rsidRPr="00705294">
        <w:rPr>
          <w:szCs w:val="24"/>
          <w:lang w:val="en-US" w:eastAsia="en-US"/>
        </w:rPr>
        <w:t xml:space="preserve">sexual and gender identities are constituted. There is, therefore, no </w:t>
      </w:r>
      <w:r w:rsidR="009A73D6">
        <w:rPr>
          <w:szCs w:val="24"/>
          <w:lang w:val="en-US" w:eastAsia="en-US"/>
        </w:rPr>
        <w:t>“</w:t>
      </w:r>
      <w:r w:rsidR="00CE5827" w:rsidRPr="00705294">
        <w:rPr>
          <w:szCs w:val="24"/>
          <w:lang w:val="en-US" w:eastAsia="en-US"/>
        </w:rPr>
        <w:t>queerness</w:t>
      </w:r>
      <w:r w:rsidR="009A73D6">
        <w:rPr>
          <w:szCs w:val="24"/>
          <w:lang w:val="en-US" w:eastAsia="en-US"/>
        </w:rPr>
        <w:t>”</w:t>
      </w:r>
      <w:r w:rsidR="00CE5827" w:rsidRPr="00705294">
        <w:rPr>
          <w:szCs w:val="24"/>
          <w:lang w:val="en-US" w:eastAsia="en-US"/>
        </w:rPr>
        <w:t xml:space="preserve"> about the debate surrounding the lowering of the age of consent, the effects on teenage boys has been over </w:t>
      </w:r>
      <w:r w:rsidR="00705294">
        <w:rPr>
          <w:szCs w:val="24"/>
          <w:lang w:val="en-US" w:eastAsia="en-US"/>
        </w:rPr>
        <w:t>emphasize</w:t>
      </w:r>
      <w:r w:rsidR="00CE5827" w:rsidRPr="00705294">
        <w:rPr>
          <w:szCs w:val="24"/>
          <w:lang w:val="en-US" w:eastAsia="en-US"/>
        </w:rPr>
        <w:t xml:space="preserve">d at the expense of the impact on teenage girls. In order to have a truly genuine queer debate about the age of consent, sufficient attention must be paid to </w:t>
      </w:r>
      <w:r w:rsidR="00CE5827" w:rsidRPr="00705294">
        <w:rPr>
          <w:i/>
          <w:iCs/>
          <w:szCs w:val="24"/>
          <w:lang w:val="en-US" w:eastAsia="en-US"/>
        </w:rPr>
        <w:t xml:space="preserve">all </w:t>
      </w:r>
      <w:r w:rsidR="00CE5827" w:rsidRPr="00705294">
        <w:rPr>
          <w:szCs w:val="24"/>
          <w:lang w:val="en-US" w:eastAsia="en-US"/>
        </w:rPr>
        <w:t xml:space="preserve">of those affected and involved, particularly girls and that the attention should be extended to schools, medical staff, social workers </w:t>
      </w:r>
      <w:r w:rsidR="00705294" w:rsidRPr="00705294">
        <w:rPr>
          <w:i/>
          <w:szCs w:val="24"/>
          <w:lang w:val="en-US" w:eastAsia="en-US"/>
        </w:rPr>
        <w:t>etc.</w:t>
      </w:r>
      <w:r w:rsidR="00CE5827" w:rsidRPr="00705294">
        <w:rPr>
          <w:szCs w:val="24"/>
          <w:lang w:val="en-US" w:eastAsia="en-US"/>
        </w:rPr>
        <w:t xml:space="preserve"> Lowering the age of consent is likely to lead to an even greater pressure on girls to be sexually active before they are ready, exposing them to experiences and consequences before they are sufficiently emotionally and physically mature. </w:t>
      </w:r>
    </w:p>
    <w:p w14:paraId="746D7E0A" w14:textId="75605CEA" w:rsidR="00CE5827" w:rsidRPr="00705294" w:rsidRDefault="00CE5827" w:rsidP="00AE443F">
      <w:pPr>
        <w:adjustRightInd w:val="0"/>
        <w:snapToGrid w:val="0"/>
        <w:ind w:firstLine="284"/>
        <w:rPr>
          <w:szCs w:val="24"/>
          <w:lang w:val="en-US" w:eastAsia="en-US"/>
        </w:rPr>
      </w:pPr>
      <w:r w:rsidRPr="00705294">
        <w:rPr>
          <w:szCs w:val="24"/>
          <w:lang w:val="en-US" w:eastAsia="en-US"/>
        </w:rPr>
        <w:t>Rather than lowering the age of consent, there should be a significantly greater emphasis upon compulsory sex education in schools. Sex education should extend significantly further than the limited education currently provided. The Opposition tabled an amendment to the Children and Families Bill (debated and defeat</w:t>
      </w:r>
      <w:r w:rsidR="005648EB" w:rsidRPr="00705294">
        <w:rPr>
          <w:szCs w:val="24"/>
          <w:lang w:val="en-US" w:eastAsia="en-US"/>
        </w:rPr>
        <w:t>ed in the House of Lords on 28</w:t>
      </w:r>
      <w:r w:rsidRPr="00705294">
        <w:rPr>
          <w:szCs w:val="24"/>
          <w:lang w:val="en-US" w:eastAsia="en-US"/>
        </w:rPr>
        <w:t xml:space="preserve"> January 2014), which would have made sex and relationship education at all stages of education co</w:t>
      </w:r>
      <w:r w:rsidR="00735619" w:rsidRPr="00705294">
        <w:rPr>
          <w:szCs w:val="24"/>
          <w:lang w:val="en-US" w:eastAsia="en-US"/>
        </w:rPr>
        <w:t>mpulsory [</w:t>
      </w:r>
      <w:r w:rsidR="00C950E3">
        <w:rPr>
          <w:szCs w:val="24"/>
          <w:lang w:val="en-US" w:eastAsia="en-US"/>
        </w:rPr>
        <w:t>10</w:t>
      </w:r>
      <w:r w:rsidR="00914EF0">
        <w:rPr>
          <w:szCs w:val="24"/>
          <w:lang w:val="en-US" w:eastAsia="en-US"/>
        </w:rPr>
        <w:t>0</w:t>
      </w:r>
      <w:r w:rsidRPr="00705294">
        <w:rPr>
          <w:szCs w:val="24"/>
          <w:lang w:val="en-US" w:eastAsia="en-US"/>
        </w:rPr>
        <w:t>]. Statutory guidance would also have been updated to reflect the changes the internet. The amendment would have made sex and relationships education (SRE) a compulsory subject as part of the statutory Personal Social Health and Economic Educat</w:t>
      </w:r>
      <w:r w:rsidR="00735619" w:rsidRPr="00705294">
        <w:rPr>
          <w:szCs w:val="24"/>
          <w:lang w:val="en-US" w:eastAsia="en-US"/>
        </w:rPr>
        <w:t>ion (PSHE) requirement [</w:t>
      </w:r>
      <w:r w:rsidR="00C950E3">
        <w:rPr>
          <w:szCs w:val="24"/>
          <w:lang w:val="en-US" w:eastAsia="en-US"/>
        </w:rPr>
        <w:t>10</w:t>
      </w:r>
      <w:r w:rsidR="00914EF0">
        <w:rPr>
          <w:szCs w:val="24"/>
          <w:lang w:val="en-US" w:eastAsia="en-US"/>
        </w:rPr>
        <w:t>1</w:t>
      </w:r>
      <w:r w:rsidRPr="00705294">
        <w:rPr>
          <w:szCs w:val="24"/>
          <w:lang w:val="en-US" w:eastAsia="en-US"/>
        </w:rPr>
        <w:t>]. The amendment was supporte</w:t>
      </w:r>
      <w:r w:rsidR="00634676" w:rsidRPr="00705294">
        <w:rPr>
          <w:szCs w:val="24"/>
          <w:lang w:val="en-US" w:eastAsia="en-US"/>
        </w:rPr>
        <w:t>d by The Sex</w:t>
      </w:r>
      <w:r w:rsidR="00F07D36" w:rsidRPr="00705294">
        <w:rPr>
          <w:szCs w:val="24"/>
          <w:lang w:val="en-US" w:eastAsia="en-US"/>
        </w:rPr>
        <w:t xml:space="preserve"> Education Forum [</w:t>
      </w:r>
      <w:r w:rsidR="00C950E3">
        <w:rPr>
          <w:szCs w:val="24"/>
          <w:lang w:val="en-US" w:eastAsia="en-US"/>
        </w:rPr>
        <w:t>10</w:t>
      </w:r>
      <w:r w:rsidR="00914EF0">
        <w:rPr>
          <w:szCs w:val="24"/>
          <w:lang w:val="en-US" w:eastAsia="en-US"/>
        </w:rPr>
        <w:t>2</w:t>
      </w:r>
      <w:r w:rsidR="00F07D36" w:rsidRPr="00705294">
        <w:rPr>
          <w:szCs w:val="24"/>
          <w:lang w:val="en-US" w:eastAsia="en-US"/>
        </w:rPr>
        <w:t>], Brook [</w:t>
      </w:r>
      <w:r w:rsidR="00C950E3">
        <w:rPr>
          <w:szCs w:val="24"/>
          <w:lang w:val="en-US" w:eastAsia="en-US"/>
        </w:rPr>
        <w:t>10</w:t>
      </w:r>
      <w:r w:rsidR="00914EF0">
        <w:rPr>
          <w:szCs w:val="24"/>
          <w:lang w:val="en-US" w:eastAsia="en-US"/>
        </w:rPr>
        <w:t>3</w:t>
      </w:r>
      <w:r w:rsidRPr="00705294">
        <w:rPr>
          <w:szCs w:val="24"/>
          <w:lang w:val="en-US" w:eastAsia="en-US"/>
        </w:rPr>
        <w:t xml:space="preserve">] and the PSHE Association. At the present time, schools are only legally required to teach the biological aspects of sex, contraception and sexually transmitted infections in science lessons. Schools are not required by statute to teach pupils about pregnancy, delaying first sexual experiences, sexual orientation, safer sex and relationships. That this is needed has been found by such </w:t>
      </w:r>
      <w:r w:rsidR="00705294">
        <w:rPr>
          <w:szCs w:val="24"/>
          <w:lang w:val="en-US" w:eastAsia="en-US"/>
        </w:rPr>
        <w:t>organization</w:t>
      </w:r>
      <w:r w:rsidRPr="00705294">
        <w:rPr>
          <w:szCs w:val="24"/>
          <w:lang w:val="en-US" w:eastAsia="en-US"/>
        </w:rPr>
        <w:t>s as the National Children</w:t>
      </w:r>
      <w:r w:rsidR="003E78B6">
        <w:rPr>
          <w:szCs w:val="24"/>
          <w:lang w:val="en-US" w:eastAsia="en-US"/>
        </w:rPr>
        <w:t>’</w:t>
      </w:r>
      <w:r w:rsidRPr="00705294">
        <w:rPr>
          <w:szCs w:val="24"/>
          <w:lang w:val="en-US" w:eastAsia="en-US"/>
        </w:rPr>
        <w:t>s Bureau, whose recent research found that nearly a third of teenagers said they did not learn about sexual consent in sex education lessons and that they were not taught about the legal age o</w:t>
      </w:r>
      <w:r w:rsidR="00F07D36" w:rsidRPr="00705294">
        <w:rPr>
          <w:szCs w:val="24"/>
          <w:lang w:val="en-US" w:eastAsia="en-US"/>
        </w:rPr>
        <w:t>f consent for sex in schools [</w:t>
      </w:r>
      <w:r w:rsidR="004E442E">
        <w:rPr>
          <w:szCs w:val="24"/>
          <w:lang w:val="en-US" w:eastAsia="en-US"/>
        </w:rPr>
        <w:t>10</w:t>
      </w:r>
      <w:r w:rsidR="00914EF0">
        <w:rPr>
          <w:szCs w:val="24"/>
          <w:lang w:val="en-US" w:eastAsia="en-US"/>
        </w:rPr>
        <w:t>4</w:t>
      </w:r>
      <w:r w:rsidRPr="00705294">
        <w:rPr>
          <w:szCs w:val="24"/>
          <w:lang w:val="en-US" w:eastAsia="en-US"/>
        </w:rPr>
        <w:t>]. If the debates surrounding the sexual age of consent and Queer Theory are to begin to successfully acknowledge patriarchy</w:t>
      </w:r>
      <w:r w:rsidR="005B482C" w:rsidRPr="00705294">
        <w:rPr>
          <w:szCs w:val="24"/>
          <w:lang w:val="en-US" w:eastAsia="en-US"/>
        </w:rPr>
        <w:t xml:space="preserve"> and </w:t>
      </w:r>
      <w:r w:rsidRPr="00705294">
        <w:rPr>
          <w:szCs w:val="24"/>
          <w:lang w:val="en-US" w:eastAsia="en-US"/>
        </w:rPr>
        <w:t xml:space="preserve">render (lesbian) women </w:t>
      </w:r>
      <w:r w:rsidR="005B482C" w:rsidRPr="00705294">
        <w:rPr>
          <w:szCs w:val="24"/>
          <w:lang w:val="en-US" w:eastAsia="en-US"/>
        </w:rPr>
        <w:t xml:space="preserve">more </w:t>
      </w:r>
      <w:r w:rsidRPr="00705294">
        <w:rPr>
          <w:szCs w:val="24"/>
          <w:lang w:val="en-US" w:eastAsia="en-US"/>
        </w:rPr>
        <w:t>visible, there needs to be a greater acknowledgement and accommodation of th</w:t>
      </w:r>
      <w:r w:rsidR="003B6282" w:rsidRPr="00705294">
        <w:rPr>
          <w:szCs w:val="24"/>
          <w:lang w:val="en-US" w:eastAsia="en-US"/>
        </w:rPr>
        <w:t xml:space="preserve">at which has always been central to feminist thought; the </w:t>
      </w:r>
      <w:r w:rsidRPr="00705294">
        <w:rPr>
          <w:szCs w:val="24"/>
          <w:lang w:val="en-US" w:eastAsia="en-US"/>
        </w:rPr>
        <w:t xml:space="preserve">lived experiences of women and girls. In addition, and perhaps, more importantly, for this to happen, women and girls need to make </w:t>
      </w:r>
      <w:r w:rsidRPr="00705294">
        <w:rPr>
          <w:i/>
          <w:iCs/>
          <w:szCs w:val="24"/>
          <w:lang w:val="en-US" w:eastAsia="en-US"/>
        </w:rPr>
        <w:t xml:space="preserve">themselves </w:t>
      </w:r>
      <w:r w:rsidRPr="00705294">
        <w:rPr>
          <w:szCs w:val="24"/>
          <w:lang w:val="en-US" w:eastAsia="en-US"/>
        </w:rPr>
        <w:t xml:space="preserve">heard and seen more. </w:t>
      </w:r>
    </w:p>
    <w:p w14:paraId="278935BA" w14:textId="77777777" w:rsidR="00AA6C02" w:rsidRPr="00705294" w:rsidRDefault="00AA6C02" w:rsidP="00AE443F">
      <w:pPr>
        <w:pStyle w:val="MText"/>
        <w:adjustRightInd w:val="0"/>
        <w:snapToGrid w:val="0"/>
        <w:spacing w:before="240" w:after="240"/>
        <w:ind w:firstLine="0"/>
        <w:rPr>
          <w:b/>
          <w:szCs w:val="24"/>
          <w:lang w:val="en-US" w:eastAsia="en-US"/>
        </w:rPr>
      </w:pPr>
      <w:r w:rsidRPr="00705294">
        <w:rPr>
          <w:b/>
          <w:szCs w:val="24"/>
          <w:lang w:val="en-US" w:eastAsia="en-US"/>
        </w:rPr>
        <w:t>Conflict</w:t>
      </w:r>
      <w:r w:rsidR="00F90C7D" w:rsidRPr="00705294">
        <w:rPr>
          <w:b/>
          <w:szCs w:val="24"/>
          <w:lang w:val="en-US" w:eastAsia="en-US"/>
        </w:rPr>
        <w:t>s</w:t>
      </w:r>
      <w:r w:rsidRPr="00705294">
        <w:rPr>
          <w:b/>
          <w:szCs w:val="24"/>
          <w:lang w:val="en-US" w:eastAsia="en-US"/>
        </w:rPr>
        <w:t xml:space="preserve"> of Interest</w:t>
      </w:r>
    </w:p>
    <w:p w14:paraId="55DEF038" w14:textId="78175F7F" w:rsidR="00CE5827" w:rsidRPr="00705294" w:rsidRDefault="003E78B6" w:rsidP="006D2C4D">
      <w:pPr>
        <w:pStyle w:val="Mdeck4text"/>
        <w:rPr>
          <w:b/>
          <w:szCs w:val="24"/>
          <w:lang w:eastAsia="en-US"/>
        </w:rPr>
      </w:pPr>
      <w:r w:rsidRPr="003E78B6">
        <w:rPr>
          <w:szCs w:val="24"/>
          <w:lang w:eastAsia="en-US"/>
        </w:rPr>
        <w:t>The authors declare no conflict of interest</w:t>
      </w:r>
      <w:r>
        <w:rPr>
          <w:szCs w:val="24"/>
          <w:lang w:eastAsia="en-US"/>
        </w:rPr>
        <w:t>.</w:t>
      </w:r>
    </w:p>
    <w:p w14:paraId="64B27167" w14:textId="77777777" w:rsidR="006D2C4D" w:rsidRDefault="00CE5827" w:rsidP="00AE443F">
      <w:pPr>
        <w:pStyle w:val="MHeading1"/>
        <w:adjustRightInd w:val="0"/>
        <w:snapToGrid w:val="0"/>
        <w:rPr>
          <w:bCs/>
          <w:szCs w:val="24"/>
          <w:lang w:val="en-US" w:eastAsia="en-US"/>
        </w:rPr>
      </w:pPr>
      <w:r w:rsidRPr="00705294">
        <w:rPr>
          <w:bCs/>
          <w:szCs w:val="24"/>
          <w:lang w:val="en-US" w:eastAsia="en-US"/>
        </w:rPr>
        <w:t>References and Notes</w:t>
      </w:r>
    </w:p>
    <w:p w14:paraId="6EC107E3" w14:textId="7755A7A3" w:rsidR="002078BC" w:rsidRPr="00665B2E" w:rsidRDefault="00587144" w:rsidP="00482AEF">
      <w:pPr>
        <w:pStyle w:val="Mdeck8references"/>
        <w:ind w:left="539" w:hanging="539"/>
        <w:rPr>
          <w:rFonts w:eastAsia="Calibri"/>
          <w:noProof/>
          <w:lang w:eastAsia="en-US"/>
        </w:rPr>
      </w:pPr>
      <w:r>
        <w:rPr>
          <w:rFonts w:eastAsia="Calibri"/>
          <w:noProof/>
          <w:lang w:eastAsia="en-US"/>
        </w:rPr>
        <w:t xml:space="preserve">The law does not intend to prosecute those aged </w:t>
      </w:r>
      <w:r w:rsidR="002078BC" w:rsidRPr="00665B2E">
        <w:rPr>
          <w:rFonts w:eastAsia="Calibri"/>
          <w:noProof/>
          <w:lang w:eastAsia="en-US"/>
        </w:rPr>
        <w:t>between 14</w:t>
      </w:r>
      <w:r w:rsidR="00793235">
        <w:rPr>
          <w:rFonts w:eastAsia="Calibri"/>
          <w:noProof/>
          <w:lang w:eastAsia="en-US"/>
        </w:rPr>
        <w:t xml:space="preserve"> and </w:t>
      </w:r>
      <w:r w:rsidR="002078BC" w:rsidRPr="00665B2E">
        <w:rPr>
          <w:rFonts w:eastAsia="Calibri"/>
          <w:noProof/>
          <w:lang w:eastAsia="en-US"/>
        </w:rPr>
        <w:t>15</w:t>
      </w:r>
      <w:r>
        <w:rPr>
          <w:rFonts w:eastAsia="Calibri"/>
          <w:noProof/>
          <w:lang w:eastAsia="en-US"/>
        </w:rPr>
        <w:t xml:space="preserve">, provided that the </w:t>
      </w:r>
      <w:r w:rsidR="002078BC" w:rsidRPr="00665B2E">
        <w:rPr>
          <w:rFonts w:eastAsia="Calibri"/>
          <w:noProof/>
          <w:lang w:eastAsia="en-US"/>
        </w:rPr>
        <w:t xml:space="preserve">sexual activity is by mutual consent </w:t>
      </w:r>
      <w:r>
        <w:rPr>
          <w:rFonts w:eastAsia="Calibri"/>
          <w:noProof/>
          <w:lang w:eastAsia="en-US"/>
        </w:rPr>
        <w:t xml:space="preserve">and doesn’t </w:t>
      </w:r>
      <w:r w:rsidR="002078BC" w:rsidRPr="00665B2E">
        <w:rPr>
          <w:rFonts w:eastAsia="Calibri"/>
          <w:noProof/>
          <w:lang w:eastAsia="en-US"/>
        </w:rPr>
        <w:t>involve abuse or exploitation.</w:t>
      </w:r>
    </w:p>
    <w:p w14:paraId="7E587417" w14:textId="1452CF3A"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Kim Stevenson. “</w:t>
      </w:r>
      <w:r w:rsidR="007476FE">
        <w:rPr>
          <w:rFonts w:eastAsia="Calibri"/>
          <w:noProof/>
          <w:lang w:eastAsia="en-US"/>
        </w:rPr>
        <w:t>‘</w:t>
      </w:r>
      <w:r w:rsidRPr="00665B2E">
        <w:rPr>
          <w:rFonts w:eastAsia="Calibri"/>
          <w:noProof/>
          <w:lang w:eastAsia="en-US"/>
        </w:rPr>
        <w:t xml:space="preserve">It Is What </w:t>
      </w:r>
      <w:r w:rsidR="007476FE">
        <w:rPr>
          <w:rFonts w:eastAsia="Calibri"/>
          <w:noProof/>
          <w:lang w:eastAsia="en-US"/>
        </w:rPr>
        <w:t>‘</w:t>
      </w:r>
      <w:r w:rsidRPr="00665B2E">
        <w:rPr>
          <w:rFonts w:eastAsia="Calibri"/>
          <w:noProof/>
          <w:lang w:eastAsia="en-US"/>
        </w:rPr>
        <w:t>Girls of Indifferent Character</w:t>
      </w:r>
      <w:r w:rsidR="007476FE">
        <w:rPr>
          <w:rFonts w:eastAsia="Calibri"/>
          <w:noProof/>
          <w:lang w:eastAsia="en-US"/>
        </w:rPr>
        <w:t>’</w:t>
      </w:r>
      <w:r w:rsidRPr="00665B2E">
        <w:rPr>
          <w:rFonts w:eastAsia="Calibri"/>
          <w:noProof/>
          <w:lang w:eastAsia="en-US"/>
        </w:rPr>
        <w:t xml:space="preserve"> </w:t>
      </w:r>
      <w:r w:rsidRPr="004F10C2">
        <w:rPr>
          <w:rFonts w:eastAsia="Calibri"/>
          <w:noProof/>
          <w:lang w:eastAsia="en-US"/>
        </w:rPr>
        <w:t>Do...</w:t>
      </w:r>
      <w:r w:rsidR="007476FE">
        <w:rPr>
          <w:rFonts w:eastAsia="Calibri"/>
          <w:noProof/>
          <w:lang w:eastAsia="en-US"/>
        </w:rPr>
        <w:t>’</w:t>
      </w:r>
      <w:r w:rsidRPr="00665B2E">
        <w:rPr>
          <w:rFonts w:eastAsia="Calibri"/>
          <w:noProof/>
          <w:lang w:eastAsia="en-US"/>
        </w:rPr>
        <w:t xml:space="preserve"> Complications concerning the Legal Age of Sexual Consent in the Light of R v C (2011).” </w:t>
      </w:r>
      <w:r w:rsidRPr="00665B2E">
        <w:rPr>
          <w:rFonts w:eastAsia="Calibri"/>
          <w:i/>
          <w:noProof/>
          <w:lang w:eastAsia="en-US"/>
        </w:rPr>
        <w:t>The Journal of Criminal Law</w:t>
      </w:r>
      <w:r w:rsidRPr="00665B2E">
        <w:rPr>
          <w:rFonts w:eastAsia="Calibri"/>
          <w:noProof/>
          <w:lang w:eastAsia="en-US"/>
        </w:rPr>
        <w:t xml:space="preserve"> 76 (2012): 130–39</w:t>
      </w:r>
      <w:r>
        <w:rPr>
          <w:rFonts w:eastAsia="Calibri"/>
          <w:noProof/>
          <w:lang w:eastAsia="en-US"/>
        </w:rPr>
        <w:t>.</w:t>
      </w:r>
    </w:p>
    <w:p w14:paraId="6DCE4151" w14:textId="70194119" w:rsidR="002078BC" w:rsidRPr="0031222C" w:rsidRDefault="002078BC" w:rsidP="00482AEF">
      <w:pPr>
        <w:pStyle w:val="Mdeck8references"/>
        <w:ind w:left="539" w:hanging="539"/>
      </w:pPr>
      <w:r w:rsidRPr="0031222C">
        <w:rPr>
          <w:rFonts w:eastAsia="Calibri"/>
          <w:noProof/>
          <w:lang w:eastAsia="en-US"/>
        </w:rPr>
        <w:lastRenderedPageBreak/>
        <w:t xml:space="preserve">For an excellent overview of the laws across the different legal jurisdictions in the UK, see </w:t>
      </w:r>
      <w:r w:rsidRPr="00550806">
        <w:rPr>
          <w:rFonts w:eastAsia="Calibri"/>
          <w:noProof/>
          <w:lang w:eastAsia="en-US"/>
        </w:rPr>
        <w:t xml:space="preserve">Mathew Waites. </w:t>
      </w:r>
      <w:r w:rsidRPr="00550806">
        <w:rPr>
          <w:rFonts w:eastAsia="Calibri"/>
          <w:i/>
          <w:noProof/>
          <w:lang w:eastAsia="en-US"/>
        </w:rPr>
        <w:t>The Age of Consent: Young People, Sexuality and Citizenship</w:t>
      </w:r>
      <w:r w:rsidRPr="00550806">
        <w:rPr>
          <w:rFonts w:eastAsia="Calibri"/>
          <w:noProof/>
          <w:lang w:eastAsia="en-US"/>
        </w:rPr>
        <w:t xml:space="preserve">. </w:t>
      </w:r>
      <w:r w:rsidR="00867076" w:rsidRPr="00550806">
        <w:rPr>
          <w:rFonts w:eastAsia="Calibri"/>
          <w:noProof/>
          <w:color w:val="auto"/>
          <w:szCs w:val="24"/>
          <w:lang w:eastAsia="en-US"/>
        </w:rPr>
        <w:t>Houndmills</w:t>
      </w:r>
      <w:r w:rsidRPr="00550806">
        <w:rPr>
          <w:lang w:eastAsia="en-US"/>
        </w:rPr>
        <w:t xml:space="preserve">: </w:t>
      </w:r>
      <w:r w:rsidRPr="00550806">
        <w:rPr>
          <w:rFonts w:eastAsia="Calibri"/>
          <w:noProof/>
          <w:lang w:eastAsia="en-US"/>
        </w:rPr>
        <w:t>Palgrave, 2005.</w:t>
      </w:r>
      <w:r w:rsidR="00636F1B" w:rsidRPr="00550806">
        <w:rPr>
          <w:rFonts w:eastAsia="Calibri"/>
          <w:noProof/>
          <w:lang w:eastAsia="en-US"/>
        </w:rPr>
        <w:t>[</w:t>
      </w:r>
      <w:r w:rsidR="00636F1B" w:rsidRPr="004C39FD">
        <w:rPr>
          <w:rFonts w:eastAsia="Calibri"/>
          <w:noProof/>
          <w:lang w:eastAsia="en-US"/>
        </w:rPr>
        <w:t>5</w:t>
      </w:r>
      <w:r w:rsidR="00636F1B" w:rsidRPr="00550806">
        <w:rPr>
          <w:rFonts w:eastAsia="Calibri"/>
          <w:noProof/>
          <w:lang w:eastAsia="en-US"/>
        </w:rPr>
        <w:t>]</w:t>
      </w:r>
    </w:p>
    <w:p w14:paraId="1CACA116" w14:textId="4B6733D7"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Offences Against the Person Acts 1828 and 1861.</w:t>
      </w:r>
    </w:p>
    <w:p w14:paraId="25AC88C2" w14:textId="16BC230B"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Mathew Waites. </w:t>
      </w:r>
      <w:r w:rsidRPr="00922B5C">
        <w:rPr>
          <w:rFonts w:eastAsia="Calibri"/>
          <w:i/>
          <w:noProof/>
          <w:lang w:eastAsia="en-US"/>
        </w:rPr>
        <w:t>The Age of Consent: Young People, Sexuality and Citizenship</w:t>
      </w:r>
      <w:r w:rsidRPr="00665B2E">
        <w:rPr>
          <w:rFonts w:eastAsia="Calibri"/>
          <w:noProof/>
          <w:lang w:eastAsia="en-US"/>
        </w:rPr>
        <w:t xml:space="preserve">. </w:t>
      </w:r>
      <w:r w:rsidR="00867076" w:rsidRPr="00867076">
        <w:rPr>
          <w:rFonts w:eastAsia="Calibri"/>
          <w:noProof/>
          <w:lang w:eastAsia="en-US"/>
        </w:rPr>
        <w:t>Houndmills</w:t>
      </w:r>
      <w:r w:rsidRPr="00867076">
        <w:rPr>
          <w:lang w:eastAsia="en-US"/>
        </w:rPr>
        <w:t>:</w:t>
      </w:r>
      <w:r w:rsidRPr="00665B2E">
        <w:rPr>
          <w:lang w:eastAsia="en-US"/>
        </w:rPr>
        <w:t xml:space="preserve"> </w:t>
      </w:r>
      <w:r w:rsidR="00636F1B">
        <w:rPr>
          <w:rFonts w:eastAsia="Calibri"/>
          <w:noProof/>
          <w:lang w:eastAsia="en-US"/>
        </w:rPr>
        <w:t>Palgrave, 2005</w:t>
      </w:r>
      <w:r w:rsidRPr="00665B2E">
        <w:rPr>
          <w:rFonts w:eastAsia="Calibri"/>
          <w:noProof/>
          <w:lang w:eastAsia="en-US"/>
        </w:rPr>
        <w:t>.</w:t>
      </w:r>
    </w:p>
    <w:p w14:paraId="1CCAB52A" w14:textId="1AC77584" w:rsidR="002078BC" w:rsidRPr="0031222C" w:rsidRDefault="002078BC" w:rsidP="00482AEF">
      <w:pPr>
        <w:pStyle w:val="Mdeck8references"/>
        <w:ind w:left="539" w:hanging="539"/>
      </w:pPr>
      <w:r w:rsidRPr="0031222C">
        <w:rPr>
          <w:rFonts w:eastAsia="Calibri"/>
          <w:noProof/>
          <w:color w:val="auto"/>
          <w:szCs w:val="24"/>
          <w:lang w:eastAsia="en-US"/>
        </w:rPr>
        <w:t>Mathew Waites. “The Age of Consent and Sexual Consent.” In</w:t>
      </w:r>
      <w:r w:rsidRPr="0031222C">
        <w:rPr>
          <w:szCs w:val="24"/>
        </w:rPr>
        <w:t xml:space="preserve"> </w:t>
      </w:r>
      <w:r w:rsidRPr="0031222C">
        <w:rPr>
          <w:rFonts w:eastAsia="Calibri"/>
          <w:i/>
          <w:noProof/>
          <w:color w:val="auto"/>
          <w:szCs w:val="24"/>
          <w:lang w:eastAsia="en-US"/>
        </w:rPr>
        <w:t>Making Sense of Sexual Consent</w:t>
      </w:r>
      <w:r w:rsidRPr="0031222C">
        <w:rPr>
          <w:rFonts w:eastAsia="Calibri"/>
          <w:noProof/>
          <w:color w:val="auto"/>
          <w:szCs w:val="24"/>
          <w:lang w:eastAsia="en-US"/>
        </w:rPr>
        <w:t>. Edited by Mark Cowling and Paul Reynolds. Aldershot: Ashgate, 2004</w:t>
      </w:r>
      <w:r w:rsidR="001D6F6D">
        <w:rPr>
          <w:rFonts w:eastAsia="Calibri"/>
          <w:noProof/>
          <w:color w:val="auto"/>
          <w:szCs w:val="24"/>
          <w:lang w:eastAsia="en-US"/>
        </w:rPr>
        <w:t>.</w:t>
      </w:r>
      <w:r w:rsidRPr="0031222C">
        <w:rPr>
          <w:rFonts w:eastAsia="Calibri"/>
          <w:noProof/>
          <w:color w:val="auto"/>
          <w:szCs w:val="24"/>
          <w:lang w:eastAsia="en-US"/>
        </w:rPr>
        <w:t xml:space="preserve"> </w:t>
      </w:r>
    </w:p>
    <w:p w14:paraId="2794CB33" w14:textId="58E9B3A0" w:rsidR="002078BC" w:rsidRPr="00636F1B" w:rsidRDefault="002078BC" w:rsidP="00482AEF">
      <w:pPr>
        <w:pStyle w:val="Mdeck8references"/>
        <w:ind w:left="539" w:hanging="539"/>
        <w:rPr>
          <w:rFonts w:eastAsia="Calibri"/>
          <w:noProof/>
          <w:spacing w:val="-4"/>
          <w:lang w:eastAsia="en-US"/>
        </w:rPr>
      </w:pPr>
      <w:r w:rsidRPr="00636F1B">
        <w:rPr>
          <w:rFonts w:eastAsia="Calibri"/>
          <w:noProof/>
          <w:spacing w:val="-4"/>
          <w:lang w:eastAsia="en-US"/>
        </w:rPr>
        <w:t xml:space="preserve">Richard Green. </w:t>
      </w:r>
      <w:r w:rsidRPr="00636F1B">
        <w:rPr>
          <w:rFonts w:eastAsia="Calibri"/>
          <w:i/>
          <w:noProof/>
          <w:spacing w:val="-4"/>
          <w:lang w:eastAsia="en-US"/>
        </w:rPr>
        <w:t>Sexual Science and the Law</w:t>
      </w:r>
      <w:r w:rsidRPr="00636F1B">
        <w:rPr>
          <w:rFonts w:eastAsia="Calibri"/>
          <w:noProof/>
          <w:spacing w:val="-4"/>
          <w:lang w:eastAsia="en-US"/>
        </w:rPr>
        <w:t>. Cambridge, MA: Harvard University Press, 1992, p. 141.</w:t>
      </w:r>
    </w:p>
    <w:p w14:paraId="12442D2F" w14:textId="63D47AB1" w:rsidR="002078BC" w:rsidRPr="00665B2E" w:rsidRDefault="002078BC" w:rsidP="00482AEF">
      <w:pPr>
        <w:pStyle w:val="Mdeck8references"/>
        <w:ind w:left="539" w:hanging="539"/>
      </w:pPr>
      <w:r w:rsidRPr="006203AD">
        <w:t>The Telegraph.</w:t>
      </w:r>
      <w:r w:rsidRPr="00665B2E">
        <w:t xml:space="preserve"> </w:t>
      </w:r>
      <w:r>
        <w:t>“</w:t>
      </w:r>
      <w:r w:rsidRPr="00665B2E">
        <w:t xml:space="preserve">No 10 policy unit </w:t>
      </w:r>
      <w:r w:rsidR="00636F1B">
        <w:t>‘</w:t>
      </w:r>
      <w:r w:rsidRPr="00665B2E">
        <w:t>suggested lowering age of consent to 14</w:t>
      </w:r>
      <w:r w:rsidR="00636F1B">
        <w:t>’</w:t>
      </w:r>
      <w:r>
        <w:t>.”</w:t>
      </w:r>
      <w:r w:rsidRPr="00665B2E">
        <w:t xml:space="preserve"> 11 Jan</w:t>
      </w:r>
      <w:r>
        <w:t>uary</w:t>
      </w:r>
      <w:r w:rsidRPr="00665B2E">
        <w:t xml:space="preserve"> 2013. </w:t>
      </w:r>
      <w:r>
        <w:t xml:space="preserve">Available online: </w:t>
      </w:r>
      <w:r w:rsidRPr="006203AD">
        <w:t>http://www.telegraph.co.uk/health/healthnews/9794842/No-10-policy-unit-suggested-lowering-age-of-consent-to-14.html</w:t>
      </w:r>
      <w:r w:rsidRPr="00665B2E">
        <w:t xml:space="preserve"> (accessed </w:t>
      </w:r>
      <w:r>
        <w:t>on 12</w:t>
      </w:r>
      <w:r w:rsidRPr="00665B2E">
        <w:t xml:space="preserve"> February 2014).</w:t>
      </w:r>
    </w:p>
    <w:p w14:paraId="5C862CC1" w14:textId="73A10298" w:rsidR="002078BC" w:rsidRPr="00665B2E" w:rsidRDefault="002078BC" w:rsidP="00482AEF">
      <w:pPr>
        <w:pStyle w:val="Mdeck8references"/>
        <w:ind w:left="539" w:hanging="539"/>
      </w:pPr>
      <w:r w:rsidRPr="00665B2E">
        <w:t>James Chapman. “Lower the age of consent to just fourteen, say civil servants</w:t>
      </w:r>
      <w:r>
        <w:t>.”</w:t>
      </w:r>
      <w:r w:rsidRPr="00665B2E">
        <w:t xml:space="preserve"> </w:t>
      </w:r>
      <w:r w:rsidRPr="005F49B6">
        <w:rPr>
          <w:i/>
        </w:rPr>
        <w:t>The Daily Mail</w:t>
      </w:r>
      <w:r w:rsidRPr="00665B2E">
        <w:t>, 10 January 2013.</w:t>
      </w:r>
      <w:r>
        <w:t xml:space="preserve"> </w:t>
      </w:r>
      <w:r w:rsidRPr="00001782">
        <w:t xml:space="preserve">Available online: </w:t>
      </w:r>
      <w:r w:rsidR="007A258A" w:rsidRPr="00636F1B">
        <w:t>http://www.dailymail.co.uk/news/article-2260443/Lower-age-consent-14-allow-public-nudity-civil-servants-told-No10.html</w:t>
      </w:r>
      <w:r w:rsidR="007A258A">
        <w:t xml:space="preserve"> </w:t>
      </w:r>
      <w:r w:rsidRPr="00EE2F5C">
        <w:t xml:space="preserve">(accessed on </w:t>
      </w:r>
      <w:r w:rsidR="007A258A" w:rsidRPr="007A258A">
        <w:t>12 February 2014</w:t>
      </w:r>
      <w:r w:rsidRPr="007A258A">
        <w:t>).</w:t>
      </w:r>
    </w:p>
    <w:p w14:paraId="226FC94C" w14:textId="7856A090" w:rsidR="002078BC" w:rsidRPr="00665B2E" w:rsidRDefault="002078BC" w:rsidP="00482AEF">
      <w:pPr>
        <w:pStyle w:val="Mdeck8references"/>
        <w:ind w:left="539" w:hanging="539"/>
      </w:pPr>
      <w:r w:rsidRPr="00665B2E">
        <w:t>Nicholas Watt. “No 10 rejects call to lower age of consent</w:t>
      </w:r>
      <w:r>
        <w:t>.</w:t>
      </w:r>
      <w:r w:rsidRPr="00665B2E">
        <w:t xml:space="preserve">” </w:t>
      </w:r>
      <w:r w:rsidRPr="00665B2E">
        <w:rPr>
          <w:i/>
        </w:rPr>
        <w:t>The Guardian</w:t>
      </w:r>
      <w:r w:rsidRPr="00665B2E">
        <w:t>, 17 November 2013.</w:t>
      </w:r>
      <w:r>
        <w:t xml:space="preserve"> </w:t>
      </w:r>
    </w:p>
    <w:p w14:paraId="358A32A4" w14:textId="2E5A9E1D" w:rsidR="002078BC" w:rsidRPr="00636F1B" w:rsidRDefault="002078BC" w:rsidP="00482AEF">
      <w:pPr>
        <w:pStyle w:val="Mdeck8references"/>
        <w:ind w:left="539" w:hanging="539"/>
        <w:rPr>
          <w:spacing w:val="-4"/>
        </w:rPr>
      </w:pPr>
      <w:r>
        <w:t xml:space="preserve">Adam Withnall. </w:t>
      </w:r>
      <w:r w:rsidRPr="00665B2E">
        <w:t xml:space="preserve">“Health expert calls for age of consent to be lowered to 15.” </w:t>
      </w:r>
      <w:r w:rsidRPr="00665B2E">
        <w:rPr>
          <w:i/>
        </w:rPr>
        <w:t>The Independent</w:t>
      </w:r>
      <w:r w:rsidRPr="00665B2E">
        <w:t xml:space="preserve">, 17 November 2013. </w:t>
      </w:r>
      <w:r>
        <w:t xml:space="preserve">Available online: </w:t>
      </w:r>
      <w:r w:rsidRPr="00665B2E">
        <w:t>http://www.independent.co.uk/news/uk/home-news/health-</w:t>
      </w:r>
      <w:r w:rsidRPr="00636F1B">
        <w:rPr>
          <w:spacing w:val="-4"/>
        </w:rPr>
        <w:t>expert-calls-for-age-of-consent-to-be-lowered-to-15-8945235.html (accessed on 12 February 2014).</w:t>
      </w:r>
    </w:p>
    <w:p w14:paraId="11C582BD" w14:textId="0A2DDE30" w:rsidR="002078BC" w:rsidRPr="00665B2E" w:rsidRDefault="002078BC" w:rsidP="00482AEF">
      <w:pPr>
        <w:pStyle w:val="Mdeck8references"/>
        <w:ind w:left="539" w:hanging="539"/>
      </w:pPr>
      <w:r w:rsidRPr="00665B2E">
        <w:t>Claire Duffin. “Call to lower age of consent to 15</w:t>
      </w:r>
      <w:r>
        <w:t>.”</w:t>
      </w:r>
      <w:r w:rsidRPr="00665B2E">
        <w:t xml:space="preserve"> </w:t>
      </w:r>
      <w:r w:rsidRPr="00665B2E">
        <w:rPr>
          <w:i/>
        </w:rPr>
        <w:t>The Telegraph</w:t>
      </w:r>
      <w:r w:rsidRPr="00665B2E">
        <w:t>, 17 Nov</w:t>
      </w:r>
      <w:r>
        <w:t>ember</w:t>
      </w:r>
      <w:r w:rsidRPr="00665B2E">
        <w:t xml:space="preserve"> 2013.</w:t>
      </w:r>
      <w:r>
        <w:t xml:space="preserve"> </w:t>
      </w:r>
    </w:p>
    <w:p w14:paraId="6135593C" w14:textId="1CB17B08" w:rsidR="002078BC" w:rsidRPr="00665B2E" w:rsidRDefault="002078BC" w:rsidP="00482AEF">
      <w:pPr>
        <w:pStyle w:val="Mdeck8references"/>
        <w:ind w:left="539" w:hanging="539"/>
      </w:pPr>
      <w:r w:rsidRPr="00665B2E">
        <w:t>Caroline Argyropulo-Palmer. “No 10 rejects calls to lower age of consent to 15</w:t>
      </w:r>
      <w:r>
        <w:t>.”</w:t>
      </w:r>
      <w:r w:rsidRPr="00665B2E">
        <w:t xml:space="preserve"> </w:t>
      </w:r>
      <w:r w:rsidRPr="00665B2E">
        <w:rPr>
          <w:i/>
        </w:rPr>
        <w:t>The Times</w:t>
      </w:r>
      <w:r w:rsidRPr="00665B2E">
        <w:t>, 18</w:t>
      </w:r>
      <w:r w:rsidRPr="00EF6F33">
        <w:t xml:space="preserve"> </w:t>
      </w:r>
      <w:r w:rsidRPr="00665B2E">
        <w:t>November 2013.</w:t>
      </w:r>
    </w:p>
    <w:p w14:paraId="56AD4510" w14:textId="5FC9A018" w:rsidR="002078BC" w:rsidRPr="00CB2A87" w:rsidRDefault="002078BC" w:rsidP="00482AEF">
      <w:pPr>
        <w:pStyle w:val="Mdeck8references"/>
        <w:ind w:left="539" w:hanging="539"/>
        <w:rPr>
          <w:spacing w:val="-4"/>
        </w:rPr>
      </w:pPr>
      <w:r w:rsidRPr="00CB2A87">
        <w:rPr>
          <w:spacing w:val="-4"/>
        </w:rPr>
        <w:t xml:space="preserve">Sarah-Kate Templeton. “Call to drop legal age of sex to 15.” </w:t>
      </w:r>
      <w:r w:rsidRPr="00CB2A87">
        <w:rPr>
          <w:i/>
          <w:spacing w:val="-4"/>
        </w:rPr>
        <w:t>The Sunday Times</w:t>
      </w:r>
      <w:r w:rsidRPr="00CB2A87">
        <w:rPr>
          <w:spacing w:val="-4"/>
        </w:rPr>
        <w:t>, 17 November 2013.</w:t>
      </w:r>
    </w:p>
    <w:p w14:paraId="503F50BA" w14:textId="1BE217BA" w:rsidR="002078BC" w:rsidRPr="00665B2E" w:rsidRDefault="002078BC" w:rsidP="00482AEF">
      <w:pPr>
        <w:pStyle w:val="Mdeck8references"/>
        <w:ind w:left="539" w:hanging="539"/>
      </w:pPr>
      <w:r w:rsidRPr="00665B2E">
        <w:t xml:space="preserve">Sarah Nelson. “Sexual Age </w:t>
      </w:r>
      <w:r w:rsidR="00CB2A87" w:rsidRPr="00665B2E">
        <w:t xml:space="preserve">of </w:t>
      </w:r>
      <w:r w:rsidRPr="00665B2E">
        <w:t xml:space="preserve">Consent </w:t>
      </w:r>
      <w:r w:rsidR="00CB2A87" w:rsidRPr="00665B2E">
        <w:t xml:space="preserve">will not be </w:t>
      </w:r>
      <w:proofErr w:type="gramStart"/>
      <w:r w:rsidRPr="00665B2E">
        <w:t>Lowered</w:t>
      </w:r>
      <w:proofErr w:type="gramEnd"/>
      <w:r w:rsidRPr="00665B2E">
        <w:t xml:space="preserve"> </w:t>
      </w:r>
      <w:r w:rsidR="00CB2A87" w:rsidRPr="00665B2E">
        <w:t xml:space="preserve">to </w:t>
      </w:r>
      <w:r w:rsidRPr="00665B2E">
        <w:t>14, Insists David Cameron</w:t>
      </w:r>
      <w:r>
        <w:t>.”</w:t>
      </w:r>
      <w:r w:rsidRPr="00665B2E">
        <w:t xml:space="preserve"> </w:t>
      </w:r>
      <w:r w:rsidRPr="00665B2E">
        <w:rPr>
          <w:i/>
        </w:rPr>
        <w:t>Huffington Post</w:t>
      </w:r>
      <w:r w:rsidRPr="008A29E1">
        <w:t>,</w:t>
      </w:r>
      <w:r>
        <w:rPr>
          <w:i/>
        </w:rPr>
        <w:t xml:space="preserve"> </w:t>
      </w:r>
      <w:r w:rsidR="00655DD2" w:rsidRPr="00655DD2">
        <w:t>11 January 2013</w:t>
      </w:r>
      <w:r w:rsidRPr="00665B2E">
        <w:t>.</w:t>
      </w:r>
      <w:r w:rsidR="00371378" w:rsidRPr="00371378">
        <w:t xml:space="preserve"> Available online: </w:t>
      </w:r>
      <w:r w:rsidR="00371378" w:rsidRPr="00CB2A87">
        <w:t>http://www.huffingtonpost.co.uk/2013/01/</w:t>
      </w:r>
      <w:r w:rsidR="00CB2A87">
        <w:br/>
      </w:r>
      <w:r w:rsidR="00371378" w:rsidRPr="00CB2A87">
        <w:t>11/age-of-consent-will-not-be-lowered-to-14-insists-david-cameron-sexual_n_2454084.html</w:t>
      </w:r>
      <w:r w:rsidR="00371378">
        <w:t xml:space="preserve"> </w:t>
      </w:r>
      <w:r w:rsidR="00371378" w:rsidRPr="00371378">
        <w:t>(accessed on 12 February 2014).</w:t>
      </w:r>
    </w:p>
    <w:p w14:paraId="2808C836" w14:textId="725C6AA0" w:rsidR="002078BC" w:rsidRPr="00665B2E" w:rsidRDefault="002078BC" w:rsidP="00482AEF">
      <w:pPr>
        <w:pStyle w:val="Mdeck8references"/>
        <w:ind w:left="539" w:hanging="539"/>
      </w:pPr>
      <w:r w:rsidRPr="00665B2E">
        <w:t>Peter Tatchell. “An age of consent of 14 might be more realistic and reasonable than 16</w:t>
      </w:r>
      <w:r>
        <w:t>.”</w:t>
      </w:r>
      <w:r w:rsidRPr="00665B2E">
        <w:t xml:space="preserve"> </w:t>
      </w:r>
      <w:r w:rsidRPr="00665B2E">
        <w:rPr>
          <w:i/>
        </w:rPr>
        <w:t>Pink News</w:t>
      </w:r>
      <w:r w:rsidRPr="00665B2E">
        <w:t>, 22</w:t>
      </w:r>
      <w:r>
        <w:t xml:space="preserve"> </w:t>
      </w:r>
      <w:r w:rsidRPr="00665B2E">
        <w:t>November 2013.</w:t>
      </w:r>
      <w:r w:rsidR="00226985">
        <w:t xml:space="preserve"> </w:t>
      </w:r>
    </w:p>
    <w:p w14:paraId="73F594E2" w14:textId="41388383" w:rsidR="002078BC" w:rsidRPr="00665B2E" w:rsidRDefault="002078BC" w:rsidP="00482AEF">
      <w:pPr>
        <w:pStyle w:val="Mdeck8references"/>
        <w:ind w:left="539" w:hanging="539"/>
      </w:pPr>
      <w:r w:rsidRPr="00665B2E">
        <w:t>“PM rejects call to lower age of consent to 15</w:t>
      </w:r>
      <w:r>
        <w:t>.”</w:t>
      </w:r>
      <w:r w:rsidRPr="00665B2E">
        <w:t xml:space="preserve"> </w:t>
      </w:r>
      <w:r w:rsidRPr="00BB6B99">
        <w:rPr>
          <w:i/>
        </w:rPr>
        <w:t>BBC News</w:t>
      </w:r>
      <w:r w:rsidRPr="00665B2E">
        <w:t>, 17</w:t>
      </w:r>
      <w:r>
        <w:t xml:space="preserve"> </w:t>
      </w:r>
      <w:r w:rsidRPr="00665B2E">
        <w:t>November 2013.</w:t>
      </w:r>
    </w:p>
    <w:p w14:paraId="2F5D9711" w14:textId="3019FF79" w:rsidR="002078BC" w:rsidRPr="00665B2E" w:rsidRDefault="002078BC" w:rsidP="00482AEF">
      <w:pPr>
        <w:pStyle w:val="Mdeck8references"/>
        <w:ind w:left="539" w:hanging="539"/>
      </w:pPr>
      <w:r w:rsidRPr="00665B2E">
        <w:t>“Age Of Consent: No 10 Rejects Calls To Change</w:t>
      </w:r>
      <w:r>
        <w:t>.”</w:t>
      </w:r>
      <w:r w:rsidRPr="00665B2E">
        <w:t xml:space="preserve"> </w:t>
      </w:r>
      <w:r w:rsidRPr="00BB6B99">
        <w:rPr>
          <w:i/>
        </w:rPr>
        <w:t>Sky News</w:t>
      </w:r>
      <w:r w:rsidRPr="00665B2E">
        <w:t>, 17</w:t>
      </w:r>
      <w:r>
        <w:t xml:space="preserve"> </w:t>
      </w:r>
      <w:r w:rsidRPr="00665B2E">
        <w:t>November 2014.</w:t>
      </w:r>
    </w:p>
    <w:p w14:paraId="34792F7C" w14:textId="706A9859" w:rsidR="002078BC" w:rsidRPr="00665B2E" w:rsidRDefault="002078BC" w:rsidP="00482AEF">
      <w:pPr>
        <w:pStyle w:val="Mdeck8references"/>
        <w:ind w:left="539" w:hanging="539"/>
      </w:pPr>
      <w:r w:rsidRPr="00665B2E">
        <w:t>“Age of consent calls rejected</w:t>
      </w:r>
      <w:r>
        <w:t xml:space="preserve">.” </w:t>
      </w:r>
      <w:r w:rsidRPr="00BB6B99">
        <w:rPr>
          <w:i/>
        </w:rPr>
        <w:t>ITV News</w:t>
      </w:r>
      <w:r w:rsidRPr="00665B2E">
        <w:t>, 17</w:t>
      </w:r>
      <w:r>
        <w:t xml:space="preserve"> </w:t>
      </w:r>
      <w:r w:rsidRPr="00665B2E">
        <w:t>November 2014.</w:t>
      </w:r>
    </w:p>
    <w:p w14:paraId="57A7C299" w14:textId="6814A345" w:rsidR="002078BC" w:rsidRPr="00CB2A87" w:rsidRDefault="002078BC" w:rsidP="00482AEF">
      <w:pPr>
        <w:pStyle w:val="Mdeck8references"/>
        <w:ind w:left="539" w:hanging="539"/>
        <w:rPr>
          <w:rFonts w:eastAsia="Calibri"/>
          <w:noProof/>
          <w:lang w:eastAsia="en-US"/>
        </w:rPr>
      </w:pPr>
      <w:r w:rsidRPr="00CB2A87">
        <w:rPr>
          <w:rFonts w:eastAsia="Calibri"/>
          <w:noProof/>
          <w:lang w:eastAsia="en-US"/>
        </w:rPr>
        <w:t>“Peter Tatchell Calls For Age Of Consent To Be 14.”</w:t>
      </w:r>
      <w:r w:rsidR="00CB2A87" w:rsidRPr="00CB2A87">
        <w:rPr>
          <w:rFonts w:eastAsia="Calibri"/>
          <w:noProof/>
          <w:lang w:eastAsia="en-US"/>
        </w:rPr>
        <w:t xml:space="preserve"> </w:t>
      </w:r>
      <w:r w:rsidR="00CB2A87" w:rsidRPr="00CB2A87">
        <w:rPr>
          <w:rFonts w:eastAsia="Calibri"/>
          <w:i/>
          <w:noProof/>
          <w:lang w:eastAsia="en-US"/>
        </w:rPr>
        <w:t>The Huffington Post</w:t>
      </w:r>
      <w:r w:rsidRPr="00CB2A87">
        <w:rPr>
          <w:rFonts w:eastAsia="Calibri"/>
          <w:noProof/>
          <w:lang w:eastAsia="en-US"/>
        </w:rPr>
        <w:t xml:space="preserve">, 21 November 2013. </w:t>
      </w:r>
      <w:r w:rsidRPr="001310F3">
        <w:t xml:space="preserve">Available online: </w:t>
      </w:r>
      <w:r w:rsidRPr="001310F3">
        <w:rPr>
          <w:rFonts w:eastAsia="Calibri"/>
          <w:noProof/>
          <w:lang w:eastAsia="en-US"/>
        </w:rPr>
        <w:t>http://www.huffingtonpost.co.uk/2013/11/21/peter-tatchell-age-of-con_n_</w:t>
      </w:r>
      <w:r w:rsidR="001310F3">
        <w:rPr>
          <w:rFonts w:eastAsia="Calibri"/>
          <w:noProof/>
          <w:lang w:eastAsia="en-US"/>
        </w:rPr>
        <w:br/>
      </w:r>
      <w:r w:rsidRPr="001310F3">
        <w:rPr>
          <w:rFonts w:eastAsia="Calibri"/>
          <w:noProof/>
          <w:lang w:eastAsia="en-US"/>
        </w:rPr>
        <w:t>4315641.html</w:t>
      </w:r>
      <w:r w:rsidRPr="00CB2A87">
        <w:t xml:space="preserve"> </w:t>
      </w:r>
      <w:r w:rsidRPr="00CB2A87">
        <w:rPr>
          <w:rFonts w:eastAsia="Calibri"/>
          <w:noProof/>
          <w:lang w:eastAsia="en-US"/>
        </w:rPr>
        <w:t>(accessed on 12 February 2014).</w:t>
      </w:r>
    </w:p>
    <w:p w14:paraId="59E1513B" w14:textId="784C3E29" w:rsidR="002078BC" w:rsidRPr="00EF6F33" w:rsidRDefault="002078BC" w:rsidP="00482AEF">
      <w:pPr>
        <w:pStyle w:val="Mdeck8references"/>
        <w:ind w:left="539" w:hanging="539"/>
        <w:rPr>
          <w:rFonts w:eastAsia="Calibri"/>
          <w:noProof/>
          <w:color w:val="auto"/>
          <w:lang w:eastAsia="en-US"/>
        </w:rPr>
      </w:pPr>
      <w:r>
        <w:rPr>
          <w:rFonts w:eastAsia="Calibri"/>
          <w:noProof/>
          <w:color w:val="auto"/>
          <w:lang w:eastAsia="en-US"/>
        </w:rPr>
        <w:t>Peter Tatchell. “</w:t>
      </w:r>
      <w:r w:rsidR="00226985">
        <w:rPr>
          <w:rFonts w:eastAsia="Calibri"/>
          <w:noProof/>
          <w:color w:val="auto"/>
          <w:lang w:eastAsia="en-US"/>
        </w:rPr>
        <w:t>Consent at 14</w:t>
      </w:r>
      <w:r w:rsidR="001310F3">
        <w:rPr>
          <w:rFonts w:eastAsia="Calibri"/>
          <w:noProof/>
          <w:color w:val="auto"/>
          <w:lang w:eastAsia="en-US"/>
        </w:rPr>
        <w:t>.</w:t>
      </w:r>
      <w:r>
        <w:rPr>
          <w:rFonts w:eastAsia="Calibri"/>
          <w:noProof/>
          <w:color w:val="auto"/>
          <w:lang w:eastAsia="en-US"/>
        </w:rPr>
        <w:t xml:space="preserve">” </w:t>
      </w:r>
      <w:r>
        <w:t xml:space="preserve">Available online: </w:t>
      </w:r>
      <w:r w:rsidRPr="00BB6B99">
        <w:rPr>
          <w:rFonts w:eastAsia="Calibri"/>
          <w:noProof/>
          <w:lang w:eastAsia="en-US"/>
        </w:rPr>
        <w:t>http://www.petertatchell.net/lgbt_rights/</w:t>
      </w:r>
      <w:r w:rsidR="001310F3">
        <w:rPr>
          <w:rFonts w:eastAsia="Calibri"/>
          <w:noProof/>
          <w:lang w:eastAsia="en-US"/>
        </w:rPr>
        <w:br/>
      </w:r>
      <w:r w:rsidRPr="00BB6B99">
        <w:rPr>
          <w:rFonts w:eastAsia="Calibri"/>
          <w:noProof/>
          <w:lang w:eastAsia="en-US"/>
        </w:rPr>
        <w:t>age_of_consent/consent-at-14.htm</w:t>
      </w:r>
      <w:r w:rsidRPr="00665B2E">
        <w:rPr>
          <w:rFonts w:eastAsia="Calibri"/>
          <w:noProof/>
          <w:color w:val="auto"/>
          <w:lang w:eastAsia="en-US"/>
        </w:rPr>
        <w:t xml:space="preserve"> (accessed </w:t>
      </w:r>
      <w:r>
        <w:rPr>
          <w:rFonts w:eastAsia="Calibri"/>
          <w:noProof/>
          <w:color w:val="auto"/>
          <w:lang w:eastAsia="en-US"/>
        </w:rPr>
        <w:t xml:space="preserve">on </w:t>
      </w:r>
      <w:r w:rsidRPr="00665B2E">
        <w:rPr>
          <w:rFonts w:eastAsia="Calibri"/>
          <w:noProof/>
          <w:color w:val="auto"/>
          <w:lang w:eastAsia="en-US"/>
        </w:rPr>
        <w:t>12 February 2014).</w:t>
      </w:r>
    </w:p>
    <w:p w14:paraId="33F6229F" w14:textId="41E98EB6" w:rsidR="002078BC" w:rsidRPr="00665B2E" w:rsidRDefault="00226985" w:rsidP="00482AEF">
      <w:pPr>
        <w:pStyle w:val="Mdeck8references"/>
        <w:ind w:left="539" w:hanging="539"/>
      </w:pPr>
      <w:r w:rsidRPr="00226985">
        <w:t xml:space="preserve">Peter Tatchell. </w:t>
      </w:r>
      <w:r w:rsidR="002078BC">
        <w:rPr>
          <w:rFonts w:eastAsia="Calibri"/>
          <w:noProof/>
          <w:color w:val="auto"/>
          <w:lang w:eastAsia="en-US"/>
        </w:rPr>
        <w:t>“</w:t>
      </w:r>
      <w:r>
        <w:rPr>
          <w:rFonts w:eastAsia="Calibri"/>
          <w:noProof/>
          <w:color w:val="auto"/>
          <w:lang w:eastAsia="en-US"/>
        </w:rPr>
        <w:t>Age of Consent</w:t>
      </w:r>
      <w:r w:rsidR="002078BC">
        <w:rPr>
          <w:rFonts w:eastAsia="Calibri"/>
          <w:noProof/>
          <w:color w:val="auto"/>
          <w:lang w:eastAsia="en-US"/>
        </w:rPr>
        <w:t>.”</w:t>
      </w:r>
      <w:r w:rsidR="00EB4680">
        <w:rPr>
          <w:rFonts w:eastAsia="Calibri"/>
          <w:noProof/>
          <w:color w:val="auto"/>
          <w:lang w:eastAsia="en-US"/>
        </w:rPr>
        <w:t xml:space="preserve"> </w:t>
      </w:r>
      <w:r w:rsidR="002078BC">
        <w:t xml:space="preserve">Available online: </w:t>
      </w:r>
      <w:r w:rsidR="002078BC" w:rsidRPr="00BB6B99">
        <w:t>http://www.petertatchell.net/lgbt_rights/</w:t>
      </w:r>
      <w:r w:rsidR="001310F3">
        <w:br/>
      </w:r>
      <w:proofErr w:type="spellStart"/>
      <w:r w:rsidR="002078BC" w:rsidRPr="00BB6B99">
        <w:t>age_of_consent</w:t>
      </w:r>
      <w:proofErr w:type="spellEnd"/>
      <w:r w:rsidR="002078BC" w:rsidRPr="00BB6B99">
        <w:t>/contents.htm</w:t>
      </w:r>
      <w:r w:rsidR="001310F3">
        <w:t xml:space="preserve"> (accessed on 28</w:t>
      </w:r>
      <w:r w:rsidR="002078BC" w:rsidRPr="00665B2E">
        <w:t xml:space="preserve"> September 2014).</w:t>
      </w:r>
    </w:p>
    <w:p w14:paraId="049AED9B" w14:textId="0AE342F6" w:rsidR="002078BC" w:rsidRPr="00EF6F33" w:rsidRDefault="00BA3427" w:rsidP="0001337A">
      <w:pPr>
        <w:pStyle w:val="Mdeck8references"/>
        <w:rPr>
          <w:rFonts w:eastAsia="Calibri"/>
          <w:noProof/>
          <w:lang w:eastAsia="en-US"/>
        </w:rPr>
      </w:pPr>
      <w:r w:rsidRPr="0001337A">
        <w:rPr>
          <w:rFonts w:eastAsia="Calibri"/>
          <w:noProof/>
          <w:lang w:eastAsia="en-US"/>
        </w:rPr>
        <w:lastRenderedPageBreak/>
        <w:t>The National Survey of Sexual Attitudes and Lifestyles</w:t>
      </w:r>
      <w:r w:rsidR="002078BC" w:rsidRPr="0001337A">
        <w:t>.</w:t>
      </w:r>
      <w:r w:rsidR="002078BC">
        <w:t xml:space="preserve"> “</w:t>
      </w:r>
      <w:r w:rsidR="00D70982" w:rsidRPr="00D70982">
        <w:t>The Third National Survey of Sexual Attitudes and Lifestyles</w:t>
      </w:r>
      <w:r w:rsidR="0001337A">
        <w:t xml:space="preserve"> (Natsal-3)</w:t>
      </w:r>
      <w:r w:rsidR="002078BC">
        <w:rPr>
          <w:rFonts w:eastAsia="Calibri"/>
          <w:noProof/>
          <w:lang w:eastAsia="en-US"/>
        </w:rPr>
        <w:t>.”</w:t>
      </w:r>
      <w:r w:rsidR="002078BC" w:rsidRPr="00665B2E">
        <w:rPr>
          <w:rFonts w:eastAsia="Calibri"/>
          <w:noProof/>
          <w:lang w:eastAsia="en-US"/>
        </w:rPr>
        <w:t xml:space="preserve"> </w:t>
      </w:r>
      <w:bookmarkStart w:id="5" w:name="OLE_LINK3"/>
      <w:r w:rsidR="003F7FA4">
        <w:rPr>
          <w:rFonts w:eastAsia="Calibri"/>
          <w:noProof/>
          <w:lang w:eastAsia="en-US"/>
        </w:rPr>
        <w:t>26 November</w:t>
      </w:r>
      <w:r w:rsidR="003F7FA4" w:rsidRPr="003F7FA4">
        <w:rPr>
          <w:rFonts w:eastAsia="Calibri"/>
          <w:noProof/>
          <w:lang w:eastAsia="en-US"/>
        </w:rPr>
        <w:t xml:space="preserve"> 2013</w:t>
      </w:r>
      <w:r w:rsidR="003F7FA4">
        <w:rPr>
          <w:rFonts w:eastAsia="Calibri"/>
          <w:noProof/>
          <w:lang w:eastAsia="en-US"/>
        </w:rPr>
        <w:t xml:space="preserve"> </w:t>
      </w:r>
      <w:r w:rsidR="001310F3" w:rsidRPr="003F7FA4">
        <w:rPr>
          <w:rFonts w:eastAsia="Calibri"/>
          <w:noProof/>
          <w:lang w:eastAsia="en-US"/>
        </w:rPr>
        <w:t xml:space="preserve">Day Month Year. </w:t>
      </w:r>
      <w:r w:rsidR="002078BC">
        <w:t>Available online:</w:t>
      </w:r>
      <w:r w:rsidR="0001337A">
        <w:rPr>
          <w:rFonts w:eastAsia="Calibri"/>
          <w:noProof/>
          <w:lang w:eastAsia="en-US"/>
        </w:rPr>
        <w:t xml:space="preserve">  </w:t>
      </w:r>
      <w:hyperlink r:id="rId10" w:history="1">
        <w:r w:rsidR="0001337A" w:rsidRPr="00521CE2">
          <w:rPr>
            <w:rStyle w:val="Hyperlink"/>
            <w:rFonts w:eastAsia="Calibri"/>
            <w:noProof/>
            <w:lang w:eastAsia="en-US"/>
          </w:rPr>
          <w:t>http://www.thelancet.com/themed/natsal</w:t>
        </w:r>
      </w:hyperlink>
      <w:r w:rsidR="0001337A">
        <w:rPr>
          <w:rFonts w:eastAsia="Calibri"/>
          <w:noProof/>
          <w:lang w:eastAsia="en-US"/>
        </w:rPr>
        <w:t xml:space="preserve"> </w:t>
      </w:r>
      <w:bookmarkEnd w:id="5"/>
      <w:r w:rsidR="002078BC" w:rsidRPr="00665B2E">
        <w:rPr>
          <w:rFonts w:eastAsia="Calibri"/>
          <w:noProof/>
          <w:lang w:eastAsia="en-US"/>
        </w:rPr>
        <w:t xml:space="preserve">(accessed </w:t>
      </w:r>
      <w:r w:rsidR="002078BC">
        <w:rPr>
          <w:rFonts w:eastAsia="Calibri"/>
          <w:noProof/>
          <w:lang w:eastAsia="en-US"/>
        </w:rPr>
        <w:t>on 12</w:t>
      </w:r>
      <w:r w:rsidR="002078BC" w:rsidRPr="00665B2E">
        <w:rPr>
          <w:rFonts w:eastAsia="Calibri"/>
          <w:noProof/>
          <w:lang w:eastAsia="en-US"/>
        </w:rPr>
        <w:t xml:space="preserve"> February 2014).</w:t>
      </w:r>
    </w:p>
    <w:p w14:paraId="4699FD7E" w14:textId="7E45BCE1" w:rsidR="002078BC" w:rsidRPr="00665B2E" w:rsidRDefault="002078BC" w:rsidP="00482AEF">
      <w:pPr>
        <w:pStyle w:val="Mdeck8references"/>
        <w:ind w:left="539" w:hanging="539"/>
        <w:rPr>
          <w:rFonts w:eastAsia="Calibri"/>
          <w:noProof/>
          <w:lang w:eastAsia="en-US"/>
        </w:rPr>
      </w:pPr>
      <w:r>
        <w:rPr>
          <w:rFonts w:eastAsia="Calibri"/>
          <w:noProof/>
          <w:lang w:eastAsia="en-US"/>
        </w:rPr>
        <w:t>Nicholas Watt.</w:t>
      </w:r>
      <w:r w:rsidRPr="00665B2E">
        <w:rPr>
          <w:rFonts w:eastAsia="Calibri"/>
          <w:noProof/>
          <w:lang w:eastAsia="en-US"/>
        </w:rPr>
        <w:t xml:space="preserve"> “Parties reject call to lower age of consent.” </w:t>
      </w:r>
      <w:r w:rsidRPr="00665B2E">
        <w:rPr>
          <w:rFonts w:eastAsia="Calibri"/>
          <w:i/>
          <w:noProof/>
          <w:lang w:eastAsia="en-US"/>
        </w:rPr>
        <w:t>The Guardian</w:t>
      </w:r>
      <w:r w:rsidRPr="00665B2E">
        <w:rPr>
          <w:rFonts w:eastAsia="Calibri"/>
          <w:noProof/>
          <w:lang w:eastAsia="en-US"/>
        </w:rPr>
        <w:t xml:space="preserve">, 17 November 2013. </w:t>
      </w:r>
      <w:r>
        <w:t xml:space="preserve">Available online: </w:t>
      </w:r>
      <w:r w:rsidRPr="00501C90">
        <w:rPr>
          <w:rFonts w:eastAsia="Calibri"/>
          <w:noProof/>
          <w:lang w:eastAsia="en-US"/>
        </w:rPr>
        <w:t>http://www.theguardian.com/politics/2013/nov/17/parties-reject-call-lower-age-consent-health-contraception</w:t>
      </w:r>
      <w:r w:rsidRPr="00665B2E">
        <w:rPr>
          <w:rFonts w:eastAsia="Calibri"/>
          <w:noProof/>
          <w:lang w:eastAsia="en-US"/>
        </w:rPr>
        <w:t xml:space="preserve"> (accessed </w:t>
      </w:r>
      <w:r>
        <w:rPr>
          <w:rFonts w:eastAsia="Calibri"/>
          <w:noProof/>
          <w:lang w:eastAsia="en-US"/>
        </w:rPr>
        <w:t>on 15</w:t>
      </w:r>
      <w:r w:rsidRPr="00665B2E">
        <w:rPr>
          <w:rFonts w:eastAsia="Calibri"/>
          <w:noProof/>
          <w:lang w:eastAsia="en-US"/>
        </w:rPr>
        <w:t xml:space="preserve"> February 2014).  </w:t>
      </w:r>
    </w:p>
    <w:p w14:paraId="1C9EAEBB" w14:textId="170CAE30" w:rsidR="002078BC" w:rsidRPr="00EF6F33" w:rsidRDefault="002078BC" w:rsidP="00482AEF">
      <w:pPr>
        <w:pStyle w:val="Mdeck8references"/>
        <w:ind w:left="539" w:hanging="539"/>
        <w:rPr>
          <w:rFonts w:eastAsia="Calibri"/>
          <w:noProof/>
          <w:lang w:eastAsia="en-US"/>
        </w:rPr>
      </w:pPr>
      <w:r w:rsidRPr="00665B2E">
        <w:rPr>
          <w:rFonts w:eastAsia="Calibri"/>
          <w:noProof/>
          <w:lang w:eastAsia="en-US"/>
        </w:rPr>
        <w:t xml:space="preserve">Julia Parnaby. “Queer Straits.” In </w:t>
      </w:r>
      <w:r w:rsidRPr="00665B2E">
        <w:rPr>
          <w:rFonts w:eastAsia="Calibri"/>
          <w:i/>
          <w:noProof/>
          <w:lang w:eastAsia="en-US"/>
        </w:rPr>
        <w:t>The Trouble &amp; Strife Reader</w:t>
      </w:r>
      <w:r>
        <w:rPr>
          <w:rFonts w:eastAsia="Calibri"/>
          <w:noProof/>
          <w:lang w:eastAsia="en-US"/>
        </w:rPr>
        <w:t>.</w:t>
      </w:r>
      <w:r w:rsidRPr="00665B2E">
        <w:rPr>
          <w:rFonts w:eastAsia="Calibri"/>
          <w:noProof/>
          <w:lang w:eastAsia="en-US"/>
        </w:rPr>
        <w:t xml:space="preserve"> </w:t>
      </w:r>
      <w:r>
        <w:rPr>
          <w:rFonts w:eastAsia="Calibri"/>
          <w:noProof/>
          <w:lang w:eastAsia="en-US"/>
        </w:rPr>
        <w:t xml:space="preserve">Edited by </w:t>
      </w:r>
      <w:r w:rsidR="00B7322B" w:rsidRPr="00B7322B">
        <w:rPr>
          <w:rFonts w:eastAsia="Calibri"/>
          <w:noProof/>
          <w:lang w:eastAsia="en-US"/>
        </w:rPr>
        <w:t xml:space="preserve">Deborah </w:t>
      </w:r>
      <w:r w:rsidR="000328A4">
        <w:rPr>
          <w:rFonts w:eastAsia="Calibri"/>
          <w:noProof/>
          <w:lang w:eastAsia="en-US"/>
        </w:rPr>
        <w:t>Cameron</w:t>
      </w:r>
      <w:r w:rsidRPr="00665B2E">
        <w:rPr>
          <w:rFonts w:eastAsia="Calibri"/>
          <w:noProof/>
          <w:lang w:eastAsia="en-US"/>
        </w:rPr>
        <w:t xml:space="preserve"> </w:t>
      </w:r>
      <w:r>
        <w:rPr>
          <w:rFonts w:eastAsia="Calibri"/>
          <w:noProof/>
          <w:lang w:eastAsia="en-US"/>
        </w:rPr>
        <w:t xml:space="preserve">and </w:t>
      </w:r>
      <w:r w:rsidR="000328A4">
        <w:rPr>
          <w:rFonts w:eastAsia="Calibri"/>
          <w:noProof/>
          <w:lang w:eastAsia="en-US"/>
        </w:rPr>
        <w:t>Joan Scanlon.</w:t>
      </w:r>
      <w:r w:rsidRPr="00665B2E">
        <w:rPr>
          <w:rFonts w:eastAsia="Calibri"/>
          <w:noProof/>
          <w:lang w:eastAsia="en-US"/>
        </w:rPr>
        <w:t xml:space="preserve"> London: Bloomsbury Academic, 2009</w:t>
      </w:r>
      <w:r w:rsidR="00BF2DB6">
        <w:rPr>
          <w:rFonts w:eastAsia="Calibri"/>
          <w:noProof/>
          <w:lang w:eastAsia="en-US"/>
        </w:rPr>
        <w:t>.</w:t>
      </w:r>
    </w:p>
    <w:p w14:paraId="0EA1FB40" w14:textId="1D7FE9E6"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Francisco Valdes. “Queers, Sissies Dykes and tomboys: Deconstructing the conflation of </w:t>
      </w:r>
      <w:r w:rsidR="000328A4">
        <w:rPr>
          <w:rFonts w:eastAsia="Calibri"/>
          <w:noProof/>
          <w:lang w:eastAsia="en-US"/>
        </w:rPr>
        <w:t>‘</w:t>
      </w:r>
      <w:r w:rsidRPr="00665B2E">
        <w:rPr>
          <w:rFonts w:eastAsia="Calibri"/>
          <w:noProof/>
          <w:lang w:eastAsia="en-US"/>
        </w:rPr>
        <w:t>sex</w:t>
      </w:r>
      <w:r w:rsidR="000328A4">
        <w:rPr>
          <w:rFonts w:eastAsia="Calibri"/>
          <w:noProof/>
          <w:lang w:eastAsia="en-US"/>
        </w:rPr>
        <w:t>’</w:t>
      </w:r>
      <w:r>
        <w:rPr>
          <w:rFonts w:eastAsia="Calibri"/>
          <w:noProof/>
          <w:lang w:eastAsia="en-US"/>
        </w:rPr>
        <w:t>,</w:t>
      </w:r>
      <w:r w:rsidRPr="00665B2E">
        <w:rPr>
          <w:rFonts w:eastAsia="Calibri"/>
          <w:noProof/>
          <w:lang w:eastAsia="en-US"/>
        </w:rPr>
        <w:t xml:space="preserve"> </w:t>
      </w:r>
      <w:r w:rsidR="000328A4">
        <w:rPr>
          <w:rFonts w:eastAsia="Calibri"/>
          <w:noProof/>
          <w:lang w:eastAsia="en-US"/>
        </w:rPr>
        <w:t>‘</w:t>
      </w:r>
      <w:r w:rsidRPr="00665B2E">
        <w:rPr>
          <w:rFonts w:eastAsia="Calibri"/>
          <w:noProof/>
          <w:lang w:eastAsia="en-US"/>
        </w:rPr>
        <w:t>gender</w:t>
      </w:r>
      <w:r w:rsidR="000328A4">
        <w:rPr>
          <w:rFonts w:eastAsia="Calibri"/>
          <w:noProof/>
          <w:lang w:eastAsia="en-US"/>
        </w:rPr>
        <w:t>’</w:t>
      </w:r>
      <w:r w:rsidRPr="00665B2E">
        <w:rPr>
          <w:rFonts w:eastAsia="Calibri"/>
          <w:noProof/>
          <w:lang w:eastAsia="en-US"/>
        </w:rPr>
        <w:t xml:space="preserve">, and </w:t>
      </w:r>
      <w:r w:rsidR="000328A4">
        <w:rPr>
          <w:rFonts w:eastAsia="Calibri"/>
          <w:noProof/>
          <w:lang w:eastAsia="en-US"/>
        </w:rPr>
        <w:t>‘</w:t>
      </w:r>
      <w:r w:rsidRPr="00665B2E">
        <w:rPr>
          <w:rFonts w:eastAsia="Calibri"/>
          <w:noProof/>
          <w:lang w:eastAsia="en-US"/>
        </w:rPr>
        <w:t>sexual orientation</w:t>
      </w:r>
      <w:r w:rsidR="000328A4">
        <w:rPr>
          <w:rFonts w:eastAsia="Calibri"/>
          <w:noProof/>
          <w:lang w:eastAsia="en-US"/>
        </w:rPr>
        <w:t>’</w:t>
      </w:r>
      <w:r w:rsidRPr="00665B2E">
        <w:rPr>
          <w:rFonts w:eastAsia="Calibri"/>
          <w:noProof/>
          <w:lang w:eastAsia="en-US"/>
        </w:rPr>
        <w:t xml:space="preserve"> in Euro-American law and society</w:t>
      </w:r>
      <w:r>
        <w:rPr>
          <w:rFonts w:eastAsia="Calibri"/>
          <w:noProof/>
          <w:lang w:eastAsia="en-US"/>
        </w:rPr>
        <w:t>.”</w:t>
      </w:r>
      <w:r w:rsidRPr="00665B2E">
        <w:rPr>
          <w:rFonts w:eastAsia="Calibri"/>
          <w:noProof/>
          <w:lang w:eastAsia="en-US"/>
        </w:rPr>
        <w:t xml:space="preserve"> </w:t>
      </w:r>
      <w:r w:rsidRPr="00665B2E">
        <w:rPr>
          <w:rFonts w:eastAsia="Calibri"/>
          <w:i/>
          <w:noProof/>
          <w:lang w:eastAsia="en-US"/>
        </w:rPr>
        <w:t>California Law Review</w:t>
      </w:r>
      <w:r w:rsidRPr="00665B2E">
        <w:rPr>
          <w:rFonts w:eastAsia="Calibri"/>
          <w:noProof/>
          <w:lang w:eastAsia="en-US"/>
        </w:rPr>
        <w:t xml:space="preserve"> 83</w:t>
      </w:r>
      <w:r>
        <w:rPr>
          <w:rFonts w:eastAsia="Calibri"/>
          <w:noProof/>
          <w:lang w:eastAsia="en-US"/>
        </w:rPr>
        <w:t xml:space="preserve"> </w:t>
      </w:r>
      <w:r w:rsidRPr="00665B2E">
        <w:rPr>
          <w:rFonts w:eastAsia="Calibri"/>
          <w:noProof/>
          <w:lang w:eastAsia="en-US"/>
        </w:rPr>
        <w:t>(1995)</w:t>
      </w:r>
      <w:r>
        <w:rPr>
          <w:rFonts w:eastAsia="Calibri"/>
          <w:noProof/>
          <w:lang w:eastAsia="en-US"/>
        </w:rPr>
        <w:t>:</w:t>
      </w:r>
      <w:r w:rsidRPr="00665B2E">
        <w:rPr>
          <w:rFonts w:eastAsia="Calibri"/>
          <w:noProof/>
          <w:lang w:eastAsia="en-US"/>
        </w:rPr>
        <w:t xml:space="preserve"> </w:t>
      </w:r>
      <w:r w:rsidRPr="00B7322B">
        <w:rPr>
          <w:rFonts w:eastAsia="Calibri"/>
          <w:noProof/>
          <w:lang w:eastAsia="en-US"/>
        </w:rPr>
        <w:t>3–377</w:t>
      </w:r>
      <w:r w:rsidR="00C0227A">
        <w:rPr>
          <w:rFonts w:eastAsia="Calibri"/>
          <w:noProof/>
          <w:lang w:eastAsia="en-US"/>
        </w:rPr>
        <w:t>.</w:t>
      </w:r>
    </w:p>
    <w:p w14:paraId="77308C61" w14:textId="6E43320B"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Astrid Henry. </w:t>
      </w:r>
      <w:r w:rsidRPr="001A5160">
        <w:rPr>
          <w:rFonts w:eastAsia="Calibri"/>
          <w:i/>
          <w:noProof/>
          <w:lang w:eastAsia="en-US"/>
        </w:rPr>
        <w:t>Not My Mother</w:t>
      </w:r>
      <w:r w:rsidR="009A73D6">
        <w:rPr>
          <w:rFonts w:eastAsia="Calibri"/>
          <w:i/>
          <w:noProof/>
          <w:lang w:eastAsia="en-US"/>
        </w:rPr>
        <w:t>”</w:t>
      </w:r>
      <w:r w:rsidRPr="001A5160">
        <w:rPr>
          <w:rFonts w:eastAsia="Calibri"/>
          <w:i/>
          <w:noProof/>
          <w:lang w:eastAsia="en-US"/>
        </w:rPr>
        <w:t>s Sister: Generational Conflict and Third-wave Feminism.</w:t>
      </w:r>
      <w:r w:rsidRPr="00665B2E">
        <w:rPr>
          <w:rFonts w:eastAsia="Calibri"/>
          <w:noProof/>
          <w:lang w:eastAsia="en-US"/>
        </w:rPr>
        <w:t xml:space="preserve"> </w:t>
      </w:r>
      <w:r w:rsidR="005F3454">
        <w:rPr>
          <w:rFonts w:eastAsia="Calibri"/>
          <w:noProof/>
          <w:lang w:eastAsia="en-US"/>
        </w:rPr>
        <w:t>Bloomington</w:t>
      </w:r>
      <w:r w:rsidRPr="005F3454">
        <w:rPr>
          <w:lang w:eastAsia="en-US"/>
        </w:rPr>
        <w:t>:</w:t>
      </w:r>
      <w:r>
        <w:rPr>
          <w:lang w:eastAsia="en-US"/>
        </w:rPr>
        <w:t xml:space="preserve"> </w:t>
      </w:r>
      <w:r w:rsidRPr="001A5160">
        <w:rPr>
          <w:rFonts w:eastAsia="Calibri"/>
          <w:noProof/>
          <w:lang w:eastAsia="en-US"/>
        </w:rPr>
        <w:t>Indiana University Press</w:t>
      </w:r>
      <w:r>
        <w:rPr>
          <w:rFonts w:eastAsia="Calibri"/>
          <w:noProof/>
          <w:lang w:eastAsia="en-US"/>
        </w:rPr>
        <w:t>, 2004</w:t>
      </w:r>
      <w:r w:rsidR="00C337BA">
        <w:rPr>
          <w:rFonts w:eastAsia="Calibri"/>
          <w:noProof/>
          <w:lang w:eastAsia="en-US"/>
        </w:rPr>
        <w:t>.</w:t>
      </w:r>
      <w:r w:rsidRPr="00665B2E">
        <w:rPr>
          <w:rFonts w:eastAsia="Calibri"/>
          <w:noProof/>
          <w:lang w:eastAsia="en-US"/>
        </w:rPr>
        <w:t xml:space="preserve"> </w:t>
      </w:r>
    </w:p>
    <w:p w14:paraId="6B0570C3" w14:textId="04C1F9F6"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David M. Halperin. </w:t>
      </w:r>
      <w:r w:rsidRPr="00665B2E">
        <w:rPr>
          <w:rFonts w:eastAsia="Calibri"/>
          <w:i/>
          <w:noProof/>
          <w:lang w:eastAsia="en-US"/>
        </w:rPr>
        <w:t>Saint Foucault</w:t>
      </w:r>
      <w:r>
        <w:rPr>
          <w:rFonts w:eastAsia="Calibri"/>
          <w:i/>
          <w:noProof/>
          <w:lang w:eastAsia="en-US"/>
        </w:rPr>
        <w:t>:</w:t>
      </w:r>
      <w:r w:rsidRPr="00665B2E">
        <w:rPr>
          <w:rFonts w:eastAsia="Calibri"/>
          <w:i/>
          <w:noProof/>
          <w:lang w:eastAsia="en-US"/>
        </w:rPr>
        <w:t xml:space="preserve"> Towards a Gay Hagiography</w:t>
      </w:r>
      <w:r>
        <w:rPr>
          <w:rFonts w:eastAsia="Calibri"/>
          <w:noProof/>
          <w:lang w:eastAsia="en-US"/>
        </w:rPr>
        <w:t>.</w:t>
      </w:r>
      <w:r w:rsidRPr="00665B2E">
        <w:rPr>
          <w:rFonts w:eastAsia="Calibri"/>
          <w:noProof/>
          <w:lang w:eastAsia="en-US"/>
        </w:rPr>
        <w:t xml:space="preserve"> Ox</w:t>
      </w:r>
      <w:r>
        <w:rPr>
          <w:rFonts w:eastAsia="Calibri"/>
          <w:noProof/>
          <w:lang w:eastAsia="en-US"/>
        </w:rPr>
        <w:t>ford: Oxford University Press, 1997</w:t>
      </w:r>
      <w:r w:rsidRPr="00665B2E">
        <w:rPr>
          <w:rFonts w:eastAsia="Calibri"/>
          <w:noProof/>
          <w:lang w:eastAsia="en-US"/>
        </w:rPr>
        <w:t xml:space="preserve">. </w:t>
      </w:r>
    </w:p>
    <w:p w14:paraId="4AC3CE98" w14:textId="4F3CE28A" w:rsidR="002078BC" w:rsidRPr="00EF6F33" w:rsidRDefault="002078BC" w:rsidP="00482AEF">
      <w:pPr>
        <w:pStyle w:val="Mdeck8references"/>
        <w:ind w:left="539" w:hanging="539"/>
        <w:rPr>
          <w:rFonts w:eastAsia="Calibri"/>
          <w:noProof/>
          <w:lang w:eastAsia="en-US"/>
        </w:rPr>
      </w:pPr>
      <w:r w:rsidRPr="00665B2E">
        <w:rPr>
          <w:rFonts w:eastAsia="Calibri"/>
          <w:noProof/>
          <w:lang w:eastAsia="en-US"/>
        </w:rPr>
        <w:t>Elahe Haschemi Yekani, Eveline Kilian</w:t>
      </w:r>
      <w:r>
        <w:rPr>
          <w:rFonts w:eastAsia="Calibri"/>
          <w:noProof/>
          <w:lang w:eastAsia="en-US"/>
        </w:rPr>
        <w:t>, and Beatrice Michaelis.</w:t>
      </w:r>
      <w:r w:rsidRPr="00665B2E">
        <w:rPr>
          <w:rFonts w:eastAsia="Calibri"/>
          <w:noProof/>
          <w:lang w:eastAsia="en-US"/>
        </w:rPr>
        <w:t xml:space="preserve"> “Introducing Queer Futures.” </w:t>
      </w:r>
      <w:r w:rsidR="000328A4">
        <w:rPr>
          <w:rFonts w:eastAsia="Calibri"/>
          <w:noProof/>
          <w:lang w:eastAsia="en-US"/>
        </w:rPr>
        <w:br/>
      </w:r>
      <w:r w:rsidRPr="00665B2E">
        <w:rPr>
          <w:rFonts w:eastAsia="Calibri"/>
          <w:noProof/>
          <w:lang w:eastAsia="en-US"/>
        </w:rPr>
        <w:t xml:space="preserve">In </w:t>
      </w:r>
      <w:r w:rsidRPr="00665B2E">
        <w:rPr>
          <w:rFonts w:eastAsia="Calibri"/>
          <w:i/>
          <w:noProof/>
          <w:lang w:eastAsia="en-US"/>
        </w:rPr>
        <w:t>Queer Futures: Reconsidering Ethics, Activism, and the Political</w:t>
      </w:r>
      <w:r w:rsidRPr="00665B2E">
        <w:rPr>
          <w:rFonts w:eastAsia="Calibri"/>
          <w:noProof/>
          <w:lang w:eastAsia="en-US"/>
        </w:rPr>
        <w:t xml:space="preserve">. </w:t>
      </w:r>
      <w:r>
        <w:rPr>
          <w:rFonts w:eastAsia="Calibri"/>
          <w:noProof/>
          <w:lang w:eastAsia="en-US"/>
        </w:rPr>
        <w:t xml:space="preserve">Edited by </w:t>
      </w:r>
      <w:r w:rsidRPr="00665B2E">
        <w:rPr>
          <w:rFonts w:eastAsia="Calibri"/>
          <w:noProof/>
          <w:lang w:eastAsia="en-US"/>
        </w:rPr>
        <w:t>Elahe Haschemi Yekani, Evelin</w:t>
      </w:r>
      <w:r>
        <w:rPr>
          <w:rFonts w:eastAsia="Calibri"/>
          <w:noProof/>
          <w:lang w:eastAsia="en-US"/>
        </w:rPr>
        <w:t xml:space="preserve">e Kilian and Beatrice Michaelis. </w:t>
      </w:r>
      <w:r w:rsidR="005D0EC5">
        <w:rPr>
          <w:rFonts w:eastAsia="Calibri"/>
          <w:noProof/>
          <w:lang w:eastAsia="en-US"/>
        </w:rPr>
        <w:t>Farnham</w:t>
      </w:r>
      <w:r w:rsidRPr="005D0EC5">
        <w:rPr>
          <w:rFonts w:eastAsia="Calibri"/>
          <w:noProof/>
          <w:lang w:eastAsia="en-US"/>
        </w:rPr>
        <w:t>:</w:t>
      </w:r>
      <w:r>
        <w:rPr>
          <w:rFonts w:eastAsia="Calibri"/>
          <w:noProof/>
          <w:lang w:eastAsia="en-US"/>
        </w:rPr>
        <w:t xml:space="preserve"> </w:t>
      </w:r>
      <w:r w:rsidRPr="00665B2E">
        <w:rPr>
          <w:rFonts w:eastAsia="Calibri"/>
          <w:noProof/>
          <w:lang w:eastAsia="en-US"/>
        </w:rPr>
        <w:t>Ashgate, 2013</w:t>
      </w:r>
      <w:r w:rsidR="009605C7">
        <w:rPr>
          <w:rFonts w:eastAsia="Calibri"/>
          <w:noProof/>
          <w:lang w:eastAsia="en-US"/>
        </w:rPr>
        <w:t>.</w:t>
      </w:r>
    </w:p>
    <w:p w14:paraId="54D96A78" w14:textId="79D1B8CD"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Carl Stychin. </w:t>
      </w:r>
      <w:r w:rsidRPr="00665B2E">
        <w:rPr>
          <w:rFonts w:eastAsia="Calibri"/>
          <w:i/>
          <w:noProof/>
          <w:lang w:eastAsia="en-US"/>
        </w:rPr>
        <w:t>Law</w:t>
      </w:r>
      <w:r w:rsidR="00435236">
        <w:rPr>
          <w:rFonts w:eastAsia="Calibri"/>
          <w:i/>
          <w:noProof/>
          <w:lang w:eastAsia="en-US"/>
        </w:rPr>
        <w:t>’</w:t>
      </w:r>
      <w:r w:rsidRPr="00665B2E">
        <w:rPr>
          <w:rFonts w:eastAsia="Calibri"/>
          <w:i/>
          <w:noProof/>
          <w:lang w:eastAsia="en-US"/>
        </w:rPr>
        <w:t>s Desire Sexuality and the Limits of Justice</w:t>
      </w:r>
      <w:r>
        <w:rPr>
          <w:rFonts w:eastAsia="Calibri"/>
          <w:noProof/>
          <w:lang w:eastAsia="en-US"/>
        </w:rPr>
        <w:t>.</w:t>
      </w:r>
      <w:r w:rsidRPr="00665B2E">
        <w:rPr>
          <w:rFonts w:eastAsia="Calibri"/>
          <w:noProof/>
          <w:lang w:eastAsia="en-US"/>
        </w:rPr>
        <w:t xml:space="preserve"> </w:t>
      </w:r>
      <w:r w:rsidR="00402630">
        <w:rPr>
          <w:rFonts w:eastAsia="Calibri"/>
          <w:noProof/>
          <w:lang w:eastAsia="en-US"/>
        </w:rPr>
        <w:t>New York</w:t>
      </w:r>
      <w:r w:rsidRPr="00402630">
        <w:rPr>
          <w:lang w:eastAsia="en-US"/>
        </w:rPr>
        <w:t>:</w:t>
      </w:r>
      <w:r>
        <w:rPr>
          <w:lang w:eastAsia="en-US"/>
        </w:rPr>
        <w:t xml:space="preserve"> </w:t>
      </w:r>
      <w:r>
        <w:rPr>
          <w:rFonts w:eastAsia="Calibri"/>
          <w:noProof/>
          <w:lang w:eastAsia="en-US"/>
        </w:rPr>
        <w:t>Routledge, 1995</w:t>
      </w:r>
      <w:r w:rsidRPr="00665B2E">
        <w:rPr>
          <w:rFonts w:eastAsia="Calibri"/>
          <w:noProof/>
          <w:lang w:eastAsia="en-US"/>
        </w:rPr>
        <w:t xml:space="preserve">. </w:t>
      </w:r>
    </w:p>
    <w:p w14:paraId="33D661D9" w14:textId="54E065A5" w:rsidR="002078BC" w:rsidRPr="00EF6F33" w:rsidRDefault="004B0E11" w:rsidP="00482AEF">
      <w:pPr>
        <w:pStyle w:val="Mdeck8references"/>
        <w:ind w:left="539" w:hanging="539"/>
        <w:rPr>
          <w:rFonts w:eastAsia="Calibri"/>
          <w:noProof/>
          <w:lang w:eastAsia="en-US"/>
        </w:rPr>
      </w:pPr>
      <w:r w:rsidRPr="00534945">
        <w:rPr>
          <w:rFonts w:eastAsia="Calibri"/>
          <w:noProof/>
          <w:lang w:eastAsia="en-US"/>
        </w:rPr>
        <w:t xml:space="preserve">Teresa </w:t>
      </w:r>
      <w:r w:rsidR="002078BC" w:rsidRPr="00534945">
        <w:rPr>
          <w:rFonts w:eastAsia="Calibri"/>
          <w:noProof/>
          <w:lang w:eastAsia="en-US"/>
        </w:rPr>
        <w:t>de Lauretis</w:t>
      </w:r>
      <w:r w:rsidRPr="00534945">
        <w:rPr>
          <w:rFonts w:eastAsia="Calibri"/>
          <w:noProof/>
          <w:lang w:eastAsia="en-US"/>
        </w:rPr>
        <w:t>.</w:t>
      </w:r>
      <w:r w:rsidRPr="004B0E11">
        <w:t xml:space="preserve"> </w:t>
      </w:r>
      <w:r w:rsidR="00534945">
        <w:t>“</w:t>
      </w:r>
      <w:bookmarkStart w:id="6" w:name="OLE_LINK6"/>
      <w:bookmarkStart w:id="7" w:name="OLE_LINK8"/>
      <w:r w:rsidRPr="004B0E11">
        <w:rPr>
          <w:rFonts w:eastAsia="Calibri"/>
          <w:noProof/>
          <w:lang w:eastAsia="en-US"/>
        </w:rPr>
        <w:t>Queer Theory: Lesbian and Gay Sexualities</w:t>
      </w:r>
      <w:bookmarkEnd w:id="6"/>
      <w:bookmarkEnd w:id="7"/>
      <w:r w:rsidR="00534945">
        <w:rPr>
          <w:rFonts w:eastAsia="Calibri"/>
          <w:noProof/>
          <w:lang w:eastAsia="en-US"/>
        </w:rPr>
        <w:t>.”</w:t>
      </w:r>
      <w:r w:rsidRPr="004B0E11">
        <w:rPr>
          <w:rFonts w:eastAsia="Calibri"/>
          <w:noProof/>
          <w:lang w:eastAsia="en-US"/>
        </w:rPr>
        <w:t xml:space="preserve"> </w:t>
      </w:r>
      <w:bookmarkStart w:id="8" w:name="OLE_LINK7"/>
      <w:r w:rsidR="00FB29D2" w:rsidRPr="004B0E11">
        <w:rPr>
          <w:rFonts w:eastAsia="Calibri"/>
          <w:i/>
          <w:noProof/>
          <w:lang w:eastAsia="en-US"/>
        </w:rPr>
        <w:t>Differences</w:t>
      </w:r>
      <w:r w:rsidRPr="004B0E11">
        <w:rPr>
          <w:rFonts w:eastAsia="Calibri"/>
          <w:i/>
          <w:noProof/>
          <w:lang w:eastAsia="en-US"/>
        </w:rPr>
        <w:t xml:space="preserve">: </w:t>
      </w:r>
      <w:r w:rsidR="000328A4" w:rsidRPr="004B0E11">
        <w:rPr>
          <w:rFonts w:eastAsia="Calibri"/>
          <w:i/>
          <w:noProof/>
          <w:lang w:eastAsia="en-US"/>
        </w:rPr>
        <w:t xml:space="preserve">A </w:t>
      </w:r>
      <w:r w:rsidRPr="004B0E11">
        <w:rPr>
          <w:rFonts w:eastAsia="Calibri"/>
          <w:i/>
          <w:noProof/>
          <w:lang w:eastAsia="en-US"/>
        </w:rPr>
        <w:t>Journal of Feminist Cultural Studies</w:t>
      </w:r>
      <w:bookmarkEnd w:id="8"/>
      <w:r w:rsidR="000328A4">
        <w:rPr>
          <w:rFonts w:eastAsia="Calibri"/>
          <w:noProof/>
          <w:lang w:eastAsia="en-US"/>
        </w:rPr>
        <w:t xml:space="preserve"> 3 (</w:t>
      </w:r>
      <w:r>
        <w:rPr>
          <w:rFonts w:eastAsia="Calibri"/>
          <w:noProof/>
          <w:lang w:eastAsia="en-US"/>
        </w:rPr>
        <w:t>1991</w:t>
      </w:r>
      <w:r w:rsidR="000328A4">
        <w:rPr>
          <w:rFonts w:eastAsia="Calibri"/>
          <w:noProof/>
          <w:lang w:eastAsia="en-US"/>
        </w:rPr>
        <w:t xml:space="preserve">): </w:t>
      </w:r>
      <w:r w:rsidR="00E23D28">
        <w:rPr>
          <w:rFonts w:eastAsia="Calibri"/>
          <w:noProof/>
          <w:lang w:eastAsia="en-US"/>
        </w:rPr>
        <w:t>3-18.</w:t>
      </w:r>
    </w:p>
    <w:p w14:paraId="42749D05" w14:textId="40F2AD64"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David M. Halperin. </w:t>
      </w:r>
      <w:r w:rsidRPr="00BE7CC6">
        <w:rPr>
          <w:rFonts w:eastAsia="Calibri"/>
          <w:i/>
          <w:noProof/>
          <w:lang w:eastAsia="en-US"/>
        </w:rPr>
        <w:t>One Hundred Years of Homosexuality and Other Essays on Greek Love</w:t>
      </w:r>
      <w:r>
        <w:rPr>
          <w:rFonts w:eastAsia="Calibri"/>
          <w:noProof/>
          <w:lang w:eastAsia="en-US"/>
        </w:rPr>
        <w:t>.</w:t>
      </w:r>
      <w:r w:rsidRPr="00665B2E">
        <w:rPr>
          <w:rFonts w:eastAsia="Calibri"/>
          <w:noProof/>
          <w:lang w:eastAsia="en-US"/>
        </w:rPr>
        <w:t xml:space="preserve"> </w:t>
      </w:r>
      <w:r w:rsidR="00BE7CC6" w:rsidRPr="00BE7CC6">
        <w:rPr>
          <w:rFonts w:eastAsia="Calibri"/>
          <w:noProof/>
          <w:lang w:eastAsia="en-US"/>
        </w:rPr>
        <w:t>New York</w:t>
      </w:r>
      <w:r w:rsidRPr="00BE7CC6">
        <w:rPr>
          <w:lang w:eastAsia="en-US"/>
        </w:rPr>
        <w:t>:</w:t>
      </w:r>
      <w:r>
        <w:rPr>
          <w:lang w:eastAsia="en-US"/>
        </w:rPr>
        <w:t xml:space="preserve"> </w:t>
      </w:r>
      <w:r>
        <w:rPr>
          <w:rFonts w:eastAsia="Calibri"/>
          <w:noProof/>
          <w:lang w:eastAsia="en-US"/>
        </w:rPr>
        <w:t>Routledge, 1990</w:t>
      </w:r>
      <w:r w:rsidRPr="00665B2E">
        <w:rPr>
          <w:rFonts w:eastAsia="Calibri"/>
          <w:noProof/>
          <w:lang w:eastAsia="en-US"/>
        </w:rPr>
        <w:t>.</w:t>
      </w:r>
    </w:p>
    <w:p w14:paraId="0EB8A4D5" w14:textId="436DD60C"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Celia Kitzinger</w:t>
      </w:r>
      <w:r>
        <w:rPr>
          <w:rFonts w:eastAsia="Calibri"/>
          <w:noProof/>
          <w:lang w:eastAsia="en-US"/>
        </w:rPr>
        <w:t>,</w:t>
      </w:r>
      <w:r w:rsidRPr="00665B2E">
        <w:rPr>
          <w:rFonts w:eastAsia="Calibri"/>
          <w:noProof/>
          <w:lang w:eastAsia="en-US"/>
        </w:rPr>
        <w:t xml:space="preserve"> and Sue Wilkinson. “</w:t>
      </w:r>
      <w:bookmarkStart w:id="9" w:name="OLE_LINK9"/>
      <w:bookmarkStart w:id="10" w:name="OLE_LINK10"/>
      <w:r w:rsidR="005932D6">
        <w:rPr>
          <w:rFonts w:eastAsia="Calibri"/>
          <w:noProof/>
          <w:lang w:eastAsia="en-US"/>
        </w:rPr>
        <w:t>Virgins and Queers</w:t>
      </w:r>
      <w:r w:rsidR="00995E41">
        <w:rPr>
          <w:rFonts w:eastAsia="Calibri"/>
          <w:noProof/>
          <w:lang w:eastAsia="en-US"/>
        </w:rPr>
        <w:t>: Rehabilitating Heterosexuality</w:t>
      </w:r>
      <w:bookmarkEnd w:id="9"/>
      <w:bookmarkEnd w:id="10"/>
      <w:r w:rsidR="00995E41">
        <w:rPr>
          <w:rFonts w:eastAsia="Calibri"/>
          <w:noProof/>
          <w:lang w:eastAsia="en-US"/>
        </w:rPr>
        <w:t>?</w:t>
      </w:r>
      <w:r w:rsidR="006F689B">
        <w:rPr>
          <w:rFonts w:eastAsia="Calibri"/>
          <w:noProof/>
          <w:lang w:eastAsia="en-US"/>
        </w:rPr>
        <w:t>”</w:t>
      </w:r>
      <w:r w:rsidR="00995E41">
        <w:rPr>
          <w:rFonts w:eastAsia="Calibri"/>
          <w:noProof/>
          <w:lang w:eastAsia="en-US"/>
        </w:rPr>
        <w:t xml:space="preserve"> </w:t>
      </w:r>
      <w:r w:rsidRPr="00665B2E">
        <w:rPr>
          <w:rFonts w:eastAsia="Calibri"/>
          <w:i/>
          <w:noProof/>
          <w:lang w:eastAsia="en-US"/>
        </w:rPr>
        <w:t>Gender and Society: Perspectives</w:t>
      </w:r>
      <w:r w:rsidR="00995E41">
        <w:rPr>
          <w:rFonts w:eastAsia="Calibri"/>
          <w:noProof/>
          <w:lang w:eastAsia="en-US"/>
        </w:rPr>
        <w:t xml:space="preserve"> 8(</w:t>
      </w:r>
      <w:r w:rsidR="005932D6">
        <w:rPr>
          <w:rFonts w:eastAsia="Calibri"/>
          <w:noProof/>
          <w:lang w:eastAsia="en-US"/>
        </w:rPr>
        <w:t>1994):</w:t>
      </w:r>
      <w:r w:rsidR="00995E41">
        <w:rPr>
          <w:rFonts w:eastAsia="Calibri"/>
          <w:noProof/>
          <w:lang w:eastAsia="en-US"/>
        </w:rPr>
        <w:t xml:space="preserve"> 444</w:t>
      </w:r>
      <w:r w:rsidR="005932D6">
        <w:rPr>
          <w:rFonts w:eastAsia="Calibri"/>
          <w:noProof/>
          <w:lang w:eastAsia="en-US"/>
        </w:rPr>
        <w:t>–62</w:t>
      </w:r>
      <w:r w:rsidR="001712A7">
        <w:rPr>
          <w:rFonts w:eastAsia="Calibri"/>
          <w:noProof/>
          <w:lang w:eastAsia="en-US"/>
        </w:rPr>
        <w:t>.</w:t>
      </w:r>
      <w:r w:rsidRPr="00665B2E">
        <w:rPr>
          <w:rFonts w:eastAsia="Calibri"/>
          <w:noProof/>
          <w:lang w:eastAsia="en-US"/>
        </w:rPr>
        <w:t xml:space="preserve"> </w:t>
      </w:r>
    </w:p>
    <w:p w14:paraId="5C9834F4" w14:textId="19CAB8B0"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James Penney. </w:t>
      </w:r>
      <w:r w:rsidRPr="00BE7CC6">
        <w:rPr>
          <w:rFonts w:eastAsia="Calibri"/>
          <w:i/>
          <w:noProof/>
          <w:lang w:eastAsia="en-US"/>
        </w:rPr>
        <w:t>After Queer Theory: The Limits of Sexual Politics</w:t>
      </w:r>
      <w:r>
        <w:rPr>
          <w:rFonts w:eastAsia="Calibri"/>
          <w:noProof/>
          <w:lang w:eastAsia="en-US"/>
        </w:rPr>
        <w:t>. London: Pluto Press, 2013</w:t>
      </w:r>
      <w:r w:rsidRPr="00665B2E">
        <w:rPr>
          <w:rFonts w:eastAsia="Calibri"/>
          <w:noProof/>
          <w:lang w:eastAsia="en-US"/>
        </w:rPr>
        <w:t xml:space="preserve">. </w:t>
      </w:r>
    </w:p>
    <w:p w14:paraId="5634499C" w14:textId="4DF4354B"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Stevi Jackson. </w:t>
      </w:r>
      <w:r>
        <w:rPr>
          <w:rFonts w:eastAsia="Calibri"/>
          <w:noProof/>
          <w:lang w:eastAsia="en-US"/>
        </w:rPr>
        <w:t>“</w:t>
      </w:r>
      <w:r w:rsidRPr="00665B2E">
        <w:rPr>
          <w:rFonts w:eastAsia="Calibri"/>
          <w:noProof/>
          <w:lang w:eastAsia="en-US"/>
        </w:rPr>
        <w:t>Querying heterosexuality: A personal history of feminist and sociological theorizing.</w:t>
      </w:r>
      <w:r>
        <w:rPr>
          <w:rFonts w:eastAsia="Calibri"/>
          <w:noProof/>
          <w:lang w:eastAsia="en-US"/>
        </w:rPr>
        <w:t>”</w:t>
      </w:r>
      <w:r w:rsidRPr="00665B2E">
        <w:rPr>
          <w:rFonts w:eastAsia="Calibri"/>
          <w:noProof/>
          <w:lang w:eastAsia="en-US"/>
        </w:rPr>
        <w:t xml:space="preserve"> In </w:t>
      </w:r>
      <w:r w:rsidRPr="00665B2E">
        <w:rPr>
          <w:rFonts w:eastAsia="Calibri"/>
          <w:i/>
          <w:noProof/>
          <w:lang w:eastAsia="en-US"/>
        </w:rPr>
        <w:t>Heterosexuality in Question</w:t>
      </w:r>
      <w:r>
        <w:rPr>
          <w:rFonts w:eastAsia="Calibri"/>
          <w:noProof/>
          <w:lang w:eastAsia="en-US"/>
        </w:rPr>
        <w:t>. London: Sage, 1999</w:t>
      </w:r>
      <w:r w:rsidR="00356F59">
        <w:rPr>
          <w:rFonts w:eastAsia="Calibri"/>
          <w:noProof/>
          <w:lang w:eastAsia="en-US"/>
        </w:rPr>
        <w:t>.</w:t>
      </w:r>
    </w:p>
    <w:p w14:paraId="2EF8BEC3" w14:textId="0B230D7D" w:rsidR="002078BC" w:rsidRPr="00665B2E" w:rsidRDefault="002078BC" w:rsidP="00482AEF">
      <w:pPr>
        <w:pStyle w:val="Mdeck8references"/>
        <w:ind w:left="539" w:hanging="539"/>
        <w:rPr>
          <w:rFonts w:eastAsia="Calibri"/>
          <w:noProof/>
          <w:color w:val="auto"/>
          <w:lang w:eastAsia="en-US"/>
        </w:rPr>
      </w:pPr>
      <w:r w:rsidRPr="00665B2E">
        <w:t>Sue Wilkinson</w:t>
      </w:r>
      <w:r>
        <w:t>,</w:t>
      </w:r>
      <w:r w:rsidRPr="00665B2E">
        <w:t xml:space="preserve"> and Celia Kitzinger. “The queer backlash</w:t>
      </w:r>
      <w:r>
        <w:t xml:space="preserve">.” </w:t>
      </w:r>
      <w:r w:rsidRPr="00665B2E">
        <w:t xml:space="preserve">In </w:t>
      </w:r>
      <w:r w:rsidRPr="00665B2E">
        <w:rPr>
          <w:i/>
        </w:rPr>
        <w:t>Radically Speaking: Feminism Reclaimed</w:t>
      </w:r>
      <w:r>
        <w:t xml:space="preserve">. Edited by </w:t>
      </w:r>
      <w:r w:rsidRPr="00665B2E">
        <w:t>Di</w:t>
      </w:r>
      <w:r>
        <w:t>ane Bell and Renate Klein.</w:t>
      </w:r>
      <w:r w:rsidRPr="00665B2E">
        <w:t xml:space="preserve"> Melbourne</w:t>
      </w:r>
      <w:r>
        <w:t>:</w:t>
      </w:r>
      <w:r w:rsidRPr="00665B2E">
        <w:t xml:space="preserve"> Spinifex Press, </w:t>
      </w:r>
      <w:r>
        <w:t>1996</w:t>
      </w:r>
      <w:r w:rsidR="00F95937">
        <w:t>.</w:t>
      </w:r>
    </w:p>
    <w:p w14:paraId="7F837ED2" w14:textId="04F5325E" w:rsidR="002078BC" w:rsidRPr="00C008BB" w:rsidRDefault="00FF6040" w:rsidP="00482AEF">
      <w:pPr>
        <w:pStyle w:val="Mdeck8references"/>
        <w:ind w:left="539" w:hanging="539"/>
        <w:rPr>
          <w:rFonts w:eastAsia="Calibri"/>
          <w:noProof/>
          <w:lang w:eastAsia="en-US"/>
        </w:rPr>
      </w:pPr>
      <w:bookmarkStart w:id="11" w:name="OLE_LINK12"/>
      <w:bookmarkStart w:id="12" w:name="OLE_LINK14"/>
      <w:r w:rsidRPr="00DA1C4A">
        <w:rPr>
          <w:rFonts w:eastAsia="Calibri"/>
          <w:noProof/>
          <w:color w:val="auto"/>
          <w:szCs w:val="24"/>
          <w:lang w:val="fr-FR" w:eastAsia="en-US"/>
        </w:rPr>
        <w:t>Teresa de Lauretis</w:t>
      </w:r>
      <w:bookmarkEnd w:id="11"/>
      <w:bookmarkEnd w:id="12"/>
      <w:r w:rsidR="002078BC" w:rsidRPr="00DA1C4A">
        <w:rPr>
          <w:rFonts w:eastAsia="Calibri"/>
          <w:noProof/>
          <w:lang w:val="fr-FR" w:eastAsia="en-US"/>
        </w:rPr>
        <w:t>.</w:t>
      </w:r>
      <w:r w:rsidR="00C008BB" w:rsidRPr="00DA1C4A">
        <w:rPr>
          <w:rFonts w:eastAsia="Calibri"/>
          <w:noProof/>
          <w:lang w:val="fr-FR" w:eastAsia="en-US"/>
        </w:rPr>
        <w:t xml:space="preserve"> “</w:t>
      </w:r>
      <w:bookmarkStart w:id="13" w:name="OLE_LINK11"/>
      <w:bookmarkStart w:id="14" w:name="OLE_LINK13"/>
      <w:r w:rsidR="005179EB" w:rsidRPr="00DA1C4A">
        <w:rPr>
          <w:rFonts w:eastAsia="Calibri"/>
          <w:noProof/>
          <w:lang w:val="fr-FR" w:eastAsia="en-US"/>
        </w:rPr>
        <w:t>Habit Changes</w:t>
      </w:r>
      <w:bookmarkEnd w:id="13"/>
      <w:bookmarkEnd w:id="14"/>
      <w:r w:rsidR="00471550" w:rsidRPr="00DA1C4A">
        <w:rPr>
          <w:rFonts w:eastAsia="Calibri"/>
          <w:noProof/>
          <w:lang w:val="fr-FR" w:eastAsia="en-US"/>
        </w:rPr>
        <w:t>.”</w:t>
      </w:r>
      <w:r w:rsidR="00C008BB" w:rsidRPr="00DA1C4A">
        <w:rPr>
          <w:rFonts w:eastAsia="Calibri"/>
          <w:noProof/>
          <w:lang w:val="fr-FR" w:eastAsia="en-US"/>
        </w:rPr>
        <w:t xml:space="preserve"> </w:t>
      </w:r>
      <w:r w:rsidR="00C008BB" w:rsidRPr="00C008BB">
        <w:rPr>
          <w:rFonts w:eastAsia="Calibri"/>
          <w:i/>
          <w:noProof/>
          <w:lang w:eastAsia="en-US"/>
        </w:rPr>
        <w:t>Differences: A Journal of Feminist Cultural Studies</w:t>
      </w:r>
      <w:r w:rsidR="000601C9">
        <w:rPr>
          <w:rFonts w:eastAsia="Calibri"/>
          <w:noProof/>
          <w:lang w:eastAsia="en-US"/>
        </w:rPr>
        <w:t xml:space="preserve"> </w:t>
      </w:r>
      <w:r w:rsidR="00FB29D2">
        <w:rPr>
          <w:rFonts w:eastAsia="Calibri"/>
          <w:noProof/>
          <w:lang w:eastAsia="en-US"/>
        </w:rPr>
        <w:t xml:space="preserve">6 </w:t>
      </w:r>
      <w:r w:rsidR="000601C9">
        <w:rPr>
          <w:rFonts w:eastAsia="Calibri"/>
          <w:noProof/>
          <w:lang w:eastAsia="en-US"/>
        </w:rPr>
        <w:t>(1994): 296</w:t>
      </w:r>
      <w:r w:rsidR="00FB29D2">
        <w:rPr>
          <w:rFonts w:eastAsia="Calibri"/>
          <w:noProof/>
          <w:lang w:eastAsia="en-US"/>
        </w:rPr>
        <w:t>–</w:t>
      </w:r>
      <w:r w:rsidR="000601C9">
        <w:rPr>
          <w:rFonts w:eastAsia="Calibri"/>
          <w:noProof/>
          <w:lang w:eastAsia="en-US"/>
        </w:rPr>
        <w:t>31</w:t>
      </w:r>
      <w:r w:rsidR="00FA4D3D">
        <w:rPr>
          <w:rFonts w:eastAsia="Calibri"/>
          <w:noProof/>
          <w:lang w:eastAsia="en-US"/>
        </w:rPr>
        <w:t>3.</w:t>
      </w:r>
    </w:p>
    <w:p w14:paraId="72A52F21" w14:textId="59EF5FCB" w:rsidR="002078BC" w:rsidRPr="00EF6F33" w:rsidRDefault="002078BC" w:rsidP="00482AEF">
      <w:pPr>
        <w:pStyle w:val="Mdeck8references"/>
        <w:ind w:left="539" w:hanging="539"/>
        <w:rPr>
          <w:rFonts w:eastAsia="Calibri"/>
          <w:noProof/>
          <w:lang w:eastAsia="en-US"/>
        </w:rPr>
      </w:pPr>
      <w:r w:rsidRPr="00665B2E">
        <w:rPr>
          <w:rFonts w:eastAsia="Calibri"/>
          <w:noProof/>
          <w:lang w:eastAsia="en-US"/>
        </w:rPr>
        <w:t>Julie Bindel</w:t>
      </w:r>
      <w:r>
        <w:rPr>
          <w:rFonts w:eastAsia="Calibri"/>
          <w:noProof/>
          <w:lang w:eastAsia="en-US"/>
        </w:rPr>
        <w:t>.</w:t>
      </w:r>
      <w:r w:rsidRPr="00665B2E">
        <w:rPr>
          <w:rFonts w:eastAsia="Calibri"/>
          <w:noProof/>
          <w:lang w:eastAsia="en-US"/>
        </w:rPr>
        <w:t xml:space="preserve"> </w:t>
      </w:r>
      <w:r w:rsidRPr="00C008BB">
        <w:rPr>
          <w:rFonts w:eastAsia="Calibri"/>
          <w:i/>
          <w:noProof/>
          <w:lang w:eastAsia="en-US"/>
        </w:rPr>
        <w:t>Straight Expectations: What Does It Mean to Be Gay Today?</w:t>
      </w:r>
      <w:r w:rsidRPr="00665B2E">
        <w:rPr>
          <w:rFonts w:eastAsia="Calibri"/>
          <w:noProof/>
          <w:lang w:eastAsia="en-US"/>
        </w:rPr>
        <w:t xml:space="preserve"> </w:t>
      </w:r>
      <w:r w:rsidR="008D07D1" w:rsidRPr="008D07D1">
        <w:rPr>
          <w:rFonts w:eastAsia="Calibri"/>
          <w:noProof/>
          <w:lang w:eastAsia="en-US"/>
        </w:rPr>
        <w:t>Norwich</w:t>
      </w:r>
      <w:r w:rsidRPr="008D07D1">
        <w:rPr>
          <w:rFonts w:eastAsia="Calibri"/>
          <w:noProof/>
          <w:lang w:eastAsia="en-US"/>
        </w:rPr>
        <w:t>:</w:t>
      </w:r>
      <w:r w:rsidRPr="001E25AF">
        <w:rPr>
          <w:rFonts w:eastAsia="Calibri"/>
          <w:noProof/>
          <w:lang w:eastAsia="en-US"/>
        </w:rPr>
        <w:t xml:space="preserve"> </w:t>
      </w:r>
      <w:r>
        <w:rPr>
          <w:rFonts w:eastAsia="Calibri"/>
          <w:noProof/>
          <w:lang w:eastAsia="en-US"/>
        </w:rPr>
        <w:t xml:space="preserve">Guardian Books, </w:t>
      </w:r>
      <w:r w:rsidRPr="00665B2E">
        <w:rPr>
          <w:rFonts w:eastAsia="Calibri"/>
          <w:noProof/>
          <w:lang w:eastAsia="en-US"/>
        </w:rPr>
        <w:t>2014.</w:t>
      </w:r>
    </w:p>
    <w:p w14:paraId="460DF41B" w14:textId="1E4E7524"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Sheila Jeffreys. </w:t>
      </w:r>
      <w:r>
        <w:rPr>
          <w:rFonts w:eastAsia="Calibri"/>
          <w:noProof/>
          <w:lang w:eastAsia="en-US"/>
        </w:rPr>
        <w:t>“</w:t>
      </w:r>
      <w:r w:rsidRPr="00665B2E">
        <w:rPr>
          <w:rFonts w:eastAsia="Calibri"/>
          <w:noProof/>
          <w:lang w:eastAsia="en-US"/>
        </w:rPr>
        <w:t>The Queer Disappearance of Lesbians</w:t>
      </w:r>
      <w:r>
        <w:rPr>
          <w:rFonts w:eastAsia="Calibri"/>
          <w:noProof/>
          <w:lang w:eastAsia="en-US"/>
        </w:rPr>
        <w:t>.”</w:t>
      </w:r>
      <w:r w:rsidRPr="00665B2E">
        <w:rPr>
          <w:rFonts w:eastAsia="Calibri"/>
          <w:noProof/>
          <w:lang w:eastAsia="en-US"/>
        </w:rPr>
        <w:t xml:space="preserve"> In </w:t>
      </w:r>
      <w:r w:rsidRPr="00665B2E">
        <w:rPr>
          <w:rFonts w:eastAsia="Calibri"/>
          <w:i/>
          <w:noProof/>
          <w:lang w:eastAsia="en-US"/>
        </w:rPr>
        <w:t>Lesbians in Academia: Degrees of Freedom</w:t>
      </w:r>
      <w:r>
        <w:rPr>
          <w:rFonts w:eastAsia="Calibri"/>
          <w:noProof/>
          <w:lang w:eastAsia="en-US"/>
        </w:rPr>
        <w:t xml:space="preserve">. Edited by </w:t>
      </w:r>
      <w:r w:rsidRPr="00665B2E">
        <w:rPr>
          <w:rFonts w:eastAsia="Calibri"/>
          <w:noProof/>
          <w:lang w:eastAsia="en-US"/>
        </w:rPr>
        <w:t>Be</w:t>
      </w:r>
      <w:r>
        <w:rPr>
          <w:rFonts w:eastAsia="Calibri"/>
          <w:noProof/>
          <w:lang w:eastAsia="en-US"/>
        </w:rPr>
        <w:t xml:space="preserve">th Mintz and Esther D. Rothblum. </w:t>
      </w:r>
      <w:r w:rsidRPr="00665B2E">
        <w:rPr>
          <w:rFonts w:eastAsia="Calibri"/>
          <w:noProof/>
          <w:lang w:eastAsia="en-US"/>
        </w:rPr>
        <w:t>New York: Routledge, 1997</w:t>
      </w:r>
      <w:r w:rsidR="00346600">
        <w:rPr>
          <w:rFonts w:eastAsia="Calibri"/>
          <w:noProof/>
          <w:lang w:eastAsia="en-US"/>
        </w:rPr>
        <w:t>.</w:t>
      </w:r>
    </w:p>
    <w:p w14:paraId="205A9809" w14:textId="3FD56251"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Bonnie Zimmerman</w:t>
      </w:r>
      <w:r>
        <w:rPr>
          <w:rFonts w:eastAsia="Calibri"/>
          <w:noProof/>
          <w:lang w:eastAsia="en-US"/>
        </w:rPr>
        <w:t>,</w:t>
      </w:r>
      <w:r w:rsidRPr="00665B2E">
        <w:rPr>
          <w:rFonts w:eastAsia="Calibri"/>
          <w:noProof/>
          <w:lang w:eastAsia="en-US"/>
        </w:rPr>
        <w:t xml:space="preserve"> and Toni A.</w:t>
      </w:r>
      <w:r>
        <w:rPr>
          <w:rFonts w:eastAsia="Calibri"/>
          <w:noProof/>
          <w:lang w:eastAsia="en-US"/>
        </w:rPr>
        <w:t xml:space="preserve"> </w:t>
      </w:r>
      <w:r w:rsidRPr="00665B2E">
        <w:rPr>
          <w:rFonts w:eastAsia="Calibri"/>
          <w:noProof/>
          <w:lang w:eastAsia="en-US"/>
        </w:rPr>
        <w:t xml:space="preserve">H. McNaron. </w:t>
      </w:r>
      <w:r w:rsidRPr="008D07D1">
        <w:rPr>
          <w:rFonts w:eastAsia="Calibri"/>
          <w:noProof/>
          <w:lang w:eastAsia="en-US"/>
        </w:rPr>
        <w:t>“Foreword.” In</w:t>
      </w:r>
      <w:r w:rsidRPr="00665B2E">
        <w:rPr>
          <w:rFonts w:eastAsia="Calibri"/>
          <w:noProof/>
          <w:lang w:eastAsia="en-US"/>
        </w:rPr>
        <w:t xml:space="preserve"> </w:t>
      </w:r>
      <w:r w:rsidRPr="00665B2E">
        <w:rPr>
          <w:rFonts w:eastAsia="Calibri"/>
          <w:i/>
          <w:noProof/>
          <w:lang w:eastAsia="en-US"/>
        </w:rPr>
        <w:t>The New Lesbian Studies: Into the Twenty-First Century</w:t>
      </w:r>
      <w:r w:rsidRPr="00665B2E">
        <w:rPr>
          <w:rFonts w:eastAsia="Calibri"/>
          <w:noProof/>
          <w:lang w:eastAsia="en-US"/>
        </w:rPr>
        <w:t>. New York: The Feminist Press</w:t>
      </w:r>
      <w:r>
        <w:rPr>
          <w:rFonts w:eastAsia="Calibri"/>
          <w:noProof/>
          <w:lang w:eastAsia="en-US"/>
        </w:rPr>
        <w:t>, 1996</w:t>
      </w:r>
      <w:r w:rsidR="00DB78EC">
        <w:rPr>
          <w:rFonts w:eastAsia="Calibri"/>
          <w:noProof/>
          <w:lang w:eastAsia="en-US"/>
        </w:rPr>
        <w:t>.</w:t>
      </w:r>
    </w:p>
    <w:p w14:paraId="4E875E25" w14:textId="0EE98D9D"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Sheila Jeffreys. “The queer disappearance of lesbians: Sexuality in the academy</w:t>
      </w:r>
      <w:r>
        <w:rPr>
          <w:rFonts w:eastAsia="Calibri"/>
          <w:noProof/>
          <w:lang w:eastAsia="en-US"/>
        </w:rPr>
        <w:t>.”</w:t>
      </w:r>
      <w:r w:rsidRPr="00665B2E">
        <w:rPr>
          <w:rFonts w:eastAsia="Calibri"/>
          <w:noProof/>
          <w:lang w:eastAsia="en-US"/>
        </w:rPr>
        <w:t xml:space="preserve"> </w:t>
      </w:r>
      <w:r w:rsidRPr="00665B2E">
        <w:rPr>
          <w:rFonts w:eastAsia="Calibri"/>
          <w:i/>
          <w:noProof/>
          <w:lang w:eastAsia="en-US"/>
        </w:rPr>
        <w:t>Women</w:t>
      </w:r>
      <w:r w:rsidR="009A73D6">
        <w:rPr>
          <w:rFonts w:eastAsia="Calibri"/>
          <w:i/>
          <w:noProof/>
          <w:lang w:eastAsia="en-US"/>
        </w:rPr>
        <w:t>”</w:t>
      </w:r>
      <w:r w:rsidRPr="00665B2E">
        <w:rPr>
          <w:rFonts w:eastAsia="Calibri"/>
          <w:i/>
          <w:noProof/>
          <w:lang w:eastAsia="en-US"/>
        </w:rPr>
        <w:t>s Studies International Forum</w:t>
      </w:r>
      <w:r w:rsidRPr="00665B2E">
        <w:rPr>
          <w:rFonts w:eastAsia="Calibri"/>
          <w:noProof/>
          <w:lang w:eastAsia="en-US"/>
        </w:rPr>
        <w:t xml:space="preserve"> 17 (1994)</w:t>
      </w:r>
      <w:r>
        <w:rPr>
          <w:rFonts w:eastAsia="Calibri"/>
          <w:noProof/>
          <w:lang w:eastAsia="en-US"/>
        </w:rPr>
        <w:t xml:space="preserve">: </w:t>
      </w:r>
      <w:r w:rsidR="007238A6" w:rsidRPr="007238A6">
        <w:rPr>
          <w:rFonts w:eastAsia="Calibri"/>
          <w:noProof/>
          <w:lang w:eastAsia="en-US"/>
        </w:rPr>
        <w:t>459</w:t>
      </w:r>
      <w:r w:rsidR="007052CE">
        <w:rPr>
          <w:rFonts w:eastAsia="Calibri"/>
          <w:noProof/>
          <w:lang w:eastAsia="en-US"/>
        </w:rPr>
        <w:t>–</w:t>
      </w:r>
      <w:r w:rsidR="007238A6" w:rsidRPr="007238A6">
        <w:rPr>
          <w:rFonts w:eastAsia="Calibri"/>
          <w:noProof/>
          <w:lang w:eastAsia="en-US"/>
        </w:rPr>
        <w:t>72</w:t>
      </w:r>
      <w:r w:rsidRPr="00665B2E">
        <w:rPr>
          <w:rFonts w:eastAsia="Calibri"/>
          <w:noProof/>
          <w:lang w:eastAsia="en-US"/>
        </w:rPr>
        <w:t>.</w:t>
      </w:r>
    </w:p>
    <w:p w14:paraId="3A339938" w14:textId="30950FB8" w:rsidR="002078BC" w:rsidRPr="00EF6F33" w:rsidRDefault="002078BC" w:rsidP="00482AEF">
      <w:pPr>
        <w:pStyle w:val="Mdeck8references"/>
        <w:ind w:left="539" w:hanging="539"/>
        <w:rPr>
          <w:rFonts w:eastAsia="Calibri"/>
          <w:noProof/>
          <w:lang w:eastAsia="en-US"/>
        </w:rPr>
      </w:pPr>
      <w:r w:rsidRPr="00665B2E">
        <w:rPr>
          <w:rFonts w:eastAsia="Calibri"/>
          <w:noProof/>
          <w:lang w:eastAsia="en-US"/>
        </w:rPr>
        <w:t xml:space="preserve">Sheila Jeffreys. </w:t>
      </w:r>
      <w:r w:rsidRPr="00665B2E">
        <w:rPr>
          <w:rFonts w:eastAsia="Calibri"/>
          <w:i/>
          <w:noProof/>
          <w:lang w:eastAsia="en-US"/>
        </w:rPr>
        <w:t>Unpacking Queer Politics: A Lesbian Feminist Perspective</w:t>
      </w:r>
      <w:r w:rsidRPr="00665B2E">
        <w:rPr>
          <w:rFonts w:eastAsia="Calibri"/>
          <w:noProof/>
          <w:lang w:eastAsia="en-US"/>
        </w:rPr>
        <w:t xml:space="preserve">. </w:t>
      </w:r>
      <w:r w:rsidR="003E69B5">
        <w:rPr>
          <w:rFonts w:eastAsia="Calibri"/>
          <w:noProof/>
          <w:lang w:eastAsia="en-US"/>
        </w:rPr>
        <w:t>Cambridge</w:t>
      </w:r>
      <w:r w:rsidR="007052CE">
        <w:rPr>
          <w:rFonts w:eastAsia="Calibri"/>
          <w:noProof/>
          <w:lang w:eastAsia="en-US"/>
        </w:rPr>
        <w:t>,</w:t>
      </w:r>
      <w:r w:rsidR="004D3DF6">
        <w:rPr>
          <w:rFonts w:eastAsia="Calibri"/>
          <w:noProof/>
          <w:lang w:eastAsia="en-US"/>
        </w:rPr>
        <w:t xml:space="preserve"> UK</w:t>
      </w:r>
      <w:r w:rsidR="007052CE">
        <w:rPr>
          <w:rFonts w:eastAsia="Calibri"/>
          <w:noProof/>
          <w:lang w:eastAsia="en-US"/>
        </w:rPr>
        <w:t xml:space="preserve"> </w:t>
      </w:r>
      <w:r w:rsidR="007052CE" w:rsidRPr="004D3DF6">
        <w:rPr>
          <w:rFonts w:eastAsia="Calibri"/>
          <w:noProof/>
          <w:lang w:eastAsia="en-US"/>
        </w:rPr>
        <w:t>Country</w:t>
      </w:r>
      <w:r w:rsidR="003E69B5">
        <w:rPr>
          <w:rFonts w:eastAsia="Calibri"/>
          <w:noProof/>
          <w:lang w:eastAsia="en-US"/>
        </w:rPr>
        <w:t>:</w:t>
      </w:r>
      <w:r w:rsidRPr="00DA5CC1">
        <w:rPr>
          <w:rFonts w:eastAsia="Calibri"/>
          <w:noProof/>
          <w:lang w:eastAsia="en-US"/>
        </w:rPr>
        <w:t xml:space="preserve"> </w:t>
      </w:r>
      <w:r w:rsidRPr="00665B2E">
        <w:rPr>
          <w:rFonts w:eastAsia="Calibri"/>
          <w:noProof/>
          <w:lang w:eastAsia="en-US"/>
        </w:rPr>
        <w:t>Polity Press, 2002</w:t>
      </w:r>
      <w:r w:rsidR="00563D7C">
        <w:rPr>
          <w:rFonts w:eastAsia="Calibri"/>
          <w:noProof/>
          <w:lang w:eastAsia="en-US"/>
        </w:rPr>
        <w:t>.</w:t>
      </w:r>
    </w:p>
    <w:p w14:paraId="6889C2C5" w14:textId="495A841B"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lastRenderedPageBreak/>
        <w:t xml:space="preserve">Rachel Caroll. </w:t>
      </w:r>
      <w:r w:rsidRPr="00644759">
        <w:rPr>
          <w:rFonts w:eastAsia="Calibri"/>
          <w:i/>
          <w:noProof/>
          <w:lang w:eastAsia="en-US"/>
        </w:rPr>
        <w:t>Re-reading Heterosexuality: Feminism, Queer Theory and Contemporary Fiction</w:t>
      </w:r>
      <w:r>
        <w:rPr>
          <w:rFonts w:eastAsia="Calibri"/>
          <w:noProof/>
          <w:lang w:eastAsia="en-US"/>
        </w:rPr>
        <w:t>.</w:t>
      </w:r>
      <w:r w:rsidRPr="00665B2E">
        <w:rPr>
          <w:rFonts w:eastAsia="Calibri"/>
          <w:noProof/>
          <w:lang w:eastAsia="en-US"/>
        </w:rPr>
        <w:t xml:space="preserve"> Edinburg</w:t>
      </w:r>
      <w:r>
        <w:rPr>
          <w:rFonts w:eastAsia="Calibri"/>
          <w:noProof/>
          <w:lang w:eastAsia="en-US"/>
        </w:rPr>
        <w:t>h: Edinburgh University Press, 2012</w:t>
      </w:r>
      <w:r w:rsidR="009F5D71">
        <w:rPr>
          <w:rFonts w:eastAsia="Calibri"/>
          <w:noProof/>
          <w:lang w:eastAsia="en-US"/>
        </w:rPr>
        <w:t>.</w:t>
      </w:r>
    </w:p>
    <w:p w14:paraId="08020012" w14:textId="3EEDFCCC"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Stevi Jackson. “Why a Materialist Feminism is (still) Possible</w:t>
      </w:r>
      <w:r>
        <w:rPr>
          <w:rFonts w:eastAsia="Calibri"/>
          <w:noProof/>
          <w:lang w:eastAsia="en-US"/>
        </w:rPr>
        <w:t>—</w:t>
      </w:r>
      <w:r w:rsidRPr="00665B2E">
        <w:rPr>
          <w:rFonts w:eastAsia="Calibri"/>
          <w:noProof/>
          <w:lang w:eastAsia="en-US"/>
        </w:rPr>
        <w:t>and Necessary</w:t>
      </w:r>
      <w:r>
        <w:rPr>
          <w:rFonts w:eastAsia="Calibri"/>
          <w:noProof/>
          <w:lang w:eastAsia="en-US"/>
        </w:rPr>
        <w:t>.”</w:t>
      </w:r>
      <w:r w:rsidRPr="00665B2E">
        <w:rPr>
          <w:rFonts w:eastAsia="Calibri"/>
          <w:noProof/>
          <w:lang w:eastAsia="en-US"/>
        </w:rPr>
        <w:t xml:space="preserve"> </w:t>
      </w:r>
      <w:r w:rsidRPr="00665B2E">
        <w:rPr>
          <w:rFonts w:eastAsia="Calibri"/>
          <w:i/>
          <w:noProof/>
          <w:lang w:eastAsia="en-US"/>
        </w:rPr>
        <w:t>Women</w:t>
      </w:r>
      <w:r w:rsidR="007052CE">
        <w:rPr>
          <w:rFonts w:eastAsia="Calibri"/>
          <w:i/>
          <w:noProof/>
          <w:lang w:eastAsia="en-US"/>
        </w:rPr>
        <w:t>’</w:t>
      </w:r>
      <w:r w:rsidRPr="00665B2E">
        <w:rPr>
          <w:rFonts w:eastAsia="Calibri"/>
          <w:i/>
          <w:noProof/>
          <w:lang w:eastAsia="en-US"/>
        </w:rPr>
        <w:t>s Studies International Forum</w:t>
      </w:r>
      <w:r>
        <w:rPr>
          <w:rFonts w:eastAsia="Calibri"/>
          <w:noProof/>
          <w:lang w:eastAsia="en-US"/>
        </w:rPr>
        <w:t xml:space="preserve"> </w:t>
      </w:r>
      <w:r w:rsidRPr="00665B2E">
        <w:rPr>
          <w:rFonts w:eastAsia="Calibri"/>
          <w:noProof/>
          <w:lang w:eastAsia="en-US"/>
        </w:rPr>
        <w:t>24 (2001)</w:t>
      </w:r>
      <w:r>
        <w:rPr>
          <w:rFonts w:eastAsia="Calibri"/>
          <w:noProof/>
          <w:lang w:eastAsia="en-US"/>
        </w:rPr>
        <w:t xml:space="preserve">: </w:t>
      </w:r>
      <w:r w:rsidR="007052CE">
        <w:rPr>
          <w:rFonts w:eastAsia="Calibri"/>
          <w:noProof/>
          <w:lang w:eastAsia="en-US"/>
        </w:rPr>
        <w:t>283–</w:t>
      </w:r>
      <w:r w:rsidR="006F6B1F" w:rsidRPr="006F6B1F">
        <w:rPr>
          <w:rFonts w:eastAsia="Calibri"/>
          <w:noProof/>
          <w:lang w:eastAsia="en-US"/>
        </w:rPr>
        <w:t>93</w:t>
      </w:r>
      <w:r w:rsidRPr="00665B2E">
        <w:rPr>
          <w:rFonts w:eastAsia="Calibri"/>
          <w:noProof/>
          <w:lang w:eastAsia="en-US"/>
        </w:rPr>
        <w:t>.</w:t>
      </w:r>
    </w:p>
    <w:p w14:paraId="4FC979B8" w14:textId="4B07E4C4"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Lisa Duggan. “The New Homonormativity: The Sexual Politics of Neoliberalism</w:t>
      </w:r>
      <w:r>
        <w:rPr>
          <w:rFonts w:eastAsia="Calibri"/>
          <w:noProof/>
          <w:lang w:eastAsia="en-US"/>
        </w:rPr>
        <w:t>.”</w:t>
      </w:r>
      <w:r w:rsidRPr="00665B2E">
        <w:rPr>
          <w:rFonts w:eastAsia="Calibri"/>
          <w:noProof/>
          <w:lang w:eastAsia="en-US"/>
        </w:rPr>
        <w:t xml:space="preserve"> </w:t>
      </w:r>
      <w:r w:rsidR="007052CE">
        <w:rPr>
          <w:rFonts w:eastAsia="Calibri"/>
          <w:noProof/>
          <w:lang w:eastAsia="en-US"/>
        </w:rPr>
        <w:br/>
      </w:r>
      <w:r w:rsidRPr="00665B2E">
        <w:rPr>
          <w:rFonts w:eastAsia="Calibri"/>
          <w:noProof/>
          <w:lang w:eastAsia="en-US"/>
        </w:rPr>
        <w:t xml:space="preserve">In </w:t>
      </w:r>
      <w:r w:rsidRPr="00665B2E">
        <w:rPr>
          <w:rFonts w:eastAsia="Calibri"/>
          <w:i/>
          <w:noProof/>
          <w:lang w:eastAsia="en-US"/>
        </w:rPr>
        <w:t>Materializing Democracy: Toward a Revitalized Cultural Politics</w:t>
      </w:r>
      <w:r>
        <w:rPr>
          <w:rFonts w:eastAsia="Calibri"/>
          <w:noProof/>
          <w:lang w:eastAsia="en-US"/>
        </w:rPr>
        <w:t xml:space="preserve">. Edited by </w:t>
      </w:r>
      <w:r w:rsidRPr="00665B2E">
        <w:rPr>
          <w:rFonts w:eastAsia="Calibri"/>
          <w:noProof/>
          <w:lang w:eastAsia="en-US"/>
        </w:rPr>
        <w:t>Russ Castronovo and Dana D. Nelson</w:t>
      </w:r>
      <w:r>
        <w:rPr>
          <w:rFonts w:eastAsia="Calibri"/>
          <w:noProof/>
          <w:lang w:eastAsia="en-US"/>
        </w:rPr>
        <w:t>.</w:t>
      </w:r>
      <w:r w:rsidRPr="00665B2E">
        <w:rPr>
          <w:rFonts w:eastAsia="Calibri"/>
          <w:noProof/>
          <w:lang w:eastAsia="en-US"/>
        </w:rPr>
        <w:t xml:space="preserve"> Durham: </w:t>
      </w:r>
      <w:r>
        <w:rPr>
          <w:rFonts w:eastAsia="Calibri"/>
          <w:noProof/>
          <w:lang w:eastAsia="en-US"/>
        </w:rPr>
        <w:t>Duke University Press, 2002</w:t>
      </w:r>
      <w:r w:rsidR="00EF7F12">
        <w:rPr>
          <w:rFonts w:eastAsia="Calibri"/>
          <w:noProof/>
          <w:lang w:eastAsia="en-US"/>
        </w:rPr>
        <w:t>.</w:t>
      </w:r>
    </w:p>
    <w:p w14:paraId="7F4F771C" w14:textId="20B181F8"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Rosemary Auchmuty. “Same-Sex Marriage Revived: Feminist Critique and Legal Strategy</w:t>
      </w:r>
      <w:r>
        <w:rPr>
          <w:rFonts w:eastAsia="Calibri"/>
          <w:noProof/>
          <w:lang w:eastAsia="en-US"/>
        </w:rPr>
        <w:t>.”</w:t>
      </w:r>
      <w:r w:rsidRPr="00665B2E">
        <w:rPr>
          <w:rFonts w:eastAsia="Calibri"/>
          <w:noProof/>
          <w:lang w:eastAsia="en-US"/>
        </w:rPr>
        <w:t xml:space="preserve"> </w:t>
      </w:r>
      <w:r w:rsidRPr="00665B2E">
        <w:rPr>
          <w:rFonts w:eastAsia="Calibri"/>
          <w:i/>
          <w:noProof/>
          <w:lang w:eastAsia="en-US"/>
        </w:rPr>
        <w:t>Feminism and Psychology</w:t>
      </w:r>
      <w:r w:rsidRPr="00665B2E">
        <w:rPr>
          <w:rFonts w:eastAsia="Calibri"/>
          <w:noProof/>
          <w:lang w:eastAsia="en-US"/>
        </w:rPr>
        <w:t xml:space="preserve"> 14</w:t>
      </w:r>
      <w:r>
        <w:rPr>
          <w:rFonts w:eastAsia="Calibri"/>
          <w:noProof/>
          <w:lang w:eastAsia="en-US"/>
        </w:rPr>
        <w:t xml:space="preserve"> </w:t>
      </w:r>
      <w:r w:rsidRPr="00665B2E">
        <w:rPr>
          <w:rFonts w:eastAsia="Calibri"/>
          <w:noProof/>
          <w:lang w:eastAsia="en-US"/>
        </w:rPr>
        <w:t>(2004)</w:t>
      </w:r>
      <w:r>
        <w:rPr>
          <w:rFonts w:eastAsia="Calibri"/>
          <w:noProof/>
          <w:lang w:eastAsia="en-US"/>
        </w:rPr>
        <w:t xml:space="preserve">: </w:t>
      </w:r>
      <w:r w:rsidRPr="00665B2E">
        <w:rPr>
          <w:rFonts w:eastAsia="Calibri"/>
          <w:noProof/>
          <w:lang w:eastAsia="en-US"/>
        </w:rPr>
        <w:t>101</w:t>
      </w:r>
      <w:r>
        <w:rPr>
          <w:rFonts w:eastAsia="Calibri"/>
          <w:noProof/>
          <w:lang w:eastAsia="en-US"/>
        </w:rPr>
        <w:t>–</w:t>
      </w:r>
      <w:r w:rsidRPr="00665B2E">
        <w:rPr>
          <w:rFonts w:eastAsia="Calibri"/>
          <w:noProof/>
          <w:lang w:eastAsia="en-US"/>
        </w:rPr>
        <w:t>26</w:t>
      </w:r>
      <w:r w:rsidRPr="0098342B">
        <w:rPr>
          <w:rFonts w:eastAsia="Calibri"/>
          <w:noProof/>
          <w:lang w:eastAsia="en-US"/>
        </w:rPr>
        <w:t>.</w:t>
      </w:r>
    </w:p>
    <w:p w14:paraId="2C2B92BF" w14:textId="56B1BDB9" w:rsidR="00316771" w:rsidRDefault="002078BC" w:rsidP="00482AEF">
      <w:pPr>
        <w:pStyle w:val="Mdeck8references"/>
        <w:ind w:left="539" w:hanging="539"/>
        <w:rPr>
          <w:rFonts w:eastAsia="Calibri"/>
          <w:noProof/>
          <w:lang w:eastAsia="en-US"/>
        </w:rPr>
      </w:pPr>
      <w:r w:rsidRPr="00665B2E">
        <w:rPr>
          <w:rFonts w:eastAsia="Calibri"/>
          <w:noProof/>
          <w:lang w:eastAsia="en-US"/>
        </w:rPr>
        <w:t xml:space="preserve">Concerns surrounding assimilatative discourse are particularly present in </w:t>
      </w:r>
      <w:r>
        <w:rPr>
          <w:rFonts w:eastAsia="Calibri"/>
          <w:noProof/>
          <w:lang w:eastAsia="en-US"/>
        </w:rPr>
        <w:t xml:space="preserve">the same sex marriage debates. </w:t>
      </w:r>
      <w:r w:rsidRPr="00665B2E">
        <w:rPr>
          <w:rFonts w:eastAsia="Calibri"/>
          <w:noProof/>
          <w:lang w:eastAsia="en-US"/>
        </w:rPr>
        <w:t>See for example Rolfe and Peel research which points towards the assimilative nature of the same sex marriage debate by suggesting that lesbians and gay men should not let themselves be assimila</w:t>
      </w:r>
      <w:r>
        <w:rPr>
          <w:rFonts w:eastAsia="Calibri"/>
          <w:noProof/>
          <w:lang w:eastAsia="en-US"/>
        </w:rPr>
        <w:t xml:space="preserve">ted into a heterosexual model. </w:t>
      </w:r>
      <w:r w:rsidRPr="00665B2E">
        <w:rPr>
          <w:rFonts w:eastAsia="Calibri"/>
          <w:noProof/>
          <w:lang w:eastAsia="en-US"/>
        </w:rPr>
        <w:t>Rolfe and Peel</w:t>
      </w:r>
      <w:r w:rsidR="008D07D1">
        <w:rPr>
          <w:rFonts w:eastAsia="Calibri"/>
          <w:noProof/>
          <w:lang w:eastAsia="en-US"/>
        </w:rPr>
        <w:t>’</w:t>
      </w:r>
      <w:r w:rsidRPr="00665B2E">
        <w:rPr>
          <w:rFonts w:eastAsia="Calibri"/>
          <w:noProof/>
          <w:lang w:eastAsia="en-US"/>
        </w:rPr>
        <w:t xml:space="preserve">s empirical study, into the attitudes of lesbians and gay men to same sex marriage, found an ambivalence, which stemmed from a </w:t>
      </w:r>
      <w:r w:rsidR="009A73D6" w:rsidRPr="00316771">
        <w:rPr>
          <w:rFonts w:eastAsia="Calibri"/>
          <w:noProof/>
          <w:lang w:eastAsia="en-US"/>
        </w:rPr>
        <w:t>“</w:t>
      </w:r>
      <w:r w:rsidRPr="00665B2E">
        <w:rPr>
          <w:rFonts w:eastAsia="Calibri"/>
          <w:noProof/>
          <w:lang w:eastAsia="en-US"/>
        </w:rPr>
        <w:t>resistance to assimilation into dominant heteronormative cultural framework</w:t>
      </w:r>
      <w:r>
        <w:rPr>
          <w:rFonts w:eastAsia="Calibri"/>
          <w:noProof/>
          <w:lang w:eastAsia="en-US"/>
        </w:rPr>
        <w:t>”</w:t>
      </w:r>
      <w:r w:rsidR="00316771">
        <w:rPr>
          <w:rFonts w:eastAsia="Calibri"/>
          <w:noProof/>
          <w:lang w:eastAsia="en-US"/>
        </w:rPr>
        <w:t xml:space="preserve"> [48].</w:t>
      </w:r>
    </w:p>
    <w:p w14:paraId="26996343" w14:textId="5CE9341F" w:rsidR="002078BC" w:rsidRPr="00413992" w:rsidRDefault="002078BC" w:rsidP="00482AEF">
      <w:pPr>
        <w:pStyle w:val="Mdeck8references"/>
        <w:ind w:left="539" w:hanging="539"/>
        <w:rPr>
          <w:rFonts w:eastAsia="Calibri"/>
          <w:noProof/>
          <w:spacing w:val="-3"/>
          <w:lang w:eastAsia="en-US"/>
        </w:rPr>
      </w:pPr>
      <w:r w:rsidRPr="00316771">
        <w:rPr>
          <w:rFonts w:eastAsia="Calibri"/>
          <w:noProof/>
          <w:lang w:eastAsia="en-US"/>
        </w:rPr>
        <w:t>Alison Rolfe</w:t>
      </w:r>
      <w:r w:rsidR="007052CE">
        <w:rPr>
          <w:rFonts w:eastAsia="Calibri"/>
          <w:noProof/>
          <w:lang w:eastAsia="en-US"/>
        </w:rPr>
        <w:t>,</w:t>
      </w:r>
      <w:r w:rsidRPr="00316771">
        <w:rPr>
          <w:rFonts w:eastAsia="Calibri"/>
          <w:noProof/>
          <w:lang w:eastAsia="en-US"/>
        </w:rPr>
        <w:t xml:space="preserve"> </w:t>
      </w:r>
      <w:r w:rsidR="008D07D1" w:rsidRPr="00316771">
        <w:rPr>
          <w:rFonts w:eastAsia="Calibri"/>
          <w:noProof/>
          <w:lang w:eastAsia="en-US"/>
        </w:rPr>
        <w:t xml:space="preserve">and </w:t>
      </w:r>
      <w:r w:rsidRPr="00316771">
        <w:rPr>
          <w:rFonts w:eastAsia="Calibri"/>
          <w:noProof/>
          <w:lang w:eastAsia="en-US"/>
        </w:rPr>
        <w:t>Elizabeth Peel.</w:t>
      </w:r>
      <w:r w:rsidRPr="00665B2E">
        <w:rPr>
          <w:rFonts w:eastAsia="Calibri"/>
          <w:noProof/>
          <w:lang w:eastAsia="en-US"/>
        </w:rPr>
        <w:t xml:space="preserve"> “</w:t>
      </w:r>
      <w:r w:rsidR="007052CE">
        <w:rPr>
          <w:rFonts w:eastAsia="Calibri"/>
          <w:noProof/>
          <w:lang w:eastAsia="en-US"/>
        </w:rPr>
        <w:t>‘</w:t>
      </w:r>
      <w:r w:rsidRPr="00665B2E">
        <w:rPr>
          <w:rFonts w:eastAsia="Calibri"/>
          <w:noProof/>
          <w:lang w:eastAsia="en-US"/>
        </w:rPr>
        <w:t>It</w:t>
      </w:r>
      <w:r w:rsidR="007052CE">
        <w:rPr>
          <w:rFonts w:eastAsia="Calibri"/>
          <w:noProof/>
          <w:lang w:eastAsia="en-US"/>
        </w:rPr>
        <w:t>’</w:t>
      </w:r>
      <w:r w:rsidRPr="00665B2E">
        <w:rPr>
          <w:rFonts w:eastAsia="Calibri"/>
          <w:noProof/>
          <w:lang w:eastAsia="en-US"/>
        </w:rPr>
        <w:t>s a double-edged thing</w:t>
      </w:r>
      <w:r w:rsidR="007052CE">
        <w:rPr>
          <w:rFonts w:eastAsia="Calibri"/>
          <w:noProof/>
          <w:lang w:eastAsia="en-US"/>
        </w:rPr>
        <w:t>’</w:t>
      </w:r>
      <w:r w:rsidRPr="00665B2E">
        <w:rPr>
          <w:rFonts w:eastAsia="Calibri"/>
          <w:noProof/>
          <w:lang w:eastAsia="en-US"/>
        </w:rPr>
        <w:t xml:space="preserve">: The paradox of civil partnership </w:t>
      </w:r>
      <w:r w:rsidRPr="00413992">
        <w:rPr>
          <w:rFonts w:eastAsia="Calibri"/>
          <w:noProof/>
          <w:spacing w:val="-3"/>
          <w:lang w:eastAsia="en-US"/>
        </w:rPr>
        <w:t>and why some couples are choosing not to have one.”</w:t>
      </w:r>
      <w:r w:rsidRPr="00413992">
        <w:rPr>
          <w:rFonts w:eastAsia="Calibri"/>
          <w:i/>
          <w:noProof/>
          <w:spacing w:val="-3"/>
          <w:lang w:eastAsia="en-US"/>
        </w:rPr>
        <w:t xml:space="preserve"> Feminism and Psychology</w:t>
      </w:r>
      <w:r w:rsidRPr="00413992">
        <w:rPr>
          <w:rFonts w:eastAsia="Calibri"/>
          <w:noProof/>
          <w:spacing w:val="-3"/>
          <w:lang w:eastAsia="en-US"/>
        </w:rPr>
        <w:t xml:space="preserve"> 21 (2011): </w:t>
      </w:r>
      <w:r w:rsidR="004C6708" w:rsidRPr="00413992">
        <w:rPr>
          <w:rFonts w:eastAsia="Calibri"/>
          <w:noProof/>
          <w:spacing w:val="-3"/>
          <w:lang w:eastAsia="en-US"/>
        </w:rPr>
        <w:t>317</w:t>
      </w:r>
      <w:r w:rsidR="007052CE" w:rsidRPr="00413992">
        <w:rPr>
          <w:rFonts w:eastAsia="Calibri"/>
          <w:noProof/>
          <w:spacing w:val="-3"/>
          <w:lang w:eastAsia="en-US"/>
        </w:rPr>
        <w:t>–</w:t>
      </w:r>
      <w:r w:rsidR="004C6708" w:rsidRPr="00413992">
        <w:rPr>
          <w:rFonts w:eastAsia="Calibri"/>
          <w:noProof/>
          <w:spacing w:val="-3"/>
          <w:lang w:eastAsia="en-US"/>
        </w:rPr>
        <w:t>35</w:t>
      </w:r>
      <w:r w:rsidRPr="00413992">
        <w:rPr>
          <w:rFonts w:eastAsia="Calibri"/>
          <w:noProof/>
          <w:spacing w:val="-3"/>
          <w:lang w:eastAsia="en-US"/>
        </w:rPr>
        <w:t>.</w:t>
      </w:r>
    </w:p>
    <w:p w14:paraId="6581BF01" w14:textId="37B6B3DF"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Joanna Perry. “The Perils of an Identity Politics Approach to the Legal Recognition of Harm</w:t>
      </w:r>
      <w:r>
        <w:rPr>
          <w:rFonts w:eastAsia="Calibri"/>
          <w:noProof/>
          <w:lang w:eastAsia="en-US"/>
        </w:rPr>
        <w:t>.”</w:t>
      </w:r>
      <w:r w:rsidRPr="00665B2E">
        <w:rPr>
          <w:rFonts w:eastAsia="Calibri"/>
          <w:noProof/>
          <w:lang w:eastAsia="en-US"/>
        </w:rPr>
        <w:t xml:space="preserve"> </w:t>
      </w:r>
      <w:r w:rsidRPr="00665B2E">
        <w:rPr>
          <w:rFonts w:eastAsia="Calibri"/>
          <w:i/>
          <w:noProof/>
          <w:lang w:eastAsia="en-US"/>
        </w:rPr>
        <w:t>Liverpool Law Review</w:t>
      </w:r>
      <w:r w:rsidRPr="00665B2E">
        <w:rPr>
          <w:rFonts w:eastAsia="Calibri"/>
          <w:noProof/>
          <w:lang w:eastAsia="en-US"/>
        </w:rPr>
        <w:t xml:space="preserve"> 29 (2003)</w:t>
      </w:r>
      <w:r>
        <w:rPr>
          <w:rFonts w:eastAsia="Calibri"/>
          <w:noProof/>
          <w:lang w:eastAsia="en-US"/>
        </w:rPr>
        <w:t xml:space="preserve">: </w:t>
      </w:r>
      <w:r w:rsidR="00DA0E98" w:rsidRPr="00DA0E98">
        <w:rPr>
          <w:rFonts w:eastAsia="Calibri"/>
          <w:noProof/>
          <w:lang w:eastAsia="en-US"/>
        </w:rPr>
        <w:t>19–36</w:t>
      </w:r>
      <w:r w:rsidRPr="00665B2E">
        <w:rPr>
          <w:rFonts w:eastAsia="Calibri"/>
          <w:noProof/>
          <w:lang w:eastAsia="en-US"/>
        </w:rPr>
        <w:t>.</w:t>
      </w:r>
    </w:p>
    <w:p w14:paraId="3D897603" w14:textId="0C78195A"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Jonathan Culler. </w:t>
      </w:r>
      <w:r w:rsidR="004F33AB">
        <w:rPr>
          <w:rFonts w:eastAsia="Calibri"/>
          <w:noProof/>
          <w:lang w:eastAsia="en-US"/>
        </w:rPr>
        <w:t>“</w:t>
      </w:r>
      <w:r w:rsidR="004F33AB" w:rsidRPr="00EB1431">
        <w:rPr>
          <w:rFonts w:eastAsia="Calibri"/>
          <w:noProof/>
          <w:lang w:eastAsia="en-US"/>
        </w:rPr>
        <w:t>Preface.</w:t>
      </w:r>
      <w:r w:rsidR="004F33AB">
        <w:rPr>
          <w:rFonts w:eastAsia="Calibri"/>
          <w:noProof/>
          <w:lang w:eastAsia="en-US"/>
        </w:rPr>
        <w:t xml:space="preserve">” In </w:t>
      </w:r>
      <w:r w:rsidRPr="00665B2E">
        <w:rPr>
          <w:rFonts w:eastAsia="Calibri"/>
          <w:i/>
          <w:noProof/>
          <w:lang w:eastAsia="en-US"/>
        </w:rPr>
        <w:t>On Deconstruction: Theory and Criticism After Structuralism</w:t>
      </w:r>
      <w:r>
        <w:rPr>
          <w:rFonts w:eastAsia="Calibri"/>
          <w:noProof/>
          <w:lang w:eastAsia="en-US"/>
        </w:rPr>
        <w:t>.</w:t>
      </w:r>
      <w:r w:rsidRPr="00665B2E">
        <w:rPr>
          <w:rFonts w:eastAsia="Calibri"/>
          <w:noProof/>
          <w:lang w:eastAsia="en-US"/>
        </w:rPr>
        <w:t xml:space="preserve"> </w:t>
      </w:r>
      <w:r w:rsidR="00A95D59">
        <w:rPr>
          <w:rFonts w:eastAsia="Calibri"/>
          <w:noProof/>
          <w:lang w:eastAsia="en-US"/>
        </w:rPr>
        <w:t>New York</w:t>
      </w:r>
      <w:r w:rsidRPr="00A95D59">
        <w:rPr>
          <w:rFonts w:eastAsia="Calibri"/>
          <w:noProof/>
          <w:lang w:eastAsia="en-US"/>
        </w:rPr>
        <w:t>:</w:t>
      </w:r>
      <w:r w:rsidRPr="00DA5CC1">
        <w:rPr>
          <w:rFonts w:eastAsia="Calibri"/>
          <w:noProof/>
          <w:lang w:eastAsia="en-US"/>
        </w:rPr>
        <w:t xml:space="preserve"> </w:t>
      </w:r>
      <w:r w:rsidRPr="00665B2E">
        <w:rPr>
          <w:rFonts w:eastAsia="Calibri"/>
          <w:noProof/>
          <w:lang w:eastAsia="en-US"/>
        </w:rPr>
        <w:t>Cornell University Press</w:t>
      </w:r>
      <w:r>
        <w:rPr>
          <w:rFonts w:eastAsia="Calibri"/>
          <w:noProof/>
          <w:lang w:eastAsia="en-US"/>
        </w:rPr>
        <w:t>, 2008</w:t>
      </w:r>
      <w:r w:rsidRPr="00665B2E">
        <w:rPr>
          <w:rFonts w:eastAsia="Calibri"/>
          <w:noProof/>
          <w:lang w:eastAsia="en-US"/>
        </w:rPr>
        <w:t>.</w:t>
      </w:r>
    </w:p>
    <w:p w14:paraId="5D81131A" w14:textId="541C2E02"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Adam Isaiah Green. “Gay But Not Queer: Toward a Post-Queer Study of Sexuality.” </w:t>
      </w:r>
      <w:r w:rsidRPr="00665B2E">
        <w:rPr>
          <w:rFonts w:eastAsia="Calibri"/>
          <w:i/>
          <w:noProof/>
          <w:lang w:eastAsia="en-US"/>
        </w:rPr>
        <w:t>Theory and Society</w:t>
      </w:r>
      <w:r w:rsidRPr="00665B2E">
        <w:rPr>
          <w:rFonts w:eastAsia="Calibri"/>
          <w:noProof/>
          <w:lang w:eastAsia="en-US"/>
        </w:rPr>
        <w:t xml:space="preserve"> 31 (2002)</w:t>
      </w:r>
      <w:r>
        <w:rPr>
          <w:rFonts w:eastAsia="Calibri"/>
          <w:noProof/>
          <w:lang w:eastAsia="en-US"/>
        </w:rPr>
        <w:t>: 521–</w:t>
      </w:r>
      <w:r w:rsidRPr="00665B2E">
        <w:rPr>
          <w:rFonts w:eastAsia="Calibri"/>
          <w:noProof/>
          <w:lang w:eastAsia="en-US"/>
        </w:rPr>
        <w:t>45.</w:t>
      </w:r>
    </w:p>
    <w:p w14:paraId="3BC6A742" w14:textId="027F940C"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Josh Gamson. “Sexualities, Queer Theory, and Qualitative Research</w:t>
      </w:r>
      <w:r>
        <w:rPr>
          <w:rFonts w:eastAsia="Calibri"/>
          <w:noProof/>
          <w:lang w:eastAsia="en-US"/>
        </w:rPr>
        <w:t>.”</w:t>
      </w:r>
      <w:r w:rsidRPr="00665B2E">
        <w:rPr>
          <w:rFonts w:eastAsia="Calibri"/>
          <w:noProof/>
          <w:lang w:eastAsia="en-US"/>
        </w:rPr>
        <w:t xml:space="preserve"> In </w:t>
      </w:r>
      <w:r w:rsidRPr="00665B2E">
        <w:rPr>
          <w:rFonts w:eastAsia="Calibri"/>
          <w:i/>
          <w:noProof/>
          <w:lang w:eastAsia="en-US"/>
        </w:rPr>
        <w:t>Handbook of Qualitative Research</w:t>
      </w:r>
      <w:r w:rsidRPr="006306EB">
        <w:rPr>
          <w:rFonts w:eastAsia="Calibri"/>
          <w:noProof/>
          <w:lang w:eastAsia="en-US"/>
        </w:rPr>
        <w:t>,</w:t>
      </w:r>
      <w:r>
        <w:rPr>
          <w:rFonts w:eastAsia="Calibri"/>
          <w:noProof/>
          <w:lang w:eastAsia="en-US"/>
        </w:rPr>
        <w:t xml:space="preserve"> 2nd ed.</w:t>
      </w:r>
      <w:r w:rsidRPr="00665B2E">
        <w:rPr>
          <w:rFonts w:eastAsia="Calibri"/>
          <w:noProof/>
          <w:lang w:eastAsia="en-US"/>
        </w:rPr>
        <w:t xml:space="preserve"> </w:t>
      </w:r>
      <w:r>
        <w:rPr>
          <w:rFonts w:eastAsia="Calibri"/>
          <w:noProof/>
          <w:lang w:eastAsia="en-US"/>
        </w:rPr>
        <w:t xml:space="preserve">Edited by </w:t>
      </w:r>
      <w:r w:rsidRPr="00665B2E">
        <w:rPr>
          <w:rFonts w:eastAsia="Calibri"/>
          <w:noProof/>
          <w:lang w:eastAsia="en-US"/>
        </w:rPr>
        <w:t>Norman K. Denzin and Yvonna S. Lincoln.</w:t>
      </w:r>
      <w:r>
        <w:rPr>
          <w:rFonts w:eastAsia="Calibri"/>
          <w:noProof/>
          <w:lang w:eastAsia="en-US"/>
        </w:rPr>
        <w:t xml:space="preserve"> </w:t>
      </w:r>
      <w:r w:rsidR="00602B56">
        <w:rPr>
          <w:rFonts w:eastAsia="Calibri"/>
          <w:noProof/>
          <w:lang w:eastAsia="en-US"/>
        </w:rPr>
        <w:t>London</w:t>
      </w:r>
      <w:r w:rsidRPr="00602B56">
        <w:rPr>
          <w:rFonts w:eastAsia="Calibri"/>
          <w:noProof/>
          <w:lang w:eastAsia="en-US"/>
        </w:rPr>
        <w:t>:</w:t>
      </w:r>
      <w:r w:rsidRPr="00DA5CC1">
        <w:rPr>
          <w:rFonts w:eastAsia="Calibri"/>
          <w:noProof/>
          <w:lang w:eastAsia="en-US"/>
        </w:rPr>
        <w:t xml:space="preserve"> </w:t>
      </w:r>
      <w:r>
        <w:rPr>
          <w:rFonts w:eastAsia="Calibri"/>
          <w:noProof/>
          <w:lang w:eastAsia="en-US"/>
        </w:rPr>
        <w:t>Sage Publications, 2000</w:t>
      </w:r>
      <w:r w:rsidRPr="00665B2E">
        <w:rPr>
          <w:rFonts w:eastAsia="Calibri"/>
          <w:noProof/>
          <w:lang w:eastAsia="en-US"/>
        </w:rPr>
        <w:t>, p</w:t>
      </w:r>
      <w:r>
        <w:rPr>
          <w:rFonts w:eastAsia="Calibri"/>
          <w:noProof/>
          <w:lang w:eastAsia="en-US"/>
        </w:rPr>
        <w:t>p</w:t>
      </w:r>
      <w:r w:rsidRPr="00665B2E">
        <w:rPr>
          <w:rFonts w:eastAsia="Calibri"/>
          <w:noProof/>
          <w:lang w:eastAsia="en-US"/>
        </w:rPr>
        <w:t>. 347–65.</w:t>
      </w:r>
    </w:p>
    <w:p w14:paraId="4F0B6E82" w14:textId="1EABDE87"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See for example Veronika Koller. </w:t>
      </w:r>
      <w:r w:rsidRPr="00665B2E">
        <w:rPr>
          <w:rFonts w:eastAsia="Calibri"/>
          <w:i/>
          <w:noProof/>
          <w:lang w:eastAsia="en-US"/>
        </w:rPr>
        <w:t>Lesbian Discourses: Images of a Community</w:t>
      </w:r>
      <w:r w:rsidRPr="00665B2E">
        <w:rPr>
          <w:rFonts w:eastAsia="Calibri"/>
          <w:noProof/>
          <w:lang w:eastAsia="en-US"/>
        </w:rPr>
        <w:t xml:space="preserve">. </w:t>
      </w:r>
      <w:r w:rsidR="00140430" w:rsidRPr="00140430">
        <w:rPr>
          <w:rFonts w:eastAsia="Calibri"/>
          <w:noProof/>
          <w:lang w:eastAsia="en-US"/>
        </w:rPr>
        <w:t>New York</w:t>
      </w:r>
      <w:r w:rsidRPr="00140430">
        <w:rPr>
          <w:rFonts w:eastAsia="Calibri"/>
          <w:noProof/>
          <w:lang w:eastAsia="en-US"/>
        </w:rPr>
        <w:t>:</w:t>
      </w:r>
      <w:r w:rsidRPr="00DA5CC1">
        <w:rPr>
          <w:rFonts w:eastAsia="Calibri"/>
          <w:noProof/>
          <w:lang w:eastAsia="en-US"/>
        </w:rPr>
        <w:t xml:space="preserve"> </w:t>
      </w:r>
      <w:r w:rsidR="004E7173">
        <w:rPr>
          <w:rFonts w:eastAsia="Calibri"/>
          <w:noProof/>
          <w:lang w:eastAsia="en-US"/>
        </w:rPr>
        <w:t>Routledge, 2008.</w:t>
      </w:r>
    </w:p>
    <w:p w14:paraId="049B61C6" w14:textId="6822BF86"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Adam Isaiah Green. “Queer Theory and Sociology: Locating the Subject and the Self in Sexuality Studies</w:t>
      </w:r>
      <w:r>
        <w:rPr>
          <w:rFonts w:eastAsia="Calibri"/>
          <w:noProof/>
          <w:lang w:eastAsia="en-US"/>
        </w:rPr>
        <w:t>.”</w:t>
      </w:r>
      <w:r w:rsidRPr="00665B2E">
        <w:rPr>
          <w:rFonts w:eastAsia="Calibri"/>
          <w:noProof/>
          <w:lang w:eastAsia="en-US"/>
        </w:rPr>
        <w:t xml:space="preserve"> </w:t>
      </w:r>
      <w:r w:rsidRPr="00665B2E">
        <w:rPr>
          <w:rFonts w:eastAsia="Calibri"/>
          <w:i/>
          <w:noProof/>
          <w:lang w:eastAsia="en-US"/>
        </w:rPr>
        <w:t>Sociological Theory</w:t>
      </w:r>
      <w:r w:rsidRPr="00665B2E">
        <w:rPr>
          <w:rFonts w:eastAsia="Calibri"/>
          <w:noProof/>
          <w:lang w:eastAsia="en-US"/>
        </w:rPr>
        <w:t xml:space="preserve"> 25 (2007)</w:t>
      </w:r>
      <w:r>
        <w:rPr>
          <w:rFonts w:eastAsia="Calibri"/>
          <w:noProof/>
          <w:lang w:eastAsia="en-US"/>
        </w:rPr>
        <w:t>: 26–45</w:t>
      </w:r>
      <w:r w:rsidRPr="00665B2E">
        <w:rPr>
          <w:rFonts w:eastAsia="Calibri"/>
          <w:noProof/>
          <w:lang w:eastAsia="en-US"/>
        </w:rPr>
        <w:t>.</w:t>
      </w:r>
    </w:p>
    <w:p w14:paraId="580295A9" w14:textId="181A6B99"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Richard Dunphy. </w:t>
      </w:r>
      <w:r w:rsidRPr="00665B2E">
        <w:rPr>
          <w:rFonts w:eastAsia="Calibri"/>
          <w:i/>
          <w:noProof/>
          <w:lang w:eastAsia="en-US"/>
        </w:rPr>
        <w:t>Sexual Politics: An Introduction</w:t>
      </w:r>
      <w:r>
        <w:rPr>
          <w:rFonts w:eastAsia="Calibri"/>
          <w:noProof/>
          <w:lang w:eastAsia="en-US"/>
        </w:rPr>
        <w:t>.</w:t>
      </w:r>
      <w:r w:rsidRPr="00665B2E">
        <w:rPr>
          <w:rFonts w:eastAsia="Calibri"/>
          <w:noProof/>
          <w:lang w:eastAsia="en-US"/>
        </w:rPr>
        <w:t xml:space="preserve"> Edinburgh: Edinburgh University Press, 2000.</w:t>
      </w:r>
    </w:p>
    <w:p w14:paraId="76345F17" w14:textId="1A67D67F" w:rsidR="002078BC" w:rsidRPr="00665B2E" w:rsidRDefault="002078BC" w:rsidP="00482AEF">
      <w:pPr>
        <w:pStyle w:val="Mdeck8references"/>
        <w:ind w:left="539" w:hanging="539"/>
      </w:pPr>
      <w:r w:rsidRPr="00665B2E">
        <w:t>Judith Butler</w:t>
      </w:r>
      <w:r>
        <w:t>.</w:t>
      </w:r>
      <w:r w:rsidRPr="00665B2E">
        <w:t xml:space="preserve"> </w:t>
      </w:r>
      <w:r>
        <w:rPr>
          <w:i/>
        </w:rPr>
        <w:t xml:space="preserve">The Psychic Life of Power: </w:t>
      </w:r>
      <w:r w:rsidRPr="00665B2E">
        <w:rPr>
          <w:i/>
        </w:rPr>
        <w:t>Theories in Subjection</w:t>
      </w:r>
      <w:r>
        <w:t xml:space="preserve">. </w:t>
      </w:r>
      <w:r w:rsidRPr="00665B2E">
        <w:t>Stanford</w:t>
      </w:r>
      <w:r>
        <w:t>:</w:t>
      </w:r>
      <w:r w:rsidRPr="00665B2E">
        <w:t xml:space="preserve"> Stanford University Press, 1997</w:t>
      </w:r>
      <w:r w:rsidR="00EE63DA">
        <w:t>.</w:t>
      </w:r>
    </w:p>
    <w:p w14:paraId="394F5775" w14:textId="54FC207C" w:rsidR="002078BC" w:rsidRPr="00C84D92" w:rsidRDefault="002078BC" w:rsidP="00482AEF">
      <w:pPr>
        <w:pStyle w:val="Mdeck8references"/>
        <w:ind w:left="539" w:hanging="539"/>
        <w:rPr>
          <w:spacing w:val="-4"/>
        </w:rPr>
      </w:pPr>
      <w:r w:rsidRPr="00C84D92">
        <w:rPr>
          <w:rFonts w:eastAsia="Calibri"/>
          <w:noProof/>
          <w:spacing w:val="-4"/>
          <w:lang w:eastAsia="en-US"/>
        </w:rPr>
        <w:t xml:space="preserve">Lous McNay. “The Foucauldian Body and the Exclusion of Experience.” </w:t>
      </w:r>
      <w:r w:rsidRPr="00C84D92">
        <w:rPr>
          <w:rFonts w:eastAsia="Calibri"/>
          <w:i/>
          <w:noProof/>
          <w:spacing w:val="-4"/>
          <w:lang w:eastAsia="en-US"/>
        </w:rPr>
        <w:t>Hypatia</w:t>
      </w:r>
      <w:r w:rsidRPr="00C84D92">
        <w:rPr>
          <w:rFonts w:eastAsia="Calibri"/>
          <w:noProof/>
          <w:spacing w:val="-4"/>
          <w:lang w:eastAsia="en-US"/>
        </w:rPr>
        <w:t xml:space="preserve"> 6 (1991): </w:t>
      </w:r>
      <w:r w:rsidR="00CE344A" w:rsidRPr="00C84D92">
        <w:rPr>
          <w:rFonts w:eastAsia="Calibri"/>
          <w:noProof/>
          <w:color w:val="auto"/>
          <w:spacing w:val="-4"/>
          <w:szCs w:val="24"/>
          <w:lang w:eastAsia="en-US"/>
        </w:rPr>
        <w:t>125–</w:t>
      </w:r>
      <w:r w:rsidR="00A36A10" w:rsidRPr="00C84D92">
        <w:rPr>
          <w:rFonts w:eastAsia="Calibri"/>
          <w:noProof/>
          <w:color w:val="auto"/>
          <w:spacing w:val="-4"/>
          <w:szCs w:val="24"/>
          <w:lang w:eastAsia="en-US"/>
        </w:rPr>
        <w:t>39</w:t>
      </w:r>
      <w:r w:rsidRPr="00C84D92">
        <w:rPr>
          <w:rFonts w:eastAsia="Calibri"/>
          <w:noProof/>
          <w:spacing w:val="-4"/>
          <w:lang w:eastAsia="en-US"/>
        </w:rPr>
        <w:t>.</w:t>
      </w:r>
    </w:p>
    <w:p w14:paraId="278F0CB6" w14:textId="519E7530" w:rsidR="002E3210" w:rsidRPr="002E3210" w:rsidRDefault="002078BC" w:rsidP="002E3210">
      <w:pPr>
        <w:pStyle w:val="Mdeck8references"/>
        <w:ind w:left="539" w:hanging="539"/>
        <w:rPr>
          <w:rFonts w:eastAsia="Calibri"/>
          <w:noProof/>
          <w:lang w:eastAsia="en-US"/>
        </w:rPr>
      </w:pPr>
      <w:r w:rsidRPr="0031222C">
        <w:rPr>
          <w:rFonts w:eastAsia="Calibri"/>
          <w:noProof/>
          <w:color w:val="auto"/>
          <w:szCs w:val="24"/>
          <w:lang w:eastAsia="en-US"/>
        </w:rPr>
        <w:t xml:space="preserve">Judith Butler. </w:t>
      </w:r>
      <w:r w:rsidRPr="0031222C">
        <w:rPr>
          <w:rFonts w:eastAsia="Calibri"/>
          <w:i/>
          <w:noProof/>
          <w:color w:val="auto"/>
          <w:szCs w:val="24"/>
          <w:lang w:eastAsia="en-US"/>
        </w:rPr>
        <w:t>Bodies That Matter: On the Discursive Limits of Sex</w:t>
      </w:r>
      <w:r w:rsidRPr="0031222C">
        <w:rPr>
          <w:rFonts w:eastAsia="Calibri"/>
          <w:noProof/>
          <w:color w:val="auto"/>
          <w:szCs w:val="24"/>
          <w:lang w:eastAsia="en-US"/>
        </w:rPr>
        <w:t>. New York: Routledge, 1993</w:t>
      </w:r>
      <w:r w:rsidR="00955004">
        <w:rPr>
          <w:rFonts w:eastAsia="Calibri"/>
          <w:noProof/>
          <w:color w:val="auto"/>
          <w:szCs w:val="24"/>
          <w:lang w:eastAsia="en-US"/>
        </w:rPr>
        <w:t>.</w:t>
      </w:r>
    </w:p>
    <w:p w14:paraId="433190B4" w14:textId="67770EF5" w:rsidR="002078BC" w:rsidRDefault="002078BC" w:rsidP="00482AEF">
      <w:pPr>
        <w:pStyle w:val="Mdeck8references"/>
        <w:ind w:left="539" w:hanging="539"/>
        <w:rPr>
          <w:rFonts w:eastAsia="Calibri"/>
          <w:noProof/>
          <w:lang w:eastAsia="en-US"/>
        </w:rPr>
      </w:pPr>
      <w:r w:rsidRPr="00665B2E">
        <w:rPr>
          <w:rFonts w:eastAsia="Calibri"/>
          <w:noProof/>
          <w:lang w:eastAsia="en-US"/>
        </w:rPr>
        <w:t xml:space="preserve">Sandra Lee Bartky. “Foucault, Femininity and the Modernisation of patriarchal Power.” </w:t>
      </w:r>
      <w:r w:rsidR="00CE344A">
        <w:rPr>
          <w:rFonts w:eastAsia="Calibri"/>
          <w:noProof/>
          <w:lang w:eastAsia="en-US"/>
        </w:rPr>
        <w:br/>
      </w:r>
      <w:r w:rsidRPr="00665B2E">
        <w:rPr>
          <w:rFonts w:eastAsia="Calibri"/>
          <w:noProof/>
          <w:lang w:eastAsia="en-US"/>
        </w:rPr>
        <w:t xml:space="preserve">In </w:t>
      </w:r>
      <w:r w:rsidRPr="00665B2E">
        <w:rPr>
          <w:rFonts w:eastAsia="Calibri"/>
          <w:i/>
          <w:noProof/>
          <w:lang w:eastAsia="en-US"/>
        </w:rPr>
        <w:t>Feminism and Foucault: Paths of Resistance</w:t>
      </w:r>
      <w:r w:rsidRPr="00665B2E">
        <w:rPr>
          <w:rFonts w:eastAsia="Calibri"/>
          <w:noProof/>
          <w:lang w:eastAsia="en-US"/>
        </w:rPr>
        <w:t xml:space="preserve">. </w:t>
      </w:r>
      <w:r>
        <w:rPr>
          <w:rFonts w:eastAsia="Calibri"/>
          <w:noProof/>
          <w:lang w:eastAsia="en-US"/>
        </w:rPr>
        <w:t xml:space="preserve">Edited by </w:t>
      </w:r>
      <w:r w:rsidRPr="00665B2E">
        <w:rPr>
          <w:rFonts w:eastAsia="Calibri"/>
          <w:noProof/>
          <w:lang w:eastAsia="en-US"/>
        </w:rPr>
        <w:t>Irene Diamond and Lee Quinby.</w:t>
      </w:r>
      <w:r>
        <w:rPr>
          <w:rFonts w:eastAsia="Calibri"/>
          <w:noProof/>
          <w:lang w:eastAsia="en-US"/>
        </w:rPr>
        <w:t xml:space="preserve"> </w:t>
      </w:r>
      <w:r w:rsidRPr="00665B2E">
        <w:rPr>
          <w:rFonts w:eastAsia="Calibri"/>
          <w:noProof/>
          <w:lang w:eastAsia="en-US"/>
        </w:rPr>
        <w:t xml:space="preserve">New Hampshire: </w:t>
      </w:r>
      <w:r>
        <w:rPr>
          <w:rFonts w:eastAsia="Calibri"/>
          <w:noProof/>
          <w:lang w:eastAsia="en-US"/>
        </w:rPr>
        <w:t>Northeastern University Press, 1988</w:t>
      </w:r>
      <w:r w:rsidR="006D00BD">
        <w:rPr>
          <w:rFonts w:eastAsia="Calibri"/>
          <w:noProof/>
          <w:lang w:eastAsia="en-US"/>
        </w:rPr>
        <w:t>.</w:t>
      </w:r>
    </w:p>
    <w:p w14:paraId="3699117C" w14:textId="4692CD2B" w:rsidR="008E1E06" w:rsidRPr="008E1E06" w:rsidRDefault="008E1E06" w:rsidP="008E1E06">
      <w:pPr>
        <w:pStyle w:val="Mdeck8references"/>
        <w:rPr>
          <w:rFonts w:eastAsia="Calibri"/>
          <w:noProof/>
          <w:lang w:eastAsia="en-US"/>
        </w:rPr>
      </w:pPr>
      <w:r w:rsidRPr="008E1E06">
        <w:rPr>
          <w:rFonts w:eastAsia="Calibri"/>
          <w:noProof/>
          <w:lang w:eastAsia="en-US"/>
        </w:rPr>
        <w:t>Phillip M. Carter. “</w:t>
      </w:r>
      <w:r w:rsidRPr="008E1E06">
        <w:rPr>
          <w:rFonts w:eastAsia="Calibri"/>
          <w:noProof/>
          <w:lang w:eastAsia="en-US"/>
        </w:rPr>
        <w:t>Poststructuralist Theory and Sociolinguistics: Mapping the</w:t>
      </w:r>
      <w:r w:rsidRPr="008E1E06">
        <w:rPr>
          <w:rFonts w:eastAsia="Calibri"/>
          <w:noProof/>
          <w:lang w:eastAsia="en-US"/>
        </w:rPr>
        <w:t xml:space="preserve"> </w:t>
      </w:r>
      <w:r w:rsidRPr="008E1E06">
        <w:rPr>
          <w:rFonts w:eastAsia="Calibri"/>
          <w:noProof/>
          <w:lang w:eastAsia="en-US"/>
        </w:rPr>
        <w:t>Linguistic Turn in Social Theory</w:t>
      </w:r>
      <w:r w:rsidRPr="008E1E06">
        <w:rPr>
          <w:rFonts w:eastAsia="Calibri"/>
          <w:noProof/>
          <w:lang w:eastAsia="en-US"/>
        </w:rPr>
        <w:t xml:space="preserve">.” </w:t>
      </w:r>
      <w:r w:rsidRPr="008E1E06">
        <w:rPr>
          <w:rFonts w:eastAsia="Calibri"/>
          <w:i/>
          <w:noProof/>
          <w:lang w:eastAsia="en-US"/>
        </w:rPr>
        <w:t>Language and Linguistics Compass</w:t>
      </w:r>
      <w:r w:rsidRPr="008E1E06">
        <w:rPr>
          <w:rFonts w:eastAsia="Calibri"/>
          <w:noProof/>
          <w:lang w:eastAsia="en-US"/>
        </w:rPr>
        <w:t xml:space="preserve"> </w:t>
      </w:r>
      <w:r w:rsidRPr="008E1E06">
        <w:rPr>
          <w:rFonts w:eastAsia="Calibri"/>
          <w:noProof/>
          <w:lang w:eastAsia="en-US"/>
        </w:rPr>
        <w:t xml:space="preserve"> 7/11 (2013): 580</w:t>
      </w:r>
      <w:r w:rsidRPr="008E1E06">
        <w:rPr>
          <w:rFonts w:eastAsia="Calibri"/>
          <w:noProof/>
          <w:lang w:eastAsia="en-US"/>
        </w:rPr>
        <w:t xml:space="preserve"> </w:t>
      </w:r>
      <w:r w:rsidRPr="008E1E06">
        <w:rPr>
          <w:rFonts w:eastAsia="Calibri"/>
          <w:noProof/>
          <w:lang w:eastAsia="en-US"/>
        </w:rPr>
        <w:t>–</w:t>
      </w:r>
      <w:r>
        <w:rPr>
          <w:rFonts w:eastAsia="Calibri"/>
          <w:noProof/>
          <w:lang w:eastAsia="en-US"/>
        </w:rPr>
        <w:t>.</w:t>
      </w:r>
      <w:r w:rsidRPr="008E1E06">
        <w:rPr>
          <w:rFonts w:eastAsia="Calibri"/>
          <w:noProof/>
          <w:lang w:eastAsia="en-US"/>
        </w:rPr>
        <w:t>596</w:t>
      </w:r>
    </w:p>
    <w:p w14:paraId="60CF36F5" w14:textId="7B58CFF6" w:rsidR="00533802" w:rsidRDefault="00533802" w:rsidP="00533802">
      <w:pPr>
        <w:pStyle w:val="Mdeck8references"/>
      </w:pPr>
      <w:r w:rsidRPr="00533802">
        <w:t>Michael Foucault. Discipline and Punish: The Birth of the Prison. New York: Vintage, 1979.</w:t>
      </w:r>
    </w:p>
    <w:p w14:paraId="28EE8BDD" w14:textId="02D6FAC8" w:rsidR="002078BC" w:rsidRPr="00665B2E" w:rsidRDefault="00EF40EE" w:rsidP="00482AEF">
      <w:pPr>
        <w:pStyle w:val="Mdeck8references"/>
        <w:ind w:left="539" w:hanging="539"/>
        <w:rPr>
          <w:rFonts w:eastAsia="Calibri"/>
          <w:noProof/>
          <w:lang w:eastAsia="en-US"/>
        </w:rPr>
      </w:pPr>
      <w:r w:rsidRPr="00EF40EE">
        <w:rPr>
          <w:rFonts w:eastAsia="Calibri"/>
          <w:noProof/>
          <w:lang w:eastAsia="en-US"/>
        </w:rPr>
        <w:lastRenderedPageBreak/>
        <w:t>World Health Organisation</w:t>
      </w:r>
      <w:r w:rsidR="002078BC">
        <w:rPr>
          <w:rFonts w:eastAsia="Calibri"/>
          <w:noProof/>
          <w:lang w:eastAsia="en-US"/>
        </w:rPr>
        <w:t>.</w:t>
      </w:r>
      <w:r w:rsidR="002078BC" w:rsidRPr="00665B2E">
        <w:rPr>
          <w:rFonts w:eastAsia="Calibri"/>
          <w:noProof/>
          <w:lang w:eastAsia="en-US"/>
        </w:rPr>
        <w:t xml:space="preserve"> </w:t>
      </w:r>
      <w:r w:rsidR="002078BC">
        <w:rPr>
          <w:rFonts w:eastAsia="Calibri"/>
          <w:noProof/>
          <w:lang w:eastAsia="en-US"/>
        </w:rPr>
        <w:t>“</w:t>
      </w:r>
      <w:r w:rsidR="002078BC" w:rsidRPr="00665B2E">
        <w:rPr>
          <w:rFonts w:eastAsia="Calibri"/>
          <w:noProof/>
          <w:lang w:eastAsia="en-US"/>
        </w:rPr>
        <w:t>Adolescent pregnancy</w:t>
      </w:r>
      <w:r w:rsidR="002078BC">
        <w:rPr>
          <w:rFonts w:eastAsia="Calibri"/>
          <w:noProof/>
          <w:lang w:eastAsia="en-US"/>
        </w:rPr>
        <w:t xml:space="preserve"> (</w:t>
      </w:r>
      <w:r w:rsidR="002078BC" w:rsidRPr="00665B2E">
        <w:rPr>
          <w:rFonts w:eastAsia="Calibri"/>
          <w:noProof/>
          <w:lang w:eastAsia="en-US"/>
        </w:rPr>
        <w:t>Fact sheet N°364</w:t>
      </w:r>
      <w:r w:rsidR="002078BC">
        <w:rPr>
          <w:rFonts w:eastAsia="Calibri"/>
          <w:noProof/>
          <w:lang w:eastAsia="en-US"/>
        </w:rPr>
        <w:t>).” May 2012.</w:t>
      </w:r>
      <w:r w:rsidR="002078BC" w:rsidRPr="00665B2E">
        <w:rPr>
          <w:rFonts w:eastAsia="Calibri"/>
          <w:noProof/>
          <w:lang w:eastAsia="en-US"/>
        </w:rPr>
        <w:t xml:space="preserve"> </w:t>
      </w:r>
      <w:r w:rsidR="002078BC">
        <w:t xml:space="preserve">Available online: </w:t>
      </w:r>
      <w:r w:rsidR="002078BC" w:rsidRPr="00660F95">
        <w:rPr>
          <w:rFonts w:eastAsia="Calibri"/>
          <w:noProof/>
          <w:lang w:eastAsia="en-US"/>
        </w:rPr>
        <w:t>http://www.who.int/mediacentre/factsheets/fs364/en/</w:t>
      </w:r>
      <w:r w:rsidR="002078BC">
        <w:rPr>
          <w:rFonts w:eastAsia="Calibri"/>
          <w:noProof/>
          <w:lang w:eastAsia="en-US"/>
        </w:rPr>
        <w:t xml:space="preserve"> (accessed on 12</w:t>
      </w:r>
      <w:r w:rsidR="002078BC" w:rsidRPr="00665B2E">
        <w:rPr>
          <w:rFonts w:eastAsia="Calibri"/>
          <w:noProof/>
          <w:lang w:eastAsia="en-US"/>
        </w:rPr>
        <w:t xml:space="preserve"> February 2014).</w:t>
      </w:r>
    </w:p>
    <w:p w14:paraId="627875A0" w14:textId="60681511" w:rsidR="002078BC" w:rsidRPr="00665B2E" w:rsidRDefault="002078BC" w:rsidP="00482AEF">
      <w:pPr>
        <w:pStyle w:val="Mdeck8references"/>
        <w:ind w:left="539" w:hanging="539"/>
        <w:rPr>
          <w:rFonts w:eastAsia="Calibri"/>
          <w:noProof/>
          <w:lang w:eastAsia="en-US"/>
        </w:rPr>
      </w:pPr>
      <w:r w:rsidRPr="00957C5A">
        <w:rPr>
          <w:rFonts w:eastAsia="Calibri"/>
          <w:noProof/>
          <w:spacing w:val="-2"/>
          <w:lang w:eastAsia="en-US"/>
        </w:rPr>
        <w:t xml:space="preserve">NHS Health Development Agency. “Teenage pregnancy: An overview of the research evidence.” </w:t>
      </w:r>
      <w:r w:rsidRPr="00957C5A">
        <w:rPr>
          <w:spacing w:val="-2"/>
        </w:rPr>
        <w:t xml:space="preserve">Available online: </w:t>
      </w:r>
      <w:r w:rsidRPr="00957C5A">
        <w:rPr>
          <w:rFonts w:eastAsia="Calibri"/>
          <w:noProof/>
          <w:spacing w:val="-2"/>
          <w:lang w:eastAsia="en-US"/>
        </w:rPr>
        <w:t>http://www.nice.org.uk/niceMedia/documents/teenpreg_evidence_overview.pdf (accessed on 12</w:t>
      </w:r>
      <w:r w:rsidRPr="00665B2E">
        <w:rPr>
          <w:rFonts w:eastAsia="Calibri"/>
          <w:noProof/>
          <w:lang w:eastAsia="en-US"/>
        </w:rPr>
        <w:t xml:space="preserve"> February 2014).</w:t>
      </w:r>
    </w:p>
    <w:p w14:paraId="42455AE2" w14:textId="6FFDA6F6"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David Fergusson</w:t>
      </w:r>
      <w:r>
        <w:rPr>
          <w:rFonts w:eastAsia="Calibri"/>
          <w:noProof/>
          <w:lang w:eastAsia="en-US"/>
        </w:rPr>
        <w:t>,</w:t>
      </w:r>
      <w:r w:rsidRPr="00665B2E">
        <w:rPr>
          <w:rFonts w:eastAsia="Calibri"/>
          <w:noProof/>
          <w:lang w:eastAsia="en-US"/>
        </w:rPr>
        <w:t xml:space="preserve"> and Lianne Woodward. “Maternal age and educational and psychological outcomes in early adulthood</w:t>
      </w:r>
      <w:r>
        <w:rPr>
          <w:rFonts w:eastAsia="Calibri"/>
          <w:noProof/>
          <w:lang w:eastAsia="en-US"/>
        </w:rPr>
        <w:t>.”</w:t>
      </w:r>
      <w:r w:rsidRPr="00665B2E">
        <w:rPr>
          <w:rFonts w:eastAsia="Calibri"/>
          <w:noProof/>
          <w:lang w:eastAsia="en-US"/>
        </w:rPr>
        <w:t xml:space="preserve"> </w:t>
      </w:r>
      <w:r w:rsidRPr="00665B2E">
        <w:rPr>
          <w:rFonts w:eastAsia="Calibri"/>
          <w:i/>
          <w:noProof/>
          <w:lang w:eastAsia="en-US"/>
        </w:rPr>
        <w:t xml:space="preserve">Journal of Child Psychology </w:t>
      </w:r>
      <w:r>
        <w:rPr>
          <w:rFonts w:eastAsia="Calibri"/>
          <w:i/>
          <w:noProof/>
          <w:lang w:eastAsia="en-US"/>
        </w:rPr>
        <w:t>and</w:t>
      </w:r>
      <w:r w:rsidR="00C966A2">
        <w:rPr>
          <w:rFonts w:eastAsia="Calibri"/>
          <w:i/>
          <w:noProof/>
          <w:lang w:eastAsia="en-US"/>
        </w:rPr>
        <w:t xml:space="preserve"> Psychiatry </w:t>
      </w:r>
      <w:r w:rsidRPr="00665B2E">
        <w:rPr>
          <w:rFonts w:eastAsia="Calibri"/>
          <w:noProof/>
          <w:lang w:eastAsia="en-US"/>
        </w:rPr>
        <w:t>40</w:t>
      </w:r>
      <w:r>
        <w:rPr>
          <w:rFonts w:eastAsia="Calibri"/>
          <w:noProof/>
          <w:lang w:eastAsia="en-US"/>
        </w:rPr>
        <w:t xml:space="preserve"> </w:t>
      </w:r>
      <w:r w:rsidRPr="00665B2E">
        <w:rPr>
          <w:rFonts w:eastAsia="Calibri"/>
          <w:noProof/>
          <w:lang w:eastAsia="en-US"/>
        </w:rPr>
        <w:t>(1999) 479</w:t>
      </w:r>
      <w:r>
        <w:rPr>
          <w:rFonts w:eastAsia="Calibri"/>
          <w:noProof/>
          <w:lang w:eastAsia="en-US"/>
        </w:rPr>
        <w:t>–</w:t>
      </w:r>
      <w:r w:rsidR="00C966A2">
        <w:rPr>
          <w:rFonts w:eastAsia="Calibri"/>
          <w:noProof/>
          <w:lang w:eastAsia="en-US"/>
        </w:rPr>
        <w:t>89</w:t>
      </w:r>
      <w:r w:rsidRPr="00665B2E">
        <w:rPr>
          <w:rFonts w:eastAsia="Calibri"/>
          <w:noProof/>
          <w:lang w:eastAsia="en-US"/>
        </w:rPr>
        <w:t>.</w:t>
      </w:r>
    </w:p>
    <w:p w14:paraId="79BC6F2F" w14:textId="620B3943" w:rsidR="002078BC" w:rsidRPr="00665B2E" w:rsidRDefault="00F60752" w:rsidP="00482AEF">
      <w:pPr>
        <w:pStyle w:val="Mdeck8references"/>
        <w:ind w:left="539" w:hanging="539"/>
        <w:rPr>
          <w:rFonts w:eastAsia="Calibri"/>
          <w:noProof/>
          <w:lang w:eastAsia="en-US"/>
        </w:rPr>
      </w:pPr>
      <w:r w:rsidRPr="00F60752">
        <w:rPr>
          <w:rFonts w:eastAsia="Calibri"/>
          <w:noProof/>
          <w:lang w:eastAsia="en-US"/>
        </w:rPr>
        <w:t>World Health Organisation</w:t>
      </w:r>
      <w:r w:rsidR="002078BC" w:rsidRPr="00F60752">
        <w:rPr>
          <w:rFonts w:eastAsia="Calibri"/>
          <w:noProof/>
          <w:lang w:eastAsia="en-US"/>
        </w:rPr>
        <w:t>.</w:t>
      </w:r>
      <w:r>
        <w:rPr>
          <w:rFonts w:eastAsia="Calibri"/>
          <w:noProof/>
          <w:lang w:eastAsia="en-US"/>
        </w:rPr>
        <w:t xml:space="preserve"> “</w:t>
      </w:r>
      <w:r w:rsidRPr="00F60752">
        <w:rPr>
          <w:rFonts w:eastAsia="Calibri"/>
          <w:noProof/>
          <w:lang w:eastAsia="en-US"/>
        </w:rPr>
        <w:t>Maternal, newborn, child and adolescent health</w:t>
      </w:r>
      <w:r>
        <w:rPr>
          <w:rFonts w:eastAsia="Calibri"/>
          <w:noProof/>
          <w:lang w:eastAsia="en-US"/>
        </w:rPr>
        <w:t>.” Available</w:t>
      </w:r>
      <w:r w:rsidR="006D00BD">
        <w:rPr>
          <w:rFonts w:eastAsia="Calibri"/>
          <w:noProof/>
          <w:lang w:eastAsia="en-US"/>
        </w:rPr>
        <w:t xml:space="preserve"> online:</w:t>
      </w:r>
      <w:r>
        <w:rPr>
          <w:rFonts w:eastAsia="Calibri"/>
          <w:noProof/>
          <w:lang w:eastAsia="en-US"/>
        </w:rPr>
        <w:t xml:space="preserve"> </w:t>
      </w:r>
      <w:r w:rsidRPr="00EA42A8">
        <w:rPr>
          <w:rFonts w:eastAsia="Calibri"/>
          <w:noProof/>
          <w:lang w:eastAsia="en-US"/>
        </w:rPr>
        <w:t>http://www.who.int/maternal_child_adolescent/topics/maternal/adolescent_pregnancy/en/</w:t>
      </w:r>
      <w:r>
        <w:rPr>
          <w:rFonts w:eastAsia="Calibri"/>
          <w:noProof/>
          <w:lang w:eastAsia="en-US"/>
        </w:rPr>
        <w:t xml:space="preserve"> </w:t>
      </w:r>
      <w:r w:rsidRPr="00F60752">
        <w:rPr>
          <w:rFonts w:eastAsia="Calibri"/>
          <w:noProof/>
          <w:lang w:eastAsia="en-US"/>
        </w:rPr>
        <w:t>(accessed on 12 February 2014).</w:t>
      </w:r>
    </w:p>
    <w:p w14:paraId="4D024B2B" w14:textId="4E937B24" w:rsidR="002078BC" w:rsidRPr="00665B2E" w:rsidRDefault="00016EE6" w:rsidP="00482AEF">
      <w:pPr>
        <w:pStyle w:val="Mdeck8references"/>
        <w:ind w:left="539" w:hanging="539"/>
        <w:rPr>
          <w:rFonts w:eastAsia="Calibri"/>
          <w:noProof/>
          <w:lang w:eastAsia="en-US"/>
        </w:rPr>
      </w:pPr>
      <w:r w:rsidRPr="00016EE6">
        <w:rPr>
          <w:rFonts w:eastAsia="Calibri"/>
          <w:noProof/>
          <w:lang w:eastAsia="en-US"/>
        </w:rPr>
        <w:t>John Tripp</w:t>
      </w:r>
      <w:r w:rsidR="00EA42A8">
        <w:rPr>
          <w:rFonts w:eastAsia="Calibri"/>
          <w:noProof/>
          <w:lang w:eastAsia="en-US"/>
        </w:rPr>
        <w:t>,</w:t>
      </w:r>
      <w:r w:rsidRPr="00016EE6">
        <w:rPr>
          <w:rFonts w:eastAsia="Calibri"/>
          <w:noProof/>
          <w:lang w:eastAsia="en-US"/>
        </w:rPr>
        <w:t xml:space="preserve"> and Russell Viner</w:t>
      </w:r>
      <w:r>
        <w:rPr>
          <w:rFonts w:eastAsia="Calibri"/>
          <w:noProof/>
          <w:lang w:eastAsia="en-US"/>
        </w:rPr>
        <w:t>. “</w:t>
      </w:r>
      <w:bookmarkStart w:id="15" w:name="OLE_LINK15"/>
      <w:r w:rsidRPr="00016EE6">
        <w:rPr>
          <w:rFonts w:eastAsia="Calibri"/>
          <w:noProof/>
          <w:lang w:eastAsia="en-US"/>
        </w:rPr>
        <w:t>Sexual health, contraception, and teenage</w:t>
      </w:r>
      <w:r>
        <w:rPr>
          <w:rFonts w:eastAsia="Calibri"/>
          <w:noProof/>
          <w:lang w:eastAsia="en-US"/>
        </w:rPr>
        <w:t xml:space="preserve"> </w:t>
      </w:r>
      <w:r w:rsidRPr="00016EE6">
        <w:rPr>
          <w:rFonts w:eastAsia="Calibri"/>
          <w:noProof/>
          <w:lang w:eastAsia="en-US"/>
        </w:rPr>
        <w:t>pregnancy</w:t>
      </w:r>
      <w:bookmarkEnd w:id="15"/>
      <w:r w:rsidR="00EA42A8">
        <w:rPr>
          <w:rFonts w:eastAsia="Calibri"/>
          <w:noProof/>
          <w:lang w:eastAsia="en-US"/>
        </w:rPr>
        <w:t>.</w:t>
      </w:r>
      <w:r>
        <w:rPr>
          <w:rFonts w:eastAsia="Calibri"/>
          <w:noProof/>
          <w:lang w:eastAsia="en-US"/>
        </w:rPr>
        <w:t xml:space="preserve">” </w:t>
      </w:r>
      <w:bookmarkStart w:id="16" w:name="OLE_LINK16"/>
      <w:bookmarkStart w:id="17" w:name="OLE_LINK17"/>
      <w:r w:rsidRPr="005B56E1">
        <w:rPr>
          <w:rFonts w:eastAsia="Calibri"/>
          <w:i/>
          <w:noProof/>
          <w:lang w:eastAsia="en-US"/>
        </w:rPr>
        <w:t>B</w:t>
      </w:r>
      <w:r w:rsidR="005B56E1" w:rsidRPr="005B56E1">
        <w:rPr>
          <w:rFonts w:eastAsia="Calibri"/>
          <w:i/>
          <w:noProof/>
          <w:lang w:eastAsia="en-US"/>
        </w:rPr>
        <w:t>ritish Medical Journal</w:t>
      </w:r>
      <w:bookmarkEnd w:id="16"/>
      <w:bookmarkEnd w:id="17"/>
      <w:r w:rsidRPr="00016EE6">
        <w:rPr>
          <w:rFonts w:eastAsia="Calibri"/>
          <w:noProof/>
          <w:lang w:eastAsia="en-US"/>
        </w:rPr>
        <w:t xml:space="preserve"> </w:t>
      </w:r>
      <w:r w:rsidR="00EA42A8" w:rsidRPr="00016EE6">
        <w:rPr>
          <w:rFonts w:eastAsia="Calibri"/>
          <w:noProof/>
          <w:lang w:eastAsia="en-US"/>
        </w:rPr>
        <w:t>330</w:t>
      </w:r>
      <w:r w:rsidR="00EA42A8">
        <w:rPr>
          <w:rFonts w:eastAsia="Calibri"/>
          <w:noProof/>
          <w:lang w:eastAsia="en-US"/>
        </w:rPr>
        <w:t xml:space="preserve"> </w:t>
      </w:r>
      <w:r>
        <w:rPr>
          <w:rFonts w:eastAsia="Calibri"/>
          <w:noProof/>
          <w:lang w:eastAsia="en-US"/>
        </w:rPr>
        <w:t>(</w:t>
      </w:r>
      <w:r w:rsidRPr="00016EE6">
        <w:rPr>
          <w:rFonts w:eastAsia="Calibri"/>
          <w:noProof/>
          <w:lang w:eastAsia="en-US"/>
        </w:rPr>
        <w:t>2005</w:t>
      </w:r>
      <w:r>
        <w:rPr>
          <w:rFonts w:eastAsia="Calibri"/>
          <w:noProof/>
          <w:lang w:eastAsia="en-US"/>
        </w:rPr>
        <w:t xml:space="preserve">): </w:t>
      </w:r>
      <w:r w:rsidRPr="00016EE6">
        <w:rPr>
          <w:rFonts w:eastAsia="Calibri"/>
          <w:noProof/>
          <w:lang w:eastAsia="en-US"/>
        </w:rPr>
        <w:t>590</w:t>
      </w:r>
      <w:r w:rsidR="00EA42A8">
        <w:rPr>
          <w:rFonts w:eastAsia="Calibri"/>
          <w:noProof/>
          <w:lang w:eastAsia="en-US"/>
        </w:rPr>
        <w:t>–</w:t>
      </w:r>
      <w:r w:rsidRPr="00016EE6">
        <w:rPr>
          <w:rFonts w:eastAsia="Calibri"/>
          <w:noProof/>
          <w:lang w:eastAsia="en-US"/>
        </w:rPr>
        <w:t>93</w:t>
      </w:r>
      <w:r>
        <w:rPr>
          <w:rFonts w:eastAsia="Calibri"/>
          <w:noProof/>
          <w:lang w:eastAsia="en-US"/>
        </w:rPr>
        <w:t>.</w:t>
      </w:r>
    </w:p>
    <w:p w14:paraId="6C0A9C71" w14:textId="3232495D" w:rsidR="002078BC" w:rsidRPr="00CD35DD" w:rsidRDefault="00CD35DD" w:rsidP="00CD35DD">
      <w:pPr>
        <w:pStyle w:val="Mdeck8references"/>
        <w:rPr>
          <w:rFonts w:eastAsia="Calibri"/>
          <w:noProof/>
          <w:lang w:eastAsia="en-US"/>
        </w:rPr>
      </w:pPr>
      <w:r w:rsidRPr="00CD35DD">
        <w:rPr>
          <w:rFonts w:eastAsia="Calibri"/>
          <w:noProof/>
          <w:color w:val="auto"/>
          <w:lang w:eastAsia="en-US"/>
        </w:rPr>
        <w:t>Department for Education and Skills</w:t>
      </w:r>
      <w:r>
        <w:rPr>
          <w:rFonts w:eastAsia="Calibri"/>
          <w:noProof/>
          <w:color w:val="auto"/>
          <w:lang w:eastAsia="en-US"/>
        </w:rPr>
        <w:t>.</w:t>
      </w:r>
      <w:r w:rsidRPr="00CD35DD">
        <w:rPr>
          <w:rFonts w:eastAsia="Calibri"/>
          <w:noProof/>
          <w:color w:val="auto"/>
          <w:lang w:eastAsia="en-US"/>
        </w:rPr>
        <w:t xml:space="preserve"> </w:t>
      </w:r>
      <w:r w:rsidRPr="00CD35DD">
        <w:rPr>
          <w:rFonts w:eastAsia="Calibri"/>
          <w:noProof/>
          <w:lang w:eastAsia="en-US"/>
        </w:rPr>
        <w:t>“Teenage Pregnancy: Accelerating the Strategy to 2010</w:t>
      </w:r>
      <w:r>
        <w:rPr>
          <w:rFonts w:eastAsia="Calibri"/>
          <w:noProof/>
          <w:lang w:eastAsia="en-US"/>
        </w:rPr>
        <w:t xml:space="preserve">.” </w:t>
      </w:r>
      <w:r w:rsidRPr="00CD35DD">
        <w:rPr>
          <w:rFonts w:eastAsia="Calibri"/>
          <w:noProof/>
          <w:lang w:eastAsia="en-US"/>
        </w:rPr>
        <w:t>London: Department for Education and Skills.</w:t>
      </w:r>
      <w:r>
        <w:rPr>
          <w:rFonts w:eastAsia="Calibri"/>
          <w:noProof/>
          <w:lang w:eastAsia="en-US"/>
        </w:rPr>
        <w:t xml:space="preserve"> 2006.</w:t>
      </w:r>
    </w:p>
    <w:p w14:paraId="6E208380" w14:textId="073E239F"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I have taken my definition of </w:t>
      </w:r>
      <w:r>
        <w:rPr>
          <w:rFonts w:eastAsia="Calibri"/>
          <w:noProof/>
          <w:lang w:eastAsia="en-US"/>
        </w:rPr>
        <w:t>“</w:t>
      </w:r>
      <w:r w:rsidRPr="00665B2E">
        <w:rPr>
          <w:rFonts w:eastAsia="Calibri"/>
          <w:noProof/>
          <w:lang w:eastAsia="en-US"/>
        </w:rPr>
        <w:t>child</w:t>
      </w:r>
      <w:r>
        <w:rPr>
          <w:rFonts w:eastAsia="Calibri"/>
          <w:noProof/>
          <w:lang w:eastAsia="en-US"/>
        </w:rPr>
        <w:t>”</w:t>
      </w:r>
      <w:r w:rsidRPr="00665B2E">
        <w:rPr>
          <w:rFonts w:eastAsia="Calibri"/>
          <w:noProof/>
          <w:lang w:eastAsia="en-US"/>
        </w:rPr>
        <w:t xml:space="preserve"> from the Convention on the Rights of the Child, Article 1, which categorises child as between 0</w:t>
      </w:r>
      <w:r>
        <w:rPr>
          <w:rFonts w:eastAsia="Calibri"/>
          <w:noProof/>
          <w:lang w:eastAsia="en-US"/>
        </w:rPr>
        <w:t xml:space="preserve"> and </w:t>
      </w:r>
      <w:r w:rsidRPr="00665B2E">
        <w:rPr>
          <w:rFonts w:eastAsia="Calibri"/>
          <w:noProof/>
          <w:lang w:eastAsia="en-US"/>
        </w:rPr>
        <w:t xml:space="preserve">18 years; </w:t>
      </w:r>
      <w:r>
        <w:rPr>
          <w:rFonts w:eastAsia="Calibri"/>
          <w:noProof/>
          <w:lang w:eastAsia="en-US"/>
        </w:rPr>
        <w:t>“</w:t>
      </w:r>
      <w:r w:rsidRPr="00665B2E">
        <w:rPr>
          <w:rFonts w:eastAsia="Calibri"/>
          <w:noProof/>
          <w:lang w:eastAsia="en-US"/>
        </w:rPr>
        <w:t>For the purposes of the present Convention, a child means every human being below the age of eighteen years unless under the law applicable to the child, majority is attained earlier.</w:t>
      </w:r>
      <w:r>
        <w:rPr>
          <w:rFonts w:eastAsia="Calibri"/>
          <w:noProof/>
          <w:lang w:eastAsia="en-US"/>
        </w:rPr>
        <w:t>”</w:t>
      </w:r>
    </w:p>
    <w:p w14:paraId="7061A76E" w14:textId="1CBA9E25" w:rsidR="002078BC" w:rsidRPr="00665B2E" w:rsidRDefault="00490665" w:rsidP="00482AEF">
      <w:pPr>
        <w:pStyle w:val="Mdeck8references"/>
        <w:ind w:left="539" w:hanging="539"/>
        <w:rPr>
          <w:rFonts w:eastAsia="Calibri"/>
          <w:noProof/>
          <w:lang w:eastAsia="en-US"/>
        </w:rPr>
      </w:pPr>
      <w:r w:rsidRPr="00490665">
        <w:t>Convention on the Elimination of All Forms of Discrimination against Women</w:t>
      </w:r>
      <w:r>
        <w:t>.</w:t>
      </w:r>
      <w:r w:rsidR="002078BC" w:rsidRPr="00490665">
        <w:t xml:space="preserve"> “</w:t>
      </w:r>
      <w:r w:rsidRPr="00490665">
        <w:t>Text of the Convention</w:t>
      </w:r>
      <w:r w:rsidR="002078BC" w:rsidRPr="00C72A92">
        <w:t>.”</w:t>
      </w:r>
      <w:r w:rsidR="002078BC">
        <w:t xml:space="preserve"> </w:t>
      </w:r>
      <w:r w:rsidR="002078BC" w:rsidRPr="003C657B">
        <w:t xml:space="preserve">Available online: </w:t>
      </w:r>
      <w:r w:rsidR="002078BC" w:rsidRPr="00AC30EF">
        <w:rPr>
          <w:rFonts w:eastAsia="Calibri"/>
          <w:noProof/>
          <w:lang w:eastAsia="en-US"/>
        </w:rPr>
        <w:t>http://www.un.org/womenwatch/daw/cedaw/cedaw.htm</w:t>
      </w:r>
      <w:r w:rsidR="002078BC" w:rsidRPr="00665B2E">
        <w:rPr>
          <w:rFonts w:eastAsia="Calibri"/>
          <w:noProof/>
          <w:lang w:eastAsia="en-US"/>
        </w:rPr>
        <w:t xml:space="preserve"> (</w:t>
      </w:r>
      <w:r w:rsidR="002078BC">
        <w:rPr>
          <w:rFonts w:eastAsia="Calibri"/>
          <w:noProof/>
          <w:lang w:eastAsia="en-US"/>
        </w:rPr>
        <w:t>accessed on</w:t>
      </w:r>
      <w:r w:rsidR="002078BC" w:rsidRPr="00665B2E">
        <w:rPr>
          <w:rFonts w:eastAsia="Calibri"/>
          <w:noProof/>
          <w:lang w:eastAsia="en-US"/>
        </w:rPr>
        <w:t xml:space="preserve"> </w:t>
      </w:r>
      <w:r w:rsidR="002078BC">
        <w:rPr>
          <w:rFonts w:eastAsia="Calibri"/>
          <w:noProof/>
          <w:lang w:eastAsia="en-US"/>
        </w:rPr>
        <w:t>12</w:t>
      </w:r>
      <w:r w:rsidR="002078BC" w:rsidRPr="00665B2E">
        <w:rPr>
          <w:rFonts w:eastAsia="Calibri"/>
          <w:noProof/>
          <w:lang w:eastAsia="en-US"/>
        </w:rPr>
        <w:t xml:space="preserve"> February 2014).</w:t>
      </w:r>
    </w:p>
    <w:p w14:paraId="3FBE6F52" w14:textId="35EE7651" w:rsidR="002078BC" w:rsidRPr="0031222C" w:rsidRDefault="00C67968" w:rsidP="00482AEF">
      <w:pPr>
        <w:pStyle w:val="Mdeck8references"/>
        <w:ind w:left="539" w:hanging="539"/>
      </w:pPr>
      <w:r w:rsidRPr="00C67968">
        <w:rPr>
          <w:rFonts w:eastAsia="Calibri"/>
          <w:noProof/>
          <w:color w:val="auto"/>
          <w:szCs w:val="24"/>
          <w:lang w:eastAsia="en-US"/>
        </w:rPr>
        <w:t>United Nations International Children</w:t>
      </w:r>
      <w:r w:rsidR="00EA42A8">
        <w:rPr>
          <w:rFonts w:eastAsia="Calibri"/>
          <w:noProof/>
          <w:color w:val="auto"/>
          <w:szCs w:val="24"/>
          <w:lang w:eastAsia="en-US"/>
        </w:rPr>
        <w:t>’</w:t>
      </w:r>
      <w:r w:rsidRPr="00C67968">
        <w:rPr>
          <w:rFonts w:eastAsia="Calibri"/>
          <w:noProof/>
          <w:color w:val="auto"/>
          <w:szCs w:val="24"/>
          <w:lang w:eastAsia="en-US"/>
        </w:rPr>
        <w:t>s Emergency Fund</w:t>
      </w:r>
      <w:r w:rsidR="002078BC" w:rsidRPr="00C67968">
        <w:t>.</w:t>
      </w:r>
      <w:r w:rsidR="002078BC" w:rsidRPr="0031222C">
        <w:rPr>
          <w:rFonts w:eastAsia="Calibri"/>
          <w:noProof/>
          <w:lang w:eastAsia="en-US"/>
        </w:rPr>
        <w:t xml:space="preserve"> “UNICEF focuses on ending child marriage on the International Day of the Girl Child.” </w:t>
      </w:r>
      <w:r w:rsidR="002078BC" w:rsidRPr="0031222C">
        <w:t xml:space="preserve">Available online: </w:t>
      </w:r>
      <w:r w:rsidR="00473252" w:rsidRPr="00EA42A8">
        <w:rPr>
          <w:rFonts w:eastAsia="Calibri"/>
          <w:noProof/>
          <w:lang w:eastAsia="en-US"/>
        </w:rPr>
        <w:t>http://www.unicef.org/</w:t>
      </w:r>
      <w:r w:rsidR="00EA42A8">
        <w:rPr>
          <w:rFonts w:eastAsia="Calibri"/>
          <w:noProof/>
          <w:lang w:eastAsia="en-US"/>
        </w:rPr>
        <w:br/>
      </w:r>
      <w:r w:rsidR="00473252" w:rsidRPr="00EA42A8">
        <w:rPr>
          <w:rFonts w:eastAsia="Calibri"/>
          <w:noProof/>
          <w:lang w:eastAsia="en-US"/>
        </w:rPr>
        <w:t>iraq/media_7422.html</w:t>
      </w:r>
      <w:r w:rsidR="00473252">
        <w:rPr>
          <w:rFonts w:eastAsia="Calibri"/>
          <w:noProof/>
          <w:lang w:eastAsia="en-US"/>
        </w:rPr>
        <w:t xml:space="preserve"> </w:t>
      </w:r>
      <w:r w:rsidR="002078BC" w:rsidRPr="0031222C">
        <w:rPr>
          <w:rFonts w:eastAsia="Calibri"/>
          <w:noProof/>
          <w:lang w:eastAsia="en-US"/>
        </w:rPr>
        <w:t>(accessed on 12 February 2014).</w:t>
      </w:r>
    </w:p>
    <w:p w14:paraId="07C1700A" w14:textId="31F3C164"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UK All-Party Parliamentary Group on Population, Deve</w:t>
      </w:r>
      <w:r>
        <w:rPr>
          <w:rFonts w:eastAsia="Calibri"/>
          <w:noProof/>
          <w:lang w:eastAsia="en-US"/>
        </w:rPr>
        <w:t>lopment and Reproductive Health.</w:t>
      </w:r>
      <w:r w:rsidRPr="00665B2E">
        <w:rPr>
          <w:rFonts w:eastAsia="Calibri"/>
          <w:noProof/>
          <w:lang w:eastAsia="en-US"/>
        </w:rPr>
        <w:t xml:space="preserve"> </w:t>
      </w:r>
      <w:r>
        <w:rPr>
          <w:rFonts w:eastAsia="Calibri"/>
          <w:noProof/>
          <w:lang w:eastAsia="en-US"/>
        </w:rPr>
        <w:t>“</w:t>
      </w:r>
      <w:r w:rsidRPr="00665B2E">
        <w:rPr>
          <w:rFonts w:eastAsia="Calibri"/>
          <w:noProof/>
          <w:lang w:eastAsia="en-US"/>
        </w:rPr>
        <w:t>A Childhood Lost</w:t>
      </w:r>
      <w:r>
        <w:rPr>
          <w:rFonts w:eastAsia="Calibri"/>
          <w:noProof/>
          <w:lang w:eastAsia="en-US"/>
        </w:rPr>
        <w:t>—</w:t>
      </w:r>
      <w:r w:rsidRPr="00665B2E">
        <w:rPr>
          <w:rFonts w:eastAsia="Calibri"/>
          <w:noProof/>
          <w:lang w:eastAsia="en-US"/>
        </w:rPr>
        <w:t xml:space="preserve">A Report on Child Marriage in the UK and the </w:t>
      </w:r>
      <w:r w:rsidRPr="00F73804">
        <w:rPr>
          <w:rFonts w:eastAsia="Calibri"/>
          <w:noProof/>
          <w:lang w:eastAsia="en-US"/>
        </w:rPr>
        <w:t>Developing World.”</w:t>
      </w:r>
      <w:r>
        <w:rPr>
          <w:rFonts w:eastAsia="Calibri"/>
          <w:noProof/>
          <w:lang w:eastAsia="en-US"/>
        </w:rPr>
        <w:t xml:space="preserve"> October 2012</w:t>
      </w:r>
      <w:r w:rsidRPr="00665B2E">
        <w:rPr>
          <w:rFonts w:eastAsia="Calibri"/>
          <w:noProof/>
          <w:lang w:eastAsia="en-US"/>
        </w:rPr>
        <w:t>.</w:t>
      </w:r>
      <w:r>
        <w:rPr>
          <w:rFonts w:eastAsia="Calibri"/>
          <w:noProof/>
          <w:lang w:eastAsia="en-US"/>
        </w:rPr>
        <w:t xml:space="preserve"> </w:t>
      </w:r>
      <w:r w:rsidR="00F73804" w:rsidRPr="0031222C">
        <w:rPr>
          <w:szCs w:val="24"/>
        </w:rPr>
        <w:t>Available online:</w:t>
      </w:r>
      <w:r w:rsidR="00F73804">
        <w:rPr>
          <w:szCs w:val="24"/>
        </w:rPr>
        <w:t xml:space="preserve"> </w:t>
      </w:r>
      <w:r w:rsidR="0092619A" w:rsidRPr="0092619A">
        <w:rPr>
          <w:szCs w:val="24"/>
        </w:rPr>
        <w:t>http://www.appg-popdevrh.org.uk/UK%20APPG%20on%20PDRH%20-%20A%20Childhood%20Lost.pdf</w:t>
      </w:r>
      <w:r w:rsidR="0092619A">
        <w:rPr>
          <w:szCs w:val="24"/>
        </w:rPr>
        <w:t xml:space="preserve"> </w:t>
      </w:r>
      <w:r w:rsidR="00F73804" w:rsidRPr="0031222C">
        <w:rPr>
          <w:rFonts w:eastAsia="Calibri"/>
          <w:noProof/>
          <w:color w:val="auto"/>
          <w:szCs w:val="24"/>
          <w:lang w:eastAsia="en-US"/>
        </w:rPr>
        <w:t xml:space="preserve">(accessed on </w:t>
      </w:r>
      <w:r w:rsidR="00E466BD">
        <w:rPr>
          <w:rFonts w:eastAsia="Calibri"/>
          <w:noProof/>
          <w:color w:val="auto"/>
          <w:szCs w:val="24"/>
          <w:lang w:eastAsia="en-US"/>
        </w:rPr>
        <w:t>13</w:t>
      </w:r>
      <w:r w:rsidR="00E466BD" w:rsidRPr="00E466BD">
        <w:rPr>
          <w:rFonts w:eastAsia="Calibri"/>
          <w:noProof/>
          <w:color w:val="auto"/>
          <w:szCs w:val="24"/>
          <w:lang w:eastAsia="en-US"/>
        </w:rPr>
        <w:t xml:space="preserve"> February 2014</w:t>
      </w:r>
      <w:r w:rsidR="00F73804" w:rsidRPr="0031222C">
        <w:rPr>
          <w:rFonts w:eastAsia="Calibri"/>
          <w:noProof/>
          <w:color w:val="auto"/>
          <w:szCs w:val="24"/>
          <w:lang w:eastAsia="en-US"/>
        </w:rPr>
        <w:t>)</w:t>
      </w:r>
      <w:r w:rsidR="00F73804">
        <w:rPr>
          <w:rFonts w:eastAsia="Calibri"/>
          <w:noProof/>
          <w:color w:val="auto"/>
          <w:szCs w:val="24"/>
          <w:lang w:eastAsia="en-US"/>
        </w:rPr>
        <w:t>.</w:t>
      </w:r>
      <w:r w:rsidR="00F73804">
        <w:rPr>
          <w:szCs w:val="24"/>
        </w:rPr>
        <w:t xml:space="preserve"> </w:t>
      </w:r>
    </w:p>
    <w:p w14:paraId="4156E6AB" w14:textId="2C3DE999" w:rsidR="002078BC" w:rsidRPr="00665B2E" w:rsidRDefault="00022B28" w:rsidP="00482AEF">
      <w:pPr>
        <w:pStyle w:val="Mdeck8references"/>
        <w:ind w:left="539" w:hanging="539"/>
        <w:rPr>
          <w:rFonts w:eastAsia="Calibri"/>
          <w:noProof/>
          <w:color w:val="auto"/>
          <w:lang w:eastAsia="en-US"/>
        </w:rPr>
      </w:pPr>
      <w:r w:rsidRPr="00831296">
        <w:t>National Society for the Prevention of Cruelty to Children</w:t>
      </w:r>
      <w:r w:rsidR="002078BC" w:rsidRPr="00831296">
        <w:rPr>
          <w:rFonts w:eastAsia="Calibri"/>
          <w:noProof/>
          <w:color w:val="auto"/>
          <w:lang w:eastAsia="en-US"/>
        </w:rPr>
        <w:t xml:space="preserve">. “Statistics on child sexual abuse.” </w:t>
      </w:r>
      <w:r w:rsidR="002078BC" w:rsidRPr="00831296">
        <w:t xml:space="preserve">Available online: </w:t>
      </w:r>
      <w:r w:rsidR="002078BC" w:rsidRPr="00831296">
        <w:rPr>
          <w:rFonts w:eastAsia="Calibri"/>
          <w:noProof/>
          <w:lang w:eastAsia="en-US"/>
        </w:rPr>
        <w:t>http://www.nspcc.org.uk/Inform/resourcesforprofessionals/sexualabuse/</w:t>
      </w:r>
      <w:r w:rsidR="00831296">
        <w:rPr>
          <w:rFonts w:eastAsia="Calibri"/>
          <w:noProof/>
          <w:lang w:eastAsia="en-US"/>
        </w:rPr>
        <w:br/>
      </w:r>
      <w:r w:rsidR="002078BC" w:rsidRPr="00831296">
        <w:rPr>
          <w:rFonts w:eastAsia="Calibri"/>
          <w:noProof/>
          <w:lang w:eastAsia="en-US"/>
        </w:rPr>
        <w:t>statistics_wda87833.html</w:t>
      </w:r>
      <w:r w:rsidR="00E71DC5">
        <w:rPr>
          <w:rFonts w:eastAsia="Calibri"/>
          <w:noProof/>
          <w:color w:val="auto"/>
          <w:lang w:eastAsia="en-US"/>
        </w:rPr>
        <w:t xml:space="preserve"> </w:t>
      </w:r>
      <w:r w:rsidR="002078BC" w:rsidRPr="00665B2E">
        <w:rPr>
          <w:rFonts w:eastAsia="Calibri"/>
          <w:noProof/>
          <w:color w:val="auto"/>
          <w:lang w:eastAsia="en-US"/>
        </w:rPr>
        <w:t>(</w:t>
      </w:r>
      <w:r w:rsidR="002078BC">
        <w:rPr>
          <w:rFonts w:eastAsia="Calibri"/>
          <w:noProof/>
          <w:color w:val="auto"/>
          <w:lang w:eastAsia="en-US"/>
        </w:rPr>
        <w:t>accessed on</w:t>
      </w:r>
      <w:r w:rsidR="002078BC" w:rsidRPr="00665B2E">
        <w:rPr>
          <w:rFonts w:eastAsia="Calibri"/>
          <w:noProof/>
          <w:color w:val="auto"/>
          <w:lang w:eastAsia="en-US"/>
        </w:rPr>
        <w:t xml:space="preserve"> </w:t>
      </w:r>
      <w:r w:rsidR="002078BC">
        <w:rPr>
          <w:rFonts w:eastAsia="Calibri"/>
          <w:noProof/>
          <w:color w:val="auto"/>
          <w:lang w:eastAsia="en-US"/>
        </w:rPr>
        <w:t>12</w:t>
      </w:r>
      <w:r w:rsidR="002078BC" w:rsidRPr="00665B2E">
        <w:rPr>
          <w:rFonts w:eastAsia="Calibri"/>
          <w:noProof/>
          <w:color w:val="auto"/>
          <w:lang w:eastAsia="en-US"/>
        </w:rPr>
        <w:t xml:space="preserve"> February 2014).</w:t>
      </w:r>
    </w:p>
    <w:p w14:paraId="61146066" w14:textId="6354745D" w:rsidR="002078BC" w:rsidRDefault="002078BC" w:rsidP="00482AEF">
      <w:pPr>
        <w:pStyle w:val="Mdeck8references"/>
        <w:ind w:left="539" w:hanging="539"/>
      </w:pPr>
      <w:r w:rsidRPr="00665B2E">
        <w:t>Kaye Wellings</w:t>
      </w:r>
      <w:r w:rsidR="005D1439">
        <w:t xml:space="preserve">. </w:t>
      </w:r>
      <w:r w:rsidRPr="00665B2E">
        <w:t>“</w:t>
      </w:r>
      <w:bookmarkStart w:id="18" w:name="OLE_LINK18"/>
      <w:r w:rsidRPr="00665B2E">
        <w:t>Sexual Behaviour in Britain: Early heterosexual experience</w:t>
      </w:r>
      <w:bookmarkEnd w:id="18"/>
      <w:r>
        <w:t>.”</w:t>
      </w:r>
      <w:r w:rsidRPr="00665B2E">
        <w:t xml:space="preserve"> </w:t>
      </w:r>
      <w:r w:rsidRPr="00665B2E">
        <w:rPr>
          <w:i/>
        </w:rPr>
        <w:t>Lancet</w:t>
      </w:r>
      <w:r>
        <w:t xml:space="preserve"> 358 (2001):</w:t>
      </w:r>
      <w:r w:rsidRPr="00665B2E">
        <w:t xml:space="preserve"> 1843</w:t>
      </w:r>
      <w:r w:rsidR="007F6D2D">
        <w:t>–</w:t>
      </w:r>
      <w:r w:rsidR="00BE51E0">
        <w:t>50.</w:t>
      </w:r>
    </w:p>
    <w:p w14:paraId="3B097E03" w14:textId="3645FE8F" w:rsidR="009D6567" w:rsidRPr="00BE51E0" w:rsidRDefault="001916F3" w:rsidP="001916F3">
      <w:pPr>
        <w:pStyle w:val="Mdeck8references"/>
      </w:pPr>
      <w:r w:rsidRPr="001916F3">
        <w:t>Centre for Research on Families and Relationships</w:t>
      </w:r>
      <w:r>
        <w:t xml:space="preserve">. “How was it for you? The quality of young people’s sexual relationships.” Available online: </w:t>
      </w:r>
      <w:hyperlink r:id="rId11" w:history="1">
        <w:r w:rsidRPr="00521CE2">
          <w:rPr>
            <w:rStyle w:val="Hyperlink"/>
          </w:rPr>
          <w:t>https://www.era.lib.ed.ac.uk/bitstream/1842/4749/1/rb%2050.pdf</w:t>
        </w:r>
      </w:hyperlink>
      <w:r>
        <w:t xml:space="preserve"> </w:t>
      </w:r>
      <w:r w:rsidRPr="001916F3">
        <w:t>l Briefing 50</w:t>
      </w:r>
      <w:r>
        <w:t xml:space="preserve">. </w:t>
      </w:r>
      <w:r w:rsidRPr="001916F3">
        <w:t xml:space="preserve">July 2010 </w:t>
      </w:r>
      <w:r w:rsidR="009D6567">
        <w:t>(accessed on 12 February 2014).</w:t>
      </w:r>
    </w:p>
    <w:p w14:paraId="65C3164C" w14:textId="4F802EF8" w:rsidR="002078BC" w:rsidRPr="00665B2E" w:rsidRDefault="00B74DB8" w:rsidP="00482AEF">
      <w:pPr>
        <w:pStyle w:val="Mdeck8references"/>
        <w:ind w:left="539" w:hanging="539"/>
        <w:rPr>
          <w:rFonts w:eastAsia="Calibri"/>
          <w:noProof/>
          <w:lang w:eastAsia="en-US"/>
        </w:rPr>
      </w:pPr>
      <w:r>
        <w:rPr>
          <w:rFonts w:eastAsia="Calibri"/>
          <w:noProof/>
          <w:lang w:eastAsia="en-US"/>
        </w:rPr>
        <w:t>Nicola Lacey, Celia Wells</w:t>
      </w:r>
      <w:r w:rsidR="002078BC" w:rsidRPr="00665B2E">
        <w:rPr>
          <w:rFonts w:eastAsia="Calibri"/>
          <w:noProof/>
          <w:lang w:eastAsia="en-US"/>
        </w:rPr>
        <w:t xml:space="preserve">, and Oliver Quick. </w:t>
      </w:r>
      <w:r w:rsidR="002078BC" w:rsidRPr="00665B2E">
        <w:rPr>
          <w:rFonts w:eastAsia="Calibri"/>
          <w:i/>
          <w:noProof/>
          <w:lang w:eastAsia="en-US"/>
        </w:rPr>
        <w:t>Reconstructing Criminal Law: Text and Materials</w:t>
      </w:r>
      <w:r w:rsidR="002078BC" w:rsidRPr="00665B2E">
        <w:rPr>
          <w:rFonts w:eastAsia="Calibri"/>
          <w:noProof/>
          <w:lang w:eastAsia="en-US"/>
        </w:rPr>
        <w:t xml:space="preserve">, 4th </w:t>
      </w:r>
      <w:r w:rsidR="002078BC">
        <w:rPr>
          <w:rFonts w:eastAsia="Calibri"/>
          <w:noProof/>
          <w:lang w:eastAsia="en-US"/>
        </w:rPr>
        <w:t>ed</w:t>
      </w:r>
      <w:r w:rsidR="002078BC" w:rsidRPr="00665B2E">
        <w:rPr>
          <w:rFonts w:eastAsia="Calibri"/>
          <w:noProof/>
          <w:lang w:eastAsia="en-US"/>
        </w:rPr>
        <w:t>. Cambridge</w:t>
      </w:r>
      <w:r w:rsidR="002078BC">
        <w:rPr>
          <w:rFonts w:eastAsia="Calibri"/>
          <w:noProof/>
          <w:lang w:eastAsia="en-US"/>
        </w:rPr>
        <w:t>,</w:t>
      </w:r>
      <w:r>
        <w:rPr>
          <w:rFonts w:eastAsia="Calibri"/>
          <w:noProof/>
          <w:lang w:eastAsia="en-US"/>
        </w:rPr>
        <w:t xml:space="preserve"> UK</w:t>
      </w:r>
      <w:r w:rsidR="002078BC">
        <w:rPr>
          <w:rFonts w:eastAsia="Calibri"/>
          <w:noProof/>
          <w:lang w:eastAsia="en-US"/>
        </w:rPr>
        <w:t>: Cambridge University Press, 2010</w:t>
      </w:r>
      <w:r w:rsidR="000C239F">
        <w:rPr>
          <w:rFonts w:eastAsia="Calibri"/>
          <w:noProof/>
          <w:lang w:eastAsia="en-US"/>
        </w:rPr>
        <w:t>.</w:t>
      </w:r>
    </w:p>
    <w:p w14:paraId="083B5B5F" w14:textId="6C2E1797"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The introductory text of the Sexual Offences Act 2003.</w:t>
      </w:r>
    </w:p>
    <w:p w14:paraId="682D055B" w14:textId="6DF1D42E"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 xml:space="preserve">Heiko Motschenbacher. </w:t>
      </w:r>
      <w:r w:rsidRPr="00665B2E">
        <w:rPr>
          <w:rFonts w:eastAsia="Calibri"/>
          <w:i/>
          <w:noProof/>
          <w:lang w:eastAsia="en-US"/>
        </w:rPr>
        <w:t>Language, Gender and Sexual Identity: Poststructuralist Perspectives</w:t>
      </w:r>
      <w:r>
        <w:rPr>
          <w:rFonts w:eastAsia="Calibri"/>
          <w:noProof/>
          <w:lang w:eastAsia="en-US"/>
        </w:rPr>
        <w:t>.</w:t>
      </w:r>
      <w:r w:rsidRPr="00665B2E">
        <w:rPr>
          <w:rFonts w:eastAsia="Calibri"/>
          <w:noProof/>
          <w:lang w:eastAsia="en-US"/>
        </w:rPr>
        <w:t xml:space="preserve"> </w:t>
      </w:r>
      <w:r w:rsidR="00B761AD" w:rsidRPr="00B761AD">
        <w:rPr>
          <w:rFonts w:eastAsia="Calibri"/>
          <w:noProof/>
          <w:lang w:eastAsia="en-US"/>
        </w:rPr>
        <w:t>Philadelphia</w:t>
      </w:r>
      <w:r w:rsidRPr="00B761AD">
        <w:rPr>
          <w:rFonts w:eastAsia="Calibri"/>
          <w:noProof/>
          <w:lang w:eastAsia="en-US"/>
        </w:rPr>
        <w:t>:</w:t>
      </w:r>
      <w:r w:rsidRPr="00DA5CC1">
        <w:rPr>
          <w:rFonts w:eastAsia="Calibri"/>
          <w:noProof/>
          <w:lang w:eastAsia="en-US"/>
        </w:rPr>
        <w:t xml:space="preserve"> </w:t>
      </w:r>
      <w:r>
        <w:rPr>
          <w:rFonts w:eastAsia="Calibri"/>
          <w:noProof/>
          <w:lang w:eastAsia="en-US"/>
        </w:rPr>
        <w:t>John Benjamins Publishing, 2010</w:t>
      </w:r>
      <w:r w:rsidR="00F5112C">
        <w:rPr>
          <w:rFonts w:eastAsia="Calibri"/>
          <w:noProof/>
          <w:lang w:eastAsia="en-US"/>
        </w:rPr>
        <w:t>.</w:t>
      </w:r>
    </w:p>
    <w:p w14:paraId="22335697" w14:textId="4ECCC7CF" w:rsidR="002078BC" w:rsidRPr="00665B2E" w:rsidRDefault="002078BC" w:rsidP="00482AEF">
      <w:pPr>
        <w:pStyle w:val="Mdeck8references"/>
        <w:ind w:left="539" w:hanging="539"/>
      </w:pPr>
      <w:r w:rsidRPr="00665B2E">
        <w:lastRenderedPageBreak/>
        <w:t>Suzanna Danuta Walters. “From Here to Queer: Radical Feminism, Postmodernism, and the Lesbian Menace (Or, Why Can</w:t>
      </w:r>
      <w:r w:rsidR="009D7733">
        <w:t>’</w:t>
      </w:r>
      <w:r>
        <w:t>t a Woman Be More Like a Fag?</w:t>
      </w:r>
      <w:r w:rsidRPr="00665B2E">
        <w:t xml:space="preserve">” </w:t>
      </w:r>
      <w:r w:rsidRPr="00665B2E">
        <w:rPr>
          <w:i/>
        </w:rPr>
        <w:t>Signs</w:t>
      </w:r>
      <w:r w:rsidRPr="00665B2E">
        <w:t xml:space="preserve"> 21</w:t>
      </w:r>
      <w:r>
        <w:t xml:space="preserve"> </w:t>
      </w:r>
      <w:r w:rsidRPr="00665B2E">
        <w:t>(1996)</w:t>
      </w:r>
      <w:r>
        <w:t>:</w:t>
      </w:r>
      <w:r w:rsidRPr="00665B2E">
        <w:t xml:space="preserve"> 830</w:t>
      </w:r>
      <w:r>
        <w:t>–69</w:t>
      </w:r>
      <w:r w:rsidRPr="00665B2E">
        <w:t>.</w:t>
      </w:r>
    </w:p>
    <w:p w14:paraId="37B8E1DC" w14:textId="2AE78D65" w:rsidR="00DA1C4A" w:rsidRPr="00DA1C4A" w:rsidRDefault="00DA1C4A" w:rsidP="00482AEF">
      <w:pPr>
        <w:pStyle w:val="Mdeck8references"/>
        <w:ind w:left="539" w:hanging="539"/>
      </w:pPr>
      <w:r>
        <w:rPr>
          <w:rFonts w:eastAsia="Calibri"/>
          <w:noProof/>
          <w:lang w:eastAsia="en-US"/>
        </w:rPr>
        <w:t>K</w:t>
      </w:r>
      <w:r w:rsidR="002078BC" w:rsidRPr="0031222C">
        <w:rPr>
          <w:rFonts w:eastAsia="Calibri"/>
          <w:noProof/>
          <w:lang w:eastAsia="en-US"/>
        </w:rPr>
        <w:t xml:space="preserve">atherine Bartlett. “Feminist Legal Methods.” </w:t>
      </w:r>
      <w:r w:rsidR="002078BC" w:rsidRPr="0031222C">
        <w:rPr>
          <w:rFonts w:eastAsia="Calibri"/>
          <w:i/>
          <w:noProof/>
          <w:lang w:eastAsia="en-US"/>
        </w:rPr>
        <w:t>Harvard Law Review</w:t>
      </w:r>
      <w:r w:rsidR="002078BC" w:rsidRPr="0031222C">
        <w:rPr>
          <w:rFonts w:eastAsia="Calibri"/>
          <w:noProof/>
          <w:lang w:eastAsia="en-US"/>
        </w:rPr>
        <w:t xml:space="preserve"> 103 (1990): </w:t>
      </w:r>
      <w:r w:rsidR="00AE35AA">
        <w:rPr>
          <w:rFonts w:eastAsia="Calibri"/>
          <w:noProof/>
          <w:lang w:eastAsia="en-US"/>
        </w:rPr>
        <w:t>829</w:t>
      </w:r>
      <w:r w:rsidR="000F0006">
        <w:rPr>
          <w:rFonts w:eastAsia="Calibri"/>
          <w:noProof/>
          <w:lang w:eastAsia="en-US"/>
        </w:rPr>
        <w:t>–</w:t>
      </w:r>
      <w:r w:rsidR="00AE35AA">
        <w:rPr>
          <w:rFonts w:eastAsia="Calibri"/>
          <w:noProof/>
          <w:lang w:eastAsia="en-US"/>
        </w:rPr>
        <w:t>88</w:t>
      </w:r>
      <w:r w:rsidR="002078BC" w:rsidRPr="0031222C">
        <w:rPr>
          <w:rFonts w:eastAsia="Calibri"/>
          <w:noProof/>
          <w:lang w:eastAsia="en-US"/>
        </w:rPr>
        <w:t>.</w:t>
      </w:r>
    </w:p>
    <w:p w14:paraId="2A0DFE7D" w14:textId="4B4BD7C1" w:rsidR="00DA1C4A" w:rsidRPr="00DA1C4A" w:rsidRDefault="002078BC" w:rsidP="00482AEF">
      <w:pPr>
        <w:pStyle w:val="Mdeck8references"/>
        <w:ind w:left="539" w:hanging="539"/>
      </w:pPr>
      <w:r w:rsidRPr="00DA1C4A">
        <w:rPr>
          <w:rFonts w:eastAsia="Calibri"/>
          <w:noProof/>
          <w:lang w:eastAsia="en-US"/>
        </w:rPr>
        <w:t>Maria C. Lugones, and Elizabeth V. Spelman</w:t>
      </w:r>
      <w:r w:rsidRPr="0031222C">
        <w:rPr>
          <w:rFonts w:eastAsia="Calibri"/>
          <w:noProof/>
          <w:lang w:eastAsia="en-US"/>
        </w:rPr>
        <w:t>. “</w:t>
      </w:r>
      <w:bookmarkStart w:id="19" w:name="OLE_LINK21"/>
      <w:bookmarkStart w:id="20" w:name="OLE_LINK22"/>
      <w:r w:rsidRPr="0031222C">
        <w:rPr>
          <w:rFonts w:eastAsia="Calibri"/>
          <w:noProof/>
          <w:lang w:eastAsia="en-US"/>
        </w:rPr>
        <w:t xml:space="preserve">Have we got a theory for you! Feminist theory, cultural imperialism and the demand for </w:t>
      </w:r>
      <w:r w:rsidR="000F0006">
        <w:rPr>
          <w:rFonts w:eastAsia="Calibri"/>
          <w:noProof/>
          <w:lang w:eastAsia="en-US"/>
        </w:rPr>
        <w:t>‘</w:t>
      </w:r>
      <w:r w:rsidRPr="0031222C">
        <w:rPr>
          <w:rFonts w:eastAsia="Calibri"/>
          <w:noProof/>
          <w:lang w:eastAsia="en-US"/>
        </w:rPr>
        <w:t>the woman</w:t>
      </w:r>
      <w:r w:rsidR="00DA1C4A">
        <w:rPr>
          <w:rFonts w:eastAsia="Calibri"/>
          <w:noProof/>
          <w:lang w:eastAsia="en-US"/>
        </w:rPr>
        <w:t>’</w:t>
      </w:r>
      <w:r w:rsidRPr="0031222C">
        <w:rPr>
          <w:rFonts w:eastAsia="Calibri"/>
          <w:noProof/>
          <w:lang w:eastAsia="en-US"/>
        </w:rPr>
        <w:t>s voice</w:t>
      </w:r>
      <w:bookmarkEnd w:id="19"/>
      <w:bookmarkEnd w:id="20"/>
      <w:r w:rsidR="000F0006">
        <w:rPr>
          <w:rFonts w:eastAsia="Calibri"/>
          <w:noProof/>
          <w:lang w:eastAsia="en-US"/>
        </w:rPr>
        <w:t>’</w:t>
      </w:r>
      <w:r w:rsidRPr="0031222C">
        <w:rPr>
          <w:rFonts w:eastAsia="Calibri"/>
          <w:noProof/>
          <w:lang w:eastAsia="en-US"/>
        </w:rPr>
        <w:t xml:space="preserve">.” </w:t>
      </w:r>
      <w:r w:rsidRPr="0031222C">
        <w:rPr>
          <w:rFonts w:eastAsia="Calibri"/>
          <w:i/>
          <w:noProof/>
          <w:lang w:eastAsia="en-US"/>
        </w:rPr>
        <w:t>Women</w:t>
      </w:r>
      <w:r w:rsidR="00DA1C4A">
        <w:rPr>
          <w:rFonts w:eastAsia="Calibri"/>
          <w:i/>
          <w:noProof/>
          <w:lang w:eastAsia="en-US"/>
        </w:rPr>
        <w:t>’</w:t>
      </w:r>
      <w:r w:rsidRPr="0031222C">
        <w:rPr>
          <w:rFonts w:eastAsia="Calibri"/>
          <w:i/>
          <w:noProof/>
          <w:lang w:eastAsia="en-US"/>
        </w:rPr>
        <w:t>s Studies International Forum</w:t>
      </w:r>
      <w:r w:rsidRPr="0031222C">
        <w:rPr>
          <w:rFonts w:eastAsia="Calibri"/>
          <w:noProof/>
          <w:lang w:eastAsia="en-US"/>
        </w:rPr>
        <w:t xml:space="preserve"> 6 (1983): </w:t>
      </w:r>
      <w:r w:rsidR="00DA1C4A" w:rsidRPr="00DA1C4A">
        <w:rPr>
          <w:rFonts w:eastAsia="Calibri"/>
          <w:noProof/>
          <w:lang w:eastAsia="en-US"/>
        </w:rPr>
        <w:t>573</w:t>
      </w:r>
      <w:r w:rsidR="000F0006">
        <w:rPr>
          <w:rFonts w:eastAsia="Calibri"/>
          <w:noProof/>
          <w:lang w:eastAsia="en-US"/>
        </w:rPr>
        <w:t>–</w:t>
      </w:r>
      <w:r w:rsidR="00DA1C4A" w:rsidRPr="00DA1C4A">
        <w:rPr>
          <w:rFonts w:eastAsia="Calibri"/>
          <w:noProof/>
          <w:lang w:eastAsia="en-US"/>
        </w:rPr>
        <w:t>81</w:t>
      </w:r>
      <w:r w:rsidR="00DA1C4A">
        <w:rPr>
          <w:rFonts w:eastAsia="Calibri"/>
          <w:noProof/>
          <w:lang w:eastAsia="en-US"/>
        </w:rPr>
        <w:t>.</w:t>
      </w:r>
      <w:r w:rsidRPr="0031222C">
        <w:rPr>
          <w:rFonts w:eastAsia="Calibri"/>
          <w:noProof/>
          <w:lang w:eastAsia="en-US"/>
        </w:rPr>
        <w:t xml:space="preserve"> </w:t>
      </w:r>
    </w:p>
    <w:p w14:paraId="009D5E86" w14:textId="503A60AC" w:rsidR="00DA1C4A" w:rsidRPr="00C950E3" w:rsidRDefault="002078BC" w:rsidP="00482AEF">
      <w:pPr>
        <w:pStyle w:val="Mdeck8references"/>
        <w:ind w:left="539" w:hanging="539"/>
      </w:pPr>
      <w:r w:rsidRPr="00C950E3">
        <w:rPr>
          <w:rFonts w:eastAsia="Calibri"/>
          <w:noProof/>
          <w:lang w:eastAsia="en-US"/>
        </w:rPr>
        <w:t xml:space="preserve">Martha Nussbaum. </w:t>
      </w:r>
      <w:r w:rsidRPr="00C950E3">
        <w:rPr>
          <w:rFonts w:eastAsia="Calibri"/>
          <w:i/>
          <w:noProof/>
          <w:lang w:eastAsia="en-US"/>
        </w:rPr>
        <w:t>Sex and Social Justice.</w:t>
      </w:r>
      <w:r w:rsidRPr="00C950E3">
        <w:rPr>
          <w:rFonts w:eastAsia="Calibri"/>
          <w:noProof/>
          <w:lang w:eastAsia="en-US"/>
        </w:rPr>
        <w:t xml:space="preserve"> </w:t>
      </w:r>
      <w:r w:rsidR="00E65BAF" w:rsidRPr="00C950E3">
        <w:rPr>
          <w:rFonts w:eastAsia="Calibri"/>
          <w:noProof/>
          <w:color w:val="auto"/>
          <w:szCs w:val="24"/>
          <w:lang w:eastAsia="en-US"/>
        </w:rPr>
        <w:t>New York</w:t>
      </w:r>
      <w:r w:rsidRPr="00C950E3">
        <w:rPr>
          <w:rFonts w:eastAsia="Calibri"/>
          <w:noProof/>
          <w:lang w:eastAsia="en-US"/>
        </w:rPr>
        <w:t>:</w:t>
      </w:r>
      <w:r w:rsidR="00DA1C4A" w:rsidRPr="00C950E3">
        <w:rPr>
          <w:rFonts w:eastAsia="Calibri"/>
          <w:noProof/>
          <w:lang w:eastAsia="en-US"/>
        </w:rPr>
        <w:t xml:space="preserve"> Oxford University Press, 1999.</w:t>
      </w:r>
    </w:p>
    <w:p w14:paraId="4205EE99" w14:textId="6F843C67" w:rsidR="00DA1C4A" w:rsidRPr="00C950E3" w:rsidRDefault="002078BC" w:rsidP="00482AEF">
      <w:pPr>
        <w:pStyle w:val="Mdeck8references"/>
        <w:ind w:left="539" w:hanging="539"/>
      </w:pPr>
      <w:r w:rsidRPr="00C950E3">
        <w:rPr>
          <w:rFonts w:eastAsia="Calibri"/>
          <w:noProof/>
          <w:lang w:eastAsia="en-US"/>
        </w:rPr>
        <w:t xml:space="preserve">Ann Fergusson. “Sex War: The Debate between Radical and Liberarian Feminits.” </w:t>
      </w:r>
      <w:r w:rsidRPr="00C950E3">
        <w:rPr>
          <w:rFonts w:eastAsia="Calibri"/>
          <w:i/>
          <w:noProof/>
          <w:lang w:eastAsia="en-US"/>
        </w:rPr>
        <w:t>Signs</w:t>
      </w:r>
      <w:r w:rsidRPr="00C950E3">
        <w:rPr>
          <w:rFonts w:eastAsia="Calibri"/>
          <w:noProof/>
          <w:lang w:eastAsia="en-US"/>
        </w:rPr>
        <w:t xml:space="preserve"> 10 (1984): </w:t>
      </w:r>
      <w:r w:rsidR="003752C9" w:rsidRPr="00C950E3">
        <w:rPr>
          <w:rFonts w:eastAsia="Calibri"/>
          <w:noProof/>
          <w:lang w:eastAsia="en-US"/>
        </w:rPr>
        <w:t>106</w:t>
      </w:r>
      <w:r w:rsidR="00290587" w:rsidRPr="00C950E3">
        <w:rPr>
          <w:rFonts w:eastAsia="Calibri"/>
          <w:noProof/>
          <w:lang w:eastAsia="en-US"/>
        </w:rPr>
        <w:t>–</w:t>
      </w:r>
      <w:r w:rsidR="003752C9" w:rsidRPr="00C950E3">
        <w:rPr>
          <w:rFonts w:eastAsia="Calibri"/>
          <w:noProof/>
          <w:lang w:eastAsia="en-US"/>
        </w:rPr>
        <w:t>12</w:t>
      </w:r>
      <w:r w:rsidR="00DA1C4A" w:rsidRPr="00C950E3">
        <w:rPr>
          <w:rFonts w:eastAsia="Calibri"/>
          <w:noProof/>
          <w:lang w:eastAsia="en-US"/>
        </w:rPr>
        <w:t>.</w:t>
      </w:r>
    </w:p>
    <w:p w14:paraId="483FE43B" w14:textId="77777777" w:rsidR="00C950E3" w:rsidRPr="00C950E3" w:rsidRDefault="002078BC" w:rsidP="00482AEF">
      <w:pPr>
        <w:pStyle w:val="Mdeck8references"/>
        <w:ind w:left="539" w:hanging="539"/>
      </w:pPr>
      <w:r w:rsidRPr="00C950E3">
        <w:rPr>
          <w:rFonts w:eastAsia="Calibri"/>
          <w:noProof/>
          <w:lang w:eastAsia="en-US"/>
        </w:rPr>
        <w:t>Sojourner Truth. “Ain</w:t>
      </w:r>
      <w:r w:rsidR="00290587" w:rsidRPr="00C950E3">
        <w:rPr>
          <w:rFonts w:eastAsia="Calibri"/>
          <w:noProof/>
          <w:lang w:eastAsia="en-US"/>
        </w:rPr>
        <w:t>’</w:t>
      </w:r>
      <w:r w:rsidRPr="00C950E3">
        <w:rPr>
          <w:rFonts w:eastAsia="Calibri"/>
          <w:noProof/>
          <w:lang w:eastAsia="en-US"/>
        </w:rPr>
        <w:t>t I a Woman?</w:t>
      </w:r>
      <w:r w:rsidR="00290587" w:rsidRPr="00C950E3">
        <w:rPr>
          <w:rFonts w:eastAsia="Calibri"/>
          <w:noProof/>
          <w:lang w:eastAsia="en-US"/>
        </w:rPr>
        <w:t>”</w:t>
      </w:r>
      <w:r w:rsidRPr="00C950E3">
        <w:rPr>
          <w:rFonts w:eastAsia="Calibri"/>
          <w:noProof/>
          <w:lang w:eastAsia="en-US"/>
        </w:rPr>
        <w:t xml:space="preserve"> Delivered at the Woman</w:t>
      </w:r>
      <w:r w:rsidR="00FF6040" w:rsidRPr="00C950E3">
        <w:rPr>
          <w:rFonts w:eastAsia="Calibri"/>
          <w:noProof/>
          <w:lang w:eastAsia="en-US"/>
        </w:rPr>
        <w:t>’</w:t>
      </w:r>
      <w:r w:rsidRPr="00C950E3">
        <w:rPr>
          <w:rFonts w:eastAsia="Calibri"/>
          <w:noProof/>
          <w:lang w:eastAsia="en-US"/>
        </w:rPr>
        <w:t xml:space="preserve">s Rights Convention, </w:t>
      </w:r>
      <w:r w:rsidR="000E7E9C" w:rsidRPr="00C950E3">
        <w:rPr>
          <w:rFonts w:eastAsia="Calibri"/>
          <w:noProof/>
          <w:lang w:eastAsia="en-US"/>
        </w:rPr>
        <w:t>Akron</w:t>
      </w:r>
      <w:r w:rsidRPr="00C950E3">
        <w:rPr>
          <w:rFonts w:eastAsia="Calibri"/>
          <w:noProof/>
          <w:lang w:eastAsia="en-US"/>
        </w:rPr>
        <w:t xml:space="preserve">, Ohio, USA, </w:t>
      </w:r>
      <w:r w:rsidR="000E7E9C" w:rsidRPr="00C950E3">
        <w:rPr>
          <w:rFonts w:eastAsia="Calibri"/>
          <w:noProof/>
          <w:lang w:eastAsia="en-US"/>
        </w:rPr>
        <w:t xml:space="preserve">29 May </w:t>
      </w:r>
      <w:r w:rsidR="00DA1C4A" w:rsidRPr="00C950E3">
        <w:rPr>
          <w:rFonts w:eastAsia="Calibri"/>
          <w:noProof/>
          <w:lang w:eastAsia="en-US"/>
        </w:rPr>
        <w:t>1851.</w:t>
      </w:r>
    </w:p>
    <w:p w14:paraId="3819F8C6" w14:textId="562398C1" w:rsidR="00C950E3" w:rsidRPr="00C950E3" w:rsidRDefault="002078BC" w:rsidP="00482AEF">
      <w:pPr>
        <w:pStyle w:val="Mdeck8references"/>
        <w:ind w:left="539" w:hanging="539"/>
      </w:pPr>
      <w:r w:rsidRPr="00C950E3">
        <w:rPr>
          <w:rFonts w:eastAsia="Calibri"/>
          <w:noProof/>
          <w:lang w:eastAsia="en-US"/>
        </w:rPr>
        <w:t xml:space="preserve">Audre Lorde. </w:t>
      </w:r>
      <w:r w:rsidRPr="00C950E3">
        <w:rPr>
          <w:rFonts w:eastAsia="Calibri"/>
          <w:i/>
          <w:noProof/>
          <w:lang w:eastAsia="en-US"/>
        </w:rPr>
        <w:t>Sister Outsider</w:t>
      </w:r>
      <w:r w:rsidRPr="00C950E3">
        <w:rPr>
          <w:rFonts w:eastAsia="Calibri"/>
          <w:noProof/>
          <w:lang w:eastAsia="en-US"/>
        </w:rPr>
        <w:t>,</w:t>
      </w:r>
      <w:r w:rsidRPr="00C950E3">
        <w:rPr>
          <w:rFonts w:eastAsia="Calibri"/>
          <w:i/>
          <w:noProof/>
          <w:lang w:eastAsia="en-US"/>
        </w:rPr>
        <w:t xml:space="preserve"> </w:t>
      </w:r>
      <w:r w:rsidR="00EB2063" w:rsidRPr="00C950E3">
        <w:rPr>
          <w:rFonts w:eastAsia="Calibri"/>
          <w:noProof/>
          <w:lang w:eastAsia="en-US"/>
        </w:rPr>
        <w:t>r</w:t>
      </w:r>
      <w:r w:rsidRPr="00C950E3">
        <w:rPr>
          <w:rFonts w:eastAsia="Calibri"/>
          <w:noProof/>
          <w:lang w:eastAsia="en-US"/>
        </w:rPr>
        <w:t xml:space="preserve">eprint ed. </w:t>
      </w:r>
      <w:r w:rsidR="000E7E9C" w:rsidRPr="00C950E3">
        <w:rPr>
          <w:rFonts w:eastAsia="Calibri"/>
          <w:noProof/>
          <w:lang w:eastAsia="en-US"/>
        </w:rPr>
        <w:t xml:space="preserve">Berkeley: </w:t>
      </w:r>
      <w:r w:rsidR="00C950E3" w:rsidRPr="00C950E3">
        <w:rPr>
          <w:rFonts w:eastAsia="Calibri"/>
          <w:noProof/>
          <w:lang w:eastAsia="en-US"/>
        </w:rPr>
        <w:t>Ten Speed Press, 2013.</w:t>
      </w:r>
    </w:p>
    <w:p w14:paraId="25217FC7" w14:textId="576982F1" w:rsidR="002078BC" w:rsidRPr="00C950E3" w:rsidRDefault="002078BC" w:rsidP="00482AEF">
      <w:pPr>
        <w:pStyle w:val="Mdeck8references"/>
        <w:ind w:left="539" w:hanging="539"/>
      </w:pPr>
      <w:r w:rsidRPr="00C950E3">
        <w:rPr>
          <w:rFonts w:eastAsia="Calibri"/>
          <w:noProof/>
          <w:lang w:eastAsia="en-US"/>
        </w:rPr>
        <w:t xml:space="preserve">Kate Millett. </w:t>
      </w:r>
      <w:r w:rsidRPr="00C950E3">
        <w:rPr>
          <w:rFonts w:eastAsia="Calibri"/>
          <w:i/>
          <w:noProof/>
          <w:lang w:eastAsia="en-US"/>
        </w:rPr>
        <w:t>Sexual Politics</w:t>
      </w:r>
      <w:r w:rsidRPr="00C950E3">
        <w:rPr>
          <w:rFonts w:eastAsia="Calibri"/>
          <w:noProof/>
          <w:lang w:eastAsia="en-US"/>
        </w:rPr>
        <w:t xml:space="preserve">. </w:t>
      </w:r>
      <w:r w:rsidR="005C41E6" w:rsidRPr="00C950E3">
        <w:rPr>
          <w:rFonts w:eastAsia="Calibri"/>
          <w:noProof/>
          <w:lang w:eastAsia="en-US"/>
        </w:rPr>
        <w:t>London</w:t>
      </w:r>
      <w:r w:rsidRPr="00C950E3">
        <w:rPr>
          <w:rFonts w:eastAsia="Calibri"/>
          <w:noProof/>
          <w:lang w:eastAsia="en-US"/>
        </w:rPr>
        <w:t>: Virago, 1977.</w:t>
      </w:r>
    </w:p>
    <w:p w14:paraId="112FC89E" w14:textId="3C006891" w:rsidR="002078BC" w:rsidRPr="00665B2E" w:rsidRDefault="002078BC" w:rsidP="00482AEF">
      <w:pPr>
        <w:pStyle w:val="Mdeck8references"/>
        <w:ind w:left="539" w:hanging="539"/>
      </w:pPr>
      <w:r w:rsidRPr="00C950E3">
        <w:t>See for example</w:t>
      </w:r>
      <w:r>
        <w:t xml:space="preserve"> Susan Brownmiller.</w:t>
      </w:r>
      <w:r w:rsidRPr="00665B2E">
        <w:t xml:space="preserve"> </w:t>
      </w:r>
      <w:r w:rsidRPr="00665B2E">
        <w:rPr>
          <w:i/>
        </w:rPr>
        <w:t>Against</w:t>
      </w:r>
      <w:r>
        <w:rPr>
          <w:i/>
        </w:rPr>
        <w:t xml:space="preserve"> Our Will: Men, Women, and Rape.</w:t>
      </w:r>
      <w:r w:rsidRPr="00665B2E">
        <w:t xml:space="preserve"> </w:t>
      </w:r>
      <w:r w:rsidR="00326135" w:rsidRPr="00326135">
        <w:t>New York:</w:t>
      </w:r>
      <w:r>
        <w:t xml:space="preserve"> Bantam, 1975</w:t>
      </w:r>
      <w:r w:rsidRPr="00665B2E">
        <w:t>.</w:t>
      </w:r>
    </w:p>
    <w:p w14:paraId="5ABA4C15" w14:textId="08622233" w:rsidR="002078BC" w:rsidRPr="0031222C" w:rsidRDefault="002078BC" w:rsidP="00482AEF">
      <w:pPr>
        <w:pStyle w:val="Mdeck8references"/>
        <w:ind w:left="539" w:hanging="539"/>
      </w:pPr>
      <w:r w:rsidRPr="0031222C">
        <w:t xml:space="preserve">See for example Linda Alcoff. “Cultural Feminism versus Post-Structuralism: The Identity Crisis in Feminist Theory.” </w:t>
      </w:r>
      <w:r w:rsidRPr="0031222C">
        <w:rPr>
          <w:i/>
        </w:rPr>
        <w:t>Signs</w:t>
      </w:r>
      <w:r w:rsidRPr="0031222C">
        <w:t xml:space="preserve"> 13 (1998): </w:t>
      </w:r>
      <w:r w:rsidR="003752C9" w:rsidRPr="003752C9">
        <w:rPr>
          <w:szCs w:val="24"/>
        </w:rPr>
        <w:t>405</w:t>
      </w:r>
      <w:r w:rsidR="00EB2063">
        <w:rPr>
          <w:szCs w:val="24"/>
        </w:rPr>
        <w:t>–</w:t>
      </w:r>
      <w:r w:rsidR="003752C9" w:rsidRPr="003752C9">
        <w:rPr>
          <w:szCs w:val="24"/>
        </w:rPr>
        <w:t>36</w:t>
      </w:r>
      <w:r w:rsidR="00EB2063">
        <w:rPr>
          <w:szCs w:val="24"/>
        </w:rPr>
        <w:t>.</w:t>
      </w:r>
    </w:p>
    <w:p w14:paraId="494FA618" w14:textId="7A7CFF4D" w:rsidR="002078BC" w:rsidRPr="0031222C" w:rsidRDefault="002078BC" w:rsidP="00482AEF">
      <w:pPr>
        <w:pStyle w:val="Mdeck8references"/>
        <w:ind w:left="539" w:hanging="539"/>
      </w:pPr>
      <w:r w:rsidRPr="0031222C">
        <w:t xml:space="preserve">One of the first women to elucidate this was Angela Davis in </w:t>
      </w:r>
      <w:r w:rsidRPr="0031222C">
        <w:rPr>
          <w:i/>
        </w:rPr>
        <w:t>Women, Race, and Class</w:t>
      </w:r>
      <w:r w:rsidRPr="0031222C">
        <w:t xml:space="preserve">. </w:t>
      </w:r>
      <w:r w:rsidR="00173EE0" w:rsidRPr="00173EE0">
        <w:rPr>
          <w:szCs w:val="24"/>
        </w:rPr>
        <w:t>London</w:t>
      </w:r>
      <w:r w:rsidRPr="0031222C">
        <w:t>: Vintage Books, 1983.</w:t>
      </w:r>
    </w:p>
    <w:p w14:paraId="18FF3589" w14:textId="0B703A9B" w:rsidR="002078BC" w:rsidRPr="0031222C" w:rsidRDefault="002078BC" w:rsidP="00482AEF">
      <w:pPr>
        <w:pStyle w:val="Mdeck8references"/>
        <w:ind w:left="539" w:hanging="539"/>
      </w:pPr>
      <w:r w:rsidRPr="0031222C">
        <w:rPr>
          <w:szCs w:val="24"/>
        </w:rPr>
        <w:t xml:space="preserve">Adrienne Rich. “Compulsory Heterosexuality and Lesbian Existence.” In </w:t>
      </w:r>
      <w:r w:rsidRPr="0031222C">
        <w:rPr>
          <w:i/>
          <w:szCs w:val="24"/>
        </w:rPr>
        <w:t>Blood, Bread, and Poetry</w:t>
      </w:r>
      <w:r w:rsidRPr="0031222C">
        <w:rPr>
          <w:szCs w:val="24"/>
        </w:rPr>
        <w:t xml:space="preserve">, </w:t>
      </w:r>
      <w:r w:rsidR="00EB2063">
        <w:rPr>
          <w:szCs w:val="24"/>
        </w:rPr>
        <w:t>r</w:t>
      </w:r>
      <w:r w:rsidRPr="0031222C">
        <w:rPr>
          <w:szCs w:val="24"/>
        </w:rPr>
        <w:t>eissue edition.</w:t>
      </w:r>
      <w:r w:rsidRPr="000E6CFE">
        <w:rPr>
          <w:szCs w:val="24"/>
        </w:rPr>
        <w:t xml:space="preserve"> </w:t>
      </w:r>
      <w:r w:rsidR="000E6CFE" w:rsidRPr="000E6CFE">
        <w:rPr>
          <w:szCs w:val="24"/>
        </w:rPr>
        <w:t>London</w:t>
      </w:r>
      <w:r w:rsidR="000E6CFE">
        <w:rPr>
          <w:szCs w:val="24"/>
        </w:rPr>
        <w:t>: W. W. Norton &amp; Company, 1994</w:t>
      </w:r>
      <w:r w:rsidRPr="0031222C">
        <w:rPr>
          <w:szCs w:val="24"/>
        </w:rPr>
        <w:t xml:space="preserve">. </w:t>
      </w:r>
    </w:p>
    <w:p w14:paraId="58B8A02B" w14:textId="69DC821A" w:rsidR="002078BC" w:rsidRPr="0031222C" w:rsidRDefault="002078BC" w:rsidP="00482AEF">
      <w:pPr>
        <w:pStyle w:val="Mdeck8references"/>
        <w:ind w:left="539" w:hanging="539"/>
      </w:pPr>
      <w:r w:rsidRPr="0031222C">
        <w:rPr>
          <w:rFonts w:eastAsia="Calibri"/>
          <w:noProof/>
          <w:lang w:eastAsia="en-US"/>
        </w:rPr>
        <w:t xml:space="preserve">Brenda Cossman. “Continental Drift: Queer, Feminism, Postcolonial.” </w:t>
      </w:r>
      <w:r w:rsidRPr="0031222C">
        <w:rPr>
          <w:rFonts w:eastAsia="Calibri"/>
          <w:i/>
          <w:noProof/>
          <w:lang w:eastAsia="en-US"/>
        </w:rPr>
        <w:t>Jindal Global Law Review</w:t>
      </w:r>
      <w:r w:rsidRPr="0031222C">
        <w:rPr>
          <w:rFonts w:eastAsia="Calibri"/>
          <w:noProof/>
          <w:lang w:eastAsia="en-US"/>
        </w:rPr>
        <w:t xml:space="preserve"> 4 (2012): </w:t>
      </w:r>
      <w:r w:rsidR="00AC4560" w:rsidRPr="00AC4560">
        <w:rPr>
          <w:rFonts w:eastAsia="Calibri"/>
          <w:noProof/>
          <w:color w:val="auto"/>
          <w:szCs w:val="24"/>
          <w:lang w:eastAsia="en-US"/>
        </w:rPr>
        <w:t>17</w:t>
      </w:r>
      <w:r w:rsidR="00EB2063">
        <w:rPr>
          <w:rFonts w:eastAsia="Calibri"/>
          <w:noProof/>
          <w:color w:val="auto"/>
          <w:szCs w:val="24"/>
          <w:lang w:eastAsia="en-US"/>
        </w:rPr>
        <w:t>–</w:t>
      </w:r>
      <w:r w:rsidR="00AC4560" w:rsidRPr="00AC4560">
        <w:rPr>
          <w:rFonts w:eastAsia="Calibri"/>
          <w:noProof/>
          <w:color w:val="auto"/>
          <w:szCs w:val="24"/>
          <w:lang w:eastAsia="en-US"/>
        </w:rPr>
        <w:t>35</w:t>
      </w:r>
      <w:r w:rsidR="00077400">
        <w:rPr>
          <w:rFonts w:eastAsia="Calibri"/>
          <w:noProof/>
          <w:color w:val="auto"/>
          <w:szCs w:val="24"/>
          <w:lang w:eastAsia="en-US"/>
        </w:rPr>
        <w:t>.</w:t>
      </w:r>
    </w:p>
    <w:p w14:paraId="3DE57221" w14:textId="4B7807F8" w:rsidR="002078BC" w:rsidRPr="00665B2E" w:rsidRDefault="002078BC" w:rsidP="00482AEF">
      <w:pPr>
        <w:pStyle w:val="Mdeck8references"/>
        <w:ind w:left="539" w:hanging="539"/>
      </w:pPr>
      <w:r w:rsidRPr="00665B2E">
        <w:t>Arlene Stein</w:t>
      </w:r>
      <w:r>
        <w:t>.</w:t>
      </w:r>
      <w:r w:rsidRPr="00665B2E">
        <w:t xml:space="preserve"> “Sisters and Queers: The Decentering of Lesbian Feminism.” </w:t>
      </w:r>
      <w:r w:rsidRPr="00665B2E">
        <w:rPr>
          <w:i/>
        </w:rPr>
        <w:t>Socialist Review</w:t>
      </w:r>
      <w:r>
        <w:t xml:space="preserve"> 22</w:t>
      </w:r>
      <w:r w:rsidRPr="00665B2E">
        <w:t xml:space="preserve"> (1992)</w:t>
      </w:r>
      <w:r w:rsidR="00EB2063">
        <w:t>:</w:t>
      </w:r>
      <w:r w:rsidRPr="00665B2E">
        <w:t xml:space="preserve"> 33</w:t>
      </w:r>
      <w:r>
        <w:t>–</w:t>
      </w:r>
      <w:r w:rsidRPr="00665B2E">
        <w:t>55.</w:t>
      </w:r>
    </w:p>
    <w:p w14:paraId="20D0DACB" w14:textId="3E110E08" w:rsidR="002078BC" w:rsidRPr="0031222C" w:rsidRDefault="002078BC" w:rsidP="00482AEF">
      <w:pPr>
        <w:pStyle w:val="Mdeck8references"/>
        <w:ind w:left="539" w:hanging="539"/>
      </w:pPr>
      <w:r w:rsidRPr="0031222C">
        <w:rPr>
          <w:rFonts w:eastAsia="Calibri"/>
          <w:noProof/>
          <w:lang w:eastAsia="en-US"/>
        </w:rPr>
        <w:t xml:space="preserve">See for example, Robert Leckley, and Kim Brookes, eds. </w:t>
      </w:r>
      <w:r w:rsidRPr="0031222C">
        <w:rPr>
          <w:rFonts w:eastAsia="Calibri"/>
          <w:i/>
          <w:noProof/>
          <w:lang w:eastAsia="en-US"/>
        </w:rPr>
        <w:t>Queer Theory: Law, Culture, Empire</w:t>
      </w:r>
      <w:r w:rsidRPr="0031222C">
        <w:rPr>
          <w:rFonts w:eastAsia="Calibri"/>
          <w:noProof/>
          <w:lang w:eastAsia="en-US"/>
        </w:rPr>
        <w:t xml:space="preserve">. </w:t>
      </w:r>
      <w:r w:rsidR="0047688A" w:rsidRPr="0047688A">
        <w:rPr>
          <w:rFonts w:eastAsia="Calibri"/>
          <w:noProof/>
          <w:color w:val="auto"/>
          <w:szCs w:val="24"/>
          <w:lang w:eastAsia="en-US"/>
        </w:rPr>
        <w:t>Abingdon</w:t>
      </w:r>
      <w:r w:rsidRPr="0031222C">
        <w:t>:</w:t>
      </w:r>
      <w:r w:rsidRPr="0031222C">
        <w:rPr>
          <w:rFonts w:eastAsia="Calibri"/>
          <w:noProof/>
          <w:lang w:eastAsia="en-US"/>
        </w:rPr>
        <w:t xml:space="preserve"> Routledge, 2011</w:t>
      </w:r>
      <w:r w:rsidR="00FD22F3">
        <w:rPr>
          <w:rFonts w:eastAsia="Calibri"/>
          <w:noProof/>
          <w:lang w:eastAsia="en-US"/>
        </w:rPr>
        <w:t>.</w:t>
      </w:r>
    </w:p>
    <w:p w14:paraId="076666F4" w14:textId="18C718A8"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Ratna Kapur</w:t>
      </w:r>
      <w:r>
        <w:rPr>
          <w:rFonts w:eastAsia="Calibri"/>
          <w:noProof/>
          <w:lang w:eastAsia="en-US"/>
        </w:rPr>
        <w:t>.</w:t>
      </w:r>
      <w:r w:rsidRPr="00665B2E">
        <w:rPr>
          <w:rFonts w:eastAsia="Calibri"/>
          <w:noProof/>
          <w:lang w:eastAsia="en-US"/>
        </w:rPr>
        <w:t xml:space="preserve"> “De-radicalsaing the rights claims of sexual subalterns through </w:t>
      </w:r>
      <w:r w:rsidR="00EB2063">
        <w:rPr>
          <w:rFonts w:eastAsia="Calibri"/>
          <w:noProof/>
          <w:lang w:eastAsia="en-US"/>
        </w:rPr>
        <w:t>‘</w:t>
      </w:r>
      <w:r w:rsidRPr="00665B2E">
        <w:rPr>
          <w:rFonts w:eastAsia="Calibri"/>
          <w:noProof/>
          <w:lang w:eastAsia="en-US"/>
        </w:rPr>
        <w:t>tolerance</w:t>
      </w:r>
      <w:r w:rsidR="00EB2063">
        <w:rPr>
          <w:rFonts w:eastAsia="Calibri"/>
          <w:noProof/>
          <w:lang w:eastAsia="en-US"/>
        </w:rPr>
        <w:t>’</w:t>
      </w:r>
      <w:r>
        <w:rPr>
          <w:rFonts w:eastAsia="Calibri"/>
          <w:noProof/>
          <w:lang w:eastAsia="en-US"/>
        </w:rPr>
        <w:t>.”</w:t>
      </w:r>
      <w:r w:rsidRPr="00665B2E">
        <w:rPr>
          <w:rFonts w:eastAsia="Calibri"/>
          <w:noProof/>
          <w:lang w:eastAsia="en-US"/>
        </w:rPr>
        <w:t xml:space="preserve"> </w:t>
      </w:r>
      <w:r w:rsidR="00EB2063">
        <w:rPr>
          <w:rFonts w:eastAsia="Calibri"/>
          <w:noProof/>
          <w:lang w:eastAsia="en-US"/>
        </w:rPr>
        <w:br/>
      </w:r>
      <w:r w:rsidRPr="00665B2E">
        <w:rPr>
          <w:rFonts w:eastAsia="Calibri"/>
          <w:noProof/>
          <w:lang w:eastAsia="en-US"/>
        </w:rPr>
        <w:t xml:space="preserve">In </w:t>
      </w:r>
      <w:r w:rsidRPr="00665B2E">
        <w:rPr>
          <w:rFonts w:eastAsia="Calibri"/>
          <w:i/>
          <w:noProof/>
          <w:lang w:eastAsia="en-US"/>
        </w:rPr>
        <w:t>Queer Theory: Law, Culture, Empire</w:t>
      </w:r>
      <w:r w:rsidRPr="00665B2E">
        <w:rPr>
          <w:rFonts w:eastAsia="Calibri"/>
          <w:noProof/>
          <w:lang w:eastAsia="en-US"/>
        </w:rPr>
        <w:t xml:space="preserve">. </w:t>
      </w:r>
      <w:r>
        <w:rPr>
          <w:rFonts w:eastAsia="Calibri"/>
          <w:noProof/>
          <w:lang w:eastAsia="en-US"/>
        </w:rPr>
        <w:t xml:space="preserve">Edited by </w:t>
      </w:r>
      <w:r w:rsidRPr="00665B2E">
        <w:rPr>
          <w:rFonts w:eastAsia="Calibri"/>
          <w:noProof/>
          <w:lang w:eastAsia="en-US"/>
        </w:rPr>
        <w:t>Robert Leckley and Kim Brookes</w:t>
      </w:r>
      <w:r>
        <w:rPr>
          <w:rFonts w:eastAsia="Calibri"/>
          <w:noProof/>
          <w:lang w:eastAsia="en-US"/>
        </w:rPr>
        <w:t xml:space="preserve">. </w:t>
      </w:r>
      <w:r w:rsidR="007C7CFD" w:rsidRPr="007C7CFD">
        <w:rPr>
          <w:rFonts w:eastAsia="Calibri"/>
          <w:noProof/>
          <w:lang w:eastAsia="en-US"/>
        </w:rPr>
        <w:t>Abingdon</w:t>
      </w:r>
      <w:r>
        <w:t>:</w:t>
      </w:r>
      <w:r w:rsidRPr="00665B2E">
        <w:rPr>
          <w:rFonts w:eastAsia="Calibri"/>
          <w:noProof/>
          <w:lang w:eastAsia="en-US"/>
        </w:rPr>
        <w:t xml:space="preserve"> </w:t>
      </w:r>
      <w:r>
        <w:rPr>
          <w:rFonts w:eastAsia="Calibri"/>
          <w:noProof/>
          <w:lang w:eastAsia="en-US"/>
        </w:rPr>
        <w:t>Routledge, 2011</w:t>
      </w:r>
      <w:r w:rsidR="008140AC">
        <w:rPr>
          <w:rFonts w:eastAsia="Calibri"/>
          <w:noProof/>
          <w:lang w:eastAsia="en-US"/>
        </w:rPr>
        <w:t>.</w:t>
      </w:r>
    </w:p>
    <w:p w14:paraId="7E8863DF" w14:textId="59852325"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Jasbir Puar</w:t>
      </w:r>
      <w:r>
        <w:rPr>
          <w:rFonts w:eastAsia="Calibri"/>
          <w:noProof/>
          <w:lang w:eastAsia="en-US"/>
        </w:rPr>
        <w:t>.</w:t>
      </w:r>
      <w:r w:rsidRPr="00665B2E">
        <w:rPr>
          <w:rFonts w:eastAsia="Calibri"/>
          <w:noProof/>
          <w:lang w:eastAsia="en-US"/>
        </w:rPr>
        <w:t xml:space="preserve"> “Queer Times, Queer Assemblages</w:t>
      </w:r>
      <w:r>
        <w:rPr>
          <w:rFonts w:eastAsia="Calibri"/>
          <w:noProof/>
          <w:lang w:eastAsia="en-US"/>
        </w:rPr>
        <w:t>.”</w:t>
      </w:r>
      <w:r w:rsidRPr="00665B2E">
        <w:rPr>
          <w:rFonts w:eastAsia="Calibri"/>
          <w:noProof/>
          <w:lang w:eastAsia="en-US"/>
        </w:rPr>
        <w:t xml:space="preserve"> In </w:t>
      </w:r>
      <w:r w:rsidRPr="00665B2E">
        <w:rPr>
          <w:rFonts w:eastAsia="Calibri"/>
          <w:i/>
          <w:noProof/>
          <w:lang w:eastAsia="en-US"/>
        </w:rPr>
        <w:t>The Routledge Queer Studies Reader</w:t>
      </w:r>
      <w:r>
        <w:rPr>
          <w:rFonts w:eastAsia="Calibri"/>
          <w:i/>
          <w:noProof/>
          <w:lang w:eastAsia="en-US"/>
        </w:rPr>
        <w:t>.</w:t>
      </w:r>
      <w:r w:rsidRPr="00665B2E">
        <w:rPr>
          <w:rFonts w:eastAsia="Calibri"/>
          <w:noProof/>
          <w:lang w:eastAsia="en-US"/>
        </w:rPr>
        <w:t xml:space="preserve"> </w:t>
      </w:r>
      <w:r>
        <w:rPr>
          <w:rFonts w:eastAsia="Calibri"/>
          <w:noProof/>
          <w:lang w:eastAsia="en-US"/>
        </w:rPr>
        <w:t xml:space="preserve">Edited by </w:t>
      </w:r>
      <w:r w:rsidRPr="00665B2E">
        <w:rPr>
          <w:rFonts w:eastAsia="Calibri"/>
          <w:noProof/>
          <w:lang w:eastAsia="en-US"/>
        </w:rPr>
        <w:t>Donald E.</w:t>
      </w:r>
      <w:r>
        <w:rPr>
          <w:rFonts w:eastAsia="Calibri"/>
          <w:noProof/>
          <w:lang w:eastAsia="en-US"/>
        </w:rPr>
        <w:t xml:space="preserve"> Hall and Annamarie Jagose</w:t>
      </w:r>
      <w:r w:rsidRPr="00665B2E">
        <w:rPr>
          <w:rFonts w:eastAsia="Calibri"/>
          <w:noProof/>
          <w:lang w:eastAsia="en-US"/>
        </w:rPr>
        <w:t xml:space="preserve">. </w:t>
      </w:r>
      <w:r w:rsidR="00CE43C2">
        <w:rPr>
          <w:rFonts w:eastAsia="Calibri"/>
          <w:noProof/>
          <w:lang w:eastAsia="en-US"/>
        </w:rPr>
        <w:t>London: Routledge</w:t>
      </w:r>
      <w:r>
        <w:rPr>
          <w:rFonts w:eastAsia="Calibri"/>
          <w:noProof/>
          <w:lang w:eastAsia="en-US"/>
        </w:rPr>
        <w:t>, 2012</w:t>
      </w:r>
      <w:r w:rsidRPr="00665B2E">
        <w:rPr>
          <w:rFonts w:eastAsia="Calibri"/>
          <w:noProof/>
          <w:lang w:eastAsia="en-US"/>
        </w:rPr>
        <w:t>.</w:t>
      </w:r>
    </w:p>
    <w:p w14:paraId="516C5BEB" w14:textId="670175CA"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Judith Halberstam</w:t>
      </w:r>
      <w:r>
        <w:rPr>
          <w:rFonts w:eastAsia="Calibri"/>
          <w:noProof/>
          <w:lang w:eastAsia="en-US"/>
        </w:rPr>
        <w:t>,</w:t>
      </w:r>
      <w:r w:rsidRPr="00665B2E">
        <w:rPr>
          <w:rFonts w:eastAsia="Calibri"/>
          <w:noProof/>
          <w:lang w:eastAsia="en-US"/>
        </w:rPr>
        <w:t xml:space="preserve"> and José Esteban Muñoz</w:t>
      </w:r>
      <w:r>
        <w:rPr>
          <w:rFonts w:eastAsia="Calibri"/>
          <w:noProof/>
          <w:lang w:eastAsia="en-US"/>
        </w:rPr>
        <w:t>.</w:t>
      </w:r>
      <w:r w:rsidRPr="00665B2E">
        <w:rPr>
          <w:rFonts w:eastAsia="Calibri"/>
          <w:noProof/>
          <w:lang w:eastAsia="en-US"/>
        </w:rPr>
        <w:t xml:space="preserve"> </w:t>
      </w:r>
      <w:r w:rsidRPr="00665B2E">
        <w:rPr>
          <w:rFonts w:eastAsia="Calibri"/>
          <w:i/>
          <w:noProof/>
          <w:lang w:eastAsia="en-US"/>
        </w:rPr>
        <w:t>What</w:t>
      </w:r>
      <w:r w:rsidR="009A73D6">
        <w:rPr>
          <w:rFonts w:eastAsia="Calibri"/>
          <w:i/>
          <w:noProof/>
          <w:lang w:eastAsia="en-US"/>
        </w:rPr>
        <w:t>”</w:t>
      </w:r>
      <w:r w:rsidRPr="00665B2E">
        <w:rPr>
          <w:rFonts w:eastAsia="Calibri"/>
          <w:i/>
          <w:noProof/>
          <w:lang w:eastAsia="en-US"/>
        </w:rPr>
        <w:t>s Queer about Queer Studies Now?</w:t>
      </w:r>
      <w:r w:rsidRPr="00665B2E">
        <w:rPr>
          <w:rFonts w:eastAsia="Calibri"/>
          <w:noProof/>
          <w:lang w:eastAsia="en-US"/>
        </w:rPr>
        <w:t xml:space="preserve"> </w:t>
      </w:r>
      <w:r w:rsidR="00EB2063">
        <w:rPr>
          <w:rFonts w:eastAsia="Calibri"/>
          <w:noProof/>
          <w:lang w:eastAsia="en-US"/>
        </w:rPr>
        <w:t>Durham</w:t>
      </w:r>
      <w:r>
        <w:t>:</w:t>
      </w:r>
      <w:r w:rsidRPr="00665B2E">
        <w:rPr>
          <w:rFonts w:eastAsia="Calibri"/>
          <w:noProof/>
          <w:lang w:eastAsia="en-US"/>
        </w:rPr>
        <w:t xml:space="preserve"> </w:t>
      </w:r>
      <w:r>
        <w:rPr>
          <w:rFonts w:eastAsia="Calibri"/>
          <w:noProof/>
          <w:lang w:eastAsia="en-US"/>
        </w:rPr>
        <w:t>Duke University Press Books, 2005</w:t>
      </w:r>
      <w:r w:rsidR="00DD4DC2">
        <w:rPr>
          <w:rFonts w:eastAsia="Calibri"/>
          <w:noProof/>
          <w:lang w:eastAsia="en-US"/>
        </w:rPr>
        <w:t>.</w:t>
      </w:r>
    </w:p>
    <w:p w14:paraId="450F3497" w14:textId="7D222FF9" w:rsidR="002078BC" w:rsidRPr="00665B2E" w:rsidRDefault="007C566B" w:rsidP="00482AEF">
      <w:pPr>
        <w:pStyle w:val="Mdeck8references"/>
        <w:ind w:left="539" w:hanging="539"/>
        <w:rPr>
          <w:rFonts w:eastAsia="Calibri"/>
          <w:noProof/>
          <w:lang w:eastAsia="en-US"/>
        </w:rPr>
      </w:pPr>
      <w:r w:rsidRPr="007C566B">
        <w:rPr>
          <w:rFonts w:eastAsia="Calibri"/>
          <w:noProof/>
          <w:lang w:eastAsia="en-US"/>
        </w:rPr>
        <w:t>Raewyn</w:t>
      </w:r>
      <w:r w:rsidR="002078BC" w:rsidRPr="00665B2E">
        <w:rPr>
          <w:rFonts w:eastAsia="Calibri"/>
          <w:noProof/>
          <w:lang w:eastAsia="en-US"/>
        </w:rPr>
        <w:t xml:space="preserve"> W. Connell. “Democracies of pleasure: Thoughts on the goals of radical sexual politics.” In </w:t>
      </w:r>
      <w:r w:rsidR="002078BC" w:rsidRPr="00665B2E">
        <w:rPr>
          <w:rFonts w:eastAsia="Calibri"/>
          <w:i/>
          <w:noProof/>
          <w:lang w:eastAsia="en-US"/>
        </w:rPr>
        <w:t>Social Postmodernism</w:t>
      </w:r>
      <w:r w:rsidR="002078BC" w:rsidRPr="00665B2E">
        <w:rPr>
          <w:rFonts w:eastAsia="Calibri"/>
          <w:noProof/>
          <w:lang w:eastAsia="en-US"/>
        </w:rPr>
        <w:t xml:space="preserve">. </w:t>
      </w:r>
      <w:r w:rsidR="002078BC">
        <w:rPr>
          <w:rFonts w:eastAsia="Calibri"/>
          <w:noProof/>
          <w:lang w:eastAsia="en-US"/>
        </w:rPr>
        <w:t xml:space="preserve">Edited by </w:t>
      </w:r>
      <w:r w:rsidR="002078BC" w:rsidRPr="00665B2E">
        <w:rPr>
          <w:rFonts w:eastAsia="Calibri"/>
          <w:noProof/>
          <w:lang w:eastAsia="en-US"/>
        </w:rPr>
        <w:t>Lind</w:t>
      </w:r>
      <w:r w:rsidR="002078BC">
        <w:rPr>
          <w:rFonts w:eastAsia="Calibri"/>
          <w:noProof/>
          <w:lang w:eastAsia="en-US"/>
        </w:rPr>
        <w:t xml:space="preserve">a Nicholson and Steven Seidman. </w:t>
      </w:r>
      <w:r w:rsidR="002078BC" w:rsidRPr="00665B2E">
        <w:rPr>
          <w:rFonts w:eastAsia="Calibri"/>
          <w:noProof/>
          <w:lang w:eastAsia="en-US"/>
        </w:rPr>
        <w:t>Cambridge</w:t>
      </w:r>
      <w:r w:rsidR="002078BC">
        <w:rPr>
          <w:rFonts w:eastAsia="Calibri"/>
          <w:noProof/>
          <w:lang w:eastAsia="en-US"/>
        </w:rPr>
        <w:t>,</w:t>
      </w:r>
      <w:r>
        <w:rPr>
          <w:rFonts w:eastAsia="Calibri"/>
          <w:noProof/>
          <w:lang w:eastAsia="en-US"/>
        </w:rPr>
        <w:t xml:space="preserve"> UK</w:t>
      </w:r>
      <w:r w:rsidR="002078BC">
        <w:rPr>
          <w:rFonts w:eastAsia="Calibri"/>
          <w:noProof/>
          <w:lang w:eastAsia="en-US"/>
        </w:rPr>
        <w:t>: Cambridge University Press, 1995</w:t>
      </w:r>
      <w:r w:rsidR="008D03DE">
        <w:rPr>
          <w:rFonts w:eastAsia="Calibri"/>
          <w:noProof/>
          <w:lang w:eastAsia="en-US"/>
        </w:rPr>
        <w:t>.</w:t>
      </w:r>
    </w:p>
    <w:p w14:paraId="7A973788" w14:textId="47581AC8" w:rsidR="002078BC" w:rsidRPr="00914EF0" w:rsidRDefault="002078BC" w:rsidP="00914EF0">
      <w:pPr>
        <w:pStyle w:val="Mdeck8references"/>
        <w:ind w:left="539" w:hanging="539"/>
        <w:rPr>
          <w:rFonts w:eastAsia="Calibri"/>
          <w:noProof/>
          <w:lang w:eastAsia="en-US"/>
        </w:rPr>
      </w:pPr>
      <w:r w:rsidRPr="00665B2E">
        <w:rPr>
          <w:rFonts w:eastAsia="Calibri"/>
          <w:noProof/>
          <w:lang w:eastAsia="en-US"/>
        </w:rPr>
        <w:t>Linda Nicholson. “Interpreting Gender.” In</w:t>
      </w:r>
      <w:r w:rsidRPr="00665B2E">
        <w:t xml:space="preserve"> </w:t>
      </w:r>
      <w:r w:rsidRPr="00665B2E">
        <w:rPr>
          <w:rFonts w:eastAsia="Calibri"/>
          <w:i/>
          <w:noProof/>
          <w:lang w:eastAsia="en-US"/>
        </w:rPr>
        <w:t>Social Postmodernism</w:t>
      </w:r>
      <w:r w:rsidRPr="00665B2E">
        <w:rPr>
          <w:rFonts w:eastAsia="Calibri"/>
          <w:noProof/>
          <w:lang w:eastAsia="en-US"/>
        </w:rPr>
        <w:t xml:space="preserve">. </w:t>
      </w:r>
      <w:r>
        <w:rPr>
          <w:rFonts w:eastAsia="Calibri"/>
          <w:noProof/>
          <w:lang w:eastAsia="en-US"/>
        </w:rPr>
        <w:t xml:space="preserve">Edited by </w:t>
      </w:r>
      <w:r w:rsidRPr="00665B2E">
        <w:rPr>
          <w:rFonts w:eastAsia="Calibri"/>
          <w:noProof/>
          <w:lang w:eastAsia="en-US"/>
        </w:rPr>
        <w:t>Lin</w:t>
      </w:r>
      <w:r>
        <w:rPr>
          <w:rFonts w:eastAsia="Calibri"/>
          <w:noProof/>
          <w:lang w:eastAsia="en-US"/>
        </w:rPr>
        <w:t xml:space="preserve">da Nicholson and Steven Seidman. </w:t>
      </w:r>
      <w:r w:rsidRPr="00665B2E">
        <w:rPr>
          <w:rFonts w:eastAsia="Calibri"/>
          <w:noProof/>
          <w:lang w:eastAsia="en-US"/>
        </w:rPr>
        <w:t>Cambridge</w:t>
      </w:r>
      <w:r>
        <w:rPr>
          <w:rFonts w:eastAsia="Calibri"/>
          <w:noProof/>
          <w:lang w:eastAsia="en-US"/>
        </w:rPr>
        <w:t xml:space="preserve">, </w:t>
      </w:r>
      <w:r w:rsidR="000F50E6">
        <w:rPr>
          <w:rFonts w:eastAsia="Calibri"/>
          <w:noProof/>
          <w:lang w:eastAsia="en-US"/>
        </w:rPr>
        <w:t>UK</w:t>
      </w:r>
      <w:r>
        <w:rPr>
          <w:rFonts w:eastAsia="Calibri"/>
          <w:noProof/>
          <w:lang w:eastAsia="en-US"/>
        </w:rPr>
        <w:t>: Cambridge University Press, 1995</w:t>
      </w:r>
      <w:r w:rsidRPr="00665B2E">
        <w:rPr>
          <w:rFonts w:eastAsia="Calibri"/>
          <w:noProof/>
          <w:lang w:eastAsia="en-US"/>
        </w:rPr>
        <w:t>, p</w:t>
      </w:r>
      <w:r>
        <w:rPr>
          <w:rFonts w:eastAsia="Calibri"/>
          <w:noProof/>
          <w:lang w:eastAsia="en-US"/>
        </w:rPr>
        <w:t>p</w:t>
      </w:r>
      <w:r w:rsidRPr="00665B2E">
        <w:rPr>
          <w:rFonts w:eastAsia="Calibri"/>
          <w:noProof/>
          <w:lang w:eastAsia="en-US"/>
        </w:rPr>
        <w:t>. 39</w:t>
      </w:r>
      <w:r>
        <w:rPr>
          <w:rFonts w:eastAsia="Calibri"/>
          <w:noProof/>
          <w:lang w:eastAsia="en-US"/>
        </w:rPr>
        <w:t>–</w:t>
      </w:r>
      <w:r w:rsidRPr="00665B2E">
        <w:rPr>
          <w:rFonts w:eastAsia="Calibri"/>
          <w:noProof/>
          <w:lang w:eastAsia="en-US"/>
        </w:rPr>
        <w:t>67.</w:t>
      </w:r>
      <w:r w:rsidR="00EF60CC" w:rsidRPr="00914EF0">
        <w:rPr>
          <w:rFonts w:eastAsia="Calibri"/>
          <w:noProof/>
          <w:spacing w:val="-2"/>
          <w:highlight w:val="cyan"/>
          <w:lang w:eastAsia="en-US"/>
        </w:rPr>
        <w:t xml:space="preserve"> </w:t>
      </w:r>
    </w:p>
    <w:p w14:paraId="163A43E3" w14:textId="282EF3F9" w:rsidR="002078BC" w:rsidRPr="00665B2E" w:rsidRDefault="002078BC" w:rsidP="00482AEF">
      <w:pPr>
        <w:pStyle w:val="Mdeck8references"/>
        <w:ind w:left="539" w:hanging="539"/>
        <w:rPr>
          <w:rFonts w:eastAsia="Calibri"/>
          <w:noProof/>
          <w:lang w:eastAsia="en-US"/>
        </w:rPr>
      </w:pPr>
      <w:r w:rsidRPr="00665B2E">
        <w:rPr>
          <w:rFonts w:eastAsia="Calibri"/>
          <w:noProof/>
          <w:lang w:eastAsia="en-US"/>
        </w:rPr>
        <w:t>Diane Richardson, Janice McLaughlin</w:t>
      </w:r>
      <w:r>
        <w:rPr>
          <w:rFonts w:eastAsia="Calibri"/>
          <w:noProof/>
          <w:lang w:eastAsia="en-US"/>
        </w:rPr>
        <w:t>,</w:t>
      </w:r>
      <w:r w:rsidRPr="00665B2E">
        <w:rPr>
          <w:rFonts w:eastAsia="Calibri"/>
          <w:noProof/>
          <w:lang w:eastAsia="en-US"/>
        </w:rPr>
        <w:t xml:space="preserve"> and Mark E</w:t>
      </w:r>
      <w:r>
        <w:rPr>
          <w:rFonts w:eastAsia="Calibri"/>
          <w:noProof/>
          <w:lang w:eastAsia="en-US"/>
        </w:rPr>
        <w:t>. Casey</w:t>
      </w:r>
      <w:r w:rsidRPr="00665B2E">
        <w:rPr>
          <w:rFonts w:eastAsia="Calibri"/>
          <w:noProof/>
          <w:lang w:eastAsia="en-US"/>
        </w:rPr>
        <w:t>. “At the Intersections of Feminist and Queer Debates</w:t>
      </w:r>
      <w:r w:rsidR="00AE6D6E">
        <w:rPr>
          <w:rFonts w:eastAsia="Calibri"/>
          <w:noProof/>
          <w:lang w:eastAsia="en-US"/>
        </w:rPr>
        <w:t xml:space="preserve">.” </w:t>
      </w:r>
      <w:r w:rsidRPr="00665B2E">
        <w:rPr>
          <w:rFonts w:eastAsia="Calibri"/>
          <w:noProof/>
          <w:lang w:eastAsia="en-US"/>
        </w:rPr>
        <w:t xml:space="preserve">In </w:t>
      </w:r>
      <w:r w:rsidRPr="00665B2E">
        <w:rPr>
          <w:rFonts w:eastAsia="Calibri"/>
          <w:i/>
          <w:noProof/>
          <w:lang w:eastAsia="en-US"/>
        </w:rPr>
        <w:t>Intersections of Feminist and Queer Theory</w:t>
      </w:r>
      <w:r>
        <w:rPr>
          <w:rFonts w:eastAsia="Calibri"/>
          <w:noProof/>
          <w:lang w:eastAsia="en-US"/>
        </w:rPr>
        <w:t>.</w:t>
      </w:r>
      <w:r w:rsidRPr="00665B2E">
        <w:rPr>
          <w:rFonts w:eastAsia="Calibri"/>
          <w:noProof/>
          <w:lang w:eastAsia="en-US"/>
        </w:rPr>
        <w:t xml:space="preserve"> </w:t>
      </w:r>
      <w:r w:rsidR="00AE6D6E">
        <w:rPr>
          <w:rFonts w:eastAsia="Calibri"/>
          <w:noProof/>
          <w:lang w:eastAsia="en-US"/>
        </w:rPr>
        <w:t xml:space="preserve">Edited by </w:t>
      </w:r>
      <w:r w:rsidR="00AE6D6E" w:rsidRPr="00AE6D6E">
        <w:rPr>
          <w:rFonts w:eastAsia="Calibri"/>
          <w:noProof/>
          <w:lang w:eastAsia="en-US"/>
        </w:rPr>
        <w:t>Dian</w:t>
      </w:r>
      <w:r w:rsidR="00C53E4F">
        <w:rPr>
          <w:rFonts w:eastAsia="Calibri"/>
          <w:noProof/>
          <w:lang w:eastAsia="en-US"/>
        </w:rPr>
        <w:t>e Richardson, Janice McLaughlin</w:t>
      </w:r>
      <w:r w:rsidR="00AE6D6E" w:rsidRPr="00AE6D6E">
        <w:rPr>
          <w:rFonts w:eastAsia="Calibri"/>
          <w:noProof/>
          <w:lang w:eastAsia="en-US"/>
        </w:rPr>
        <w:t xml:space="preserve"> and Mark E. Casey</w:t>
      </w:r>
      <w:r w:rsidR="00AE6D6E">
        <w:rPr>
          <w:rFonts w:eastAsia="Calibri"/>
          <w:noProof/>
          <w:lang w:eastAsia="en-US"/>
        </w:rPr>
        <w:t>.</w:t>
      </w:r>
      <w:r w:rsidR="00AE6D6E" w:rsidRPr="00AE6D6E">
        <w:rPr>
          <w:rFonts w:eastAsia="Calibri"/>
          <w:noProof/>
          <w:lang w:eastAsia="en-US"/>
        </w:rPr>
        <w:t xml:space="preserve"> </w:t>
      </w:r>
      <w:r w:rsidR="002C11E7" w:rsidRPr="002C11E7">
        <w:rPr>
          <w:rFonts w:eastAsia="Calibri"/>
          <w:noProof/>
          <w:lang w:eastAsia="en-US"/>
        </w:rPr>
        <w:t>Houndmills: Palgrave Macmillan</w:t>
      </w:r>
      <w:r>
        <w:rPr>
          <w:rFonts w:eastAsia="Calibri"/>
          <w:noProof/>
          <w:lang w:eastAsia="en-US"/>
        </w:rPr>
        <w:t>, 2012</w:t>
      </w:r>
      <w:r w:rsidR="00906BAA">
        <w:rPr>
          <w:rFonts w:eastAsia="Calibri"/>
          <w:noProof/>
          <w:lang w:eastAsia="en-US"/>
        </w:rPr>
        <w:t>.</w:t>
      </w:r>
    </w:p>
    <w:p w14:paraId="544B0918" w14:textId="379074E8" w:rsidR="002078BC" w:rsidRPr="00665B2E" w:rsidRDefault="00AE6D6E" w:rsidP="00482AEF">
      <w:pPr>
        <w:pStyle w:val="Mdeck8references"/>
        <w:ind w:left="539" w:hanging="539"/>
      </w:pPr>
      <w:r w:rsidRPr="00AE6D6E">
        <w:lastRenderedPageBreak/>
        <w:t>Angela Wilson</w:t>
      </w:r>
      <w:r w:rsidR="00D42F75">
        <w:t>.</w:t>
      </w:r>
      <w:r w:rsidRPr="00AE6D6E">
        <w:t xml:space="preserve"> “Between Post-Menopause and Post-Modern.” In </w:t>
      </w:r>
      <w:r w:rsidRPr="00AE6D6E">
        <w:rPr>
          <w:i/>
        </w:rPr>
        <w:t xml:space="preserve">Intersections </w:t>
      </w:r>
      <w:proofErr w:type="gramStart"/>
      <w:r w:rsidRPr="00AE6D6E">
        <w:rPr>
          <w:i/>
        </w:rPr>
        <w:t>Between</w:t>
      </w:r>
      <w:proofErr w:type="gramEnd"/>
      <w:r w:rsidRPr="00AE6D6E">
        <w:rPr>
          <w:i/>
        </w:rPr>
        <w:t xml:space="preserve"> Feminist and Queer Theory</w:t>
      </w:r>
      <w:r w:rsidR="00C53E4F">
        <w:t xml:space="preserve">. </w:t>
      </w:r>
      <w:r w:rsidRPr="00AE6D6E">
        <w:t xml:space="preserve">Edited by </w:t>
      </w:r>
      <w:r w:rsidR="002078BC" w:rsidRPr="00AE6D6E">
        <w:t>Dian</w:t>
      </w:r>
      <w:r w:rsidR="00C53E4F">
        <w:t>e Richardson, Janice McLaughlin</w:t>
      </w:r>
      <w:r w:rsidR="002078BC" w:rsidRPr="00AE6D6E">
        <w:t xml:space="preserve"> and Mark E</w:t>
      </w:r>
      <w:r w:rsidR="00641058" w:rsidRPr="00AE6D6E">
        <w:t>.</w:t>
      </w:r>
      <w:r w:rsidRPr="00AE6D6E">
        <w:t xml:space="preserve"> Casey. Houndmills: Palgrave Macmillan, </w:t>
      </w:r>
      <w:r w:rsidR="002078BC" w:rsidRPr="00AE6D6E">
        <w:t>2012</w:t>
      </w:r>
      <w:r w:rsidR="001B24D9">
        <w:t>.</w:t>
      </w:r>
    </w:p>
    <w:p w14:paraId="3025F1A0" w14:textId="641A87C9" w:rsidR="002078BC" w:rsidRPr="0031222C" w:rsidRDefault="002078BC" w:rsidP="00482AEF">
      <w:pPr>
        <w:pStyle w:val="Mdeck8references"/>
        <w:ind w:left="539" w:hanging="539"/>
      </w:pPr>
      <w:r w:rsidRPr="0031222C">
        <w:rPr>
          <w:rFonts w:eastAsia="Calibri"/>
          <w:noProof/>
          <w:color w:val="auto"/>
          <w:szCs w:val="24"/>
          <w:lang w:eastAsia="en-US"/>
        </w:rPr>
        <w:t>The Children and Royal Families Act obtained Royal Assent on 13 March 2014.</w:t>
      </w:r>
    </w:p>
    <w:p w14:paraId="3AB35E7E" w14:textId="6E19DBE2" w:rsidR="002078BC" w:rsidRPr="00665B2E" w:rsidRDefault="00106F06" w:rsidP="00482AEF">
      <w:pPr>
        <w:pStyle w:val="Mdeck8references"/>
        <w:ind w:left="539" w:hanging="539"/>
        <w:rPr>
          <w:rFonts w:eastAsia="Calibri"/>
          <w:noProof/>
          <w:lang w:eastAsia="en-US"/>
        </w:rPr>
      </w:pPr>
      <w:bookmarkStart w:id="21" w:name="OLE_LINK23"/>
      <w:bookmarkStart w:id="22" w:name="OLE_LINK24"/>
      <w:r w:rsidRPr="00571B88">
        <w:rPr>
          <w:spacing w:val="-4"/>
        </w:rPr>
        <w:t>Personal Social Health &amp; Economic Education</w:t>
      </w:r>
      <w:bookmarkEnd w:id="21"/>
      <w:bookmarkEnd w:id="22"/>
      <w:r w:rsidR="002078BC" w:rsidRPr="00571B88">
        <w:rPr>
          <w:spacing w:val="-4"/>
        </w:rPr>
        <w:t xml:space="preserve">. </w:t>
      </w:r>
      <w:r w:rsidR="00C53E4F" w:rsidRPr="00571B88">
        <w:rPr>
          <w:spacing w:val="-4"/>
        </w:rPr>
        <w:t xml:space="preserve">Available online: </w:t>
      </w:r>
      <w:r w:rsidR="0091325B" w:rsidRPr="00571B88">
        <w:rPr>
          <w:spacing w:val="-4"/>
        </w:rPr>
        <w:t>http://www.pshe-association.org.uk/</w:t>
      </w:r>
      <w:r w:rsidR="0091325B">
        <w:t xml:space="preserve"> </w:t>
      </w:r>
      <w:r w:rsidR="002078BC" w:rsidRPr="00665B2E">
        <w:rPr>
          <w:rFonts w:eastAsia="Calibri"/>
          <w:noProof/>
          <w:lang w:eastAsia="en-US"/>
        </w:rPr>
        <w:t>(</w:t>
      </w:r>
      <w:r w:rsidR="002078BC">
        <w:rPr>
          <w:rFonts w:eastAsia="Calibri"/>
          <w:noProof/>
          <w:lang w:eastAsia="en-US"/>
        </w:rPr>
        <w:t>accessed on</w:t>
      </w:r>
      <w:r w:rsidR="002078BC" w:rsidRPr="00665B2E">
        <w:rPr>
          <w:rFonts w:eastAsia="Calibri"/>
          <w:noProof/>
          <w:lang w:eastAsia="en-US"/>
        </w:rPr>
        <w:t xml:space="preserve"> </w:t>
      </w:r>
      <w:r w:rsidR="002078BC">
        <w:rPr>
          <w:rFonts w:eastAsia="Calibri"/>
          <w:noProof/>
          <w:lang w:eastAsia="en-US"/>
        </w:rPr>
        <w:t>12</w:t>
      </w:r>
      <w:r w:rsidR="002078BC" w:rsidRPr="00665B2E">
        <w:rPr>
          <w:rFonts w:eastAsia="Calibri"/>
          <w:noProof/>
          <w:lang w:eastAsia="en-US"/>
        </w:rPr>
        <w:t xml:space="preserve"> February 2014).</w:t>
      </w:r>
    </w:p>
    <w:p w14:paraId="0E3CD9AC" w14:textId="7A51F280" w:rsidR="002078BC" w:rsidRPr="00665B2E" w:rsidRDefault="00625EF5" w:rsidP="00482AEF">
      <w:pPr>
        <w:pStyle w:val="Mdeck8references"/>
        <w:ind w:left="539" w:hanging="539"/>
        <w:rPr>
          <w:rFonts w:eastAsia="Calibri"/>
          <w:noProof/>
          <w:lang w:eastAsia="en-US"/>
        </w:rPr>
      </w:pPr>
      <w:r w:rsidRPr="00625EF5">
        <w:t>The Sex Education Forum</w:t>
      </w:r>
      <w:r w:rsidR="002078BC" w:rsidRPr="00625EF5">
        <w:t>.</w:t>
      </w:r>
      <w:r w:rsidR="002078BC">
        <w:t xml:space="preserve"> Available online: </w:t>
      </w:r>
      <w:hyperlink r:id="rId12" w:history="1">
        <w:r w:rsidR="002078BC" w:rsidRPr="008E4F27">
          <w:rPr>
            <w:rFonts w:eastAsia="Calibri"/>
            <w:noProof/>
            <w:lang w:eastAsia="en-US"/>
          </w:rPr>
          <w:t>http://www.sexeducationforum.org.uk/home.aspx</w:t>
        </w:r>
      </w:hyperlink>
      <w:r w:rsidR="002078BC" w:rsidRPr="00665B2E">
        <w:rPr>
          <w:rFonts w:eastAsia="Calibri"/>
          <w:noProof/>
          <w:lang w:eastAsia="en-US"/>
        </w:rPr>
        <w:t xml:space="preserve"> (</w:t>
      </w:r>
      <w:r w:rsidR="002078BC">
        <w:rPr>
          <w:rFonts w:eastAsia="Calibri"/>
          <w:noProof/>
          <w:lang w:eastAsia="en-US"/>
        </w:rPr>
        <w:t>accessed on</w:t>
      </w:r>
      <w:r w:rsidR="002078BC" w:rsidRPr="00665B2E">
        <w:rPr>
          <w:rFonts w:eastAsia="Calibri"/>
          <w:noProof/>
          <w:lang w:eastAsia="en-US"/>
        </w:rPr>
        <w:t xml:space="preserve"> </w:t>
      </w:r>
      <w:r w:rsidR="002078BC">
        <w:rPr>
          <w:rFonts w:eastAsia="Calibri"/>
          <w:noProof/>
          <w:lang w:eastAsia="en-US"/>
        </w:rPr>
        <w:t>12</w:t>
      </w:r>
      <w:r w:rsidR="002078BC" w:rsidRPr="00665B2E">
        <w:rPr>
          <w:rFonts w:eastAsia="Calibri"/>
          <w:noProof/>
          <w:lang w:eastAsia="en-US"/>
        </w:rPr>
        <w:t xml:space="preserve"> February 2014).</w:t>
      </w:r>
    </w:p>
    <w:p w14:paraId="4F77636A" w14:textId="37F66957" w:rsidR="002078BC" w:rsidRPr="00665B2E" w:rsidRDefault="0037670E" w:rsidP="00482AEF">
      <w:pPr>
        <w:pStyle w:val="Mdeck8references"/>
        <w:ind w:left="539" w:hanging="539"/>
        <w:rPr>
          <w:rFonts w:eastAsia="Calibri"/>
          <w:noProof/>
          <w:lang w:eastAsia="en-US"/>
        </w:rPr>
      </w:pPr>
      <w:r w:rsidRPr="0037670E">
        <w:t>Brook</w:t>
      </w:r>
      <w:r w:rsidR="002078BC" w:rsidRPr="0037670E">
        <w:t>.</w:t>
      </w:r>
      <w:r w:rsidR="002078BC">
        <w:t xml:space="preserve"> Available online: </w:t>
      </w:r>
      <w:hyperlink r:id="rId13" w:history="1">
        <w:r w:rsidR="002078BC" w:rsidRPr="008E4F27">
          <w:rPr>
            <w:rFonts w:eastAsia="Calibri"/>
            <w:noProof/>
            <w:lang w:eastAsia="en-US"/>
          </w:rPr>
          <w:t>https://www.brook.org.uk/</w:t>
        </w:r>
      </w:hyperlink>
      <w:r w:rsidR="002078BC" w:rsidRPr="00665B2E">
        <w:rPr>
          <w:rFonts w:eastAsia="Calibri"/>
          <w:noProof/>
          <w:lang w:eastAsia="en-US"/>
        </w:rPr>
        <w:t xml:space="preserve"> (</w:t>
      </w:r>
      <w:r w:rsidR="002078BC">
        <w:rPr>
          <w:rFonts w:eastAsia="Calibri"/>
          <w:noProof/>
          <w:lang w:eastAsia="en-US"/>
        </w:rPr>
        <w:t>accessed on</w:t>
      </w:r>
      <w:r w:rsidR="002078BC" w:rsidRPr="00665B2E">
        <w:rPr>
          <w:rFonts w:eastAsia="Calibri"/>
          <w:noProof/>
          <w:lang w:eastAsia="en-US"/>
        </w:rPr>
        <w:t xml:space="preserve"> </w:t>
      </w:r>
      <w:r w:rsidR="002078BC">
        <w:rPr>
          <w:rFonts w:eastAsia="Calibri"/>
          <w:noProof/>
          <w:lang w:eastAsia="en-US"/>
        </w:rPr>
        <w:t>12</w:t>
      </w:r>
      <w:r w:rsidR="002078BC" w:rsidRPr="00665B2E">
        <w:rPr>
          <w:rFonts w:eastAsia="Calibri"/>
          <w:noProof/>
          <w:lang w:eastAsia="en-US"/>
        </w:rPr>
        <w:t xml:space="preserve"> February 2014).</w:t>
      </w:r>
    </w:p>
    <w:p w14:paraId="442F89AA" w14:textId="75A93822" w:rsidR="002078BC" w:rsidRDefault="002D7D53" w:rsidP="00482AEF">
      <w:pPr>
        <w:pStyle w:val="Mdeck8references"/>
        <w:ind w:left="539" w:hanging="539"/>
        <w:rPr>
          <w:rFonts w:eastAsia="Calibri"/>
          <w:noProof/>
          <w:lang w:eastAsia="en-US"/>
        </w:rPr>
      </w:pPr>
      <w:r>
        <w:t xml:space="preserve"> </w:t>
      </w:r>
      <w:r w:rsidRPr="002D7D53">
        <w:t>The National Children</w:t>
      </w:r>
      <w:r w:rsidR="00571B88">
        <w:t>’</w:t>
      </w:r>
      <w:r w:rsidRPr="002D7D53">
        <w:t>s Bureau</w:t>
      </w:r>
      <w:r w:rsidR="002078BC" w:rsidRPr="004B790C">
        <w:t>.</w:t>
      </w:r>
      <w:r w:rsidR="002078BC" w:rsidRPr="004B790C">
        <w:rPr>
          <w:rFonts w:eastAsia="Calibri"/>
        </w:rPr>
        <w:t xml:space="preserve"> </w:t>
      </w:r>
      <w:r w:rsidR="002078BC">
        <w:rPr>
          <w:rFonts w:eastAsia="Calibri"/>
          <w:noProof/>
          <w:lang w:eastAsia="en-US"/>
        </w:rPr>
        <w:t>“</w:t>
      </w:r>
      <w:r w:rsidR="002078BC" w:rsidRPr="00665B2E">
        <w:rPr>
          <w:rFonts w:eastAsia="Calibri"/>
          <w:noProof/>
          <w:lang w:eastAsia="en-US"/>
        </w:rPr>
        <w:t>New survey finds children and young people aren</w:t>
      </w:r>
      <w:r w:rsidR="00571B88">
        <w:rPr>
          <w:rFonts w:eastAsia="Calibri"/>
          <w:noProof/>
          <w:lang w:eastAsia="en-US"/>
        </w:rPr>
        <w:t>’</w:t>
      </w:r>
      <w:r w:rsidR="002078BC" w:rsidRPr="00665B2E">
        <w:rPr>
          <w:rFonts w:eastAsia="Calibri"/>
          <w:noProof/>
          <w:lang w:eastAsia="en-US"/>
        </w:rPr>
        <w:t>t being taught about consent in school</w:t>
      </w:r>
      <w:r w:rsidR="002078BC">
        <w:rPr>
          <w:rFonts w:eastAsia="Calibri"/>
          <w:noProof/>
          <w:lang w:eastAsia="en-US"/>
        </w:rPr>
        <w:t>.</w:t>
      </w:r>
      <w:r w:rsidR="009A73D6">
        <w:rPr>
          <w:rFonts w:eastAsia="Calibri"/>
          <w:noProof/>
          <w:lang w:eastAsia="en-US"/>
        </w:rPr>
        <w:t>”</w:t>
      </w:r>
      <w:r w:rsidR="002078BC" w:rsidRPr="00665B2E">
        <w:rPr>
          <w:rFonts w:eastAsia="Calibri"/>
          <w:noProof/>
          <w:lang w:eastAsia="en-US"/>
        </w:rPr>
        <w:t xml:space="preserve"> </w:t>
      </w:r>
      <w:r w:rsidR="002078BC" w:rsidRPr="003C657B">
        <w:rPr>
          <w:rFonts w:eastAsia="Calibri"/>
          <w:noProof/>
          <w:lang w:eastAsia="en-US"/>
        </w:rPr>
        <w:t xml:space="preserve">Available online: </w:t>
      </w:r>
      <w:hyperlink r:id="rId14" w:history="1">
        <w:r w:rsidR="002078BC" w:rsidRPr="008E4F27">
          <w:rPr>
            <w:rFonts w:eastAsia="Calibri"/>
            <w:noProof/>
            <w:lang w:eastAsia="en-US"/>
          </w:rPr>
          <w:t>http://www.ncb.org.uk/news/new-survey-finds-children-and-young-people-aren%E2%80%99t-being-taught-about-consent-in-school</w:t>
        </w:r>
      </w:hyperlink>
      <w:r w:rsidR="002078BC" w:rsidRPr="00665B2E">
        <w:rPr>
          <w:rFonts w:eastAsia="Calibri"/>
          <w:noProof/>
          <w:lang w:eastAsia="en-US"/>
        </w:rPr>
        <w:t xml:space="preserve"> (</w:t>
      </w:r>
      <w:r w:rsidR="002078BC">
        <w:rPr>
          <w:rFonts w:eastAsia="Calibri"/>
          <w:noProof/>
          <w:lang w:eastAsia="en-US"/>
        </w:rPr>
        <w:t>accessed on</w:t>
      </w:r>
      <w:r w:rsidR="002078BC" w:rsidRPr="00665B2E">
        <w:rPr>
          <w:rFonts w:eastAsia="Calibri"/>
          <w:noProof/>
          <w:lang w:eastAsia="en-US"/>
        </w:rPr>
        <w:t xml:space="preserve"> </w:t>
      </w:r>
      <w:r w:rsidR="002078BC">
        <w:rPr>
          <w:rFonts w:eastAsia="Calibri"/>
          <w:noProof/>
          <w:lang w:eastAsia="en-US"/>
        </w:rPr>
        <w:t>12</w:t>
      </w:r>
      <w:r w:rsidR="002078BC" w:rsidRPr="00665B2E">
        <w:rPr>
          <w:rFonts w:eastAsia="Calibri"/>
          <w:noProof/>
          <w:lang w:eastAsia="en-US"/>
        </w:rPr>
        <w:t xml:space="preserve"> February 2014).</w:t>
      </w:r>
    </w:p>
    <w:p w14:paraId="77DB76D8" w14:textId="184E6681" w:rsidR="00571B88" w:rsidRPr="00482AEF" w:rsidRDefault="00571B88" w:rsidP="00482AEF">
      <w:pPr>
        <w:pStyle w:val="Mdeck8references"/>
        <w:numPr>
          <w:ilvl w:val="0"/>
          <w:numId w:val="0"/>
        </w:numPr>
        <w:spacing w:before="240"/>
      </w:pPr>
      <w:r>
        <w:rPr>
          <w:lang w:eastAsia="en-US"/>
        </w:rPr>
        <w:t>© 201</w:t>
      </w:r>
      <w:r>
        <w:rPr>
          <w:rFonts w:eastAsia="SimSun" w:hint="eastAsia"/>
          <w:lang w:eastAsia="zh-CN"/>
        </w:rPr>
        <w:t>4</w:t>
      </w:r>
      <w:r>
        <w:rPr>
          <w:lang w:eastAsia="en-US"/>
        </w:rPr>
        <w:t xml:space="preserve"> by the authors; licensee MDPI, Basel, Switzerland. This article is an open access article distributed under the terms and conditions of the Creative Commons Attribution license (http://creativecommons.org/licenses/by/4.0/).</w:t>
      </w:r>
    </w:p>
    <w:sectPr w:rsidR="00571B88" w:rsidRPr="00482AEF" w:rsidSect="00740D19">
      <w:headerReference w:type="default" r:id="rId15"/>
      <w:footerReference w:type="even" r:id="rId16"/>
      <w:footerReference w:type="default" r:id="rId17"/>
      <w:endnotePr>
        <w:numFmt w:val="decimal"/>
      </w:endnotePr>
      <w:type w:val="continuous"/>
      <w:pgSz w:w="11913" w:h="16834" w:code="9"/>
      <w:pgMar w:top="992" w:right="992" w:bottom="992" w:left="992" w:header="850" w:footer="567" w:gutter="0"/>
      <w:cols w:space="397"/>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icrosoft-tz2 microsoft-tz2" w:date="2014-10-17T13:35:00Z" w:initials="mm">
    <w:p w14:paraId="21B5745D" w14:textId="77777777" w:rsidR="000C7647" w:rsidRDefault="000C7647">
      <w:pPr>
        <w:pStyle w:val="CommentText"/>
      </w:pPr>
      <w:r>
        <w:rPr>
          <w:rStyle w:val="CommentReference"/>
        </w:rPr>
        <w:annotationRef/>
      </w:r>
      <w:r>
        <w:t xml:space="preserve">Reference [48] not found. Please check. The numbers after this should all be changed accordingly. </w:t>
      </w:r>
    </w:p>
    <w:p w14:paraId="493DD6B2" w14:textId="77777777" w:rsidR="000C7647" w:rsidRDefault="000C7647">
      <w:pPr>
        <w:pStyle w:val="CommentText"/>
      </w:pPr>
    </w:p>
    <w:p w14:paraId="5FDD69F3" w14:textId="77777777" w:rsidR="009A272F" w:rsidRDefault="009A272F">
      <w:pPr>
        <w:pStyle w:val="CommentText"/>
      </w:pPr>
    </w:p>
    <w:p w14:paraId="4C368716" w14:textId="298FAFB2" w:rsidR="009A272F" w:rsidRDefault="009A272F">
      <w:pPr>
        <w:pStyle w:val="CommentText"/>
      </w:pPr>
      <w:r>
        <w:t xml:space="preserve">There are some repeated references in the list. Please read the comments there first and then come back here for revision. </w:t>
      </w:r>
    </w:p>
    <w:p w14:paraId="08540A4C" w14:textId="77777777" w:rsidR="009A272F" w:rsidRDefault="009A272F">
      <w:pPr>
        <w:pStyle w:val="CommentText"/>
      </w:pPr>
    </w:p>
    <w:p w14:paraId="2D2E5A19" w14:textId="6253DA81" w:rsidR="000C7647" w:rsidRDefault="000C7647">
      <w:pPr>
        <w:pStyle w:val="CommentText"/>
      </w:pPr>
      <w:r>
        <w:t>We suggest you using the “track change” function</w:t>
      </w:r>
      <w:r w:rsidR="006A0E29">
        <w:t xml:space="preserve"> to revise to avoid the missing of the numbers</w:t>
      </w:r>
      <w:r>
        <w:t xml:space="preserve">. </w:t>
      </w:r>
    </w:p>
    <w:p w14:paraId="6A5C23D9" w14:textId="77777777" w:rsidR="009A272F" w:rsidRDefault="009A272F">
      <w:pPr>
        <w:pStyle w:val="CommentText"/>
      </w:pPr>
    </w:p>
    <w:p w14:paraId="6BD83104" w14:textId="77777777" w:rsidR="009A272F" w:rsidRDefault="009A272F">
      <w:pPr>
        <w:pStyle w:val="CommentText"/>
      </w:pPr>
    </w:p>
  </w:comment>
  <w:comment w:id="4" w:author="Beresford, Sarah" w:date="2014-10-17T14:13:00Z" w:initials="SB">
    <w:p w14:paraId="58EBAAE6" w14:textId="0BDFF933" w:rsidR="00885764" w:rsidRDefault="00885764">
      <w:pPr>
        <w:pStyle w:val="CommentText"/>
      </w:pPr>
      <w:r>
        <w:rPr>
          <w:rStyle w:val="CommentReference"/>
        </w:rPr>
        <w:annotationRef/>
      </w:r>
      <w:r>
        <w:t xml:space="preserve">Note 48 is there – it is in the notes and references at the end – in reference number 47 – this </w:t>
      </w:r>
      <w:proofErr w:type="gramStart"/>
      <w:r>
        <w:t>is  where</w:t>
      </w:r>
      <w:proofErr w:type="gramEnd"/>
      <w:r>
        <w:t xml:space="preserve"> I was instructed to place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DB399F" w15:done="0"/>
  <w15:commentEx w15:paraId="1A700836" w15:done="0"/>
  <w15:commentEx w15:paraId="6BD83104" w15:done="0"/>
  <w15:commentEx w15:paraId="5450860C" w15:done="0"/>
  <w15:commentEx w15:paraId="0C8EF0B8" w15:done="0"/>
  <w15:commentEx w15:paraId="5266D449" w15:done="0"/>
  <w15:commentEx w15:paraId="2F980426" w15:done="0"/>
  <w15:commentEx w15:paraId="57139C98" w15:done="0"/>
  <w15:commentEx w15:paraId="0AAB94F9" w15:done="0"/>
  <w15:commentEx w15:paraId="6EEF9742" w15:done="0"/>
  <w15:commentEx w15:paraId="79B72D0C" w15:done="0"/>
  <w15:commentEx w15:paraId="4F1957E7" w15:done="0"/>
  <w15:commentEx w15:paraId="059270B7" w15:done="0"/>
  <w15:commentEx w15:paraId="28AD44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2EF9" w14:textId="77777777" w:rsidR="00EF50A4" w:rsidRDefault="00EF50A4">
      <w:pPr>
        <w:spacing w:line="240" w:lineRule="auto"/>
      </w:pPr>
      <w:r>
        <w:separator/>
      </w:r>
    </w:p>
    <w:p w14:paraId="70BCCFF6" w14:textId="77777777" w:rsidR="00EF50A4" w:rsidRDefault="00EF50A4"/>
    <w:p w14:paraId="1682F17A" w14:textId="77777777" w:rsidR="00EF50A4" w:rsidRDefault="00EF50A4" w:rsidP="00C90BFE"/>
  </w:endnote>
  <w:endnote w:type="continuationSeparator" w:id="0">
    <w:p w14:paraId="38C0B0E2" w14:textId="77777777" w:rsidR="00EF50A4" w:rsidRDefault="00EF50A4">
      <w:pPr>
        <w:spacing w:line="240" w:lineRule="auto"/>
      </w:pPr>
      <w:r>
        <w:continuationSeparator/>
      </w:r>
    </w:p>
    <w:p w14:paraId="534E9A4E" w14:textId="77777777" w:rsidR="00EF50A4" w:rsidRDefault="00EF50A4"/>
    <w:p w14:paraId="098271C3" w14:textId="77777777" w:rsidR="00EF50A4" w:rsidRDefault="00EF50A4" w:rsidP="00C90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F1D9" w14:textId="77777777" w:rsidR="00194CB7" w:rsidRDefault="00194CB7">
    <w:pPr>
      <w:framePr w:wrap="around" w:vAnchor="text" w:hAnchor="margin" w:xAlign="right" w:y="1"/>
    </w:pPr>
    <w:r>
      <w:fldChar w:fldCharType="begin"/>
    </w:r>
    <w:r>
      <w:instrText xml:space="preserve">PAGE  </w:instrText>
    </w:r>
    <w:r>
      <w:fldChar w:fldCharType="separate"/>
    </w:r>
    <w:r>
      <w:rPr>
        <w:noProof/>
      </w:rPr>
      <w:t>10</w:t>
    </w:r>
    <w:r>
      <w:fldChar w:fldCharType="end"/>
    </w:r>
  </w:p>
  <w:p w14:paraId="24ACC2E9" w14:textId="77777777" w:rsidR="00194CB7" w:rsidRDefault="00194CB7">
    <w:pPr>
      <w:ind w:right="360"/>
    </w:pPr>
  </w:p>
  <w:p w14:paraId="12BE3D83" w14:textId="77777777" w:rsidR="00194CB7" w:rsidRDefault="00194CB7"/>
  <w:p w14:paraId="274A8E67" w14:textId="77777777" w:rsidR="00194CB7" w:rsidRDefault="00194CB7" w:rsidP="00C90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4162" w14:textId="77777777" w:rsidR="00194CB7" w:rsidRDefault="00194CB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98F08" w14:textId="77777777" w:rsidR="00EF50A4" w:rsidRDefault="00EF50A4">
      <w:pPr>
        <w:spacing w:line="240" w:lineRule="auto"/>
      </w:pPr>
      <w:r>
        <w:separator/>
      </w:r>
    </w:p>
    <w:p w14:paraId="2FC10571" w14:textId="77777777" w:rsidR="00EF50A4" w:rsidRDefault="00EF50A4"/>
    <w:p w14:paraId="1AFA8A3B" w14:textId="77777777" w:rsidR="00EF50A4" w:rsidRDefault="00EF50A4" w:rsidP="00C90BFE"/>
  </w:footnote>
  <w:footnote w:type="continuationSeparator" w:id="0">
    <w:p w14:paraId="45D441BE" w14:textId="77777777" w:rsidR="00EF50A4" w:rsidRDefault="00EF50A4">
      <w:pPr>
        <w:spacing w:line="240" w:lineRule="auto"/>
      </w:pPr>
      <w:r>
        <w:continuationSeparator/>
      </w:r>
    </w:p>
    <w:p w14:paraId="7AEAE2AC" w14:textId="77777777" w:rsidR="00EF50A4" w:rsidRDefault="00EF50A4"/>
    <w:p w14:paraId="2006D9B8" w14:textId="77777777" w:rsidR="00EF50A4" w:rsidRDefault="00EF50A4" w:rsidP="00C90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735CE" w14:textId="77777777" w:rsidR="00194CB7" w:rsidRDefault="00194CB7" w:rsidP="00740D19">
    <w:pPr>
      <w:adjustRightInd w:val="0"/>
      <w:snapToGrid w:val="0"/>
      <w:rPr>
        <w:b/>
      </w:rPr>
    </w:pPr>
    <w:r>
      <w:rPr>
        <w:i/>
      </w:rPr>
      <w:t xml:space="preserve">Laws </w:t>
    </w:r>
    <w:r>
      <w:rPr>
        <w:b/>
      </w:rPr>
      <w:t>2014</w:t>
    </w:r>
    <w:r>
      <w:t xml:space="preserve">, </w:t>
    </w:r>
    <w:r>
      <w:rPr>
        <w:i/>
      </w:rPr>
      <w:t>3</w:t>
    </w:r>
    <w:r>
      <w:rPr>
        <w:i/>
      </w:rPr>
      <w:ptab w:relativeTo="margin" w:alignment="right" w:leader="none"/>
    </w:r>
    <w:r>
      <w:rPr>
        <w:b/>
      </w:rPr>
      <w:fldChar w:fldCharType="begin"/>
    </w:r>
    <w:r>
      <w:rPr>
        <w:b/>
      </w:rPr>
      <w:instrText xml:space="preserve"> PAGE  \* Arabic </w:instrText>
    </w:r>
    <w:r>
      <w:rPr>
        <w:b/>
      </w:rPr>
      <w:fldChar w:fldCharType="separate"/>
    </w:r>
    <w:r w:rsidR="00972437">
      <w:rPr>
        <w:b/>
        <w:noProof/>
      </w:rPr>
      <w:t>15</w:t>
    </w:r>
    <w:r>
      <w:rPr>
        <w:b/>
      </w:rPr>
      <w:fldChar w:fldCharType="end"/>
    </w:r>
  </w:p>
  <w:p w14:paraId="75D7E1B2" w14:textId="77777777" w:rsidR="00194CB7" w:rsidRPr="00740D19" w:rsidRDefault="00194CB7" w:rsidP="00740D19">
    <w:pPr>
      <w:adjustRightInd w:val="0"/>
      <w:snapToGrid w:val="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04D"/>
    <w:multiLevelType w:val="hybridMultilevel"/>
    <w:tmpl w:val="BC58F53A"/>
    <w:lvl w:ilvl="0" w:tplc="7EF02034">
      <w:start w:val="2"/>
      <w:numFmt w:val="bullet"/>
      <w:lvlText w:val="•"/>
      <w:lvlJc w:val="left"/>
      <w:pPr>
        <w:ind w:left="648" w:hanging="360"/>
      </w:pPr>
      <w:rPr>
        <w:rFonts w:ascii="Times New Roman" w:eastAsia="Calibr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327441F7"/>
    <w:multiLevelType w:val="hybridMultilevel"/>
    <w:tmpl w:val="CBBEBCC0"/>
    <w:lvl w:ilvl="0" w:tplc="B6DA7924">
      <w:start w:val="1"/>
      <w:numFmt w:val="bullet"/>
      <w:pStyle w:val="Mdeck4textbulletlis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430B505B"/>
    <w:multiLevelType w:val="hybridMultilevel"/>
    <w:tmpl w:val="F9386972"/>
    <w:lvl w:ilvl="0" w:tplc="D92E77E2">
      <w:start w:val="1"/>
      <w:numFmt w:val="decimal"/>
      <w:pStyle w:val="Mdeck8references"/>
      <w:lvlText w:val="%1."/>
      <w:lvlJc w:val="left"/>
      <w:pPr>
        <w:ind w:left="988"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B20A64"/>
    <w:multiLevelType w:val="hybridMultilevel"/>
    <w:tmpl w:val="0E4CEBD6"/>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 w:numId="3">
    <w:abstractNumId w:val="3"/>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tz2 microsoft-tz2">
    <w15:presenceInfo w15:providerId="Windows Live" w15:userId="973684391333a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F"/>
    <w:rsid w:val="00001782"/>
    <w:rsid w:val="00001CE3"/>
    <w:rsid w:val="00001ED8"/>
    <w:rsid w:val="00005B59"/>
    <w:rsid w:val="0001337A"/>
    <w:rsid w:val="00013ED9"/>
    <w:rsid w:val="00016EE6"/>
    <w:rsid w:val="00022B28"/>
    <w:rsid w:val="000258D3"/>
    <w:rsid w:val="000328A4"/>
    <w:rsid w:val="000601C9"/>
    <w:rsid w:val="00065117"/>
    <w:rsid w:val="00077400"/>
    <w:rsid w:val="000802CD"/>
    <w:rsid w:val="00083AA7"/>
    <w:rsid w:val="00084891"/>
    <w:rsid w:val="00085DA9"/>
    <w:rsid w:val="00091BD0"/>
    <w:rsid w:val="000944EF"/>
    <w:rsid w:val="00094ABA"/>
    <w:rsid w:val="000B0390"/>
    <w:rsid w:val="000B0C86"/>
    <w:rsid w:val="000B2A8B"/>
    <w:rsid w:val="000C1065"/>
    <w:rsid w:val="000C214A"/>
    <w:rsid w:val="000C239F"/>
    <w:rsid w:val="000C7647"/>
    <w:rsid w:val="000D123E"/>
    <w:rsid w:val="000D35FC"/>
    <w:rsid w:val="000E273F"/>
    <w:rsid w:val="000E6CFE"/>
    <w:rsid w:val="000E70F0"/>
    <w:rsid w:val="000E7E9C"/>
    <w:rsid w:val="000F0006"/>
    <w:rsid w:val="000F50E6"/>
    <w:rsid w:val="000F7819"/>
    <w:rsid w:val="00101479"/>
    <w:rsid w:val="001023E5"/>
    <w:rsid w:val="00102B16"/>
    <w:rsid w:val="00106F06"/>
    <w:rsid w:val="00112E3A"/>
    <w:rsid w:val="001174E8"/>
    <w:rsid w:val="001215F7"/>
    <w:rsid w:val="00124B35"/>
    <w:rsid w:val="00124CD6"/>
    <w:rsid w:val="001307AB"/>
    <w:rsid w:val="001310F3"/>
    <w:rsid w:val="00133FF0"/>
    <w:rsid w:val="0013520D"/>
    <w:rsid w:val="00140430"/>
    <w:rsid w:val="00143D03"/>
    <w:rsid w:val="00150A58"/>
    <w:rsid w:val="00153F87"/>
    <w:rsid w:val="00154E5E"/>
    <w:rsid w:val="00155578"/>
    <w:rsid w:val="00155E63"/>
    <w:rsid w:val="00157B53"/>
    <w:rsid w:val="00160197"/>
    <w:rsid w:val="001712A7"/>
    <w:rsid w:val="00173EE0"/>
    <w:rsid w:val="00176580"/>
    <w:rsid w:val="00181A53"/>
    <w:rsid w:val="00181E66"/>
    <w:rsid w:val="001848FA"/>
    <w:rsid w:val="0019163C"/>
    <w:rsid w:val="001916F3"/>
    <w:rsid w:val="00194CB7"/>
    <w:rsid w:val="00194E1F"/>
    <w:rsid w:val="00196980"/>
    <w:rsid w:val="00197737"/>
    <w:rsid w:val="001A5160"/>
    <w:rsid w:val="001A77D4"/>
    <w:rsid w:val="001B1C12"/>
    <w:rsid w:val="001B24D9"/>
    <w:rsid w:val="001B2696"/>
    <w:rsid w:val="001B2F3C"/>
    <w:rsid w:val="001B330F"/>
    <w:rsid w:val="001C4160"/>
    <w:rsid w:val="001C4521"/>
    <w:rsid w:val="001D08F0"/>
    <w:rsid w:val="001D112E"/>
    <w:rsid w:val="001D545E"/>
    <w:rsid w:val="001D5E1D"/>
    <w:rsid w:val="001D6F6D"/>
    <w:rsid w:val="001E25AF"/>
    <w:rsid w:val="001F3350"/>
    <w:rsid w:val="00200D48"/>
    <w:rsid w:val="00202E17"/>
    <w:rsid w:val="00206F9D"/>
    <w:rsid w:val="002078BC"/>
    <w:rsid w:val="00212001"/>
    <w:rsid w:val="00214D81"/>
    <w:rsid w:val="0022119B"/>
    <w:rsid w:val="00223E27"/>
    <w:rsid w:val="00225684"/>
    <w:rsid w:val="00226985"/>
    <w:rsid w:val="002313ED"/>
    <w:rsid w:val="00231416"/>
    <w:rsid w:val="002321D0"/>
    <w:rsid w:val="00236D42"/>
    <w:rsid w:val="00240199"/>
    <w:rsid w:val="002501EC"/>
    <w:rsid w:val="002552C1"/>
    <w:rsid w:val="0026679C"/>
    <w:rsid w:val="0026776A"/>
    <w:rsid w:val="0027307C"/>
    <w:rsid w:val="00273593"/>
    <w:rsid w:val="002742C2"/>
    <w:rsid w:val="0027726E"/>
    <w:rsid w:val="00285819"/>
    <w:rsid w:val="00290587"/>
    <w:rsid w:val="00291019"/>
    <w:rsid w:val="002A0844"/>
    <w:rsid w:val="002A09DE"/>
    <w:rsid w:val="002A33A3"/>
    <w:rsid w:val="002A3DAE"/>
    <w:rsid w:val="002A6F07"/>
    <w:rsid w:val="002A714F"/>
    <w:rsid w:val="002B34AB"/>
    <w:rsid w:val="002B44CF"/>
    <w:rsid w:val="002C11E7"/>
    <w:rsid w:val="002C1681"/>
    <w:rsid w:val="002C24B9"/>
    <w:rsid w:val="002D383A"/>
    <w:rsid w:val="002D50EF"/>
    <w:rsid w:val="002D7D53"/>
    <w:rsid w:val="002E08FE"/>
    <w:rsid w:val="002E0B45"/>
    <w:rsid w:val="002E2C6E"/>
    <w:rsid w:val="002E3210"/>
    <w:rsid w:val="002E3265"/>
    <w:rsid w:val="002E4049"/>
    <w:rsid w:val="002E6783"/>
    <w:rsid w:val="002E78C7"/>
    <w:rsid w:val="002F6A5C"/>
    <w:rsid w:val="002F7471"/>
    <w:rsid w:val="002F7EFD"/>
    <w:rsid w:val="00300320"/>
    <w:rsid w:val="00310CFC"/>
    <w:rsid w:val="0031222C"/>
    <w:rsid w:val="00316771"/>
    <w:rsid w:val="00316D1D"/>
    <w:rsid w:val="0031723D"/>
    <w:rsid w:val="00326135"/>
    <w:rsid w:val="003275B0"/>
    <w:rsid w:val="00334DD1"/>
    <w:rsid w:val="00334F40"/>
    <w:rsid w:val="00342385"/>
    <w:rsid w:val="003438F6"/>
    <w:rsid w:val="00346600"/>
    <w:rsid w:val="00355218"/>
    <w:rsid w:val="00356F59"/>
    <w:rsid w:val="00357140"/>
    <w:rsid w:val="00364414"/>
    <w:rsid w:val="00365D6B"/>
    <w:rsid w:val="003667F5"/>
    <w:rsid w:val="00371378"/>
    <w:rsid w:val="00371668"/>
    <w:rsid w:val="003752C9"/>
    <w:rsid w:val="0037670E"/>
    <w:rsid w:val="00383FC6"/>
    <w:rsid w:val="0039229C"/>
    <w:rsid w:val="003979C5"/>
    <w:rsid w:val="00397A90"/>
    <w:rsid w:val="003A16FC"/>
    <w:rsid w:val="003A49B4"/>
    <w:rsid w:val="003A5F05"/>
    <w:rsid w:val="003A711F"/>
    <w:rsid w:val="003B0494"/>
    <w:rsid w:val="003B07B7"/>
    <w:rsid w:val="003B4B7C"/>
    <w:rsid w:val="003B5337"/>
    <w:rsid w:val="003B6282"/>
    <w:rsid w:val="003C05D2"/>
    <w:rsid w:val="003C10CD"/>
    <w:rsid w:val="003C5277"/>
    <w:rsid w:val="003C657B"/>
    <w:rsid w:val="003D2C82"/>
    <w:rsid w:val="003D4347"/>
    <w:rsid w:val="003D5038"/>
    <w:rsid w:val="003E430F"/>
    <w:rsid w:val="003E5B76"/>
    <w:rsid w:val="003E69B5"/>
    <w:rsid w:val="003E76BB"/>
    <w:rsid w:val="003E78B6"/>
    <w:rsid w:val="003F0910"/>
    <w:rsid w:val="003F6452"/>
    <w:rsid w:val="003F7429"/>
    <w:rsid w:val="003F7C94"/>
    <w:rsid w:val="003F7FA4"/>
    <w:rsid w:val="00400C48"/>
    <w:rsid w:val="0040177F"/>
    <w:rsid w:val="00402630"/>
    <w:rsid w:val="004035F9"/>
    <w:rsid w:val="00404C4F"/>
    <w:rsid w:val="004067D4"/>
    <w:rsid w:val="00406B12"/>
    <w:rsid w:val="0040775C"/>
    <w:rsid w:val="00410693"/>
    <w:rsid w:val="00413992"/>
    <w:rsid w:val="004162BE"/>
    <w:rsid w:val="00423749"/>
    <w:rsid w:val="00423F5C"/>
    <w:rsid w:val="00425422"/>
    <w:rsid w:val="00425521"/>
    <w:rsid w:val="00434D17"/>
    <w:rsid w:val="00435236"/>
    <w:rsid w:val="0043757E"/>
    <w:rsid w:val="0044290D"/>
    <w:rsid w:val="00445653"/>
    <w:rsid w:val="00446EEC"/>
    <w:rsid w:val="00447A05"/>
    <w:rsid w:val="004523CA"/>
    <w:rsid w:val="00452DA6"/>
    <w:rsid w:val="0045336C"/>
    <w:rsid w:val="004544A0"/>
    <w:rsid w:val="00456B65"/>
    <w:rsid w:val="0046256F"/>
    <w:rsid w:val="0046306A"/>
    <w:rsid w:val="00466235"/>
    <w:rsid w:val="00467CE3"/>
    <w:rsid w:val="00471550"/>
    <w:rsid w:val="00473252"/>
    <w:rsid w:val="00473395"/>
    <w:rsid w:val="00473A58"/>
    <w:rsid w:val="0047688A"/>
    <w:rsid w:val="004774D1"/>
    <w:rsid w:val="00480453"/>
    <w:rsid w:val="00481C7C"/>
    <w:rsid w:val="00482AEF"/>
    <w:rsid w:val="0048619C"/>
    <w:rsid w:val="004870A4"/>
    <w:rsid w:val="00490665"/>
    <w:rsid w:val="00490E00"/>
    <w:rsid w:val="00491FBF"/>
    <w:rsid w:val="00494BF8"/>
    <w:rsid w:val="004975D5"/>
    <w:rsid w:val="004A39A0"/>
    <w:rsid w:val="004A418E"/>
    <w:rsid w:val="004B0E11"/>
    <w:rsid w:val="004B790C"/>
    <w:rsid w:val="004C24E3"/>
    <w:rsid w:val="004C39FD"/>
    <w:rsid w:val="004C3A48"/>
    <w:rsid w:val="004C3E86"/>
    <w:rsid w:val="004C6708"/>
    <w:rsid w:val="004C72B0"/>
    <w:rsid w:val="004C7FF2"/>
    <w:rsid w:val="004D29A7"/>
    <w:rsid w:val="004D3DF6"/>
    <w:rsid w:val="004D5A8B"/>
    <w:rsid w:val="004E442E"/>
    <w:rsid w:val="004E55EE"/>
    <w:rsid w:val="004E5E21"/>
    <w:rsid w:val="004E7173"/>
    <w:rsid w:val="004F05BA"/>
    <w:rsid w:val="004F10C2"/>
    <w:rsid w:val="004F33AB"/>
    <w:rsid w:val="004F6D7F"/>
    <w:rsid w:val="00501C90"/>
    <w:rsid w:val="00504502"/>
    <w:rsid w:val="00512619"/>
    <w:rsid w:val="005151AA"/>
    <w:rsid w:val="00515324"/>
    <w:rsid w:val="005179EB"/>
    <w:rsid w:val="00520253"/>
    <w:rsid w:val="00523C01"/>
    <w:rsid w:val="0053144D"/>
    <w:rsid w:val="00533802"/>
    <w:rsid w:val="00534945"/>
    <w:rsid w:val="00540562"/>
    <w:rsid w:val="0054335F"/>
    <w:rsid w:val="00550806"/>
    <w:rsid w:val="005570E9"/>
    <w:rsid w:val="00562516"/>
    <w:rsid w:val="00563564"/>
    <w:rsid w:val="00563D7C"/>
    <w:rsid w:val="005648EB"/>
    <w:rsid w:val="00566960"/>
    <w:rsid w:val="00566BFB"/>
    <w:rsid w:val="005700BD"/>
    <w:rsid w:val="00571B88"/>
    <w:rsid w:val="00582E0D"/>
    <w:rsid w:val="00585ADD"/>
    <w:rsid w:val="00587144"/>
    <w:rsid w:val="00591F94"/>
    <w:rsid w:val="0059221B"/>
    <w:rsid w:val="00592B41"/>
    <w:rsid w:val="005932D6"/>
    <w:rsid w:val="00594AE6"/>
    <w:rsid w:val="005A1A28"/>
    <w:rsid w:val="005A1F84"/>
    <w:rsid w:val="005A7C9A"/>
    <w:rsid w:val="005B00AC"/>
    <w:rsid w:val="005B14D8"/>
    <w:rsid w:val="005B2669"/>
    <w:rsid w:val="005B2F9D"/>
    <w:rsid w:val="005B482C"/>
    <w:rsid w:val="005B56E1"/>
    <w:rsid w:val="005C05F4"/>
    <w:rsid w:val="005C41E6"/>
    <w:rsid w:val="005C5F28"/>
    <w:rsid w:val="005C686B"/>
    <w:rsid w:val="005C73CD"/>
    <w:rsid w:val="005D0EC5"/>
    <w:rsid w:val="005D1439"/>
    <w:rsid w:val="005D25AA"/>
    <w:rsid w:val="005D3A21"/>
    <w:rsid w:val="005D570A"/>
    <w:rsid w:val="005D62AC"/>
    <w:rsid w:val="005D725E"/>
    <w:rsid w:val="005E1FB0"/>
    <w:rsid w:val="005E69C7"/>
    <w:rsid w:val="005E71B7"/>
    <w:rsid w:val="005E737F"/>
    <w:rsid w:val="005F0B0E"/>
    <w:rsid w:val="005F1C4C"/>
    <w:rsid w:val="005F3454"/>
    <w:rsid w:val="005F49B6"/>
    <w:rsid w:val="00602B56"/>
    <w:rsid w:val="006044C7"/>
    <w:rsid w:val="00604D69"/>
    <w:rsid w:val="0061011F"/>
    <w:rsid w:val="00616026"/>
    <w:rsid w:val="00616BCA"/>
    <w:rsid w:val="006203AD"/>
    <w:rsid w:val="006250B5"/>
    <w:rsid w:val="00625CA3"/>
    <w:rsid w:val="00625EF5"/>
    <w:rsid w:val="006306EB"/>
    <w:rsid w:val="006307D4"/>
    <w:rsid w:val="006323C4"/>
    <w:rsid w:val="00633F1C"/>
    <w:rsid w:val="00634676"/>
    <w:rsid w:val="0063698F"/>
    <w:rsid w:val="00636F1B"/>
    <w:rsid w:val="00641058"/>
    <w:rsid w:val="006427C2"/>
    <w:rsid w:val="00644555"/>
    <w:rsid w:val="00644759"/>
    <w:rsid w:val="00645056"/>
    <w:rsid w:val="00647EAF"/>
    <w:rsid w:val="00655DD2"/>
    <w:rsid w:val="0065608A"/>
    <w:rsid w:val="00660F95"/>
    <w:rsid w:val="00662501"/>
    <w:rsid w:val="00663A93"/>
    <w:rsid w:val="00665B2E"/>
    <w:rsid w:val="00665F07"/>
    <w:rsid w:val="006677BD"/>
    <w:rsid w:val="006740FB"/>
    <w:rsid w:val="00676405"/>
    <w:rsid w:val="006812A6"/>
    <w:rsid w:val="00684482"/>
    <w:rsid w:val="006911DE"/>
    <w:rsid w:val="0069272B"/>
    <w:rsid w:val="00693EE8"/>
    <w:rsid w:val="00697205"/>
    <w:rsid w:val="006A0749"/>
    <w:rsid w:val="006A0E29"/>
    <w:rsid w:val="006A1977"/>
    <w:rsid w:val="006B16DF"/>
    <w:rsid w:val="006B3475"/>
    <w:rsid w:val="006B7D68"/>
    <w:rsid w:val="006C5B61"/>
    <w:rsid w:val="006C5E7A"/>
    <w:rsid w:val="006D00BD"/>
    <w:rsid w:val="006D065D"/>
    <w:rsid w:val="006D0F0C"/>
    <w:rsid w:val="006D2C4D"/>
    <w:rsid w:val="006D5B30"/>
    <w:rsid w:val="006E70BC"/>
    <w:rsid w:val="006F0D13"/>
    <w:rsid w:val="006F16A0"/>
    <w:rsid w:val="006F1E76"/>
    <w:rsid w:val="006F689B"/>
    <w:rsid w:val="006F6B1F"/>
    <w:rsid w:val="007023D7"/>
    <w:rsid w:val="007033B2"/>
    <w:rsid w:val="00705294"/>
    <w:rsid w:val="007052CE"/>
    <w:rsid w:val="00710A8C"/>
    <w:rsid w:val="007157EC"/>
    <w:rsid w:val="007165AC"/>
    <w:rsid w:val="007210E3"/>
    <w:rsid w:val="007238A6"/>
    <w:rsid w:val="00723B2B"/>
    <w:rsid w:val="00723CF7"/>
    <w:rsid w:val="00725849"/>
    <w:rsid w:val="00726663"/>
    <w:rsid w:val="00735619"/>
    <w:rsid w:val="00735E34"/>
    <w:rsid w:val="00737741"/>
    <w:rsid w:val="00740841"/>
    <w:rsid w:val="00740D19"/>
    <w:rsid w:val="00744062"/>
    <w:rsid w:val="00745783"/>
    <w:rsid w:val="007476FE"/>
    <w:rsid w:val="00756E24"/>
    <w:rsid w:val="007602A6"/>
    <w:rsid w:val="00761F96"/>
    <w:rsid w:val="00762A27"/>
    <w:rsid w:val="007703BA"/>
    <w:rsid w:val="00770A7B"/>
    <w:rsid w:val="00771E98"/>
    <w:rsid w:val="00774E10"/>
    <w:rsid w:val="0078510A"/>
    <w:rsid w:val="00790FD9"/>
    <w:rsid w:val="00793235"/>
    <w:rsid w:val="00794360"/>
    <w:rsid w:val="00795C94"/>
    <w:rsid w:val="007A02AC"/>
    <w:rsid w:val="007A258A"/>
    <w:rsid w:val="007A3695"/>
    <w:rsid w:val="007A6B4B"/>
    <w:rsid w:val="007C226F"/>
    <w:rsid w:val="007C566B"/>
    <w:rsid w:val="007C7411"/>
    <w:rsid w:val="007C7CFD"/>
    <w:rsid w:val="007C7FDF"/>
    <w:rsid w:val="007D25FD"/>
    <w:rsid w:val="007D2BC5"/>
    <w:rsid w:val="007D3D8F"/>
    <w:rsid w:val="007E786A"/>
    <w:rsid w:val="007F15A1"/>
    <w:rsid w:val="007F225D"/>
    <w:rsid w:val="007F4F13"/>
    <w:rsid w:val="007F6D2D"/>
    <w:rsid w:val="007F7CB5"/>
    <w:rsid w:val="00800043"/>
    <w:rsid w:val="00803CBB"/>
    <w:rsid w:val="0080429F"/>
    <w:rsid w:val="0081003A"/>
    <w:rsid w:val="00811D2B"/>
    <w:rsid w:val="00812F29"/>
    <w:rsid w:val="008140AC"/>
    <w:rsid w:val="008148E9"/>
    <w:rsid w:val="00817260"/>
    <w:rsid w:val="00820F68"/>
    <w:rsid w:val="00821EEF"/>
    <w:rsid w:val="00822084"/>
    <w:rsid w:val="008249DA"/>
    <w:rsid w:val="0082776F"/>
    <w:rsid w:val="00831296"/>
    <w:rsid w:val="008327D8"/>
    <w:rsid w:val="0083354A"/>
    <w:rsid w:val="008337E2"/>
    <w:rsid w:val="00854741"/>
    <w:rsid w:val="00855D5E"/>
    <w:rsid w:val="00855EA7"/>
    <w:rsid w:val="00856A25"/>
    <w:rsid w:val="0086574F"/>
    <w:rsid w:val="00865FF6"/>
    <w:rsid w:val="00867076"/>
    <w:rsid w:val="00871F6E"/>
    <w:rsid w:val="00872595"/>
    <w:rsid w:val="00885764"/>
    <w:rsid w:val="00897AAC"/>
    <w:rsid w:val="008A29E1"/>
    <w:rsid w:val="008A2DFE"/>
    <w:rsid w:val="008B015E"/>
    <w:rsid w:val="008B108B"/>
    <w:rsid w:val="008B12D2"/>
    <w:rsid w:val="008B4ED1"/>
    <w:rsid w:val="008C6568"/>
    <w:rsid w:val="008D03DE"/>
    <w:rsid w:val="008D07D1"/>
    <w:rsid w:val="008D7267"/>
    <w:rsid w:val="008E1E06"/>
    <w:rsid w:val="008E401F"/>
    <w:rsid w:val="008E486F"/>
    <w:rsid w:val="008E4F27"/>
    <w:rsid w:val="0090279E"/>
    <w:rsid w:val="00902B66"/>
    <w:rsid w:val="00906BAA"/>
    <w:rsid w:val="00911979"/>
    <w:rsid w:val="0091325B"/>
    <w:rsid w:val="00914EF0"/>
    <w:rsid w:val="00922B5C"/>
    <w:rsid w:val="0092619A"/>
    <w:rsid w:val="00932D24"/>
    <w:rsid w:val="00936EEC"/>
    <w:rsid w:val="00940786"/>
    <w:rsid w:val="00940DE2"/>
    <w:rsid w:val="00941632"/>
    <w:rsid w:val="00943BF1"/>
    <w:rsid w:val="009460A1"/>
    <w:rsid w:val="00955004"/>
    <w:rsid w:val="00956599"/>
    <w:rsid w:val="00956A94"/>
    <w:rsid w:val="00957C5A"/>
    <w:rsid w:val="009605C7"/>
    <w:rsid w:val="009674DD"/>
    <w:rsid w:val="00972437"/>
    <w:rsid w:val="009725E2"/>
    <w:rsid w:val="00974779"/>
    <w:rsid w:val="00975D1D"/>
    <w:rsid w:val="0098342B"/>
    <w:rsid w:val="009877EC"/>
    <w:rsid w:val="00990380"/>
    <w:rsid w:val="00992EAA"/>
    <w:rsid w:val="00995BF2"/>
    <w:rsid w:val="00995E41"/>
    <w:rsid w:val="009A272F"/>
    <w:rsid w:val="009A46E4"/>
    <w:rsid w:val="009A5E78"/>
    <w:rsid w:val="009A64D7"/>
    <w:rsid w:val="009A7062"/>
    <w:rsid w:val="009A73D6"/>
    <w:rsid w:val="009B6092"/>
    <w:rsid w:val="009B751F"/>
    <w:rsid w:val="009B7A41"/>
    <w:rsid w:val="009C1A7F"/>
    <w:rsid w:val="009C1E95"/>
    <w:rsid w:val="009C340D"/>
    <w:rsid w:val="009C3AFC"/>
    <w:rsid w:val="009C3BB0"/>
    <w:rsid w:val="009C53B0"/>
    <w:rsid w:val="009D5F4C"/>
    <w:rsid w:val="009D6567"/>
    <w:rsid w:val="009D7151"/>
    <w:rsid w:val="009D7733"/>
    <w:rsid w:val="009E2DD2"/>
    <w:rsid w:val="009E4DEA"/>
    <w:rsid w:val="009F5D71"/>
    <w:rsid w:val="009F7BA2"/>
    <w:rsid w:val="00A079C9"/>
    <w:rsid w:val="00A124EB"/>
    <w:rsid w:val="00A23BED"/>
    <w:rsid w:val="00A3161F"/>
    <w:rsid w:val="00A31916"/>
    <w:rsid w:val="00A36A10"/>
    <w:rsid w:val="00A43D5D"/>
    <w:rsid w:val="00A50B33"/>
    <w:rsid w:val="00A50B4D"/>
    <w:rsid w:val="00A564DE"/>
    <w:rsid w:val="00A738B0"/>
    <w:rsid w:val="00A74156"/>
    <w:rsid w:val="00A76B0F"/>
    <w:rsid w:val="00A80AA7"/>
    <w:rsid w:val="00A86028"/>
    <w:rsid w:val="00A9240A"/>
    <w:rsid w:val="00A931AC"/>
    <w:rsid w:val="00A95D59"/>
    <w:rsid w:val="00A970CE"/>
    <w:rsid w:val="00AA096B"/>
    <w:rsid w:val="00AA258C"/>
    <w:rsid w:val="00AA6C02"/>
    <w:rsid w:val="00AB28BD"/>
    <w:rsid w:val="00AB29C9"/>
    <w:rsid w:val="00AB38A9"/>
    <w:rsid w:val="00AC266E"/>
    <w:rsid w:val="00AC30EF"/>
    <w:rsid w:val="00AC3BF6"/>
    <w:rsid w:val="00AC4560"/>
    <w:rsid w:val="00AC63F1"/>
    <w:rsid w:val="00AD4CAF"/>
    <w:rsid w:val="00AE35AA"/>
    <w:rsid w:val="00AE443F"/>
    <w:rsid w:val="00AE6D6E"/>
    <w:rsid w:val="00AF1399"/>
    <w:rsid w:val="00AF7EC9"/>
    <w:rsid w:val="00B00A3F"/>
    <w:rsid w:val="00B03961"/>
    <w:rsid w:val="00B065F9"/>
    <w:rsid w:val="00B06CF5"/>
    <w:rsid w:val="00B11D4A"/>
    <w:rsid w:val="00B15B64"/>
    <w:rsid w:val="00B15FB9"/>
    <w:rsid w:val="00B20D0A"/>
    <w:rsid w:val="00B2351E"/>
    <w:rsid w:val="00B2384C"/>
    <w:rsid w:val="00B27505"/>
    <w:rsid w:val="00B30360"/>
    <w:rsid w:val="00B35A3E"/>
    <w:rsid w:val="00B41F21"/>
    <w:rsid w:val="00B4315E"/>
    <w:rsid w:val="00B44919"/>
    <w:rsid w:val="00B45974"/>
    <w:rsid w:val="00B512BE"/>
    <w:rsid w:val="00B55410"/>
    <w:rsid w:val="00B60D4B"/>
    <w:rsid w:val="00B7322B"/>
    <w:rsid w:val="00B74DB8"/>
    <w:rsid w:val="00B761AD"/>
    <w:rsid w:val="00B77F00"/>
    <w:rsid w:val="00B8056C"/>
    <w:rsid w:val="00B8162B"/>
    <w:rsid w:val="00B81B35"/>
    <w:rsid w:val="00B856CA"/>
    <w:rsid w:val="00B91CAB"/>
    <w:rsid w:val="00B93CE3"/>
    <w:rsid w:val="00B9501B"/>
    <w:rsid w:val="00B96DDD"/>
    <w:rsid w:val="00B96EDA"/>
    <w:rsid w:val="00BA2BFC"/>
    <w:rsid w:val="00BA3427"/>
    <w:rsid w:val="00BA71E6"/>
    <w:rsid w:val="00BB427F"/>
    <w:rsid w:val="00BB6B99"/>
    <w:rsid w:val="00BC42C6"/>
    <w:rsid w:val="00BC44A0"/>
    <w:rsid w:val="00BC7E22"/>
    <w:rsid w:val="00BD1F27"/>
    <w:rsid w:val="00BD332D"/>
    <w:rsid w:val="00BD3A7B"/>
    <w:rsid w:val="00BD47B5"/>
    <w:rsid w:val="00BD55A6"/>
    <w:rsid w:val="00BD6AC2"/>
    <w:rsid w:val="00BE51E0"/>
    <w:rsid w:val="00BE5B7F"/>
    <w:rsid w:val="00BE7CC6"/>
    <w:rsid w:val="00BF2DB6"/>
    <w:rsid w:val="00BF4A30"/>
    <w:rsid w:val="00BF4FFB"/>
    <w:rsid w:val="00BF6E76"/>
    <w:rsid w:val="00C008BB"/>
    <w:rsid w:val="00C012BA"/>
    <w:rsid w:val="00C0227A"/>
    <w:rsid w:val="00C071AA"/>
    <w:rsid w:val="00C14B6A"/>
    <w:rsid w:val="00C15B0D"/>
    <w:rsid w:val="00C15BFD"/>
    <w:rsid w:val="00C1693B"/>
    <w:rsid w:val="00C17B04"/>
    <w:rsid w:val="00C21912"/>
    <w:rsid w:val="00C23054"/>
    <w:rsid w:val="00C24829"/>
    <w:rsid w:val="00C30F15"/>
    <w:rsid w:val="00C30F29"/>
    <w:rsid w:val="00C337BA"/>
    <w:rsid w:val="00C361C4"/>
    <w:rsid w:val="00C4075F"/>
    <w:rsid w:val="00C43398"/>
    <w:rsid w:val="00C52F15"/>
    <w:rsid w:val="00C53E4F"/>
    <w:rsid w:val="00C53FF8"/>
    <w:rsid w:val="00C543D0"/>
    <w:rsid w:val="00C6440B"/>
    <w:rsid w:val="00C67968"/>
    <w:rsid w:val="00C72A92"/>
    <w:rsid w:val="00C84D92"/>
    <w:rsid w:val="00C8770D"/>
    <w:rsid w:val="00C90BFE"/>
    <w:rsid w:val="00C92F43"/>
    <w:rsid w:val="00C93B4D"/>
    <w:rsid w:val="00C950E3"/>
    <w:rsid w:val="00C96173"/>
    <w:rsid w:val="00C963B3"/>
    <w:rsid w:val="00C966A2"/>
    <w:rsid w:val="00C9797E"/>
    <w:rsid w:val="00CA10AC"/>
    <w:rsid w:val="00CA1F92"/>
    <w:rsid w:val="00CA5E9A"/>
    <w:rsid w:val="00CB2A87"/>
    <w:rsid w:val="00CC5F64"/>
    <w:rsid w:val="00CC6F2F"/>
    <w:rsid w:val="00CC7B14"/>
    <w:rsid w:val="00CD35DD"/>
    <w:rsid w:val="00CE344A"/>
    <w:rsid w:val="00CE43C2"/>
    <w:rsid w:val="00CE5827"/>
    <w:rsid w:val="00CF29C0"/>
    <w:rsid w:val="00CF4F5F"/>
    <w:rsid w:val="00D000FD"/>
    <w:rsid w:val="00D003DC"/>
    <w:rsid w:val="00D02676"/>
    <w:rsid w:val="00D168A0"/>
    <w:rsid w:val="00D20E13"/>
    <w:rsid w:val="00D217E3"/>
    <w:rsid w:val="00D233E6"/>
    <w:rsid w:val="00D35C72"/>
    <w:rsid w:val="00D37DC5"/>
    <w:rsid w:val="00D4077C"/>
    <w:rsid w:val="00D421E8"/>
    <w:rsid w:val="00D42F75"/>
    <w:rsid w:val="00D479CC"/>
    <w:rsid w:val="00D61CB7"/>
    <w:rsid w:val="00D64E51"/>
    <w:rsid w:val="00D67EE1"/>
    <w:rsid w:val="00D70982"/>
    <w:rsid w:val="00D70FD6"/>
    <w:rsid w:val="00D71480"/>
    <w:rsid w:val="00D805B3"/>
    <w:rsid w:val="00D84199"/>
    <w:rsid w:val="00D8586C"/>
    <w:rsid w:val="00D86065"/>
    <w:rsid w:val="00D960B8"/>
    <w:rsid w:val="00DA0E98"/>
    <w:rsid w:val="00DA1C4A"/>
    <w:rsid w:val="00DA5CC1"/>
    <w:rsid w:val="00DB20CA"/>
    <w:rsid w:val="00DB2976"/>
    <w:rsid w:val="00DB3C1A"/>
    <w:rsid w:val="00DB3E50"/>
    <w:rsid w:val="00DB58DE"/>
    <w:rsid w:val="00DB78EC"/>
    <w:rsid w:val="00DC1D2D"/>
    <w:rsid w:val="00DC30E9"/>
    <w:rsid w:val="00DC51C2"/>
    <w:rsid w:val="00DC5204"/>
    <w:rsid w:val="00DD1317"/>
    <w:rsid w:val="00DD13EB"/>
    <w:rsid w:val="00DD2540"/>
    <w:rsid w:val="00DD4DC2"/>
    <w:rsid w:val="00DD5478"/>
    <w:rsid w:val="00DD73AB"/>
    <w:rsid w:val="00DD7BF7"/>
    <w:rsid w:val="00DE497C"/>
    <w:rsid w:val="00DF0C95"/>
    <w:rsid w:val="00DF3FDC"/>
    <w:rsid w:val="00DF7227"/>
    <w:rsid w:val="00DF7AAA"/>
    <w:rsid w:val="00E00F82"/>
    <w:rsid w:val="00E15686"/>
    <w:rsid w:val="00E1708F"/>
    <w:rsid w:val="00E23D28"/>
    <w:rsid w:val="00E31CF5"/>
    <w:rsid w:val="00E36054"/>
    <w:rsid w:val="00E41D66"/>
    <w:rsid w:val="00E466BD"/>
    <w:rsid w:val="00E565A0"/>
    <w:rsid w:val="00E65BAF"/>
    <w:rsid w:val="00E67728"/>
    <w:rsid w:val="00E70035"/>
    <w:rsid w:val="00E70828"/>
    <w:rsid w:val="00E71DC5"/>
    <w:rsid w:val="00E75144"/>
    <w:rsid w:val="00E77D35"/>
    <w:rsid w:val="00E81D41"/>
    <w:rsid w:val="00E831F8"/>
    <w:rsid w:val="00E83502"/>
    <w:rsid w:val="00E84D2C"/>
    <w:rsid w:val="00E86F40"/>
    <w:rsid w:val="00E9280E"/>
    <w:rsid w:val="00E93243"/>
    <w:rsid w:val="00E96C9C"/>
    <w:rsid w:val="00EA42A8"/>
    <w:rsid w:val="00EA5098"/>
    <w:rsid w:val="00EB1431"/>
    <w:rsid w:val="00EB2063"/>
    <w:rsid w:val="00EB4680"/>
    <w:rsid w:val="00EB7630"/>
    <w:rsid w:val="00EC3464"/>
    <w:rsid w:val="00ED1906"/>
    <w:rsid w:val="00ED3A75"/>
    <w:rsid w:val="00ED4024"/>
    <w:rsid w:val="00ED48C1"/>
    <w:rsid w:val="00EE1DD5"/>
    <w:rsid w:val="00EE2F5C"/>
    <w:rsid w:val="00EE3F47"/>
    <w:rsid w:val="00EE63DA"/>
    <w:rsid w:val="00EF0246"/>
    <w:rsid w:val="00EF0F0B"/>
    <w:rsid w:val="00EF40EE"/>
    <w:rsid w:val="00EF50A4"/>
    <w:rsid w:val="00EF60CC"/>
    <w:rsid w:val="00EF64CB"/>
    <w:rsid w:val="00EF6F33"/>
    <w:rsid w:val="00EF7F12"/>
    <w:rsid w:val="00F04892"/>
    <w:rsid w:val="00F07D36"/>
    <w:rsid w:val="00F110A1"/>
    <w:rsid w:val="00F11ADB"/>
    <w:rsid w:val="00F134F9"/>
    <w:rsid w:val="00F220C0"/>
    <w:rsid w:val="00F24333"/>
    <w:rsid w:val="00F32131"/>
    <w:rsid w:val="00F3322E"/>
    <w:rsid w:val="00F341D4"/>
    <w:rsid w:val="00F34D87"/>
    <w:rsid w:val="00F45263"/>
    <w:rsid w:val="00F47FAC"/>
    <w:rsid w:val="00F5112C"/>
    <w:rsid w:val="00F5120F"/>
    <w:rsid w:val="00F60752"/>
    <w:rsid w:val="00F6177B"/>
    <w:rsid w:val="00F65F24"/>
    <w:rsid w:val="00F71BB1"/>
    <w:rsid w:val="00F737E1"/>
    <w:rsid w:val="00F73804"/>
    <w:rsid w:val="00F76FB7"/>
    <w:rsid w:val="00F81994"/>
    <w:rsid w:val="00F81CFA"/>
    <w:rsid w:val="00F86BF2"/>
    <w:rsid w:val="00F90C7D"/>
    <w:rsid w:val="00F9535B"/>
    <w:rsid w:val="00F95937"/>
    <w:rsid w:val="00F97CE9"/>
    <w:rsid w:val="00FA0789"/>
    <w:rsid w:val="00FA25FE"/>
    <w:rsid w:val="00FA4D3D"/>
    <w:rsid w:val="00FB29C0"/>
    <w:rsid w:val="00FB29D2"/>
    <w:rsid w:val="00FC499D"/>
    <w:rsid w:val="00FC5CE1"/>
    <w:rsid w:val="00FD1545"/>
    <w:rsid w:val="00FD22F3"/>
    <w:rsid w:val="00FD3892"/>
    <w:rsid w:val="00FD771C"/>
    <w:rsid w:val="00FD7BC7"/>
    <w:rsid w:val="00FE37B2"/>
    <w:rsid w:val="00FE39C7"/>
    <w:rsid w:val="00FE4B3D"/>
    <w:rsid w:val="00FE6931"/>
    <w:rsid w:val="00FF1B90"/>
    <w:rsid w:val="00FF3DA6"/>
    <w:rsid w:val="00FF4174"/>
    <w:rsid w:val="00FF6040"/>
    <w:rsid w:val="00FF634A"/>
    <w:rsid w:val="00FF79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C3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CC"/>
    <w:pPr>
      <w:spacing w:line="340" w:lineRule="atLeast"/>
      <w:jc w:val="both"/>
    </w:pPr>
    <w:rPr>
      <w:rFonts w:eastAsia="Times New Roman"/>
      <w:color w:val="000000"/>
      <w:sz w:val="24"/>
      <w:lang w:eastAsia="de-DE"/>
    </w:rPr>
  </w:style>
  <w:style w:type="paragraph" w:styleId="Heading1">
    <w:name w:val="heading 1"/>
    <w:aliases w:val="x"/>
    <w:basedOn w:val="Normal"/>
    <w:next w:val="Normal"/>
    <w:qFormat/>
    <w:rsid w:val="00D479CC"/>
    <w:pPr>
      <w:spacing w:before="240"/>
      <w:outlineLvl w:val="0"/>
    </w:pPr>
    <w:rPr>
      <w:rFonts w:ascii="Arial" w:hAnsi="Arial"/>
      <w:b/>
      <w:u w:val="single"/>
    </w:rPr>
  </w:style>
  <w:style w:type="paragraph" w:styleId="Heading2">
    <w:name w:val="heading 2"/>
    <w:basedOn w:val="Normal"/>
    <w:next w:val="Normal"/>
    <w:qFormat/>
    <w:rsid w:val="00D479CC"/>
    <w:pPr>
      <w:spacing w:before="120"/>
      <w:outlineLvl w:val="1"/>
    </w:pPr>
    <w:rPr>
      <w:rFonts w:ascii="Arial" w:hAnsi="Arial"/>
      <w:b/>
    </w:rPr>
  </w:style>
  <w:style w:type="paragraph" w:styleId="Heading3">
    <w:name w:val="heading 3"/>
    <w:basedOn w:val="Normal"/>
    <w:next w:val="Normal"/>
    <w:qFormat/>
    <w:rsid w:val="00D479CC"/>
    <w:pPr>
      <w:ind w:left="354"/>
      <w:outlineLvl w:val="2"/>
    </w:pPr>
    <w:rPr>
      <w:b/>
    </w:rPr>
  </w:style>
  <w:style w:type="paragraph" w:styleId="Heading4">
    <w:name w:val="heading 4"/>
    <w:basedOn w:val="Normal"/>
    <w:next w:val="Normal"/>
    <w:qFormat/>
    <w:rsid w:val="00D479CC"/>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D479CC"/>
    <w:pPr>
      <w:ind w:left="708"/>
      <w:outlineLvl w:val="4"/>
    </w:pPr>
    <w:rPr>
      <w:b/>
    </w:rPr>
  </w:style>
  <w:style w:type="paragraph" w:styleId="Heading6">
    <w:name w:val="heading 6"/>
    <w:basedOn w:val="Normal"/>
    <w:next w:val="Normal"/>
    <w:qFormat/>
    <w:rsid w:val="00D479CC"/>
    <w:pPr>
      <w:ind w:left="708"/>
      <w:outlineLvl w:val="5"/>
    </w:pPr>
    <w:rPr>
      <w:u w:val="single"/>
    </w:rPr>
  </w:style>
  <w:style w:type="paragraph" w:styleId="Heading7">
    <w:name w:val="heading 7"/>
    <w:basedOn w:val="Normal"/>
    <w:next w:val="Normal"/>
    <w:qFormat/>
    <w:rsid w:val="00D479CC"/>
    <w:pPr>
      <w:ind w:left="708"/>
      <w:outlineLvl w:val="6"/>
    </w:pPr>
    <w:rPr>
      <w:i/>
    </w:rPr>
  </w:style>
  <w:style w:type="paragraph" w:styleId="Heading8">
    <w:name w:val="heading 8"/>
    <w:basedOn w:val="Normal"/>
    <w:next w:val="Normal"/>
    <w:qFormat/>
    <w:rsid w:val="00D479CC"/>
    <w:pPr>
      <w:ind w:left="708"/>
      <w:outlineLvl w:val="7"/>
    </w:pPr>
    <w:rPr>
      <w:i/>
    </w:rPr>
  </w:style>
  <w:style w:type="paragraph" w:styleId="Heading9">
    <w:name w:val="heading 9"/>
    <w:basedOn w:val="Normal"/>
    <w:next w:val="Normal"/>
    <w:qFormat/>
    <w:rsid w:val="00D479CC"/>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D479CC"/>
  </w:style>
  <w:style w:type="paragraph" w:customStyle="1" w:styleId="MTitel">
    <w:name w:val="M_Titel"/>
    <w:basedOn w:val="Normal"/>
    <w:autoRedefine/>
    <w:rsid w:val="00D479CC"/>
    <w:pPr>
      <w:spacing w:before="240" w:line="240" w:lineRule="auto"/>
      <w:jc w:val="left"/>
    </w:pPr>
    <w:rPr>
      <w:b/>
      <w:sz w:val="36"/>
    </w:rPr>
  </w:style>
  <w:style w:type="paragraph" w:customStyle="1" w:styleId="MHeading1">
    <w:name w:val="M_Heading1"/>
    <w:basedOn w:val="Normal"/>
    <w:rsid w:val="00D479CC"/>
    <w:pPr>
      <w:spacing w:before="240" w:after="240"/>
    </w:pPr>
    <w:rPr>
      <w:b/>
    </w:rPr>
  </w:style>
  <w:style w:type="paragraph" w:customStyle="1" w:styleId="MText">
    <w:name w:val="M_Text"/>
    <w:basedOn w:val="Normal"/>
    <w:rsid w:val="00D479CC"/>
    <w:pPr>
      <w:ind w:firstLine="284"/>
    </w:pPr>
  </w:style>
  <w:style w:type="paragraph" w:customStyle="1" w:styleId="MHeading2">
    <w:name w:val="M_Heading2"/>
    <w:basedOn w:val="Normal"/>
    <w:rsid w:val="00D479CC"/>
    <w:pPr>
      <w:spacing w:before="240" w:after="240"/>
    </w:pPr>
    <w:rPr>
      <w:i/>
    </w:rPr>
  </w:style>
  <w:style w:type="paragraph" w:customStyle="1" w:styleId="MHeading3">
    <w:name w:val="M_Heading3"/>
    <w:basedOn w:val="Normal"/>
    <w:rsid w:val="00D479CC"/>
    <w:pPr>
      <w:spacing w:before="240" w:after="240"/>
    </w:pPr>
  </w:style>
  <w:style w:type="paragraph" w:customStyle="1" w:styleId="MAcknow">
    <w:name w:val="M_Acknow"/>
    <w:basedOn w:val="Normal"/>
    <w:rsid w:val="00D479CC"/>
  </w:style>
  <w:style w:type="paragraph" w:customStyle="1" w:styleId="MRefer">
    <w:name w:val="M_Refer"/>
    <w:basedOn w:val="Normal"/>
    <w:rsid w:val="00D479CC"/>
    <w:pPr>
      <w:ind w:left="454" w:hanging="454"/>
    </w:pPr>
  </w:style>
  <w:style w:type="paragraph" w:customStyle="1" w:styleId="MCaption">
    <w:name w:val="M_Caption"/>
    <w:basedOn w:val="Normal"/>
    <w:rsid w:val="00D479CC"/>
    <w:pPr>
      <w:spacing w:before="240" w:after="240"/>
      <w:jc w:val="center"/>
    </w:pPr>
  </w:style>
  <w:style w:type="paragraph" w:customStyle="1" w:styleId="MFigure">
    <w:name w:val="M_Figure"/>
    <w:basedOn w:val="Normal"/>
    <w:rsid w:val="00D479CC"/>
    <w:pPr>
      <w:spacing w:before="240" w:line="240" w:lineRule="auto"/>
      <w:jc w:val="center"/>
    </w:pPr>
  </w:style>
  <w:style w:type="paragraph" w:customStyle="1" w:styleId="Mtable">
    <w:name w:val="M_table"/>
    <w:basedOn w:val="Normal"/>
    <w:rsid w:val="00D479CC"/>
    <w:pPr>
      <w:keepNext/>
      <w:tabs>
        <w:tab w:val="left" w:pos="284"/>
      </w:tabs>
    </w:pPr>
    <w:rPr>
      <w:color w:val="auto"/>
    </w:rPr>
  </w:style>
  <w:style w:type="paragraph" w:customStyle="1" w:styleId="Mabstract">
    <w:name w:val="M_abstract"/>
    <w:basedOn w:val="Normal"/>
    <w:rsid w:val="00D479CC"/>
    <w:pPr>
      <w:spacing w:before="240"/>
      <w:ind w:left="510" w:right="510"/>
    </w:pPr>
  </w:style>
  <w:style w:type="paragraph" w:customStyle="1" w:styleId="Maddress">
    <w:name w:val="M_address"/>
    <w:basedOn w:val="Normal"/>
    <w:rsid w:val="00D479CC"/>
    <w:pPr>
      <w:spacing w:before="240"/>
      <w:jc w:val="left"/>
    </w:pPr>
  </w:style>
  <w:style w:type="paragraph" w:customStyle="1" w:styleId="Mauthor">
    <w:name w:val="M_author"/>
    <w:basedOn w:val="Normal"/>
    <w:autoRedefine/>
    <w:rsid w:val="00585ADD"/>
    <w:pPr>
      <w:spacing w:before="240" w:after="240"/>
      <w:jc w:val="left"/>
    </w:pPr>
    <w:rPr>
      <w:b/>
      <w:lang w:val="it-IT"/>
    </w:rPr>
  </w:style>
  <w:style w:type="paragraph" w:customStyle="1" w:styleId="Mreceived">
    <w:name w:val="M_received"/>
    <w:basedOn w:val="Maddress"/>
    <w:rsid w:val="00D479CC"/>
    <w:rPr>
      <w:i/>
    </w:rPr>
  </w:style>
  <w:style w:type="paragraph" w:customStyle="1" w:styleId="Mline2">
    <w:name w:val="M_line2"/>
    <w:basedOn w:val="Normal"/>
    <w:rsid w:val="00D479CC"/>
    <w:pPr>
      <w:pBdr>
        <w:bottom w:val="single" w:sz="6" w:space="1" w:color="auto"/>
      </w:pBdr>
      <w:spacing w:after="480"/>
    </w:pPr>
  </w:style>
  <w:style w:type="paragraph" w:customStyle="1" w:styleId="MTablecaption">
    <w:name w:val="M_Tablecaption"/>
    <w:basedOn w:val="MCaption"/>
    <w:rsid w:val="00D479CC"/>
    <w:pPr>
      <w:spacing w:after="0"/>
    </w:pPr>
  </w:style>
  <w:style w:type="paragraph" w:customStyle="1" w:styleId="Mline1">
    <w:name w:val="M_line1"/>
    <w:basedOn w:val="Mline2"/>
    <w:rsid w:val="00D479CC"/>
    <w:pPr>
      <w:spacing w:after="0"/>
    </w:pPr>
  </w:style>
  <w:style w:type="paragraph" w:customStyle="1" w:styleId="MLogo">
    <w:name w:val="M_Logo"/>
    <w:basedOn w:val="Normal"/>
    <w:rsid w:val="00D479CC"/>
    <w:pPr>
      <w:spacing w:before="140" w:line="240" w:lineRule="auto"/>
      <w:jc w:val="right"/>
    </w:pPr>
    <w:rPr>
      <w:b/>
      <w:i/>
      <w:sz w:val="64"/>
    </w:rPr>
  </w:style>
  <w:style w:type="paragraph" w:customStyle="1" w:styleId="MISSN">
    <w:name w:val="M_ISSN"/>
    <w:basedOn w:val="Normal"/>
    <w:rsid w:val="00D479CC"/>
    <w:pPr>
      <w:spacing w:after="520"/>
      <w:jc w:val="right"/>
    </w:pPr>
  </w:style>
  <w:style w:type="paragraph" w:customStyle="1" w:styleId="MCopyright">
    <w:name w:val="M_Copyright"/>
    <w:basedOn w:val="Normal"/>
    <w:rsid w:val="00D479CC"/>
    <w:pPr>
      <w:tabs>
        <w:tab w:val="center" w:pos="4536"/>
        <w:tab w:val="right" w:pos="9072"/>
      </w:tabs>
      <w:spacing w:before="240"/>
      <w:jc w:val="left"/>
    </w:pPr>
  </w:style>
  <w:style w:type="character" w:styleId="CommentReference">
    <w:name w:val="annotation reference"/>
    <w:semiHidden/>
    <w:rsid w:val="00D479CC"/>
    <w:rPr>
      <w:sz w:val="16"/>
      <w:szCs w:val="16"/>
    </w:rPr>
  </w:style>
  <w:style w:type="paragraph" w:styleId="CommentText">
    <w:name w:val="annotation text"/>
    <w:basedOn w:val="Normal"/>
    <w:link w:val="CommentTextChar"/>
    <w:semiHidden/>
    <w:rsid w:val="00D479CC"/>
    <w:rPr>
      <w:sz w:val="20"/>
    </w:rPr>
  </w:style>
  <w:style w:type="character" w:styleId="Hyperlink">
    <w:name w:val="Hyperlink"/>
    <w:semiHidden/>
    <w:rsid w:val="00D479CC"/>
    <w:rPr>
      <w:color w:val="0000FF"/>
      <w:u w:val="single"/>
    </w:rPr>
  </w:style>
  <w:style w:type="paragraph" w:styleId="Header">
    <w:name w:val="header"/>
    <w:basedOn w:val="Normal"/>
    <w:link w:val="HeaderChar"/>
    <w:uiPriority w:val="99"/>
    <w:rsid w:val="00D479CC"/>
    <w:pPr>
      <w:tabs>
        <w:tab w:val="center" w:pos="4320"/>
        <w:tab w:val="right" w:pos="8640"/>
      </w:tabs>
    </w:pPr>
    <w:rPr>
      <w:lang w:val="x-none"/>
    </w:rPr>
  </w:style>
  <w:style w:type="paragraph" w:styleId="Footer">
    <w:name w:val="footer"/>
    <w:basedOn w:val="Normal"/>
    <w:semiHidden/>
    <w:rsid w:val="00D479CC"/>
    <w:pPr>
      <w:tabs>
        <w:tab w:val="center" w:pos="4320"/>
        <w:tab w:val="right" w:pos="8640"/>
      </w:tabs>
    </w:pPr>
  </w:style>
  <w:style w:type="character" w:styleId="FollowedHyperlink">
    <w:name w:val="FollowedHyperlink"/>
    <w:semiHidden/>
    <w:rsid w:val="00D479CC"/>
    <w:rPr>
      <w:color w:val="800080"/>
      <w:u w:val="single"/>
    </w:rPr>
  </w:style>
  <w:style w:type="character" w:customStyle="1" w:styleId="HeaderChar">
    <w:name w:val="Header Char"/>
    <w:link w:val="Header"/>
    <w:uiPriority w:val="99"/>
    <w:rsid w:val="00EE3F47"/>
    <w:rPr>
      <w:rFonts w:eastAsia="Times New Roman"/>
      <w:color w:val="000000"/>
      <w:sz w:val="24"/>
      <w:lang w:eastAsia="de-DE"/>
    </w:rPr>
  </w:style>
  <w:style w:type="paragraph" w:customStyle="1" w:styleId="Default">
    <w:name w:val="Default"/>
    <w:rsid w:val="00C4075F"/>
    <w:pPr>
      <w:autoSpaceDE w:val="0"/>
      <w:autoSpaceDN w:val="0"/>
      <w:adjustRightInd w:val="0"/>
    </w:pPr>
    <w:rPr>
      <w:rFonts w:eastAsia="Calibri"/>
      <w:color w:val="000000"/>
      <w:sz w:val="24"/>
      <w:szCs w:val="24"/>
      <w:lang w:eastAsia="en-US"/>
    </w:rPr>
  </w:style>
  <w:style w:type="paragraph" w:styleId="EndnoteText">
    <w:name w:val="endnote text"/>
    <w:basedOn w:val="Normal"/>
    <w:link w:val="EndnoteTextChar"/>
    <w:uiPriority w:val="99"/>
    <w:unhideWhenUsed/>
    <w:rsid w:val="00FB29C0"/>
    <w:rPr>
      <w:sz w:val="20"/>
    </w:rPr>
  </w:style>
  <w:style w:type="character" w:customStyle="1" w:styleId="EndnoteTextChar">
    <w:name w:val="Endnote Text Char"/>
    <w:basedOn w:val="DefaultParagraphFont"/>
    <w:link w:val="EndnoteText"/>
    <w:uiPriority w:val="99"/>
    <w:rsid w:val="00FB29C0"/>
    <w:rPr>
      <w:rFonts w:eastAsia="Times New Roman"/>
      <w:color w:val="000000"/>
      <w:lang w:val="en-US" w:eastAsia="de-DE"/>
    </w:rPr>
  </w:style>
  <w:style w:type="character" w:styleId="EndnoteReference">
    <w:name w:val="endnote reference"/>
    <w:basedOn w:val="DefaultParagraphFont"/>
    <w:uiPriority w:val="99"/>
    <w:semiHidden/>
    <w:unhideWhenUsed/>
    <w:rsid w:val="00FB29C0"/>
    <w:rPr>
      <w:vertAlign w:val="superscript"/>
    </w:rPr>
  </w:style>
  <w:style w:type="paragraph" w:customStyle="1" w:styleId="Mdeck1articletitle">
    <w:name w:val="M_deck_1_article_title"/>
    <w:qFormat/>
    <w:rsid w:val="00740D19"/>
    <w:pPr>
      <w:widowControl w:val="0"/>
      <w:kinsoku w:val="0"/>
      <w:overflowPunct w:val="0"/>
      <w:autoSpaceDE w:val="0"/>
      <w:autoSpaceDN w:val="0"/>
      <w:adjustRightInd w:val="0"/>
      <w:snapToGrid w:val="0"/>
      <w:spacing w:after="240" w:line="340" w:lineRule="atLeast"/>
    </w:pPr>
    <w:rPr>
      <w:rFonts w:eastAsia="Times New Roman" w:cstheme="minorBidi"/>
      <w:b/>
      <w:snapToGrid w:val="0"/>
      <w:color w:val="000000"/>
      <w:sz w:val="36"/>
      <w:lang w:val="en-US" w:eastAsia="de-DE" w:bidi="en-US"/>
    </w:rPr>
  </w:style>
  <w:style w:type="paragraph" w:customStyle="1" w:styleId="Mdeck1articletype">
    <w:name w:val="M_deck_1_article_type"/>
    <w:next w:val="Mdeck1articletitle"/>
    <w:qFormat/>
    <w:rsid w:val="00740D19"/>
    <w:pPr>
      <w:widowControl w:val="0"/>
      <w:kinsoku w:val="0"/>
      <w:overflowPunct w:val="0"/>
      <w:autoSpaceDE w:val="0"/>
      <w:autoSpaceDN w:val="0"/>
      <w:adjustRightInd w:val="0"/>
      <w:snapToGrid w:val="0"/>
      <w:spacing w:after="240" w:line="340" w:lineRule="atLeast"/>
    </w:pPr>
    <w:rPr>
      <w:rFonts w:eastAsia="Times New Roman"/>
      <w:i/>
      <w:snapToGrid w:val="0"/>
      <w:color w:val="000000"/>
      <w:sz w:val="24"/>
      <w:szCs w:val="24"/>
      <w:lang w:val="en-US" w:eastAsia="de-DE" w:bidi="en-US"/>
    </w:rPr>
  </w:style>
  <w:style w:type="paragraph" w:customStyle="1" w:styleId="Mdeck2authoraffiliation">
    <w:name w:val="M_deck_2_author_affiliation"/>
    <w:qFormat/>
    <w:rsid w:val="00740D19"/>
    <w:pPr>
      <w:widowControl w:val="0"/>
      <w:kinsoku w:val="0"/>
      <w:overflowPunct w:val="0"/>
      <w:autoSpaceDE w:val="0"/>
      <w:autoSpaceDN w:val="0"/>
      <w:adjustRightInd w:val="0"/>
      <w:snapToGrid w:val="0"/>
      <w:spacing w:line="340" w:lineRule="atLeast"/>
      <w:ind w:left="284" w:hanging="284"/>
    </w:pPr>
    <w:rPr>
      <w:rFonts w:eastAsia="Times New Roman" w:cstheme="minorBidi"/>
      <w:snapToGrid w:val="0"/>
      <w:color w:val="000000"/>
      <w:sz w:val="24"/>
      <w:lang w:val="en-US" w:eastAsia="de-DE" w:bidi="en-US"/>
    </w:rPr>
  </w:style>
  <w:style w:type="paragraph" w:customStyle="1" w:styleId="Mdeck2authorcorrespondence">
    <w:name w:val="M_deck_2_author_correspondence"/>
    <w:next w:val="Normal"/>
    <w:qFormat/>
    <w:rsid w:val="00740D19"/>
    <w:pPr>
      <w:widowControl w:val="0"/>
      <w:kinsoku w:val="0"/>
      <w:overflowPunct w:val="0"/>
      <w:autoSpaceDE w:val="0"/>
      <w:autoSpaceDN w:val="0"/>
      <w:adjustRightInd w:val="0"/>
      <w:snapToGrid w:val="0"/>
      <w:spacing w:before="240" w:after="240" w:line="340" w:lineRule="atLeast"/>
      <w:ind w:left="284" w:hanging="284"/>
    </w:pPr>
    <w:rPr>
      <w:rFonts w:eastAsia="Times New Roman" w:cstheme="minorBidi"/>
      <w:snapToGrid w:val="0"/>
      <w:color w:val="000000"/>
      <w:sz w:val="24"/>
      <w:lang w:val="en-US" w:eastAsia="de-DE" w:bidi="en-US"/>
    </w:rPr>
  </w:style>
  <w:style w:type="paragraph" w:customStyle="1" w:styleId="Mdeck2authorname">
    <w:name w:val="M_deck_2_author_name"/>
    <w:next w:val="Mdeck2authoraffiliation"/>
    <w:qFormat/>
    <w:rsid w:val="00740D19"/>
    <w:pPr>
      <w:widowControl w:val="0"/>
      <w:kinsoku w:val="0"/>
      <w:overflowPunct w:val="0"/>
      <w:autoSpaceDE w:val="0"/>
      <w:autoSpaceDN w:val="0"/>
      <w:adjustRightInd w:val="0"/>
      <w:snapToGrid w:val="0"/>
      <w:spacing w:after="240" w:line="340" w:lineRule="atLeast"/>
    </w:pPr>
    <w:rPr>
      <w:rFonts w:eastAsia="Times New Roman" w:cstheme="minorBidi"/>
      <w:b/>
      <w:snapToGrid w:val="0"/>
      <w:color w:val="000000"/>
      <w:sz w:val="24"/>
      <w:lang w:val="en-US" w:eastAsia="de-DE" w:bidi="en-US"/>
    </w:rPr>
  </w:style>
  <w:style w:type="paragraph" w:customStyle="1" w:styleId="Mdeck3abstract">
    <w:name w:val="M_deck_3_abstract"/>
    <w:next w:val="Normal"/>
    <w:qFormat/>
    <w:rsid w:val="00740D19"/>
    <w:pPr>
      <w:widowControl w:val="0"/>
      <w:kinsoku w:val="0"/>
      <w:overflowPunct w:val="0"/>
      <w:autoSpaceDE w:val="0"/>
      <w:autoSpaceDN w:val="0"/>
      <w:adjustRightInd w:val="0"/>
      <w:snapToGrid w:val="0"/>
      <w:spacing w:before="240" w:after="240" w:line="340" w:lineRule="atLeast"/>
      <w:ind w:left="567" w:right="567"/>
      <w:jc w:val="both"/>
    </w:pPr>
    <w:rPr>
      <w:rFonts w:eastAsia="Times New Roman" w:cstheme="minorBidi"/>
      <w:snapToGrid w:val="0"/>
      <w:color w:val="000000"/>
      <w:sz w:val="24"/>
      <w:lang w:val="en-US" w:eastAsia="de-DE" w:bidi="en-US"/>
    </w:rPr>
  </w:style>
  <w:style w:type="paragraph" w:customStyle="1" w:styleId="Mdeck3keywords">
    <w:name w:val="M_deck_3_keywords"/>
    <w:basedOn w:val="Mdeck3abstract"/>
    <w:qFormat/>
    <w:rsid w:val="00740D19"/>
    <w:pPr>
      <w:widowControl/>
      <w:spacing w:after="0"/>
    </w:pPr>
  </w:style>
  <w:style w:type="paragraph" w:customStyle="1" w:styleId="Mdeck3publcationhistory">
    <w:name w:val="M_deck_3_publcation_history"/>
    <w:qFormat/>
    <w:rsid w:val="00740D19"/>
    <w:pPr>
      <w:widowControl w:val="0"/>
      <w:kinsoku w:val="0"/>
      <w:overflowPunct w:val="0"/>
      <w:autoSpaceDE w:val="0"/>
      <w:autoSpaceDN w:val="0"/>
      <w:adjustRightInd w:val="0"/>
      <w:snapToGrid w:val="0"/>
      <w:spacing w:before="240" w:line="340" w:lineRule="atLeast"/>
    </w:pPr>
    <w:rPr>
      <w:rFonts w:eastAsia="Times New Roman" w:cstheme="minorBidi"/>
      <w:i/>
      <w:snapToGrid w:val="0"/>
      <w:color w:val="000000"/>
      <w:sz w:val="24"/>
      <w:lang w:val="en-US" w:eastAsia="de-DE" w:bidi="en-US"/>
    </w:rPr>
  </w:style>
  <w:style w:type="paragraph" w:customStyle="1" w:styleId="Mdeck4heading1">
    <w:name w:val="M_deck_4_heading_1"/>
    <w:next w:val="Normal"/>
    <w:qFormat/>
    <w:rsid w:val="00740D19"/>
    <w:pPr>
      <w:kinsoku w:val="0"/>
      <w:overflowPunct w:val="0"/>
      <w:autoSpaceDE w:val="0"/>
      <w:autoSpaceDN w:val="0"/>
      <w:adjustRightInd w:val="0"/>
      <w:snapToGrid w:val="0"/>
      <w:spacing w:before="240" w:after="240" w:line="340" w:lineRule="atLeast"/>
      <w:outlineLvl w:val="0"/>
    </w:pPr>
    <w:rPr>
      <w:rFonts w:eastAsia="Times New Roman" w:cstheme="minorBidi"/>
      <w:b/>
      <w:snapToGrid w:val="0"/>
      <w:color w:val="000000"/>
      <w:sz w:val="24"/>
      <w:lang w:val="en-US" w:eastAsia="de-DE" w:bidi="en-US"/>
    </w:rPr>
  </w:style>
  <w:style w:type="paragraph" w:customStyle="1" w:styleId="Mdeck4heading2">
    <w:name w:val="M_deck_4_heading_2"/>
    <w:next w:val="Normal"/>
    <w:qFormat/>
    <w:rsid w:val="00740D19"/>
    <w:pPr>
      <w:kinsoku w:val="0"/>
      <w:overflowPunct w:val="0"/>
      <w:autoSpaceDE w:val="0"/>
      <w:autoSpaceDN w:val="0"/>
      <w:adjustRightInd w:val="0"/>
      <w:snapToGrid w:val="0"/>
      <w:spacing w:before="240" w:after="240" w:line="340" w:lineRule="atLeast"/>
      <w:outlineLvl w:val="1"/>
    </w:pPr>
    <w:rPr>
      <w:rFonts w:eastAsia="Times New Roman" w:cstheme="minorBidi"/>
      <w:i/>
      <w:snapToGrid w:val="0"/>
      <w:color w:val="000000"/>
      <w:sz w:val="24"/>
      <w:lang w:val="en-US" w:eastAsia="de-DE" w:bidi="en-US"/>
    </w:rPr>
  </w:style>
  <w:style w:type="paragraph" w:customStyle="1" w:styleId="Mdeck4heading3">
    <w:name w:val="M_deck_4_heading_3"/>
    <w:next w:val="Normal"/>
    <w:qFormat/>
    <w:rsid w:val="00740D19"/>
    <w:pPr>
      <w:kinsoku w:val="0"/>
      <w:overflowPunct w:val="0"/>
      <w:autoSpaceDE w:val="0"/>
      <w:autoSpaceDN w:val="0"/>
      <w:adjustRightInd w:val="0"/>
      <w:snapToGrid w:val="0"/>
      <w:spacing w:before="240" w:after="240" w:line="340" w:lineRule="atLeast"/>
      <w:outlineLvl w:val="2"/>
    </w:pPr>
    <w:rPr>
      <w:rFonts w:eastAsia="Times New Roman" w:cstheme="minorBidi"/>
      <w:snapToGrid w:val="0"/>
      <w:color w:val="000000"/>
      <w:sz w:val="24"/>
      <w:lang w:val="en-US" w:eastAsia="de-DE" w:bidi="en-US"/>
    </w:rPr>
  </w:style>
  <w:style w:type="paragraph" w:customStyle="1" w:styleId="Mdeck4text">
    <w:name w:val="M_deck_4_text"/>
    <w:autoRedefine/>
    <w:qFormat/>
    <w:rsid w:val="00740D19"/>
    <w:pPr>
      <w:kinsoku w:val="0"/>
      <w:overflowPunct w:val="0"/>
      <w:autoSpaceDE w:val="0"/>
      <w:autoSpaceDN w:val="0"/>
      <w:adjustRightInd w:val="0"/>
      <w:snapToGrid w:val="0"/>
      <w:spacing w:line="340" w:lineRule="atLeast"/>
      <w:ind w:firstLine="284"/>
      <w:jc w:val="both"/>
    </w:pPr>
    <w:rPr>
      <w:rFonts w:eastAsia="Times New Roman" w:cstheme="minorBidi"/>
      <w:snapToGrid w:val="0"/>
      <w:color w:val="000000"/>
      <w:sz w:val="24"/>
      <w:lang w:val="en-US" w:eastAsia="de-DE" w:bidi="en-US"/>
    </w:rPr>
  </w:style>
  <w:style w:type="paragraph" w:customStyle="1" w:styleId="Mdeck4textbulletlist">
    <w:name w:val="M_deck_4_text_bullet_list"/>
    <w:qFormat/>
    <w:rsid w:val="00740D19"/>
    <w:pPr>
      <w:numPr>
        <w:numId w:val="2"/>
      </w:numPr>
      <w:kinsoku w:val="0"/>
      <w:overflowPunct w:val="0"/>
      <w:autoSpaceDE w:val="0"/>
      <w:autoSpaceDN w:val="0"/>
      <w:adjustRightInd w:val="0"/>
      <w:snapToGrid w:val="0"/>
      <w:spacing w:before="120" w:after="120" w:line="340" w:lineRule="atLeast"/>
      <w:jc w:val="both"/>
    </w:pPr>
    <w:rPr>
      <w:rFonts w:eastAsia="Times New Roman" w:cstheme="minorBidi"/>
      <w:snapToGrid w:val="0"/>
      <w:color w:val="000000"/>
      <w:sz w:val="24"/>
      <w:lang w:val="en-US" w:eastAsia="de-DE" w:bidi="en-US"/>
    </w:rPr>
  </w:style>
  <w:style w:type="paragraph" w:customStyle="1" w:styleId="Mdeck4textfirstlinezero">
    <w:name w:val="M_deck_4_text_firstline_zero"/>
    <w:basedOn w:val="Mdeck4text"/>
    <w:next w:val="Mdeck4text"/>
    <w:qFormat/>
    <w:rsid w:val="00740D19"/>
    <w:pPr>
      <w:ind w:left="567" w:right="567" w:firstLine="0"/>
    </w:pPr>
    <w:rPr>
      <w:szCs w:val="24"/>
    </w:rPr>
  </w:style>
  <w:style w:type="paragraph" w:customStyle="1" w:styleId="Mdeck4textlist">
    <w:name w:val="M_deck_4_text_list"/>
    <w:basedOn w:val="MFigure"/>
    <w:qFormat/>
    <w:rsid w:val="00740D19"/>
    <w:rPr>
      <w:rFonts w:cstheme="minorBidi"/>
      <w:i/>
      <w:color w:val="auto"/>
      <w:kern w:val="2"/>
      <w:sz w:val="20"/>
      <w:lang w:val="en-US" w:eastAsia="zh-CN"/>
    </w:rPr>
  </w:style>
  <w:style w:type="paragraph" w:customStyle="1" w:styleId="Mdeck4textlrindent">
    <w:name w:val="M_deck_4_text_lr_indent"/>
    <w:basedOn w:val="Mdeck4text"/>
    <w:qFormat/>
    <w:rsid w:val="00740D19"/>
    <w:pPr>
      <w:ind w:left="567" w:right="567" w:firstLine="0"/>
    </w:pPr>
  </w:style>
  <w:style w:type="paragraph" w:customStyle="1" w:styleId="Mdeck4textnumberedlist">
    <w:name w:val="M_deck_4_text_numbered_list"/>
    <w:qFormat/>
    <w:rsid w:val="00740D19"/>
    <w:pPr>
      <w:numPr>
        <w:numId w:val="3"/>
      </w:numPr>
      <w:kinsoku w:val="0"/>
      <w:overflowPunct w:val="0"/>
      <w:autoSpaceDE w:val="0"/>
      <w:autoSpaceDN w:val="0"/>
      <w:adjustRightInd w:val="0"/>
      <w:snapToGrid w:val="0"/>
      <w:spacing w:before="120" w:after="120" w:line="340" w:lineRule="atLeast"/>
      <w:jc w:val="both"/>
    </w:pPr>
    <w:rPr>
      <w:rFonts w:eastAsia="Times New Roman" w:cstheme="minorBidi"/>
      <w:snapToGrid w:val="0"/>
      <w:color w:val="000000"/>
      <w:sz w:val="24"/>
      <w:lang w:val="en-US" w:eastAsia="de-DE" w:bidi="en-US"/>
    </w:rPr>
  </w:style>
  <w:style w:type="paragraph" w:customStyle="1" w:styleId="Mdeck5tablebody">
    <w:name w:val="M_deck_5_table_body"/>
    <w:qFormat/>
    <w:rsid w:val="00740D19"/>
    <w:pPr>
      <w:kinsoku w:val="0"/>
      <w:overflowPunct w:val="0"/>
      <w:autoSpaceDE w:val="0"/>
      <w:autoSpaceDN w:val="0"/>
      <w:adjustRightInd w:val="0"/>
      <w:snapToGrid w:val="0"/>
      <w:spacing w:line="300" w:lineRule="exact"/>
      <w:jc w:val="center"/>
    </w:pPr>
    <w:rPr>
      <w:rFonts w:eastAsia="Times New Roman" w:cstheme="minorBidi"/>
      <w:snapToGrid w:val="0"/>
      <w:color w:val="000000"/>
      <w:lang w:val="en-US" w:eastAsia="de-DE" w:bidi="en-US"/>
    </w:rPr>
  </w:style>
  <w:style w:type="table" w:customStyle="1" w:styleId="Mdeck5tablebodythreelines">
    <w:name w:val="M_deck_5_table_body_three_lines"/>
    <w:basedOn w:val="TableNormal"/>
    <w:uiPriority w:val="99"/>
    <w:rsid w:val="00740D19"/>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740D19"/>
    <w:pPr>
      <w:kinsoku w:val="0"/>
      <w:overflowPunct w:val="0"/>
      <w:autoSpaceDE w:val="0"/>
      <w:autoSpaceDN w:val="0"/>
      <w:adjustRightInd w:val="0"/>
      <w:snapToGrid w:val="0"/>
      <w:spacing w:before="240" w:after="120" w:line="340" w:lineRule="atLeast"/>
      <w:ind w:left="567" w:right="567"/>
      <w:jc w:val="both"/>
    </w:pPr>
    <w:rPr>
      <w:rFonts w:eastAsia="Times New Roman" w:cstheme="minorBidi"/>
      <w:snapToGrid w:val="0"/>
      <w:color w:val="000000"/>
      <w:sz w:val="24"/>
      <w:lang w:val="en-US" w:eastAsia="de-DE" w:bidi="en-US"/>
    </w:rPr>
  </w:style>
  <w:style w:type="paragraph" w:customStyle="1" w:styleId="Mdeck5tablefooter">
    <w:name w:val="M_deck_5_table_footer"/>
    <w:qFormat/>
    <w:rsid w:val="00740D19"/>
    <w:pPr>
      <w:kinsoku w:val="0"/>
      <w:overflowPunct w:val="0"/>
      <w:autoSpaceDE w:val="0"/>
      <w:autoSpaceDN w:val="0"/>
      <w:adjustRightInd w:val="0"/>
      <w:snapToGrid w:val="0"/>
      <w:spacing w:line="300" w:lineRule="exact"/>
      <w:ind w:left="567" w:right="567"/>
      <w:jc w:val="both"/>
    </w:pPr>
    <w:rPr>
      <w:rFonts w:eastAsia="Times New Roman" w:cstheme="minorBidi"/>
      <w:snapToGrid w:val="0"/>
      <w:color w:val="000000"/>
      <w:lang w:val="en-US" w:eastAsia="de-DE" w:bidi="en-US"/>
    </w:rPr>
  </w:style>
  <w:style w:type="paragraph" w:customStyle="1" w:styleId="Mdeck5tableheader">
    <w:name w:val="M_deck_5_table_header"/>
    <w:basedOn w:val="Mdeck5tablefooter"/>
    <w:rsid w:val="00740D19"/>
  </w:style>
  <w:style w:type="paragraph" w:customStyle="1" w:styleId="Mdeck6figurebody">
    <w:name w:val="M_deck_6_figure_body"/>
    <w:qFormat/>
    <w:rsid w:val="00740D19"/>
    <w:pPr>
      <w:widowControl w:val="0"/>
      <w:kinsoku w:val="0"/>
      <w:overflowPunct w:val="0"/>
      <w:autoSpaceDE w:val="0"/>
      <w:autoSpaceDN w:val="0"/>
      <w:adjustRightInd w:val="0"/>
      <w:snapToGrid w:val="0"/>
      <w:spacing w:line="340" w:lineRule="atLeast"/>
      <w:jc w:val="center"/>
    </w:pPr>
    <w:rPr>
      <w:rFonts w:eastAsia="Times New Roman" w:cstheme="minorBidi"/>
      <w:snapToGrid w:val="0"/>
      <w:color w:val="000000"/>
      <w:sz w:val="24"/>
      <w:lang w:val="en-US" w:eastAsia="de-DE" w:bidi="en-US"/>
    </w:rPr>
  </w:style>
  <w:style w:type="paragraph" w:customStyle="1" w:styleId="Mdeck6figurecaption">
    <w:name w:val="M_deck_6_figure_caption"/>
    <w:basedOn w:val="Mdeck5tablecaption"/>
    <w:qFormat/>
    <w:rsid w:val="00740D19"/>
    <w:pPr>
      <w:spacing w:after="240"/>
    </w:pPr>
  </w:style>
  <w:style w:type="paragraph" w:customStyle="1" w:styleId="Mdeck7equation">
    <w:name w:val="M_deck_7_equation"/>
    <w:basedOn w:val="Normal"/>
    <w:rsid w:val="00740D19"/>
    <w:pPr>
      <w:kinsoku w:val="0"/>
      <w:overflowPunct w:val="0"/>
      <w:autoSpaceDE w:val="0"/>
      <w:autoSpaceDN w:val="0"/>
      <w:adjustRightInd w:val="0"/>
      <w:snapToGrid w:val="0"/>
      <w:spacing w:before="240" w:line="240" w:lineRule="auto"/>
      <w:jc w:val="center"/>
    </w:pPr>
    <w:rPr>
      <w:rFonts w:eastAsia="SimSun" w:cstheme="minorBidi"/>
      <w:i/>
      <w:snapToGrid w:val="0"/>
      <w:color w:val="auto"/>
      <w:kern w:val="2"/>
      <w:sz w:val="20"/>
      <w:szCs w:val="24"/>
      <w:lang w:val="en-US" w:eastAsia="en-US" w:bidi="en-US"/>
    </w:rPr>
  </w:style>
  <w:style w:type="paragraph" w:customStyle="1" w:styleId="Mdeck8references">
    <w:name w:val="M_deck_8_references"/>
    <w:qFormat/>
    <w:rsid w:val="00740D19"/>
    <w:pPr>
      <w:numPr>
        <w:numId w:val="4"/>
      </w:numPr>
      <w:kinsoku w:val="0"/>
      <w:overflowPunct w:val="0"/>
      <w:autoSpaceDE w:val="0"/>
      <w:autoSpaceDN w:val="0"/>
      <w:adjustRightInd w:val="0"/>
      <w:snapToGrid w:val="0"/>
      <w:spacing w:line="340" w:lineRule="atLeast"/>
      <w:ind w:left="420"/>
      <w:jc w:val="both"/>
    </w:pPr>
    <w:rPr>
      <w:rFonts w:eastAsia="Times New Roman" w:cstheme="minorBidi"/>
      <w:snapToGrid w:val="0"/>
      <w:color w:val="000000"/>
      <w:sz w:val="24"/>
      <w:lang w:val="en-US" w:eastAsia="de-DE" w:bidi="en-US"/>
    </w:rPr>
  </w:style>
  <w:style w:type="character" w:styleId="LineNumber">
    <w:name w:val="line number"/>
    <w:basedOn w:val="DefaultParagraphFont"/>
    <w:uiPriority w:val="99"/>
    <w:semiHidden/>
    <w:unhideWhenUsed/>
    <w:rsid w:val="005F0B0E"/>
  </w:style>
  <w:style w:type="paragraph" w:styleId="FootnoteText">
    <w:name w:val="footnote text"/>
    <w:basedOn w:val="Normal"/>
    <w:link w:val="FootnoteTextChar"/>
    <w:uiPriority w:val="99"/>
    <w:semiHidden/>
    <w:unhideWhenUsed/>
    <w:rsid w:val="00ED3A75"/>
    <w:pPr>
      <w:spacing w:line="240" w:lineRule="auto"/>
    </w:pPr>
    <w:rPr>
      <w:sz w:val="20"/>
    </w:rPr>
  </w:style>
  <w:style w:type="character" w:customStyle="1" w:styleId="FootnoteTextChar">
    <w:name w:val="Footnote Text Char"/>
    <w:basedOn w:val="DefaultParagraphFont"/>
    <w:link w:val="FootnoteText"/>
    <w:uiPriority w:val="99"/>
    <w:semiHidden/>
    <w:rsid w:val="00ED3A75"/>
    <w:rPr>
      <w:rFonts w:eastAsia="Times New Roman"/>
      <w:color w:val="000000"/>
      <w:lang w:val="en-US" w:eastAsia="de-DE"/>
    </w:rPr>
  </w:style>
  <w:style w:type="character" w:styleId="FootnoteReference">
    <w:name w:val="footnote reference"/>
    <w:basedOn w:val="DefaultParagraphFont"/>
    <w:uiPriority w:val="99"/>
    <w:semiHidden/>
    <w:unhideWhenUsed/>
    <w:rsid w:val="00ED3A75"/>
    <w:rPr>
      <w:vertAlign w:val="superscript"/>
    </w:rPr>
  </w:style>
  <w:style w:type="paragraph" w:customStyle="1" w:styleId="Mdeck4text2nd">
    <w:name w:val="M_deck_4_text_2nd"/>
    <w:qFormat/>
    <w:rsid w:val="00740D19"/>
    <w:pPr>
      <w:spacing w:line="340" w:lineRule="atLeast"/>
      <w:ind w:left="993" w:hanging="284"/>
      <w:jc w:val="both"/>
    </w:pPr>
    <w:rPr>
      <w:rFonts w:eastAsia="Times New Roman" w:cstheme="minorBidi"/>
      <w:snapToGrid w:val="0"/>
      <w:color w:val="000000"/>
      <w:sz w:val="24"/>
      <w:lang w:val="en-US" w:eastAsia="de-DE" w:bidi="en-US"/>
    </w:rPr>
  </w:style>
  <w:style w:type="paragraph" w:styleId="BalloonText">
    <w:name w:val="Balloon Text"/>
    <w:basedOn w:val="Normal"/>
    <w:link w:val="BalloonTextChar"/>
    <w:uiPriority w:val="99"/>
    <w:semiHidden/>
    <w:unhideWhenUsed/>
    <w:rsid w:val="007052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94"/>
    <w:rPr>
      <w:rFonts w:ascii="Segoe UI" w:eastAsia="Times New Roman" w:hAnsi="Segoe UI" w:cs="Segoe UI"/>
      <w:color w:val="000000"/>
      <w:sz w:val="18"/>
      <w:szCs w:val="18"/>
      <w:lang w:eastAsia="de-DE"/>
    </w:rPr>
  </w:style>
  <w:style w:type="paragraph" w:styleId="CommentSubject">
    <w:name w:val="annotation subject"/>
    <w:basedOn w:val="CommentText"/>
    <w:next w:val="CommentText"/>
    <w:link w:val="CommentSubjectChar"/>
    <w:uiPriority w:val="99"/>
    <w:semiHidden/>
    <w:unhideWhenUsed/>
    <w:rsid w:val="00FC5CE1"/>
    <w:pPr>
      <w:spacing w:line="240" w:lineRule="auto"/>
    </w:pPr>
    <w:rPr>
      <w:b/>
      <w:bCs/>
    </w:rPr>
  </w:style>
  <w:style w:type="character" w:customStyle="1" w:styleId="CommentTextChar">
    <w:name w:val="Comment Text Char"/>
    <w:basedOn w:val="DefaultParagraphFont"/>
    <w:link w:val="CommentText"/>
    <w:semiHidden/>
    <w:rsid w:val="00FC5CE1"/>
    <w:rPr>
      <w:rFonts w:eastAsia="Times New Roman"/>
      <w:color w:val="000000"/>
      <w:lang w:eastAsia="de-DE"/>
    </w:rPr>
  </w:style>
  <w:style w:type="character" w:customStyle="1" w:styleId="CommentSubjectChar">
    <w:name w:val="Comment Subject Char"/>
    <w:basedOn w:val="CommentTextChar"/>
    <w:link w:val="CommentSubject"/>
    <w:uiPriority w:val="99"/>
    <w:semiHidden/>
    <w:rsid w:val="00FC5CE1"/>
    <w:rPr>
      <w:rFonts w:eastAsia="Times New Roman"/>
      <w:b/>
      <w:bCs/>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CC"/>
    <w:pPr>
      <w:spacing w:line="340" w:lineRule="atLeast"/>
      <w:jc w:val="both"/>
    </w:pPr>
    <w:rPr>
      <w:rFonts w:eastAsia="Times New Roman"/>
      <w:color w:val="000000"/>
      <w:sz w:val="24"/>
      <w:lang w:eastAsia="de-DE"/>
    </w:rPr>
  </w:style>
  <w:style w:type="paragraph" w:styleId="Heading1">
    <w:name w:val="heading 1"/>
    <w:aliases w:val="x"/>
    <w:basedOn w:val="Normal"/>
    <w:next w:val="Normal"/>
    <w:qFormat/>
    <w:rsid w:val="00D479CC"/>
    <w:pPr>
      <w:spacing w:before="240"/>
      <w:outlineLvl w:val="0"/>
    </w:pPr>
    <w:rPr>
      <w:rFonts w:ascii="Arial" w:hAnsi="Arial"/>
      <w:b/>
      <w:u w:val="single"/>
    </w:rPr>
  </w:style>
  <w:style w:type="paragraph" w:styleId="Heading2">
    <w:name w:val="heading 2"/>
    <w:basedOn w:val="Normal"/>
    <w:next w:val="Normal"/>
    <w:qFormat/>
    <w:rsid w:val="00D479CC"/>
    <w:pPr>
      <w:spacing w:before="120"/>
      <w:outlineLvl w:val="1"/>
    </w:pPr>
    <w:rPr>
      <w:rFonts w:ascii="Arial" w:hAnsi="Arial"/>
      <w:b/>
    </w:rPr>
  </w:style>
  <w:style w:type="paragraph" w:styleId="Heading3">
    <w:name w:val="heading 3"/>
    <w:basedOn w:val="Normal"/>
    <w:next w:val="Normal"/>
    <w:qFormat/>
    <w:rsid w:val="00D479CC"/>
    <w:pPr>
      <w:ind w:left="354"/>
      <w:outlineLvl w:val="2"/>
    </w:pPr>
    <w:rPr>
      <w:b/>
    </w:rPr>
  </w:style>
  <w:style w:type="paragraph" w:styleId="Heading4">
    <w:name w:val="heading 4"/>
    <w:basedOn w:val="Normal"/>
    <w:next w:val="Normal"/>
    <w:qFormat/>
    <w:rsid w:val="00D479CC"/>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D479CC"/>
    <w:pPr>
      <w:ind w:left="708"/>
      <w:outlineLvl w:val="4"/>
    </w:pPr>
    <w:rPr>
      <w:b/>
    </w:rPr>
  </w:style>
  <w:style w:type="paragraph" w:styleId="Heading6">
    <w:name w:val="heading 6"/>
    <w:basedOn w:val="Normal"/>
    <w:next w:val="Normal"/>
    <w:qFormat/>
    <w:rsid w:val="00D479CC"/>
    <w:pPr>
      <w:ind w:left="708"/>
      <w:outlineLvl w:val="5"/>
    </w:pPr>
    <w:rPr>
      <w:u w:val="single"/>
    </w:rPr>
  </w:style>
  <w:style w:type="paragraph" w:styleId="Heading7">
    <w:name w:val="heading 7"/>
    <w:basedOn w:val="Normal"/>
    <w:next w:val="Normal"/>
    <w:qFormat/>
    <w:rsid w:val="00D479CC"/>
    <w:pPr>
      <w:ind w:left="708"/>
      <w:outlineLvl w:val="6"/>
    </w:pPr>
    <w:rPr>
      <w:i/>
    </w:rPr>
  </w:style>
  <w:style w:type="paragraph" w:styleId="Heading8">
    <w:name w:val="heading 8"/>
    <w:basedOn w:val="Normal"/>
    <w:next w:val="Normal"/>
    <w:qFormat/>
    <w:rsid w:val="00D479CC"/>
    <w:pPr>
      <w:ind w:left="708"/>
      <w:outlineLvl w:val="7"/>
    </w:pPr>
    <w:rPr>
      <w:i/>
    </w:rPr>
  </w:style>
  <w:style w:type="paragraph" w:styleId="Heading9">
    <w:name w:val="heading 9"/>
    <w:basedOn w:val="Normal"/>
    <w:next w:val="Normal"/>
    <w:qFormat/>
    <w:rsid w:val="00D479CC"/>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D479CC"/>
  </w:style>
  <w:style w:type="paragraph" w:customStyle="1" w:styleId="MTitel">
    <w:name w:val="M_Titel"/>
    <w:basedOn w:val="Normal"/>
    <w:autoRedefine/>
    <w:rsid w:val="00D479CC"/>
    <w:pPr>
      <w:spacing w:before="240" w:line="240" w:lineRule="auto"/>
      <w:jc w:val="left"/>
    </w:pPr>
    <w:rPr>
      <w:b/>
      <w:sz w:val="36"/>
    </w:rPr>
  </w:style>
  <w:style w:type="paragraph" w:customStyle="1" w:styleId="MHeading1">
    <w:name w:val="M_Heading1"/>
    <w:basedOn w:val="Normal"/>
    <w:rsid w:val="00D479CC"/>
    <w:pPr>
      <w:spacing w:before="240" w:after="240"/>
    </w:pPr>
    <w:rPr>
      <w:b/>
    </w:rPr>
  </w:style>
  <w:style w:type="paragraph" w:customStyle="1" w:styleId="MText">
    <w:name w:val="M_Text"/>
    <w:basedOn w:val="Normal"/>
    <w:rsid w:val="00D479CC"/>
    <w:pPr>
      <w:ind w:firstLine="284"/>
    </w:pPr>
  </w:style>
  <w:style w:type="paragraph" w:customStyle="1" w:styleId="MHeading2">
    <w:name w:val="M_Heading2"/>
    <w:basedOn w:val="Normal"/>
    <w:rsid w:val="00D479CC"/>
    <w:pPr>
      <w:spacing w:before="240" w:after="240"/>
    </w:pPr>
    <w:rPr>
      <w:i/>
    </w:rPr>
  </w:style>
  <w:style w:type="paragraph" w:customStyle="1" w:styleId="MHeading3">
    <w:name w:val="M_Heading3"/>
    <w:basedOn w:val="Normal"/>
    <w:rsid w:val="00D479CC"/>
    <w:pPr>
      <w:spacing w:before="240" w:after="240"/>
    </w:pPr>
  </w:style>
  <w:style w:type="paragraph" w:customStyle="1" w:styleId="MAcknow">
    <w:name w:val="M_Acknow"/>
    <w:basedOn w:val="Normal"/>
    <w:rsid w:val="00D479CC"/>
  </w:style>
  <w:style w:type="paragraph" w:customStyle="1" w:styleId="MRefer">
    <w:name w:val="M_Refer"/>
    <w:basedOn w:val="Normal"/>
    <w:rsid w:val="00D479CC"/>
    <w:pPr>
      <w:ind w:left="454" w:hanging="454"/>
    </w:pPr>
  </w:style>
  <w:style w:type="paragraph" w:customStyle="1" w:styleId="MCaption">
    <w:name w:val="M_Caption"/>
    <w:basedOn w:val="Normal"/>
    <w:rsid w:val="00D479CC"/>
    <w:pPr>
      <w:spacing w:before="240" w:after="240"/>
      <w:jc w:val="center"/>
    </w:pPr>
  </w:style>
  <w:style w:type="paragraph" w:customStyle="1" w:styleId="MFigure">
    <w:name w:val="M_Figure"/>
    <w:basedOn w:val="Normal"/>
    <w:rsid w:val="00D479CC"/>
    <w:pPr>
      <w:spacing w:before="240" w:line="240" w:lineRule="auto"/>
      <w:jc w:val="center"/>
    </w:pPr>
  </w:style>
  <w:style w:type="paragraph" w:customStyle="1" w:styleId="Mtable">
    <w:name w:val="M_table"/>
    <w:basedOn w:val="Normal"/>
    <w:rsid w:val="00D479CC"/>
    <w:pPr>
      <w:keepNext/>
      <w:tabs>
        <w:tab w:val="left" w:pos="284"/>
      </w:tabs>
    </w:pPr>
    <w:rPr>
      <w:color w:val="auto"/>
    </w:rPr>
  </w:style>
  <w:style w:type="paragraph" w:customStyle="1" w:styleId="Mabstract">
    <w:name w:val="M_abstract"/>
    <w:basedOn w:val="Normal"/>
    <w:rsid w:val="00D479CC"/>
    <w:pPr>
      <w:spacing w:before="240"/>
      <w:ind w:left="510" w:right="510"/>
    </w:pPr>
  </w:style>
  <w:style w:type="paragraph" w:customStyle="1" w:styleId="Maddress">
    <w:name w:val="M_address"/>
    <w:basedOn w:val="Normal"/>
    <w:rsid w:val="00D479CC"/>
    <w:pPr>
      <w:spacing w:before="240"/>
      <w:jc w:val="left"/>
    </w:pPr>
  </w:style>
  <w:style w:type="paragraph" w:customStyle="1" w:styleId="Mauthor">
    <w:name w:val="M_author"/>
    <w:basedOn w:val="Normal"/>
    <w:autoRedefine/>
    <w:rsid w:val="00585ADD"/>
    <w:pPr>
      <w:spacing w:before="240" w:after="240"/>
      <w:jc w:val="left"/>
    </w:pPr>
    <w:rPr>
      <w:b/>
      <w:lang w:val="it-IT"/>
    </w:rPr>
  </w:style>
  <w:style w:type="paragraph" w:customStyle="1" w:styleId="Mreceived">
    <w:name w:val="M_received"/>
    <w:basedOn w:val="Maddress"/>
    <w:rsid w:val="00D479CC"/>
    <w:rPr>
      <w:i/>
    </w:rPr>
  </w:style>
  <w:style w:type="paragraph" w:customStyle="1" w:styleId="Mline2">
    <w:name w:val="M_line2"/>
    <w:basedOn w:val="Normal"/>
    <w:rsid w:val="00D479CC"/>
    <w:pPr>
      <w:pBdr>
        <w:bottom w:val="single" w:sz="6" w:space="1" w:color="auto"/>
      </w:pBdr>
      <w:spacing w:after="480"/>
    </w:pPr>
  </w:style>
  <w:style w:type="paragraph" w:customStyle="1" w:styleId="MTablecaption">
    <w:name w:val="M_Tablecaption"/>
    <w:basedOn w:val="MCaption"/>
    <w:rsid w:val="00D479CC"/>
    <w:pPr>
      <w:spacing w:after="0"/>
    </w:pPr>
  </w:style>
  <w:style w:type="paragraph" w:customStyle="1" w:styleId="Mline1">
    <w:name w:val="M_line1"/>
    <w:basedOn w:val="Mline2"/>
    <w:rsid w:val="00D479CC"/>
    <w:pPr>
      <w:spacing w:after="0"/>
    </w:pPr>
  </w:style>
  <w:style w:type="paragraph" w:customStyle="1" w:styleId="MLogo">
    <w:name w:val="M_Logo"/>
    <w:basedOn w:val="Normal"/>
    <w:rsid w:val="00D479CC"/>
    <w:pPr>
      <w:spacing w:before="140" w:line="240" w:lineRule="auto"/>
      <w:jc w:val="right"/>
    </w:pPr>
    <w:rPr>
      <w:b/>
      <w:i/>
      <w:sz w:val="64"/>
    </w:rPr>
  </w:style>
  <w:style w:type="paragraph" w:customStyle="1" w:styleId="MISSN">
    <w:name w:val="M_ISSN"/>
    <w:basedOn w:val="Normal"/>
    <w:rsid w:val="00D479CC"/>
    <w:pPr>
      <w:spacing w:after="520"/>
      <w:jc w:val="right"/>
    </w:pPr>
  </w:style>
  <w:style w:type="paragraph" w:customStyle="1" w:styleId="MCopyright">
    <w:name w:val="M_Copyright"/>
    <w:basedOn w:val="Normal"/>
    <w:rsid w:val="00D479CC"/>
    <w:pPr>
      <w:tabs>
        <w:tab w:val="center" w:pos="4536"/>
        <w:tab w:val="right" w:pos="9072"/>
      </w:tabs>
      <w:spacing w:before="240"/>
      <w:jc w:val="left"/>
    </w:pPr>
  </w:style>
  <w:style w:type="character" w:styleId="CommentReference">
    <w:name w:val="annotation reference"/>
    <w:semiHidden/>
    <w:rsid w:val="00D479CC"/>
    <w:rPr>
      <w:sz w:val="16"/>
      <w:szCs w:val="16"/>
    </w:rPr>
  </w:style>
  <w:style w:type="paragraph" w:styleId="CommentText">
    <w:name w:val="annotation text"/>
    <w:basedOn w:val="Normal"/>
    <w:link w:val="CommentTextChar"/>
    <w:semiHidden/>
    <w:rsid w:val="00D479CC"/>
    <w:rPr>
      <w:sz w:val="20"/>
    </w:rPr>
  </w:style>
  <w:style w:type="character" w:styleId="Hyperlink">
    <w:name w:val="Hyperlink"/>
    <w:semiHidden/>
    <w:rsid w:val="00D479CC"/>
    <w:rPr>
      <w:color w:val="0000FF"/>
      <w:u w:val="single"/>
    </w:rPr>
  </w:style>
  <w:style w:type="paragraph" w:styleId="Header">
    <w:name w:val="header"/>
    <w:basedOn w:val="Normal"/>
    <w:link w:val="HeaderChar"/>
    <w:uiPriority w:val="99"/>
    <w:rsid w:val="00D479CC"/>
    <w:pPr>
      <w:tabs>
        <w:tab w:val="center" w:pos="4320"/>
        <w:tab w:val="right" w:pos="8640"/>
      </w:tabs>
    </w:pPr>
    <w:rPr>
      <w:lang w:val="x-none"/>
    </w:rPr>
  </w:style>
  <w:style w:type="paragraph" w:styleId="Footer">
    <w:name w:val="footer"/>
    <w:basedOn w:val="Normal"/>
    <w:semiHidden/>
    <w:rsid w:val="00D479CC"/>
    <w:pPr>
      <w:tabs>
        <w:tab w:val="center" w:pos="4320"/>
        <w:tab w:val="right" w:pos="8640"/>
      </w:tabs>
    </w:pPr>
  </w:style>
  <w:style w:type="character" w:styleId="FollowedHyperlink">
    <w:name w:val="FollowedHyperlink"/>
    <w:semiHidden/>
    <w:rsid w:val="00D479CC"/>
    <w:rPr>
      <w:color w:val="800080"/>
      <w:u w:val="single"/>
    </w:rPr>
  </w:style>
  <w:style w:type="character" w:customStyle="1" w:styleId="HeaderChar">
    <w:name w:val="Header Char"/>
    <w:link w:val="Header"/>
    <w:uiPriority w:val="99"/>
    <w:rsid w:val="00EE3F47"/>
    <w:rPr>
      <w:rFonts w:eastAsia="Times New Roman"/>
      <w:color w:val="000000"/>
      <w:sz w:val="24"/>
      <w:lang w:eastAsia="de-DE"/>
    </w:rPr>
  </w:style>
  <w:style w:type="paragraph" w:customStyle="1" w:styleId="Default">
    <w:name w:val="Default"/>
    <w:rsid w:val="00C4075F"/>
    <w:pPr>
      <w:autoSpaceDE w:val="0"/>
      <w:autoSpaceDN w:val="0"/>
      <w:adjustRightInd w:val="0"/>
    </w:pPr>
    <w:rPr>
      <w:rFonts w:eastAsia="Calibri"/>
      <w:color w:val="000000"/>
      <w:sz w:val="24"/>
      <w:szCs w:val="24"/>
      <w:lang w:eastAsia="en-US"/>
    </w:rPr>
  </w:style>
  <w:style w:type="paragraph" w:styleId="EndnoteText">
    <w:name w:val="endnote text"/>
    <w:basedOn w:val="Normal"/>
    <w:link w:val="EndnoteTextChar"/>
    <w:uiPriority w:val="99"/>
    <w:unhideWhenUsed/>
    <w:rsid w:val="00FB29C0"/>
    <w:rPr>
      <w:sz w:val="20"/>
    </w:rPr>
  </w:style>
  <w:style w:type="character" w:customStyle="1" w:styleId="EndnoteTextChar">
    <w:name w:val="Endnote Text Char"/>
    <w:basedOn w:val="DefaultParagraphFont"/>
    <w:link w:val="EndnoteText"/>
    <w:uiPriority w:val="99"/>
    <w:rsid w:val="00FB29C0"/>
    <w:rPr>
      <w:rFonts w:eastAsia="Times New Roman"/>
      <w:color w:val="000000"/>
      <w:lang w:val="en-US" w:eastAsia="de-DE"/>
    </w:rPr>
  </w:style>
  <w:style w:type="character" w:styleId="EndnoteReference">
    <w:name w:val="endnote reference"/>
    <w:basedOn w:val="DefaultParagraphFont"/>
    <w:uiPriority w:val="99"/>
    <w:semiHidden/>
    <w:unhideWhenUsed/>
    <w:rsid w:val="00FB29C0"/>
    <w:rPr>
      <w:vertAlign w:val="superscript"/>
    </w:rPr>
  </w:style>
  <w:style w:type="paragraph" w:customStyle="1" w:styleId="Mdeck1articletitle">
    <w:name w:val="M_deck_1_article_title"/>
    <w:qFormat/>
    <w:rsid w:val="00740D19"/>
    <w:pPr>
      <w:widowControl w:val="0"/>
      <w:kinsoku w:val="0"/>
      <w:overflowPunct w:val="0"/>
      <w:autoSpaceDE w:val="0"/>
      <w:autoSpaceDN w:val="0"/>
      <w:adjustRightInd w:val="0"/>
      <w:snapToGrid w:val="0"/>
      <w:spacing w:after="240" w:line="340" w:lineRule="atLeast"/>
    </w:pPr>
    <w:rPr>
      <w:rFonts w:eastAsia="Times New Roman" w:cstheme="minorBidi"/>
      <w:b/>
      <w:snapToGrid w:val="0"/>
      <w:color w:val="000000"/>
      <w:sz w:val="36"/>
      <w:lang w:val="en-US" w:eastAsia="de-DE" w:bidi="en-US"/>
    </w:rPr>
  </w:style>
  <w:style w:type="paragraph" w:customStyle="1" w:styleId="Mdeck1articletype">
    <w:name w:val="M_deck_1_article_type"/>
    <w:next w:val="Mdeck1articletitle"/>
    <w:qFormat/>
    <w:rsid w:val="00740D19"/>
    <w:pPr>
      <w:widowControl w:val="0"/>
      <w:kinsoku w:val="0"/>
      <w:overflowPunct w:val="0"/>
      <w:autoSpaceDE w:val="0"/>
      <w:autoSpaceDN w:val="0"/>
      <w:adjustRightInd w:val="0"/>
      <w:snapToGrid w:val="0"/>
      <w:spacing w:after="240" w:line="340" w:lineRule="atLeast"/>
    </w:pPr>
    <w:rPr>
      <w:rFonts w:eastAsia="Times New Roman"/>
      <w:i/>
      <w:snapToGrid w:val="0"/>
      <w:color w:val="000000"/>
      <w:sz w:val="24"/>
      <w:szCs w:val="24"/>
      <w:lang w:val="en-US" w:eastAsia="de-DE" w:bidi="en-US"/>
    </w:rPr>
  </w:style>
  <w:style w:type="paragraph" w:customStyle="1" w:styleId="Mdeck2authoraffiliation">
    <w:name w:val="M_deck_2_author_affiliation"/>
    <w:qFormat/>
    <w:rsid w:val="00740D19"/>
    <w:pPr>
      <w:widowControl w:val="0"/>
      <w:kinsoku w:val="0"/>
      <w:overflowPunct w:val="0"/>
      <w:autoSpaceDE w:val="0"/>
      <w:autoSpaceDN w:val="0"/>
      <w:adjustRightInd w:val="0"/>
      <w:snapToGrid w:val="0"/>
      <w:spacing w:line="340" w:lineRule="atLeast"/>
      <w:ind w:left="284" w:hanging="284"/>
    </w:pPr>
    <w:rPr>
      <w:rFonts w:eastAsia="Times New Roman" w:cstheme="minorBidi"/>
      <w:snapToGrid w:val="0"/>
      <w:color w:val="000000"/>
      <w:sz w:val="24"/>
      <w:lang w:val="en-US" w:eastAsia="de-DE" w:bidi="en-US"/>
    </w:rPr>
  </w:style>
  <w:style w:type="paragraph" w:customStyle="1" w:styleId="Mdeck2authorcorrespondence">
    <w:name w:val="M_deck_2_author_correspondence"/>
    <w:next w:val="Normal"/>
    <w:qFormat/>
    <w:rsid w:val="00740D19"/>
    <w:pPr>
      <w:widowControl w:val="0"/>
      <w:kinsoku w:val="0"/>
      <w:overflowPunct w:val="0"/>
      <w:autoSpaceDE w:val="0"/>
      <w:autoSpaceDN w:val="0"/>
      <w:adjustRightInd w:val="0"/>
      <w:snapToGrid w:val="0"/>
      <w:spacing w:before="240" w:after="240" w:line="340" w:lineRule="atLeast"/>
      <w:ind w:left="284" w:hanging="284"/>
    </w:pPr>
    <w:rPr>
      <w:rFonts w:eastAsia="Times New Roman" w:cstheme="minorBidi"/>
      <w:snapToGrid w:val="0"/>
      <w:color w:val="000000"/>
      <w:sz w:val="24"/>
      <w:lang w:val="en-US" w:eastAsia="de-DE" w:bidi="en-US"/>
    </w:rPr>
  </w:style>
  <w:style w:type="paragraph" w:customStyle="1" w:styleId="Mdeck2authorname">
    <w:name w:val="M_deck_2_author_name"/>
    <w:next w:val="Mdeck2authoraffiliation"/>
    <w:qFormat/>
    <w:rsid w:val="00740D19"/>
    <w:pPr>
      <w:widowControl w:val="0"/>
      <w:kinsoku w:val="0"/>
      <w:overflowPunct w:val="0"/>
      <w:autoSpaceDE w:val="0"/>
      <w:autoSpaceDN w:val="0"/>
      <w:adjustRightInd w:val="0"/>
      <w:snapToGrid w:val="0"/>
      <w:spacing w:after="240" w:line="340" w:lineRule="atLeast"/>
    </w:pPr>
    <w:rPr>
      <w:rFonts w:eastAsia="Times New Roman" w:cstheme="minorBidi"/>
      <w:b/>
      <w:snapToGrid w:val="0"/>
      <w:color w:val="000000"/>
      <w:sz w:val="24"/>
      <w:lang w:val="en-US" w:eastAsia="de-DE" w:bidi="en-US"/>
    </w:rPr>
  </w:style>
  <w:style w:type="paragraph" w:customStyle="1" w:styleId="Mdeck3abstract">
    <w:name w:val="M_deck_3_abstract"/>
    <w:next w:val="Normal"/>
    <w:qFormat/>
    <w:rsid w:val="00740D19"/>
    <w:pPr>
      <w:widowControl w:val="0"/>
      <w:kinsoku w:val="0"/>
      <w:overflowPunct w:val="0"/>
      <w:autoSpaceDE w:val="0"/>
      <w:autoSpaceDN w:val="0"/>
      <w:adjustRightInd w:val="0"/>
      <w:snapToGrid w:val="0"/>
      <w:spacing w:before="240" w:after="240" w:line="340" w:lineRule="atLeast"/>
      <w:ind w:left="567" w:right="567"/>
      <w:jc w:val="both"/>
    </w:pPr>
    <w:rPr>
      <w:rFonts w:eastAsia="Times New Roman" w:cstheme="minorBidi"/>
      <w:snapToGrid w:val="0"/>
      <w:color w:val="000000"/>
      <w:sz w:val="24"/>
      <w:lang w:val="en-US" w:eastAsia="de-DE" w:bidi="en-US"/>
    </w:rPr>
  </w:style>
  <w:style w:type="paragraph" w:customStyle="1" w:styleId="Mdeck3keywords">
    <w:name w:val="M_deck_3_keywords"/>
    <w:basedOn w:val="Mdeck3abstract"/>
    <w:qFormat/>
    <w:rsid w:val="00740D19"/>
    <w:pPr>
      <w:widowControl/>
      <w:spacing w:after="0"/>
    </w:pPr>
  </w:style>
  <w:style w:type="paragraph" w:customStyle="1" w:styleId="Mdeck3publcationhistory">
    <w:name w:val="M_deck_3_publcation_history"/>
    <w:qFormat/>
    <w:rsid w:val="00740D19"/>
    <w:pPr>
      <w:widowControl w:val="0"/>
      <w:kinsoku w:val="0"/>
      <w:overflowPunct w:val="0"/>
      <w:autoSpaceDE w:val="0"/>
      <w:autoSpaceDN w:val="0"/>
      <w:adjustRightInd w:val="0"/>
      <w:snapToGrid w:val="0"/>
      <w:spacing w:before="240" w:line="340" w:lineRule="atLeast"/>
    </w:pPr>
    <w:rPr>
      <w:rFonts w:eastAsia="Times New Roman" w:cstheme="minorBidi"/>
      <w:i/>
      <w:snapToGrid w:val="0"/>
      <w:color w:val="000000"/>
      <w:sz w:val="24"/>
      <w:lang w:val="en-US" w:eastAsia="de-DE" w:bidi="en-US"/>
    </w:rPr>
  </w:style>
  <w:style w:type="paragraph" w:customStyle="1" w:styleId="Mdeck4heading1">
    <w:name w:val="M_deck_4_heading_1"/>
    <w:next w:val="Normal"/>
    <w:qFormat/>
    <w:rsid w:val="00740D19"/>
    <w:pPr>
      <w:kinsoku w:val="0"/>
      <w:overflowPunct w:val="0"/>
      <w:autoSpaceDE w:val="0"/>
      <w:autoSpaceDN w:val="0"/>
      <w:adjustRightInd w:val="0"/>
      <w:snapToGrid w:val="0"/>
      <w:spacing w:before="240" w:after="240" w:line="340" w:lineRule="atLeast"/>
      <w:outlineLvl w:val="0"/>
    </w:pPr>
    <w:rPr>
      <w:rFonts w:eastAsia="Times New Roman" w:cstheme="minorBidi"/>
      <w:b/>
      <w:snapToGrid w:val="0"/>
      <w:color w:val="000000"/>
      <w:sz w:val="24"/>
      <w:lang w:val="en-US" w:eastAsia="de-DE" w:bidi="en-US"/>
    </w:rPr>
  </w:style>
  <w:style w:type="paragraph" w:customStyle="1" w:styleId="Mdeck4heading2">
    <w:name w:val="M_deck_4_heading_2"/>
    <w:next w:val="Normal"/>
    <w:qFormat/>
    <w:rsid w:val="00740D19"/>
    <w:pPr>
      <w:kinsoku w:val="0"/>
      <w:overflowPunct w:val="0"/>
      <w:autoSpaceDE w:val="0"/>
      <w:autoSpaceDN w:val="0"/>
      <w:adjustRightInd w:val="0"/>
      <w:snapToGrid w:val="0"/>
      <w:spacing w:before="240" w:after="240" w:line="340" w:lineRule="atLeast"/>
      <w:outlineLvl w:val="1"/>
    </w:pPr>
    <w:rPr>
      <w:rFonts w:eastAsia="Times New Roman" w:cstheme="minorBidi"/>
      <w:i/>
      <w:snapToGrid w:val="0"/>
      <w:color w:val="000000"/>
      <w:sz w:val="24"/>
      <w:lang w:val="en-US" w:eastAsia="de-DE" w:bidi="en-US"/>
    </w:rPr>
  </w:style>
  <w:style w:type="paragraph" w:customStyle="1" w:styleId="Mdeck4heading3">
    <w:name w:val="M_deck_4_heading_3"/>
    <w:next w:val="Normal"/>
    <w:qFormat/>
    <w:rsid w:val="00740D19"/>
    <w:pPr>
      <w:kinsoku w:val="0"/>
      <w:overflowPunct w:val="0"/>
      <w:autoSpaceDE w:val="0"/>
      <w:autoSpaceDN w:val="0"/>
      <w:adjustRightInd w:val="0"/>
      <w:snapToGrid w:val="0"/>
      <w:spacing w:before="240" w:after="240" w:line="340" w:lineRule="atLeast"/>
      <w:outlineLvl w:val="2"/>
    </w:pPr>
    <w:rPr>
      <w:rFonts w:eastAsia="Times New Roman" w:cstheme="minorBidi"/>
      <w:snapToGrid w:val="0"/>
      <w:color w:val="000000"/>
      <w:sz w:val="24"/>
      <w:lang w:val="en-US" w:eastAsia="de-DE" w:bidi="en-US"/>
    </w:rPr>
  </w:style>
  <w:style w:type="paragraph" w:customStyle="1" w:styleId="Mdeck4text">
    <w:name w:val="M_deck_4_text"/>
    <w:autoRedefine/>
    <w:qFormat/>
    <w:rsid w:val="00740D19"/>
    <w:pPr>
      <w:kinsoku w:val="0"/>
      <w:overflowPunct w:val="0"/>
      <w:autoSpaceDE w:val="0"/>
      <w:autoSpaceDN w:val="0"/>
      <w:adjustRightInd w:val="0"/>
      <w:snapToGrid w:val="0"/>
      <w:spacing w:line="340" w:lineRule="atLeast"/>
      <w:ind w:firstLine="284"/>
      <w:jc w:val="both"/>
    </w:pPr>
    <w:rPr>
      <w:rFonts w:eastAsia="Times New Roman" w:cstheme="minorBidi"/>
      <w:snapToGrid w:val="0"/>
      <w:color w:val="000000"/>
      <w:sz w:val="24"/>
      <w:lang w:val="en-US" w:eastAsia="de-DE" w:bidi="en-US"/>
    </w:rPr>
  </w:style>
  <w:style w:type="paragraph" w:customStyle="1" w:styleId="Mdeck4textbulletlist">
    <w:name w:val="M_deck_4_text_bullet_list"/>
    <w:qFormat/>
    <w:rsid w:val="00740D19"/>
    <w:pPr>
      <w:numPr>
        <w:numId w:val="2"/>
      </w:numPr>
      <w:kinsoku w:val="0"/>
      <w:overflowPunct w:val="0"/>
      <w:autoSpaceDE w:val="0"/>
      <w:autoSpaceDN w:val="0"/>
      <w:adjustRightInd w:val="0"/>
      <w:snapToGrid w:val="0"/>
      <w:spacing w:before="120" w:after="120" w:line="340" w:lineRule="atLeast"/>
      <w:jc w:val="both"/>
    </w:pPr>
    <w:rPr>
      <w:rFonts w:eastAsia="Times New Roman" w:cstheme="minorBidi"/>
      <w:snapToGrid w:val="0"/>
      <w:color w:val="000000"/>
      <w:sz w:val="24"/>
      <w:lang w:val="en-US" w:eastAsia="de-DE" w:bidi="en-US"/>
    </w:rPr>
  </w:style>
  <w:style w:type="paragraph" w:customStyle="1" w:styleId="Mdeck4textfirstlinezero">
    <w:name w:val="M_deck_4_text_firstline_zero"/>
    <w:basedOn w:val="Mdeck4text"/>
    <w:next w:val="Mdeck4text"/>
    <w:qFormat/>
    <w:rsid w:val="00740D19"/>
    <w:pPr>
      <w:ind w:left="567" w:right="567" w:firstLine="0"/>
    </w:pPr>
    <w:rPr>
      <w:szCs w:val="24"/>
    </w:rPr>
  </w:style>
  <w:style w:type="paragraph" w:customStyle="1" w:styleId="Mdeck4textlist">
    <w:name w:val="M_deck_4_text_list"/>
    <w:basedOn w:val="MFigure"/>
    <w:qFormat/>
    <w:rsid w:val="00740D19"/>
    <w:rPr>
      <w:rFonts w:cstheme="minorBidi"/>
      <w:i/>
      <w:color w:val="auto"/>
      <w:kern w:val="2"/>
      <w:sz w:val="20"/>
      <w:lang w:val="en-US" w:eastAsia="zh-CN"/>
    </w:rPr>
  </w:style>
  <w:style w:type="paragraph" w:customStyle="1" w:styleId="Mdeck4textlrindent">
    <w:name w:val="M_deck_4_text_lr_indent"/>
    <w:basedOn w:val="Mdeck4text"/>
    <w:qFormat/>
    <w:rsid w:val="00740D19"/>
    <w:pPr>
      <w:ind w:left="567" w:right="567" w:firstLine="0"/>
    </w:pPr>
  </w:style>
  <w:style w:type="paragraph" w:customStyle="1" w:styleId="Mdeck4textnumberedlist">
    <w:name w:val="M_deck_4_text_numbered_list"/>
    <w:qFormat/>
    <w:rsid w:val="00740D19"/>
    <w:pPr>
      <w:numPr>
        <w:numId w:val="3"/>
      </w:numPr>
      <w:kinsoku w:val="0"/>
      <w:overflowPunct w:val="0"/>
      <w:autoSpaceDE w:val="0"/>
      <w:autoSpaceDN w:val="0"/>
      <w:adjustRightInd w:val="0"/>
      <w:snapToGrid w:val="0"/>
      <w:spacing w:before="120" w:after="120" w:line="340" w:lineRule="atLeast"/>
      <w:jc w:val="both"/>
    </w:pPr>
    <w:rPr>
      <w:rFonts w:eastAsia="Times New Roman" w:cstheme="minorBidi"/>
      <w:snapToGrid w:val="0"/>
      <w:color w:val="000000"/>
      <w:sz w:val="24"/>
      <w:lang w:val="en-US" w:eastAsia="de-DE" w:bidi="en-US"/>
    </w:rPr>
  </w:style>
  <w:style w:type="paragraph" w:customStyle="1" w:styleId="Mdeck5tablebody">
    <w:name w:val="M_deck_5_table_body"/>
    <w:qFormat/>
    <w:rsid w:val="00740D19"/>
    <w:pPr>
      <w:kinsoku w:val="0"/>
      <w:overflowPunct w:val="0"/>
      <w:autoSpaceDE w:val="0"/>
      <w:autoSpaceDN w:val="0"/>
      <w:adjustRightInd w:val="0"/>
      <w:snapToGrid w:val="0"/>
      <w:spacing w:line="300" w:lineRule="exact"/>
      <w:jc w:val="center"/>
    </w:pPr>
    <w:rPr>
      <w:rFonts w:eastAsia="Times New Roman" w:cstheme="minorBidi"/>
      <w:snapToGrid w:val="0"/>
      <w:color w:val="000000"/>
      <w:lang w:val="en-US" w:eastAsia="de-DE" w:bidi="en-US"/>
    </w:rPr>
  </w:style>
  <w:style w:type="table" w:customStyle="1" w:styleId="Mdeck5tablebodythreelines">
    <w:name w:val="M_deck_5_table_body_three_lines"/>
    <w:basedOn w:val="TableNormal"/>
    <w:uiPriority w:val="99"/>
    <w:rsid w:val="00740D19"/>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740D19"/>
    <w:pPr>
      <w:kinsoku w:val="0"/>
      <w:overflowPunct w:val="0"/>
      <w:autoSpaceDE w:val="0"/>
      <w:autoSpaceDN w:val="0"/>
      <w:adjustRightInd w:val="0"/>
      <w:snapToGrid w:val="0"/>
      <w:spacing w:before="240" w:after="120" w:line="340" w:lineRule="atLeast"/>
      <w:ind w:left="567" w:right="567"/>
      <w:jc w:val="both"/>
    </w:pPr>
    <w:rPr>
      <w:rFonts w:eastAsia="Times New Roman" w:cstheme="minorBidi"/>
      <w:snapToGrid w:val="0"/>
      <w:color w:val="000000"/>
      <w:sz w:val="24"/>
      <w:lang w:val="en-US" w:eastAsia="de-DE" w:bidi="en-US"/>
    </w:rPr>
  </w:style>
  <w:style w:type="paragraph" w:customStyle="1" w:styleId="Mdeck5tablefooter">
    <w:name w:val="M_deck_5_table_footer"/>
    <w:qFormat/>
    <w:rsid w:val="00740D19"/>
    <w:pPr>
      <w:kinsoku w:val="0"/>
      <w:overflowPunct w:val="0"/>
      <w:autoSpaceDE w:val="0"/>
      <w:autoSpaceDN w:val="0"/>
      <w:adjustRightInd w:val="0"/>
      <w:snapToGrid w:val="0"/>
      <w:spacing w:line="300" w:lineRule="exact"/>
      <w:ind w:left="567" w:right="567"/>
      <w:jc w:val="both"/>
    </w:pPr>
    <w:rPr>
      <w:rFonts w:eastAsia="Times New Roman" w:cstheme="minorBidi"/>
      <w:snapToGrid w:val="0"/>
      <w:color w:val="000000"/>
      <w:lang w:val="en-US" w:eastAsia="de-DE" w:bidi="en-US"/>
    </w:rPr>
  </w:style>
  <w:style w:type="paragraph" w:customStyle="1" w:styleId="Mdeck5tableheader">
    <w:name w:val="M_deck_5_table_header"/>
    <w:basedOn w:val="Mdeck5tablefooter"/>
    <w:rsid w:val="00740D19"/>
  </w:style>
  <w:style w:type="paragraph" w:customStyle="1" w:styleId="Mdeck6figurebody">
    <w:name w:val="M_deck_6_figure_body"/>
    <w:qFormat/>
    <w:rsid w:val="00740D19"/>
    <w:pPr>
      <w:widowControl w:val="0"/>
      <w:kinsoku w:val="0"/>
      <w:overflowPunct w:val="0"/>
      <w:autoSpaceDE w:val="0"/>
      <w:autoSpaceDN w:val="0"/>
      <w:adjustRightInd w:val="0"/>
      <w:snapToGrid w:val="0"/>
      <w:spacing w:line="340" w:lineRule="atLeast"/>
      <w:jc w:val="center"/>
    </w:pPr>
    <w:rPr>
      <w:rFonts w:eastAsia="Times New Roman" w:cstheme="minorBidi"/>
      <w:snapToGrid w:val="0"/>
      <w:color w:val="000000"/>
      <w:sz w:val="24"/>
      <w:lang w:val="en-US" w:eastAsia="de-DE" w:bidi="en-US"/>
    </w:rPr>
  </w:style>
  <w:style w:type="paragraph" w:customStyle="1" w:styleId="Mdeck6figurecaption">
    <w:name w:val="M_deck_6_figure_caption"/>
    <w:basedOn w:val="Mdeck5tablecaption"/>
    <w:qFormat/>
    <w:rsid w:val="00740D19"/>
    <w:pPr>
      <w:spacing w:after="240"/>
    </w:pPr>
  </w:style>
  <w:style w:type="paragraph" w:customStyle="1" w:styleId="Mdeck7equation">
    <w:name w:val="M_deck_7_equation"/>
    <w:basedOn w:val="Normal"/>
    <w:rsid w:val="00740D19"/>
    <w:pPr>
      <w:kinsoku w:val="0"/>
      <w:overflowPunct w:val="0"/>
      <w:autoSpaceDE w:val="0"/>
      <w:autoSpaceDN w:val="0"/>
      <w:adjustRightInd w:val="0"/>
      <w:snapToGrid w:val="0"/>
      <w:spacing w:before="240" w:line="240" w:lineRule="auto"/>
      <w:jc w:val="center"/>
    </w:pPr>
    <w:rPr>
      <w:rFonts w:eastAsia="SimSun" w:cstheme="minorBidi"/>
      <w:i/>
      <w:snapToGrid w:val="0"/>
      <w:color w:val="auto"/>
      <w:kern w:val="2"/>
      <w:sz w:val="20"/>
      <w:szCs w:val="24"/>
      <w:lang w:val="en-US" w:eastAsia="en-US" w:bidi="en-US"/>
    </w:rPr>
  </w:style>
  <w:style w:type="paragraph" w:customStyle="1" w:styleId="Mdeck8references">
    <w:name w:val="M_deck_8_references"/>
    <w:qFormat/>
    <w:rsid w:val="00740D19"/>
    <w:pPr>
      <w:numPr>
        <w:numId w:val="4"/>
      </w:numPr>
      <w:kinsoku w:val="0"/>
      <w:overflowPunct w:val="0"/>
      <w:autoSpaceDE w:val="0"/>
      <w:autoSpaceDN w:val="0"/>
      <w:adjustRightInd w:val="0"/>
      <w:snapToGrid w:val="0"/>
      <w:spacing w:line="340" w:lineRule="atLeast"/>
      <w:ind w:left="420"/>
      <w:jc w:val="both"/>
    </w:pPr>
    <w:rPr>
      <w:rFonts w:eastAsia="Times New Roman" w:cstheme="minorBidi"/>
      <w:snapToGrid w:val="0"/>
      <w:color w:val="000000"/>
      <w:sz w:val="24"/>
      <w:lang w:val="en-US" w:eastAsia="de-DE" w:bidi="en-US"/>
    </w:rPr>
  </w:style>
  <w:style w:type="character" w:styleId="LineNumber">
    <w:name w:val="line number"/>
    <w:basedOn w:val="DefaultParagraphFont"/>
    <w:uiPriority w:val="99"/>
    <w:semiHidden/>
    <w:unhideWhenUsed/>
    <w:rsid w:val="005F0B0E"/>
  </w:style>
  <w:style w:type="paragraph" w:styleId="FootnoteText">
    <w:name w:val="footnote text"/>
    <w:basedOn w:val="Normal"/>
    <w:link w:val="FootnoteTextChar"/>
    <w:uiPriority w:val="99"/>
    <w:semiHidden/>
    <w:unhideWhenUsed/>
    <w:rsid w:val="00ED3A75"/>
    <w:pPr>
      <w:spacing w:line="240" w:lineRule="auto"/>
    </w:pPr>
    <w:rPr>
      <w:sz w:val="20"/>
    </w:rPr>
  </w:style>
  <w:style w:type="character" w:customStyle="1" w:styleId="FootnoteTextChar">
    <w:name w:val="Footnote Text Char"/>
    <w:basedOn w:val="DefaultParagraphFont"/>
    <w:link w:val="FootnoteText"/>
    <w:uiPriority w:val="99"/>
    <w:semiHidden/>
    <w:rsid w:val="00ED3A75"/>
    <w:rPr>
      <w:rFonts w:eastAsia="Times New Roman"/>
      <w:color w:val="000000"/>
      <w:lang w:val="en-US" w:eastAsia="de-DE"/>
    </w:rPr>
  </w:style>
  <w:style w:type="character" w:styleId="FootnoteReference">
    <w:name w:val="footnote reference"/>
    <w:basedOn w:val="DefaultParagraphFont"/>
    <w:uiPriority w:val="99"/>
    <w:semiHidden/>
    <w:unhideWhenUsed/>
    <w:rsid w:val="00ED3A75"/>
    <w:rPr>
      <w:vertAlign w:val="superscript"/>
    </w:rPr>
  </w:style>
  <w:style w:type="paragraph" w:customStyle="1" w:styleId="Mdeck4text2nd">
    <w:name w:val="M_deck_4_text_2nd"/>
    <w:qFormat/>
    <w:rsid w:val="00740D19"/>
    <w:pPr>
      <w:spacing w:line="340" w:lineRule="atLeast"/>
      <w:ind w:left="993" w:hanging="284"/>
      <w:jc w:val="both"/>
    </w:pPr>
    <w:rPr>
      <w:rFonts w:eastAsia="Times New Roman" w:cstheme="minorBidi"/>
      <w:snapToGrid w:val="0"/>
      <w:color w:val="000000"/>
      <w:sz w:val="24"/>
      <w:lang w:val="en-US" w:eastAsia="de-DE" w:bidi="en-US"/>
    </w:rPr>
  </w:style>
  <w:style w:type="paragraph" w:styleId="BalloonText">
    <w:name w:val="Balloon Text"/>
    <w:basedOn w:val="Normal"/>
    <w:link w:val="BalloonTextChar"/>
    <w:uiPriority w:val="99"/>
    <w:semiHidden/>
    <w:unhideWhenUsed/>
    <w:rsid w:val="007052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94"/>
    <w:rPr>
      <w:rFonts w:ascii="Segoe UI" w:eastAsia="Times New Roman" w:hAnsi="Segoe UI" w:cs="Segoe UI"/>
      <w:color w:val="000000"/>
      <w:sz w:val="18"/>
      <w:szCs w:val="18"/>
      <w:lang w:eastAsia="de-DE"/>
    </w:rPr>
  </w:style>
  <w:style w:type="paragraph" w:styleId="CommentSubject">
    <w:name w:val="annotation subject"/>
    <w:basedOn w:val="CommentText"/>
    <w:next w:val="CommentText"/>
    <w:link w:val="CommentSubjectChar"/>
    <w:uiPriority w:val="99"/>
    <w:semiHidden/>
    <w:unhideWhenUsed/>
    <w:rsid w:val="00FC5CE1"/>
    <w:pPr>
      <w:spacing w:line="240" w:lineRule="auto"/>
    </w:pPr>
    <w:rPr>
      <w:b/>
      <w:bCs/>
    </w:rPr>
  </w:style>
  <w:style w:type="character" w:customStyle="1" w:styleId="CommentTextChar">
    <w:name w:val="Comment Text Char"/>
    <w:basedOn w:val="DefaultParagraphFont"/>
    <w:link w:val="CommentText"/>
    <w:semiHidden/>
    <w:rsid w:val="00FC5CE1"/>
    <w:rPr>
      <w:rFonts w:eastAsia="Times New Roman"/>
      <w:color w:val="000000"/>
      <w:lang w:eastAsia="de-DE"/>
    </w:rPr>
  </w:style>
  <w:style w:type="character" w:customStyle="1" w:styleId="CommentSubjectChar">
    <w:name w:val="Comment Subject Char"/>
    <w:basedOn w:val="CommentTextChar"/>
    <w:link w:val="CommentSubject"/>
    <w:uiPriority w:val="99"/>
    <w:semiHidden/>
    <w:rsid w:val="00FC5CE1"/>
    <w:rPr>
      <w:rFonts w:eastAsia="Times New Roman"/>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9771">
      <w:bodyDiv w:val="1"/>
      <w:marLeft w:val="0"/>
      <w:marRight w:val="0"/>
      <w:marTop w:val="0"/>
      <w:marBottom w:val="0"/>
      <w:divBdr>
        <w:top w:val="none" w:sz="0" w:space="0" w:color="auto"/>
        <w:left w:val="none" w:sz="0" w:space="0" w:color="auto"/>
        <w:bottom w:val="none" w:sz="0" w:space="0" w:color="auto"/>
        <w:right w:val="none" w:sz="0" w:space="0" w:color="auto"/>
      </w:divBdr>
    </w:div>
    <w:div w:id="658388779">
      <w:bodyDiv w:val="1"/>
      <w:marLeft w:val="0"/>
      <w:marRight w:val="0"/>
      <w:marTop w:val="0"/>
      <w:marBottom w:val="0"/>
      <w:divBdr>
        <w:top w:val="none" w:sz="0" w:space="0" w:color="auto"/>
        <w:left w:val="none" w:sz="0" w:space="0" w:color="auto"/>
        <w:bottom w:val="none" w:sz="0" w:space="0" w:color="auto"/>
        <w:right w:val="none" w:sz="0" w:space="0" w:color="auto"/>
      </w:divBdr>
    </w:div>
    <w:div w:id="1218206715">
      <w:bodyDiv w:val="1"/>
      <w:marLeft w:val="0"/>
      <w:marRight w:val="0"/>
      <w:marTop w:val="0"/>
      <w:marBottom w:val="0"/>
      <w:divBdr>
        <w:top w:val="none" w:sz="0" w:space="0" w:color="auto"/>
        <w:left w:val="none" w:sz="0" w:space="0" w:color="auto"/>
        <w:bottom w:val="none" w:sz="0" w:space="0" w:color="auto"/>
        <w:right w:val="none" w:sz="0" w:space="0" w:color="auto"/>
      </w:divBdr>
    </w:div>
    <w:div w:id="192317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ook.org.u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exeducationforum.org.uk/home.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a.lib.ed.ac.uk/bitstream/1842/4749/1/rb%2050.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helancet.com/themed/nats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ncb.org.uk/news/new-survey-finds-children-and-young-people-aren%E2%80%99t-being-taught-about-consent-i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2F444-BEA8-4167-881B-8B80206B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21</Pages>
  <Words>10947</Words>
  <Characters>60155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Laws</vt:lpstr>
    </vt:vector>
  </TitlesOfParts>
  <Company>Lancaster University</Company>
  <LinksUpToDate>false</LinksUpToDate>
  <CharactersWithSpaces>70961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dc:title>
  <dc:creator>MDPI</dc:creator>
  <cp:lastModifiedBy>Beresford, Sarah</cp:lastModifiedBy>
  <cp:revision>26</cp:revision>
  <cp:lastPrinted>2014-10-16T14:08:00Z</cp:lastPrinted>
  <dcterms:created xsi:type="dcterms:W3CDTF">2014-10-17T09:18:00Z</dcterms:created>
  <dcterms:modified xsi:type="dcterms:W3CDTF">2014-10-17T13:14:00Z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_deck_longref">
    <vt:bool>false</vt:bool>
  </property>
</Properties>
</file>