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3744" w14:textId="494D9711" w:rsidR="009E2D1A" w:rsidRPr="005474C5" w:rsidRDefault="009E2D1A" w:rsidP="002668F6">
      <w:pPr>
        <w:spacing w:line="240" w:lineRule="auto"/>
        <w:contextualSpacing/>
        <w:jc w:val="center"/>
        <w:rPr>
          <w:rFonts w:ascii="Times New Roman" w:hAnsi="Times New Roman" w:cs="Times New Roman"/>
          <w:b/>
          <w:bCs/>
          <w:sz w:val="24"/>
          <w:szCs w:val="24"/>
        </w:rPr>
      </w:pPr>
      <w:bookmarkStart w:id="0" w:name="_GoBack"/>
      <w:bookmarkEnd w:id="0"/>
      <w:r w:rsidRPr="005474C5">
        <w:rPr>
          <w:rFonts w:ascii="Times New Roman" w:hAnsi="Times New Roman" w:cs="Times New Roman"/>
          <w:b/>
          <w:bCs/>
          <w:sz w:val="24"/>
          <w:szCs w:val="24"/>
        </w:rPr>
        <w:t xml:space="preserve">Opening M&amp;A </w:t>
      </w:r>
      <w:r w:rsidR="00516B20">
        <w:rPr>
          <w:rFonts w:ascii="Times New Roman" w:hAnsi="Times New Roman" w:cs="Times New Roman"/>
          <w:b/>
          <w:bCs/>
          <w:sz w:val="24"/>
          <w:szCs w:val="24"/>
        </w:rPr>
        <w:t>strategy</w:t>
      </w:r>
      <w:r w:rsidR="00516B20" w:rsidRPr="005474C5">
        <w:rPr>
          <w:rFonts w:ascii="Times New Roman" w:hAnsi="Times New Roman" w:cs="Times New Roman"/>
          <w:b/>
          <w:bCs/>
          <w:sz w:val="24"/>
          <w:szCs w:val="24"/>
        </w:rPr>
        <w:t xml:space="preserve"> </w:t>
      </w:r>
      <w:r w:rsidRPr="005474C5">
        <w:rPr>
          <w:rFonts w:ascii="Times New Roman" w:hAnsi="Times New Roman" w:cs="Times New Roman"/>
          <w:b/>
          <w:bCs/>
          <w:sz w:val="24"/>
          <w:szCs w:val="24"/>
        </w:rPr>
        <w:t xml:space="preserve">to investors: </w:t>
      </w:r>
      <w:r w:rsidR="0018436D">
        <w:rPr>
          <w:rFonts w:ascii="Times New Roman" w:hAnsi="Times New Roman" w:cs="Times New Roman"/>
          <w:b/>
          <w:bCs/>
          <w:sz w:val="24"/>
          <w:szCs w:val="24"/>
        </w:rPr>
        <w:t>Predictors and outcomes of t</w:t>
      </w:r>
      <w:r w:rsidRPr="005474C5">
        <w:rPr>
          <w:rFonts w:ascii="Times New Roman" w:hAnsi="Times New Roman" w:cs="Times New Roman"/>
          <w:b/>
          <w:bCs/>
          <w:sz w:val="24"/>
          <w:szCs w:val="24"/>
        </w:rPr>
        <w:t xml:space="preserve">ransparency </w:t>
      </w:r>
      <w:r w:rsidR="0058260E">
        <w:rPr>
          <w:rFonts w:ascii="Times New Roman" w:hAnsi="Times New Roman" w:cs="Times New Roman"/>
          <w:b/>
          <w:bCs/>
          <w:sz w:val="24"/>
          <w:szCs w:val="24"/>
        </w:rPr>
        <w:t>during</w:t>
      </w:r>
      <w:r w:rsidR="0058260E" w:rsidRPr="005474C5">
        <w:rPr>
          <w:rFonts w:ascii="Times New Roman" w:hAnsi="Times New Roman" w:cs="Times New Roman"/>
          <w:b/>
          <w:bCs/>
          <w:sz w:val="24"/>
          <w:szCs w:val="24"/>
        </w:rPr>
        <w:t xml:space="preserve"> </w:t>
      </w:r>
      <w:r w:rsidRPr="005474C5">
        <w:rPr>
          <w:rFonts w:ascii="Times New Roman" w:hAnsi="Times New Roman" w:cs="Times New Roman"/>
          <w:b/>
          <w:bCs/>
          <w:sz w:val="24"/>
          <w:szCs w:val="24"/>
        </w:rPr>
        <w:t>organizational transition</w:t>
      </w:r>
    </w:p>
    <w:p w14:paraId="50D79FD5" w14:textId="77777777" w:rsidR="00E0524B" w:rsidRDefault="00E0524B" w:rsidP="009E2D1A">
      <w:pPr>
        <w:spacing w:line="240" w:lineRule="auto"/>
        <w:contextualSpacing/>
        <w:jc w:val="center"/>
        <w:rPr>
          <w:rFonts w:ascii="Times New Roman" w:hAnsi="Times New Roman" w:cs="Times New Roman"/>
          <w:b/>
          <w:bCs/>
          <w:sz w:val="24"/>
          <w:szCs w:val="24"/>
          <w:lang w:val="en-GB"/>
        </w:rPr>
      </w:pPr>
    </w:p>
    <w:p w14:paraId="326E43E3" w14:textId="77777777" w:rsidR="00C45EC0" w:rsidRDefault="00C45EC0" w:rsidP="009E2D1A">
      <w:pPr>
        <w:spacing w:line="240" w:lineRule="auto"/>
        <w:jc w:val="both"/>
        <w:rPr>
          <w:rFonts w:ascii="Times New Roman" w:hAnsi="Times New Roman" w:cs="Times New Roman"/>
          <w:b/>
          <w:bCs/>
          <w:sz w:val="24"/>
          <w:szCs w:val="24"/>
          <w:lang w:val="en-GB"/>
        </w:rPr>
      </w:pPr>
    </w:p>
    <w:p w14:paraId="72607BAF" w14:textId="77777777" w:rsidR="00C00C3B" w:rsidRDefault="00C00C3B" w:rsidP="00C45EC0">
      <w:pPr>
        <w:spacing w:line="240" w:lineRule="auto"/>
        <w:rPr>
          <w:rFonts w:ascii="Times New Roman" w:hAnsi="Times New Roman" w:cs="Times New Roman"/>
          <w:b/>
          <w:bCs/>
          <w:sz w:val="24"/>
          <w:szCs w:val="24"/>
          <w:lang w:val="en-GB"/>
        </w:rPr>
      </w:pPr>
    </w:p>
    <w:p w14:paraId="7A75D584" w14:textId="77777777" w:rsidR="00C00C3B" w:rsidRDefault="00C00C3B" w:rsidP="00C45EC0">
      <w:pPr>
        <w:spacing w:line="240" w:lineRule="auto"/>
        <w:rPr>
          <w:rFonts w:ascii="Times New Roman" w:hAnsi="Times New Roman" w:cs="Times New Roman"/>
          <w:b/>
          <w:bCs/>
          <w:sz w:val="24"/>
          <w:szCs w:val="24"/>
          <w:lang w:val="en-GB"/>
        </w:rPr>
      </w:pPr>
    </w:p>
    <w:p w14:paraId="4B2F1A8E" w14:textId="691A9CAD" w:rsidR="00C45EC0" w:rsidRDefault="00C45EC0" w:rsidP="00C45EC0">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14:paraId="5DE81A44" w14:textId="562C4E18" w:rsidR="00BB533B" w:rsidRDefault="00516B20" w:rsidP="00BB533B">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w:t>
      </w:r>
      <w:r w:rsidR="009E2D1A" w:rsidRPr="005474C5">
        <w:rPr>
          <w:rFonts w:ascii="Times New Roman" w:hAnsi="Times New Roman" w:cs="Times New Roman"/>
          <w:sz w:val="24"/>
          <w:szCs w:val="24"/>
          <w:lang w:val="en-GB"/>
        </w:rPr>
        <w:t>study theorizes and tests</w:t>
      </w:r>
      <w:r w:rsidR="00FF394B">
        <w:rPr>
          <w:rFonts w:ascii="Times New Roman" w:hAnsi="Times New Roman" w:cs="Times New Roman"/>
          <w:sz w:val="24"/>
          <w:szCs w:val="24"/>
          <w:lang w:val="en-GB"/>
        </w:rPr>
        <w:t xml:space="preserve"> </w:t>
      </w:r>
      <w:r w:rsidR="00A11478">
        <w:rPr>
          <w:rFonts w:ascii="Times New Roman" w:hAnsi="Times New Roman" w:cs="Times New Roman"/>
          <w:sz w:val="24"/>
          <w:szCs w:val="24"/>
          <w:lang w:val="en-GB"/>
        </w:rPr>
        <w:t>why</w:t>
      </w:r>
      <w:r w:rsidR="00BE3318">
        <w:rPr>
          <w:rFonts w:ascii="Times New Roman" w:hAnsi="Times New Roman" w:cs="Times New Roman"/>
          <w:sz w:val="24"/>
          <w:szCs w:val="24"/>
          <w:lang w:val="en-GB"/>
        </w:rPr>
        <w:t xml:space="preserve"> organizations engage in </w:t>
      </w:r>
      <w:r w:rsidR="00E33C6E" w:rsidRPr="00E33C6E">
        <w:rPr>
          <w:rFonts w:ascii="Times New Roman" w:eastAsia="Times New Roman" w:hAnsi="Times New Roman" w:cs="Times New Roman"/>
          <w:sz w:val="24"/>
          <w:szCs w:val="24"/>
          <w:lang w:eastAsia="en-GB"/>
        </w:rPr>
        <w:t>more external transparency as an open strategy practice</w:t>
      </w:r>
      <w:r w:rsidR="00E33C6E" w:rsidRPr="00E33C6E">
        <w:rPr>
          <w:rFonts w:ascii="Times New Roman" w:hAnsi="Times New Roman" w:cs="Times New Roman"/>
          <w:sz w:val="24"/>
          <w:szCs w:val="24"/>
          <w:lang w:val="en-GB"/>
        </w:rPr>
        <w:t xml:space="preserve"> </w:t>
      </w:r>
      <w:r w:rsidR="00BE3318">
        <w:rPr>
          <w:rFonts w:ascii="Times New Roman" w:hAnsi="Times New Roman" w:cs="Times New Roman"/>
          <w:sz w:val="24"/>
          <w:szCs w:val="24"/>
          <w:lang w:val="en-GB"/>
        </w:rPr>
        <w:t>and the share-price related outcomes associated with these practices.</w:t>
      </w:r>
      <w:r w:rsidR="00F43F30">
        <w:rPr>
          <w:rFonts w:ascii="Times New Roman" w:hAnsi="Times New Roman" w:cs="Times New Roman"/>
          <w:sz w:val="24"/>
          <w:szCs w:val="24"/>
          <w:lang w:val="en-GB"/>
        </w:rPr>
        <w:t xml:space="preserve"> </w:t>
      </w:r>
      <w:r w:rsidR="009E2D1A" w:rsidRPr="005474C5">
        <w:rPr>
          <w:rFonts w:ascii="Times New Roman" w:hAnsi="Times New Roman" w:cs="Times New Roman"/>
          <w:sz w:val="24"/>
          <w:szCs w:val="24"/>
          <w:lang w:val="en-GB"/>
        </w:rPr>
        <w:t xml:space="preserve">Drawing from literature on information asymmetry, we suggest </w:t>
      </w:r>
      <w:r w:rsidR="00C51F1F">
        <w:rPr>
          <w:rFonts w:ascii="Times New Roman" w:hAnsi="Times New Roman" w:cs="Times New Roman"/>
          <w:sz w:val="24"/>
          <w:szCs w:val="24"/>
          <w:lang w:val="en-GB"/>
        </w:rPr>
        <w:t xml:space="preserve">that </w:t>
      </w:r>
      <w:r w:rsidR="00BB533B">
        <w:rPr>
          <w:rFonts w:ascii="Times New Roman" w:hAnsi="Times New Roman" w:cs="Times New Roman"/>
          <w:sz w:val="24"/>
          <w:szCs w:val="24"/>
          <w:lang w:val="en-GB"/>
        </w:rPr>
        <w:t xml:space="preserve">organizations that depart from their existing strategy or deviate from industry norms are more likely to open up their strategy in order to escape negative evaluations by analysts and scrutiny by investors. We further investigate how the stock market responds to </w:t>
      </w:r>
      <w:r w:rsidR="002673C1">
        <w:rPr>
          <w:rFonts w:ascii="Times New Roman" w:hAnsi="Times New Roman" w:cs="Times New Roman"/>
          <w:sz w:val="24"/>
          <w:szCs w:val="24"/>
          <w:lang w:val="en-GB"/>
        </w:rPr>
        <w:t>more openness in strategy</w:t>
      </w:r>
      <w:r w:rsidR="00BB533B">
        <w:rPr>
          <w:rFonts w:ascii="Times New Roman" w:hAnsi="Times New Roman" w:cs="Times New Roman"/>
          <w:sz w:val="24"/>
          <w:szCs w:val="24"/>
          <w:lang w:val="en-GB"/>
        </w:rPr>
        <w:t xml:space="preserve">. </w:t>
      </w:r>
      <w:r w:rsidR="00BB533B" w:rsidRPr="005474C5">
        <w:rPr>
          <w:rFonts w:ascii="Times New Roman" w:hAnsi="Times New Roman" w:cs="Times New Roman"/>
          <w:sz w:val="24"/>
          <w:szCs w:val="24"/>
          <w:lang w:val="en-GB"/>
        </w:rPr>
        <w:t xml:space="preserve">In a dataset comprising of a sample of </w:t>
      </w:r>
      <w:r w:rsidR="00BB533B">
        <w:rPr>
          <w:rFonts w:ascii="Times New Roman" w:hAnsi="Times New Roman" w:cs="Times New Roman"/>
          <w:sz w:val="24"/>
          <w:szCs w:val="24"/>
        </w:rPr>
        <w:t>472</w:t>
      </w:r>
      <w:r w:rsidR="00BB533B" w:rsidRPr="005474C5">
        <w:rPr>
          <w:rFonts w:ascii="Times New Roman" w:hAnsi="Times New Roman" w:cs="Times New Roman"/>
          <w:sz w:val="24"/>
          <w:szCs w:val="24"/>
        </w:rPr>
        <w:t xml:space="preserve"> </w:t>
      </w:r>
      <w:r w:rsidR="00BB533B">
        <w:rPr>
          <w:rFonts w:ascii="Times New Roman" w:hAnsi="Times New Roman" w:cs="Times New Roman"/>
          <w:sz w:val="24"/>
          <w:szCs w:val="24"/>
        </w:rPr>
        <w:t>M&amp;A deals</w:t>
      </w:r>
      <w:r w:rsidR="00BB533B" w:rsidRPr="005474C5">
        <w:rPr>
          <w:rFonts w:ascii="Times New Roman" w:hAnsi="Times New Roman" w:cs="Times New Roman"/>
          <w:sz w:val="24"/>
          <w:szCs w:val="24"/>
        </w:rPr>
        <w:t xml:space="preserve"> and </w:t>
      </w:r>
      <w:r w:rsidR="00BB533B">
        <w:rPr>
          <w:rFonts w:ascii="Times New Roman" w:hAnsi="Times New Roman" w:cs="Times New Roman"/>
          <w:sz w:val="24"/>
          <w:szCs w:val="24"/>
        </w:rPr>
        <w:t>886</w:t>
      </w:r>
      <w:r w:rsidR="00BB533B" w:rsidRPr="005474C5">
        <w:rPr>
          <w:rFonts w:ascii="Times New Roman" w:hAnsi="Times New Roman" w:cs="Times New Roman"/>
          <w:sz w:val="24"/>
          <w:szCs w:val="24"/>
        </w:rPr>
        <w:t xml:space="preserve"> </w:t>
      </w:r>
      <w:r w:rsidR="00BB533B" w:rsidRPr="005474C5">
        <w:rPr>
          <w:rFonts w:ascii="Times New Roman" w:hAnsi="Times New Roman" w:cs="Times New Roman"/>
          <w:sz w:val="24"/>
          <w:szCs w:val="24"/>
          <w:lang w:val="en-GB"/>
        </w:rPr>
        <w:t xml:space="preserve">associated </w:t>
      </w:r>
      <w:r w:rsidR="004476C6">
        <w:rPr>
          <w:rFonts w:ascii="Times New Roman" w:hAnsi="Times New Roman" w:cs="Times New Roman"/>
          <w:sz w:val="24"/>
          <w:szCs w:val="24"/>
          <w:lang w:val="en-GB"/>
        </w:rPr>
        <w:t xml:space="preserve">corporate </w:t>
      </w:r>
      <w:r w:rsidR="00BB533B">
        <w:rPr>
          <w:rFonts w:ascii="Times New Roman" w:hAnsi="Times New Roman" w:cs="Times New Roman"/>
          <w:sz w:val="24"/>
          <w:szCs w:val="24"/>
          <w:lang w:val="en-GB"/>
        </w:rPr>
        <w:t>voluntary communication</w:t>
      </w:r>
      <w:r w:rsidR="004476C6">
        <w:rPr>
          <w:rFonts w:ascii="Times New Roman" w:hAnsi="Times New Roman" w:cs="Times New Roman"/>
          <w:sz w:val="24"/>
          <w:szCs w:val="24"/>
          <w:lang w:val="en-GB"/>
        </w:rPr>
        <w:t xml:space="preserve">s </w:t>
      </w:r>
      <w:r w:rsidR="00BB533B" w:rsidRPr="005474C5">
        <w:rPr>
          <w:rFonts w:ascii="Times New Roman" w:hAnsi="Times New Roman" w:cs="Times New Roman"/>
          <w:sz w:val="24"/>
          <w:szCs w:val="24"/>
          <w:lang w:val="en-GB"/>
        </w:rPr>
        <w:t xml:space="preserve">over a five-year period, we find that </w:t>
      </w:r>
      <w:r w:rsidR="00BB533B">
        <w:rPr>
          <w:rFonts w:ascii="Times New Roman" w:hAnsi="Times New Roman" w:cs="Times New Roman"/>
          <w:sz w:val="24"/>
          <w:szCs w:val="24"/>
          <w:lang w:val="en-GB"/>
        </w:rPr>
        <w:t xml:space="preserve">the likelihood of organizations engaging in </w:t>
      </w:r>
      <w:r w:rsidR="00BB533B" w:rsidRPr="005474C5">
        <w:rPr>
          <w:rFonts w:ascii="Times New Roman" w:hAnsi="Times New Roman" w:cs="Times New Roman"/>
          <w:sz w:val="24"/>
          <w:szCs w:val="24"/>
          <w:lang w:val="en-GB"/>
        </w:rPr>
        <w:t xml:space="preserve">open strategy </w:t>
      </w:r>
      <w:r w:rsidR="00BB533B">
        <w:rPr>
          <w:rFonts w:ascii="Times New Roman" w:hAnsi="Times New Roman" w:cs="Times New Roman"/>
          <w:sz w:val="24"/>
          <w:szCs w:val="24"/>
          <w:lang w:val="en-GB"/>
        </w:rPr>
        <w:t xml:space="preserve">practices </w:t>
      </w:r>
      <w:r w:rsidR="002673C1">
        <w:rPr>
          <w:rFonts w:ascii="Times New Roman" w:hAnsi="Times New Roman" w:cs="Times New Roman"/>
          <w:sz w:val="24"/>
          <w:szCs w:val="24"/>
          <w:lang w:val="en-GB"/>
        </w:rPr>
        <w:t xml:space="preserve">that contribute to external transparency </w:t>
      </w:r>
      <w:r w:rsidR="00BB533B" w:rsidRPr="005474C5">
        <w:rPr>
          <w:rFonts w:ascii="Times New Roman" w:hAnsi="Times New Roman" w:cs="Times New Roman"/>
          <w:sz w:val="24"/>
          <w:szCs w:val="24"/>
          <w:lang w:val="en-GB"/>
        </w:rPr>
        <w:t xml:space="preserve">is associated with the degree to which an organization’s strategy differs from industry norms, but is not associated with </w:t>
      </w:r>
      <w:r w:rsidR="00A11478">
        <w:rPr>
          <w:rFonts w:ascii="Times New Roman" w:hAnsi="Times New Roman" w:cs="Times New Roman"/>
          <w:sz w:val="24"/>
          <w:szCs w:val="24"/>
          <w:lang w:val="en-GB"/>
        </w:rPr>
        <w:t>how much it</w:t>
      </w:r>
      <w:r w:rsidR="00BB533B" w:rsidRPr="005474C5">
        <w:rPr>
          <w:rFonts w:ascii="Times New Roman" w:hAnsi="Times New Roman" w:cs="Times New Roman"/>
          <w:sz w:val="24"/>
          <w:szCs w:val="24"/>
          <w:lang w:val="en-GB"/>
        </w:rPr>
        <w:t xml:space="preserve"> varies from its existing one. </w:t>
      </w:r>
      <w:r w:rsidR="00A11478">
        <w:rPr>
          <w:rFonts w:ascii="Times New Roman" w:hAnsi="Times New Roman" w:cs="Times New Roman"/>
          <w:sz w:val="24"/>
          <w:szCs w:val="24"/>
          <w:lang w:val="en-GB"/>
        </w:rPr>
        <w:t xml:space="preserve">Regarding organizational outcomes of </w:t>
      </w:r>
      <w:r w:rsidR="002673C1">
        <w:rPr>
          <w:rFonts w:ascii="Times New Roman" w:hAnsi="Times New Roman" w:cs="Times New Roman"/>
          <w:sz w:val="24"/>
          <w:szCs w:val="24"/>
          <w:lang w:val="en-GB"/>
        </w:rPr>
        <w:t xml:space="preserve">increased </w:t>
      </w:r>
      <w:r w:rsidR="00A11478">
        <w:rPr>
          <w:rFonts w:ascii="Times New Roman" w:hAnsi="Times New Roman" w:cs="Times New Roman"/>
          <w:sz w:val="24"/>
          <w:szCs w:val="24"/>
          <w:lang w:val="en-GB"/>
        </w:rPr>
        <w:t>open</w:t>
      </w:r>
      <w:r w:rsidR="002673C1">
        <w:rPr>
          <w:rFonts w:ascii="Times New Roman" w:hAnsi="Times New Roman" w:cs="Times New Roman"/>
          <w:sz w:val="24"/>
          <w:szCs w:val="24"/>
          <w:lang w:val="en-GB"/>
        </w:rPr>
        <w:t>ness in</w:t>
      </w:r>
      <w:r w:rsidR="00A11478">
        <w:rPr>
          <w:rFonts w:ascii="Times New Roman" w:hAnsi="Times New Roman" w:cs="Times New Roman"/>
          <w:sz w:val="24"/>
          <w:szCs w:val="24"/>
          <w:lang w:val="en-GB"/>
        </w:rPr>
        <w:t xml:space="preserve"> strategy</w:t>
      </w:r>
      <w:r w:rsidR="004476C6">
        <w:rPr>
          <w:rFonts w:ascii="Times New Roman" w:hAnsi="Times New Roman" w:cs="Times New Roman"/>
          <w:sz w:val="24"/>
          <w:szCs w:val="24"/>
          <w:lang w:val="en-GB"/>
        </w:rPr>
        <w:t>,</w:t>
      </w:r>
      <w:r w:rsidR="00BB533B">
        <w:rPr>
          <w:rFonts w:ascii="Times New Roman" w:hAnsi="Times New Roman" w:cs="Times New Roman"/>
          <w:sz w:val="24"/>
          <w:szCs w:val="24"/>
          <w:lang w:val="en-GB"/>
        </w:rPr>
        <w:t xml:space="preserve"> </w:t>
      </w:r>
      <w:r w:rsidR="004476C6">
        <w:rPr>
          <w:rFonts w:ascii="Times New Roman" w:hAnsi="Times New Roman" w:cs="Times New Roman"/>
          <w:sz w:val="24"/>
          <w:szCs w:val="24"/>
          <w:lang w:val="en-GB"/>
        </w:rPr>
        <w:t>we illustrate that increasing the transparency of M&amp;A strategy to investors through voluntary communications can bri</w:t>
      </w:r>
      <w:r w:rsidR="00144BCF">
        <w:rPr>
          <w:rFonts w:ascii="Times New Roman" w:hAnsi="Times New Roman" w:cs="Times New Roman"/>
          <w:sz w:val="24"/>
          <w:szCs w:val="24"/>
          <w:lang w:val="en-GB"/>
        </w:rPr>
        <w:t>n</w:t>
      </w:r>
      <w:r w:rsidR="002673C1">
        <w:rPr>
          <w:rFonts w:ascii="Times New Roman" w:hAnsi="Times New Roman" w:cs="Times New Roman"/>
          <w:sz w:val="24"/>
          <w:szCs w:val="24"/>
          <w:lang w:val="en-GB"/>
        </w:rPr>
        <w:t xml:space="preserve">g share-price related benefits. </w:t>
      </w:r>
      <w:r w:rsidR="00BB533B" w:rsidRPr="005474C5">
        <w:rPr>
          <w:rFonts w:ascii="Times New Roman" w:hAnsi="Times New Roman" w:cs="Times New Roman"/>
          <w:sz w:val="24"/>
          <w:szCs w:val="24"/>
          <w:lang w:val="en-GB"/>
        </w:rPr>
        <w:t>Our research contributes to literature on open strategy, information asymmetry, and managing M&amp;A.</w:t>
      </w:r>
      <w:r w:rsidR="00BB533B">
        <w:rPr>
          <w:rFonts w:ascii="Times New Roman" w:hAnsi="Times New Roman" w:cs="Times New Roman"/>
          <w:sz w:val="24"/>
          <w:szCs w:val="24"/>
          <w:lang w:val="en-GB"/>
        </w:rPr>
        <w:t xml:space="preserve"> </w:t>
      </w:r>
    </w:p>
    <w:p w14:paraId="34B7A501" w14:textId="2C56A3E7" w:rsidR="009E2D1A" w:rsidRPr="00253BEB" w:rsidRDefault="009E2D1A" w:rsidP="009E2D1A">
      <w:pPr>
        <w:spacing w:line="240" w:lineRule="auto"/>
        <w:jc w:val="both"/>
        <w:rPr>
          <w:rFonts w:ascii="Times New Roman" w:hAnsi="Times New Roman" w:cs="Times New Roman"/>
          <w:b/>
          <w:bCs/>
          <w:sz w:val="24"/>
          <w:szCs w:val="24"/>
          <w:lang w:val="en-GB"/>
        </w:rPr>
      </w:pPr>
      <w:r w:rsidRPr="005474C5">
        <w:rPr>
          <w:rFonts w:ascii="Times New Roman" w:hAnsi="Times New Roman" w:cs="Times New Roman"/>
          <w:b/>
          <w:bCs/>
          <w:sz w:val="24"/>
          <w:szCs w:val="24"/>
          <w:lang w:val="en-GB"/>
        </w:rPr>
        <w:t xml:space="preserve">Key words: </w:t>
      </w:r>
      <w:r w:rsidR="00BE08AA">
        <w:rPr>
          <w:rFonts w:ascii="Times New Roman" w:hAnsi="Times New Roman" w:cs="Times New Roman"/>
          <w:b/>
          <w:bCs/>
          <w:sz w:val="24"/>
          <w:szCs w:val="24"/>
          <w:lang w:val="en-GB"/>
        </w:rPr>
        <w:t>O</w:t>
      </w:r>
      <w:r w:rsidRPr="005474C5">
        <w:rPr>
          <w:rFonts w:ascii="Times New Roman" w:hAnsi="Times New Roman" w:cs="Times New Roman"/>
          <w:b/>
          <w:bCs/>
          <w:sz w:val="24"/>
          <w:szCs w:val="24"/>
          <w:lang w:val="en-GB"/>
        </w:rPr>
        <w:t xml:space="preserve">pen strategy; </w:t>
      </w:r>
      <w:r w:rsidR="00BE08AA" w:rsidRPr="005474C5">
        <w:rPr>
          <w:rFonts w:ascii="Times New Roman" w:hAnsi="Times New Roman" w:cs="Times New Roman"/>
          <w:b/>
          <w:bCs/>
          <w:sz w:val="24"/>
          <w:szCs w:val="24"/>
          <w:lang w:val="en-GB"/>
        </w:rPr>
        <w:t xml:space="preserve">M&amp;A; </w:t>
      </w:r>
      <w:r w:rsidRPr="005474C5">
        <w:rPr>
          <w:rFonts w:ascii="Times New Roman" w:hAnsi="Times New Roman" w:cs="Times New Roman"/>
          <w:b/>
          <w:bCs/>
          <w:sz w:val="24"/>
          <w:szCs w:val="24"/>
          <w:lang w:val="en-GB"/>
        </w:rPr>
        <w:t>information asymmetry</w:t>
      </w:r>
      <w:r w:rsidR="00747285">
        <w:rPr>
          <w:rFonts w:ascii="Times New Roman" w:hAnsi="Times New Roman" w:cs="Times New Roman"/>
          <w:b/>
          <w:bCs/>
          <w:sz w:val="24"/>
          <w:szCs w:val="24"/>
          <w:lang w:val="en-GB"/>
        </w:rPr>
        <w:t xml:space="preserve">; </w:t>
      </w:r>
      <w:r w:rsidR="000D0C6F">
        <w:rPr>
          <w:rFonts w:ascii="Times New Roman" w:hAnsi="Times New Roman" w:cs="Times New Roman"/>
          <w:b/>
          <w:bCs/>
          <w:sz w:val="24"/>
          <w:szCs w:val="24"/>
          <w:lang w:val="en-GB"/>
        </w:rPr>
        <w:t xml:space="preserve">strategic variation and deviation; voluntary </w:t>
      </w:r>
      <w:r w:rsidR="00CE5194">
        <w:rPr>
          <w:rFonts w:ascii="Times New Roman" w:hAnsi="Times New Roman" w:cs="Times New Roman"/>
          <w:b/>
          <w:bCs/>
          <w:sz w:val="24"/>
          <w:szCs w:val="24"/>
          <w:lang w:val="en-GB"/>
        </w:rPr>
        <w:t>M&amp;A announcements</w:t>
      </w:r>
    </w:p>
    <w:p w14:paraId="0D12BA69" w14:textId="77777777" w:rsidR="00DE33A2" w:rsidRDefault="00DE33A2" w:rsidP="009E2D1A">
      <w:pPr>
        <w:spacing w:line="480" w:lineRule="auto"/>
        <w:jc w:val="both"/>
        <w:rPr>
          <w:rFonts w:ascii="Times New Roman" w:hAnsi="Times New Roman" w:cs="Times New Roman"/>
          <w:b/>
          <w:sz w:val="24"/>
          <w:szCs w:val="24"/>
        </w:rPr>
      </w:pPr>
    </w:p>
    <w:p w14:paraId="3CF98E56" w14:textId="77777777" w:rsidR="00C45EC0" w:rsidRDefault="00C45EC0" w:rsidP="009E2D1A">
      <w:pPr>
        <w:spacing w:line="480" w:lineRule="auto"/>
        <w:jc w:val="both"/>
        <w:rPr>
          <w:rFonts w:ascii="Times New Roman" w:hAnsi="Times New Roman" w:cs="Times New Roman"/>
          <w:b/>
          <w:sz w:val="24"/>
          <w:szCs w:val="24"/>
        </w:rPr>
      </w:pPr>
    </w:p>
    <w:p w14:paraId="6393F4E2" w14:textId="77777777" w:rsidR="001A5E0D" w:rsidRDefault="001A5E0D" w:rsidP="009E2D1A">
      <w:pPr>
        <w:spacing w:line="480" w:lineRule="auto"/>
        <w:jc w:val="both"/>
        <w:rPr>
          <w:rFonts w:ascii="Times New Roman" w:hAnsi="Times New Roman" w:cs="Times New Roman"/>
          <w:b/>
          <w:sz w:val="24"/>
          <w:szCs w:val="24"/>
        </w:rPr>
      </w:pPr>
    </w:p>
    <w:p w14:paraId="3E26750B" w14:textId="77777777" w:rsidR="001A5E0D" w:rsidRDefault="001A5E0D" w:rsidP="009E2D1A">
      <w:pPr>
        <w:spacing w:line="480" w:lineRule="auto"/>
        <w:jc w:val="both"/>
        <w:rPr>
          <w:rFonts w:ascii="Times New Roman" w:hAnsi="Times New Roman" w:cs="Times New Roman"/>
          <w:b/>
          <w:sz w:val="24"/>
          <w:szCs w:val="24"/>
        </w:rPr>
      </w:pPr>
    </w:p>
    <w:p w14:paraId="6464F2E6" w14:textId="77777777" w:rsidR="001A5E0D" w:rsidRDefault="001A5E0D" w:rsidP="009E2D1A">
      <w:pPr>
        <w:spacing w:line="480" w:lineRule="auto"/>
        <w:jc w:val="both"/>
        <w:rPr>
          <w:rFonts w:ascii="Times New Roman" w:hAnsi="Times New Roman" w:cs="Times New Roman"/>
          <w:b/>
          <w:sz w:val="24"/>
          <w:szCs w:val="24"/>
        </w:rPr>
      </w:pPr>
    </w:p>
    <w:p w14:paraId="0FC73B79" w14:textId="77777777" w:rsidR="001A5E0D" w:rsidRDefault="001A5E0D" w:rsidP="009E2D1A">
      <w:pPr>
        <w:spacing w:line="480" w:lineRule="auto"/>
        <w:jc w:val="both"/>
        <w:rPr>
          <w:rFonts w:ascii="Times New Roman" w:hAnsi="Times New Roman" w:cs="Times New Roman"/>
          <w:b/>
          <w:sz w:val="24"/>
          <w:szCs w:val="24"/>
        </w:rPr>
      </w:pPr>
    </w:p>
    <w:p w14:paraId="6941433B" w14:textId="77777777" w:rsidR="001A5E0D" w:rsidRDefault="001A5E0D" w:rsidP="009E2D1A">
      <w:pPr>
        <w:spacing w:line="480" w:lineRule="auto"/>
        <w:jc w:val="both"/>
        <w:rPr>
          <w:rFonts w:ascii="Times New Roman" w:hAnsi="Times New Roman" w:cs="Times New Roman"/>
          <w:b/>
          <w:sz w:val="24"/>
          <w:szCs w:val="24"/>
        </w:rPr>
      </w:pPr>
    </w:p>
    <w:p w14:paraId="4CD64BE3" w14:textId="77777777" w:rsidR="00C45EC0" w:rsidRDefault="00C45EC0" w:rsidP="009E2D1A">
      <w:pPr>
        <w:spacing w:line="480" w:lineRule="auto"/>
        <w:jc w:val="both"/>
        <w:rPr>
          <w:rFonts w:ascii="Times New Roman" w:hAnsi="Times New Roman" w:cs="Times New Roman"/>
          <w:b/>
          <w:sz w:val="24"/>
          <w:szCs w:val="24"/>
        </w:rPr>
      </w:pPr>
    </w:p>
    <w:p w14:paraId="18386C91" w14:textId="77777777" w:rsidR="00A452E7" w:rsidRPr="005474C5" w:rsidRDefault="00A452E7" w:rsidP="00A452E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47A9A9DA" w14:textId="1E84C957" w:rsidR="00A452E7" w:rsidRPr="00262CDB" w:rsidRDefault="00A452E7" w:rsidP="00253BEB">
      <w:pPr>
        <w:widowControl w:val="0"/>
        <w:autoSpaceDE w:val="0"/>
        <w:autoSpaceDN w:val="0"/>
        <w:adjustRightInd w:val="0"/>
        <w:spacing w:after="0" w:line="480" w:lineRule="auto"/>
        <w:ind w:firstLine="720"/>
        <w:jc w:val="both"/>
        <w:rPr>
          <w:rFonts w:ascii="Times New Roman" w:eastAsia="AdvTimes" w:hAnsi="Times New Roman" w:cs="Times New Roman"/>
          <w:sz w:val="24"/>
          <w:szCs w:val="24"/>
          <w:lang w:val="en-GB"/>
        </w:rPr>
      </w:pPr>
      <w:r>
        <w:rPr>
          <w:rFonts w:ascii="Times New Roman"/>
          <w:sz w:val="24"/>
          <w:szCs w:val="24"/>
        </w:rPr>
        <w:t xml:space="preserve">A recent movement within strategic management has begun to advance </w:t>
      </w:r>
      <w:r>
        <w:rPr>
          <w:rFonts w:hAnsi="Times New Roman"/>
          <w:sz w:val="24"/>
          <w:szCs w:val="24"/>
        </w:rPr>
        <w:t>‘</w:t>
      </w:r>
      <w:r>
        <w:rPr>
          <w:rFonts w:ascii="Times New Roman"/>
          <w:sz w:val="24"/>
          <w:szCs w:val="24"/>
        </w:rPr>
        <w:t>open strategy</w:t>
      </w:r>
      <w:r>
        <w:rPr>
          <w:rFonts w:hAnsi="Times New Roman"/>
          <w:sz w:val="24"/>
          <w:szCs w:val="24"/>
        </w:rPr>
        <w:t>’</w:t>
      </w:r>
      <w:r>
        <w:rPr>
          <w:rFonts w:hAnsi="Times New Roman"/>
          <w:sz w:val="24"/>
          <w:szCs w:val="24"/>
        </w:rPr>
        <w:t xml:space="preserve"> </w:t>
      </w:r>
      <w:r>
        <w:rPr>
          <w:rFonts w:ascii="Times New Roman"/>
          <w:sz w:val="24"/>
          <w:szCs w:val="24"/>
        </w:rPr>
        <w:t xml:space="preserve">as an umbrella concept that envelopes open innovation and other open forms of strategy making (Whittington, Cailluet, and Yakis-Douglas, 2011). </w:t>
      </w:r>
      <w:r>
        <w:rPr>
          <w:rFonts w:ascii="Times New Roman" w:hAnsi="Times New Roman" w:cs="Times New Roman"/>
          <w:sz w:val="24"/>
          <w:szCs w:val="24"/>
        </w:rPr>
        <w:t>Whittington et al. (2011) describe open strategy as “</w:t>
      </w:r>
      <w:r w:rsidRPr="002E7E92">
        <w:rPr>
          <w:rFonts w:ascii="Times New Roman" w:eastAsia="AdvTimes" w:hAnsi="Times New Roman" w:cs="Times New Roman"/>
          <w:sz w:val="24"/>
          <w:szCs w:val="24"/>
          <w:lang w:val="en-GB"/>
        </w:rPr>
        <w:t>a concept involving a bundle of</w:t>
      </w:r>
      <w:r>
        <w:rPr>
          <w:rFonts w:ascii="Times New Roman" w:eastAsia="AdvTimes" w:hAnsi="Times New Roman" w:cs="Times New Roman"/>
          <w:sz w:val="24"/>
          <w:szCs w:val="24"/>
          <w:lang w:val="en-GB"/>
        </w:rPr>
        <w:t xml:space="preserve"> </w:t>
      </w:r>
      <w:r w:rsidRPr="002E7E92">
        <w:rPr>
          <w:rFonts w:ascii="Times New Roman" w:eastAsia="AdvTimes" w:hAnsi="Times New Roman" w:cs="Times New Roman"/>
          <w:sz w:val="24"/>
          <w:szCs w:val="24"/>
          <w:lang w:val="en-GB"/>
        </w:rPr>
        <w:t>practices, the mix varying across contexts</w:t>
      </w:r>
      <w:r>
        <w:rPr>
          <w:rFonts w:ascii="Times New Roman" w:eastAsia="AdvTimes" w:hAnsi="Times New Roman" w:cs="Times New Roman"/>
          <w:sz w:val="24"/>
          <w:szCs w:val="24"/>
          <w:lang w:val="en-GB"/>
        </w:rPr>
        <w:t xml:space="preserve">” (p.535). </w:t>
      </w:r>
      <w:r>
        <w:rPr>
          <w:rFonts w:ascii="Times New Roman"/>
          <w:sz w:val="24"/>
          <w:szCs w:val="24"/>
        </w:rPr>
        <w:t>The opening of strategy is the result of organizations</w:t>
      </w:r>
      <w:r>
        <w:rPr>
          <w:rFonts w:ascii="Times New Roman"/>
          <w:sz w:val="24"/>
          <w:szCs w:val="24"/>
        </w:rPr>
        <w:t>’</w:t>
      </w:r>
      <w:r>
        <w:rPr>
          <w:rFonts w:ascii="Times New Roman"/>
          <w:sz w:val="24"/>
          <w:szCs w:val="24"/>
        </w:rPr>
        <w:t xml:space="preserve"> movement towards </w:t>
      </w:r>
      <w:r w:rsidRPr="002E7E92">
        <w:rPr>
          <w:rFonts w:ascii="Times New Roman" w:eastAsia="AdvTimes" w:hAnsi="Times New Roman" w:cs="Times New Roman"/>
          <w:sz w:val="24"/>
          <w:szCs w:val="24"/>
          <w:lang w:val="en-GB"/>
        </w:rPr>
        <w:t>widening inclusion</w:t>
      </w:r>
      <w:r>
        <w:rPr>
          <w:rFonts w:ascii="Times New Roman" w:eastAsia="AdvTimes" w:hAnsi="Times New Roman" w:cs="Times New Roman"/>
          <w:sz w:val="24"/>
          <w:szCs w:val="24"/>
          <w:lang w:val="en-GB"/>
        </w:rPr>
        <w:t xml:space="preserve"> </w:t>
      </w:r>
      <w:r w:rsidRPr="002E7E92">
        <w:rPr>
          <w:rFonts w:ascii="Times New Roman" w:eastAsia="AdvTimes" w:hAnsi="Times New Roman" w:cs="Times New Roman"/>
          <w:sz w:val="24"/>
          <w:szCs w:val="24"/>
          <w:lang w:val="en-GB"/>
        </w:rPr>
        <w:t>and increasing transparency</w:t>
      </w:r>
      <w:r>
        <w:rPr>
          <w:rFonts w:ascii="Times New Roman" w:eastAsia="AdvTimes" w:hAnsi="Times New Roman" w:cs="Times New Roman"/>
          <w:sz w:val="24"/>
          <w:szCs w:val="24"/>
          <w:lang w:val="en-GB"/>
        </w:rPr>
        <w:t xml:space="preserve"> both inside and outside the boundaries of organizations (Whittington et al., 2011). While existing research provides examples of what these bundles of practice are (i.e. blogging, jamming, strategy presentations, crowd-sourcing), it only infers the value openness brings to an organisation in terms of widening the search for strategy ideas, sharing knowledge and engaging in strategic conversation. </w:t>
      </w:r>
      <w:r w:rsidR="000B3069">
        <w:rPr>
          <w:rFonts w:ascii="Times New Roman" w:eastAsia="AdvTimes" w:hAnsi="Times New Roman" w:cs="Times New Roman"/>
          <w:sz w:val="24"/>
          <w:szCs w:val="24"/>
          <w:lang w:val="en-GB"/>
        </w:rPr>
        <w:t>With the exception of a few recent publications (see for example, Whittington</w:t>
      </w:r>
      <w:r w:rsidR="0096452B">
        <w:rPr>
          <w:rFonts w:ascii="Times New Roman" w:eastAsia="AdvTimes" w:hAnsi="Times New Roman" w:cs="Times New Roman"/>
          <w:sz w:val="24"/>
          <w:szCs w:val="24"/>
          <w:lang w:val="en-GB"/>
        </w:rPr>
        <w:t xml:space="preserve"> et al.</w:t>
      </w:r>
      <w:r w:rsidR="000B3069">
        <w:rPr>
          <w:rFonts w:ascii="Times New Roman" w:eastAsia="AdvTimes" w:hAnsi="Times New Roman" w:cs="Times New Roman"/>
          <w:sz w:val="24"/>
          <w:szCs w:val="24"/>
          <w:lang w:val="en-GB"/>
        </w:rPr>
        <w:t xml:space="preserve">, 2015), </w:t>
      </w:r>
      <w:r w:rsidR="00C332CA">
        <w:rPr>
          <w:rFonts w:ascii="Times New Roman" w:eastAsia="AdvTimes" w:hAnsi="Times New Roman" w:cs="Times New Roman"/>
          <w:sz w:val="24"/>
          <w:szCs w:val="24"/>
          <w:lang w:val="en-GB"/>
        </w:rPr>
        <w:t xml:space="preserve">there is a lack of research that </w:t>
      </w:r>
      <w:r>
        <w:rPr>
          <w:rFonts w:ascii="Times New Roman" w:eastAsia="AdvTimes" w:hAnsi="Times New Roman" w:cs="Times New Roman"/>
          <w:sz w:val="24"/>
          <w:szCs w:val="24"/>
          <w:lang w:val="en-GB"/>
        </w:rPr>
        <w:t>provide</w:t>
      </w:r>
      <w:r w:rsidR="00C332CA">
        <w:rPr>
          <w:rFonts w:ascii="Times New Roman" w:eastAsia="AdvTimes" w:hAnsi="Times New Roman" w:cs="Times New Roman"/>
          <w:sz w:val="24"/>
          <w:szCs w:val="24"/>
          <w:lang w:val="en-GB"/>
        </w:rPr>
        <w:t>s</w:t>
      </w:r>
      <w:r>
        <w:rPr>
          <w:rFonts w:ascii="Times New Roman" w:eastAsia="AdvTimes" w:hAnsi="Times New Roman" w:cs="Times New Roman"/>
          <w:sz w:val="24"/>
          <w:szCs w:val="24"/>
          <w:lang w:val="en-GB"/>
        </w:rPr>
        <w:t xml:space="preserve"> empirical evidence of the reasons why organizations engage in open strategy or the organizational outcomes associated with these practices. We believe that understanding why organizations choose to open up their strategy and what happens when they do so furthers our understanding of this concept and helps us derive practice-related outcomes. We therefore focus on a specific form </w:t>
      </w:r>
      <w:r w:rsidR="008D391D">
        <w:rPr>
          <w:rFonts w:ascii="Times New Roman" w:eastAsia="AdvTimes" w:hAnsi="Times New Roman" w:cs="Times New Roman"/>
          <w:sz w:val="24"/>
          <w:szCs w:val="24"/>
          <w:lang w:val="en-GB"/>
        </w:rPr>
        <w:t xml:space="preserve">of </w:t>
      </w:r>
      <w:r>
        <w:rPr>
          <w:rFonts w:ascii="Times New Roman" w:eastAsia="AdvTimes" w:hAnsi="Times New Roman" w:cs="Times New Roman"/>
          <w:sz w:val="24"/>
          <w:szCs w:val="24"/>
          <w:lang w:val="en-GB"/>
        </w:rPr>
        <w:t xml:space="preserve">open strategy </w:t>
      </w:r>
      <w:r w:rsidR="00C332CA">
        <w:rPr>
          <w:rFonts w:ascii="Times New Roman" w:eastAsia="AdvTimes" w:hAnsi="Times New Roman" w:cs="Times New Roman"/>
          <w:sz w:val="24"/>
          <w:szCs w:val="24"/>
          <w:lang w:val="en-GB"/>
        </w:rPr>
        <w:t xml:space="preserve">practice </w:t>
      </w:r>
      <w:r>
        <w:rPr>
          <w:rFonts w:ascii="Times New Roman" w:eastAsia="AdvTimes" w:hAnsi="Times New Roman" w:cs="Times New Roman"/>
          <w:sz w:val="24"/>
          <w:szCs w:val="24"/>
          <w:lang w:val="en-GB"/>
        </w:rPr>
        <w:t xml:space="preserve">in a highly </w:t>
      </w:r>
      <w:r w:rsidRPr="00C4708D">
        <w:rPr>
          <w:rFonts w:ascii="Times New Roman" w:eastAsia="AdvTimes" w:hAnsi="Times New Roman" w:cs="Times New Roman"/>
          <w:sz w:val="24"/>
          <w:szCs w:val="24"/>
          <w:lang w:val="en-GB"/>
        </w:rPr>
        <w:t>critical strategic context: namely, external transparency during mergers and acquisitions</w:t>
      </w:r>
      <w:r>
        <w:rPr>
          <w:rFonts w:ascii="Times New Roman" w:eastAsia="AdvTimes" w:hAnsi="Times New Roman" w:cs="Times New Roman"/>
          <w:sz w:val="24"/>
          <w:szCs w:val="24"/>
          <w:lang w:val="en-GB"/>
        </w:rPr>
        <w:t xml:space="preserve"> </w:t>
      </w:r>
      <w:r w:rsidRPr="00C4708D">
        <w:rPr>
          <w:rFonts w:ascii="Times New Roman" w:hAnsi="Times New Roman" w:cs="Times New Roman"/>
          <w:sz w:val="24"/>
          <w:szCs w:val="24"/>
        </w:rPr>
        <w:t>(M&amp;A)</w:t>
      </w:r>
      <w:r w:rsidRPr="00C4708D">
        <w:rPr>
          <w:rFonts w:ascii="Times New Roman" w:eastAsia="AdvTimes" w:hAnsi="Times New Roman" w:cs="Times New Roman"/>
          <w:sz w:val="24"/>
          <w:szCs w:val="24"/>
          <w:lang w:val="en-GB"/>
        </w:rPr>
        <w:t xml:space="preserve">. </w:t>
      </w:r>
      <w:r>
        <w:rPr>
          <w:rFonts w:ascii="Times New Roman" w:eastAsia="AdvTimes" w:hAnsi="Times New Roman" w:cs="Times New Roman"/>
          <w:sz w:val="24"/>
          <w:szCs w:val="24"/>
          <w:lang w:val="en-GB"/>
        </w:rPr>
        <w:t>M&amp;A are very widespread in the business world, accounting for more activity in dollar terms than many of the world’s largest economies</w:t>
      </w:r>
      <w:r>
        <w:rPr>
          <w:rStyle w:val="FootnoteReference"/>
          <w:rFonts w:ascii="Times New Roman" w:eastAsia="AdvTimes" w:hAnsi="Times New Roman"/>
          <w:sz w:val="24"/>
          <w:szCs w:val="24"/>
          <w:lang w:val="en-GB"/>
        </w:rPr>
        <w:footnoteReference w:id="1"/>
      </w:r>
      <w:r>
        <w:rPr>
          <w:rFonts w:ascii="Times New Roman" w:eastAsia="AdvTimes" w:hAnsi="Times New Roman" w:cs="Times New Roman"/>
          <w:sz w:val="24"/>
          <w:szCs w:val="24"/>
          <w:lang w:val="en-GB"/>
        </w:rPr>
        <w:t>. For organisations, M&amp;A can mean life or death</w:t>
      </w:r>
      <w:r w:rsidR="00A970CD">
        <w:rPr>
          <w:rFonts w:ascii="Times New Roman" w:eastAsia="AdvTimes" w:hAnsi="Times New Roman" w:cs="Times New Roman"/>
          <w:sz w:val="24"/>
          <w:szCs w:val="24"/>
          <w:lang w:val="en-GB"/>
        </w:rPr>
        <w:t xml:space="preserve"> (Angwin, 2007)</w:t>
      </w:r>
      <w:r>
        <w:rPr>
          <w:rFonts w:ascii="Times New Roman" w:eastAsia="AdvTimes" w:hAnsi="Times New Roman" w:cs="Times New Roman"/>
          <w:sz w:val="24"/>
          <w:szCs w:val="24"/>
          <w:lang w:val="en-GB"/>
        </w:rPr>
        <w:t xml:space="preserve">. </w:t>
      </w:r>
    </w:p>
    <w:p w14:paraId="52E5EC5B" w14:textId="70CD6260" w:rsidR="00A452E7" w:rsidRDefault="00A452E7" w:rsidP="00A452E7">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262CDB">
        <w:rPr>
          <w:rFonts w:ascii="Times New Roman" w:hAnsi="Times New Roman" w:cs="Times New Roman"/>
          <w:sz w:val="24"/>
          <w:szCs w:val="24"/>
        </w:rPr>
        <w:t>The</w:t>
      </w:r>
      <w:r>
        <w:rPr>
          <w:rFonts w:ascii="Times New Roman" w:hAnsi="Times New Roman" w:cs="Times New Roman"/>
          <w:sz w:val="24"/>
          <w:szCs w:val="24"/>
        </w:rPr>
        <w:t>re are several</w:t>
      </w:r>
      <w:r w:rsidRPr="00262CDB">
        <w:rPr>
          <w:rFonts w:ascii="Times New Roman" w:hAnsi="Times New Roman" w:cs="Times New Roman"/>
          <w:sz w:val="24"/>
          <w:szCs w:val="24"/>
        </w:rPr>
        <w:t xml:space="preserve"> reasons why </w:t>
      </w:r>
      <w:r w:rsidR="00D6739D">
        <w:rPr>
          <w:rFonts w:ascii="Times New Roman" w:hAnsi="Times New Roman" w:cs="Times New Roman"/>
          <w:sz w:val="24"/>
          <w:szCs w:val="24"/>
        </w:rPr>
        <w:t xml:space="preserve">external transparency </w:t>
      </w:r>
      <w:r w:rsidRPr="00C4708D">
        <w:rPr>
          <w:rFonts w:ascii="Times New Roman" w:hAnsi="Times New Roman" w:cs="Times New Roman"/>
          <w:sz w:val="24"/>
          <w:szCs w:val="24"/>
        </w:rPr>
        <w:t xml:space="preserve">can play a critical role </w:t>
      </w:r>
      <w:r w:rsidRPr="00C4708D">
        <w:rPr>
          <w:rFonts w:ascii="Times New Roman" w:hAnsi="Times New Roman" w:cs="Times New Roman"/>
          <w:sz w:val="24"/>
          <w:szCs w:val="24"/>
        </w:rPr>
        <w:lastRenderedPageBreak/>
        <w:t>during M&amp;A</w:t>
      </w:r>
      <w:r>
        <w:rPr>
          <w:rFonts w:ascii="Times New Roman" w:hAnsi="Times New Roman" w:cs="Times New Roman"/>
          <w:sz w:val="24"/>
          <w:szCs w:val="24"/>
        </w:rPr>
        <w:t>. The</w:t>
      </w:r>
      <w:r w:rsidRPr="00C4708D">
        <w:rPr>
          <w:rFonts w:ascii="Times New Roman" w:hAnsi="Times New Roman" w:cs="Times New Roman"/>
          <w:sz w:val="24"/>
          <w:szCs w:val="24"/>
        </w:rPr>
        <w:t xml:space="preserve"> strategic direction of an organization comes under intense scrutiny from outside constituents (Gilson, 2000)</w:t>
      </w:r>
      <w:r>
        <w:rPr>
          <w:rFonts w:ascii="Times New Roman" w:hAnsi="Times New Roman" w:cs="Times New Roman"/>
          <w:sz w:val="24"/>
          <w:szCs w:val="24"/>
        </w:rPr>
        <w:t>. For instance, stakeholders may possess many concerns for the future of the protagonists and it is well reported in the financial literature that information about impending M&amp;A can move financial markets (see Sudarsanam, 2010 for a review). Apart from the deal premium, issues such as potential synergies between organizations entering the deal, integration issues, and restructuring plans may be specific investor concerns (Angwin, 2001). Also, given the lengthy time period that M&amp;A can span, investors may be nervous about deal completion (Angwin, 2004</w:t>
      </w:r>
      <w:r w:rsidR="00204AB1">
        <w:rPr>
          <w:rFonts w:ascii="Times New Roman" w:hAnsi="Times New Roman" w:cs="Times New Roman"/>
          <w:sz w:val="24"/>
          <w:szCs w:val="24"/>
        </w:rPr>
        <w:t>; Angwin et al.,</w:t>
      </w:r>
      <w:r>
        <w:rPr>
          <w:rFonts w:ascii="Times New Roman" w:hAnsi="Times New Roman" w:cs="Times New Roman"/>
          <w:sz w:val="24"/>
          <w:szCs w:val="24"/>
        </w:rPr>
        <w:t xml:space="preserve"> 2015). External transparency during M&amp;A can act as a mechanism to ease possible investor anxiety regarding the process and the outcome of the deal. </w:t>
      </w:r>
    </w:p>
    <w:p w14:paraId="59A948EE" w14:textId="2CF36C52" w:rsidR="00A452E7" w:rsidRDefault="00A452E7" w:rsidP="00A452E7">
      <w:pPr>
        <w:widowControl w:val="0"/>
        <w:autoSpaceDE w:val="0"/>
        <w:autoSpaceDN w:val="0"/>
        <w:adjustRightInd w:val="0"/>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Compared to the process and the timeline of the deal, of equal importance is the ability of analysts and investors to interpret and evaluate the M&amp;A (Zenger, 2013). </w:t>
      </w:r>
      <w:r w:rsidRPr="00C4708D">
        <w:rPr>
          <w:rFonts w:ascii="Times New Roman" w:hAnsi="Times New Roman" w:cs="Times New Roman"/>
          <w:sz w:val="24"/>
          <w:szCs w:val="24"/>
        </w:rPr>
        <w:t xml:space="preserve">Organizations which adopt ‘unique’ strategies </w:t>
      </w:r>
      <w:r>
        <w:rPr>
          <w:rFonts w:ascii="Times New Roman" w:hAnsi="Times New Roman" w:cs="Times New Roman"/>
          <w:sz w:val="24"/>
          <w:szCs w:val="24"/>
        </w:rPr>
        <w:t xml:space="preserve">have been shown to </w:t>
      </w:r>
      <w:r w:rsidR="00891F1B">
        <w:rPr>
          <w:rFonts w:ascii="Times New Roman" w:hAnsi="Times New Roman" w:cs="Times New Roman"/>
          <w:sz w:val="24"/>
          <w:szCs w:val="24"/>
        </w:rPr>
        <w:t xml:space="preserve">be </w:t>
      </w:r>
      <w:r w:rsidR="00891F1B" w:rsidRPr="00C4708D">
        <w:rPr>
          <w:rFonts w:ascii="Times New Roman" w:hAnsi="Times New Roman" w:cs="Times New Roman"/>
          <w:sz w:val="24"/>
          <w:szCs w:val="24"/>
        </w:rPr>
        <w:t>penalized</w:t>
      </w:r>
      <w:r w:rsidRPr="00C4708D">
        <w:rPr>
          <w:rFonts w:ascii="Times New Roman" w:hAnsi="Times New Roman" w:cs="Times New Roman"/>
          <w:sz w:val="24"/>
          <w:szCs w:val="24"/>
        </w:rPr>
        <w:t xml:space="preserve"> </w:t>
      </w:r>
      <w:r>
        <w:rPr>
          <w:rFonts w:ascii="Times New Roman" w:hAnsi="Times New Roman" w:cs="Times New Roman"/>
          <w:sz w:val="24"/>
          <w:szCs w:val="24"/>
        </w:rPr>
        <w:t>by</w:t>
      </w:r>
      <w:r w:rsidRPr="00C4708D">
        <w:rPr>
          <w:rFonts w:ascii="Times New Roman" w:hAnsi="Times New Roman" w:cs="Times New Roman"/>
          <w:sz w:val="24"/>
          <w:szCs w:val="24"/>
        </w:rPr>
        <w:t xml:space="preserve"> negative </w:t>
      </w:r>
      <w:r>
        <w:rPr>
          <w:rFonts w:ascii="Times New Roman" w:hAnsi="Times New Roman" w:cs="Times New Roman"/>
          <w:sz w:val="24"/>
          <w:szCs w:val="24"/>
        </w:rPr>
        <w:t>m</w:t>
      </w:r>
      <w:r w:rsidRPr="00C4708D">
        <w:rPr>
          <w:rFonts w:ascii="Times New Roman" w:hAnsi="Times New Roman" w:cs="Times New Roman"/>
          <w:sz w:val="24"/>
          <w:szCs w:val="24"/>
        </w:rPr>
        <w:t xml:space="preserve">arket reactions (Feldman et al., 2014; Litov et al., 2012; Zenger, 2013). </w:t>
      </w:r>
      <w:r>
        <w:rPr>
          <w:rFonts w:ascii="Times New Roman" w:hAnsi="Times New Roman" w:cs="Times New Roman"/>
          <w:sz w:val="24"/>
          <w:szCs w:val="24"/>
        </w:rPr>
        <w:t>T</w:t>
      </w:r>
      <w:r w:rsidRPr="00C4708D">
        <w:rPr>
          <w:rFonts w:ascii="Times New Roman" w:hAnsi="Times New Roman" w:cs="Times New Roman"/>
          <w:sz w:val="24"/>
          <w:szCs w:val="24"/>
        </w:rPr>
        <w:t>hese negative market reactions may be explained by the existence of information asymmetry between managers of organizations and outside investors (Gilson</w:t>
      </w:r>
      <w:r>
        <w:rPr>
          <w:rFonts w:ascii="Times New Roman" w:hAnsi="Times New Roman" w:cs="Times New Roman"/>
          <w:sz w:val="24"/>
          <w:szCs w:val="24"/>
        </w:rPr>
        <w:t>, 2000). Specifically</w:t>
      </w:r>
      <w:r w:rsidR="002C2014">
        <w:rPr>
          <w:rFonts w:ascii="Times New Roman" w:hAnsi="Times New Roman" w:cs="Times New Roman"/>
          <w:sz w:val="24"/>
          <w:szCs w:val="24"/>
        </w:rPr>
        <w:t>,</w:t>
      </w:r>
      <w:r>
        <w:rPr>
          <w:rFonts w:ascii="Times New Roman" w:hAnsi="Times New Roman" w:cs="Times New Roman"/>
          <w:sz w:val="24"/>
          <w:szCs w:val="24"/>
        </w:rPr>
        <w:t xml:space="preserve"> i</w:t>
      </w:r>
      <w:r w:rsidRPr="00C4708D">
        <w:rPr>
          <w:rFonts w:ascii="Times New Roman" w:hAnsi="Times New Roman" w:cs="Times New Roman"/>
          <w:sz w:val="24"/>
          <w:szCs w:val="24"/>
        </w:rPr>
        <w:t>nvestors</w:t>
      </w:r>
      <w:r w:rsidR="002C2014">
        <w:rPr>
          <w:rFonts w:ascii="Times New Roman" w:hAnsi="Times New Roman" w:cs="Times New Roman"/>
          <w:sz w:val="24"/>
          <w:szCs w:val="24"/>
        </w:rPr>
        <w:t>’</w:t>
      </w:r>
      <w:r w:rsidRPr="00C4708D">
        <w:rPr>
          <w:rFonts w:ascii="Times New Roman" w:hAnsi="Times New Roman" w:cs="Times New Roman"/>
          <w:sz w:val="24"/>
          <w:szCs w:val="24"/>
        </w:rPr>
        <w:t xml:space="preserve"> lack </w:t>
      </w:r>
      <w:r w:rsidR="002C2014">
        <w:rPr>
          <w:rFonts w:ascii="Times New Roman" w:hAnsi="Times New Roman" w:cs="Times New Roman"/>
          <w:sz w:val="24"/>
          <w:szCs w:val="24"/>
        </w:rPr>
        <w:t xml:space="preserve">of </w:t>
      </w:r>
      <w:r w:rsidRPr="00C4708D">
        <w:rPr>
          <w:rFonts w:ascii="Times New Roman" w:hAnsi="Times New Roman" w:cs="Times New Roman"/>
          <w:sz w:val="24"/>
          <w:szCs w:val="24"/>
        </w:rPr>
        <w:t>understanding of the value of an acquirer’s strategy (Feldman et al., 2014)</w:t>
      </w:r>
      <w:r w:rsidR="00891F1B">
        <w:rPr>
          <w:rFonts w:ascii="Times New Roman" w:hAnsi="Times New Roman" w:cs="Times New Roman"/>
          <w:sz w:val="24"/>
          <w:szCs w:val="24"/>
        </w:rPr>
        <w:t>,</w:t>
      </w:r>
      <w:r>
        <w:rPr>
          <w:rFonts w:ascii="Times New Roman" w:hAnsi="Times New Roman" w:cs="Times New Roman"/>
          <w:sz w:val="24"/>
          <w:szCs w:val="24"/>
        </w:rPr>
        <w:t xml:space="preserve"> narrow specializations by analysts </w:t>
      </w:r>
      <w:r w:rsidRPr="005474C5">
        <w:rPr>
          <w:rFonts w:ascii="Times New Roman" w:hAnsi="Times New Roman" w:cs="Times New Roman"/>
          <w:sz w:val="24"/>
          <w:szCs w:val="24"/>
        </w:rPr>
        <w:t xml:space="preserve">(Zuckerman, </w:t>
      </w:r>
      <w:r w:rsidR="004F29E2">
        <w:rPr>
          <w:rFonts w:ascii="Times New Roman" w:hAnsi="Times New Roman" w:cs="Times New Roman"/>
          <w:sz w:val="24"/>
          <w:szCs w:val="24"/>
        </w:rPr>
        <w:t>2004</w:t>
      </w:r>
      <w:r w:rsidRPr="005474C5">
        <w:rPr>
          <w:rFonts w:ascii="Times New Roman" w:hAnsi="Times New Roman" w:cs="Times New Roman"/>
          <w:sz w:val="24"/>
          <w:szCs w:val="24"/>
        </w:rPr>
        <w:t>)</w:t>
      </w:r>
      <w:r>
        <w:rPr>
          <w:rFonts w:ascii="Times New Roman" w:hAnsi="Times New Roman" w:cs="Times New Roman"/>
          <w:sz w:val="24"/>
          <w:szCs w:val="24"/>
        </w:rPr>
        <w:t xml:space="preserve">, and numerous cognitive limitations attached to </w:t>
      </w:r>
      <w:r w:rsidRPr="005474C5">
        <w:rPr>
          <w:rFonts w:ascii="Times New Roman" w:hAnsi="Times New Roman" w:cs="Times New Roman"/>
          <w:sz w:val="24"/>
          <w:szCs w:val="24"/>
        </w:rPr>
        <w:t xml:space="preserve">covering diversified firms or firms with unique strategies </w:t>
      </w:r>
      <w:r>
        <w:rPr>
          <w:rFonts w:ascii="Times New Roman" w:hAnsi="Times New Roman" w:cs="Times New Roman"/>
          <w:sz w:val="24"/>
          <w:szCs w:val="24"/>
        </w:rPr>
        <w:t>(</w:t>
      </w:r>
      <w:r w:rsidRPr="005474C5">
        <w:rPr>
          <w:rFonts w:ascii="Times New Roman" w:hAnsi="Times New Roman" w:cs="Times New Roman"/>
          <w:sz w:val="24"/>
          <w:szCs w:val="24"/>
        </w:rPr>
        <w:t>Feldman et al., 2014; Litov et al., 2012)</w:t>
      </w:r>
      <w:r>
        <w:rPr>
          <w:rFonts w:ascii="Times New Roman" w:hAnsi="Times New Roman" w:cs="Times New Roman"/>
          <w:sz w:val="24"/>
          <w:szCs w:val="24"/>
        </w:rPr>
        <w:t xml:space="preserve"> result in depressed share prices</w:t>
      </w:r>
      <w:r w:rsidRPr="005474C5">
        <w:rPr>
          <w:rFonts w:ascii="Times New Roman" w:hAnsi="Times New Roman" w:cs="Times New Roman"/>
          <w:sz w:val="24"/>
          <w:szCs w:val="24"/>
        </w:rPr>
        <w:t>.</w:t>
      </w:r>
    </w:p>
    <w:p w14:paraId="4E5FC58D" w14:textId="08D834AB" w:rsidR="00A452E7" w:rsidRDefault="00A452E7" w:rsidP="00A452E7">
      <w:pPr>
        <w:spacing w:line="480" w:lineRule="auto"/>
        <w:ind w:firstLine="720"/>
        <w:jc w:val="both"/>
        <w:rPr>
          <w:rFonts w:ascii="Times New Roman" w:hAnsi="Times New Roman" w:cs="Times New Roman"/>
          <w:sz w:val="24"/>
          <w:szCs w:val="24"/>
        </w:rPr>
      </w:pPr>
      <w:r w:rsidRPr="005474C5">
        <w:rPr>
          <w:rFonts w:ascii="Times New Roman" w:hAnsi="Times New Roman" w:cs="Times New Roman"/>
          <w:sz w:val="24"/>
          <w:szCs w:val="24"/>
        </w:rPr>
        <w:t xml:space="preserve">Drawing from information asymmetry </w:t>
      </w:r>
      <w:r>
        <w:rPr>
          <w:rFonts w:ascii="Times New Roman" w:hAnsi="Times New Roman" w:cs="Times New Roman"/>
          <w:sz w:val="24"/>
          <w:szCs w:val="24"/>
        </w:rPr>
        <w:t xml:space="preserve">theory </w:t>
      </w:r>
      <w:r w:rsidRPr="005474C5">
        <w:rPr>
          <w:rFonts w:ascii="Times New Roman" w:hAnsi="Times New Roman" w:cs="Times New Roman"/>
          <w:sz w:val="24"/>
          <w:szCs w:val="24"/>
        </w:rPr>
        <w:t xml:space="preserve">(Ambarish et al., 1987; Miller and Rock, 1985; Myers and Majluf, 1984), we </w:t>
      </w:r>
      <w:r w:rsidR="00347C2E">
        <w:rPr>
          <w:rFonts w:ascii="Times New Roman" w:hAnsi="Times New Roman" w:cs="Times New Roman"/>
          <w:sz w:val="24"/>
          <w:szCs w:val="24"/>
        </w:rPr>
        <w:t xml:space="preserve">put forward and test hypotheses </w:t>
      </w:r>
      <w:r w:rsidR="00347C2E">
        <w:rPr>
          <w:rFonts w:ascii="Times New Roman" w:hAnsi="Times New Roman" w:cs="Times New Roman"/>
          <w:sz w:val="24"/>
          <w:szCs w:val="24"/>
        </w:rPr>
        <w:lastRenderedPageBreak/>
        <w:t>concerning</w:t>
      </w:r>
      <w:r w:rsidRPr="005474C5">
        <w:rPr>
          <w:rFonts w:ascii="Times New Roman" w:hAnsi="Times New Roman" w:cs="Times New Roman"/>
          <w:sz w:val="24"/>
          <w:szCs w:val="24"/>
        </w:rPr>
        <w:t xml:space="preserve"> the likelihood</w:t>
      </w:r>
      <w:r w:rsidR="00347C2E">
        <w:rPr>
          <w:rFonts w:ascii="Times New Roman" w:hAnsi="Times New Roman" w:cs="Times New Roman"/>
          <w:sz w:val="24"/>
          <w:szCs w:val="24"/>
        </w:rPr>
        <w:t xml:space="preserve"> of </w:t>
      </w:r>
      <w:r>
        <w:rPr>
          <w:rFonts w:ascii="Times New Roman" w:hAnsi="Times New Roman" w:cs="Times New Roman"/>
          <w:sz w:val="24"/>
          <w:szCs w:val="24"/>
        </w:rPr>
        <w:t>organizations undertaking M&amp;A</w:t>
      </w:r>
      <w:r w:rsidRPr="005474C5">
        <w:rPr>
          <w:rFonts w:ascii="Times New Roman" w:hAnsi="Times New Roman" w:cs="Times New Roman"/>
          <w:sz w:val="24"/>
          <w:szCs w:val="24"/>
        </w:rPr>
        <w:t xml:space="preserve"> engaging in open strategy</w:t>
      </w:r>
      <w:r w:rsidR="00347C2E">
        <w:rPr>
          <w:rFonts w:ascii="Times New Roman" w:hAnsi="Times New Roman" w:cs="Times New Roman"/>
          <w:sz w:val="24"/>
          <w:szCs w:val="24"/>
        </w:rPr>
        <w:t>, and the likely outcomes of such strategies</w:t>
      </w:r>
      <w:r w:rsidRPr="005474C5">
        <w:rPr>
          <w:rFonts w:ascii="Times New Roman" w:hAnsi="Times New Roman" w:cs="Times New Roman"/>
          <w:sz w:val="24"/>
          <w:szCs w:val="24"/>
        </w:rPr>
        <w:t>. We suggest that a fundamental difference in the pattern of present and future resource deployments is likely to act as a reason for financial analysts to publish unfavorable earnings forecasts or not to cover the organization</w:t>
      </w:r>
      <w:r>
        <w:rPr>
          <w:rFonts w:ascii="Times New Roman" w:hAnsi="Times New Roman" w:cs="Times New Roman"/>
          <w:sz w:val="24"/>
          <w:szCs w:val="24"/>
        </w:rPr>
        <w:t>.</w:t>
      </w:r>
      <w:r w:rsidRPr="005474C5">
        <w:rPr>
          <w:rFonts w:ascii="Times New Roman" w:hAnsi="Times New Roman" w:cs="Times New Roman"/>
          <w:sz w:val="24"/>
          <w:szCs w:val="24"/>
        </w:rPr>
        <w:t xml:space="preserve"> Both of these scenarios are likely to lead to negative share price reactions</w:t>
      </w:r>
      <w:r>
        <w:rPr>
          <w:rFonts w:ascii="Times New Roman" w:hAnsi="Times New Roman" w:cs="Times New Roman"/>
          <w:sz w:val="24"/>
          <w:szCs w:val="24"/>
        </w:rPr>
        <w:t xml:space="preserve"> and these negative reactions are likely to be heightened during acquisitions</w:t>
      </w:r>
      <w:r w:rsidRPr="005474C5">
        <w:rPr>
          <w:rFonts w:ascii="Times New Roman" w:hAnsi="Times New Roman" w:cs="Times New Roman"/>
          <w:sz w:val="24"/>
          <w:szCs w:val="24"/>
        </w:rPr>
        <w:t xml:space="preserve"> (Haleblian et al., 2009).</w:t>
      </w:r>
      <w:r>
        <w:rPr>
          <w:rFonts w:ascii="Times New Roman" w:hAnsi="Times New Roman" w:cs="Times New Roman"/>
          <w:sz w:val="24"/>
          <w:szCs w:val="24"/>
        </w:rPr>
        <w:t xml:space="preserve"> Our hypotheses are therefore built on the premise that organizations are likely to be motivated by, and succeed in,</w:t>
      </w:r>
      <w:r w:rsidRPr="005474C5">
        <w:rPr>
          <w:rFonts w:ascii="Times New Roman" w:hAnsi="Times New Roman" w:cs="Times New Roman"/>
          <w:sz w:val="24"/>
          <w:szCs w:val="24"/>
        </w:rPr>
        <w:t xml:space="preserve"> offset</w:t>
      </w:r>
      <w:r>
        <w:rPr>
          <w:rFonts w:ascii="Times New Roman" w:hAnsi="Times New Roman" w:cs="Times New Roman"/>
          <w:sz w:val="24"/>
          <w:szCs w:val="24"/>
        </w:rPr>
        <w:t>ting</w:t>
      </w:r>
      <w:r w:rsidRPr="005474C5">
        <w:rPr>
          <w:rFonts w:ascii="Times New Roman" w:hAnsi="Times New Roman" w:cs="Times New Roman"/>
          <w:sz w:val="24"/>
          <w:szCs w:val="24"/>
        </w:rPr>
        <w:t xml:space="preserve"> existing or anticipated negative market reactions</w:t>
      </w:r>
      <w:r>
        <w:rPr>
          <w:rFonts w:ascii="Times New Roman" w:hAnsi="Times New Roman" w:cs="Times New Roman"/>
          <w:sz w:val="24"/>
          <w:szCs w:val="24"/>
        </w:rPr>
        <w:t xml:space="preserve"> by opening their strategy externally.</w:t>
      </w:r>
    </w:p>
    <w:p w14:paraId="4B2A8C10" w14:textId="1176C3B8" w:rsidR="00A452E7" w:rsidRDefault="00A452E7" w:rsidP="00A452E7">
      <w:pPr>
        <w:spacing w:line="480" w:lineRule="auto"/>
        <w:ind w:firstLine="720"/>
        <w:jc w:val="both"/>
        <w:rPr>
          <w:rFonts w:ascii="Times New Roman" w:hAnsi="Times New Roman" w:cs="Times New Roman"/>
          <w:sz w:val="24"/>
          <w:szCs w:val="24"/>
        </w:rPr>
      </w:pPr>
      <w:r w:rsidRPr="005474C5">
        <w:rPr>
          <w:rFonts w:ascii="Times New Roman" w:hAnsi="Times New Roman" w:cs="Times New Roman"/>
          <w:sz w:val="24"/>
          <w:szCs w:val="24"/>
        </w:rPr>
        <w:t xml:space="preserve">We therefore argue that organizations are more likely to be engaging in forms of open </w:t>
      </w:r>
      <w:r>
        <w:rPr>
          <w:rFonts w:ascii="Times New Roman" w:hAnsi="Times New Roman" w:cs="Times New Roman"/>
          <w:sz w:val="24"/>
          <w:szCs w:val="24"/>
        </w:rPr>
        <w:t xml:space="preserve">strategy during M&amp;A </w:t>
      </w:r>
      <w:r w:rsidRPr="005474C5">
        <w:rPr>
          <w:rFonts w:ascii="Times New Roman" w:hAnsi="Times New Roman" w:cs="Times New Roman"/>
          <w:sz w:val="24"/>
          <w:szCs w:val="24"/>
        </w:rPr>
        <w:t>to reduce information asymmetry</w:t>
      </w:r>
      <w:r>
        <w:rPr>
          <w:rFonts w:ascii="Times New Roman" w:hAnsi="Times New Roman" w:cs="Times New Roman"/>
          <w:sz w:val="24"/>
          <w:szCs w:val="24"/>
        </w:rPr>
        <w:t xml:space="preserve">. </w:t>
      </w:r>
      <w:r w:rsidR="003C6300">
        <w:rPr>
          <w:rFonts w:ascii="Times New Roman" w:hAnsi="Times New Roman" w:cs="Times New Roman"/>
          <w:sz w:val="24"/>
          <w:szCs w:val="24"/>
        </w:rPr>
        <w:t>W</w:t>
      </w:r>
      <w:r>
        <w:rPr>
          <w:rFonts w:ascii="Times New Roman" w:hAnsi="Times New Roman" w:cs="Times New Roman"/>
          <w:sz w:val="24"/>
          <w:szCs w:val="24"/>
        </w:rPr>
        <w:t>e also argue that due</w:t>
      </w:r>
      <w:r w:rsidRPr="005474C5">
        <w:rPr>
          <w:rFonts w:ascii="Times New Roman" w:hAnsi="Times New Roman" w:cs="Times New Roman"/>
          <w:sz w:val="24"/>
          <w:szCs w:val="24"/>
        </w:rPr>
        <w:t xml:space="preserve"> to information asymmetry and </w:t>
      </w:r>
      <w:r>
        <w:rPr>
          <w:rFonts w:ascii="Times New Roman" w:hAnsi="Times New Roman" w:cs="Times New Roman"/>
          <w:sz w:val="24"/>
          <w:szCs w:val="24"/>
        </w:rPr>
        <w:t xml:space="preserve">its </w:t>
      </w:r>
      <w:r w:rsidRPr="005474C5">
        <w:rPr>
          <w:rFonts w:ascii="Times New Roman" w:hAnsi="Times New Roman" w:cs="Times New Roman"/>
          <w:sz w:val="24"/>
          <w:szCs w:val="24"/>
        </w:rPr>
        <w:t xml:space="preserve">negative consequences, organizations with strategies characterized </w:t>
      </w:r>
      <w:r>
        <w:rPr>
          <w:rFonts w:ascii="Times New Roman" w:hAnsi="Times New Roman" w:cs="Times New Roman"/>
          <w:sz w:val="24"/>
          <w:szCs w:val="24"/>
        </w:rPr>
        <w:t>by</w:t>
      </w:r>
      <w:r w:rsidRPr="005474C5">
        <w:rPr>
          <w:rFonts w:ascii="Times New Roman" w:hAnsi="Times New Roman" w:cs="Times New Roman"/>
          <w:sz w:val="24"/>
          <w:szCs w:val="24"/>
        </w:rPr>
        <w:t xml:space="preserve"> </w:t>
      </w:r>
      <w:r>
        <w:rPr>
          <w:rFonts w:ascii="Times New Roman" w:hAnsi="Times New Roman" w:cs="Times New Roman"/>
          <w:sz w:val="24"/>
          <w:szCs w:val="24"/>
        </w:rPr>
        <w:t xml:space="preserve">greater </w:t>
      </w:r>
      <w:r w:rsidRPr="005474C5">
        <w:rPr>
          <w:rFonts w:ascii="Times New Roman" w:hAnsi="Times New Roman" w:cs="Times New Roman"/>
          <w:sz w:val="24"/>
          <w:szCs w:val="24"/>
        </w:rPr>
        <w:t xml:space="preserve">strategic variation and deviation are more likely to be externally transparent. They are likely to move away from being opaque in an attempt to alter negative portrayals of analysts or to fill the voids left by analysts that do not issue earnings estimates after an organization has announced a merger or acquisition. </w:t>
      </w:r>
    </w:p>
    <w:p w14:paraId="3A4C137C" w14:textId="7F364A72" w:rsidR="00A452E7" w:rsidRPr="00F13F0A" w:rsidRDefault="00A452E7" w:rsidP="00A452E7">
      <w:pPr>
        <w:spacing w:line="480" w:lineRule="auto"/>
        <w:ind w:firstLine="720"/>
        <w:jc w:val="both"/>
        <w:rPr>
          <w:rFonts w:ascii="Times New Roman" w:hAnsi="Times New Roman" w:cs="Times New Roman"/>
          <w:sz w:val="24"/>
          <w:szCs w:val="24"/>
        </w:rPr>
      </w:pPr>
      <w:r w:rsidRPr="005474C5">
        <w:rPr>
          <w:rFonts w:ascii="Times New Roman" w:hAnsi="Times New Roman" w:cs="Times New Roman"/>
          <w:sz w:val="24"/>
          <w:szCs w:val="24"/>
        </w:rPr>
        <w:t xml:space="preserve">In order to study </w:t>
      </w:r>
      <w:r w:rsidR="00D6739D">
        <w:rPr>
          <w:rFonts w:ascii="Times New Roman" w:hAnsi="Times New Roman" w:cs="Times New Roman"/>
          <w:sz w:val="24"/>
          <w:szCs w:val="24"/>
        </w:rPr>
        <w:t xml:space="preserve">increased transparency as an </w:t>
      </w:r>
      <w:r w:rsidRPr="005474C5">
        <w:rPr>
          <w:rFonts w:ascii="Times New Roman" w:hAnsi="Times New Roman" w:cs="Times New Roman"/>
          <w:sz w:val="24"/>
          <w:szCs w:val="24"/>
        </w:rPr>
        <w:t xml:space="preserve">open strategy </w:t>
      </w:r>
      <w:r w:rsidR="00D6739D">
        <w:rPr>
          <w:rFonts w:ascii="Times New Roman" w:hAnsi="Times New Roman" w:cs="Times New Roman"/>
          <w:sz w:val="24"/>
          <w:szCs w:val="24"/>
        </w:rPr>
        <w:t xml:space="preserve">practice </w:t>
      </w:r>
      <w:r>
        <w:rPr>
          <w:rFonts w:ascii="Times New Roman" w:hAnsi="Times New Roman" w:cs="Times New Roman"/>
          <w:sz w:val="24"/>
          <w:szCs w:val="24"/>
        </w:rPr>
        <w:t xml:space="preserve">in an M&amp;A context </w:t>
      </w:r>
      <w:r w:rsidRPr="005474C5">
        <w:rPr>
          <w:rFonts w:ascii="Times New Roman" w:hAnsi="Times New Roman" w:cs="Times New Roman"/>
          <w:sz w:val="24"/>
          <w:szCs w:val="24"/>
        </w:rPr>
        <w:t xml:space="preserve">we examine </w:t>
      </w:r>
      <w:r w:rsidR="00891F1B">
        <w:rPr>
          <w:rFonts w:ascii="Times New Roman" w:hAnsi="Times New Roman" w:cs="Times New Roman"/>
          <w:sz w:val="24"/>
          <w:szCs w:val="24"/>
        </w:rPr>
        <w:t xml:space="preserve">M&amp;A </w:t>
      </w:r>
      <w:r>
        <w:rPr>
          <w:rFonts w:ascii="Times New Roman" w:hAnsi="Times New Roman" w:cs="Times New Roman"/>
          <w:sz w:val="24"/>
          <w:szCs w:val="24"/>
        </w:rPr>
        <w:t xml:space="preserve">announcements </w:t>
      </w:r>
      <w:r w:rsidRPr="005474C5">
        <w:rPr>
          <w:rFonts w:ascii="Times New Roman" w:hAnsi="Times New Roman" w:cs="Times New Roman"/>
          <w:sz w:val="24"/>
          <w:szCs w:val="24"/>
        </w:rPr>
        <w:t xml:space="preserve">during </w:t>
      </w:r>
      <w:r>
        <w:rPr>
          <w:rFonts w:ascii="Times New Roman" w:hAnsi="Times New Roman" w:cs="Times New Roman"/>
          <w:sz w:val="24"/>
          <w:szCs w:val="24"/>
        </w:rPr>
        <w:t>the deal process</w:t>
      </w:r>
      <w:r w:rsidRPr="005474C5">
        <w:rPr>
          <w:rFonts w:ascii="Times New Roman" w:hAnsi="Times New Roman" w:cs="Times New Roman"/>
          <w:sz w:val="24"/>
          <w:szCs w:val="24"/>
        </w:rPr>
        <w:t xml:space="preserve">. </w:t>
      </w:r>
      <w:r>
        <w:rPr>
          <w:rFonts w:ascii="Times New Roman" w:hAnsi="Times New Roman" w:cs="Times New Roman"/>
          <w:sz w:val="24"/>
          <w:szCs w:val="24"/>
        </w:rPr>
        <w:t>These announcements come in two types; ‘</w:t>
      </w:r>
      <w:r w:rsidR="00F87A11">
        <w:rPr>
          <w:rFonts w:ascii="Times New Roman" w:hAnsi="Times New Roman" w:cs="Times New Roman"/>
          <w:sz w:val="24"/>
          <w:szCs w:val="24"/>
        </w:rPr>
        <w:t>mandatory</w:t>
      </w:r>
      <w:r>
        <w:rPr>
          <w:rFonts w:ascii="Times New Roman" w:hAnsi="Times New Roman" w:cs="Times New Roman"/>
          <w:sz w:val="24"/>
          <w:szCs w:val="24"/>
        </w:rPr>
        <w:t xml:space="preserve">’ and ‘voluntary.’ There are many studies of </w:t>
      </w:r>
      <w:r w:rsidRPr="005474C5">
        <w:rPr>
          <w:rFonts w:ascii="Times New Roman" w:hAnsi="Times New Roman" w:cs="Times New Roman"/>
          <w:sz w:val="24"/>
          <w:szCs w:val="24"/>
        </w:rPr>
        <w:t>‘</w:t>
      </w:r>
      <w:r w:rsidR="00B22DAD">
        <w:rPr>
          <w:rFonts w:ascii="Times New Roman" w:hAnsi="Times New Roman" w:cs="Times New Roman"/>
          <w:sz w:val="24"/>
          <w:szCs w:val="24"/>
        </w:rPr>
        <w:t>mandatory</w:t>
      </w:r>
      <w:r w:rsidRPr="005474C5">
        <w:rPr>
          <w:rFonts w:ascii="Times New Roman" w:hAnsi="Times New Roman" w:cs="Times New Roman"/>
          <w:sz w:val="24"/>
          <w:szCs w:val="24"/>
        </w:rPr>
        <w:t>’ (those required by law) announcements (Andrade</w:t>
      </w:r>
      <w:r w:rsidR="0096452B">
        <w:rPr>
          <w:rFonts w:ascii="Times New Roman" w:hAnsi="Times New Roman" w:cs="Times New Roman"/>
          <w:sz w:val="24"/>
          <w:szCs w:val="24"/>
        </w:rPr>
        <w:t xml:space="preserve"> et al.</w:t>
      </w:r>
      <w:r w:rsidR="00D40779">
        <w:rPr>
          <w:rFonts w:ascii="Times New Roman" w:hAnsi="Times New Roman" w:cs="Times New Roman"/>
          <w:sz w:val="24"/>
          <w:szCs w:val="24"/>
        </w:rPr>
        <w:t>,</w:t>
      </w:r>
      <w:r>
        <w:rPr>
          <w:rFonts w:ascii="Times New Roman" w:hAnsi="Times New Roman" w:cs="Times New Roman"/>
          <w:sz w:val="24"/>
          <w:szCs w:val="24"/>
        </w:rPr>
        <w:t xml:space="preserve"> 2001; Goergen and</w:t>
      </w:r>
      <w:r w:rsidRPr="005474C5">
        <w:rPr>
          <w:rFonts w:ascii="Times New Roman" w:hAnsi="Times New Roman" w:cs="Times New Roman"/>
          <w:sz w:val="24"/>
          <w:szCs w:val="24"/>
        </w:rPr>
        <w:t xml:space="preserve"> Renneboog, 2003) </w:t>
      </w:r>
      <w:r>
        <w:rPr>
          <w:rFonts w:ascii="Times New Roman" w:hAnsi="Times New Roman" w:cs="Times New Roman"/>
          <w:sz w:val="24"/>
          <w:szCs w:val="24"/>
        </w:rPr>
        <w:t xml:space="preserve">that are required when a deal is to be launched. In these studies </w:t>
      </w:r>
      <w:r w:rsidRPr="005474C5">
        <w:rPr>
          <w:rFonts w:ascii="Times New Roman" w:hAnsi="Times New Roman" w:cs="Times New Roman"/>
          <w:sz w:val="24"/>
          <w:szCs w:val="24"/>
        </w:rPr>
        <w:t>a 25% increase in target company share price is not uncommon (Bak</w:t>
      </w:r>
      <w:r>
        <w:rPr>
          <w:rFonts w:ascii="Times New Roman" w:hAnsi="Times New Roman" w:cs="Times New Roman"/>
          <w:sz w:val="24"/>
          <w:szCs w:val="24"/>
        </w:rPr>
        <w:t>er and Limmack, 2002; Sudarsanam and</w:t>
      </w:r>
      <w:r w:rsidRPr="005474C5">
        <w:rPr>
          <w:rFonts w:ascii="Times New Roman" w:hAnsi="Times New Roman" w:cs="Times New Roman"/>
          <w:sz w:val="24"/>
          <w:szCs w:val="24"/>
        </w:rPr>
        <w:t xml:space="preserve"> Mahate, 2003). </w:t>
      </w:r>
      <w:r>
        <w:rPr>
          <w:rFonts w:ascii="Times New Roman" w:hAnsi="Times New Roman" w:cs="Times New Roman"/>
          <w:sz w:val="24"/>
          <w:szCs w:val="24"/>
        </w:rPr>
        <w:t>However ‘</w:t>
      </w:r>
      <w:r w:rsidRPr="005474C5">
        <w:rPr>
          <w:rFonts w:ascii="Times New Roman" w:hAnsi="Times New Roman" w:cs="Times New Roman"/>
          <w:sz w:val="24"/>
          <w:szCs w:val="24"/>
        </w:rPr>
        <w:t>voluntary</w:t>
      </w:r>
      <w:r>
        <w:rPr>
          <w:rFonts w:ascii="Times New Roman" w:hAnsi="Times New Roman" w:cs="Times New Roman"/>
          <w:sz w:val="24"/>
          <w:szCs w:val="24"/>
        </w:rPr>
        <w:t>’</w:t>
      </w:r>
      <w:r w:rsidRPr="005474C5">
        <w:rPr>
          <w:rFonts w:ascii="Times New Roman" w:hAnsi="Times New Roman" w:cs="Times New Roman"/>
          <w:sz w:val="24"/>
          <w:szCs w:val="24"/>
        </w:rPr>
        <w:t xml:space="preserve"> </w:t>
      </w:r>
      <w:r>
        <w:rPr>
          <w:rFonts w:ascii="Times New Roman" w:hAnsi="Times New Roman" w:cs="Times New Roman"/>
          <w:sz w:val="24"/>
          <w:szCs w:val="24"/>
        </w:rPr>
        <w:t xml:space="preserve">announcements (those made when a company decides on its own volition to design </w:t>
      </w:r>
      <w:r>
        <w:rPr>
          <w:rFonts w:ascii="Times New Roman" w:hAnsi="Times New Roman" w:cs="Times New Roman"/>
          <w:sz w:val="24"/>
          <w:szCs w:val="24"/>
        </w:rPr>
        <w:lastRenderedPageBreak/>
        <w:t xml:space="preserve">and release information) have received much less attention and those </w:t>
      </w:r>
      <w:r w:rsidRPr="005474C5">
        <w:rPr>
          <w:rFonts w:ascii="Times New Roman" w:hAnsi="Times New Roman" w:cs="Times New Roman"/>
          <w:sz w:val="24"/>
          <w:szCs w:val="24"/>
        </w:rPr>
        <w:t>that occur post</w:t>
      </w:r>
      <w:r>
        <w:rPr>
          <w:rFonts w:ascii="Times New Roman" w:hAnsi="Times New Roman" w:cs="Times New Roman"/>
          <w:sz w:val="24"/>
          <w:szCs w:val="24"/>
        </w:rPr>
        <w:t xml:space="preserve">-deal </w:t>
      </w:r>
      <w:r w:rsidRPr="005474C5">
        <w:rPr>
          <w:rFonts w:ascii="Times New Roman" w:hAnsi="Times New Roman" w:cs="Times New Roman"/>
          <w:sz w:val="24"/>
          <w:szCs w:val="24"/>
        </w:rPr>
        <w:t>announcement</w:t>
      </w:r>
      <w:r w:rsidR="008D391D">
        <w:rPr>
          <w:rFonts w:ascii="Times New Roman" w:hAnsi="Times New Roman" w:cs="Times New Roman"/>
          <w:sz w:val="24"/>
          <w:szCs w:val="24"/>
        </w:rPr>
        <w:t>, but before deal closure,</w:t>
      </w:r>
      <w:r w:rsidRPr="005474C5">
        <w:rPr>
          <w:rFonts w:ascii="Times New Roman" w:hAnsi="Times New Roman" w:cs="Times New Roman"/>
          <w:sz w:val="24"/>
          <w:szCs w:val="24"/>
        </w:rPr>
        <w:t xml:space="preserve"> have received no attention. </w:t>
      </w:r>
      <w:r w:rsidR="00891F1B">
        <w:rPr>
          <w:rFonts w:ascii="Times New Roman" w:hAnsi="Times New Roman" w:cs="Times New Roman"/>
          <w:sz w:val="24"/>
          <w:szCs w:val="24"/>
        </w:rPr>
        <w:t>T</w:t>
      </w:r>
      <w:r>
        <w:rPr>
          <w:rFonts w:ascii="Times New Roman" w:hAnsi="Times New Roman" w:cs="Times New Roman"/>
          <w:sz w:val="24"/>
          <w:szCs w:val="24"/>
        </w:rPr>
        <w:t xml:space="preserve">hese communications, which we term ‘voluntary </w:t>
      </w:r>
      <w:r w:rsidR="00891F1B">
        <w:rPr>
          <w:rFonts w:ascii="Times New Roman" w:hAnsi="Times New Roman" w:cs="Times New Roman"/>
          <w:sz w:val="24"/>
          <w:szCs w:val="24"/>
        </w:rPr>
        <w:t>M&amp;A announcements</w:t>
      </w:r>
      <w:r>
        <w:rPr>
          <w:rFonts w:ascii="Times New Roman" w:hAnsi="Times New Roman" w:cs="Times New Roman"/>
          <w:sz w:val="24"/>
          <w:szCs w:val="24"/>
        </w:rPr>
        <w:t>’ and define</w:t>
      </w:r>
      <w:r w:rsidRPr="005474C5">
        <w:rPr>
          <w:rFonts w:ascii="Times New Roman" w:hAnsi="Times New Roman" w:cs="Times New Roman"/>
          <w:sz w:val="24"/>
          <w:szCs w:val="24"/>
        </w:rPr>
        <w:t xml:space="preserve"> a</w:t>
      </w:r>
      <w:r>
        <w:rPr>
          <w:rFonts w:ascii="Times New Roman" w:hAnsi="Times New Roman" w:cs="Times New Roman"/>
          <w:sz w:val="24"/>
          <w:szCs w:val="24"/>
        </w:rPr>
        <w:t>s</w:t>
      </w:r>
      <w:r w:rsidRPr="005474C5">
        <w:rPr>
          <w:rFonts w:ascii="Times New Roman" w:hAnsi="Times New Roman" w:cs="Times New Roman"/>
          <w:sz w:val="24"/>
          <w:szCs w:val="24"/>
        </w:rPr>
        <w:t xml:space="preserve"> public, voluntary communications carried out by organizations involved in M&amp;A </w:t>
      </w:r>
      <w:r w:rsidR="00891F1B">
        <w:rPr>
          <w:rFonts w:ascii="Times New Roman" w:hAnsi="Times New Roman" w:cs="Times New Roman"/>
          <w:sz w:val="24"/>
          <w:szCs w:val="24"/>
        </w:rPr>
        <w:t xml:space="preserve">are the subject of this paper. Separate from the initial M&amp;A announcements, these disclosures take place </w:t>
      </w:r>
      <w:r w:rsidRPr="005474C5">
        <w:rPr>
          <w:rFonts w:ascii="Times New Roman" w:hAnsi="Times New Roman" w:cs="Times New Roman"/>
          <w:sz w:val="24"/>
          <w:szCs w:val="24"/>
        </w:rPr>
        <w:t xml:space="preserve">after the initial </w:t>
      </w:r>
      <w:r>
        <w:rPr>
          <w:rFonts w:ascii="Times New Roman" w:hAnsi="Times New Roman" w:cs="Times New Roman"/>
          <w:sz w:val="24"/>
          <w:szCs w:val="24"/>
        </w:rPr>
        <w:t xml:space="preserve">deal </w:t>
      </w:r>
      <w:r w:rsidRPr="005474C5">
        <w:rPr>
          <w:rFonts w:ascii="Times New Roman" w:hAnsi="Times New Roman" w:cs="Times New Roman"/>
          <w:sz w:val="24"/>
          <w:szCs w:val="24"/>
        </w:rPr>
        <w:t xml:space="preserve">announcement and before </w:t>
      </w:r>
      <w:r>
        <w:rPr>
          <w:rFonts w:ascii="Times New Roman" w:hAnsi="Times New Roman" w:cs="Times New Roman"/>
          <w:sz w:val="24"/>
          <w:szCs w:val="24"/>
        </w:rPr>
        <w:t>its</w:t>
      </w:r>
      <w:r w:rsidRPr="005474C5">
        <w:rPr>
          <w:rFonts w:ascii="Times New Roman" w:hAnsi="Times New Roman" w:cs="Times New Roman"/>
          <w:sz w:val="24"/>
          <w:szCs w:val="24"/>
        </w:rPr>
        <w:t xml:space="preserve"> closing. Authors of these </w:t>
      </w:r>
      <w:r>
        <w:rPr>
          <w:rFonts w:ascii="Times New Roman" w:hAnsi="Times New Roman" w:cs="Times New Roman"/>
          <w:sz w:val="24"/>
          <w:szCs w:val="24"/>
        </w:rPr>
        <w:t>announcements</w:t>
      </w:r>
      <w:r w:rsidRPr="005474C5">
        <w:rPr>
          <w:rFonts w:ascii="Times New Roman" w:hAnsi="Times New Roman" w:cs="Times New Roman"/>
          <w:sz w:val="24"/>
          <w:szCs w:val="24"/>
        </w:rPr>
        <w:t xml:space="preserve"> can be bidder</w:t>
      </w:r>
      <w:r>
        <w:rPr>
          <w:rFonts w:ascii="Times New Roman" w:hAnsi="Times New Roman" w:cs="Times New Roman"/>
          <w:sz w:val="24"/>
          <w:szCs w:val="24"/>
        </w:rPr>
        <w:t>s</w:t>
      </w:r>
      <w:r w:rsidRPr="005474C5">
        <w:rPr>
          <w:rFonts w:ascii="Times New Roman" w:hAnsi="Times New Roman" w:cs="Times New Roman"/>
          <w:sz w:val="24"/>
          <w:szCs w:val="24"/>
        </w:rPr>
        <w:t>, target</w:t>
      </w:r>
      <w:r>
        <w:rPr>
          <w:rFonts w:ascii="Times New Roman" w:hAnsi="Times New Roman" w:cs="Times New Roman"/>
          <w:sz w:val="24"/>
          <w:szCs w:val="24"/>
        </w:rPr>
        <w:t>s</w:t>
      </w:r>
      <w:r w:rsidRPr="005474C5">
        <w:rPr>
          <w:rFonts w:ascii="Times New Roman" w:hAnsi="Times New Roman" w:cs="Times New Roman"/>
          <w:sz w:val="24"/>
          <w:szCs w:val="24"/>
        </w:rPr>
        <w:t>, or both</w:t>
      </w:r>
      <w:r>
        <w:rPr>
          <w:rFonts w:ascii="Times New Roman" w:hAnsi="Times New Roman" w:cs="Times New Roman"/>
          <w:sz w:val="24"/>
          <w:szCs w:val="24"/>
        </w:rPr>
        <w:t xml:space="preserve"> parties</w:t>
      </w:r>
      <w:r w:rsidRPr="005474C5">
        <w:rPr>
          <w:rFonts w:ascii="Times New Roman" w:hAnsi="Times New Roman" w:cs="Times New Roman"/>
          <w:sz w:val="24"/>
          <w:szCs w:val="24"/>
        </w:rPr>
        <w:t xml:space="preserve">. </w:t>
      </w:r>
      <w:r>
        <w:rPr>
          <w:rFonts w:ascii="Times New Roman" w:hAnsi="Times New Roman" w:cs="Times New Roman"/>
          <w:sz w:val="24"/>
          <w:szCs w:val="24"/>
        </w:rPr>
        <w:t>Between deal announcement and the closing date,</w:t>
      </w:r>
      <w:r w:rsidRPr="005474C5">
        <w:rPr>
          <w:rFonts w:ascii="Times New Roman" w:hAnsi="Times New Roman" w:cs="Times New Roman"/>
          <w:sz w:val="24"/>
          <w:szCs w:val="24"/>
        </w:rPr>
        <w:t xml:space="preserve"> </w:t>
      </w:r>
      <w:r>
        <w:rPr>
          <w:rFonts w:ascii="Times New Roman" w:hAnsi="Times New Roman" w:cs="Times New Roman"/>
          <w:sz w:val="24"/>
          <w:szCs w:val="24"/>
        </w:rPr>
        <w:t>an intended acquisition</w:t>
      </w:r>
      <w:r w:rsidRPr="005474C5">
        <w:rPr>
          <w:rFonts w:ascii="Times New Roman" w:hAnsi="Times New Roman" w:cs="Times New Roman"/>
          <w:sz w:val="24"/>
          <w:szCs w:val="24"/>
        </w:rPr>
        <w:t xml:space="preserve"> can be made or broken by share price adjustments as investors react to deal-specific information released during th</w:t>
      </w:r>
      <w:r>
        <w:rPr>
          <w:rFonts w:ascii="Times New Roman" w:hAnsi="Times New Roman" w:cs="Times New Roman"/>
          <w:sz w:val="24"/>
          <w:szCs w:val="24"/>
        </w:rPr>
        <w:t>is</w:t>
      </w:r>
      <w:r w:rsidRPr="005474C5">
        <w:rPr>
          <w:rFonts w:ascii="Times New Roman" w:hAnsi="Times New Roman" w:cs="Times New Roman"/>
          <w:sz w:val="24"/>
          <w:szCs w:val="24"/>
        </w:rPr>
        <w:t xml:space="preserve"> </w:t>
      </w:r>
      <w:r>
        <w:rPr>
          <w:rFonts w:ascii="Times New Roman" w:hAnsi="Times New Roman" w:cs="Times New Roman"/>
          <w:sz w:val="24"/>
          <w:szCs w:val="24"/>
        </w:rPr>
        <w:t xml:space="preserve">post-announcement </w:t>
      </w:r>
      <w:r w:rsidRPr="005474C5">
        <w:rPr>
          <w:rFonts w:ascii="Times New Roman" w:hAnsi="Times New Roman" w:cs="Times New Roman"/>
          <w:sz w:val="24"/>
          <w:szCs w:val="24"/>
        </w:rPr>
        <w:t xml:space="preserve">period. Therefore, during M&amp;A, top management teams of firms </w:t>
      </w:r>
      <w:r>
        <w:rPr>
          <w:rFonts w:ascii="Times New Roman" w:hAnsi="Times New Roman" w:cs="Times New Roman"/>
          <w:sz w:val="24"/>
          <w:szCs w:val="24"/>
        </w:rPr>
        <w:t xml:space="preserve">that are undergoing strategic variation or deviation </w:t>
      </w:r>
      <w:r w:rsidRPr="005474C5">
        <w:rPr>
          <w:rFonts w:ascii="Times New Roman" w:hAnsi="Times New Roman" w:cs="Times New Roman"/>
          <w:sz w:val="24"/>
          <w:szCs w:val="24"/>
        </w:rPr>
        <w:t xml:space="preserve">are likely to try to win </w:t>
      </w:r>
      <w:r>
        <w:rPr>
          <w:rFonts w:ascii="Times New Roman" w:hAnsi="Times New Roman" w:cs="Times New Roman"/>
          <w:sz w:val="24"/>
          <w:szCs w:val="24"/>
        </w:rPr>
        <w:t>support for their</w:t>
      </w:r>
      <w:r w:rsidRPr="005474C5">
        <w:rPr>
          <w:rFonts w:ascii="Times New Roman" w:hAnsi="Times New Roman" w:cs="Times New Roman"/>
          <w:sz w:val="24"/>
          <w:szCs w:val="24"/>
        </w:rPr>
        <w:t xml:space="preserve"> strategy through increased transparency </w:t>
      </w:r>
      <w:r w:rsidRPr="00A6701C">
        <w:rPr>
          <w:rFonts w:ascii="Times New Roman" w:hAnsi="Times New Roman" w:cs="Times New Roman"/>
          <w:sz w:val="24"/>
          <w:szCs w:val="24"/>
        </w:rPr>
        <w:t xml:space="preserve">directed at analysts and investors. </w:t>
      </w:r>
      <w:r>
        <w:rPr>
          <w:rFonts w:ascii="Times New Roman" w:hAnsi="Times New Roman" w:cs="Times New Roman"/>
          <w:sz w:val="24"/>
          <w:szCs w:val="24"/>
        </w:rPr>
        <w:t xml:space="preserve">By focusing on share price reactions tied to </w:t>
      </w:r>
      <w:r w:rsidR="00942B15">
        <w:rPr>
          <w:rFonts w:ascii="Times New Roman" w:hAnsi="Times New Roman" w:cs="Times New Roman"/>
          <w:sz w:val="24"/>
          <w:szCs w:val="24"/>
        </w:rPr>
        <w:t>voluntary M&amp;A announcements</w:t>
      </w:r>
      <w:r>
        <w:rPr>
          <w:rFonts w:ascii="Times New Roman" w:hAnsi="Times New Roman" w:cs="Times New Roman"/>
          <w:sz w:val="24"/>
          <w:szCs w:val="24"/>
        </w:rPr>
        <w:t xml:space="preserve">, we measure how external forms of open strategy can be employed by organizations to manage short-term market responses during M&amp;A rather than </w:t>
      </w:r>
      <w:r>
        <w:rPr>
          <w:rFonts w:ascii="Times New Roman" w:hAnsi="Times New Roman" w:cs="Times New Roman"/>
          <w:sz w:val="24"/>
          <w:szCs w:val="24"/>
          <w:lang w:val="en-GB"/>
        </w:rPr>
        <w:t xml:space="preserve">the eventual economic returns of the deal itself </w:t>
      </w:r>
      <w:r w:rsidRPr="00F13F0A">
        <w:rPr>
          <w:rFonts w:ascii="Times New Roman" w:hAnsi="Times New Roman" w:cs="Times New Roman"/>
          <w:sz w:val="24"/>
          <w:szCs w:val="24"/>
          <w:lang w:val="en-GB"/>
        </w:rPr>
        <w:t>(Oler</w:t>
      </w:r>
      <w:r w:rsidR="0096452B">
        <w:rPr>
          <w:rFonts w:ascii="Times New Roman" w:hAnsi="Times New Roman" w:cs="Times New Roman"/>
          <w:sz w:val="24"/>
          <w:szCs w:val="24"/>
          <w:lang w:val="en-GB"/>
        </w:rPr>
        <w:t xml:space="preserve"> et al.</w:t>
      </w:r>
      <w:r w:rsidRPr="00F13F0A">
        <w:rPr>
          <w:rFonts w:ascii="Times New Roman" w:hAnsi="Times New Roman" w:cs="Times New Roman"/>
          <w:sz w:val="24"/>
          <w:szCs w:val="24"/>
          <w:lang w:val="en-GB"/>
        </w:rPr>
        <w:t>, 2009).</w:t>
      </w:r>
    </w:p>
    <w:p w14:paraId="13945570" w14:textId="3442B396" w:rsidR="00A452E7" w:rsidRPr="004647A8" w:rsidRDefault="00A452E7" w:rsidP="00A452E7">
      <w:pPr>
        <w:spacing w:line="480" w:lineRule="auto"/>
        <w:ind w:firstLine="720"/>
        <w:jc w:val="both"/>
        <w:rPr>
          <w:rFonts w:ascii="Times New Roman" w:hAnsi="Times New Roman" w:cs="Times New Roman"/>
          <w:sz w:val="24"/>
          <w:szCs w:val="24"/>
          <w:lang w:val="en-GB"/>
        </w:rPr>
      </w:pPr>
      <w:r w:rsidRPr="00F13F0A">
        <w:rPr>
          <w:rFonts w:ascii="Times New Roman" w:hAnsi="Times New Roman" w:cs="Times New Roman"/>
          <w:sz w:val="24"/>
          <w:szCs w:val="24"/>
        </w:rPr>
        <w:t xml:space="preserve">A shift towards </w:t>
      </w:r>
      <w:r w:rsidR="00D6739D">
        <w:rPr>
          <w:rFonts w:ascii="Times New Roman" w:hAnsi="Times New Roman" w:cs="Times New Roman"/>
          <w:sz w:val="24"/>
          <w:szCs w:val="24"/>
        </w:rPr>
        <w:t>external transparency</w:t>
      </w:r>
      <w:r w:rsidRPr="00F13F0A">
        <w:rPr>
          <w:rFonts w:ascii="Times New Roman" w:hAnsi="Times New Roman" w:cs="Times New Roman"/>
          <w:sz w:val="24"/>
          <w:szCs w:val="24"/>
        </w:rPr>
        <w:t xml:space="preserve"> and asymmetry </w:t>
      </w:r>
      <w:r>
        <w:rPr>
          <w:rFonts w:ascii="Times New Roman" w:hAnsi="Times New Roman" w:cs="Times New Roman"/>
          <w:sz w:val="24"/>
          <w:szCs w:val="24"/>
        </w:rPr>
        <w:t xml:space="preserve">reduction </w:t>
      </w:r>
      <w:r w:rsidRPr="004647A8">
        <w:rPr>
          <w:rFonts w:ascii="Times New Roman" w:hAnsi="Times New Roman" w:cs="Times New Roman"/>
          <w:sz w:val="24"/>
          <w:szCs w:val="24"/>
          <w:lang w:val="en-GB"/>
        </w:rPr>
        <w:t>implies an active orientation to shaping investor perceptions</w:t>
      </w:r>
      <w:r>
        <w:rPr>
          <w:rFonts w:ascii="Times New Roman" w:hAnsi="Times New Roman" w:cs="Times New Roman"/>
          <w:sz w:val="24"/>
          <w:szCs w:val="24"/>
          <w:lang w:val="en-GB"/>
        </w:rPr>
        <w:t>. It offers a</w:t>
      </w:r>
      <w:r w:rsidRPr="004647A8">
        <w:rPr>
          <w:rFonts w:ascii="Times New Roman" w:hAnsi="Times New Roman" w:cs="Times New Roman"/>
          <w:sz w:val="24"/>
          <w:szCs w:val="24"/>
          <w:lang w:val="en-GB"/>
        </w:rPr>
        <w:t xml:space="preserve"> choice about both whether and how to communicate. External forms of open strategy in the M&amp;A context are in line with </w:t>
      </w:r>
      <w:r w:rsidRPr="004647A8">
        <w:rPr>
          <w:rFonts w:ascii="Times New Roman" w:hAnsi="Times New Roman" w:cs="Times New Roman"/>
          <w:sz w:val="24"/>
          <w:szCs w:val="24"/>
        </w:rPr>
        <w:t xml:space="preserve">what </w:t>
      </w:r>
      <w:r w:rsidRPr="004647A8">
        <w:rPr>
          <w:rFonts w:ascii="Times New Roman" w:hAnsi="Times New Roman" w:cs="Times New Roman"/>
          <w:sz w:val="24"/>
          <w:szCs w:val="24"/>
          <w:lang w:val="en-GB"/>
        </w:rPr>
        <w:t>Rindova and Fombrun</w:t>
      </w:r>
      <w:r>
        <w:rPr>
          <w:rFonts w:ascii="Times New Roman" w:hAnsi="Times New Roman" w:cs="Times New Roman"/>
          <w:sz w:val="24"/>
          <w:szCs w:val="24"/>
          <w:lang w:val="en-GB"/>
        </w:rPr>
        <w:t xml:space="preserve"> (1999)</w:t>
      </w:r>
      <w:r w:rsidRPr="004647A8">
        <w:rPr>
          <w:rFonts w:ascii="Times New Roman" w:hAnsi="Times New Roman" w:cs="Times New Roman"/>
          <w:sz w:val="24"/>
          <w:szCs w:val="24"/>
          <w:lang w:val="en-GB"/>
        </w:rPr>
        <w:t xml:space="preserve"> have termed 'strategic projections', the various kinds of statements about intended strategy (i.e. published in corporate press releases and annual reports). Open strategy, therefore, contributes to how audiences evaluate a firm and allocate the resources they control. Similar to strategic projections, practices associated with external forms of open strategy not only </w:t>
      </w:r>
      <w:r w:rsidR="00EA54BE">
        <w:rPr>
          <w:rFonts w:ascii="Times New Roman" w:hAnsi="Times New Roman" w:cs="Times New Roman"/>
          <w:sz w:val="24"/>
          <w:szCs w:val="24"/>
          <w:lang w:val="en-GB"/>
        </w:rPr>
        <w:t>offer</w:t>
      </w:r>
      <w:r w:rsidRPr="004647A8">
        <w:rPr>
          <w:rFonts w:ascii="Times New Roman" w:hAnsi="Times New Roman" w:cs="Times New Roman"/>
          <w:sz w:val="24"/>
          <w:szCs w:val="24"/>
          <w:lang w:val="en-GB"/>
        </w:rPr>
        <w:t xml:space="preserve"> information about strategic investments</w:t>
      </w:r>
      <w:r>
        <w:rPr>
          <w:rFonts w:ascii="Times New Roman" w:hAnsi="Times New Roman" w:cs="Times New Roman"/>
          <w:sz w:val="24"/>
          <w:szCs w:val="24"/>
          <w:lang w:val="en-GB"/>
        </w:rPr>
        <w:t>,</w:t>
      </w:r>
      <w:r w:rsidRPr="004647A8">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also </w:t>
      </w:r>
      <w:r w:rsidRPr="004647A8">
        <w:rPr>
          <w:rFonts w:ascii="Times New Roman" w:hAnsi="Times New Roman" w:cs="Times New Roman"/>
          <w:sz w:val="24"/>
          <w:szCs w:val="24"/>
          <w:lang w:val="en-GB"/>
        </w:rPr>
        <w:t xml:space="preserve">have additional symbolic </w:t>
      </w:r>
      <w:r w:rsidRPr="004647A8">
        <w:rPr>
          <w:rFonts w:ascii="Times New Roman" w:hAnsi="Times New Roman" w:cs="Times New Roman"/>
          <w:sz w:val="24"/>
          <w:szCs w:val="24"/>
          <w:lang w:val="en-GB"/>
        </w:rPr>
        <w:lastRenderedPageBreak/>
        <w:t>content in providing ready-made and desirable interpretations of strategic moves for key audiences (Whittington and Yakis-Douglas, 2012). Our research focus therefore is not on the compulsory, non-discretionary forms of communication</w:t>
      </w:r>
      <w:r>
        <w:rPr>
          <w:rFonts w:ascii="Times New Roman" w:hAnsi="Times New Roman" w:cs="Times New Roman"/>
          <w:sz w:val="24"/>
          <w:szCs w:val="24"/>
          <w:lang w:val="en-GB"/>
        </w:rPr>
        <w:t xml:space="preserve"> required by law</w:t>
      </w:r>
      <w:r w:rsidRPr="004647A8">
        <w:rPr>
          <w:rFonts w:ascii="Times New Roman" w:hAnsi="Times New Roman" w:cs="Times New Roman"/>
          <w:sz w:val="24"/>
          <w:szCs w:val="24"/>
          <w:lang w:val="en-GB"/>
        </w:rPr>
        <w:t xml:space="preserve"> that involves strategy (i.e. </w:t>
      </w:r>
      <w:r w:rsidR="00EA54BE">
        <w:rPr>
          <w:rFonts w:ascii="Times New Roman" w:hAnsi="Times New Roman" w:cs="Times New Roman"/>
          <w:sz w:val="24"/>
          <w:szCs w:val="24"/>
          <w:lang w:val="en-GB"/>
        </w:rPr>
        <w:t xml:space="preserve">mandatory </w:t>
      </w:r>
      <w:r w:rsidRPr="004647A8">
        <w:rPr>
          <w:rFonts w:ascii="Times New Roman" w:hAnsi="Times New Roman" w:cs="Times New Roman"/>
          <w:sz w:val="24"/>
          <w:szCs w:val="24"/>
          <w:lang w:val="en-GB"/>
        </w:rPr>
        <w:t>M&amp;A announcements) but rather on voluntary, discretionary communications of strategy</w:t>
      </w:r>
      <w:r>
        <w:rPr>
          <w:rFonts w:ascii="Times New Roman" w:hAnsi="Times New Roman" w:cs="Times New Roman"/>
          <w:sz w:val="24"/>
          <w:szCs w:val="24"/>
          <w:lang w:val="en-GB"/>
        </w:rPr>
        <w:t xml:space="preserve"> (i.e. voluntary </w:t>
      </w:r>
      <w:r w:rsidR="00EA54BE">
        <w:rPr>
          <w:rFonts w:ascii="Times New Roman" w:hAnsi="Times New Roman" w:cs="Times New Roman"/>
          <w:sz w:val="24"/>
          <w:szCs w:val="24"/>
          <w:lang w:val="en-GB"/>
        </w:rPr>
        <w:t>M&amp;A announcements</w:t>
      </w:r>
      <w:r>
        <w:rPr>
          <w:rFonts w:ascii="Times New Roman" w:hAnsi="Times New Roman" w:cs="Times New Roman"/>
          <w:sz w:val="24"/>
          <w:szCs w:val="24"/>
          <w:lang w:val="en-GB"/>
        </w:rPr>
        <w:t>)</w:t>
      </w:r>
      <w:r w:rsidRPr="004647A8">
        <w:rPr>
          <w:rFonts w:ascii="Times New Roman" w:hAnsi="Times New Roman" w:cs="Times New Roman"/>
          <w:sz w:val="24"/>
          <w:szCs w:val="24"/>
          <w:lang w:val="en-GB"/>
        </w:rPr>
        <w:t xml:space="preserve">. Existing research suggests that these voluntary </w:t>
      </w:r>
      <w:r w:rsidR="00EA54BE">
        <w:rPr>
          <w:rFonts w:ascii="Times New Roman" w:hAnsi="Times New Roman" w:cs="Times New Roman"/>
          <w:sz w:val="24"/>
          <w:szCs w:val="24"/>
          <w:lang w:val="en-GB"/>
        </w:rPr>
        <w:t>announcements</w:t>
      </w:r>
      <w:r w:rsidRPr="004647A8">
        <w:rPr>
          <w:rFonts w:ascii="Times New Roman" w:hAnsi="Times New Roman" w:cs="Times New Roman"/>
          <w:sz w:val="24"/>
          <w:szCs w:val="24"/>
          <w:lang w:val="en-GB"/>
        </w:rPr>
        <w:t xml:space="preserve"> have symbolic and reputational value for analysts and investors and that they are used widely by established organizations and entrepreneurs (Vaara and Monin, 2010; Zott and Huy, 2007; Rindova et al., </w:t>
      </w:r>
      <w:r w:rsidR="004F29E2">
        <w:rPr>
          <w:rFonts w:ascii="Times New Roman" w:hAnsi="Times New Roman" w:cs="Times New Roman"/>
          <w:sz w:val="24"/>
          <w:szCs w:val="24"/>
          <w:lang w:val="en-GB"/>
        </w:rPr>
        <w:t>2004</w:t>
      </w:r>
      <w:r w:rsidRPr="004647A8">
        <w:rPr>
          <w:rFonts w:ascii="Times New Roman" w:hAnsi="Times New Roman" w:cs="Times New Roman"/>
          <w:sz w:val="24"/>
          <w:szCs w:val="24"/>
          <w:lang w:val="en-GB"/>
        </w:rPr>
        <w:t xml:space="preserve">). Our research takes this one step further to move beyond the symbolic value </w:t>
      </w:r>
      <w:r>
        <w:rPr>
          <w:rFonts w:ascii="Times New Roman" w:hAnsi="Times New Roman" w:cs="Times New Roman"/>
          <w:sz w:val="24"/>
          <w:szCs w:val="24"/>
          <w:lang w:val="en-GB"/>
        </w:rPr>
        <w:t xml:space="preserve">of voluntary corporate communications </w:t>
      </w:r>
      <w:r w:rsidRPr="004647A8">
        <w:rPr>
          <w:rFonts w:ascii="Times New Roman" w:hAnsi="Times New Roman" w:cs="Times New Roman"/>
          <w:sz w:val="24"/>
          <w:szCs w:val="24"/>
          <w:lang w:val="en-GB"/>
        </w:rPr>
        <w:t>and assess</w:t>
      </w:r>
      <w:r>
        <w:rPr>
          <w:rFonts w:ascii="Times New Roman" w:hAnsi="Times New Roman" w:cs="Times New Roman"/>
          <w:sz w:val="24"/>
          <w:szCs w:val="24"/>
          <w:lang w:val="en-GB"/>
        </w:rPr>
        <w:t>es</w:t>
      </w:r>
      <w:r w:rsidRPr="004647A8">
        <w:rPr>
          <w:rFonts w:ascii="Times New Roman" w:hAnsi="Times New Roman" w:cs="Times New Roman"/>
          <w:sz w:val="24"/>
          <w:szCs w:val="24"/>
          <w:lang w:val="en-GB"/>
        </w:rPr>
        <w:t xml:space="preserve"> the ma</w:t>
      </w:r>
      <w:r w:rsidR="00993F65">
        <w:rPr>
          <w:rFonts w:ascii="Times New Roman" w:hAnsi="Times New Roman" w:cs="Times New Roman"/>
          <w:sz w:val="24"/>
          <w:szCs w:val="24"/>
          <w:lang w:val="en-GB"/>
        </w:rPr>
        <w:t>rket value associated with them</w:t>
      </w:r>
      <w:r w:rsidRPr="004647A8">
        <w:rPr>
          <w:rFonts w:ascii="Times New Roman" w:hAnsi="Times New Roman" w:cs="Times New Roman"/>
          <w:sz w:val="24"/>
          <w:szCs w:val="24"/>
          <w:lang w:val="en-GB"/>
        </w:rPr>
        <w:t xml:space="preserve">. </w:t>
      </w:r>
    </w:p>
    <w:p w14:paraId="3C9E77EA" w14:textId="68DA5609" w:rsidR="00A452E7" w:rsidRDefault="00A452E7" w:rsidP="00A452E7">
      <w:pPr>
        <w:spacing w:line="480" w:lineRule="auto"/>
        <w:ind w:firstLine="720"/>
        <w:jc w:val="both"/>
        <w:rPr>
          <w:rFonts w:ascii="Times New Roman" w:hAnsi="Times New Roman" w:cs="Times New Roman"/>
          <w:sz w:val="24"/>
          <w:szCs w:val="24"/>
        </w:rPr>
      </w:pPr>
      <w:r w:rsidRPr="00A6701C">
        <w:rPr>
          <w:rFonts w:ascii="Times New Roman" w:hAnsi="Times New Roman" w:cs="Times New Roman"/>
          <w:sz w:val="24"/>
          <w:szCs w:val="24"/>
        </w:rPr>
        <w:t xml:space="preserve">Our paper proceeds as </w:t>
      </w:r>
      <w:r w:rsidRPr="00F13F0A">
        <w:rPr>
          <w:rFonts w:ascii="Times New Roman" w:hAnsi="Times New Roman" w:cs="Times New Roman"/>
          <w:sz w:val="24"/>
          <w:szCs w:val="24"/>
        </w:rPr>
        <w:t xml:space="preserve">follows: we first </w:t>
      </w:r>
      <w:r>
        <w:rPr>
          <w:rFonts w:ascii="Times New Roman" w:hAnsi="Times New Roman" w:cs="Times New Roman"/>
          <w:sz w:val="24"/>
          <w:szCs w:val="24"/>
        </w:rPr>
        <w:t>discuss</w:t>
      </w:r>
      <w:r w:rsidRPr="00F13F0A">
        <w:rPr>
          <w:rFonts w:ascii="Times New Roman" w:hAnsi="Times New Roman" w:cs="Times New Roman"/>
          <w:sz w:val="24"/>
          <w:szCs w:val="24"/>
        </w:rPr>
        <w:t xml:space="preserve"> open strategy in the context of M&amp;A, emphasizing that </w:t>
      </w:r>
      <w:r w:rsidR="004F29E2">
        <w:rPr>
          <w:rFonts w:ascii="Times New Roman" w:hAnsi="Times New Roman" w:cs="Times New Roman"/>
          <w:sz w:val="24"/>
          <w:szCs w:val="24"/>
        </w:rPr>
        <w:t xml:space="preserve">increasing </w:t>
      </w:r>
      <w:r w:rsidR="00D6739D">
        <w:rPr>
          <w:rFonts w:ascii="Times New Roman" w:hAnsi="Times New Roman" w:cs="Times New Roman"/>
          <w:sz w:val="24"/>
          <w:szCs w:val="24"/>
        </w:rPr>
        <w:t xml:space="preserve">external transparency as an </w:t>
      </w:r>
      <w:r w:rsidRPr="00F13F0A">
        <w:rPr>
          <w:rFonts w:ascii="Times New Roman" w:hAnsi="Times New Roman" w:cs="Times New Roman"/>
          <w:sz w:val="24"/>
          <w:szCs w:val="24"/>
        </w:rPr>
        <w:t xml:space="preserve">open strategy </w:t>
      </w:r>
      <w:r w:rsidR="00D6739D">
        <w:rPr>
          <w:rFonts w:ascii="Times New Roman" w:hAnsi="Times New Roman" w:cs="Times New Roman"/>
          <w:sz w:val="24"/>
          <w:szCs w:val="24"/>
        </w:rPr>
        <w:t xml:space="preserve">practice </w:t>
      </w:r>
      <w:r w:rsidRPr="00F13F0A">
        <w:rPr>
          <w:rFonts w:ascii="Times New Roman" w:hAnsi="Times New Roman" w:cs="Times New Roman"/>
          <w:sz w:val="24"/>
          <w:szCs w:val="24"/>
        </w:rPr>
        <w:t xml:space="preserve">can </w:t>
      </w:r>
      <w:r w:rsidR="004F29E2">
        <w:rPr>
          <w:rFonts w:ascii="Times New Roman" w:hAnsi="Times New Roman" w:cs="Times New Roman"/>
          <w:sz w:val="24"/>
          <w:szCs w:val="24"/>
        </w:rPr>
        <w:t xml:space="preserve">help combat </w:t>
      </w:r>
      <w:r w:rsidRPr="0058260E">
        <w:rPr>
          <w:rFonts w:ascii="Times New Roman" w:hAnsi="Times New Roman" w:cs="Times New Roman"/>
          <w:sz w:val="24"/>
          <w:szCs w:val="24"/>
        </w:rPr>
        <w:t>informatio</w:t>
      </w:r>
      <w:r w:rsidRPr="00A6701C">
        <w:rPr>
          <w:rFonts w:ascii="Times New Roman" w:hAnsi="Times New Roman" w:cs="Times New Roman"/>
          <w:sz w:val="24"/>
          <w:szCs w:val="24"/>
        </w:rPr>
        <w:t>n asymmetry. We then build our hypotheses using literature on information asymmetry and construct predictions on the likelihood of</w:t>
      </w:r>
      <w:r>
        <w:rPr>
          <w:rFonts w:ascii="Times New Roman" w:hAnsi="Times New Roman" w:cs="Times New Roman"/>
          <w:sz w:val="24"/>
          <w:szCs w:val="24"/>
        </w:rPr>
        <w:t>, and outcomes associated with</w:t>
      </w:r>
      <w:r w:rsidRPr="00A6701C">
        <w:rPr>
          <w:rFonts w:ascii="Times New Roman" w:hAnsi="Times New Roman" w:cs="Times New Roman"/>
          <w:sz w:val="24"/>
          <w:szCs w:val="24"/>
        </w:rPr>
        <w:t xml:space="preserve"> observing organizations with strategic variation and deviation carrying out </w:t>
      </w:r>
      <w:r w:rsidR="00E95D60">
        <w:rPr>
          <w:rFonts w:ascii="Times New Roman" w:hAnsi="Times New Roman" w:cs="Times New Roman"/>
          <w:sz w:val="24"/>
          <w:szCs w:val="24"/>
        </w:rPr>
        <w:t>voluntary M&amp;A announcements</w:t>
      </w:r>
      <w:r w:rsidRPr="00A6701C">
        <w:rPr>
          <w:rFonts w:ascii="Times New Roman" w:hAnsi="Times New Roman" w:cs="Times New Roman"/>
          <w:sz w:val="24"/>
          <w:szCs w:val="24"/>
        </w:rPr>
        <w:t>. After our hypotheses, we present our</w:t>
      </w:r>
      <w:r w:rsidRPr="005474C5">
        <w:rPr>
          <w:rFonts w:ascii="Times New Roman" w:hAnsi="Times New Roman" w:cs="Times New Roman"/>
          <w:sz w:val="24"/>
          <w:szCs w:val="24"/>
        </w:rPr>
        <w:t xml:space="preserve"> data and methodology, followed by the results. </w:t>
      </w:r>
      <w:r>
        <w:rPr>
          <w:rFonts w:ascii="Times New Roman" w:hAnsi="Times New Roman" w:cs="Times New Roman"/>
          <w:sz w:val="24"/>
          <w:szCs w:val="24"/>
        </w:rPr>
        <w:t>The</w:t>
      </w:r>
      <w:r w:rsidRPr="005474C5">
        <w:rPr>
          <w:rFonts w:ascii="Times New Roman" w:hAnsi="Times New Roman" w:cs="Times New Roman"/>
          <w:sz w:val="24"/>
          <w:szCs w:val="24"/>
        </w:rPr>
        <w:t xml:space="preserve"> final section includes our discussion and conclusion in which we address possible outcomes of open strategy in practice as well as limitations of the study and directions for future research.</w:t>
      </w:r>
    </w:p>
    <w:p w14:paraId="3B5987A8" w14:textId="3A31BCAD" w:rsidR="0091124F" w:rsidRPr="001B490C" w:rsidRDefault="0091124F" w:rsidP="009855D5">
      <w:pPr>
        <w:spacing w:line="480" w:lineRule="auto"/>
        <w:jc w:val="both"/>
        <w:rPr>
          <w:rFonts w:ascii="Times New Roman" w:hAnsi="Times New Roman" w:cs="Times New Roman"/>
          <w:b/>
          <w:sz w:val="24"/>
          <w:szCs w:val="24"/>
        </w:rPr>
      </w:pPr>
      <w:r w:rsidRPr="001B490C">
        <w:rPr>
          <w:rFonts w:ascii="Times New Roman" w:hAnsi="Times New Roman" w:cs="Times New Roman"/>
          <w:b/>
          <w:sz w:val="24"/>
          <w:szCs w:val="24"/>
        </w:rPr>
        <w:t>Theory and hypotheses</w:t>
      </w:r>
    </w:p>
    <w:p w14:paraId="7323EF50" w14:textId="5D59770B" w:rsidR="008A6F7A" w:rsidRPr="00253BEB" w:rsidRDefault="00133F98" w:rsidP="00253BEB">
      <w:pPr>
        <w:spacing w:line="480" w:lineRule="auto"/>
        <w:ind w:firstLine="567"/>
        <w:jc w:val="both"/>
        <w:rPr>
          <w:rFonts w:ascii="Times New Roman" w:hAnsi="Times New Roman" w:cs="Times New Roman"/>
          <w:sz w:val="24"/>
          <w:szCs w:val="24"/>
        </w:rPr>
      </w:pPr>
      <w:r w:rsidRPr="001B490C">
        <w:rPr>
          <w:rFonts w:ascii="Times New Roman" w:hAnsi="Times New Roman" w:cs="Times New Roman"/>
          <w:sz w:val="24"/>
          <w:szCs w:val="24"/>
        </w:rPr>
        <w:t xml:space="preserve">Our research focus is on the external transparency aspect of open strategy. More specifically, our research falls into one of the four broad principles of open strategy </w:t>
      </w:r>
      <w:r w:rsidRPr="001B490C">
        <w:rPr>
          <w:rFonts w:ascii="Times New Roman" w:hAnsi="Times New Roman" w:cs="Times New Roman"/>
          <w:sz w:val="24"/>
          <w:szCs w:val="24"/>
        </w:rPr>
        <w:lastRenderedPageBreak/>
        <w:t xml:space="preserve">identified by Whittington et al. (2011): namely, external transparency. </w:t>
      </w:r>
      <w:r w:rsidR="00E8529B" w:rsidRPr="001B490C">
        <w:rPr>
          <w:rFonts w:ascii="Times New Roman" w:hAnsi="Times New Roman" w:cs="Times New Roman"/>
          <w:sz w:val="24"/>
          <w:szCs w:val="24"/>
        </w:rPr>
        <w:t>T</w:t>
      </w:r>
      <w:r w:rsidRPr="001B490C">
        <w:rPr>
          <w:rFonts w:ascii="Times New Roman" w:hAnsi="Times New Roman" w:cs="Times New Roman"/>
          <w:sz w:val="24"/>
          <w:szCs w:val="24"/>
        </w:rPr>
        <w:t>raditionally</w:t>
      </w:r>
      <w:r w:rsidR="00E8529B" w:rsidRPr="001B490C">
        <w:rPr>
          <w:rFonts w:ascii="Times New Roman" w:hAnsi="Times New Roman" w:cs="Times New Roman"/>
          <w:sz w:val="24"/>
          <w:szCs w:val="24"/>
        </w:rPr>
        <w:t>,</w:t>
      </w:r>
      <w:r w:rsidRPr="001B490C">
        <w:rPr>
          <w:rFonts w:ascii="Times New Roman" w:hAnsi="Times New Roman" w:cs="Times New Roman"/>
          <w:sz w:val="24"/>
          <w:szCs w:val="24"/>
        </w:rPr>
        <w:t xml:space="preserve"> strategy has been ‘secret’ – elitist and opaque</w:t>
      </w:r>
      <w:r w:rsidR="00E8529B" w:rsidRPr="001B490C">
        <w:rPr>
          <w:rFonts w:ascii="Times New Roman" w:hAnsi="Times New Roman" w:cs="Times New Roman"/>
          <w:sz w:val="24"/>
          <w:szCs w:val="24"/>
        </w:rPr>
        <w:t xml:space="preserve">. </w:t>
      </w:r>
      <w:r w:rsidR="00E75C21" w:rsidRPr="001B490C">
        <w:rPr>
          <w:rFonts w:ascii="Times New Roman" w:hAnsi="Times New Roman" w:cs="Times New Roman"/>
          <w:sz w:val="24"/>
          <w:szCs w:val="24"/>
        </w:rPr>
        <w:t>Keeping</w:t>
      </w:r>
      <w:r w:rsidR="00E8529B" w:rsidRPr="001B490C">
        <w:rPr>
          <w:rFonts w:ascii="Times New Roman" w:hAnsi="Times New Roman" w:cs="Times New Roman"/>
          <w:sz w:val="24"/>
          <w:szCs w:val="24"/>
        </w:rPr>
        <w:t xml:space="preserve"> strategy </w:t>
      </w:r>
      <w:r w:rsidR="00E75C21" w:rsidRPr="001B490C">
        <w:rPr>
          <w:rFonts w:ascii="Times New Roman" w:hAnsi="Times New Roman" w:cs="Times New Roman"/>
          <w:sz w:val="24"/>
          <w:szCs w:val="24"/>
        </w:rPr>
        <w:t>undisclosed</w:t>
      </w:r>
      <w:r w:rsidR="00E8529B" w:rsidRPr="001B490C">
        <w:rPr>
          <w:rFonts w:ascii="Times New Roman" w:hAnsi="Times New Roman" w:cs="Times New Roman"/>
          <w:sz w:val="24"/>
          <w:szCs w:val="24"/>
        </w:rPr>
        <w:t xml:space="preserve"> can be associated with numerous advantages such as </w:t>
      </w:r>
      <w:r w:rsidR="003A1966" w:rsidRPr="001B490C">
        <w:rPr>
          <w:rFonts w:ascii="Times New Roman" w:hAnsi="Times New Roman" w:cs="Times New Roman"/>
          <w:sz w:val="24"/>
          <w:szCs w:val="24"/>
        </w:rPr>
        <w:t>a</w:t>
      </w:r>
      <w:r w:rsidR="00E8529B" w:rsidRPr="001B490C">
        <w:rPr>
          <w:rFonts w:ascii="Times New Roman" w:hAnsi="Times New Roman" w:cs="Times New Roman"/>
          <w:sz w:val="24"/>
          <w:szCs w:val="24"/>
        </w:rPr>
        <w:t>void</w:t>
      </w:r>
      <w:r w:rsidR="003A1966" w:rsidRPr="001B490C">
        <w:rPr>
          <w:rFonts w:ascii="Times New Roman" w:hAnsi="Times New Roman" w:cs="Times New Roman"/>
          <w:sz w:val="24"/>
          <w:szCs w:val="24"/>
        </w:rPr>
        <w:t>ing</w:t>
      </w:r>
      <w:r w:rsidR="00E8529B" w:rsidRPr="001B490C">
        <w:rPr>
          <w:rFonts w:ascii="Times New Roman" w:hAnsi="Times New Roman" w:cs="Times New Roman"/>
          <w:sz w:val="24"/>
          <w:szCs w:val="24"/>
        </w:rPr>
        <w:t xml:space="preserve"> imitation, protect</w:t>
      </w:r>
      <w:r w:rsidR="003A1966" w:rsidRPr="001B490C">
        <w:rPr>
          <w:rFonts w:ascii="Times New Roman" w:hAnsi="Times New Roman" w:cs="Times New Roman"/>
          <w:sz w:val="24"/>
          <w:szCs w:val="24"/>
        </w:rPr>
        <w:t>ing</w:t>
      </w:r>
      <w:r w:rsidR="00E8529B" w:rsidRPr="001B490C">
        <w:rPr>
          <w:rFonts w:ascii="Times New Roman" w:hAnsi="Times New Roman" w:cs="Times New Roman"/>
          <w:sz w:val="24"/>
          <w:szCs w:val="24"/>
        </w:rPr>
        <w:t xml:space="preserve"> product, design, or market-related advantages, and to be</w:t>
      </w:r>
      <w:r w:rsidR="003A1966" w:rsidRPr="001B490C">
        <w:rPr>
          <w:rFonts w:ascii="Times New Roman" w:hAnsi="Times New Roman" w:cs="Times New Roman"/>
          <w:sz w:val="24"/>
          <w:szCs w:val="24"/>
        </w:rPr>
        <w:t>ing</w:t>
      </w:r>
      <w:r w:rsidR="00E8529B" w:rsidRPr="001B490C">
        <w:rPr>
          <w:rFonts w:ascii="Times New Roman" w:hAnsi="Times New Roman" w:cs="Times New Roman"/>
          <w:sz w:val="24"/>
          <w:szCs w:val="24"/>
        </w:rPr>
        <w:t xml:space="preserve"> able to exercise the element of surprise (Makadok and Barney, 2001)</w:t>
      </w:r>
      <w:r w:rsidR="00E75C21" w:rsidRPr="001B490C">
        <w:rPr>
          <w:rFonts w:ascii="Times New Roman" w:hAnsi="Times New Roman" w:cs="Times New Roman"/>
          <w:sz w:val="24"/>
          <w:szCs w:val="24"/>
        </w:rPr>
        <w:t xml:space="preserve">. </w:t>
      </w:r>
      <w:r w:rsidR="00262CDB" w:rsidRPr="001B490C">
        <w:rPr>
          <w:rFonts w:ascii="Times New Roman" w:hAnsi="Times New Roman" w:cs="Times New Roman"/>
          <w:sz w:val="24"/>
          <w:szCs w:val="24"/>
        </w:rPr>
        <w:t xml:space="preserve">Indeed, managers may suffer from strategic disadvantages if they </w:t>
      </w:r>
      <w:r w:rsidR="00262CDB" w:rsidRPr="00253BEB">
        <w:rPr>
          <w:rFonts w:ascii="Times New Roman" w:hAnsi="Times New Roman" w:cs="Times New Roman"/>
          <w:sz w:val="24"/>
          <w:szCs w:val="24"/>
        </w:rPr>
        <w:t>uncover all information about a particular strategy (Barney, 1986). In many cases, organizations can benefit from their managers possessing more information about the value of asset bundles than market participants (</w:t>
      </w:r>
      <w:r w:rsidR="00297999" w:rsidRPr="001B490C">
        <w:rPr>
          <w:rFonts w:ascii="Times New Roman" w:hAnsi="Times New Roman" w:cs="Times New Roman"/>
          <w:sz w:val="24"/>
          <w:szCs w:val="24"/>
        </w:rPr>
        <w:t>Rumelt, 1984</w:t>
      </w:r>
      <w:r w:rsidR="00262CDB" w:rsidRPr="00253BEB">
        <w:rPr>
          <w:rFonts w:ascii="Times New Roman" w:hAnsi="Times New Roman" w:cs="Times New Roman"/>
          <w:sz w:val="24"/>
          <w:szCs w:val="24"/>
        </w:rPr>
        <w:t xml:space="preserve">). </w:t>
      </w:r>
      <w:r w:rsidR="00C23226" w:rsidRPr="00253BEB">
        <w:rPr>
          <w:rFonts w:ascii="Times New Roman" w:hAnsi="Times New Roman" w:cs="Times New Roman"/>
          <w:sz w:val="24"/>
          <w:szCs w:val="24"/>
        </w:rPr>
        <w:t xml:space="preserve">While organizations may suffer from strategic disadvantages if their managers uncover all information about a particular strategy, </w:t>
      </w:r>
      <w:r w:rsidR="00E75C21" w:rsidRPr="001B490C">
        <w:rPr>
          <w:rFonts w:ascii="Times New Roman" w:hAnsi="Times New Roman" w:cs="Times New Roman"/>
          <w:sz w:val="24"/>
          <w:szCs w:val="24"/>
        </w:rPr>
        <w:t>asymmetry regarding strategy in certain situations can disadvantage firms</w:t>
      </w:r>
      <w:r w:rsidR="00297999" w:rsidRPr="001B490C">
        <w:rPr>
          <w:rFonts w:ascii="Times New Roman" w:hAnsi="Times New Roman" w:cs="Times New Roman"/>
          <w:sz w:val="24"/>
          <w:szCs w:val="24"/>
        </w:rPr>
        <w:t xml:space="preserve"> (Zuckerman, 2004)</w:t>
      </w:r>
      <w:r w:rsidR="00E75C21" w:rsidRPr="001B490C">
        <w:rPr>
          <w:rFonts w:ascii="Times New Roman" w:hAnsi="Times New Roman" w:cs="Times New Roman"/>
          <w:sz w:val="24"/>
          <w:szCs w:val="24"/>
        </w:rPr>
        <w:t xml:space="preserve">. </w:t>
      </w:r>
      <w:r w:rsidR="008A6F7A" w:rsidRPr="00253BEB">
        <w:rPr>
          <w:rFonts w:ascii="Times New Roman" w:hAnsi="Times New Roman" w:cs="Times New Roman"/>
          <w:sz w:val="24"/>
          <w:szCs w:val="24"/>
        </w:rPr>
        <w:t xml:space="preserve">Our context of M&amp;A is one such instance where opacity can cause an announced deal to be tied to negative share price reactions or to ultimately fail. One well-publicized instance of M&amp;A failure widely attributed to strategic opacity was the failed bid by the </w:t>
      </w:r>
      <w:r w:rsidR="008A6F7A" w:rsidRPr="001B490C">
        <w:rPr>
          <w:rFonts w:asciiTheme="majorBidi" w:hAnsiTheme="majorBidi" w:cstheme="majorBidi"/>
          <w:sz w:val="24"/>
          <w:szCs w:val="24"/>
        </w:rPr>
        <w:t xml:space="preserve">Deutsche Boerse AG </w:t>
      </w:r>
      <w:r w:rsidR="00581606" w:rsidRPr="00253BEB">
        <w:rPr>
          <w:rFonts w:ascii="Times New Roman" w:hAnsi="Times New Roman" w:cs="Times New Roman"/>
          <w:sz w:val="24"/>
          <w:szCs w:val="24"/>
        </w:rPr>
        <w:t xml:space="preserve">for the London Stock Exchange </w:t>
      </w:r>
      <w:r w:rsidR="00581606">
        <w:rPr>
          <w:rFonts w:ascii="Times New Roman" w:hAnsi="Times New Roman" w:cs="Times New Roman"/>
          <w:sz w:val="24"/>
          <w:szCs w:val="24"/>
        </w:rPr>
        <w:t xml:space="preserve">in </w:t>
      </w:r>
      <w:r w:rsidR="008A6F7A" w:rsidRPr="00253BEB">
        <w:rPr>
          <w:rFonts w:ascii="Times New Roman" w:hAnsi="Times New Roman" w:cs="Times New Roman"/>
          <w:sz w:val="24"/>
          <w:szCs w:val="24"/>
        </w:rPr>
        <w:t>2004</w:t>
      </w:r>
      <w:r w:rsidR="00BA5CAE">
        <w:rPr>
          <w:rFonts w:ascii="Times New Roman" w:hAnsi="Times New Roman" w:cs="Times New Roman"/>
          <w:sz w:val="24"/>
          <w:szCs w:val="24"/>
        </w:rPr>
        <w:t xml:space="preserve"> (Sudarsanam, 2010)</w:t>
      </w:r>
      <w:r w:rsidR="008A6F7A" w:rsidRPr="00253BEB">
        <w:rPr>
          <w:rFonts w:ascii="Times New Roman" w:hAnsi="Times New Roman" w:cs="Times New Roman"/>
          <w:sz w:val="24"/>
          <w:szCs w:val="24"/>
        </w:rPr>
        <w:t>. Making the acquiring firm’s strategy transparent to investors can be important to managing share price reaction and/or enable deal completion. We expand upon these in the rest of this section.</w:t>
      </w:r>
    </w:p>
    <w:p w14:paraId="220C7DEB" w14:textId="5E52375C" w:rsidR="0006384C" w:rsidRPr="001B490C" w:rsidRDefault="008A6F7A" w:rsidP="00253BEB">
      <w:pPr>
        <w:spacing w:line="480" w:lineRule="auto"/>
        <w:ind w:firstLine="567"/>
        <w:jc w:val="both"/>
        <w:rPr>
          <w:rFonts w:ascii="Times New Roman" w:hAnsi="Times New Roman" w:cs="Times New Roman"/>
          <w:sz w:val="24"/>
          <w:szCs w:val="24"/>
          <w:lang w:val="en-GB"/>
        </w:rPr>
      </w:pPr>
      <w:r w:rsidRPr="00253BEB">
        <w:rPr>
          <w:rFonts w:ascii="Times New Roman" w:hAnsi="Times New Roman" w:cs="Times New Roman"/>
          <w:sz w:val="24"/>
          <w:szCs w:val="24"/>
        </w:rPr>
        <w:tab/>
      </w:r>
      <w:r w:rsidR="009E2D1A" w:rsidRPr="001B490C">
        <w:rPr>
          <w:rFonts w:ascii="Times New Roman" w:hAnsi="Times New Roman" w:cs="Times New Roman"/>
          <w:sz w:val="24"/>
          <w:szCs w:val="24"/>
          <w:lang w:val="en-GB"/>
        </w:rPr>
        <w:t>There is plenty of evidence drawing attention to the high level of information asymmetry that exists between outside stakeholders and inside managers (Zajac, 1990; Shen and Cannella, 2003; Zhang, 2008; Graffin et al., 2011). M&amp;As are associated with information asymmetry because choices regarding the upcoming deal are typically opaque, and information about M&amp;A choices is rarely shared (Gomes et al. 2012).</w:t>
      </w:r>
      <w:r w:rsidRPr="00253BEB">
        <w:rPr>
          <w:rFonts w:ascii="Times New Roman" w:hAnsi="Times New Roman" w:cs="Times New Roman"/>
          <w:sz w:val="24"/>
          <w:szCs w:val="24"/>
          <w:lang w:val="en-GB"/>
        </w:rPr>
        <w:t xml:space="preserve"> M&amp;A information is market sensitive and the process is characterised by secrecy </w:t>
      </w:r>
      <w:r w:rsidRPr="001B490C">
        <w:rPr>
          <w:rFonts w:ascii="Times New Roman" w:hAnsi="Times New Roman" w:cs="Times New Roman"/>
          <w:sz w:val="24"/>
          <w:szCs w:val="24"/>
          <w:lang w:bidi="he-IL"/>
        </w:rPr>
        <w:t>(Reuer</w:t>
      </w:r>
      <w:r w:rsidR="0096452B">
        <w:rPr>
          <w:rFonts w:ascii="Times New Roman" w:hAnsi="Times New Roman" w:cs="Times New Roman"/>
          <w:sz w:val="24"/>
          <w:szCs w:val="24"/>
          <w:lang w:bidi="he-IL"/>
        </w:rPr>
        <w:t xml:space="preserve"> et al.</w:t>
      </w:r>
      <w:r w:rsidRPr="001B490C">
        <w:rPr>
          <w:rFonts w:ascii="Times New Roman" w:hAnsi="Times New Roman" w:cs="Times New Roman"/>
          <w:sz w:val="24"/>
          <w:szCs w:val="24"/>
          <w:lang w:bidi="he-IL"/>
        </w:rPr>
        <w:t>, 2012; Boeh, 2011)</w:t>
      </w:r>
      <w:r w:rsidRPr="00253BEB">
        <w:rPr>
          <w:rFonts w:ascii="Times New Roman" w:hAnsi="Times New Roman" w:cs="Times New Roman"/>
          <w:sz w:val="24"/>
          <w:szCs w:val="24"/>
          <w:lang w:val="en-GB"/>
        </w:rPr>
        <w:t>.</w:t>
      </w:r>
      <w:r w:rsidR="009E2D1A" w:rsidRPr="001B490C">
        <w:rPr>
          <w:rFonts w:ascii="Times New Roman" w:hAnsi="Times New Roman" w:cs="Times New Roman"/>
          <w:sz w:val="24"/>
          <w:szCs w:val="24"/>
          <w:lang w:val="en-GB"/>
        </w:rPr>
        <w:t xml:space="preserve"> </w:t>
      </w:r>
    </w:p>
    <w:p w14:paraId="58924E75" w14:textId="77777777" w:rsidR="00B43B17" w:rsidRDefault="0006384C" w:rsidP="00B43B17">
      <w:pPr>
        <w:spacing w:line="480" w:lineRule="auto"/>
        <w:ind w:firstLine="567"/>
        <w:jc w:val="both"/>
        <w:rPr>
          <w:rFonts w:ascii="Times New Roman" w:hAnsi="Times New Roman" w:cs="Times New Roman"/>
          <w:sz w:val="24"/>
          <w:szCs w:val="24"/>
          <w:lang w:val="en-GB"/>
        </w:rPr>
      </w:pPr>
      <w:r w:rsidRPr="001B490C">
        <w:rPr>
          <w:rFonts w:ascii="Times New Roman" w:hAnsi="Times New Roman" w:cs="Times New Roman"/>
          <w:sz w:val="24"/>
          <w:szCs w:val="24"/>
          <w:lang w:val="en-GB"/>
        </w:rPr>
        <w:lastRenderedPageBreak/>
        <w:t xml:space="preserve">Following earlier research (see for example, </w:t>
      </w:r>
      <w:r w:rsidR="007C1348" w:rsidRPr="001B490C">
        <w:rPr>
          <w:rFonts w:ascii="Times New Roman" w:hAnsi="Times New Roman" w:cs="Times New Roman"/>
          <w:sz w:val="24"/>
          <w:szCs w:val="24"/>
          <w:lang w:val="en-GB"/>
        </w:rPr>
        <w:t xml:space="preserve">Finkelstein and Hambrick, 1990; Geletkanycz and Hambrick, 1997; </w:t>
      </w:r>
      <w:r w:rsidR="00BC6228" w:rsidRPr="001B490C">
        <w:rPr>
          <w:rFonts w:ascii="Times New Roman" w:hAnsi="Times New Roman" w:cs="Times New Roman"/>
          <w:sz w:val="24"/>
          <w:szCs w:val="24"/>
          <w:lang w:val="en-GB"/>
        </w:rPr>
        <w:t>Haynes</w:t>
      </w:r>
      <w:r w:rsidRPr="001B490C">
        <w:rPr>
          <w:rFonts w:ascii="Times New Roman" w:hAnsi="Times New Roman" w:cs="Times New Roman"/>
          <w:sz w:val="24"/>
          <w:szCs w:val="24"/>
          <w:lang w:val="en-GB"/>
        </w:rPr>
        <w:t xml:space="preserve"> and Hillman, 2010), we use the patterns of strategic resource allocation as an indicator of strategic persistence</w:t>
      </w:r>
      <w:r w:rsidR="0040403C" w:rsidRPr="001B490C">
        <w:rPr>
          <w:rFonts w:ascii="Times New Roman" w:hAnsi="Times New Roman" w:cs="Times New Roman"/>
          <w:sz w:val="24"/>
          <w:szCs w:val="24"/>
          <w:lang w:val="en-GB"/>
        </w:rPr>
        <w:t xml:space="preserve"> of firm strategies over time as well as conformity to industry norms. Finkelstein and Hambrick (1990</w:t>
      </w:r>
      <w:r w:rsidR="005F549C" w:rsidRPr="001B490C">
        <w:rPr>
          <w:rFonts w:ascii="Times New Roman" w:hAnsi="Times New Roman" w:cs="Times New Roman"/>
          <w:sz w:val="24"/>
          <w:szCs w:val="24"/>
          <w:lang w:val="en-GB"/>
        </w:rPr>
        <w:t>), building on Mintzberg’s (1978</w:t>
      </w:r>
      <w:r w:rsidR="0040403C" w:rsidRPr="001B490C">
        <w:rPr>
          <w:rFonts w:ascii="Times New Roman" w:hAnsi="Times New Roman" w:cs="Times New Roman"/>
          <w:sz w:val="24"/>
          <w:szCs w:val="24"/>
          <w:lang w:val="en-GB"/>
        </w:rPr>
        <w:t xml:space="preserve">) definition of strategy as a pattern of managerial decisions, constructed a strategic resource allocation profile. Their measure consists of six </w:t>
      </w:r>
      <w:r w:rsidR="00E77863" w:rsidRPr="001B490C">
        <w:rPr>
          <w:rFonts w:ascii="Times New Roman" w:hAnsi="Times New Roman" w:cs="Times New Roman"/>
          <w:sz w:val="24"/>
          <w:szCs w:val="24"/>
          <w:lang w:val="en-GB"/>
        </w:rPr>
        <w:t>dimensions that</w:t>
      </w:r>
      <w:r w:rsidR="0040403C" w:rsidRPr="001B490C">
        <w:rPr>
          <w:rFonts w:ascii="Times New Roman" w:hAnsi="Times New Roman" w:cs="Times New Roman"/>
          <w:sz w:val="24"/>
          <w:szCs w:val="24"/>
          <w:lang w:val="en-GB"/>
        </w:rPr>
        <w:t xml:space="preserve"> </w:t>
      </w:r>
      <w:r w:rsidR="00E77863" w:rsidRPr="001B490C">
        <w:rPr>
          <w:rFonts w:ascii="Times New Roman" w:hAnsi="Times New Roman" w:cs="Times New Roman"/>
          <w:sz w:val="24"/>
          <w:szCs w:val="24"/>
          <w:lang w:val="en-GB"/>
        </w:rPr>
        <w:t>represent</w:t>
      </w:r>
      <w:r w:rsidR="0040403C" w:rsidRPr="001B490C">
        <w:rPr>
          <w:rFonts w:ascii="Times New Roman" w:hAnsi="Times New Roman" w:cs="Times New Roman"/>
          <w:sz w:val="24"/>
          <w:szCs w:val="24"/>
          <w:lang w:val="en-GB"/>
        </w:rPr>
        <w:t xml:space="preserve"> the firm’s strategic decision pattern over time. </w:t>
      </w:r>
      <w:r w:rsidR="00E77863" w:rsidRPr="001B490C">
        <w:rPr>
          <w:rFonts w:ascii="Times New Roman" w:hAnsi="Times New Roman" w:cs="Times New Roman"/>
          <w:sz w:val="24"/>
          <w:szCs w:val="24"/>
          <w:lang w:val="en-GB"/>
        </w:rPr>
        <w:t xml:space="preserve">Carpenter (2000), and more recently </w:t>
      </w:r>
      <w:r w:rsidR="008A6F7A" w:rsidRPr="00253BEB">
        <w:rPr>
          <w:rFonts w:ascii="Times New Roman" w:hAnsi="Times New Roman" w:cs="Times New Roman"/>
          <w:sz w:val="24"/>
          <w:szCs w:val="24"/>
          <w:lang w:val="en-GB"/>
        </w:rPr>
        <w:t xml:space="preserve">Haynes and Hillman (2010) further develop these six measures to account for two aspects: 1) strategic variation, a change ‘in the pattern of a firm’s resource commitments over time, relative to its past pattern,’ and 2) strategic deviation, a shift away from the ‘firm’s resource commitments from industry norms of competition’ (Carpenter, 2000: 1182; also in Haynes and Hillman, 2010). </w:t>
      </w:r>
    </w:p>
    <w:p w14:paraId="5201837A" w14:textId="60D30002" w:rsidR="00B54CB3" w:rsidRPr="00B43B17" w:rsidRDefault="00B54CB3" w:rsidP="00B43B17">
      <w:pPr>
        <w:spacing w:line="480" w:lineRule="auto"/>
        <w:ind w:firstLine="567"/>
        <w:jc w:val="both"/>
        <w:rPr>
          <w:rFonts w:ascii="Times New Roman" w:hAnsi="Times New Roman" w:cs="Times New Roman"/>
          <w:sz w:val="24"/>
          <w:szCs w:val="24"/>
          <w:lang w:val="en-GB"/>
        </w:rPr>
      </w:pPr>
      <w:r w:rsidRPr="00B43B17">
        <w:rPr>
          <w:rFonts w:ascii="Times New Roman" w:hAnsi="Times New Roman" w:cs="Times New Roman"/>
          <w:sz w:val="24"/>
          <w:szCs w:val="24"/>
        </w:rPr>
        <w:t>It is widely accepted that managing third-party perceptions is an important task for both sides in a merger or acquisition; for instance Trautwein (1990) notes that “(M&amp;A) need marketing just like products, and effectively addressing the public or regulatory institutions in (M&amp;A) may be critical to its success” (p. 293). In the context of M&amp;A, open strategy can act as a force that both increases and reduces information asymmetry</w:t>
      </w:r>
      <w:r w:rsidR="00B43B17" w:rsidRPr="00B43B17">
        <w:rPr>
          <w:rFonts w:ascii="Times New Roman" w:hAnsi="Times New Roman" w:cs="Times New Roman"/>
          <w:sz w:val="24"/>
          <w:szCs w:val="24"/>
        </w:rPr>
        <w:t xml:space="preserve"> (Angwin</w:t>
      </w:r>
      <w:r w:rsidR="0096452B">
        <w:rPr>
          <w:rFonts w:ascii="Times New Roman" w:hAnsi="Times New Roman" w:cs="Times New Roman"/>
          <w:sz w:val="24"/>
          <w:szCs w:val="24"/>
        </w:rPr>
        <w:t xml:space="preserve"> et al.</w:t>
      </w:r>
      <w:r w:rsidR="00B43B17" w:rsidRPr="00B43B17">
        <w:rPr>
          <w:rFonts w:ascii="Times New Roman" w:hAnsi="Times New Roman" w:cs="Times New Roman"/>
          <w:sz w:val="24"/>
          <w:szCs w:val="24"/>
        </w:rPr>
        <w:t>, 2014)</w:t>
      </w:r>
      <w:r w:rsidR="00B43B17">
        <w:rPr>
          <w:rFonts w:ascii="Times New Roman" w:hAnsi="Times New Roman" w:cs="Times New Roman"/>
          <w:sz w:val="24"/>
          <w:szCs w:val="24"/>
        </w:rPr>
        <w:t xml:space="preserve">. </w:t>
      </w:r>
      <w:r w:rsidRPr="001B490C">
        <w:rPr>
          <w:rFonts w:ascii="Times New Roman" w:hAnsi="Times New Roman" w:cs="Times New Roman"/>
          <w:sz w:val="24"/>
          <w:szCs w:val="24"/>
          <w:lang w:val="en-GB"/>
        </w:rPr>
        <w:t xml:space="preserve">Furthermore, communicating a shift in current strategy is likely to be important for managers because </w:t>
      </w:r>
      <w:r w:rsidR="00942B15">
        <w:rPr>
          <w:rFonts w:ascii="Times New Roman" w:hAnsi="Times New Roman" w:cs="Times New Roman"/>
          <w:sz w:val="24"/>
          <w:szCs w:val="24"/>
        </w:rPr>
        <w:t>voluntary M&amp;A announcements</w:t>
      </w:r>
      <w:r w:rsidR="00942B15" w:rsidRPr="001B490C">
        <w:rPr>
          <w:rFonts w:ascii="Times New Roman" w:hAnsi="Times New Roman" w:cs="Times New Roman"/>
          <w:sz w:val="24"/>
          <w:szCs w:val="24"/>
          <w:lang w:val="en-GB"/>
        </w:rPr>
        <w:t xml:space="preserve"> </w:t>
      </w:r>
      <w:r w:rsidRPr="001B490C">
        <w:rPr>
          <w:rFonts w:ascii="Times New Roman" w:hAnsi="Times New Roman" w:cs="Times New Roman"/>
          <w:sz w:val="24"/>
          <w:szCs w:val="24"/>
          <w:lang w:val="en-GB"/>
        </w:rPr>
        <w:t>can help reassure the investors regarding the future plans associated with the upcoming M&amp;A, help investors evaluate the organizations’ strategic prowess in handling issues such as intended integration</w:t>
      </w:r>
      <w:r w:rsidR="00054E3A">
        <w:rPr>
          <w:rFonts w:ascii="Times New Roman" w:hAnsi="Times New Roman" w:cs="Times New Roman"/>
          <w:sz w:val="24"/>
          <w:szCs w:val="24"/>
          <w:lang w:val="en-GB"/>
        </w:rPr>
        <w:t xml:space="preserve">, restructuring, reorganization, </w:t>
      </w:r>
      <w:r w:rsidRPr="001B490C">
        <w:rPr>
          <w:rFonts w:ascii="Times New Roman" w:hAnsi="Times New Roman" w:cs="Times New Roman"/>
          <w:sz w:val="24"/>
          <w:szCs w:val="24"/>
          <w:lang w:val="en-GB"/>
        </w:rPr>
        <w:t>and allow investors to get hold of substantive new information such as</w:t>
      </w:r>
      <w:r w:rsidR="00054E3A">
        <w:rPr>
          <w:rFonts w:ascii="Times New Roman" w:hAnsi="Times New Roman" w:cs="Times New Roman"/>
          <w:sz w:val="24"/>
          <w:szCs w:val="24"/>
          <w:lang w:val="en-GB"/>
        </w:rPr>
        <w:t xml:space="preserve"> employee retention intentions and</w:t>
      </w:r>
      <w:r w:rsidRPr="001B490C">
        <w:rPr>
          <w:rFonts w:ascii="Times New Roman" w:hAnsi="Times New Roman" w:cs="Times New Roman"/>
          <w:sz w:val="24"/>
          <w:szCs w:val="24"/>
          <w:lang w:val="en-GB"/>
        </w:rPr>
        <w:t xml:space="preserve"> pro</w:t>
      </w:r>
      <w:r w:rsidR="00054E3A">
        <w:rPr>
          <w:rFonts w:ascii="Times New Roman" w:hAnsi="Times New Roman" w:cs="Times New Roman"/>
          <w:sz w:val="24"/>
          <w:szCs w:val="24"/>
          <w:lang w:val="en-GB"/>
        </w:rPr>
        <w:t>mises</w:t>
      </w:r>
      <w:r w:rsidRPr="001B490C">
        <w:rPr>
          <w:rFonts w:ascii="Times New Roman" w:hAnsi="Times New Roman" w:cs="Times New Roman"/>
          <w:sz w:val="24"/>
          <w:szCs w:val="24"/>
          <w:lang w:val="en-GB"/>
        </w:rPr>
        <w:t xml:space="preserve">. M&amp;A processes often unfold in ways that </w:t>
      </w:r>
      <w:r w:rsidR="00176732">
        <w:rPr>
          <w:rFonts w:ascii="Times New Roman" w:hAnsi="Times New Roman" w:cs="Times New Roman"/>
          <w:sz w:val="24"/>
          <w:szCs w:val="24"/>
          <w:lang w:val="en-GB"/>
        </w:rPr>
        <w:t xml:space="preserve">prevent </w:t>
      </w:r>
      <w:r w:rsidRPr="001B490C">
        <w:rPr>
          <w:rFonts w:ascii="Times New Roman" w:hAnsi="Times New Roman" w:cs="Times New Roman"/>
          <w:sz w:val="24"/>
          <w:szCs w:val="24"/>
          <w:lang w:val="en-GB"/>
        </w:rPr>
        <w:t xml:space="preserve">the </w:t>
      </w:r>
      <w:r w:rsidRPr="001B490C">
        <w:rPr>
          <w:rFonts w:ascii="Times New Roman" w:hAnsi="Times New Roman" w:cs="Times New Roman"/>
          <w:sz w:val="24"/>
          <w:szCs w:val="24"/>
          <w:lang w:val="en-GB"/>
        </w:rPr>
        <w:lastRenderedPageBreak/>
        <w:t xml:space="preserve">financial press, analysts, and investors </w:t>
      </w:r>
      <w:r w:rsidR="00176732">
        <w:rPr>
          <w:rFonts w:ascii="Times New Roman" w:hAnsi="Times New Roman" w:cs="Times New Roman"/>
          <w:sz w:val="24"/>
          <w:szCs w:val="24"/>
          <w:lang w:val="en-GB"/>
        </w:rPr>
        <w:t>from having</w:t>
      </w:r>
      <w:r w:rsidRPr="001B490C">
        <w:rPr>
          <w:rFonts w:ascii="Times New Roman" w:hAnsi="Times New Roman" w:cs="Times New Roman"/>
          <w:sz w:val="24"/>
          <w:szCs w:val="24"/>
          <w:lang w:val="en-GB"/>
        </w:rPr>
        <w:t xml:space="preserve"> </w:t>
      </w:r>
      <w:r w:rsidR="00176732">
        <w:rPr>
          <w:rFonts w:ascii="Times New Roman" w:hAnsi="Times New Roman" w:cs="Times New Roman"/>
          <w:sz w:val="24"/>
          <w:szCs w:val="24"/>
          <w:lang w:val="en-GB"/>
        </w:rPr>
        <w:t xml:space="preserve">full </w:t>
      </w:r>
      <w:r w:rsidRPr="001B490C">
        <w:rPr>
          <w:rFonts w:ascii="Times New Roman" w:hAnsi="Times New Roman" w:cs="Times New Roman"/>
          <w:sz w:val="24"/>
          <w:szCs w:val="24"/>
          <w:lang w:val="en-GB"/>
        </w:rPr>
        <w:t>access to information surrounding the new deal</w:t>
      </w:r>
      <w:r w:rsidR="00D40779">
        <w:rPr>
          <w:rFonts w:ascii="Times New Roman" w:hAnsi="Times New Roman" w:cs="Times New Roman"/>
          <w:sz w:val="24"/>
          <w:szCs w:val="24"/>
          <w:lang w:val="en-GB"/>
        </w:rPr>
        <w:t xml:space="preserve"> (Angwin et al. 2015)</w:t>
      </w:r>
      <w:r w:rsidRPr="001B490C">
        <w:rPr>
          <w:rFonts w:ascii="Times New Roman" w:hAnsi="Times New Roman" w:cs="Times New Roman"/>
          <w:sz w:val="24"/>
          <w:szCs w:val="24"/>
          <w:lang w:val="en-GB"/>
        </w:rPr>
        <w:t xml:space="preserve">. Due to these information failures, shareholders who are already highly sensitive to organizational changes are likely to be facing evaluative uncertainty regarding the M&amp;A deal (Gomes et al. 2013). We believe </w:t>
      </w:r>
      <w:r w:rsidR="00054E3A">
        <w:rPr>
          <w:rFonts w:ascii="Times New Roman" w:hAnsi="Times New Roman" w:cs="Times New Roman"/>
          <w:sz w:val="24"/>
          <w:szCs w:val="24"/>
        </w:rPr>
        <w:t>voluntary M&amp;A announcements</w:t>
      </w:r>
      <w:r w:rsidR="00054E3A" w:rsidRPr="001B490C">
        <w:rPr>
          <w:rFonts w:ascii="Times New Roman" w:hAnsi="Times New Roman" w:cs="Times New Roman"/>
          <w:sz w:val="24"/>
          <w:szCs w:val="24"/>
          <w:lang w:val="en-GB"/>
        </w:rPr>
        <w:t xml:space="preserve"> </w:t>
      </w:r>
      <w:r w:rsidRPr="001B490C">
        <w:rPr>
          <w:rFonts w:ascii="Times New Roman" w:hAnsi="Times New Roman" w:cs="Times New Roman"/>
          <w:sz w:val="24"/>
          <w:szCs w:val="24"/>
          <w:lang w:val="en-GB"/>
        </w:rPr>
        <w:t xml:space="preserve">may help reduce evaluative uncertainty overall but they are likely to be most effective in situations where there is a high degree of strategic variation from existing strategy or deviation from industry norms. </w:t>
      </w:r>
    </w:p>
    <w:p w14:paraId="0F8E928E" w14:textId="6FC9AC85" w:rsidR="000D35D6" w:rsidRPr="001B490C" w:rsidRDefault="008A6F7A" w:rsidP="000D4874">
      <w:pPr>
        <w:spacing w:line="480" w:lineRule="auto"/>
        <w:ind w:firstLine="709"/>
        <w:jc w:val="both"/>
        <w:rPr>
          <w:rFonts w:ascii="Times New Roman" w:hAnsi="Times New Roman" w:cs="Times New Roman"/>
          <w:sz w:val="24"/>
          <w:szCs w:val="24"/>
          <w:lang w:val="en-GB"/>
        </w:rPr>
      </w:pPr>
      <w:r w:rsidRPr="00253BEB">
        <w:rPr>
          <w:rFonts w:ascii="Times New Roman" w:hAnsi="Times New Roman" w:cs="Times New Roman"/>
          <w:sz w:val="24"/>
          <w:szCs w:val="24"/>
          <w:lang w:val="en-GB"/>
        </w:rPr>
        <w:t xml:space="preserve">We suggest that while M&amp;A </w:t>
      </w:r>
      <w:r w:rsidRPr="00253BEB">
        <w:rPr>
          <w:rFonts w:ascii="Times New Roman" w:hAnsi="Times New Roman" w:cs="Times New Roman"/>
          <w:sz w:val="24"/>
          <w:szCs w:val="24"/>
        </w:rPr>
        <w:t xml:space="preserve">is a context associated with high information asymmetry, </w:t>
      </w:r>
      <w:r w:rsidR="004451E8" w:rsidRPr="001B490C">
        <w:rPr>
          <w:rFonts w:ascii="Times New Roman" w:hAnsi="Times New Roman" w:cs="Times New Roman"/>
          <w:sz w:val="24"/>
          <w:szCs w:val="24"/>
          <w:lang w:val="en-GB"/>
        </w:rPr>
        <w:t xml:space="preserve">both strategic variation and strategic deviation are circumstances that add to the ambiguity of organizations’ future strategic direction. </w:t>
      </w:r>
      <w:r w:rsidR="008A73A1" w:rsidRPr="001B490C">
        <w:rPr>
          <w:rFonts w:ascii="Times New Roman" w:hAnsi="Times New Roman" w:cs="Times New Roman"/>
          <w:sz w:val="24"/>
          <w:szCs w:val="24"/>
          <w:lang w:val="en-GB"/>
        </w:rPr>
        <w:t>O</w:t>
      </w:r>
      <w:r w:rsidR="009E2D1A" w:rsidRPr="001B490C">
        <w:rPr>
          <w:rFonts w:ascii="Times New Roman" w:hAnsi="Times New Roman" w:cs="Times New Roman"/>
          <w:sz w:val="24"/>
          <w:szCs w:val="24"/>
          <w:lang w:val="en-GB"/>
        </w:rPr>
        <w:t xml:space="preserve">rganizational leaders that show high degrees of strategic variation from their existing strategy are more likely to engage in </w:t>
      </w:r>
      <w:r w:rsidR="00942B15">
        <w:rPr>
          <w:rFonts w:ascii="Times New Roman" w:hAnsi="Times New Roman" w:cs="Times New Roman"/>
          <w:sz w:val="24"/>
          <w:szCs w:val="24"/>
        </w:rPr>
        <w:t>voluntary M&amp;A announcements</w:t>
      </w:r>
      <w:r w:rsidR="009E2D1A" w:rsidRPr="001B490C">
        <w:rPr>
          <w:rFonts w:ascii="Times New Roman" w:hAnsi="Times New Roman" w:cs="Times New Roman"/>
          <w:sz w:val="24"/>
          <w:szCs w:val="24"/>
          <w:lang w:val="en-GB"/>
        </w:rPr>
        <w:t xml:space="preserve"> in an attempt to manage shareholders’ evaluative uncertainty. </w:t>
      </w:r>
      <w:r w:rsidR="00B54CB3" w:rsidRPr="001B490C">
        <w:rPr>
          <w:rFonts w:ascii="Times New Roman" w:hAnsi="Times New Roman" w:cs="Times New Roman"/>
          <w:sz w:val="24"/>
          <w:szCs w:val="24"/>
          <w:lang w:val="en-GB"/>
        </w:rPr>
        <w:t>Therefore:</w:t>
      </w:r>
    </w:p>
    <w:p w14:paraId="2CA44619" w14:textId="51F0F96A" w:rsidR="000F1ECF" w:rsidRPr="001B490C" w:rsidRDefault="000D35D6" w:rsidP="00253BEB">
      <w:pPr>
        <w:spacing w:line="240" w:lineRule="auto"/>
        <w:ind w:left="567"/>
        <w:jc w:val="both"/>
        <w:rPr>
          <w:rFonts w:ascii="Times New Roman" w:hAnsi="Times New Roman" w:cs="Times New Roman"/>
          <w:bCs/>
          <w:i/>
          <w:sz w:val="24"/>
          <w:szCs w:val="24"/>
        </w:rPr>
      </w:pPr>
      <w:r w:rsidRPr="001B490C">
        <w:rPr>
          <w:rFonts w:ascii="Times New Roman" w:hAnsi="Times New Roman" w:cs="Times New Roman"/>
          <w:b/>
          <w:i/>
          <w:sz w:val="24"/>
          <w:szCs w:val="24"/>
          <w:lang w:val="en-GB"/>
        </w:rPr>
        <w:t>Hypothesis 1a:</w:t>
      </w:r>
      <w:r w:rsidRPr="001B490C">
        <w:rPr>
          <w:rFonts w:ascii="Times New Roman" w:hAnsi="Times New Roman" w:cs="Times New Roman"/>
          <w:i/>
          <w:sz w:val="24"/>
          <w:szCs w:val="24"/>
          <w:lang w:val="en-GB"/>
        </w:rPr>
        <w:t xml:space="preserve"> </w:t>
      </w:r>
      <w:r w:rsidRPr="001B490C">
        <w:rPr>
          <w:rFonts w:ascii="Times New Roman" w:hAnsi="Times New Roman" w:cs="Times New Roman"/>
          <w:bCs/>
          <w:i/>
          <w:sz w:val="24"/>
          <w:szCs w:val="24"/>
        </w:rPr>
        <w:t xml:space="preserve">The probability of </w:t>
      </w:r>
      <w:r w:rsidRPr="00253BEB">
        <w:rPr>
          <w:rFonts w:ascii="Times New Roman" w:hAnsi="Times New Roman" w:cs="Times New Roman"/>
          <w:bCs/>
          <w:i/>
          <w:sz w:val="24"/>
          <w:szCs w:val="24"/>
        </w:rPr>
        <w:t xml:space="preserve">observing </w:t>
      </w:r>
      <w:r w:rsidR="007A66E4" w:rsidRPr="00253BEB">
        <w:rPr>
          <w:rFonts w:ascii="Times New Roman" w:hAnsi="Times New Roman" w:cs="Times New Roman"/>
          <w:i/>
          <w:sz w:val="24"/>
          <w:szCs w:val="24"/>
        </w:rPr>
        <w:t>voluntary M&amp;A announcements</w:t>
      </w:r>
      <w:r w:rsidRPr="001B490C">
        <w:rPr>
          <w:rFonts w:ascii="Times New Roman" w:hAnsi="Times New Roman" w:cs="Times New Roman"/>
          <w:bCs/>
          <w:i/>
          <w:sz w:val="24"/>
          <w:szCs w:val="24"/>
        </w:rPr>
        <w:t xml:space="preserve"> is higher for organizations that display greater strategic variation compared to organizations that display lower strategic variation.</w:t>
      </w:r>
    </w:p>
    <w:p w14:paraId="4BACF7DA" w14:textId="77777777" w:rsidR="000F1ECF" w:rsidRPr="001B490C" w:rsidRDefault="000F1ECF" w:rsidP="00253BEB">
      <w:pPr>
        <w:spacing w:line="240" w:lineRule="auto"/>
        <w:ind w:left="567"/>
        <w:rPr>
          <w:rFonts w:ascii="Times New Roman" w:hAnsi="Times New Roman" w:cs="Times New Roman"/>
          <w:sz w:val="24"/>
          <w:szCs w:val="24"/>
          <w:lang w:val="en-GB"/>
        </w:rPr>
      </w:pPr>
    </w:p>
    <w:p w14:paraId="45AD4727" w14:textId="60A31F35" w:rsidR="000F1ECF" w:rsidRPr="00253BEB" w:rsidRDefault="000F1ECF" w:rsidP="00FB7347">
      <w:pPr>
        <w:spacing w:line="480" w:lineRule="auto"/>
        <w:ind w:firstLine="709"/>
        <w:contextualSpacing/>
        <w:jc w:val="both"/>
        <w:rPr>
          <w:rFonts w:ascii="Times New Roman" w:hAnsi="Times New Roman" w:cs="Times New Roman"/>
          <w:sz w:val="24"/>
          <w:szCs w:val="24"/>
        </w:rPr>
      </w:pPr>
      <w:r w:rsidRPr="001B490C">
        <w:rPr>
          <w:rFonts w:ascii="Times New Roman" w:hAnsi="Times New Roman" w:cs="Times New Roman"/>
          <w:sz w:val="24"/>
          <w:szCs w:val="24"/>
        </w:rPr>
        <w:t xml:space="preserve">Similarly, </w:t>
      </w:r>
      <w:r w:rsidRPr="001B490C">
        <w:rPr>
          <w:rFonts w:ascii="Times New Roman" w:hAnsi="Times New Roman" w:cs="Times New Roman"/>
          <w:sz w:val="24"/>
          <w:szCs w:val="24"/>
          <w:lang w:val="en-GB"/>
        </w:rPr>
        <w:t xml:space="preserve">strategic deviation from other organizations within the industry is likely to discourage analysts from issuing positive earnings announcements or optimistic purchasing advice. </w:t>
      </w:r>
      <w:r w:rsidRPr="001B490C">
        <w:rPr>
          <w:rFonts w:ascii="Times New Roman" w:hAnsi="Times New Roman" w:cs="Times New Roman"/>
          <w:sz w:val="24"/>
          <w:szCs w:val="24"/>
        </w:rPr>
        <w:t xml:space="preserve">As visible and high-reputation third parties, analysts play a significant part in how outside stakeholders evaluate </w:t>
      </w:r>
      <w:r w:rsidR="00BE6353">
        <w:rPr>
          <w:rFonts w:ascii="Times New Roman" w:hAnsi="Times New Roman" w:cs="Times New Roman"/>
          <w:sz w:val="24"/>
          <w:szCs w:val="24"/>
        </w:rPr>
        <w:t xml:space="preserve">strategic decisions such as </w:t>
      </w:r>
      <w:r w:rsidRPr="001B490C">
        <w:rPr>
          <w:rFonts w:ascii="Times New Roman" w:hAnsi="Times New Roman" w:cs="Times New Roman"/>
          <w:sz w:val="24"/>
          <w:szCs w:val="24"/>
        </w:rPr>
        <w:t>M&amp;A deals by providing these stakeholders with independent assessments</w:t>
      </w:r>
      <w:r w:rsidR="00C25F0B">
        <w:rPr>
          <w:rFonts w:ascii="Times New Roman" w:hAnsi="Times New Roman" w:cs="Times New Roman"/>
          <w:sz w:val="24"/>
          <w:szCs w:val="24"/>
        </w:rPr>
        <w:t xml:space="preserve"> (Fogarty and Rogers, 2005</w:t>
      </w:r>
      <w:r w:rsidR="00990879">
        <w:rPr>
          <w:rFonts w:ascii="Times New Roman" w:hAnsi="Times New Roman" w:cs="Times New Roman"/>
          <w:sz w:val="24"/>
          <w:szCs w:val="24"/>
        </w:rPr>
        <w:t>;</w:t>
      </w:r>
      <w:r w:rsidR="00990879" w:rsidRPr="00990879">
        <w:rPr>
          <w:rFonts w:ascii="Times New Roman" w:hAnsi="Times New Roman" w:cs="Times New Roman"/>
          <w:color w:val="000000"/>
          <w:sz w:val="24"/>
          <w:szCs w:val="24"/>
          <w:shd w:val="clear" w:color="auto" w:fill="FFFFFF"/>
        </w:rPr>
        <w:t xml:space="preserve"> </w:t>
      </w:r>
      <w:r w:rsidR="00990879" w:rsidRPr="00990879">
        <w:rPr>
          <w:rFonts w:ascii="Times New Roman" w:hAnsi="Times New Roman" w:cs="Times New Roman"/>
          <w:sz w:val="24"/>
          <w:szCs w:val="24"/>
        </w:rPr>
        <w:t>Piotroski</w:t>
      </w:r>
      <w:r w:rsidR="00990879">
        <w:rPr>
          <w:rFonts w:ascii="Times New Roman" w:hAnsi="Times New Roman" w:cs="Times New Roman"/>
          <w:sz w:val="24"/>
          <w:szCs w:val="24"/>
        </w:rPr>
        <w:t xml:space="preserve"> and</w:t>
      </w:r>
      <w:r w:rsidR="00990879" w:rsidRPr="00990879">
        <w:rPr>
          <w:rFonts w:ascii="Times New Roman" w:hAnsi="Times New Roman" w:cs="Times New Roman"/>
          <w:sz w:val="24"/>
          <w:szCs w:val="24"/>
        </w:rPr>
        <w:t xml:space="preserve"> Roulstone,</w:t>
      </w:r>
      <w:r w:rsidR="00990879">
        <w:rPr>
          <w:rFonts w:ascii="Times New Roman" w:hAnsi="Times New Roman" w:cs="Times New Roman"/>
          <w:sz w:val="24"/>
          <w:szCs w:val="24"/>
        </w:rPr>
        <w:t xml:space="preserve"> 2004</w:t>
      </w:r>
      <w:r w:rsidR="00C25F0B">
        <w:rPr>
          <w:rFonts w:ascii="Times New Roman" w:hAnsi="Times New Roman" w:cs="Times New Roman"/>
          <w:sz w:val="24"/>
          <w:szCs w:val="24"/>
        </w:rPr>
        <w:t>)</w:t>
      </w:r>
      <w:r w:rsidRPr="001B490C">
        <w:rPr>
          <w:rFonts w:ascii="Times New Roman" w:hAnsi="Times New Roman" w:cs="Times New Roman"/>
          <w:sz w:val="24"/>
          <w:szCs w:val="24"/>
        </w:rPr>
        <w:t xml:space="preserve">. However, they have narrow areas of expertise, mainly focused on </w:t>
      </w:r>
      <w:r w:rsidR="00C25F0B">
        <w:rPr>
          <w:rFonts w:ascii="Times New Roman" w:hAnsi="Times New Roman" w:cs="Times New Roman"/>
          <w:sz w:val="24"/>
          <w:szCs w:val="24"/>
        </w:rPr>
        <w:t xml:space="preserve">a </w:t>
      </w:r>
      <w:r w:rsidRPr="001B490C">
        <w:rPr>
          <w:rFonts w:ascii="Times New Roman" w:hAnsi="Times New Roman" w:cs="Times New Roman"/>
          <w:sz w:val="24"/>
          <w:szCs w:val="24"/>
        </w:rPr>
        <w:t>single or few industries</w:t>
      </w:r>
      <w:r w:rsidR="00C25F0B">
        <w:rPr>
          <w:rFonts w:ascii="Times New Roman" w:hAnsi="Times New Roman" w:cs="Times New Roman"/>
          <w:sz w:val="24"/>
          <w:szCs w:val="24"/>
        </w:rPr>
        <w:t xml:space="preserve"> or countries (</w:t>
      </w:r>
      <w:r w:rsidR="00BE6353">
        <w:rPr>
          <w:rFonts w:ascii="Times New Roman" w:hAnsi="Times New Roman" w:cs="Times New Roman"/>
          <w:sz w:val="24"/>
          <w:szCs w:val="24"/>
        </w:rPr>
        <w:t xml:space="preserve">Kadan et al, 2012; </w:t>
      </w:r>
      <w:r w:rsidR="00C25F0B">
        <w:rPr>
          <w:rFonts w:ascii="Times New Roman" w:hAnsi="Times New Roman" w:cs="Times New Roman"/>
          <w:sz w:val="24"/>
          <w:szCs w:val="24"/>
        </w:rPr>
        <w:t>Sonney, 2009; Fogarty and Rogers, 2005)</w:t>
      </w:r>
      <w:r w:rsidRPr="001B490C">
        <w:rPr>
          <w:rFonts w:ascii="Times New Roman" w:hAnsi="Times New Roman" w:cs="Times New Roman"/>
          <w:sz w:val="24"/>
          <w:szCs w:val="24"/>
        </w:rPr>
        <w:t xml:space="preserve">. This narrow expertise can mean that analysts will have difficulty translating organizational strategies that do not comply </w:t>
      </w:r>
      <w:r w:rsidRPr="001B490C">
        <w:rPr>
          <w:rFonts w:ascii="Times New Roman" w:hAnsi="Times New Roman" w:cs="Times New Roman"/>
          <w:sz w:val="24"/>
          <w:szCs w:val="24"/>
        </w:rPr>
        <w:lastRenderedPageBreak/>
        <w:t>with industry norms</w:t>
      </w:r>
      <w:r w:rsidR="003141F7">
        <w:rPr>
          <w:rFonts w:ascii="Times New Roman" w:hAnsi="Times New Roman" w:cs="Times New Roman"/>
          <w:sz w:val="24"/>
          <w:szCs w:val="24"/>
        </w:rPr>
        <w:t>; their forecasts may not be unbiased (e.g. Trueman, 1994;</w:t>
      </w:r>
      <w:r w:rsidR="00BD45E2">
        <w:rPr>
          <w:rFonts w:ascii="Times New Roman" w:hAnsi="Times New Roman" w:cs="Times New Roman"/>
          <w:sz w:val="24"/>
          <w:szCs w:val="24"/>
        </w:rPr>
        <w:t xml:space="preserve"> Hong et al, 2000)</w:t>
      </w:r>
      <w:r w:rsidR="008A6F7A" w:rsidRPr="00253BEB">
        <w:rPr>
          <w:rFonts w:ascii="Times New Roman" w:hAnsi="Times New Roman" w:cs="Times New Roman"/>
          <w:sz w:val="24"/>
          <w:szCs w:val="24"/>
        </w:rPr>
        <w:t xml:space="preserve"> Therefore, in an attempt to shield themselves from unfavorable forecasts, organizations that have M&amp;A strategies that fall outside of industry norms are more likely to engage in open strategy. In a context associated with information asymmetry, these open strategy practices are in turn likely to result in favorable stock market reactions.</w:t>
      </w:r>
      <w:r w:rsidRPr="001B490C">
        <w:rPr>
          <w:rFonts w:ascii="Times New Roman" w:hAnsi="Times New Roman" w:cs="Times New Roman"/>
          <w:sz w:val="24"/>
          <w:szCs w:val="24"/>
        </w:rPr>
        <w:t xml:space="preserve"> Hence:</w:t>
      </w:r>
    </w:p>
    <w:p w14:paraId="6B5DC636" w14:textId="77777777" w:rsidR="000D35D6" w:rsidRPr="001B490C" w:rsidRDefault="000D35D6" w:rsidP="00253BEB">
      <w:pPr>
        <w:spacing w:line="240" w:lineRule="auto"/>
        <w:rPr>
          <w:rFonts w:ascii="Times New Roman" w:hAnsi="Times New Roman" w:cs="Times New Roman"/>
          <w:sz w:val="24"/>
          <w:szCs w:val="24"/>
          <w:lang w:val="en-GB"/>
        </w:rPr>
      </w:pPr>
    </w:p>
    <w:p w14:paraId="25AA9A20" w14:textId="719C5955" w:rsidR="0029264A" w:rsidRDefault="000F1ECF" w:rsidP="00253BEB">
      <w:pPr>
        <w:spacing w:line="240" w:lineRule="auto"/>
        <w:ind w:left="567"/>
        <w:jc w:val="both"/>
        <w:rPr>
          <w:rFonts w:ascii="Times New Roman" w:hAnsi="Times New Roman" w:cs="Times New Roman"/>
          <w:bCs/>
          <w:i/>
          <w:sz w:val="24"/>
          <w:szCs w:val="24"/>
        </w:rPr>
      </w:pPr>
      <w:r w:rsidRPr="001B490C">
        <w:rPr>
          <w:rFonts w:ascii="Times New Roman" w:hAnsi="Times New Roman" w:cs="Times New Roman"/>
          <w:b/>
          <w:bCs/>
          <w:i/>
          <w:sz w:val="24"/>
          <w:szCs w:val="24"/>
        </w:rPr>
        <w:t>Hypothesis 1b:</w:t>
      </w:r>
      <w:r w:rsidRPr="001B490C">
        <w:rPr>
          <w:rFonts w:ascii="Times New Roman" w:hAnsi="Times New Roman" w:cs="Times New Roman"/>
          <w:bCs/>
          <w:i/>
          <w:sz w:val="24"/>
          <w:szCs w:val="24"/>
        </w:rPr>
        <w:t xml:space="preserve"> </w:t>
      </w:r>
      <w:r w:rsidR="007A66E4" w:rsidRPr="001B490C">
        <w:rPr>
          <w:rFonts w:ascii="Times New Roman" w:hAnsi="Times New Roman" w:cs="Times New Roman"/>
          <w:bCs/>
          <w:i/>
          <w:sz w:val="24"/>
          <w:szCs w:val="24"/>
        </w:rPr>
        <w:t xml:space="preserve">The probability of </w:t>
      </w:r>
      <w:r w:rsidR="007A66E4" w:rsidRPr="00FA0972">
        <w:rPr>
          <w:rFonts w:ascii="Times New Roman" w:hAnsi="Times New Roman" w:cs="Times New Roman"/>
          <w:bCs/>
          <w:i/>
          <w:sz w:val="24"/>
          <w:szCs w:val="24"/>
        </w:rPr>
        <w:t xml:space="preserve">observing </w:t>
      </w:r>
      <w:r w:rsidR="007A66E4" w:rsidRPr="00FA0972">
        <w:rPr>
          <w:rFonts w:ascii="Times New Roman" w:hAnsi="Times New Roman" w:cs="Times New Roman"/>
          <w:i/>
          <w:sz w:val="24"/>
          <w:szCs w:val="24"/>
        </w:rPr>
        <w:t>voluntary M&amp;A announcements</w:t>
      </w:r>
      <w:r w:rsidR="007A66E4" w:rsidRPr="001B490C">
        <w:rPr>
          <w:rFonts w:ascii="Times New Roman" w:hAnsi="Times New Roman" w:cs="Times New Roman"/>
          <w:bCs/>
          <w:i/>
          <w:sz w:val="24"/>
          <w:szCs w:val="24"/>
        </w:rPr>
        <w:t xml:space="preserve"> is</w:t>
      </w:r>
      <w:r w:rsidRPr="001B490C">
        <w:rPr>
          <w:rFonts w:ascii="Times New Roman" w:hAnsi="Times New Roman" w:cs="Times New Roman"/>
          <w:bCs/>
          <w:i/>
          <w:sz w:val="24"/>
          <w:szCs w:val="24"/>
        </w:rPr>
        <w:t xml:space="preserve"> higher for organizations that display greater strategic deviation compared to organizations that dis</w:t>
      </w:r>
      <w:r w:rsidR="007A66E4">
        <w:rPr>
          <w:rFonts w:ascii="Times New Roman" w:hAnsi="Times New Roman" w:cs="Times New Roman"/>
          <w:bCs/>
          <w:i/>
          <w:sz w:val="24"/>
          <w:szCs w:val="24"/>
        </w:rPr>
        <w:t>play lower strategic deviation.</w:t>
      </w:r>
    </w:p>
    <w:p w14:paraId="620E6076" w14:textId="77777777" w:rsidR="007A66E4" w:rsidRPr="00253BEB" w:rsidRDefault="007A66E4" w:rsidP="00253BEB">
      <w:pPr>
        <w:spacing w:line="240" w:lineRule="auto"/>
        <w:ind w:left="567"/>
        <w:jc w:val="both"/>
        <w:rPr>
          <w:rFonts w:ascii="Times New Roman" w:hAnsi="Times New Roman" w:cs="Times New Roman"/>
          <w:bCs/>
          <w:i/>
          <w:sz w:val="24"/>
          <w:szCs w:val="24"/>
        </w:rPr>
      </w:pPr>
    </w:p>
    <w:p w14:paraId="3988B263" w14:textId="774298BB" w:rsidR="00B54CB3" w:rsidRPr="00253BEB" w:rsidRDefault="00B54CB3" w:rsidP="00B54CB3">
      <w:pPr>
        <w:spacing w:line="480" w:lineRule="auto"/>
        <w:ind w:firstLine="720"/>
        <w:jc w:val="both"/>
        <w:rPr>
          <w:rFonts w:ascii="Times New Roman" w:hAnsi="Times New Roman" w:cs="Times New Roman"/>
          <w:sz w:val="24"/>
          <w:szCs w:val="24"/>
        </w:rPr>
      </w:pPr>
      <w:r w:rsidRPr="00253BEB">
        <w:rPr>
          <w:rFonts w:ascii="Times New Roman" w:hAnsi="Times New Roman" w:cs="Times New Roman"/>
          <w:sz w:val="24"/>
          <w:szCs w:val="24"/>
        </w:rPr>
        <w:t xml:space="preserve">M&amp;A announcements can both increase and reduce information asymmetry: Initial announcements of M&amp;A are events that introduce information asymmetry to markets. However, voluntary disclosures following the initial announcements reduce information asymmetry. While in the case of the announcement of M&amp;A there are share price penalties especially for highly diversified firms, there may also be unfavorable outcomes associated with voluntary </w:t>
      </w:r>
      <w:r w:rsidR="003E68CB">
        <w:rPr>
          <w:rFonts w:ascii="Times New Roman" w:hAnsi="Times New Roman" w:cs="Times New Roman"/>
          <w:sz w:val="24"/>
          <w:szCs w:val="24"/>
        </w:rPr>
        <w:t>M&amp;A announcements</w:t>
      </w:r>
      <w:r w:rsidRPr="00253BEB">
        <w:rPr>
          <w:rFonts w:ascii="Times New Roman" w:hAnsi="Times New Roman" w:cs="Times New Roman"/>
          <w:sz w:val="24"/>
          <w:szCs w:val="24"/>
        </w:rPr>
        <w:t xml:space="preserve">. These may occur for organizations experiencing a shift from their ongoing strategies or strategies that deviate from those within the industry. In order to mitigate this effect, organizations need to convey credibility to their investors and analysts regarding their M&amp;A plans, as failure to do so may result in negative share price reactions. </w:t>
      </w:r>
    </w:p>
    <w:p w14:paraId="4C304054" w14:textId="749BC665" w:rsidR="00B54CB3" w:rsidRPr="001B490C" w:rsidRDefault="00B54CB3" w:rsidP="00B54CB3">
      <w:pPr>
        <w:spacing w:line="480" w:lineRule="auto"/>
        <w:ind w:firstLine="720"/>
        <w:jc w:val="both"/>
        <w:rPr>
          <w:rFonts w:ascii="Times New Roman" w:hAnsi="Times New Roman" w:cs="Times New Roman"/>
          <w:sz w:val="24"/>
          <w:szCs w:val="24"/>
        </w:rPr>
      </w:pPr>
      <w:r w:rsidRPr="00253BEB">
        <w:rPr>
          <w:rFonts w:ascii="Times New Roman" w:hAnsi="Times New Roman" w:cs="Times New Roman"/>
          <w:sz w:val="24"/>
          <w:szCs w:val="24"/>
        </w:rPr>
        <w:t xml:space="preserve">Attempts at reducing information asymmetry may therefore be associated with negative investor reactions unless those organizations display competence and credibility towards their shareholders. Evaluating an organization’s strategy in the early stages of M&amp;A is difficult not only because it involves attributing future organizational activities to possible performance outcomes (Haleblian and </w:t>
      </w:r>
      <w:r w:rsidRPr="00253BEB">
        <w:rPr>
          <w:rFonts w:ascii="Times New Roman" w:hAnsi="Times New Roman" w:cs="Times New Roman"/>
          <w:sz w:val="24"/>
          <w:szCs w:val="24"/>
        </w:rPr>
        <w:lastRenderedPageBreak/>
        <w:t>Rajagopalan, 2006), but also because strategy involves qualitative judgments, which by their nature, are highly uncertain (i.e. they are characterized with having a lack of complete information and future unpredictability). According to Wade et al. (2006), when qualitative judgments need to be made under conditions of uncertainty, certification by credible and legitimate third parties is likely to become an influential decision criterion. Financial analysts are likely to act as third-party certification providers for outside stakeholders that serve to reduce the evaluative uncertainty associated with M&amp;A. In the absence of ‘standards or yardstick against which (an organization) is judged’ (Graffin and Ward, 2010), analysts are likely to take into account the voluntary disclosures of organizations as sources of information. Analysts’ recommendations, further, are likely</w:t>
      </w:r>
      <w:r w:rsidR="00F87A11">
        <w:rPr>
          <w:rFonts w:ascii="Times New Roman" w:hAnsi="Times New Roman" w:cs="Times New Roman"/>
          <w:sz w:val="24"/>
          <w:szCs w:val="24"/>
        </w:rPr>
        <w:t xml:space="preserve"> to</w:t>
      </w:r>
      <w:r w:rsidRPr="00253BEB">
        <w:rPr>
          <w:rFonts w:ascii="Times New Roman" w:hAnsi="Times New Roman" w:cs="Times New Roman"/>
          <w:sz w:val="24"/>
          <w:szCs w:val="24"/>
        </w:rPr>
        <w:t xml:space="preserve"> reduce the uncertainty that outside constituents face in evaluating deals. Outside investors are likely to pay attention to analysts’ forecasts during M&amp;A due to the important role these actors play as independent and credible information intermediaries (Wiersema and Zhang, 201</w:t>
      </w:r>
      <w:r w:rsidR="004F29E2">
        <w:rPr>
          <w:rFonts w:ascii="Times New Roman" w:hAnsi="Times New Roman" w:cs="Times New Roman"/>
          <w:sz w:val="24"/>
          <w:szCs w:val="24"/>
        </w:rPr>
        <w:t>3)</w:t>
      </w:r>
      <w:r w:rsidRPr="00253BEB">
        <w:rPr>
          <w:rFonts w:ascii="Times New Roman" w:hAnsi="Times New Roman" w:cs="Times New Roman"/>
          <w:sz w:val="24"/>
          <w:szCs w:val="24"/>
        </w:rPr>
        <w:t>. Thus</w:t>
      </w:r>
      <w:r w:rsidRPr="001B490C">
        <w:rPr>
          <w:rFonts w:ascii="Times New Roman" w:hAnsi="Times New Roman" w:cs="Times New Roman"/>
          <w:sz w:val="24"/>
          <w:szCs w:val="24"/>
        </w:rPr>
        <w:t>:</w:t>
      </w:r>
    </w:p>
    <w:p w14:paraId="5B06883F" w14:textId="3E4C6C8F" w:rsidR="000F1ECF" w:rsidRPr="001B490C" w:rsidRDefault="000D35D6" w:rsidP="00253BEB">
      <w:pPr>
        <w:spacing w:line="240" w:lineRule="auto"/>
        <w:ind w:left="567"/>
        <w:rPr>
          <w:rFonts w:ascii="Times New Roman" w:hAnsi="Times New Roman" w:cs="Times New Roman"/>
          <w:bCs/>
          <w:i/>
          <w:sz w:val="24"/>
          <w:szCs w:val="24"/>
        </w:rPr>
      </w:pPr>
      <w:r w:rsidRPr="001B490C">
        <w:rPr>
          <w:rFonts w:ascii="Times New Roman" w:hAnsi="Times New Roman" w:cs="Times New Roman"/>
          <w:b/>
          <w:i/>
          <w:sz w:val="24"/>
          <w:szCs w:val="24"/>
          <w:lang w:val="en-GB"/>
        </w:rPr>
        <w:t>Hypo</w:t>
      </w:r>
      <w:r w:rsidR="000F1ECF" w:rsidRPr="001B490C">
        <w:rPr>
          <w:rFonts w:ascii="Times New Roman" w:hAnsi="Times New Roman" w:cs="Times New Roman"/>
          <w:b/>
          <w:i/>
          <w:sz w:val="24"/>
          <w:szCs w:val="24"/>
          <w:lang w:val="en-GB"/>
        </w:rPr>
        <w:t>thesis 2a</w:t>
      </w:r>
      <w:r w:rsidRPr="001B490C">
        <w:rPr>
          <w:rFonts w:ascii="Times New Roman" w:hAnsi="Times New Roman" w:cs="Times New Roman"/>
          <w:b/>
          <w:i/>
          <w:sz w:val="24"/>
          <w:szCs w:val="24"/>
          <w:lang w:val="en-GB"/>
        </w:rPr>
        <w:t>:</w:t>
      </w:r>
      <w:r w:rsidRPr="001B490C">
        <w:rPr>
          <w:rFonts w:ascii="Times New Roman" w:hAnsi="Times New Roman" w:cs="Times New Roman"/>
          <w:i/>
          <w:sz w:val="24"/>
          <w:szCs w:val="24"/>
          <w:lang w:val="en-GB"/>
        </w:rPr>
        <w:t xml:space="preserve"> </w:t>
      </w:r>
      <w:r w:rsidR="00BD0D94">
        <w:rPr>
          <w:rFonts w:ascii="Times New Roman" w:hAnsi="Times New Roman" w:cs="Times New Roman"/>
          <w:bCs/>
          <w:i/>
          <w:sz w:val="24"/>
          <w:szCs w:val="24"/>
        </w:rPr>
        <w:t>Voluntary M&amp;A announcements</w:t>
      </w:r>
      <w:r w:rsidR="00CE418D" w:rsidRPr="001B490C">
        <w:rPr>
          <w:rFonts w:ascii="Times New Roman" w:hAnsi="Times New Roman" w:cs="Times New Roman"/>
          <w:bCs/>
          <w:i/>
          <w:sz w:val="24"/>
          <w:szCs w:val="24"/>
        </w:rPr>
        <w:t xml:space="preserve"> will be associated with above-average cumulative abnormal returns</w:t>
      </w:r>
      <w:r w:rsidRPr="001B490C">
        <w:rPr>
          <w:rFonts w:ascii="Times New Roman" w:hAnsi="Times New Roman" w:cs="Times New Roman"/>
          <w:bCs/>
          <w:i/>
          <w:sz w:val="24"/>
          <w:szCs w:val="24"/>
        </w:rPr>
        <w:t xml:space="preserve"> for organizations that display greater strategic variation compared to organizations that display lower strategic variation.</w:t>
      </w:r>
    </w:p>
    <w:p w14:paraId="049831CE" w14:textId="2C67DA9B" w:rsidR="000F1ECF" w:rsidRPr="001B490C" w:rsidRDefault="000F1ECF" w:rsidP="000F1ECF">
      <w:pPr>
        <w:spacing w:line="240" w:lineRule="auto"/>
        <w:ind w:left="567"/>
        <w:rPr>
          <w:rFonts w:ascii="Times New Roman" w:hAnsi="Times New Roman" w:cs="Times New Roman"/>
          <w:b/>
          <w:bCs/>
          <w:sz w:val="24"/>
          <w:szCs w:val="24"/>
        </w:rPr>
      </w:pPr>
      <w:r w:rsidRPr="001B490C">
        <w:rPr>
          <w:rFonts w:ascii="Times New Roman" w:hAnsi="Times New Roman" w:cs="Times New Roman"/>
          <w:b/>
          <w:i/>
          <w:sz w:val="24"/>
          <w:szCs w:val="24"/>
          <w:lang w:val="en-GB"/>
        </w:rPr>
        <w:t>Hypothesis 2b:</w:t>
      </w:r>
      <w:r w:rsidRPr="001B490C">
        <w:rPr>
          <w:rFonts w:ascii="Times New Roman" w:hAnsi="Times New Roman" w:cs="Times New Roman"/>
          <w:i/>
          <w:sz w:val="24"/>
          <w:szCs w:val="24"/>
          <w:lang w:val="en-GB"/>
        </w:rPr>
        <w:t xml:space="preserve"> </w:t>
      </w:r>
      <w:r w:rsidR="00BD0D94">
        <w:rPr>
          <w:rFonts w:ascii="Times New Roman" w:hAnsi="Times New Roman" w:cs="Times New Roman"/>
          <w:bCs/>
          <w:i/>
          <w:sz w:val="24"/>
          <w:szCs w:val="24"/>
        </w:rPr>
        <w:t>Voluntary M&amp;A announcements</w:t>
      </w:r>
      <w:r w:rsidR="00BD0D94" w:rsidRPr="001B490C">
        <w:rPr>
          <w:rFonts w:ascii="Times New Roman" w:hAnsi="Times New Roman" w:cs="Times New Roman"/>
          <w:bCs/>
          <w:i/>
          <w:sz w:val="24"/>
          <w:szCs w:val="24"/>
        </w:rPr>
        <w:t xml:space="preserve"> </w:t>
      </w:r>
      <w:r w:rsidRPr="001B490C">
        <w:rPr>
          <w:rFonts w:ascii="Times New Roman" w:hAnsi="Times New Roman" w:cs="Times New Roman"/>
          <w:bCs/>
          <w:i/>
          <w:sz w:val="24"/>
          <w:szCs w:val="24"/>
        </w:rPr>
        <w:t>will be associated with above-average cumulative abnormal returns for organizations that display greater strategic deviation compared to organizations that display lower strategic variation.</w:t>
      </w:r>
    </w:p>
    <w:p w14:paraId="1D1D59BC" w14:textId="77777777" w:rsidR="001B490C" w:rsidRDefault="001B490C" w:rsidP="006958FD">
      <w:pPr>
        <w:spacing w:line="480" w:lineRule="auto"/>
        <w:jc w:val="both"/>
        <w:rPr>
          <w:rFonts w:ascii="Times New Roman" w:hAnsi="Times New Roman" w:cs="Times New Roman"/>
          <w:b/>
          <w:bCs/>
          <w:sz w:val="24"/>
          <w:szCs w:val="24"/>
        </w:rPr>
      </w:pPr>
    </w:p>
    <w:p w14:paraId="4D134165" w14:textId="6D040B79" w:rsidR="006958FD" w:rsidRPr="005474C5" w:rsidRDefault="004C24F0" w:rsidP="006958F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Methods</w:t>
      </w:r>
    </w:p>
    <w:p w14:paraId="76C09A6D" w14:textId="77777777" w:rsidR="006958FD" w:rsidRPr="004C24F0" w:rsidRDefault="006958FD" w:rsidP="006958FD">
      <w:pPr>
        <w:spacing w:line="240" w:lineRule="auto"/>
        <w:contextualSpacing/>
        <w:rPr>
          <w:rFonts w:ascii="Times New Roman" w:hAnsi="Times New Roman" w:cs="Times New Roman"/>
          <w:bCs/>
          <w:i/>
          <w:sz w:val="24"/>
          <w:szCs w:val="24"/>
        </w:rPr>
      </w:pPr>
      <w:r w:rsidRPr="004C24F0">
        <w:rPr>
          <w:rFonts w:ascii="Times New Roman" w:hAnsi="Times New Roman" w:cs="Times New Roman"/>
          <w:bCs/>
          <w:i/>
          <w:sz w:val="24"/>
          <w:szCs w:val="24"/>
        </w:rPr>
        <w:t xml:space="preserve">Data </w:t>
      </w:r>
    </w:p>
    <w:p w14:paraId="55F14686" w14:textId="77777777" w:rsidR="006958FD" w:rsidRPr="005474C5" w:rsidRDefault="006958FD" w:rsidP="006958FD">
      <w:pPr>
        <w:spacing w:line="240" w:lineRule="auto"/>
        <w:contextualSpacing/>
        <w:rPr>
          <w:rFonts w:ascii="Times New Roman" w:hAnsi="Times New Roman" w:cs="Times New Roman"/>
          <w:b/>
          <w:bCs/>
          <w:sz w:val="24"/>
          <w:szCs w:val="24"/>
        </w:rPr>
      </w:pPr>
    </w:p>
    <w:p w14:paraId="242B777F" w14:textId="6D3C0C73" w:rsidR="006958FD" w:rsidRPr="006572D6" w:rsidRDefault="006958FD" w:rsidP="00253BEB">
      <w:pPr>
        <w:widowControl w:val="0"/>
        <w:autoSpaceDE w:val="0"/>
        <w:autoSpaceDN w:val="0"/>
        <w:adjustRightInd w:val="0"/>
        <w:spacing w:after="240" w:line="480" w:lineRule="auto"/>
        <w:ind w:firstLine="720"/>
        <w:jc w:val="both"/>
        <w:rPr>
          <w:rFonts w:ascii="Times New Roman" w:eastAsiaTheme="minorEastAsia" w:hAnsi="Times New Roman" w:cs="Times New Roman"/>
          <w:sz w:val="24"/>
          <w:szCs w:val="24"/>
        </w:rPr>
      </w:pPr>
      <w:r w:rsidRPr="005474C5">
        <w:rPr>
          <w:rFonts w:ascii="Times New Roman" w:hAnsi="Times New Roman" w:cs="Times New Roman"/>
          <w:sz w:val="24"/>
          <w:szCs w:val="24"/>
        </w:rPr>
        <w:t>Our dataset c</w:t>
      </w:r>
      <w:r w:rsidR="00613C0E">
        <w:rPr>
          <w:rFonts w:ascii="Times New Roman" w:hAnsi="Times New Roman" w:cs="Times New Roman"/>
          <w:sz w:val="24"/>
          <w:szCs w:val="24"/>
        </w:rPr>
        <w:t>omprises of M&amp;A</w:t>
      </w:r>
      <w:r>
        <w:rPr>
          <w:rFonts w:ascii="Times New Roman" w:hAnsi="Times New Roman" w:cs="Times New Roman"/>
          <w:sz w:val="24"/>
          <w:szCs w:val="24"/>
        </w:rPr>
        <w:t xml:space="preserve"> deals involving U.S. </w:t>
      </w:r>
      <w:r w:rsidRPr="005474C5">
        <w:rPr>
          <w:rFonts w:ascii="Times New Roman" w:hAnsi="Times New Roman" w:cs="Times New Roman"/>
          <w:sz w:val="24"/>
          <w:szCs w:val="24"/>
        </w:rPr>
        <w:t xml:space="preserve">target and </w:t>
      </w:r>
      <w:r>
        <w:rPr>
          <w:rFonts w:ascii="Times New Roman" w:hAnsi="Times New Roman" w:cs="Times New Roman"/>
          <w:sz w:val="24"/>
          <w:szCs w:val="24"/>
        </w:rPr>
        <w:t xml:space="preserve">U.S. bidder </w:t>
      </w:r>
      <w:r w:rsidRPr="005474C5">
        <w:rPr>
          <w:rFonts w:ascii="Times New Roman" w:hAnsi="Times New Roman" w:cs="Times New Roman"/>
          <w:sz w:val="24"/>
          <w:szCs w:val="24"/>
        </w:rPr>
        <w:lastRenderedPageBreak/>
        <w:t>organizati</w:t>
      </w:r>
      <w:r>
        <w:rPr>
          <w:rFonts w:ascii="Times New Roman" w:hAnsi="Times New Roman" w:cs="Times New Roman"/>
          <w:sz w:val="24"/>
          <w:szCs w:val="24"/>
        </w:rPr>
        <w:t>ons within the period 01/01/2005</w:t>
      </w:r>
      <w:r w:rsidRPr="005474C5">
        <w:rPr>
          <w:rFonts w:ascii="Times New Roman" w:hAnsi="Times New Roman" w:cs="Times New Roman"/>
          <w:sz w:val="24"/>
          <w:szCs w:val="24"/>
        </w:rPr>
        <w:t xml:space="preserve">-31/12/2010. </w:t>
      </w:r>
      <w:r>
        <w:rPr>
          <w:rFonts w:ascii="Times New Roman" w:hAnsi="Times New Roman" w:cs="Times New Roman"/>
          <w:sz w:val="24"/>
          <w:szCs w:val="24"/>
        </w:rPr>
        <w:t xml:space="preserve">Because we are interested in the voluntary communications that take place after the announcement of </w:t>
      </w:r>
      <w:r w:rsidR="00613C0E">
        <w:rPr>
          <w:rFonts w:ascii="Times New Roman" w:hAnsi="Times New Roman" w:cs="Times New Roman"/>
          <w:sz w:val="24"/>
          <w:szCs w:val="24"/>
        </w:rPr>
        <w:t>M&amp;A</w:t>
      </w:r>
      <w:r>
        <w:rPr>
          <w:rFonts w:ascii="Times New Roman" w:hAnsi="Times New Roman" w:cs="Times New Roman"/>
          <w:sz w:val="24"/>
          <w:szCs w:val="24"/>
        </w:rPr>
        <w:t xml:space="preserve"> and before the closing of the deal, we eliminated all deals in which the announcement and </w:t>
      </w:r>
      <w:r w:rsidRPr="00DC6724">
        <w:rPr>
          <w:rFonts w:ascii="Times New Roman" w:hAnsi="Times New Roman" w:cs="Times New Roman"/>
          <w:sz w:val="24"/>
          <w:szCs w:val="24"/>
        </w:rPr>
        <w:t xml:space="preserve">the closing of the deal were simultaneous (there were 276 in total). </w:t>
      </w:r>
      <w:r w:rsidR="00885EB4">
        <w:rPr>
          <w:rFonts w:ascii="Times New Roman" w:hAnsi="Times New Roman" w:cs="Times New Roman"/>
          <w:sz w:val="24"/>
          <w:szCs w:val="24"/>
        </w:rPr>
        <w:t>We</w:t>
      </w:r>
      <w:r w:rsidRPr="00DC6724">
        <w:rPr>
          <w:rFonts w:ascii="Times New Roman" w:hAnsi="Times New Roman" w:cs="Times New Roman"/>
          <w:sz w:val="24"/>
          <w:szCs w:val="24"/>
        </w:rPr>
        <w:t xml:space="preserve"> included deals that met the following criteria: (1) a deal value of $50 million or above; (2) the deals were completed by t</w:t>
      </w:r>
      <w:r w:rsidR="004F48A0">
        <w:rPr>
          <w:rFonts w:ascii="Times New Roman" w:hAnsi="Times New Roman" w:cs="Times New Roman"/>
          <w:sz w:val="24"/>
          <w:szCs w:val="24"/>
        </w:rPr>
        <w:t>he end of our sample (31/12/2010</w:t>
      </w:r>
      <w:r w:rsidRPr="00DC6724">
        <w:rPr>
          <w:rFonts w:ascii="Times New Roman" w:hAnsi="Times New Roman" w:cs="Times New Roman"/>
          <w:sz w:val="24"/>
          <w:szCs w:val="24"/>
        </w:rPr>
        <w:t xml:space="preserve">); (3) </w:t>
      </w:r>
      <w:r w:rsidRPr="00DC6724">
        <w:rPr>
          <w:rFonts w:ascii="Times New Roman" w:eastAsiaTheme="minorEastAsia" w:hAnsi="Times New Roman" w:cs="Times New Roman"/>
          <w:sz w:val="24"/>
          <w:szCs w:val="24"/>
        </w:rPr>
        <w:t xml:space="preserve">the transaction is for a majority of shares of the target firm (above 50%); (4) we exclude </w:t>
      </w:r>
      <w:r w:rsidR="00885EB4">
        <w:rPr>
          <w:rFonts w:ascii="Times New Roman" w:eastAsiaTheme="minorEastAsia" w:hAnsi="Times New Roman" w:cs="Times New Roman"/>
          <w:sz w:val="24"/>
          <w:szCs w:val="24"/>
        </w:rPr>
        <w:t xml:space="preserve">hostile takeovers, </w:t>
      </w:r>
      <w:r w:rsidRPr="00DC6724">
        <w:rPr>
          <w:rFonts w:ascii="Times New Roman" w:eastAsiaTheme="minorEastAsia" w:hAnsi="Times New Roman" w:cs="Times New Roman"/>
          <w:sz w:val="24"/>
          <w:szCs w:val="24"/>
        </w:rPr>
        <w:t>leverage buyouts, spin-offs, recapitalizations, self-tender offers, exchange offers, repurchases, minority stake purchases, and privatizations; (5) we</w:t>
      </w:r>
      <w:r w:rsidR="00227E78">
        <w:rPr>
          <w:rFonts w:ascii="Times New Roman" w:eastAsiaTheme="minorEastAsia" w:hAnsi="Times New Roman" w:cs="Times New Roman"/>
          <w:sz w:val="24"/>
          <w:szCs w:val="24"/>
        </w:rPr>
        <w:t xml:space="preserve"> exclude</w:t>
      </w:r>
      <w:r w:rsidRPr="00DC6724">
        <w:rPr>
          <w:rFonts w:ascii="Times New Roman" w:eastAsiaTheme="minorEastAsia" w:hAnsi="Times New Roman" w:cs="Times New Roman"/>
          <w:sz w:val="24"/>
          <w:szCs w:val="24"/>
        </w:rPr>
        <w:t xml:space="preserve"> financial organizations (SIC codes outside of 6000-6799); </w:t>
      </w:r>
      <w:r w:rsidR="005778BA">
        <w:rPr>
          <w:rFonts w:ascii="Times New Roman" w:eastAsiaTheme="minorEastAsia" w:hAnsi="Times New Roman" w:cs="Times New Roman"/>
          <w:sz w:val="24"/>
          <w:szCs w:val="24"/>
        </w:rPr>
        <w:t xml:space="preserve">(6) </w:t>
      </w:r>
      <w:r w:rsidR="005778BA" w:rsidRPr="00DC6724">
        <w:rPr>
          <w:rFonts w:ascii="Times New Roman" w:eastAsiaTheme="minorEastAsia" w:hAnsi="Times New Roman" w:cs="Times New Roman"/>
          <w:sz w:val="24"/>
          <w:szCs w:val="24"/>
        </w:rPr>
        <w:t xml:space="preserve">both target and bidder organizations trade in </w:t>
      </w:r>
      <w:r w:rsidR="005778BA" w:rsidRPr="00DC6724">
        <w:rPr>
          <w:rFonts w:ascii="Times New Roman" w:hAnsi="Times New Roman" w:cs="Times New Roman"/>
          <w:sz w:val="24"/>
          <w:szCs w:val="24"/>
        </w:rPr>
        <w:t>NYSE or NASDAQ</w:t>
      </w:r>
      <w:r w:rsidR="005778BA">
        <w:rPr>
          <w:rFonts w:ascii="Times New Roman" w:hAnsi="Times New Roman" w:cs="Times New Roman"/>
          <w:sz w:val="24"/>
          <w:szCs w:val="24"/>
        </w:rPr>
        <w:t>;</w:t>
      </w:r>
      <w:r w:rsidR="005778BA" w:rsidRPr="00DC6724">
        <w:rPr>
          <w:rFonts w:ascii="Times New Roman" w:eastAsiaTheme="minorEastAsia" w:hAnsi="Times New Roman" w:cs="Times New Roman"/>
          <w:sz w:val="24"/>
          <w:szCs w:val="24"/>
        </w:rPr>
        <w:t xml:space="preserve"> </w:t>
      </w:r>
      <w:r w:rsidR="005778BA">
        <w:rPr>
          <w:rFonts w:ascii="Times New Roman" w:eastAsiaTheme="minorEastAsia" w:hAnsi="Times New Roman" w:cs="Times New Roman"/>
          <w:sz w:val="24"/>
          <w:szCs w:val="24"/>
        </w:rPr>
        <w:t>(7</w:t>
      </w:r>
      <w:r w:rsidRPr="00DC6724">
        <w:rPr>
          <w:rFonts w:ascii="Times New Roman" w:eastAsiaTheme="minorEastAsia" w:hAnsi="Times New Roman" w:cs="Times New Roman"/>
          <w:sz w:val="24"/>
          <w:szCs w:val="24"/>
        </w:rPr>
        <w:t>)</w:t>
      </w:r>
      <w:r w:rsidR="005778BA">
        <w:rPr>
          <w:rFonts w:ascii="Times New Roman" w:eastAsiaTheme="minorEastAsia" w:hAnsi="Times New Roman" w:cs="Times New Roman"/>
          <w:sz w:val="24"/>
          <w:szCs w:val="24"/>
        </w:rPr>
        <w:t xml:space="preserve"> </w:t>
      </w:r>
      <w:r w:rsidR="00415E17">
        <w:rPr>
          <w:rFonts w:ascii="Times New Roman" w:eastAsiaTheme="minorEastAsia" w:hAnsi="Times New Roman" w:cs="Times New Roman"/>
          <w:sz w:val="24"/>
          <w:szCs w:val="24"/>
        </w:rPr>
        <w:t xml:space="preserve">to asses a relationship between likelihood of disclosure and strategic variation and deviation, we follow </w:t>
      </w:r>
      <w:r w:rsidR="00415E17" w:rsidRPr="00EA4C3B">
        <w:rPr>
          <w:rFonts w:asciiTheme="majorBidi" w:hAnsiTheme="majorBidi" w:cstheme="majorBidi"/>
          <w:bCs/>
          <w:sz w:val="24"/>
          <w:szCs w:val="24"/>
          <w:lang w:val="en-GB"/>
        </w:rPr>
        <w:t xml:space="preserve">McWilliams and Siegel (1997) to make sure our data is free of confounding </w:t>
      </w:r>
      <w:r w:rsidR="00415E17">
        <w:rPr>
          <w:rFonts w:asciiTheme="majorBidi" w:hAnsiTheme="majorBidi" w:cstheme="majorBidi"/>
          <w:bCs/>
          <w:sz w:val="24"/>
          <w:szCs w:val="24"/>
          <w:lang w:val="en-GB"/>
        </w:rPr>
        <w:t>events</w:t>
      </w:r>
      <w:r w:rsidR="00415E17" w:rsidRPr="00EA4C3B">
        <w:rPr>
          <w:rFonts w:asciiTheme="majorBidi" w:hAnsiTheme="majorBidi" w:cstheme="majorBidi"/>
          <w:bCs/>
          <w:sz w:val="24"/>
          <w:szCs w:val="24"/>
          <w:lang w:val="en-GB"/>
        </w:rPr>
        <w:t xml:space="preserve"> such as declarations of dividends, unexpected earnings or losses, major contract awards, new product announcements, and significant liability suits during a 21-day window (from day -10 to day +10) around </w:t>
      </w:r>
      <w:r w:rsidR="0085192B" w:rsidRPr="00253BEB">
        <w:rPr>
          <w:rFonts w:ascii="Times New Roman" w:hAnsi="Times New Roman" w:cs="Times New Roman"/>
          <w:bCs/>
          <w:sz w:val="24"/>
          <w:szCs w:val="24"/>
        </w:rPr>
        <w:t>voluntary M&amp;A announcements</w:t>
      </w:r>
      <w:r w:rsidR="00415E17" w:rsidRPr="00253BEB">
        <w:rPr>
          <w:rFonts w:asciiTheme="majorBidi" w:hAnsiTheme="majorBidi" w:cstheme="majorBidi"/>
          <w:bCs/>
          <w:sz w:val="24"/>
          <w:szCs w:val="24"/>
          <w:lang w:val="en-GB"/>
        </w:rPr>
        <w:t>.</w:t>
      </w:r>
      <w:r w:rsidR="00415E17" w:rsidRPr="00EA4C3B">
        <w:rPr>
          <w:rFonts w:asciiTheme="majorBidi" w:hAnsiTheme="majorBidi" w:cstheme="majorBidi"/>
          <w:bCs/>
          <w:sz w:val="24"/>
          <w:szCs w:val="24"/>
          <w:lang w:val="en-GB"/>
        </w:rPr>
        <w:t xml:space="preserve"> Our source for these events was </w:t>
      </w:r>
      <w:r w:rsidR="00415E17">
        <w:rPr>
          <w:rFonts w:asciiTheme="majorBidi" w:hAnsiTheme="majorBidi" w:cstheme="majorBidi"/>
          <w:color w:val="000000"/>
          <w:sz w:val="24"/>
          <w:szCs w:val="24"/>
          <w:lang w:val="en-GB" w:eastAsia="en-GB"/>
        </w:rPr>
        <w:t>StreetEvents</w:t>
      </w:r>
      <w:r w:rsidRPr="00DC6724">
        <w:rPr>
          <w:rFonts w:ascii="Times New Roman" w:hAnsi="Times New Roman" w:cs="Times New Roman"/>
          <w:sz w:val="24"/>
          <w:szCs w:val="24"/>
        </w:rPr>
        <w:t xml:space="preserve">. We collected </w:t>
      </w:r>
      <w:r w:rsidR="00431FAF">
        <w:rPr>
          <w:rFonts w:ascii="Times New Roman" w:hAnsi="Times New Roman" w:cs="Times New Roman"/>
          <w:sz w:val="24"/>
          <w:szCs w:val="24"/>
        </w:rPr>
        <w:t xml:space="preserve">deal-related </w:t>
      </w:r>
      <w:r w:rsidRPr="00DC6724">
        <w:rPr>
          <w:rFonts w:ascii="Times New Roman" w:hAnsi="Times New Roman" w:cs="Times New Roman"/>
          <w:sz w:val="24"/>
          <w:szCs w:val="24"/>
        </w:rPr>
        <w:t xml:space="preserve">data using MergerMarket regarding all relevant target and bidder data along with all related external </w:t>
      </w:r>
      <w:r w:rsidRPr="006572D6">
        <w:rPr>
          <w:rFonts w:ascii="Times New Roman" w:hAnsi="Times New Roman" w:cs="Times New Roman"/>
          <w:sz w:val="24"/>
          <w:szCs w:val="24"/>
        </w:rPr>
        <w:t xml:space="preserve">communications associated with the deal. In total, there were </w:t>
      </w:r>
      <w:r w:rsidR="00885EB4">
        <w:rPr>
          <w:rFonts w:ascii="Times New Roman" w:hAnsi="Times New Roman" w:cs="Times New Roman"/>
          <w:sz w:val="24"/>
          <w:szCs w:val="24"/>
        </w:rPr>
        <w:t>472</w:t>
      </w:r>
      <w:r w:rsidR="00885EB4" w:rsidRPr="006572D6">
        <w:rPr>
          <w:rFonts w:ascii="Times New Roman" w:hAnsi="Times New Roman" w:cs="Times New Roman"/>
          <w:sz w:val="24"/>
          <w:szCs w:val="24"/>
        </w:rPr>
        <w:t xml:space="preserve"> </w:t>
      </w:r>
      <w:r w:rsidRPr="006572D6">
        <w:rPr>
          <w:rFonts w:ascii="Times New Roman" w:hAnsi="Times New Roman" w:cs="Times New Roman"/>
          <w:sz w:val="24"/>
          <w:szCs w:val="24"/>
        </w:rPr>
        <w:t xml:space="preserve">deals and </w:t>
      </w:r>
      <w:r w:rsidR="00885EB4">
        <w:rPr>
          <w:rFonts w:ascii="Times New Roman" w:hAnsi="Times New Roman" w:cs="Times New Roman"/>
          <w:sz w:val="24"/>
          <w:szCs w:val="24"/>
        </w:rPr>
        <w:t>886</w:t>
      </w:r>
      <w:r w:rsidR="00885EB4" w:rsidRPr="006572D6">
        <w:rPr>
          <w:rFonts w:ascii="Times New Roman" w:hAnsi="Times New Roman" w:cs="Times New Roman"/>
          <w:sz w:val="24"/>
          <w:szCs w:val="24"/>
        </w:rPr>
        <w:t xml:space="preserve"> </w:t>
      </w:r>
      <w:r w:rsidRPr="006572D6">
        <w:rPr>
          <w:rFonts w:ascii="Times New Roman" w:hAnsi="Times New Roman" w:cs="Times New Roman"/>
          <w:sz w:val="24"/>
          <w:szCs w:val="24"/>
        </w:rPr>
        <w:t xml:space="preserve">external communications. </w:t>
      </w:r>
    </w:p>
    <w:p w14:paraId="3293FD6F" w14:textId="2316ED53" w:rsidR="006958FD" w:rsidRPr="006F40DA" w:rsidRDefault="000D0F59" w:rsidP="006958FD">
      <w:pPr>
        <w:spacing w:line="240" w:lineRule="auto"/>
        <w:contextualSpacing/>
        <w:rPr>
          <w:rFonts w:ascii="Times New Roman" w:hAnsi="Times New Roman" w:cs="Times New Roman"/>
          <w:bCs/>
          <w:i/>
          <w:sz w:val="24"/>
          <w:szCs w:val="24"/>
        </w:rPr>
      </w:pPr>
      <w:r w:rsidRPr="006F40DA">
        <w:rPr>
          <w:rFonts w:ascii="Times New Roman" w:hAnsi="Times New Roman" w:cs="Times New Roman"/>
          <w:bCs/>
          <w:i/>
          <w:sz w:val="24"/>
          <w:szCs w:val="24"/>
        </w:rPr>
        <w:t>Dependent variable</w:t>
      </w:r>
      <w:r w:rsidR="00B07EF4">
        <w:rPr>
          <w:rFonts w:ascii="Times New Roman" w:hAnsi="Times New Roman" w:cs="Times New Roman"/>
          <w:bCs/>
          <w:i/>
          <w:sz w:val="24"/>
          <w:szCs w:val="24"/>
        </w:rPr>
        <w:t>s</w:t>
      </w:r>
    </w:p>
    <w:p w14:paraId="726E4AF0" w14:textId="77777777" w:rsidR="006958FD" w:rsidRPr="006572D6" w:rsidRDefault="006958FD" w:rsidP="006958FD">
      <w:pPr>
        <w:spacing w:line="240" w:lineRule="auto"/>
        <w:contextualSpacing/>
        <w:rPr>
          <w:rFonts w:ascii="Times New Roman" w:hAnsi="Times New Roman" w:cs="Times New Roman"/>
          <w:b/>
          <w:bCs/>
          <w:sz w:val="24"/>
          <w:szCs w:val="24"/>
        </w:rPr>
      </w:pPr>
    </w:p>
    <w:p w14:paraId="6488034D" w14:textId="1133F48E" w:rsidR="00014CE3" w:rsidRPr="00253BEB" w:rsidRDefault="008318CD" w:rsidP="00253BEB">
      <w:pPr>
        <w:tabs>
          <w:tab w:val="left" w:pos="709"/>
          <w:tab w:val="left" w:pos="5529"/>
        </w:tabs>
        <w:spacing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6958FD" w:rsidRPr="00436697">
        <w:rPr>
          <w:rFonts w:ascii="Times New Roman" w:hAnsi="Times New Roman" w:cs="Times New Roman"/>
          <w:bCs/>
          <w:sz w:val="24"/>
          <w:szCs w:val="24"/>
        </w:rPr>
        <w:t xml:space="preserve">We carry out </w:t>
      </w:r>
      <w:r w:rsidR="00566320" w:rsidRPr="00436697">
        <w:rPr>
          <w:rFonts w:ascii="Times New Roman" w:hAnsi="Times New Roman" w:cs="Times New Roman"/>
          <w:bCs/>
          <w:sz w:val="24"/>
          <w:szCs w:val="24"/>
        </w:rPr>
        <w:t xml:space="preserve">two regressions to investigate the drivers and consequences of open strategy. The first one is a </w:t>
      </w:r>
      <w:r w:rsidR="006958FD" w:rsidRPr="00436697">
        <w:rPr>
          <w:rFonts w:ascii="Times New Roman" w:hAnsi="Times New Roman" w:cs="Times New Roman"/>
          <w:bCs/>
          <w:sz w:val="24"/>
          <w:szCs w:val="24"/>
        </w:rPr>
        <w:t xml:space="preserve">logistic regression analysis where the dependent variable is the probability of observing a given organization carry out a </w:t>
      </w:r>
      <w:r w:rsidR="00965426">
        <w:rPr>
          <w:rFonts w:ascii="Times New Roman" w:hAnsi="Times New Roman" w:cs="Times New Roman"/>
          <w:sz w:val="24"/>
          <w:szCs w:val="24"/>
        </w:rPr>
        <w:t>voluntary M&amp;A announcements</w:t>
      </w:r>
      <w:r w:rsidR="000D0F59" w:rsidRPr="00436697">
        <w:rPr>
          <w:rFonts w:ascii="Times New Roman" w:hAnsi="Times New Roman" w:cs="Times New Roman"/>
          <w:bCs/>
          <w:sz w:val="24"/>
          <w:szCs w:val="24"/>
        </w:rPr>
        <w:t xml:space="preserve">. We carried out </w:t>
      </w:r>
      <w:r w:rsidR="006958FD" w:rsidRPr="00436697">
        <w:rPr>
          <w:rFonts w:ascii="Times New Roman" w:hAnsi="Times New Roman" w:cs="Times New Roman"/>
          <w:bCs/>
          <w:sz w:val="24"/>
          <w:szCs w:val="24"/>
        </w:rPr>
        <w:t xml:space="preserve">binary coding for </w:t>
      </w:r>
      <w:r w:rsidR="00965426">
        <w:rPr>
          <w:rFonts w:ascii="Times New Roman" w:hAnsi="Times New Roman" w:cs="Times New Roman"/>
          <w:sz w:val="24"/>
          <w:szCs w:val="24"/>
        </w:rPr>
        <w:t xml:space="preserve">voluntary M&amp;A </w:t>
      </w:r>
      <w:r w:rsidR="00965426">
        <w:rPr>
          <w:rFonts w:ascii="Times New Roman" w:hAnsi="Times New Roman" w:cs="Times New Roman"/>
          <w:sz w:val="24"/>
          <w:szCs w:val="24"/>
        </w:rPr>
        <w:lastRenderedPageBreak/>
        <w:t>announcements</w:t>
      </w:r>
      <w:r w:rsidR="000D0F59" w:rsidRPr="00436697">
        <w:rPr>
          <w:rFonts w:ascii="Times New Roman" w:hAnsi="Times New Roman" w:cs="Times New Roman"/>
          <w:bCs/>
          <w:sz w:val="24"/>
          <w:szCs w:val="24"/>
        </w:rPr>
        <w:t>, coding ‘1’ for deals in which either of the parties (separately or jointly) carried out a voluntary disclosure regarding the deal</w:t>
      </w:r>
      <w:r w:rsidR="006958FD" w:rsidRPr="00436697">
        <w:rPr>
          <w:rFonts w:ascii="Times New Roman" w:hAnsi="Times New Roman" w:cs="Times New Roman"/>
          <w:bCs/>
          <w:sz w:val="24"/>
          <w:szCs w:val="24"/>
        </w:rPr>
        <w:t xml:space="preserve">. </w:t>
      </w:r>
      <w:r w:rsidR="00721B33" w:rsidRPr="00253BEB">
        <w:rPr>
          <w:rFonts w:ascii="Times New Roman" w:hAnsi="Times New Roman" w:cs="Times New Roman"/>
          <w:bCs/>
          <w:sz w:val="24"/>
          <w:szCs w:val="24"/>
        </w:rPr>
        <w:t>In this regression, o</w:t>
      </w:r>
      <w:r w:rsidR="00E00458" w:rsidRPr="00436697">
        <w:rPr>
          <w:rFonts w:ascii="Times New Roman" w:hAnsi="Times New Roman" w:cs="Times New Roman"/>
          <w:bCs/>
          <w:sz w:val="24"/>
          <w:szCs w:val="24"/>
        </w:rPr>
        <w:t xml:space="preserve">ur </w:t>
      </w:r>
      <w:r w:rsidR="00721B33" w:rsidRPr="00253BEB">
        <w:rPr>
          <w:rFonts w:ascii="Times New Roman" w:hAnsi="Times New Roman" w:cs="Times New Roman"/>
          <w:bCs/>
          <w:sz w:val="24"/>
          <w:szCs w:val="24"/>
        </w:rPr>
        <w:t>unit of analysis is</w:t>
      </w:r>
      <w:r w:rsidR="00721B33" w:rsidRPr="00436697">
        <w:rPr>
          <w:rFonts w:ascii="Times New Roman" w:hAnsi="Times New Roman" w:cs="Times New Roman"/>
          <w:bCs/>
          <w:sz w:val="24"/>
          <w:szCs w:val="24"/>
        </w:rPr>
        <w:t xml:space="preserve"> </w:t>
      </w:r>
      <w:r w:rsidR="00E00458" w:rsidRPr="00436697">
        <w:rPr>
          <w:rFonts w:ascii="Times New Roman" w:hAnsi="Times New Roman" w:cs="Times New Roman"/>
          <w:bCs/>
          <w:sz w:val="24"/>
          <w:szCs w:val="24"/>
        </w:rPr>
        <w:t xml:space="preserve">‘the deal’ rather than a given organization. </w:t>
      </w:r>
    </w:p>
    <w:p w14:paraId="6F4E8D76" w14:textId="0C8B79C7" w:rsidR="00B00C7D" w:rsidRPr="00436697" w:rsidRDefault="00B675B7" w:rsidP="00253BEB">
      <w:pPr>
        <w:tabs>
          <w:tab w:val="left" w:pos="709"/>
          <w:tab w:val="left" w:pos="5529"/>
        </w:tabs>
        <w:spacing w:line="480" w:lineRule="auto"/>
        <w:contextualSpacing/>
        <w:jc w:val="both"/>
        <w:rPr>
          <w:rFonts w:ascii="Times New Roman" w:hAnsi="Times New Roman" w:cs="Times New Roman"/>
          <w:sz w:val="24"/>
          <w:szCs w:val="24"/>
          <w:lang w:val="en-GB"/>
        </w:rPr>
      </w:pPr>
      <w:r w:rsidRPr="00253BEB">
        <w:rPr>
          <w:rFonts w:ascii="Times New Roman" w:hAnsi="Times New Roman" w:cs="Times New Roman"/>
          <w:bCs/>
          <w:sz w:val="24"/>
          <w:szCs w:val="24"/>
        </w:rPr>
        <w:tab/>
      </w:r>
      <w:r w:rsidR="00566320" w:rsidRPr="00436697">
        <w:rPr>
          <w:rFonts w:ascii="Times New Roman" w:hAnsi="Times New Roman" w:cs="Times New Roman"/>
          <w:bCs/>
          <w:sz w:val="24"/>
          <w:szCs w:val="24"/>
        </w:rPr>
        <w:t xml:space="preserve">The second regression’s dependent variable is the cumulative abnormal returns </w:t>
      </w:r>
      <w:r w:rsidR="008318CD">
        <w:rPr>
          <w:rFonts w:ascii="Times New Roman" w:hAnsi="Times New Roman" w:cs="Times New Roman"/>
          <w:bCs/>
          <w:sz w:val="24"/>
          <w:szCs w:val="24"/>
        </w:rPr>
        <w:t xml:space="preserve">(CAR) </w:t>
      </w:r>
      <w:r w:rsidR="00566320" w:rsidRPr="00436697">
        <w:rPr>
          <w:rFonts w:ascii="Times New Roman" w:hAnsi="Times New Roman" w:cs="Times New Roman"/>
          <w:bCs/>
          <w:sz w:val="24"/>
          <w:szCs w:val="24"/>
        </w:rPr>
        <w:t xml:space="preserve">(-1,+1) associated with </w:t>
      </w:r>
      <w:r w:rsidR="008318CD" w:rsidRPr="00FA0972">
        <w:rPr>
          <w:rFonts w:ascii="Times New Roman" w:hAnsi="Times New Roman" w:cs="Times New Roman"/>
          <w:bCs/>
          <w:sz w:val="24"/>
          <w:szCs w:val="24"/>
        </w:rPr>
        <w:t>voluntary M&amp;A announcements</w:t>
      </w:r>
      <w:r w:rsidR="00566320" w:rsidRPr="00436697">
        <w:rPr>
          <w:rFonts w:ascii="Times New Roman" w:hAnsi="Times New Roman" w:cs="Times New Roman"/>
          <w:bCs/>
          <w:sz w:val="24"/>
          <w:szCs w:val="24"/>
        </w:rPr>
        <w:t xml:space="preserve">. </w:t>
      </w:r>
      <w:r w:rsidR="00721B33" w:rsidRPr="00436697">
        <w:rPr>
          <w:rFonts w:ascii="Times New Roman" w:hAnsi="Times New Roman" w:cs="Times New Roman"/>
          <w:bCs/>
          <w:sz w:val="24"/>
          <w:szCs w:val="24"/>
        </w:rPr>
        <w:t xml:space="preserve">This dependent variable is designed to measure share price reactions associated with the voluntary disclosures and therefore our unit of analysis is the voluntary disclosure. </w:t>
      </w:r>
      <w:r w:rsidR="00B00C7D" w:rsidRPr="00436697">
        <w:rPr>
          <w:rFonts w:ascii="Times New Roman" w:hAnsi="Times New Roman" w:cs="Times New Roman"/>
          <w:sz w:val="24"/>
          <w:szCs w:val="24"/>
          <w:lang w:val="en-GB"/>
        </w:rPr>
        <w:t xml:space="preserve">The objective of our study is to analyse stock price responses to </w:t>
      </w:r>
      <w:r w:rsidR="00445D25">
        <w:rPr>
          <w:rFonts w:ascii="Times New Roman" w:hAnsi="Times New Roman" w:cs="Times New Roman"/>
          <w:sz w:val="24"/>
          <w:szCs w:val="24"/>
          <w:lang w:val="en-GB"/>
        </w:rPr>
        <w:t>practices of open strategy</w:t>
      </w:r>
      <w:r w:rsidR="00B00C7D" w:rsidRPr="00436697">
        <w:rPr>
          <w:rFonts w:ascii="Times New Roman" w:hAnsi="Times New Roman" w:cs="Times New Roman"/>
          <w:sz w:val="24"/>
          <w:szCs w:val="24"/>
          <w:lang w:val="en-GB"/>
        </w:rPr>
        <w:t xml:space="preserve"> through employing event study methodology (Brown and Warner, 1985; McWilliams and Siegel, 1997). In this study, we treat stock price responses as measures of </w:t>
      </w:r>
      <w:r w:rsidR="008318CD" w:rsidRPr="00FA0972">
        <w:rPr>
          <w:rFonts w:ascii="Times New Roman" w:hAnsi="Times New Roman" w:cs="Times New Roman"/>
          <w:bCs/>
          <w:sz w:val="24"/>
          <w:szCs w:val="24"/>
        </w:rPr>
        <w:t>voluntary M&amp;A announcements</w:t>
      </w:r>
      <w:r w:rsidR="008318CD">
        <w:rPr>
          <w:rFonts w:asciiTheme="majorBidi" w:hAnsiTheme="majorBidi" w:cstheme="majorBidi"/>
          <w:bCs/>
          <w:sz w:val="24"/>
          <w:szCs w:val="24"/>
          <w:lang w:val="en-GB"/>
        </w:rPr>
        <w:t xml:space="preserve"> </w:t>
      </w:r>
      <w:r w:rsidR="00B00C7D" w:rsidRPr="00436697">
        <w:rPr>
          <w:rFonts w:ascii="Times New Roman" w:hAnsi="Times New Roman" w:cs="Times New Roman"/>
          <w:sz w:val="24"/>
          <w:szCs w:val="24"/>
          <w:lang w:val="en-GB"/>
        </w:rPr>
        <w:t xml:space="preserve">impress investors in the short-term; given the long-term and complex nature of </w:t>
      </w:r>
      <w:r w:rsidR="00445D25">
        <w:rPr>
          <w:rFonts w:ascii="Times New Roman" w:hAnsi="Times New Roman" w:cs="Times New Roman"/>
          <w:sz w:val="24"/>
          <w:szCs w:val="24"/>
          <w:lang w:val="en-GB"/>
        </w:rPr>
        <w:t>M&amp;A</w:t>
      </w:r>
      <w:r w:rsidR="00B00C7D" w:rsidRPr="00436697">
        <w:rPr>
          <w:rFonts w:ascii="Times New Roman" w:hAnsi="Times New Roman" w:cs="Times New Roman"/>
          <w:sz w:val="24"/>
          <w:szCs w:val="24"/>
          <w:lang w:val="en-GB"/>
        </w:rPr>
        <w:t>, we do not interpret stock price responses as necessarily effective measures of eventual economic returns (Oler</w:t>
      </w:r>
      <w:r w:rsidR="0096452B">
        <w:rPr>
          <w:rFonts w:ascii="Times New Roman" w:hAnsi="Times New Roman" w:cs="Times New Roman"/>
          <w:sz w:val="24"/>
          <w:szCs w:val="24"/>
          <w:lang w:val="en-GB"/>
        </w:rPr>
        <w:t xml:space="preserve"> et al.</w:t>
      </w:r>
      <w:r w:rsidR="00B00C7D" w:rsidRPr="00436697">
        <w:rPr>
          <w:rFonts w:ascii="Times New Roman" w:hAnsi="Times New Roman" w:cs="Times New Roman"/>
          <w:sz w:val="24"/>
          <w:szCs w:val="24"/>
          <w:lang w:val="en-GB"/>
        </w:rPr>
        <w:t xml:space="preserve">, 2008). </w:t>
      </w:r>
    </w:p>
    <w:p w14:paraId="5A7C21D2" w14:textId="3A3C97AD" w:rsidR="0041207C" w:rsidRDefault="00B00C7D">
      <w:pPr>
        <w:spacing w:line="480" w:lineRule="auto"/>
        <w:ind w:firstLine="567"/>
        <w:contextualSpacing/>
        <w:jc w:val="both"/>
        <w:rPr>
          <w:rFonts w:ascii="Times New Roman" w:hAnsi="Times New Roman" w:cs="Times New Roman"/>
          <w:sz w:val="24"/>
          <w:szCs w:val="24"/>
          <w:lang w:val="en-GB"/>
        </w:rPr>
      </w:pPr>
      <w:r w:rsidRPr="00436697">
        <w:rPr>
          <w:rFonts w:ascii="Times New Roman" w:hAnsi="Times New Roman" w:cs="Times New Roman"/>
          <w:sz w:val="24"/>
          <w:szCs w:val="24"/>
          <w:lang w:val="en-GB"/>
        </w:rPr>
        <w:t xml:space="preserve">Thus we treat </w:t>
      </w:r>
      <w:r w:rsidR="008318CD" w:rsidRPr="00FA0972">
        <w:rPr>
          <w:rFonts w:ascii="Times New Roman" w:hAnsi="Times New Roman" w:cs="Times New Roman"/>
          <w:bCs/>
          <w:sz w:val="24"/>
          <w:szCs w:val="24"/>
        </w:rPr>
        <w:t>voluntary M&amp;A announcements</w:t>
      </w:r>
      <w:r w:rsidR="008318CD">
        <w:rPr>
          <w:rFonts w:asciiTheme="majorBidi" w:hAnsiTheme="majorBidi" w:cstheme="majorBidi"/>
          <w:bCs/>
          <w:sz w:val="24"/>
          <w:szCs w:val="24"/>
          <w:lang w:val="en-GB"/>
        </w:rPr>
        <w:t xml:space="preserve"> </w:t>
      </w:r>
      <w:r w:rsidR="008318CD">
        <w:rPr>
          <w:rFonts w:ascii="Times New Roman" w:hAnsi="Times New Roman" w:cs="Times New Roman"/>
          <w:sz w:val="24"/>
          <w:szCs w:val="24"/>
          <w:lang w:val="en-GB"/>
        </w:rPr>
        <w:t>as events liable to generate abnormal returns</w:t>
      </w:r>
      <w:r w:rsidRPr="00436697">
        <w:rPr>
          <w:rFonts w:ascii="Times New Roman" w:hAnsi="Times New Roman" w:cs="Times New Roman"/>
          <w:sz w:val="24"/>
          <w:szCs w:val="24"/>
          <w:lang w:val="en-GB"/>
        </w:rPr>
        <w:t xml:space="preserve"> in the financial market (McWilliams and Siegel, 1997). We calculate CAR using a market model for each firm with an estimation window and calculate the deviation using expected returns and actual returns for every firm</w:t>
      </w:r>
      <w:r w:rsidRPr="00436697">
        <w:rPr>
          <w:rFonts w:ascii="Times New Roman" w:hAnsi="Times New Roman"/>
          <w:sz w:val="24"/>
          <w:szCs w:val="24"/>
          <w:lang w:val="en-GB"/>
        </w:rPr>
        <w:t xml:space="preserve"> (source: Datastream)</w:t>
      </w:r>
      <w:r w:rsidRPr="00436697">
        <w:rPr>
          <w:rFonts w:ascii="Times New Roman" w:hAnsi="Times New Roman" w:cs="Times New Roman"/>
          <w:sz w:val="24"/>
          <w:szCs w:val="24"/>
          <w:lang w:val="en-GB"/>
        </w:rPr>
        <w:t>. We use a NYSE and NASDAQ equally weighted index that indicates price trend movements based on a broad cross-section of the market. To estimate the market model, we use the 260 trading day prior to the event window as the estimation window (MacKinlay, 1997). The length of the period in our study is consistent with prior studies in the management literature (McWilliams and Siegel, 1997)</w:t>
      </w:r>
      <w:r w:rsidRPr="00436697">
        <w:rPr>
          <w:rFonts w:ascii="Times New Roman" w:hAnsi="Times New Roman" w:cs="Times New Roman"/>
          <w:b/>
          <w:bCs/>
          <w:sz w:val="24"/>
          <w:szCs w:val="24"/>
          <w:lang w:val="en-GB"/>
        </w:rPr>
        <w:t xml:space="preserve">. </w:t>
      </w:r>
      <w:r w:rsidRPr="00436697">
        <w:rPr>
          <w:rFonts w:ascii="Times New Roman" w:hAnsi="Times New Roman" w:cs="Times New Roman"/>
          <w:sz w:val="24"/>
          <w:szCs w:val="24"/>
          <w:lang w:val="en-GB"/>
        </w:rPr>
        <w:t xml:space="preserve">To calculate CAR, our main analysis uses a short event window of 3 days (t= -1 to +1), measuring immediate investor impressions. Long windows may include confounding effects that lead to false inferences about the significance of an event </w:t>
      </w:r>
      <w:r w:rsidRPr="00436697">
        <w:rPr>
          <w:rFonts w:ascii="Times New Roman" w:hAnsi="Times New Roman" w:cs="Times New Roman"/>
          <w:sz w:val="24"/>
          <w:szCs w:val="24"/>
          <w:lang w:val="en-GB"/>
        </w:rPr>
        <w:lastRenderedPageBreak/>
        <w:t>(McWilliams and Siegel, 1997). The -1 day allows for leakage of information prior to the presentation itself (</w:t>
      </w:r>
      <w:r w:rsidRPr="00436697">
        <w:rPr>
          <w:rFonts w:ascii="Times New Roman" w:hAnsi="Times New Roman" w:cs="Times New Roman"/>
          <w:sz w:val="24"/>
          <w:szCs w:val="24"/>
          <w:lang w:bidi="he-IL"/>
        </w:rPr>
        <w:t>Schijven and Hitt, 2012).</w:t>
      </w:r>
      <w:r w:rsidRPr="00436697">
        <w:rPr>
          <w:rFonts w:ascii="Times New Roman" w:hAnsi="Times New Roman" w:cs="Times New Roman"/>
          <w:sz w:val="24"/>
          <w:szCs w:val="24"/>
          <w:lang w:val="en-GB"/>
        </w:rPr>
        <w:t xml:space="preserve"> For our model estimation, we used a static linear panel data model where </w:t>
      </w:r>
      <w:r w:rsidRPr="00436697">
        <w:rPr>
          <w:rFonts w:ascii="Times New Roman" w:hAnsi="Times New Roman" w:cs="Times New Roman"/>
          <w:i/>
          <w:iCs/>
          <w:sz w:val="24"/>
          <w:szCs w:val="24"/>
          <w:lang w:val="en-GB"/>
        </w:rPr>
        <w:t xml:space="preserve">CARit </w:t>
      </w:r>
      <w:r w:rsidRPr="00436697">
        <w:rPr>
          <w:rFonts w:ascii="Times New Roman" w:hAnsi="Times New Roman" w:cs="Times New Roman"/>
          <w:sz w:val="24"/>
          <w:szCs w:val="24"/>
          <w:lang w:val="en-GB"/>
        </w:rPr>
        <w:t xml:space="preserve">is the cumulative abnormal return for firm </w:t>
      </w:r>
      <w:r w:rsidRPr="00436697">
        <w:rPr>
          <w:rFonts w:ascii="Times New Roman" w:hAnsi="Times New Roman" w:cs="Times New Roman"/>
          <w:i/>
          <w:iCs/>
          <w:sz w:val="24"/>
          <w:szCs w:val="24"/>
          <w:lang w:val="en-GB"/>
        </w:rPr>
        <w:t xml:space="preserve">i </w:t>
      </w:r>
      <w:r w:rsidRPr="00436697">
        <w:rPr>
          <w:rFonts w:ascii="Times New Roman" w:hAnsi="Times New Roman" w:cs="Times New Roman"/>
          <w:sz w:val="24"/>
          <w:szCs w:val="24"/>
          <w:lang w:val="en-GB"/>
        </w:rPr>
        <w:t xml:space="preserve">for event </w:t>
      </w:r>
      <w:r w:rsidRPr="00436697">
        <w:rPr>
          <w:rFonts w:ascii="Times New Roman" w:hAnsi="Times New Roman" w:cs="Times New Roman"/>
          <w:i/>
          <w:iCs/>
          <w:sz w:val="24"/>
          <w:szCs w:val="24"/>
          <w:lang w:val="en-GB"/>
        </w:rPr>
        <w:t>t</w:t>
      </w:r>
      <w:r w:rsidRPr="00436697">
        <w:rPr>
          <w:rFonts w:ascii="Times New Roman" w:hAnsi="Times New Roman" w:cs="Times New Roman"/>
          <w:sz w:val="24"/>
          <w:szCs w:val="24"/>
          <w:lang w:val="en-GB"/>
        </w:rPr>
        <w:t>.</w:t>
      </w:r>
      <w:r w:rsidRPr="00316F5D">
        <w:rPr>
          <w:rFonts w:ascii="Times New Roman" w:hAnsi="Times New Roman" w:cs="Times New Roman"/>
          <w:sz w:val="24"/>
          <w:szCs w:val="24"/>
          <w:lang w:val="en-GB"/>
        </w:rPr>
        <w:t xml:space="preserve"> </w:t>
      </w:r>
    </w:p>
    <w:p w14:paraId="4A255667" w14:textId="486A3667" w:rsidR="000D0F59" w:rsidRDefault="000D0F59" w:rsidP="00253BEB">
      <w:pPr>
        <w:spacing w:line="480" w:lineRule="auto"/>
        <w:ind w:firstLine="720"/>
        <w:contextualSpacing/>
        <w:jc w:val="both"/>
        <w:rPr>
          <w:rFonts w:ascii="Times New Roman" w:hAnsi="Times New Roman" w:cs="Times New Roman"/>
          <w:bCs/>
          <w:sz w:val="24"/>
          <w:szCs w:val="24"/>
        </w:rPr>
      </w:pPr>
    </w:p>
    <w:p w14:paraId="6EA951AF" w14:textId="764B9797" w:rsidR="000D0F59" w:rsidRPr="006F40DA" w:rsidRDefault="000D0F59" w:rsidP="006958FD">
      <w:pPr>
        <w:spacing w:line="480" w:lineRule="auto"/>
        <w:contextualSpacing/>
        <w:jc w:val="both"/>
        <w:rPr>
          <w:rFonts w:ascii="Times New Roman" w:hAnsi="Times New Roman" w:cs="Times New Roman"/>
          <w:bCs/>
          <w:i/>
          <w:sz w:val="24"/>
          <w:szCs w:val="24"/>
        </w:rPr>
      </w:pPr>
      <w:r w:rsidRPr="006F40DA">
        <w:rPr>
          <w:rFonts w:ascii="Times New Roman" w:hAnsi="Times New Roman" w:cs="Times New Roman"/>
          <w:bCs/>
          <w:i/>
          <w:sz w:val="24"/>
          <w:szCs w:val="24"/>
        </w:rPr>
        <w:t>Independent variables</w:t>
      </w:r>
    </w:p>
    <w:p w14:paraId="6F85C9FA" w14:textId="252AAB0C" w:rsidR="000219B2" w:rsidRDefault="000C7D57" w:rsidP="00253BEB">
      <w:pPr>
        <w:spacing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We calculate </w:t>
      </w:r>
      <w:r w:rsidR="000B5133" w:rsidRPr="009C6556">
        <w:rPr>
          <w:rFonts w:ascii="Times New Roman" w:hAnsi="Times New Roman" w:cs="Times New Roman"/>
          <w:bCs/>
          <w:color w:val="000000" w:themeColor="text1"/>
          <w:sz w:val="24"/>
          <w:szCs w:val="24"/>
        </w:rPr>
        <w:t>strategic variation</w:t>
      </w:r>
      <w:r w:rsidRPr="009C6556">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as </w:t>
      </w:r>
      <w:r w:rsidRPr="006572D6">
        <w:rPr>
          <w:rFonts w:ascii="Times New Roman" w:hAnsi="Times New Roman" w:cs="Times New Roman"/>
          <w:bCs/>
          <w:sz w:val="24"/>
          <w:szCs w:val="24"/>
        </w:rPr>
        <w:t>a measure of a departure from prior firm strategies</w:t>
      </w:r>
      <w:r>
        <w:rPr>
          <w:rFonts w:ascii="Times New Roman" w:hAnsi="Times New Roman" w:cs="Times New Roman"/>
          <w:bCs/>
          <w:sz w:val="24"/>
          <w:szCs w:val="24"/>
        </w:rPr>
        <w:t xml:space="preserve"> as a result of a specific M&amp;A deal</w:t>
      </w:r>
      <w:r w:rsidRPr="006572D6">
        <w:rPr>
          <w:rFonts w:ascii="Times New Roman" w:hAnsi="Times New Roman" w:cs="Times New Roman"/>
          <w:bCs/>
          <w:sz w:val="24"/>
          <w:szCs w:val="24"/>
        </w:rPr>
        <w:t xml:space="preserve"> and strategic deviation is a divergence from industry norms</w:t>
      </w:r>
      <w:r>
        <w:rPr>
          <w:rFonts w:ascii="Times New Roman" w:hAnsi="Times New Roman" w:cs="Times New Roman"/>
          <w:bCs/>
          <w:sz w:val="24"/>
          <w:szCs w:val="24"/>
        </w:rPr>
        <w:t xml:space="preserve"> stemming from a specific M&amp;A deal</w:t>
      </w:r>
      <w:r w:rsidRPr="006572D6">
        <w:rPr>
          <w:rFonts w:ascii="Times New Roman" w:hAnsi="Times New Roman" w:cs="Times New Roman"/>
          <w:bCs/>
          <w:sz w:val="24"/>
          <w:szCs w:val="24"/>
        </w:rPr>
        <w:t xml:space="preserve">. These two </w:t>
      </w:r>
      <w:r>
        <w:rPr>
          <w:rFonts w:ascii="Times New Roman" w:hAnsi="Times New Roman" w:cs="Times New Roman"/>
          <w:bCs/>
          <w:sz w:val="24"/>
          <w:szCs w:val="24"/>
        </w:rPr>
        <w:t xml:space="preserve">continuous, </w:t>
      </w:r>
      <w:r w:rsidRPr="006572D6">
        <w:rPr>
          <w:rFonts w:ascii="Times New Roman" w:hAnsi="Times New Roman" w:cs="Times New Roman"/>
          <w:bCs/>
          <w:sz w:val="24"/>
          <w:szCs w:val="24"/>
        </w:rPr>
        <w:t xml:space="preserve">multi-item measures were developed by Finkelstein and Hambrick (1990) and modified by </w:t>
      </w:r>
      <w:r>
        <w:rPr>
          <w:rFonts w:ascii="Times New Roman" w:hAnsi="Times New Roman" w:cs="Times New Roman"/>
          <w:bCs/>
          <w:sz w:val="24"/>
          <w:szCs w:val="24"/>
        </w:rPr>
        <w:t xml:space="preserve">Carpenter (2000) and more recently employed by </w:t>
      </w:r>
      <w:r w:rsidRPr="006572D6">
        <w:rPr>
          <w:rFonts w:ascii="Times New Roman" w:hAnsi="Times New Roman" w:cs="Times New Roman"/>
          <w:bCs/>
          <w:sz w:val="24"/>
          <w:szCs w:val="24"/>
        </w:rPr>
        <w:t xml:space="preserve">Haynes and Hillman (2010). </w:t>
      </w:r>
      <w:r>
        <w:rPr>
          <w:rFonts w:ascii="Times New Roman" w:hAnsi="Times New Roman" w:cs="Times New Roman"/>
          <w:bCs/>
          <w:sz w:val="24"/>
          <w:szCs w:val="24"/>
        </w:rPr>
        <w:t>To account for the influence of the specific M&amp;A deal, we extend these metrics to include a before (deal</w:t>
      </w:r>
      <w:r w:rsidR="00EF08D8">
        <w:rPr>
          <w:rFonts w:ascii="Times New Roman" w:hAnsi="Times New Roman" w:cs="Times New Roman"/>
          <w:bCs/>
          <w:sz w:val="24"/>
          <w:szCs w:val="24"/>
        </w:rPr>
        <w:t xml:space="preserve"> announcement</w:t>
      </w:r>
      <w:r>
        <w:rPr>
          <w:rFonts w:ascii="Times New Roman" w:hAnsi="Times New Roman" w:cs="Times New Roman"/>
          <w:bCs/>
          <w:sz w:val="24"/>
          <w:szCs w:val="24"/>
        </w:rPr>
        <w:t>) and after (deal</w:t>
      </w:r>
      <w:r w:rsidR="00EF08D8">
        <w:rPr>
          <w:rFonts w:ascii="Times New Roman" w:hAnsi="Times New Roman" w:cs="Times New Roman"/>
          <w:bCs/>
          <w:sz w:val="24"/>
          <w:szCs w:val="24"/>
        </w:rPr>
        <w:t xml:space="preserve"> closure</w:t>
      </w:r>
      <w:r>
        <w:rPr>
          <w:rFonts w:ascii="Times New Roman" w:hAnsi="Times New Roman" w:cs="Times New Roman"/>
          <w:bCs/>
          <w:sz w:val="24"/>
          <w:szCs w:val="24"/>
        </w:rPr>
        <w:t xml:space="preserve">) dimension by calculating </w:t>
      </w:r>
      <w:r w:rsidR="00EF08D8">
        <w:rPr>
          <w:rFonts w:ascii="Times New Roman" w:hAnsi="Times New Roman" w:cs="Times New Roman"/>
          <w:bCs/>
          <w:sz w:val="24"/>
          <w:szCs w:val="24"/>
        </w:rPr>
        <w:t>the differences</w:t>
      </w:r>
      <w:r>
        <w:rPr>
          <w:rFonts w:ascii="Times New Roman" w:hAnsi="Times New Roman" w:cs="Times New Roman"/>
          <w:bCs/>
          <w:sz w:val="24"/>
          <w:szCs w:val="24"/>
        </w:rPr>
        <w:t xml:space="preserve"> for pre-deal strategic variation and strategic deviation and post-deal strategic variation and strategic deviation. In doing so, we calculate a continuous variable for strategic variation and deviation that takes into account a specific event (here, the M&amp;A deal) rather than general metrics for deviation and variation for organizations in a given year. Prior to calculating the pre and post deal values, w</w:t>
      </w:r>
      <w:r w:rsidRPr="006572D6">
        <w:rPr>
          <w:rFonts w:ascii="Times New Roman" w:hAnsi="Times New Roman" w:cs="Times New Roman"/>
          <w:bCs/>
          <w:sz w:val="24"/>
          <w:szCs w:val="24"/>
        </w:rPr>
        <w:t xml:space="preserve">e follow </w:t>
      </w:r>
      <w:r>
        <w:rPr>
          <w:rFonts w:ascii="Times New Roman" w:hAnsi="Times New Roman" w:cs="Times New Roman"/>
          <w:bCs/>
          <w:sz w:val="24"/>
          <w:szCs w:val="24"/>
        </w:rPr>
        <w:t xml:space="preserve">Carpenter (2000) and </w:t>
      </w:r>
      <w:r w:rsidRPr="006572D6">
        <w:rPr>
          <w:rFonts w:ascii="Times New Roman" w:hAnsi="Times New Roman" w:cs="Times New Roman"/>
          <w:bCs/>
          <w:sz w:val="24"/>
          <w:szCs w:val="24"/>
        </w:rPr>
        <w:t>Haynes and Hillman (2010) in using a composite measure of six allocation ratios. These are: (1) advertising intensity (advertising/sales); (2) R&amp;D intensity (R&amp;D/sales); (3) plant and equipment upgrades (new plant and equipment/gross plant and equipment); (4) nonproduction overhead (SG&amp;A expense/sales); (5) inventory levels (inventory/sales); (6) and financial leverage (debt/equity). We collected data for</w:t>
      </w:r>
      <w:r w:rsidR="00EF08D8">
        <w:rPr>
          <w:rFonts w:ascii="Times New Roman" w:hAnsi="Times New Roman" w:cs="Times New Roman"/>
          <w:bCs/>
          <w:sz w:val="24"/>
          <w:szCs w:val="24"/>
        </w:rPr>
        <w:t xml:space="preserve"> these measures using COMPUSTAT. </w:t>
      </w:r>
      <w:r w:rsidR="006958FD" w:rsidRPr="006572D6">
        <w:rPr>
          <w:rFonts w:ascii="Times New Roman" w:hAnsi="Times New Roman" w:cs="Times New Roman"/>
          <w:bCs/>
          <w:sz w:val="24"/>
          <w:szCs w:val="24"/>
        </w:rPr>
        <w:lastRenderedPageBreak/>
        <w:t xml:space="preserve">Some data for calculating ratios was missing in COMPUSTAT due to lack of reporting. </w:t>
      </w:r>
      <w:r w:rsidR="00997E20" w:rsidRPr="006572D6">
        <w:rPr>
          <w:rFonts w:ascii="Times New Roman" w:hAnsi="Times New Roman" w:cs="Times New Roman"/>
          <w:bCs/>
          <w:sz w:val="24"/>
          <w:szCs w:val="24"/>
        </w:rPr>
        <w:t>Thirty-two</w:t>
      </w:r>
      <w:r w:rsidR="006958FD" w:rsidRPr="006572D6">
        <w:rPr>
          <w:rFonts w:ascii="Times New Roman" w:hAnsi="Times New Roman" w:cs="Times New Roman"/>
          <w:bCs/>
          <w:sz w:val="24"/>
          <w:szCs w:val="24"/>
        </w:rPr>
        <w:t xml:space="preserve"> observations were dropped due to missing data. </w:t>
      </w:r>
    </w:p>
    <w:p w14:paraId="21CCB143" w14:textId="5CC2CAFA" w:rsidR="00523AF8" w:rsidRDefault="00E00458" w:rsidP="00E00458">
      <w:pPr>
        <w:spacing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To measure </w:t>
      </w:r>
      <w:r w:rsidRPr="00253BEB">
        <w:rPr>
          <w:rFonts w:ascii="Times New Roman" w:hAnsi="Times New Roman" w:cs="Times New Roman"/>
          <w:bCs/>
          <w:sz w:val="24"/>
          <w:szCs w:val="24"/>
        </w:rPr>
        <w:t>strategic variation,</w:t>
      </w:r>
      <w:r>
        <w:rPr>
          <w:rFonts w:ascii="Times New Roman" w:hAnsi="Times New Roman" w:cs="Times New Roman"/>
          <w:bCs/>
          <w:sz w:val="24"/>
          <w:szCs w:val="24"/>
        </w:rPr>
        <w:t xml:space="preserve"> we followed Carpenter (2000) and Haynes and Hillman (2010) in creating an index that uses a combination of exponential smoothing and Euclidean distance calculations. Different to the two mentioned works, however, </w:t>
      </w:r>
      <w:r w:rsidR="00EF08D8">
        <w:rPr>
          <w:rFonts w:ascii="Times New Roman" w:hAnsi="Times New Roman" w:cs="Times New Roman"/>
          <w:bCs/>
          <w:sz w:val="24"/>
          <w:szCs w:val="24"/>
        </w:rPr>
        <w:t xml:space="preserve">our measures include a shorter time period (6 months instead of one year) and </w:t>
      </w:r>
      <w:r>
        <w:rPr>
          <w:rFonts w:ascii="Times New Roman" w:hAnsi="Times New Roman" w:cs="Times New Roman"/>
          <w:bCs/>
          <w:sz w:val="24"/>
          <w:szCs w:val="24"/>
        </w:rPr>
        <w:t>our focal year varied with each organization</w:t>
      </w:r>
      <w:r w:rsidR="00D43338">
        <w:rPr>
          <w:rFonts w:ascii="Times New Roman" w:hAnsi="Times New Roman" w:cs="Times New Roman"/>
          <w:bCs/>
          <w:sz w:val="24"/>
          <w:szCs w:val="24"/>
        </w:rPr>
        <w:t xml:space="preserve">. </w:t>
      </w:r>
      <w:r w:rsidR="00946AC9">
        <w:rPr>
          <w:rFonts w:ascii="Times New Roman" w:hAnsi="Times New Roman" w:cs="Times New Roman"/>
          <w:bCs/>
          <w:sz w:val="24"/>
          <w:szCs w:val="24"/>
        </w:rPr>
        <w:t xml:space="preserve">For each deal, we calculated the actual resource allocation figures for bidder organizations and using exponential smoothing, calculated the baseline strategic variation for each bidder organization for t-4 to t (the year that the M&amp;A deal </w:t>
      </w:r>
      <w:r w:rsidR="00421207">
        <w:rPr>
          <w:rFonts w:ascii="Times New Roman" w:hAnsi="Times New Roman" w:cs="Times New Roman"/>
          <w:bCs/>
          <w:sz w:val="24"/>
          <w:szCs w:val="24"/>
        </w:rPr>
        <w:t>took</w:t>
      </w:r>
      <w:r w:rsidR="00946AC9">
        <w:rPr>
          <w:rFonts w:ascii="Times New Roman" w:hAnsi="Times New Roman" w:cs="Times New Roman"/>
          <w:bCs/>
          <w:sz w:val="24"/>
          <w:szCs w:val="24"/>
        </w:rPr>
        <w:t xml:space="preserve"> place). </w:t>
      </w:r>
      <w:r w:rsidR="00CB248B">
        <w:rPr>
          <w:rFonts w:ascii="Times New Roman" w:hAnsi="Times New Roman" w:cs="Times New Roman"/>
          <w:bCs/>
          <w:sz w:val="24"/>
          <w:szCs w:val="24"/>
        </w:rPr>
        <w:t>Earlier researchers who have employed the same method of metrication have suggested that a five-year window (t-4 through t) is sufficient to establish a variation pattern and narrow enough to exclude variations in the external environment. To account for major variations that may influence the environment, we control for the 2008 financial</w:t>
      </w:r>
      <w:r w:rsidR="007F1716">
        <w:rPr>
          <w:rFonts w:ascii="Times New Roman" w:hAnsi="Times New Roman" w:cs="Times New Roman"/>
          <w:bCs/>
          <w:sz w:val="24"/>
          <w:szCs w:val="24"/>
        </w:rPr>
        <w:t xml:space="preserve"> crisis. We the</w:t>
      </w:r>
      <w:r w:rsidR="008C1017">
        <w:rPr>
          <w:rFonts w:ascii="Times New Roman" w:hAnsi="Times New Roman" w:cs="Times New Roman"/>
          <w:bCs/>
          <w:sz w:val="24"/>
          <w:szCs w:val="24"/>
        </w:rPr>
        <w:t>n</w:t>
      </w:r>
      <w:r w:rsidR="007F1716">
        <w:rPr>
          <w:rFonts w:ascii="Times New Roman" w:hAnsi="Times New Roman" w:cs="Times New Roman"/>
          <w:bCs/>
          <w:sz w:val="24"/>
          <w:szCs w:val="24"/>
        </w:rPr>
        <w:t xml:space="preserve"> added all ratios that had gone through exponential smoothing in order to obtain a composite forecasted strategic variation</w:t>
      </w:r>
      <w:r w:rsidR="00247237">
        <w:rPr>
          <w:rFonts w:ascii="Times New Roman" w:hAnsi="Times New Roman" w:cs="Times New Roman"/>
          <w:bCs/>
          <w:sz w:val="24"/>
          <w:szCs w:val="24"/>
        </w:rPr>
        <w:t xml:space="preserve"> for </w:t>
      </w:r>
      <w:r w:rsidR="00D43338">
        <w:rPr>
          <w:rFonts w:ascii="Times New Roman" w:hAnsi="Times New Roman" w:cs="Times New Roman"/>
          <w:bCs/>
          <w:sz w:val="24"/>
          <w:szCs w:val="24"/>
        </w:rPr>
        <w:t>the duration of six months prior to the initial announcement of the deal and the 6-month period following the closure of the deal</w:t>
      </w:r>
      <w:r w:rsidR="00247237">
        <w:rPr>
          <w:rFonts w:ascii="Times New Roman" w:hAnsi="Times New Roman" w:cs="Times New Roman"/>
          <w:bCs/>
          <w:sz w:val="24"/>
          <w:szCs w:val="24"/>
        </w:rPr>
        <w:t xml:space="preserve">. We repeated this exponential smoothing for all years. To calculate the divergence of an organization’s actual resource allocation profile from the forecasted resource allocation profiles (of previous five years), </w:t>
      </w:r>
      <w:r w:rsidR="00523AF8">
        <w:rPr>
          <w:rFonts w:ascii="Times New Roman" w:hAnsi="Times New Roman" w:cs="Times New Roman"/>
          <w:bCs/>
          <w:sz w:val="24"/>
          <w:szCs w:val="24"/>
        </w:rPr>
        <w:t xml:space="preserve">we took the differences of the exponentially smoothed, forecasted amount and the actual resource allocation ratios. We took the absolute value of these differences and normalized them through taking the natural log. The resulting </w:t>
      </w:r>
      <w:r w:rsidR="00152FEF">
        <w:rPr>
          <w:rFonts w:ascii="Times New Roman" w:hAnsi="Times New Roman" w:cs="Times New Roman"/>
          <w:bCs/>
          <w:sz w:val="24"/>
          <w:szCs w:val="24"/>
        </w:rPr>
        <w:t>calculations were</w:t>
      </w:r>
      <w:r w:rsidR="00523AF8">
        <w:rPr>
          <w:rFonts w:ascii="Times New Roman" w:hAnsi="Times New Roman" w:cs="Times New Roman"/>
          <w:bCs/>
          <w:sz w:val="24"/>
          <w:szCs w:val="24"/>
        </w:rPr>
        <w:t xml:space="preserve"> the divergence of firms’ actual resource allocation profiles from the forecasted ones.</w:t>
      </w:r>
    </w:p>
    <w:p w14:paraId="0B4DA459" w14:textId="5F083271" w:rsidR="008D7B04" w:rsidRDefault="008D7B04" w:rsidP="00E00458">
      <w:pPr>
        <w:spacing w:line="480" w:lineRule="auto"/>
        <w:ind w:firstLine="720"/>
        <w:contextualSpacing/>
        <w:jc w:val="both"/>
        <w:rPr>
          <w:rFonts w:ascii="Times New Roman" w:hAnsi="Times New Roman" w:cs="Times New Roman"/>
          <w:bCs/>
          <w:sz w:val="24"/>
          <w:szCs w:val="24"/>
        </w:rPr>
      </w:pPr>
      <w:r w:rsidRPr="00253BEB">
        <w:rPr>
          <w:rFonts w:ascii="Times New Roman" w:hAnsi="Times New Roman" w:cs="Times New Roman"/>
          <w:bCs/>
          <w:sz w:val="24"/>
          <w:szCs w:val="24"/>
        </w:rPr>
        <w:lastRenderedPageBreak/>
        <w:t>Strategic deviation</w:t>
      </w:r>
      <w:r>
        <w:rPr>
          <w:rFonts w:ascii="Times New Roman" w:hAnsi="Times New Roman" w:cs="Times New Roman"/>
          <w:bCs/>
          <w:sz w:val="24"/>
          <w:szCs w:val="24"/>
        </w:rPr>
        <w:t xml:space="preserve"> (departure from industry norms) was calculated similar to strategic variation, only this time we calculated the absolute value of industry norm and the firm’s actual resource allocation ratios. To establish industry ratios, we used the top four firms in each industry based on the C4 measure of industry concentration (Dobrev et al., 2002). Once again, we follow Carpenter (2000) and Haynes and Hillman (2010) in calculating these ratios, and normalized our variable by taking the natural log of the differences. </w:t>
      </w:r>
    </w:p>
    <w:p w14:paraId="449419E9" w14:textId="322131AF" w:rsidR="000219B2" w:rsidRDefault="0054431F" w:rsidP="006958FD">
      <w:pPr>
        <w:spacing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CC3695">
        <w:rPr>
          <w:rFonts w:ascii="Times New Roman" w:hAnsi="Times New Roman" w:cs="Times New Roman"/>
          <w:bCs/>
          <w:sz w:val="24"/>
          <w:szCs w:val="24"/>
        </w:rPr>
        <w:t>Our</w:t>
      </w:r>
      <w:r>
        <w:rPr>
          <w:rFonts w:ascii="Times New Roman" w:hAnsi="Times New Roman" w:cs="Times New Roman"/>
          <w:bCs/>
          <w:sz w:val="24"/>
          <w:szCs w:val="24"/>
        </w:rPr>
        <w:t xml:space="preserve"> measures strategic variation and strategic deviation </w:t>
      </w:r>
      <w:r w:rsidR="00C13963">
        <w:rPr>
          <w:rFonts w:ascii="Times New Roman" w:hAnsi="Times New Roman" w:cs="Times New Roman"/>
          <w:bCs/>
          <w:sz w:val="24"/>
          <w:szCs w:val="24"/>
        </w:rPr>
        <w:t xml:space="preserve">take into account the combined entity </w:t>
      </w:r>
      <w:r w:rsidR="00CC3695">
        <w:rPr>
          <w:rFonts w:ascii="Times New Roman" w:hAnsi="Times New Roman" w:cs="Times New Roman"/>
          <w:bCs/>
          <w:sz w:val="24"/>
          <w:szCs w:val="24"/>
        </w:rPr>
        <w:t xml:space="preserve">that comes into existence as a result of the deal. </w:t>
      </w:r>
    </w:p>
    <w:p w14:paraId="44B448A2" w14:textId="77777777" w:rsidR="00097737" w:rsidRDefault="00097737" w:rsidP="006958FD">
      <w:pPr>
        <w:spacing w:line="480" w:lineRule="auto"/>
        <w:contextualSpacing/>
        <w:jc w:val="both"/>
        <w:rPr>
          <w:rFonts w:ascii="Times New Roman" w:hAnsi="Times New Roman" w:cs="Times New Roman"/>
          <w:bCs/>
          <w:i/>
          <w:sz w:val="24"/>
          <w:szCs w:val="24"/>
        </w:rPr>
      </w:pPr>
    </w:p>
    <w:p w14:paraId="00B2EA1F" w14:textId="6ACC5F02" w:rsidR="000219B2" w:rsidRPr="00B12EE3" w:rsidRDefault="000219B2" w:rsidP="006958FD">
      <w:pPr>
        <w:spacing w:line="480" w:lineRule="auto"/>
        <w:contextualSpacing/>
        <w:jc w:val="both"/>
        <w:rPr>
          <w:rFonts w:ascii="Times New Roman" w:hAnsi="Times New Roman" w:cs="Times New Roman"/>
          <w:bCs/>
          <w:i/>
          <w:sz w:val="24"/>
          <w:szCs w:val="24"/>
        </w:rPr>
      </w:pPr>
      <w:r w:rsidRPr="00B12EE3">
        <w:rPr>
          <w:rFonts w:ascii="Times New Roman" w:hAnsi="Times New Roman" w:cs="Times New Roman"/>
          <w:bCs/>
          <w:i/>
          <w:sz w:val="24"/>
          <w:szCs w:val="24"/>
        </w:rPr>
        <w:t>Control variables</w:t>
      </w:r>
    </w:p>
    <w:p w14:paraId="5EA3F440" w14:textId="5ABA7E6E" w:rsidR="003E259F" w:rsidRPr="009C6556" w:rsidRDefault="006958FD" w:rsidP="009C6556">
      <w:pPr>
        <w:spacing w:line="480" w:lineRule="auto"/>
        <w:ind w:firstLine="720"/>
        <w:jc w:val="both"/>
        <w:rPr>
          <w:rFonts w:ascii="Times New Roman" w:hAnsi="Times New Roman" w:cs="Times New Roman"/>
          <w:noProof/>
          <w:sz w:val="24"/>
          <w:szCs w:val="24"/>
        </w:rPr>
      </w:pPr>
      <w:r w:rsidRPr="006572D6">
        <w:rPr>
          <w:rFonts w:ascii="Times New Roman" w:hAnsi="Times New Roman" w:cs="Times New Roman"/>
          <w:noProof/>
          <w:sz w:val="24"/>
          <w:szCs w:val="24"/>
        </w:rPr>
        <w:t xml:space="preserve">We introduced a variety of control variables for factors that were likely to impact on </w:t>
      </w:r>
      <w:r w:rsidR="00606845">
        <w:rPr>
          <w:rFonts w:ascii="Times New Roman" w:hAnsi="Times New Roman" w:cs="Times New Roman"/>
          <w:noProof/>
          <w:sz w:val="24"/>
          <w:szCs w:val="24"/>
        </w:rPr>
        <w:t>the likelihood of</w:t>
      </w:r>
      <w:r w:rsidR="007A4758">
        <w:rPr>
          <w:rFonts w:ascii="Times New Roman" w:hAnsi="Times New Roman" w:cs="Times New Roman"/>
          <w:noProof/>
          <w:sz w:val="24"/>
          <w:szCs w:val="24"/>
        </w:rPr>
        <w:t xml:space="preserve"> organiz</w:t>
      </w:r>
      <w:r w:rsidR="00606845">
        <w:rPr>
          <w:rFonts w:ascii="Times New Roman" w:hAnsi="Times New Roman" w:cs="Times New Roman"/>
          <w:noProof/>
          <w:sz w:val="24"/>
          <w:szCs w:val="24"/>
        </w:rPr>
        <w:t xml:space="preserve">ations to engage in open strategy and likely to have an influence </w:t>
      </w:r>
      <w:r w:rsidRPr="006572D6">
        <w:rPr>
          <w:rFonts w:ascii="Times New Roman" w:hAnsi="Times New Roman" w:cs="Times New Roman"/>
          <w:noProof/>
          <w:sz w:val="24"/>
          <w:szCs w:val="24"/>
        </w:rPr>
        <w:t>market reactions. All of the control variables are used as proxies for contexts/events associated with a vacuum of information that would leave investors hungry for information. We therefore controlled for high-reputation intermediaries, which we believe may be instrumental in facilitating organizations to communicate. We used binary codes to distinguish organizations that employed legal advisors in the magic circle</w:t>
      </w:r>
      <w:r w:rsidRPr="006572D6">
        <w:rPr>
          <w:rStyle w:val="FootnoteReference"/>
          <w:rFonts w:ascii="Times New Roman" w:hAnsi="Times New Roman"/>
          <w:noProof/>
          <w:sz w:val="24"/>
          <w:szCs w:val="24"/>
        </w:rPr>
        <w:footnoteReference w:id="2"/>
      </w:r>
      <w:r w:rsidRPr="006572D6">
        <w:rPr>
          <w:rFonts w:ascii="Times New Roman" w:hAnsi="Times New Roman" w:cs="Times New Roman"/>
          <w:noProof/>
          <w:sz w:val="24"/>
          <w:szCs w:val="24"/>
        </w:rPr>
        <w:t>, financial advisors in the bulge bracket</w:t>
      </w:r>
      <w:r w:rsidRPr="006572D6">
        <w:rPr>
          <w:rStyle w:val="FootnoteReference"/>
          <w:rFonts w:ascii="Times New Roman" w:hAnsi="Times New Roman"/>
          <w:noProof/>
          <w:sz w:val="24"/>
          <w:szCs w:val="24"/>
        </w:rPr>
        <w:footnoteReference w:id="3"/>
      </w:r>
      <w:r w:rsidRPr="006572D6">
        <w:rPr>
          <w:rFonts w:ascii="Times New Roman" w:hAnsi="Times New Roman" w:cs="Times New Roman"/>
          <w:noProof/>
          <w:sz w:val="24"/>
          <w:szCs w:val="24"/>
        </w:rPr>
        <w:t>, and white shoe consultants</w:t>
      </w:r>
      <w:r w:rsidRPr="006572D6">
        <w:rPr>
          <w:rStyle w:val="FootnoteReference"/>
          <w:rFonts w:ascii="Times New Roman" w:hAnsi="Times New Roman"/>
          <w:noProof/>
          <w:sz w:val="24"/>
          <w:szCs w:val="24"/>
        </w:rPr>
        <w:footnoteReference w:id="4"/>
      </w:r>
      <w:r w:rsidRPr="006572D6">
        <w:rPr>
          <w:rFonts w:ascii="Times New Roman" w:hAnsi="Times New Roman" w:cs="Times New Roman"/>
          <w:noProof/>
          <w:sz w:val="24"/>
          <w:szCs w:val="24"/>
        </w:rPr>
        <w:t xml:space="preserve">. </w:t>
      </w:r>
      <w:r w:rsidRPr="006572D6">
        <w:rPr>
          <w:rFonts w:ascii="Times New Roman" w:hAnsi="Times New Roman" w:cs="Times New Roman"/>
          <w:color w:val="000000"/>
          <w:sz w:val="24"/>
          <w:szCs w:val="24"/>
        </w:rPr>
        <w:t xml:space="preserve">To </w:t>
      </w:r>
      <w:r w:rsidRPr="006572D6">
        <w:rPr>
          <w:rFonts w:ascii="Times New Roman" w:hAnsi="Times New Roman" w:cs="Times New Roman"/>
          <w:color w:val="000000"/>
          <w:sz w:val="24"/>
          <w:szCs w:val="24"/>
        </w:rPr>
        <w:lastRenderedPageBreak/>
        <w:t>take into account any possible effects of the financial crisis, we coded communications after 24 October 2008 as ‘1’ for ‘after the crisis</w:t>
      </w:r>
      <w:r w:rsidR="00A76CE9">
        <w:rPr>
          <w:rFonts w:ascii="Times New Roman" w:hAnsi="Times New Roman" w:cs="Times New Roman"/>
          <w:color w:val="000000"/>
          <w:sz w:val="24"/>
          <w:szCs w:val="24"/>
        </w:rPr>
        <w:t>.’</w:t>
      </w:r>
      <w:r w:rsidRPr="006572D6">
        <w:rPr>
          <w:rFonts w:ascii="Times New Roman" w:hAnsi="Times New Roman" w:cs="Times New Roman"/>
          <w:color w:val="000000"/>
          <w:sz w:val="24"/>
          <w:szCs w:val="24"/>
        </w:rPr>
        <w:t xml:space="preserve"> We also suggest that likelihood of disclosure is higher for organizations </w:t>
      </w:r>
      <w:r w:rsidRPr="006572D6">
        <w:rPr>
          <w:rFonts w:ascii="Times New Roman" w:hAnsi="Times New Roman" w:cs="Times New Roman"/>
          <w:noProof/>
          <w:sz w:val="24"/>
          <w:szCs w:val="24"/>
        </w:rPr>
        <w:t xml:space="preserve">subject to greater information failures, e.g. </w:t>
      </w:r>
      <w:r w:rsidRPr="006572D6">
        <w:rPr>
          <w:rFonts w:ascii="Times New Roman" w:hAnsi="Times New Roman" w:cs="Times New Roman"/>
          <w:sz w:val="24"/>
          <w:szCs w:val="24"/>
        </w:rPr>
        <w:t xml:space="preserve">if the deal value is small relative to the acquirer, in turnover terms, then there may be less need for protagonists to communicate to the markets as the effect of the deal on the acquirer will be limited. </w:t>
      </w:r>
      <w:r w:rsidR="00872DAB">
        <w:rPr>
          <w:rFonts w:ascii="Times New Roman" w:hAnsi="Times New Roman" w:cs="Times New Roman"/>
          <w:noProof/>
          <w:sz w:val="24"/>
          <w:szCs w:val="24"/>
        </w:rPr>
        <w:t>We use the log-adjusted deal value for taking size-related information asymmetries into consideration</w:t>
      </w:r>
      <w:r w:rsidRPr="006572D6">
        <w:rPr>
          <w:rFonts w:ascii="Times New Roman" w:hAnsi="Times New Roman" w:cs="Times New Roman"/>
          <w:noProof/>
          <w:sz w:val="24"/>
          <w:szCs w:val="24"/>
        </w:rPr>
        <w:t>.</w:t>
      </w:r>
      <w:r w:rsidR="004E7BAC">
        <w:rPr>
          <w:rFonts w:ascii="Times New Roman" w:hAnsi="Times New Roman" w:cs="Times New Roman"/>
          <w:noProof/>
          <w:sz w:val="24"/>
          <w:szCs w:val="24"/>
        </w:rPr>
        <w:t xml:space="preserve"> </w:t>
      </w:r>
      <w:r w:rsidR="000526EA">
        <w:rPr>
          <w:rFonts w:ascii="Times New Roman" w:hAnsi="Times New Roman" w:cs="Times New Roman"/>
          <w:noProof/>
          <w:sz w:val="24"/>
          <w:szCs w:val="24"/>
        </w:rPr>
        <w:t>Also, following Zhang and Rajagopalan (2010), we</w:t>
      </w:r>
      <w:r w:rsidR="004E7BAC">
        <w:rPr>
          <w:rFonts w:ascii="Times New Roman" w:hAnsi="Times New Roman" w:cs="Times New Roman"/>
          <w:noProof/>
          <w:sz w:val="24"/>
          <w:szCs w:val="24"/>
        </w:rPr>
        <w:t xml:space="preserve"> controlled for prior firm performance</w:t>
      </w:r>
      <w:r w:rsidR="000526EA">
        <w:rPr>
          <w:rFonts w:ascii="Times New Roman" w:hAnsi="Times New Roman" w:cs="Times New Roman"/>
          <w:noProof/>
          <w:sz w:val="24"/>
          <w:szCs w:val="24"/>
        </w:rPr>
        <w:t xml:space="preserve"> by calculating the industry-adjusted ROA in the prior year</w:t>
      </w:r>
      <w:r w:rsidR="004E7BAC">
        <w:rPr>
          <w:rFonts w:ascii="Times New Roman" w:hAnsi="Times New Roman" w:cs="Times New Roman"/>
          <w:noProof/>
          <w:sz w:val="24"/>
          <w:szCs w:val="24"/>
        </w:rPr>
        <w:t>.</w:t>
      </w:r>
      <w:r w:rsidR="000526EA">
        <w:rPr>
          <w:rFonts w:ascii="Times New Roman" w:hAnsi="Times New Roman" w:cs="Times New Roman"/>
          <w:noProof/>
          <w:sz w:val="24"/>
          <w:szCs w:val="24"/>
        </w:rPr>
        <w:t xml:space="preserve"> </w:t>
      </w:r>
      <w:r w:rsidR="00920C96">
        <w:rPr>
          <w:rFonts w:ascii="Times New Roman" w:hAnsi="Times New Roman" w:cs="Times New Roman"/>
          <w:noProof/>
          <w:sz w:val="24"/>
          <w:szCs w:val="24"/>
        </w:rPr>
        <w:t xml:space="preserve">For poor prior firm performance we calculated 1/(prior firm performance). </w:t>
      </w:r>
      <w:r w:rsidR="000526EA">
        <w:rPr>
          <w:rFonts w:ascii="Times New Roman" w:hAnsi="Times New Roman" w:cs="Times New Roman"/>
          <w:noProof/>
          <w:sz w:val="24"/>
          <w:szCs w:val="24"/>
        </w:rPr>
        <w:t xml:space="preserve">Data sources for </w:t>
      </w:r>
      <w:r w:rsidR="00DB4887">
        <w:rPr>
          <w:rFonts w:ascii="Times New Roman" w:hAnsi="Times New Roman" w:cs="Times New Roman"/>
          <w:noProof/>
          <w:sz w:val="24"/>
          <w:szCs w:val="24"/>
        </w:rPr>
        <w:t>d</w:t>
      </w:r>
      <w:r w:rsidR="00421207">
        <w:rPr>
          <w:rFonts w:ascii="Times New Roman" w:hAnsi="Times New Roman" w:cs="Times New Roman"/>
          <w:noProof/>
          <w:sz w:val="24"/>
          <w:szCs w:val="24"/>
        </w:rPr>
        <w:t>e</w:t>
      </w:r>
      <w:r w:rsidR="00DB4887">
        <w:rPr>
          <w:rFonts w:ascii="Times New Roman" w:hAnsi="Times New Roman" w:cs="Times New Roman"/>
          <w:noProof/>
          <w:sz w:val="24"/>
          <w:szCs w:val="24"/>
        </w:rPr>
        <w:t xml:space="preserve">al size was MergerMarket and the source for </w:t>
      </w:r>
      <w:r w:rsidR="000526EA">
        <w:rPr>
          <w:rFonts w:ascii="Times New Roman" w:hAnsi="Times New Roman" w:cs="Times New Roman"/>
          <w:noProof/>
          <w:sz w:val="24"/>
          <w:szCs w:val="24"/>
        </w:rPr>
        <w:t>prior firm performance was COMPUSTAT.</w:t>
      </w:r>
      <w:r w:rsidRPr="006572D6">
        <w:rPr>
          <w:rFonts w:ascii="Times New Roman" w:hAnsi="Times New Roman" w:cs="Times New Roman"/>
          <w:noProof/>
          <w:sz w:val="24"/>
          <w:szCs w:val="24"/>
        </w:rPr>
        <w:t xml:space="preserve"> </w:t>
      </w:r>
      <w:r w:rsidR="00EA6687">
        <w:rPr>
          <w:rFonts w:ascii="Times New Roman" w:hAnsi="Times New Roman" w:cs="Times New Roman"/>
          <w:noProof/>
          <w:sz w:val="24"/>
          <w:szCs w:val="24"/>
        </w:rPr>
        <w:t xml:space="preserve">We also </w:t>
      </w:r>
      <w:r w:rsidR="004E48B1" w:rsidRPr="009C6556">
        <w:rPr>
          <w:rFonts w:ascii="Times New Roman" w:eastAsia="Times New Roman" w:hAnsi="Times New Roman" w:cs="Times New Roman"/>
          <w:sz w:val="24"/>
          <w:szCs w:val="24"/>
          <w:lang w:eastAsia="en-GB"/>
        </w:rPr>
        <w:t xml:space="preserve">tried to control for factors causing changes in the measures of bidder variation and </w:t>
      </w:r>
      <w:r w:rsidR="00EA6687">
        <w:rPr>
          <w:rFonts w:ascii="Times New Roman" w:eastAsia="Times New Roman" w:hAnsi="Times New Roman" w:cs="Times New Roman"/>
          <w:sz w:val="24"/>
          <w:szCs w:val="24"/>
          <w:lang w:eastAsia="en-GB"/>
        </w:rPr>
        <w:t xml:space="preserve">deviation. These are: </w:t>
      </w:r>
      <w:r w:rsidR="004E48B1" w:rsidRPr="009C6556">
        <w:rPr>
          <w:rFonts w:ascii="Times New Roman" w:eastAsia="Times New Roman" w:hAnsi="Times New Roman" w:cs="Times New Roman"/>
          <w:sz w:val="24"/>
          <w:szCs w:val="24"/>
          <w:lang w:eastAsia="en-GB"/>
        </w:rPr>
        <w:t xml:space="preserve">Acquisition volume for the past year, in the last three years, and in the past five years; acquisitions outside of the main SIC code for the past year, in the last three years, and in the past five years. </w:t>
      </w:r>
      <w:r w:rsidR="00B70794">
        <w:rPr>
          <w:rFonts w:ascii="Times New Roman" w:eastAsia="Times New Roman" w:hAnsi="Times New Roman" w:cs="Times New Roman"/>
          <w:sz w:val="24"/>
          <w:szCs w:val="24"/>
          <w:lang w:eastAsia="en-GB"/>
        </w:rPr>
        <w:t xml:space="preserve">Our source for these was MergerMarket. </w:t>
      </w:r>
      <w:r w:rsidR="004E48B1" w:rsidRPr="009C6556">
        <w:rPr>
          <w:rFonts w:ascii="Times New Roman" w:eastAsia="Times New Roman" w:hAnsi="Times New Roman" w:cs="Times New Roman"/>
          <w:sz w:val="24"/>
          <w:szCs w:val="24"/>
          <w:lang w:eastAsia="en-GB"/>
        </w:rPr>
        <w:t xml:space="preserve">Also, to take into account time pressures which may be influential in motivating organizations to disclose, we included the following control variables: whether or not an acquisition was rumoured, and the time that passed between the initial announcement of the deal and the closing of the deal. </w:t>
      </w:r>
      <w:r w:rsidR="00B70794">
        <w:rPr>
          <w:rFonts w:ascii="Times New Roman" w:eastAsia="Times New Roman" w:hAnsi="Times New Roman" w:cs="Times New Roman"/>
          <w:sz w:val="24"/>
          <w:szCs w:val="24"/>
          <w:lang w:eastAsia="en-GB"/>
        </w:rPr>
        <w:t xml:space="preserve">Once again, our source was MergerMarket. </w:t>
      </w:r>
      <w:r w:rsidR="004E48B1" w:rsidRPr="009C6556">
        <w:rPr>
          <w:rFonts w:ascii="Times New Roman" w:eastAsia="Times New Roman" w:hAnsi="Times New Roman" w:cs="Times New Roman"/>
          <w:sz w:val="24"/>
          <w:szCs w:val="24"/>
          <w:lang w:eastAsia="en-GB"/>
        </w:rPr>
        <w:t>Furthermore, we included a control variable for share price reactions to the initial announcement of the M&amp;A deal that may be influential in organizations trying to restore or further enhance market reactions</w:t>
      </w:r>
      <w:r w:rsidR="00EA6687">
        <w:rPr>
          <w:rFonts w:ascii="Times New Roman" w:eastAsia="Times New Roman" w:hAnsi="Times New Roman" w:cs="Times New Roman"/>
          <w:sz w:val="24"/>
          <w:szCs w:val="24"/>
          <w:lang w:eastAsia="en-GB"/>
        </w:rPr>
        <w:t xml:space="preserve"> (i.e. cumulative abnormal returns associated with the initial announcement of the deal for a short window (-1,+1)). </w:t>
      </w:r>
      <w:r w:rsidR="00B70794">
        <w:rPr>
          <w:rFonts w:ascii="Times New Roman" w:eastAsia="Times New Roman" w:hAnsi="Times New Roman" w:cs="Times New Roman"/>
          <w:sz w:val="24"/>
          <w:szCs w:val="24"/>
          <w:lang w:eastAsia="en-GB"/>
        </w:rPr>
        <w:t xml:space="preserve">Similar to our other calculations involving share prices, our </w:t>
      </w:r>
      <w:r w:rsidR="00E077AC">
        <w:rPr>
          <w:rFonts w:ascii="Times New Roman" w:eastAsia="Times New Roman" w:hAnsi="Times New Roman" w:cs="Times New Roman"/>
          <w:sz w:val="24"/>
          <w:szCs w:val="24"/>
          <w:lang w:eastAsia="en-GB"/>
        </w:rPr>
        <w:t xml:space="preserve">source of data was Datastream. </w:t>
      </w:r>
      <w:r w:rsidR="00EA6687">
        <w:rPr>
          <w:rFonts w:ascii="Times New Roman" w:eastAsia="Times New Roman" w:hAnsi="Times New Roman" w:cs="Times New Roman"/>
          <w:sz w:val="24"/>
          <w:szCs w:val="24"/>
          <w:lang w:eastAsia="en-GB"/>
        </w:rPr>
        <w:t xml:space="preserve">In addition to </w:t>
      </w:r>
      <w:r w:rsidR="00EA6687">
        <w:rPr>
          <w:rFonts w:ascii="Times New Roman" w:eastAsia="Times New Roman" w:hAnsi="Times New Roman" w:cs="Times New Roman"/>
          <w:sz w:val="24"/>
          <w:szCs w:val="24"/>
          <w:lang w:eastAsia="en-GB"/>
        </w:rPr>
        <w:lastRenderedPageBreak/>
        <w:t>these</w:t>
      </w:r>
      <w:r w:rsidR="00E077AC" w:rsidRPr="00A22B68">
        <w:rPr>
          <w:rFonts w:ascii="Times New Roman" w:eastAsia="Times New Roman" w:hAnsi="Times New Roman" w:cs="Times New Roman"/>
          <w:sz w:val="24"/>
          <w:szCs w:val="24"/>
          <w:lang w:eastAsia="en-GB"/>
        </w:rPr>
        <w:t>,</w:t>
      </w:r>
      <w:r w:rsidR="004E48B1" w:rsidRPr="009C6556">
        <w:rPr>
          <w:rFonts w:ascii="Times New Roman" w:eastAsia="Times New Roman" w:hAnsi="Times New Roman" w:cs="Times New Roman"/>
          <w:sz w:val="24"/>
          <w:szCs w:val="24"/>
          <w:lang w:eastAsia="en-GB"/>
        </w:rPr>
        <w:t xml:space="preserve"> we included a control for whether or not the voluntary disclosures were associated with any changes in analysts’ opinions</w:t>
      </w:r>
      <w:r w:rsidR="00EA6687" w:rsidRPr="00EA6687">
        <w:rPr>
          <w:rFonts w:ascii="Times New Roman" w:eastAsia="Times New Roman" w:hAnsi="Times New Roman" w:cs="Times New Roman"/>
          <w:sz w:val="24"/>
          <w:szCs w:val="24"/>
          <w:lang w:eastAsia="en-GB"/>
        </w:rPr>
        <w:t xml:space="preserve"> (i.e. </w:t>
      </w:r>
      <w:r w:rsidR="00EA6687" w:rsidRPr="009C6556">
        <w:rPr>
          <w:rFonts w:ascii="Times New Roman" w:hAnsi="Times New Roman" w:cs="Times New Roman"/>
          <w:sz w:val="24"/>
          <w:szCs w:val="24"/>
        </w:rPr>
        <w:t>difference between the average of analysts’ estimates following the initial M&amp;A announcement and average of estimates following voluntary disclosures</w:t>
      </w:r>
      <w:r w:rsidR="00EA6687" w:rsidRPr="00EA6687">
        <w:rPr>
          <w:rFonts w:ascii="Times New Roman" w:eastAsia="Times New Roman" w:hAnsi="Times New Roman" w:cs="Times New Roman"/>
          <w:sz w:val="24"/>
          <w:szCs w:val="24"/>
          <w:lang w:eastAsia="en-GB"/>
        </w:rPr>
        <w:t>)</w:t>
      </w:r>
      <w:r w:rsidR="004E48B1" w:rsidRPr="009C6556">
        <w:rPr>
          <w:rFonts w:ascii="Times New Roman" w:eastAsia="Times New Roman" w:hAnsi="Times New Roman" w:cs="Times New Roman"/>
          <w:sz w:val="24"/>
          <w:szCs w:val="24"/>
          <w:lang w:eastAsia="en-GB"/>
        </w:rPr>
        <w:t xml:space="preserve">. </w:t>
      </w:r>
      <w:r w:rsidR="00B73811" w:rsidRPr="00A10EF1">
        <w:rPr>
          <w:rFonts w:ascii="Times New Roman" w:hAnsi="Times New Roman" w:cs="Times New Roman"/>
          <w:sz w:val="24"/>
          <w:szCs w:val="24"/>
        </w:rPr>
        <w:t>Following Wiersema and Zhang (201</w:t>
      </w:r>
      <w:r w:rsidR="00796902">
        <w:rPr>
          <w:rFonts w:ascii="Times New Roman" w:hAnsi="Times New Roman" w:cs="Times New Roman"/>
          <w:sz w:val="24"/>
          <w:szCs w:val="24"/>
        </w:rPr>
        <w:t>3)</w:t>
      </w:r>
      <w:r w:rsidR="00B73811" w:rsidRPr="00A10EF1">
        <w:rPr>
          <w:rFonts w:ascii="Times New Roman" w:hAnsi="Times New Roman" w:cs="Times New Roman"/>
          <w:sz w:val="24"/>
          <w:szCs w:val="24"/>
        </w:rPr>
        <w:t xml:space="preserve">, we collected data regarding the first set of analysts’ estimates using </w:t>
      </w:r>
      <w:r w:rsidR="00B73811" w:rsidRPr="00A10EF1">
        <w:rPr>
          <w:rFonts w:ascii="Times New Roman" w:eastAsia="Calibri" w:hAnsi="Times New Roman" w:cs="Times New Roman"/>
          <w:sz w:val="24"/>
          <w:szCs w:val="24"/>
          <w:lang w:bidi="he-IL"/>
        </w:rPr>
        <w:t>the Institutional Brokers Estimate System (I/B/E/S) database.</w:t>
      </w:r>
      <w:r w:rsidR="00B73811" w:rsidRPr="00A10EF1">
        <w:rPr>
          <w:rFonts w:ascii="Times New Roman" w:hAnsi="Times New Roman" w:cs="Times New Roman"/>
          <w:sz w:val="24"/>
          <w:szCs w:val="24"/>
        </w:rPr>
        <w:t xml:space="preserve"> Analysts’</w:t>
      </w:r>
      <w:r w:rsidR="00B73811">
        <w:rPr>
          <w:rFonts w:ascii="Times New Roman" w:hAnsi="Times New Roman" w:cs="Times New Roman"/>
          <w:sz w:val="24"/>
          <w:szCs w:val="24"/>
        </w:rPr>
        <w:t xml:space="preserve"> </w:t>
      </w:r>
      <w:r w:rsidR="00B73811" w:rsidRPr="00A10EF1">
        <w:rPr>
          <w:rFonts w:ascii="Times New Roman" w:hAnsi="Times New Roman" w:cs="Times New Roman"/>
          <w:sz w:val="24"/>
          <w:szCs w:val="24"/>
        </w:rPr>
        <w:t xml:space="preserve">estimates in I/B/E/S uses a five-point recommendation scale with a recommendation of ‘1’ for ‘strong buy’ and ‘5’ for ‘sell’. </w:t>
      </w:r>
      <w:r w:rsidR="00B73811" w:rsidRPr="00A10EF1">
        <w:rPr>
          <w:rFonts w:ascii="Times New Roman" w:eastAsia="Calibri" w:hAnsi="Times New Roman" w:cs="Times New Roman"/>
          <w:sz w:val="24"/>
          <w:szCs w:val="24"/>
          <w:lang w:bidi="he-IL"/>
        </w:rPr>
        <w:t xml:space="preserve">We adjust the measure for the number of analysts that provide coverage for the given firm. </w:t>
      </w:r>
      <w:r w:rsidR="003E259F" w:rsidRPr="00EA6687">
        <w:rPr>
          <w:rFonts w:ascii="Times New Roman" w:hAnsi="Times New Roman" w:cs="Times New Roman"/>
          <w:noProof/>
          <w:sz w:val="24"/>
          <w:szCs w:val="24"/>
        </w:rPr>
        <w:t>F</w:t>
      </w:r>
      <w:r w:rsidR="004E7BAC" w:rsidRPr="00B70794">
        <w:rPr>
          <w:rFonts w:ascii="Times New Roman" w:hAnsi="Times New Roman" w:cs="Times New Roman"/>
          <w:noProof/>
          <w:sz w:val="24"/>
          <w:szCs w:val="24"/>
        </w:rPr>
        <w:t>inally, f</w:t>
      </w:r>
      <w:r w:rsidR="003E259F" w:rsidRPr="00B70794">
        <w:rPr>
          <w:rFonts w:ascii="Times New Roman" w:hAnsi="Times New Roman" w:cs="Times New Roman"/>
          <w:noProof/>
          <w:sz w:val="24"/>
          <w:szCs w:val="24"/>
        </w:rPr>
        <w:t xml:space="preserve">or each model, </w:t>
      </w:r>
      <w:r w:rsidR="003E259F" w:rsidRPr="00B70794">
        <w:rPr>
          <w:rFonts w:ascii="Times New Roman" w:hAnsi="Times New Roman" w:cs="Times New Roman"/>
          <w:sz w:val="24"/>
          <w:szCs w:val="24"/>
          <w:lang w:val="en-GB"/>
        </w:rPr>
        <w:t>w</w:t>
      </w:r>
      <w:r w:rsidR="000A7F33" w:rsidRPr="00B70794">
        <w:rPr>
          <w:rFonts w:ascii="Times New Roman" w:hAnsi="Times New Roman" w:cs="Times New Roman"/>
          <w:sz w:val="24"/>
          <w:szCs w:val="24"/>
          <w:lang w:val="en-GB"/>
        </w:rPr>
        <w:t xml:space="preserve">e included </w:t>
      </w:r>
      <w:r w:rsidR="003E259F" w:rsidRPr="00B70794">
        <w:rPr>
          <w:rFonts w:ascii="Times New Roman" w:hAnsi="Times New Roman" w:cs="Times New Roman"/>
          <w:sz w:val="24"/>
          <w:szCs w:val="24"/>
          <w:lang w:val="en-GB"/>
        </w:rPr>
        <w:t>dummy variable</w:t>
      </w:r>
      <w:r w:rsidR="000A7F33" w:rsidRPr="00B70794">
        <w:rPr>
          <w:rFonts w:ascii="Times New Roman" w:hAnsi="Times New Roman" w:cs="Times New Roman"/>
          <w:sz w:val="24"/>
          <w:szCs w:val="24"/>
          <w:lang w:val="en-GB"/>
        </w:rPr>
        <w:t>s</w:t>
      </w:r>
      <w:r w:rsidR="003E259F" w:rsidRPr="00B70794">
        <w:rPr>
          <w:rFonts w:ascii="Times New Roman" w:hAnsi="Times New Roman" w:cs="Times New Roman"/>
          <w:sz w:val="24"/>
          <w:szCs w:val="24"/>
          <w:lang w:val="en-GB"/>
        </w:rPr>
        <w:t xml:space="preserve"> for </w:t>
      </w:r>
      <w:r w:rsidR="000A7F33" w:rsidRPr="00B70794">
        <w:rPr>
          <w:rFonts w:ascii="Times New Roman" w:hAnsi="Times New Roman" w:cs="Times New Roman"/>
          <w:sz w:val="24"/>
          <w:szCs w:val="24"/>
          <w:lang w:val="en-GB"/>
        </w:rPr>
        <w:t xml:space="preserve">main industry and </w:t>
      </w:r>
      <w:r w:rsidR="003E259F" w:rsidRPr="00B70794">
        <w:rPr>
          <w:rFonts w:ascii="Times New Roman" w:hAnsi="Times New Roman" w:cs="Times New Roman"/>
          <w:sz w:val="24"/>
          <w:szCs w:val="24"/>
          <w:lang w:val="en-GB"/>
        </w:rPr>
        <w:t>each year of our study period</w:t>
      </w:r>
      <w:r w:rsidR="000A7F33" w:rsidRPr="00B70794">
        <w:rPr>
          <w:rFonts w:ascii="Times New Roman" w:hAnsi="Times New Roman" w:cs="Times New Roman"/>
          <w:sz w:val="24"/>
          <w:szCs w:val="24"/>
          <w:lang w:val="en-GB"/>
        </w:rPr>
        <w:t>,</w:t>
      </w:r>
      <w:r w:rsidR="003E259F" w:rsidRPr="00B70794">
        <w:rPr>
          <w:rFonts w:ascii="Times New Roman" w:hAnsi="Times New Roman" w:cs="Times New Roman"/>
          <w:sz w:val="24"/>
          <w:szCs w:val="24"/>
          <w:lang w:val="en-GB"/>
        </w:rPr>
        <w:t xml:space="preserve"> </w:t>
      </w:r>
      <w:r w:rsidR="000A7F33" w:rsidRPr="00B70794">
        <w:rPr>
          <w:rFonts w:ascii="Times New Roman" w:hAnsi="Times New Roman" w:cs="Times New Roman"/>
          <w:sz w:val="24"/>
          <w:szCs w:val="24"/>
          <w:lang w:val="en-GB"/>
        </w:rPr>
        <w:t xml:space="preserve">and </w:t>
      </w:r>
      <w:r w:rsidR="003E259F" w:rsidRPr="00B70794">
        <w:rPr>
          <w:rFonts w:ascii="Times New Roman" w:hAnsi="Times New Roman" w:cs="Times New Roman"/>
          <w:sz w:val="24"/>
          <w:szCs w:val="24"/>
          <w:lang w:val="en-GB"/>
        </w:rPr>
        <w:t>controlled for</w:t>
      </w:r>
      <w:r w:rsidR="003E259F" w:rsidRPr="00AD7A70">
        <w:rPr>
          <w:rFonts w:ascii="Times New Roman" w:hAnsi="Times New Roman" w:cs="Times New Roman"/>
          <w:sz w:val="24"/>
          <w:szCs w:val="24"/>
          <w:lang w:val="en-GB"/>
        </w:rPr>
        <w:t xml:space="preserve"> the order of the </w:t>
      </w:r>
      <w:r w:rsidR="00965426">
        <w:rPr>
          <w:rFonts w:ascii="Times New Roman" w:hAnsi="Times New Roman" w:cs="Times New Roman"/>
          <w:sz w:val="24"/>
          <w:szCs w:val="24"/>
        </w:rPr>
        <w:t>voluntary M&amp;A announcements</w:t>
      </w:r>
      <w:r w:rsidR="00965426">
        <w:rPr>
          <w:rFonts w:ascii="Times New Roman" w:hAnsi="Times New Roman" w:cs="Times New Roman"/>
          <w:sz w:val="24"/>
          <w:szCs w:val="24"/>
          <w:lang w:val="en-GB"/>
        </w:rPr>
        <w:t xml:space="preserve"> </w:t>
      </w:r>
      <w:r w:rsidR="003E259F">
        <w:rPr>
          <w:rFonts w:ascii="Times New Roman" w:hAnsi="Times New Roman" w:cs="Times New Roman"/>
          <w:sz w:val="24"/>
          <w:szCs w:val="24"/>
          <w:lang w:val="en-GB"/>
        </w:rPr>
        <w:t>(i.e. whether it was the first announcement following the initial announcement of the deal, whether it was the second etc.)</w:t>
      </w:r>
      <w:r w:rsidR="003E259F" w:rsidRPr="00AD7A70">
        <w:rPr>
          <w:rFonts w:ascii="Times New Roman" w:hAnsi="Times New Roman" w:cs="Times New Roman"/>
          <w:sz w:val="24"/>
          <w:szCs w:val="24"/>
          <w:lang w:val="en-GB"/>
        </w:rPr>
        <w:t xml:space="preserve">. </w:t>
      </w:r>
    </w:p>
    <w:p w14:paraId="1FC73BA8" w14:textId="39486AEE" w:rsidR="006B0CFC" w:rsidRPr="00B12EE3" w:rsidRDefault="006B0CFC" w:rsidP="000219B2">
      <w:pPr>
        <w:spacing w:line="480" w:lineRule="auto"/>
        <w:jc w:val="both"/>
        <w:rPr>
          <w:rFonts w:ascii="Times New Roman" w:hAnsi="Times New Roman" w:cs="Times New Roman"/>
          <w:i/>
          <w:noProof/>
          <w:sz w:val="24"/>
          <w:szCs w:val="24"/>
        </w:rPr>
      </w:pPr>
      <w:r w:rsidRPr="00B12EE3">
        <w:rPr>
          <w:rFonts w:ascii="Times New Roman" w:hAnsi="Times New Roman" w:cs="Times New Roman"/>
          <w:i/>
          <w:noProof/>
          <w:sz w:val="24"/>
          <w:szCs w:val="24"/>
        </w:rPr>
        <w:t>Statistical analysis</w:t>
      </w:r>
    </w:p>
    <w:p w14:paraId="20B1BEF1" w14:textId="1811645F" w:rsidR="003F457C" w:rsidRDefault="00227E78" w:rsidP="00253BEB">
      <w:pPr>
        <w:spacing w:line="480" w:lineRule="auto"/>
        <w:ind w:firstLine="720"/>
        <w:contextualSpacing/>
        <w:jc w:val="both"/>
        <w:rPr>
          <w:rFonts w:ascii="Times New Roman" w:hAnsi="Times New Roman" w:cs="Times New Roman"/>
          <w:sz w:val="24"/>
          <w:szCs w:val="24"/>
          <w:lang w:val="en-GB"/>
        </w:rPr>
      </w:pPr>
      <w:r>
        <w:rPr>
          <w:rFonts w:ascii="Times New Roman" w:hAnsi="Times New Roman" w:cs="Times New Roman"/>
          <w:noProof/>
          <w:sz w:val="24"/>
          <w:szCs w:val="24"/>
        </w:rPr>
        <w:t>Our statistical analysis is made up of two stages.</w:t>
      </w:r>
      <w:r w:rsidR="003F457C">
        <w:rPr>
          <w:rFonts w:ascii="Times New Roman" w:hAnsi="Times New Roman" w:cs="Times New Roman"/>
          <w:noProof/>
          <w:sz w:val="24"/>
          <w:szCs w:val="24"/>
        </w:rPr>
        <w:t xml:space="preserve"> First, w</w:t>
      </w:r>
      <w:r w:rsidR="006B0CFC" w:rsidRPr="006B0CFC">
        <w:rPr>
          <w:rFonts w:ascii="Times New Roman" w:hAnsi="Times New Roman" w:cs="Times New Roman"/>
          <w:noProof/>
          <w:sz w:val="24"/>
          <w:szCs w:val="24"/>
        </w:rPr>
        <w:t>e</w:t>
      </w:r>
      <w:r w:rsidR="005F4282">
        <w:rPr>
          <w:rFonts w:ascii="Times New Roman" w:hAnsi="Times New Roman" w:cs="Times New Roman"/>
          <w:noProof/>
          <w:sz w:val="24"/>
          <w:szCs w:val="24"/>
        </w:rPr>
        <w:t xml:space="preserve"> </w:t>
      </w:r>
      <w:r w:rsidR="006B0CFC">
        <w:rPr>
          <w:rFonts w:ascii="Times New Roman" w:hAnsi="Times New Roman" w:cs="Times New Roman"/>
          <w:noProof/>
          <w:sz w:val="24"/>
          <w:szCs w:val="24"/>
        </w:rPr>
        <w:t xml:space="preserve">test the likelihood of organizations carrying out voluntary disclosures regarding M&amp;A after the deal was announced, and before the deal was closed. </w:t>
      </w:r>
      <w:r w:rsidR="003F457C">
        <w:rPr>
          <w:rFonts w:ascii="Times New Roman" w:hAnsi="Times New Roman" w:cs="Times New Roman"/>
          <w:noProof/>
          <w:sz w:val="24"/>
          <w:szCs w:val="24"/>
        </w:rPr>
        <w:t>Second, we carr</w:t>
      </w:r>
      <w:r>
        <w:rPr>
          <w:rFonts w:ascii="Times New Roman" w:hAnsi="Times New Roman" w:cs="Times New Roman"/>
          <w:noProof/>
          <w:sz w:val="24"/>
          <w:szCs w:val="24"/>
        </w:rPr>
        <w:t xml:space="preserve">y </w:t>
      </w:r>
      <w:r w:rsidR="003F457C">
        <w:rPr>
          <w:rFonts w:ascii="Times New Roman" w:hAnsi="Times New Roman" w:cs="Times New Roman"/>
          <w:noProof/>
          <w:sz w:val="24"/>
          <w:szCs w:val="24"/>
        </w:rPr>
        <w:t xml:space="preserve">out another regression with </w:t>
      </w:r>
      <w:r w:rsidR="00421207">
        <w:rPr>
          <w:rFonts w:ascii="Times New Roman" w:hAnsi="Times New Roman" w:cs="Times New Roman"/>
          <w:noProof/>
          <w:sz w:val="24"/>
          <w:szCs w:val="24"/>
        </w:rPr>
        <w:t>CAR</w:t>
      </w:r>
      <w:r w:rsidR="003F457C">
        <w:rPr>
          <w:rFonts w:ascii="Times New Roman" w:hAnsi="Times New Roman" w:cs="Times New Roman"/>
          <w:noProof/>
          <w:sz w:val="24"/>
          <w:szCs w:val="24"/>
        </w:rPr>
        <w:t xml:space="preserve"> associated with </w:t>
      </w:r>
      <w:r w:rsidR="00965426">
        <w:rPr>
          <w:rFonts w:ascii="Times New Roman" w:hAnsi="Times New Roman" w:cs="Times New Roman"/>
          <w:sz w:val="24"/>
          <w:szCs w:val="24"/>
        </w:rPr>
        <w:t>voluntary M&amp;A announcements</w:t>
      </w:r>
      <w:r w:rsidR="00965426">
        <w:rPr>
          <w:rFonts w:ascii="Times New Roman" w:hAnsi="Times New Roman" w:cs="Times New Roman"/>
          <w:noProof/>
          <w:sz w:val="24"/>
          <w:szCs w:val="24"/>
        </w:rPr>
        <w:t xml:space="preserve"> </w:t>
      </w:r>
      <w:r w:rsidR="003F457C">
        <w:rPr>
          <w:rFonts w:ascii="Times New Roman" w:hAnsi="Times New Roman" w:cs="Times New Roman"/>
          <w:noProof/>
          <w:sz w:val="24"/>
          <w:szCs w:val="24"/>
        </w:rPr>
        <w:t xml:space="preserve">as our dependent variable. </w:t>
      </w:r>
      <w:r w:rsidR="00CC3695">
        <w:rPr>
          <w:rFonts w:ascii="Times New Roman" w:hAnsi="Times New Roman" w:cs="Times New Roman"/>
          <w:noProof/>
          <w:sz w:val="24"/>
          <w:szCs w:val="24"/>
        </w:rPr>
        <w:t xml:space="preserve">Our unit of analysis for our first regression is the deal and that of the second regression is the </w:t>
      </w:r>
      <w:r w:rsidR="00421207" w:rsidRPr="00FA0972">
        <w:rPr>
          <w:rFonts w:ascii="Times New Roman" w:hAnsi="Times New Roman" w:cs="Times New Roman"/>
          <w:bCs/>
          <w:sz w:val="24"/>
          <w:szCs w:val="24"/>
        </w:rPr>
        <w:t>v</w:t>
      </w:r>
      <w:r w:rsidR="00421207">
        <w:rPr>
          <w:rFonts w:ascii="Times New Roman" w:hAnsi="Times New Roman" w:cs="Times New Roman"/>
          <w:bCs/>
          <w:sz w:val="24"/>
          <w:szCs w:val="24"/>
        </w:rPr>
        <w:t>oluntary M&amp;A announcement</w:t>
      </w:r>
      <w:r w:rsidR="00CC3695">
        <w:rPr>
          <w:rFonts w:ascii="Times New Roman" w:hAnsi="Times New Roman" w:cs="Times New Roman"/>
          <w:noProof/>
          <w:sz w:val="24"/>
          <w:szCs w:val="24"/>
        </w:rPr>
        <w:t>.</w:t>
      </w:r>
    </w:p>
    <w:p w14:paraId="627761C0" w14:textId="31AD8564" w:rsidR="00D318EE" w:rsidRDefault="00B22DAD" w:rsidP="00F62873">
      <w:pPr>
        <w:spacing w:line="48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Models</w:t>
      </w:r>
      <w:r w:rsidR="00D318EE" w:rsidRPr="009C6556">
        <w:rPr>
          <w:rFonts w:ascii="Times New Roman" w:hAnsi="Times New Roman" w:cs="Times New Roman"/>
          <w:sz w:val="24"/>
          <w:szCs w:val="24"/>
          <w:lang w:val="en-GB"/>
        </w:rPr>
        <w:t xml:space="preserve"> 1a, 2a, 3a, and 4a test whether an organization is engaging in external forms of open strategy when it is undertaking and M&amp;A deal that would be related to departure f</w:t>
      </w:r>
      <w:r w:rsidR="00D318EE">
        <w:rPr>
          <w:rFonts w:ascii="Times New Roman" w:hAnsi="Times New Roman" w:cs="Times New Roman"/>
          <w:sz w:val="24"/>
          <w:szCs w:val="24"/>
          <w:lang w:val="en-GB"/>
        </w:rPr>
        <w:t>ro</w:t>
      </w:r>
      <w:r w:rsidR="00D318EE" w:rsidRPr="009C6556">
        <w:rPr>
          <w:rFonts w:ascii="Times New Roman" w:hAnsi="Times New Roman" w:cs="Times New Roman"/>
          <w:sz w:val="24"/>
          <w:szCs w:val="24"/>
          <w:lang w:val="en-GB"/>
        </w:rPr>
        <w:t>m its existing strategy or divergence from industry norms.</w:t>
      </w:r>
      <w:r w:rsidR="00D318EE">
        <w:rPr>
          <w:rFonts w:ascii="Times New Roman" w:hAnsi="Times New Roman" w:cs="Times New Roman"/>
          <w:sz w:val="24"/>
          <w:szCs w:val="24"/>
          <w:lang w:val="en-GB"/>
        </w:rPr>
        <w:t xml:space="preserve"> We estimated the likelihood that an organization would engage in practices associated with open strategy using the following logistic regression model:</w:t>
      </w:r>
    </w:p>
    <w:p w14:paraId="5F0A70EF" w14:textId="3A27BD51" w:rsidR="006E3158" w:rsidRDefault="00774F36" w:rsidP="00F62873">
      <w:pPr>
        <w:spacing w:line="480" w:lineRule="auto"/>
        <w:ind w:firstLine="720"/>
        <w:contextualSpacing/>
        <w:jc w:val="both"/>
        <w:rPr>
          <w:rFonts w:ascii="Times New Roman" w:hAnsi="Times New Roman" w:cs="Times New Roman"/>
          <w:sz w:val="24"/>
          <w:szCs w:val="24"/>
          <w:lang w:val="en-GB"/>
        </w:rPr>
      </w:pPr>
      <m:oMath>
        <m:func>
          <m:funcPr>
            <m:ctrlPr>
              <w:rPr>
                <w:rFonts w:ascii="Cambria Math" w:hAnsi="Cambria Math" w:cstheme="majorBidi"/>
                <w:i/>
                <w:noProof/>
                <w:sz w:val="24"/>
                <w:szCs w:val="24"/>
              </w:rPr>
            </m:ctrlPr>
          </m:funcPr>
          <m:fName>
            <m:r>
              <m:rPr>
                <m:sty m:val="p"/>
              </m:rPr>
              <w:rPr>
                <w:rFonts w:ascii="Cambria Math" w:hAnsi="Cambria Math" w:cstheme="majorBidi"/>
                <w:noProof/>
                <w:sz w:val="24"/>
                <w:szCs w:val="24"/>
              </w:rPr>
              <m:t>ln</m:t>
            </m:r>
          </m:fName>
          <m:e>
            <m:d>
              <m:dPr>
                <m:ctrlPr>
                  <w:rPr>
                    <w:rFonts w:ascii="Cambria Math" w:hAnsi="Cambria Math" w:cstheme="majorBidi"/>
                    <w:i/>
                    <w:noProof/>
                    <w:sz w:val="24"/>
                    <w:szCs w:val="24"/>
                  </w:rPr>
                </m:ctrlPr>
              </m:dPr>
              <m:e>
                <m:f>
                  <m:fPr>
                    <m:ctrlPr>
                      <w:rPr>
                        <w:rFonts w:ascii="Cambria Math" w:hAnsi="Cambria Math" w:cstheme="majorBidi"/>
                        <w:i/>
                        <w:noProof/>
                        <w:sz w:val="24"/>
                        <w:szCs w:val="24"/>
                      </w:rPr>
                    </m:ctrlPr>
                  </m:fPr>
                  <m:num>
                    <m:r>
                      <w:rPr>
                        <w:rFonts w:ascii="Cambria Math" w:hAnsi="Cambria Math" w:cstheme="majorBidi"/>
                        <w:noProof/>
                        <w:sz w:val="24"/>
                        <w:szCs w:val="24"/>
                      </w:rPr>
                      <m:t>P(</m:t>
                    </m:r>
                    <m:sSub>
                      <m:sSubPr>
                        <m:ctrlPr>
                          <w:rPr>
                            <w:rFonts w:ascii="Cambria Math" w:hAnsi="Cambria Math" w:cstheme="majorBidi"/>
                            <w:i/>
                            <w:noProof/>
                            <w:sz w:val="24"/>
                            <w:szCs w:val="24"/>
                          </w:rPr>
                        </m:ctrlPr>
                      </m:sSubPr>
                      <m:e>
                        <m:r>
                          <w:rPr>
                            <w:rFonts w:ascii="Cambria Math" w:hAnsi="Cambria Math" w:cstheme="majorBidi"/>
                            <w:noProof/>
                            <w:sz w:val="24"/>
                            <w:szCs w:val="24"/>
                          </w:rPr>
                          <m:t>OS</m:t>
                        </m:r>
                      </m:e>
                      <m:sub>
                        <m:r>
                          <w:rPr>
                            <w:rFonts w:ascii="Cambria Math" w:hAnsi="Cambria Math" w:cstheme="majorBidi"/>
                            <w:noProof/>
                            <w:sz w:val="24"/>
                            <w:szCs w:val="24"/>
                          </w:rPr>
                          <m:t>ijt</m:t>
                        </m:r>
                      </m:sub>
                    </m:sSub>
                    <m:r>
                      <w:rPr>
                        <w:rFonts w:ascii="Cambria Math" w:hAnsi="Cambria Math" w:cstheme="majorBidi"/>
                        <w:noProof/>
                        <w:sz w:val="24"/>
                        <w:szCs w:val="24"/>
                      </w:rPr>
                      <m:t>)</m:t>
                    </m:r>
                  </m:num>
                  <m:den>
                    <m:r>
                      <w:rPr>
                        <w:rFonts w:ascii="Cambria Math" w:hAnsi="Cambria Math" w:cstheme="majorBidi"/>
                        <w:noProof/>
                        <w:sz w:val="24"/>
                        <w:szCs w:val="24"/>
                      </w:rPr>
                      <m:t>1-P(</m:t>
                    </m:r>
                    <m:sSub>
                      <m:sSubPr>
                        <m:ctrlPr>
                          <w:rPr>
                            <w:rFonts w:ascii="Cambria Math" w:hAnsi="Cambria Math" w:cstheme="majorBidi"/>
                            <w:i/>
                            <w:noProof/>
                            <w:sz w:val="24"/>
                            <w:szCs w:val="24"/>
                          </w:rPr>
                        </m:ctrlPr>
                      </m:sSubPr>
                      <m:e>
                        <m:r>
                          <w:rPr>
                            <w:rFonts w:ascii="Cambria Math" w:hAnsi="Cambria Math" w:cstheme="majorBidi"/>
                            <w:noProof/>
                            <w:sz w:val="24"/>
                            <w:szCs w:val="24"/>
                          </w:rPr>
                          <m:t>OS</m:t>
                        </m:r>
                      </m:e>
                      <m:sub>
                        <m:r>
                          <w:rPr>
                            <w:rFonts w:ascii="Cambria Math" w:hAnsi="Cambria Math" w:cstheme="majorBidi"/>
                            <w:noProof/>
                            <w:sz w:val="24"/>
                            <w:szCs w:val="24"/>
                          </w:rPr>
                          <m:t>ijt</m:t>
                        </m:r>
                      </m:sub>
                    </m:sSub>
                    <m:r>
                      <w:rPr>
                        <w:rFonts w:ascii="Cambria Math" w:hAnsi="Cambria Math" w:cstheme="majorBidi"/>
                        <w:noProof/>
                        <w:sz w:val="24"/>
                        <w:szCs w:val="24"/>
                      </w:rPr>
                      <m:t>)</m:t>
                    </m:r>
                  </m:den>
                </m:f>
              </m:e>
            </m:d>
          </m:e>
        </m:func>
        <m:r>
          <w:rPr>
            <w:rFonts w:ascii="Cambria Math" w:hAnsi="Cambria Math"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0</m:t>
            </m:r>
          </m:sub>
        </m:sSub>
        <m:r>
          <w:rPr>
            <w:rFonts w:ascii="Cambria Math" w:eastAsia="Times New Roman"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1</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StrVar</m:t>
            </m:r>
          </m:e>
          <m:sub>
            <m:r>
              <w:rPr>
                <w:rFonts w:ascii="Cambria Math" w:hAnsi="Cambria Math" w:cstheme="majorBidi"/>
                <w:noProof/>
                <w:sz w:val="24"/>
                <w:szCs w:val="24"/>
              </w:rPr>
              <m:t>ijt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2</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StrDev</m:t>
            </m:r>
          </m:e>
          <m:sub>
            <m:r>
              <w:rPr>
                <w:rFonts w:ascii="Cambria Math" w:hAnsi="Cambria Math" w:cstheme="majorBidi"/>
                <w:noProof/>
                <w:sz w:val="24"/>
                <w:szCs w:val="24"/>
              </w:rPr>
              <m:t>ijt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3</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ijt</m:t>
            </m:r>
          </m:sub>
        </m:sSub>
        <m:r>
          <w:rPr>
            <w:rFonts w:ascii="Cambria Math" w:hAnsiTheme="majorBidi" w:cstheme="majorBidi"/>
            <w:noProof/>
            <w:sz w:val="24"/>
            <w:szCs w:val="24"/>
          </w:rPr>
          <m:t>+</m:t>
        </m:r>
        <m:r>
          <w:rPr>
            <w:rFonts w:ascii="Cambria Math" w:eastAsia="Times New Roman" w:hAnsi="Cambria Math" w:cstheme="majorBidi"/>
            <w:noProof/>
            <w:sz w:val="24"/>
            <w:szCs w:val="24"/>
          </w:rPr>
          <m:t>δ</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Z</m:t>
            </m:r>
          </m:e>
          <m:sub>
            <m:r>
              <w:rPr>
                <w:rFonts w:ascii="Cambria Math" w:hAnsi="Cambria Math" w:cstheme="majorBidi"/>
                <w:noProof/>
                <w:sz w:val="24"/>
                <w:szCs w:val="24"/>
              </w:rPr>
              <m:t>t</m:t>
            </m:r>
          </m:sub>
        </m:sSub>
        <m:r>
          <w:rPr>
            <w:rFonts w:ascii="Cambria Math" w:eastAsia="Times New Roman"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m:t>
            </m:r>
          </m:sub>
        </m:sSub>
      </m:oMath>
      <w:r w:rsidR="00FF40A2">
        <w:rPr>
          <w:rFonts w:ascii="Times New Roman" w:eastAsiaTheme="minorEastAsia" w:hAnsi="Times New Roman" w:cs="Times New Roman"/>
          <w:sz w:val="24"/>
          <w:szCs w:val="24"/>
        </w:rPr>
        <w:t xml:space="preserve">  </w:t>
      </w:r>
      <w:r w:rsidR="000F2EB1">
        <w:rPr>
          <w:rFonts w:ascii="Times New Roman" w:eastAsiaTheme="minorEastAsia" w:hAnsi="Times New Roman" w:cs="Times New Roman"/>
          <w:sz w:val="24"/>
          <w:szCs w:val="24"/>
        </w:rPr>
        <w:t xml:space="preserve">    </w:t>
      </w:r>
      <w:r w:rsidR="00FF40A2">
        <w:rPr>
          <w:rFonts w:ascii="Times New Roman" w:eastAsiaTheme="minorEastAsia" w:hAnsi="Times New Roman" w:cs="Times New Roman"/>
          <w:sz w:val="24"/>
          <w:szCs w:val="24"/>
        </w:rPr>
        <w:t>(1)</w:t>
      </w:r>
    </w:p>
    <w:p w14:paraId="1B8281CA" w14:textId="7F90A789" w:rsidR="00D30329" w:rsidRPr="00053DDC" w:rsidRDefault="00093F74">
      <w:pPr>
        <w:spacing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where</w:t>
      </w:r>
      <w:r w:rsidR="00053DDC">
        <w:rPr>
          <w:rFonts w:ascii="Times New Roman" w:hAnsi="Times New Roman" w:cs="Times New Roman"/>
          <w:sz w:val="24"/>
          <w:szCs w:val="24"/>
          <w:lang w:val="en-GB"/>
        </w:rPr>
        <w:t xml:space="preserve"> </w:t>
      </w:r>
      <w:r>
        <w:rPr>
          <w:rFonts w:asciiTheme="majorBidi" w:hAnsiTheme="majorBidi" w:cstheme="majorBidi"/>
          <w:i/>
          <w:iCs/>
          <w:noProof/>
          <w:sz w:val="24"/>
          <w:szCs w:val="24"/>
        </w:rPr>
        <w:t xml:space="preserve">i </w:t>
      </w:r>
      <w:r w:rsidRPr="00253BEB">
        <w:rPr>
          <w:rFonts w:asciiTheme="majorBidi" w:hAnsiTheme="majorBidi" w:cstheme="majorBidi"/>
          <w:iCs/>
          <w:noProof/>
          <w:sz w:val="24"/>
          <w:szCs w:val="24"/>
        </w:rPr>
        <w:t xml:space="preserve">represented </w:t>
      </w:r>
      <w:r>
        <w:rPr>
          <w:rFonts w:asciiTheme="majorBidi" w:hAnsiTheme="majorBidi" w:cstheme="majorBidi"/>
          <w:iCs/>
          <w:noProof/>
          <w:sz w:val="24"/>
          <w:szCs w:val="24"/>
        </w:rPr>
        <w:t>firm</w:t>
      </w:r>
      <w:r w:rsidRPr="00253BEB">
        <w:rPr>
          <w:rFonts w:asciiTheme="majorBidi" w:hAnsiTheme="majorBidi" w:cstheme="majorBidi"/>
          <w:iCs/>
          <w:noProof/>
          <w:sz w:val="24"/>
          <w:szCs w:val="24"/>
        </w:rPr>
        <w:t xml:space="preserve"> </w:t>
      </w:r>
      <w:r>
        <w:rPr>
          <w:rFonts w:asciiTheme="majorBidi" w:hAnsiTheme="majorBidi" w:cstheme="majorBidi"/>
          <w:i/>
          <w:iCs/>
          <w:noProof/>
          <w:sz w:val="24"/>
          <w:szCs w:val="24"/>
        </w:rPr>
        <w:t>i,</w:t>
      </w:r>
      <w:r w:rsidRPr="00093F74">
        <w:rPr>
          <w:rFonts w:asciiTheme="majorBidi" w:hAnsiTheme="majorBidi" w:cstheme="majorBidi"/>
          <w:i/>
          <w:iCs/>
          <w:noProof/>
          <w:sz w:val="24"/>
          <w:szCs w:val="24"/>
        </w:rPr>
        <w:t xml:space="preserve"> </w:t>
      </w:r>
      <w:r>
        <w:rPr>
          <w:rFonts w:asciiTheme="majorBidi" w:hAnsiTheme="majorBidi" w:cstheme="majorBidi"/>
          <w:i/>
          <w:iCs/>
          <w:noProof/>
          <w:sz w:val="24"/>
          <w:szCs w:val="24"/>
        </w:rPr>
        <w:t xml:space="preserve">j </w:t>
      </w:r>
      <w:r w:rsidRPr="00253BEB">
        <w:rPr>
          <w:rFonts w:asciiTheme="majorBidi" w:hAnsiTheme="majorBidi" w:cstheme="majorBidi"/>
          <w:iCs/>
          <w:noProof/>
          <w:sz w:val="24"/>
          <w:szCs w:val="24"/>
        </w:rPr>
        <w:t>represented deal</w:t>
      </w:r>
      <w:r>
        <w:rPr>
          <w:rFonts w:asciiTheme="majorBidi" w:hAnsiTheme="majorBidi" w:cstheme="majorBidi"/>
          <w:i/>
          <w:iCs/>
          <w:noProof/>
          <w:sz w:val="24"/>
          <w:szCs w:val="24"/>
        </w:rPr>
        <w:t xml:space="preserve"> j, </w:t>
      </w:r>
      <w:r w:rsidRPr="00253BEB">
        <w:rPr>
          <w:rFonts w:asciiTheme="majorBidi" w:hAnsiTheme="majorBidi" w:cstheme="majorBidi"/>
          <w:iCs/>
          <w:noProof/>
          <w:sz w:val="24"/>
          <w:szCs w:val="24"/>
        </w:rPr>
        <w:t>and</w:t>
      </w:r>
      <w:r>
        <w:rPr>
          <w:rFonts w:asciiTheme="majorBidi" w:hAnsiTheme="majorBidi" w:cstheme="majorBidi"/>
          <w:i/>
          <w:iCs/>
          <w:noProof/>
          <w:sz w:val="24"/>
          <w:szCs w:val="24"/>
        </w:rPr>
        <w:t xml:space="preserve"> </w:t>
      </w:r>
      <w:r w:rsidR="00053DDC">
        <w:rPr>
          <w:rFonts w:asciiTheme="majorBidi" w:hAnsiTheme="majorBidi" w:cstheme="majorBidi"/>
          <w:i/>
          <w:iCs/>
          <w:noProof/>
          <w:sz w:val="24"/>
          <w:szCs w:val="24"/>
        </w:rPr>
        <w:t xml:space="preserve">t </w:t>
      </w:r>
      <w:r w:rsidR="00053DDC" w:rsidRPr="00253BEB">
        <w:rPr>
          <w:rFonts w:asciiTheme="majorBidi" w:hAnsiTheme="majorBidi" w:cstheme="majorBidi"/>
          <w:iCs/>
          <w:noProof/>
          <w:sz w:val="24"/>
          <w:szCs w:val="24"/>
        </w:rPr>
        <w:t xml:space="preserve">represented </w:t>
      </w:r>
      <w:r w:rsidR="00FF40A2">
        <w:rPr>
          <w:rFonts w:asciiTheme="majorBidi" w:hAnsiTheme="majorBidi" w:cstheme="majorBidi"/>
          <w:iCs/>
          <w:noProof/>
          <w:sz w:val="24"/>
          <w:szCs w:val="24"/>
        </w:rPr>
        <w:t>time</w:t>
      </w:r>
      <w:r w:rsidR="00FF40A2">
        <w:rPr>
          <w:rFonts w:asciiTheme="majorBidi" w:hAnsiTheme="majorBidi" w:cstheme="majorBidi"/>
          <w:i/>
          <w:iCs/>
          <w:noProof/>
          <w:sz w:val="24"/>
          <w:szCs w:val="24"/>
        </w:rPr>
        <w:t xml:space="preserve"> </w:t>
      </w:r>
      <w:r w:rsidR="00053DDC">
        <w:rPr>
          <w:rFonts w:asciiTheme="majorBidi" w:hAnsiTheme="majorBidi" w:cstheme="majorBidi"/>
          <w:i/>
          <w:iCs/>
          <w:noProof/>
          <w:sz w:val="24"/>
          <w:szCs w:val="24"/>
        </w:rPr>
        <w:t xml:space="preserve">t. </w:t>
      </w:r>
      <m:oMath>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OS</m:t>
            </m:r>
          </m:e>
          <m:sub>
            <m:r>
              <w:rPr>
                <w:rFonts w:ascii="Cambria Math" w:hAnsi="Cambria Math" w:cstheme="majorBidi"/>
                <w:noProof/>
                <w:sz w:val="24"/>
                <w:szCs w:val="24"/>
              </w:rPr>
              <m:t>ijt</m:t>
            </m:r>
          </m:sub>
        </m:sSub>
      </m:oMath>
      <w:r w:rsidR="00053DDC">
        <w:rPr>
          <w:rFonts w:asciiTheme="majorBidi" w:eastAsiaTheme="minorEastAsia" w:hAnsiTheme="majorBidi" w:cstheme="majorBidi"/>
          <w:i/>
          <w:noProof/>
          <w:sz w:val="24"/>
          <w:szCs w:val="24"/>
        </w:rPr>
        <w:t xml:space="preserve"> </w:t>
      </w:r>
      <w:r w:rsidR="00053DDC" w:rsidRPr="00253BEB">
        <w:rPr>
          <w:rFonts w:asciiTheme="majorBidi" w:eastAsiaTheme="minorEastAsia" w:hAnsiTheme="majorBidi" w:cstheme="majorBidi"/>
          <w:noProof/>
          <w:sz w:val="24"/>
          <w:szCs w:val="24"/>
        </w:rPr>
        <w:t>was the dependent variable,</w:t>
      </w:r>
      <m:oMath>
        <m:r>
          <w:rPr>
            <w:rFonts w:ascii="Cambria Math" w:eastAsia="Times New Roman" w:hAnsiTheme="majorBidi" w:cstheme="majorBidi"/>
            <w:noProof/>
            <w:sz w:val="24"/>
            <w:szCs w:val="24"/>
          </w:rPr>
          <m:t xml:space="preserve"> </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ijt</m:t>
            </m:r>
          </m:sub>
        </m:sSub>
      </m:oMath>
      <w:r w:rsidR="00053DDC">
        <w:rPr>
          <w:rFonts w:asciiTheme="majorBidi" w:eastAsiaTheme="minorEastAsia" w:hAnsiTheme="majorBidi" w:cstheme="majorBidi"/>
          <w:i/>
          <w:noProof/>
          <w:sz w:val="24"/>
          <w:szCs w:val="24"/>
        </w:rPr>
        <w:t xml:space="preserve"> </w:t>
      </w:r>
      <w:r w:rsidR="00053DDC" w:rsidRPr="00253BEB">
        <w:rPr>
          <w:rFonts w:asciiTheme="majorBidi" w:eastAsiaTheme="minorEastAsia" w:hAnsiTheme="majorBidi" w:cstheme="majorBidi"/>
          <w:noProof/>
          <w:sz w:val="24"/>
          <w:szCs w:val="24"/>
        </w:rPr>
        <w:t>was a matrix of controls</w:t>
      </w:r>
      <w:r w:rsidR="00F721A1">
        <w:rPr>
          <w:rFonts w:asciiTheme="majorBidi" w:eastAsiaTheme="minorEastAsia" w:hAnsiTheme="majorBidi" w:cstheme="majorBidi"/>
          <w:noProof/>
          <w:sz w:val="24"/>
          <w:szCs w:val="24"/>
        </w:rPr>
        <w:t>,</w:t>
      </w:r>
      <w:r w:rsidR="00053DDC" w:rsidRPr="00253BEB">
        <w:rPr>
          <w:rFonts w:asciiTheme="majorBidi" w:eastAsiaTheme="minorEastAsia" w:hAnsiTheme="majorBidi" w:cstheme="majorBidi"/>
          <w:noProof/>
          <w:sz w:val="24"/>
          <w:szCs w:val="24"/>
        </w:rPr>
        <w:t xml:space="preserve"> and</w:t>
      </w:r>
      <w:r w:rsidR="00053DDC">
        <w:rPr>
          <w:rFonts w:asciiTheme="majorBidi" w:eastAsiaTheme="minorEastAsia" w:hAnsiTheme="majorBidi" w:cstheme="majorBidi"/>
          <w:i/>
          <w:noProof/>
          <w:sz w:val="24"/>
          <w:szCs w:val="24"/>
        </w:rPr>
        <w:t xml:space="preserve"> </w:t>
      </w:r>
      <m:oMath>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Z</m:t>
            </m:r>
          </m:e>
          <m:sub>
            <m:r>
              <w:rPr>
                <w:rFonts w:ascii="Cambria Math" w:hAnsi="Cambria Math" w:cstheme="majorBidi"/>
                <w:noProof/>
                <w:sz w:val="24"/>
                <w:szCs w:val="24"/>
              </w:rPr>
              <m:t>t</m:t>
            </m:r>
          </m:sub>
        </m:sSub>
        <m:r>
          <w:rPr>
            <w:rFonts w:ascii="Cambria Math" w:eastAsia="Times New Roman" w:hAnsiTheme="majorBidi" w:cstheme="majorBidi"/>
            <w:noProof/>
            <w:sz w:val="24"/>
            <w:szCs w:val="24"/>
          </w:rPr>
          <m:t xml:space="preserve"> </m:t>
        </m:r>
      </m:oMath>
      <w:r w:rsidR="00053DDC" w:rsidRPr="00253BEB">
        <w:rPr>
          <w:rFonts w:asciiTheme="majorBidi" w:eastAsiaTheme="minorEastAsia" w:hAnsiTheme="majorBidi" w:cstheme="majorBidi"/>
          <w:noProof/>
          <w:sz w:val="24"/>
          <w:szCs w:val="24"/>
        </w:rPr>
        <w:t>to account for unobserved changes in M&amp;A trends.</w:t>
      </w:r>
    </w:p>
    <w:p w14:paraId="64221C81" w14:textId="7E25A22B" w:rsidR="003F457C" w:rsidRDefault="003F457C" w:rsidP="00253BEB">
      <w:pPr>
        <w:spacing w:line="480" w:lineRule="auto"/>
        <w:ind w:firstLine="720"/>
        <w:contextualSpacing/>
        <w:jc w:val="both"/>
        <w:rPr>
          <w:rFonts w:asciiTheme="majorBidi" w:hAnsiTheme="majorBidi" w:cstheme="majorBidi"/>
          <w:sz w:val="24"/>
          <w:szCs w:val="24"/>
          <w:u w:val="single"/>
        </w:rPr>
      </w:pPr>
      <w:r>
        <w:rPr>
          <w:rFonts w:asciiTheme="majorBidi" w:hAnsiTheme="majorBidi" w:cstheme="majorBidi"/>
          <w:noProof/>
          <w:sz w:val="24"/>
          <w:szCs w:val="24"/>
        </w:rPr>
        <w:t>We calculated abnormal returns</w:t>
      </w:r>
      <w:r w:rsidR="009545BE">
        <w:rPr>
          <w:rFonts w:asciiTheme="majorBidi" w:hAnsiTheme="majorBidi" w:cstheme="majorBidi"/>
          <w:noProof/>
          <w:sz w:val="24"/>
          <w:szCs w:val="24"/>
        </w:rPr>
        <w:t>, i.e. the difference between the expected returns and actual returns,</w:t>
      </w:r>
      <w:r>
        <w:rPr>
          <w:rFonts w:asciiTheme="majorBidi" w:hAnsiTheme="majorBidi" w:cstheme="majorBidi"/>
          <w:noProof/>
          <w:sz w:val="24"/>
          <w:szCs w:val="24"/>
        </w:rPr>
        <w:t xml:space="preserve"> using a market model for each firm</w:t>
      </w:r>
      <w:r w:rsidR="009545BE">
        <w:rPr>
          <w:rStyle w:val="FootnoteReference"/>
          <w:rFonts w:asciiTheme="majorBidi" w:hAnsiTheme="majorBidi" w:cstheme="majorBidi"/>
          <w:noProof/>
          <w:sz w:val="24"/>
          <w:szCs w:val="24"/>
        </w:rPr>
        <w:footnoteReference w:id="5"/>
      </w:r>
      <w:r>
        <w:rPr>
          <w:rFonts w:asciiTheme="majorBidi" w:hAnsiTheme="majorBidi" w:cstheme="majorBidi"/>
          <w:noProof/>
          <w:sz w:val="24"/>
          <w:szCs w:val="24"/>
        </w:rPr>
        <w:t xml:space="preserve"> with an estimation window. The model to capture CAR was:</w:t>
      </w:r>
    </w:p>
    <w:p w14:paraId="0BAC601A" w14:textId="135DC16C" w:rsidR="003F457C" w:rsidRDefault="00774F36" w:rsidP="00253BEB">
      <w:pPr>
        <w:spacing w:line="480" w:lineRule="auto"/>
        <w:jc w:val="right"/>
        <w:rPr>
          <w:rFonts w:asciiTheme="majorBidi" w:hAnsiTheme="majorBidi" w:cstheme="majorBidi"/>
          <w:noProof/>
          <w:sz w:val="24"/>
          <w:szCs w:val="24"/>
        </w:rPr>
      </w:pPr>
      <m:oMath>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R</m:t>
            </m:r>
          </m:e>
          <m:sub>
            <m:r>
              <w:rPr>
                <w:rFonts w:ascii="Cambria Math" w:hAnsi="Cambria Math" w:cstheme="majorBidi"/>
                <w:noProof/>
                <w:sz w:val="24"/>
                <w:szCs w:val="24"/>
              </w:rPr>
              <m:t>it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α</m:t>
            </m:r>
          </m:e>
          <m:sub>
            <m:r>
              <w:rPr>
                <w:rFonts w:ascii="Cambria Math" w:hAnsi="Cambria Math" w:cstheme="majorBidi"/>
                <w:noProof/>
                <w:sz w:val="24"/>
                <w:szCs w:val="24"/>
              </w:rPr>
              <m:t>i</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i</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R</m:t>
            </m:r>
          </m:e>
          <m:sub>
            <m:r>
              <w:rPr>
                <w:rFonts w:ascii="Cambria Math" w:hAnsi="Cambria Math" w:cstheme="majorBidi"/>
                <w:noProof/>
                <w:sz w:val="24"/>
                <w:szCs w:val="24"/>
              </w:rPr>
              <m:t>mt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it</m:t>
            </m:r>
          </m:sub>
        </m:sSub>
      </m:oMath>
      <w:r w:rsidR="003F457C">
        <w:rPr>
          <w:rFonts w:asciiTheme="majorBidi" w:hAnsiTheme="majorBidi" w:cstheme="majorBidi"/>
          <w:noProof/>
          <w:sz w:val="24"/>
          <w:szCs w:val="24"/>
        </w:rPr>
        <w:tab/>
      </w:r>
      <m:oMath>
        <m:r>
          <w:rPr>
            <w:rFonts w:ascii="Cambria Math" w:hAnsi="Cambria Math" w:cstheme="majorBidi"/>
            <w:noProof/>
            <w:sz w:val="24"/>
            <w:szCs w:val="24"/>
          </w:rPr>
          <m:t>E</m:t>
        </m:r>
        <m:d>
          <m:dPr>
            <m:begChr m:val="["/>
            <m:endChr m:val="]"/>
            <m:ctrlPr>
              <w:rPr>
                <w:rFonts w:ascii="Cambria Math" w:eastAsia="Times New Roman" w:hAnsiTheme="majorBidi" w:cstheme="majorBidi"/>
                <w:i/>
                <w:noProof/>
                <w:sz w:val="24"/>
                <w:szCs w:val="24"/>
              </w:rPr>
            </m:ctrlPr>
          </m:dPr>
          <m:e>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it</m:t>
                </m:r>
              </m:sub>
            </m:sSub>
          </m:e>
        </m:d>
        <m:r>
          <w:rPr>
            <w:rFonts w:ascii="Cambria Math" w:hAnsiTheme="majorBidi" w:cstheme="majorBidi"/>
            <w:noProof/>
            <w:sz w:val="24"/>
            <w:szCs w:val="24"/>
          </w:rPr>
          <m:t>=0</m:t>
        </m:r>
      </m:oMath>
      <w:r w:rsidR="003F457C">
        <w:rPr>
          <w:rFonts w:asciiTheme="majorBidi" w:hAnsiTheme="majorBidi" w:cstheme="majorBidi"/>
          <w:noProof/>
          <w:sz w:val="24"/>
          <w:szCs w:val="24"/>
        </w:rPr>
        <w:t xml:space="preserve">  and  </w:t>
      </w:r>
      <m:oMath>
        <m:r>
          <w:rPr>
            <w:rFonts w:ascii="Cambria Math" w:hAnsi="Cambria Math" w:cstheme="majorBidi"/>
            <w:noProof/>
            <w:sz w:val="24"/>
            <w:szCs w:val="24"/>
          </w:rPr>
          <m:t>Var</m:t>
        </m:r>
        <m:d>
          <m:dPr>
            <m:begChr m:val="["/>
            <m:endChr m:val="]"/>
            <m:ctrlPr>
              <w:rPr>
                <w:rFonts w:ascii="Cambria Math" w:eastAsia="Times New Roman" w:hAnsiTheme="majorBidi" w:cstheme="majorBidi"/>
                <w:i/>
                <w:noProof/>
                <w:sz w:val="24"/>
                <w:szCs w:val="24"/>
              </w:rPr>
            </m:ctrlPr>
          </m:dPr>
          <m:e>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it</m:t>
                </m:r>
              </m:sub>
            </m:sSub>
          </m:e>
        </m:d>
        <m:r>
          <w:rPr>
            <w:rFonts w:ascii="Cambria Math" w:hAnsiTheme="majorBidi" w:cstheme="majorBidi"/>
            <w:noProof/>
            <w:sz w:val="24"/>
            <w:szCs w:val="24"/>
          </w:rPr>
          <m:t>=</m:t>
        </m:r>
        <m:sSubSup>
          <m:sSubSupPr>
            <m:ctrlPr>
              <w:rPr>
                <w:rFonts w:ascii="Cambria Math" w:eastAsia="Times New Roman" w:hAnsiTheme="majorBidi" w:cstheme="majorBidi"/>
                <w:i/>
                <w:noProof/>
                <w:sz w:val="24"/>
                <w:szCs w:val="24"/>
              </w:rPr>
            </m:ctrlPr>
          </m:sSubSupPr>
          <m:e>
            <m:r>
              <w:rPr>
                <w:rFonts w:ascii="Cambria Math" w:hAnsi="Cambria Math" w:cstheme="majorBidi"/>
                <w:noProof/>
                <w:sz w:val="24"/>
                <w:szCs w:val="24"/>
              </w:rPr>
              <m:t>σ</m:t>
            </m:r>
          </m:e>
          <m: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it</m:t>
                </m:r>
              </m:sub>
            </m:sSub>
          </m:sub>
          <m:sup>
            <m:r>
              <w:rPr>
                <w:rFonts w:ascii="Cambria Math" w:hAnsiTheme="majorBidi" w:cstheme="majorBidi"/>
                <w:noProof/>
                <w:sz w:val="24"/>
                <w:szCs w:val="24"/>
              </w:rPr>
              <m:t>2</m:t>
            </m:r>
          </m:sup>
        </m:sSubSup>
      </m:oMath>
      <w:r w:rsidR="003F457C">
        <w:rPr>
          <w:rFonts w:asciiTheme="majorBidi" w:hAnsiTheme="majorBidi" w:cstheme="majorBidi"/>
          <w:noProof/>
          <w:sz w:val="24"/>
          <w:szCs w:val="24"/>
        </w:rPr>
        <w:t xml:space="preserve">               (</w:t>
      </w:r>
      <w:r w:rsidR="00F721A1">
        <w:rPr>
          <w:rFonts w:asciiTheme="majorBidi" w:hAnsiTheme="majorBidi" w:cstheme="majorBidi"/>
          <w:noProof/>
          <w:sz w:val="24"/>
          <w:szCs w:val="24"/>
        </w:rPr>
        <w:t>2</w:t>
      </w:r>
      <w:r w:rsidR="003F457C">
        <w:rPr>
          <w:rFonts w:asciiTheme="majorBidi" w:hAnsiTheme="majorBidi" w:cstheme="majorBidi"/>
          <w:noProof/>
          <w:sz w:val="24"/>
          <w:szCs w:val="24"/>
        </w:rPr>
        <w:t>)</w:t>
      </w:r>
    </w:p>
    <w:p w14:paraId="0EF7E0AF" w14:textId="67CF148F" w:rsidR="00CE740A" w:rsidRDefault="00A453CA" w:rsidP="000E5E64">
      <w:pPr>
        <w:spacing w:line="480" w:lineRule="auto"/>
        <w:ind w:firstLine="720"/>
        <w:jc w:val="both"/>
        <w:rPr>
          <w:rFonts w:asciiTheme="majorBidi" w:hAnsiTheme="majorBidi" w:cstheme="majorBidi"/>
          <w:sz w:val="24"/>
          <w:szCs w:val="24"/>
          <w:lang w:val="en-GB"/>
        </w:rPr>
      </w:pPr>
      <w:r>
        <w:rPr>
          <w:rFonts w:asciiTheme="majorBidi" w:hAnsiTheme="majorBidi" w:cstheme="majorBidi"/>
          <w:noProof/>
          <w:sz w:val="24"/>
          <w:szCs w:val="24"/>
        </w:rPr>
        <w:t>W</w:t>
      </w:r>
      <w:r w:rsidR="00360C1E">
        <w:rPr>
          <w:rFonts w:asciiTheme="majorBidi" w:hAnsiTheme="majorBidi" w:cstheme="majorBidi"/>
          <w:noProof/>
          <w:sz w:val="24"/>
          <w:szCs w:val="24"/>
        </w:rPr>
        <w:t xml:space="preserve">e </w:t>
      </w:r>
      <w:r w:rsidR="003F457C">
        <w:rPr>
          <w:rFonts w:asciiTheme="majorBidi" w:hAnsiTheme="majorBidi" w:cstheme="majorBidi"/>
          <w:noProof/>
          <w:sz w:val="24"/>
          <w:szCs w:val="24"/>
        </w:rPr>
        <w:t xml:space="preserve">used the NYSE and NSDQ equal-weighted index as the index of market portfolio which indicates the price trend movements based on a broad cross-section of the market. </w:t>
      </w:r>
      <w:r w:rsidR="003F457C">
        <w:rPr>
          <w:rFonts w:asciiTheme="majorBidi" w:hAnsiTheme="majorBidi" w:cstheme="majorBidi"/>
          <w:sz w:val="24"/>
          <w:szCs w:val="24"/>
          <w:lang w:val="en-GB"/>
        </w:rPr>
        <w:t xml:space="preserve">In order to calculate the expected return over the t= [-1, +1] event window, we used the coefficient found from </w:t>
      </w:r>
      <w:r w:rsidR="009545BE">
        <w:rPr>
          <w:rFonts w:asciiTheme="majorBidi" w:hAnsiTheme="majorBidi" w:cstheme="majorBidi"/>
          <w:sz w:val="24"/>
          <w:szCs w:val="24"/>
          <w:lang w:val="en-GB"/>
        </w:rPr>
        <w:t xml:space="preserve">the equation </w:t>
      </w:r>
      <w:r w:rsidR="003F457C">
        <w:rPr>
          <w:rFonts w:asciiTheme="majorBidi" w:hAnsiTheme="majorBidi" w:cstheme="majorBidi"/>
          <w:sz w:val="24"/>
          <w:szCs w:val="24"/>
          <w:lang w:val="en-GB"/>
        </w:rPr>
        <w:t>(</w:t>
      </w:r>
      <w:r w:rsidR="00F721A1">
        <w:rPr>
          <w:rFonts w:asciiTheme="majorBidi" w:hAnsiTheme="majorBidi" w:cstheme="majorBidi"/>
          <w:sz w:val="24"/>
          <w:szCs w:val="24"/>
          <w:lang w:val="en-GB"/>
        </w:rPr>
        <w:t>2</w:t>
      </w:r>
      <w:r w:rsidR="003F457C">
        <w:rPr>
          <w:rFonts w:asciiTheme="majorBidi" w:hAnsiTheme="majorBidi" w:cstheme="majorBidi"/>
          <w:sz w:val="24"/>
          <w:szCs w:val="24"/>
          <w:lang w:val="en-GB"/>
        </w:rPr>
        <w:t>).</w:t>
      </w:r>
    </w:p>
    <w:p w14:paraId="6EEF73C0" w14:textId="2CC67560" w:rsidR="003F457C" w:rsidRPr="009C6556" w:rsidRDefault="00B22DAD" w:rsidP="00A453CA">
      <w:pPr>
        <w:spacing w:line="480" w:lineRule="auto"/>
        <w:ind w:firstLine="720"/>
        <w:jc w:val="both"/>
        <w:rPr>
          <w:rFonts w:asciiTheme="majorBidi" w:hAnsiTheme="majorBidi" w:cstheme="majorBidi"/>
          <w:color w:val="FF0000"/>
          <w:sz w:val="24"/>
          <w:szCs w:val="24"/>
          <w:lang w:val="en-GB"/>
        </w:rPr>
      </w:pPr>
      <w:r>
        <w:rPr>
          <w:rFonts w:asciiTheme="majorBidi" w:hAnsiTheme="majorBidi" w:cstheme="majorBidi"/>
          <w:noProof/>
          <w:color w:val="000000" w:themeColor="text1"/>
          <w:sz w:val="24"/>
          <w:szCs w:val="24"/>
        </w:rPr>
        <w:t xml:space="preserve">Models </w:t>
      </w:r>
      <w:r w:rsidR="009545BE" w:rsidRPr="009C6556">
        <w:rPr>
          <w:rFonts w:ascii="Times New Roman" w:hAnsi="Times New Roman" w:cs="Times New Roman"/>
          <w:color w:val="000000" w:themeColor="text1"/>
          <w:sz w:val="24"/>
          <w:szCs w:val="24"/>
          <w:lang w:val="en-GB"/>
        </w:rPr>
        <w:t xml:space="preserve">1b, 2b, 3b, and 4b are </w:t>
      </w:r>
      <w:r w:rsidR="000F2EB1">
        <w:rPr>
          <w:rFonts w:ascii="Times New Roman" w:hAnsi="Times New Roman" w:cs="Times New Roman"/>
          <w:color w:val="000000" w:themeColor="text1"/>
          <w:sz w:val="24"/>
          <w:szCs w:val="24"/>
          <w:lang w:val="en-GB"/>
        </w:rPr>
        <w:t>constructed in order to</w:t>
      </w:r>
      <w:r w:rsidR="000F2EB1" w:rsidRPr="009C6556">
        <w:rPr>
          <w:rFonts w:ascii="Times New Roman" w:hAnsi="Times New Roman" w:cs="Times New Roman"/>
          <w:color w:val="000000" w:themeColor="text1"/>
          <w:sz w:val="24"/>
          <w:szCs w:val="24"/>
          <w:lang w:val="en-GB"/>
        </w:rPr>
        <w:t xml:space="preserve"> </w:t>
      </w:r>
      <w:r w:rsidR="000F2EB1">
        <w:rPr>
          <w:rFonts w:ascii="Times New Roman" w:hAnsi="Times New Roman" w:cs="Times New Roman"/>
          <w:color w:val="000000" w:themeColor="text1"/>
          <w:sz w:val="24"/>
          <w:szCs w:val="24"/>
          <w:lang w:val="en-GB"/>
        </w:rPr>
        <w:t>test</w:t>
      </w:r>
      <w:r w:rsidR="000F2EB1" w:rsidRPr="009C6556">
        <w:rPr>
          <w:rFonts w:ascii="Times New Roman" w:hAnsi="Times New Roman" w:cs="Times New Roman"/>
          <w:color w:val="000000" w:themeColor="text1"/>
          <w:sz w:val="24"/>
          <w:szCs w:val="24"/>
          <w:lang w:val="en-GB"/>
        </w:rPr>
        <w:t xml:space="preserve"> </w:t>
      </w:r>
      <w:r w:rsidR="009545BE" w:rsidRPr="009C6556">
        <w:rPr>
          <w:rFonts w:ascii="Times New Roman" w:hAnsi="Times New Roman" w:cs="Times New Roman"/>
          <w:color w:val="000000" w:themeColor="text1"/>
          <w:sz w:val="24"/>
          <w:szCs w:val="24"/>
          <w:lang w:val="en-GB"/>
        </w:rPr>
        <w:t xml:space="preserve">whether </w:t>
      </w:r>
      <w:r w:rsidR="009545BE" w:rsidRPr="009C6556">
        <w:rPr>
          <w:rFonts w:asciiTheme="majorBidi" w:hAnsiTheme="majorBidi" w:cstheme="majorBidi"/>
          <w:noProof/>
          <w:color w:val="000000" w:themeColor="text1"/>
          <w:sz w:val="24"/>
          <w:szCs w:val="24"/>
        </w:rPr>
        <w:t xml:space="preserve">stock price responses </w:t>
      </w:r>
      <w:r w:rsidR="000F2EB1">
        <w:rPr>
          <w:rFonts w:asciiTheme="majorBidi" w:hAnsiTheme="majorBidi" w:cstheme="majorBidi"/>
          <w:noProof/>
          <w:color w:val="000000" w:themeColor="text1"/>
          <w:sz w:val="24"/>
          <w:szCs w:val="24"/>
        </w:rPr>
        <w:t xml:space="preserve">are </w:t>
      </w:r>
      <w:r w:rsidR="009545BE" w:rsidRPr="009C6556">
        <w:rPr>
          <w:rFonts w:asciiTheme="majorBidi" w:hAnsiTheme="majorBidi" w:cstheme="majorBidi"/>
          <w:noProof/>
          <w:color w:val="000000" w:themeColor="text1"/>
          <w:sz w:val="24"/>
          <w:szCs w:val="24"/>
        </w:rPr>
        <w:t xml:space="preserve">associated with </w:t>
      </w:r>
      <w:r w:rsidR="009545BE" w:rsidRPr="009C6556">
        <w:rPr>
          <w:rFonts w:ascii="Times New Roman" w:hAnsi="Times New Roman" w:cs="Times New Roman"/>
          <w:bCs/>
          <w:color w:val="000000" w:themeColor="text1"/>
          <w:sz w:val="24"/>
          <w:szCs w:val="24"/>
        </w:rPr>
        <w:t>voluntary M&amp;A announcements</w:t>
      </w:r>
      <w:r w:rsidR="000F2EB1">
        <w:rPr>
          <w:rFonts w:ascii="Times New Roman" w:hAnsi="Times New Roman" w:cs="Times New Roman"/>
          <w:bCs/>
          <w:color w:val="000000" w:themeColor="text1"/>
          <w:sz w:val="24"/>
          <w:szCs w:val="24"/>
        </w:rPr>
        <w:t>. We used the equation (3) to test this association.</w:t>
      </w:r>
      <w:r w:rsidR="002C138B">
        <w:rPr>
          <w:rFonts w:asciiTheme="majorBidi" w:hAnsiTheme="majorBidi" w:cstheme="majorBidi"/>
          <w:color w:val="FF0000"/>
          <w:sz w:val="24"/>
          <w:szCs w:val="24"/>
          <w:lang w:val="en-GB"/>
        </w:rPr>
        <w:t xml:space="preserve"> </w:t>
      </w:r>
    </w:p>
    <w:p w14:paraId="0E433ACA" w14:textId="3180778C" w:rsidR="002C134F" w:rsidRPr="009C6556" w:rsidRDefault="00774F36" w:rsidP="000E5E64">
      <w:pPr>
        <w:spacing w:line="480" w:lineRule="auto"/>
        <w:ind w:firstLine="720"/>
        <w:contextualSpacing/>
        <w:jc w:val="both"/>
        <w:rPr>
          <w:rFonts w:asciiTheme="majorBidi" w:hAnsiTheme="majorBidi" w:cstheme="majorBidi"/>
          <w:noProof/>
          <w:sz w:val="24"/>
          <w:szCs w:val="24"/>
          <w:lang w:val="en-GB"/>
        </w:rPr>
      </w:pPr>
      <m:oMath>
        <m:sSub>
          <m:sSubPr>
            <m:ctrlPr>
              <w:rPr>
                <w:rFonts w:ascii="Cambria Math" w:hAnsi="Cambria Math" w:cstheme="majorBidi"/>
                <w:i/>
                <w:noProof/>
                <w:sz w:val="24"/>
                <w:szCs w:val="24"/>
              </w:rPr>
            </m:ctrlPr>
          </m:sSubPr>
          <m:e>
            <m:r>
              <w:rPr>
                <w:rFonts w:ascii="Cambria Math" w:hAnsi="Cambria Math" w:cstheme="majorBidi"/>
                <w:noProof/>
                <w:sz w:val="24"/>
                <w:szCs w:val="24"/>
              </w:rPr>
              <m:t>CAR</m:t>
            </m:r>
          </m:e>
          <m:sub>
            <m:r>
              <w:rPr>
                <w:rFonts w:ascii="Cambria Math" w:hAnsi="Cambria Math" w:cstheme="majorBidi"/>
                <w:noProof/>
                <w:sz w:val="24"/>
                <w:szCs w:val="24"/>
              </w:rPr>
              <m:t>ijt</m:t>
            </m:r>
          </m:sub>
        </m:sSub>
        <m:r>
          <w:rPr>
            <w:rFonts w:ascii="Cambria Math" w:hAnsi="Cambria Math"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0</m:t>
            </m:r>
          </m:sub>
        </m:sSub>
        <m:r>
          <w:rPr>
            <w:rFonts w:ascii="Cambria Math" w:eastAsia="Times New Roman"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1</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StrVar</m:t>
            </m:r>
          </m:e>
          <m:sub>
            <m:r>
              <w:rPr>
                <w:rFonts w:ascii="Cambria Math" w:hAnsi="Cambria Math" w:cstheme="majorBidi"/>
                <w:noProof/>
                <w:sz w:val="24"/>
                <w:szCs w:val="24"/>
              </w:rPr>
              <m:t>ijt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2</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StrDev</m:t>
            </m:r>
          </m:e>
          <m:sub>
            <m:r>
              <w:rPr>
                <w:rFonts w:ascii="Cambria Math" w:hAnsi="Cambria Math" w:cstheme="majorBidi"/>
                <w:noProof/>
                <w:sz w:val="24"/>
                <w:szCs w:val="24"/>
              </w:rPr>
              <m:t>ijt</m:t>
            </m:r>
          </m:sub>
        </m:sSub>
        <m:r>
          <w:rPr>
            <w:rFonts w:ascii="Cambria Math"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β</m:t>
            </m:r>
          </m:e>
          <m:sub>
            <m:r>
              <w:rPr>
                <w:rFonts w:ascii="Cambria Math" w:hAnsi="Cambria Math" w:cstheme="majorBidi"/>
                <w:noProof/>
                <w:sz w:val="24"/>
                <w:szCs w:val="24"/>
              </w:rPr>
              <m:t>3</m:t>
            </m:r>
          </m:sub>
        </m:sSub>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ijt</m:t>
            </m:r>
          </m:sub>
        </m:sSub>
        <m:r>
          <w:rPr>
            <w:rFonts w:ascii="Cambria Math" w:hAnsiTheme="majorBidi" w:cstheme="majorBidi"/>
            <w:noProof/>
            <w:sz w:val="24"/>
            <w:szCs w:val="24"/>
          </w:rPr>
          <m:t>+</m:t>
        </m:r>
        <m:r>
          <w:rPr>
            <w:rFonts w:ascii="Cambria Math" w:eastAsia="Times New Roman" w:hAnsi="Cambria Math" w:cstheme="majorBidi"/>
            <w:noProof/>
            <w:sz w:val="24"/>
            <w:szCs w:val="24"/>
          </w:rPr>
          <m:t>δ</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Z</m:t>
            </m:r>
          </m:e>
          <m:sub>
            <m:r>
              <w:rPr>
                <w:rFonts w:ascii="Cambria Math" w:hAnsi="Cambria Math" w:cstheme="majorBidi"/>
                <w:noProof/>
                <w:sz w:val="24"/>
                <w:szCs w:val="24"/>
              </w:rPr>
              <m:t>t</m:t>
            </m:r>
          </m:sub>
        </m:sSub>
        <m:r>
          <w:rPr>
            <w:rFonts w:ascii="Cambria Math" w:eastAsia="Times New Roman" w:hAnsiTheme="majorBidi" w:cstheme="majorBidi"/>
            <w:noProof/>
            <w:sz w:val="24"/>
            <w:szCs w:val="24"/>
          </w:rPr>
          <m:t>+</m:t>
        </m:r>
        <m:sSub>
          <m:sSubPr>
            <m:ctrlPr>
              <w:rPr>
                <w:rFonts w:ascii="Cambria Math" w:eastAsia="Times New Roman" w:hAnsiTheme="majorBidi" w:cstheme="majorBidi"/>
                <w:i/>
                <w:noProof/>
                <w:sz w:val="24"/>
                <w:szCs w:val="24"/>
              </w:rPr>
            </m:ctrlPr>
          </m:sSubPr>
          <m:e>
            <m:r>
              <w:rPr>
                <w:rFonts w:ascii="Cambria Math" w:hAnsi="Cambria Math" w:cstheme="majorBidi"/>
                <w:noProof/>
                <w:sz w:val="24"/>
                <w:szCs w:val="24"/>
              </w:rPr>
              <m:t>ε</m:t>
            </m:r>
          </m:e>
          <m:sub>
            <m:r>
              <w:rPr>
                <w:rFonts w:ascii="Cambria Math" w:hAnsi="Cambria Math" w:cstheme="majorBidi"/>
                <w:noProof/>
                <w:sz w:val="24"/>
                <w:szCs w:val="24"/>
              </w:rPr>
              <m:t>i</m:t>
            </m:r>
          </m:sub>
        </m:sSub>
      </m:oMath>
      <w:r w:rsidR="002C134F">
        <w:rPr>
          <w:rFonts w:ascii="Times New Roman" w:eastAsiaTheme="minorEastAsia" w:hAnsi="Times New Roman" w:cs="Times New Roman"/>
          <w:sz w:val="24"/>
          <w:szCs w:val="24"/>
        </w:rPr>
        <w:t xml:space="preserve">  </w:t>
      </w:r>
      <w:r w:rsidR="000F2EB1">
        <w:rPr>
          <w:rFonts w:ascii="Times New Roman" w:eastAsiaTheme="minorEastAsia" w:hAnsi="Times New Roman" w:cs="Times New Roman"/>
          <w:sz w:val="24"/>
          <w:szCs w:val="24"/>
        </w:rPr>
        <w:t xml:space="preserve">                </w:t>
      </w:r>
      <w:r w:rsidR="002C134F">
        <w:rPr>
          <w:rFonts w:ascii="Times New Roman" w:eastAsiaTheme="minorEastAsia" w:hAnsi="Times New Roman" w:cs="Times New Roman"/>
          <w:sz w:val="24"/>
          <w:szCs w:val="24"/>
        </w:rPr>
        <w:t>(</w:t>
      </w:r>
      <w:r w:rsidR="00360C1E">
        <w:rPr>
          <w:rFonts w:ascii="Times New Roman" w:eastAsiaTheme="minorEastAsia" w:hAnsi="Times New Roman" w:cs="Times New Roman"/>
          <w:sz w:val="24"/>
          <w:szCs w:val="24"/>
        </w:rPr>
        <w:t>3</w:t>
      </w:r>
      <w:r w:rsidR="002C134F">
        <w:rPr>
          <w:rFonts w:ascii="Times New Roman" w:eastAsiaTheme="minorEastAsia" w:hAnsi="Times New Roman" w:cs="Times New Roman"/>
          <w:sz w:val="24"/>
          <w:szCs w:val="24"/>
        </w:rPr>
        <w:t>)</w:t>
      </w:r>
    </w:p>
    <w:p w14:paraId="628FCF60" w14:textId="67E185E2" w:rsidR="00EE6CB2" w:rsidRPr="00EA4C3B" w:rsidRDefault="003F457C" w:rsidP="00253BEB">
      <w:pPr>
        <w:spacing w:line="480" w:lineRule="auto"/>
        <w:ind w:firstLine="709"/>
        <w:contextualSpacing/>
        <w:jc w:val="both"/>
        <w:rPr>
          <w:rFonts w:asciiTheme="majorBidi" w:hAnsiTheme="majorBidi" w:cstheme="majorBidi"/>
          <w:bCs/>
          <w:sz w:val="24"/>
          <w:szCs w:val="24"/>
          <w:lang w:val="en-GB"/>
        </w:rPr>
      </w:pPr>
      <w:r>
        <w:rPr>
          <w:rFonts w:asciiTheme="majorBidi" w:hAnsiTheme="majorBidi" w:cstheme="majorBidi"/>
          <w:noProof/>
          <w:sz w:val="24"/>
          <w:szCs w:val="24"/>
        </w:rPr>
        <w:t xml:space="preserve">For our estimation, we used a static linear panel data model where </w:t>
      </w:r>
      <w:r>
        <w:rPr>
          <w:rFonts w:asciiTheme="majorBidi" w:hAnsiTheme="majorBidi" w:cstheme="majorBidi"/>
          <w:i/>
          <w:iCs/>
          <w:noProof/>
          <w:sz w:val="24"/>
          <w:szCs w:val="24"/>
        </w:rPr>
        <w:t xml:space="preserve">CARij </w:t>
      </w:r>
      <w:r>
        <w:rPr>
          <w:rFonts w:asciiTheme="majorBidi" w:hAnsiTheme="majorBidi" w:cstheme="majorBidi"/>
          <w:noProof/>
          <w:sz w:val="24"/>
          <w:szCs w:val="24"/>
        </w:rPr>
        <w:t xml:space="preserve">is the cumulative abnormal return for firm </w:t>
      </w:r>
      <w:r>
        <w:rPr>
          <w:rFonts w:asciiTheme="majorBidi" w:hAnsiTheme="majorBidi" w:cstheme="majorBidi"/>
          <w:i/>
          <w:iCs/>
          <w:noProof/>
          <w:sz w:val="24"/>
          <w:szCs w:val="24"/>
        </w:rPr>
        <w:t xml:space="preserve">i </w:t>
      </w:r>
      <w:r w:rsidR="009545BE">
        <w:rPr>
          <w:rFonts w:asciiTheme="majorBidi" w:hAnsiTheme="majorBidi" w:cstheme="majorBidi"/>
          <w:noProof/>
          <w:sz w:val="24"/>
          <w:szCs w:val="24"/>
        </w:rPr>
        <w:t>at</w:t>
      </w:r>
      <w:r>
        <w:rPr>
          <w:rFonts w:asciiTheme="majorBidi" w:hAnsiTheme="majorBidi" w:cstheme="majorBidi"/>
          <w:noProof/>
          <w:sz w:val="24"/>
          <w:szCs w:val="24"/>
        </w:rPr>
        <w:t xml:space="preserve"> event </w:t>
      </w:r>
      <w:r>
        <w:rPr>
          <w:rFonts w:asciiTheme="majorBidi" w:hAnsiTheme="majorBidi" w:cstheme="majorBidi"/>
          <w:i/>
          <w:iCs/>
          <w:noProof/>
          <w:sz w:val="24"/>
          <w:szCs w:val="24"/>
        </w:rPr>
        <w:t>j</w:t>
      </w:r>
      <w:r>
        <w:rPr>
          <w:rFonts w:asciiTheme="majorBidi" w:hAnsiTheme="majorBidi" w:cstheme="majorBidi"/>
          <w:noProof/>
          <w:sz w:val="24"/>
          <w:szCs w:val="24"/>
        </w:rPr>
        <w:t xml:space="preserve">. </w:t>
      </w:r>
      <w:r w:rsidR="00EE6CB2" w:rsidRPr="00D90674">
        <w:rPr>
          <w:rFonts w:asciiTheme="majorBidi" w:hAnsiTheme="majorBidi" w:cstheme="majorBidi"/>
          <w:bCs/>
          <w:sz w:val="24"/>
          <w:szCs w:val="24"/>
          <w:lang w:val="en-GB"/>
        </w:rPr>
        <w:t>Because we use an event study methodology</w:t>
      </w:r>
      <w:r w:rsidR="00EE6CB2">
        <w:rPr>
          <w:rFonts w:asciiTheme="majorBidi" w:hAnsiTheme="majorBidi" w:cstheme="majorBidi"/>
          <w:bCs/>
          <w:sz w:val="24"/>
          <w:szCs w:val="24"/>
          <w:lang w:val="en-GB"/>
        </w:rPr>
        <w:t xml:space="preserve"> for our second regression</w:t>
      </w:r>
      <w:r w:rsidR="00EE6CB2" w:rsidRPr="00D90674">
        <w:rPr>
          <w:rFonts w:asciiTheme="majorBidi" w:hAnsiTheme="majorBidi" w:cstheme="majorBidi"/>
          <w:bCs/>
          <w:sz w:val="24"/>
          <w:szCs w:val="24"/>
          <w:lang w:val="en-GB"/>
        </w:rPr>
        <w:t xml:space="preserve">, </w:t>
      </w:r>
      <w:r w:rsidR="00EE6CB2">
        <w:rPr>
          <w:rFonts w:asciiTheme="majorBidi" w:hAnsiTheme="majorBidi" w:cstheme="majorBidi"/>
          <w:bCs/>
          <w:sz w:val="24"/>
          <w:szCs w:val="24"/>
          <w:lang w:val="en-GB"/>
        </w:rPr>
        <w:t xml:space="preserve">we </w:t>
      </w:r>
      <w:r w:rsidR="00EE6CB2" w:rsidRPr="00EA4C3B">
        <w:rPr>
          <w:rFonts w:asciiTheme="majorBidi" w:hAnsiTheme="majorBidi" w:cstheme="majorBidi"/>
          <w:bCs/>
          <w:sz w:val="24"/>
          <w:szCs w:val="24"/>
          <w:lang w:val="en-GB"/>
        </w:rPr>
        <w:t xml:space="preserve">follow McWilliams and Siegel (1997) </w:t>
      </w:r>
      <w:r w:rsidR="00EE6CB2">
        <w:rPr>
          <w:rFonts w:asciiTheme="majorBidi" w:hAnsiTheme="majorBidi" w:cstheme="majorBidi"/>
          <w:bCs/>
          <w:sz w:val="24"/>
          <w:szCs w:val="24"/>
          <w:lang w:val="en-GB"/>
        </w:rPr>
        <w:t xml:space="preserve">by also screening out </w:t>
      </w:r>
      <w:r w:rsidR="00EE6CB2" w:rsidRPr="00EA4C3B">
        <w:rPr>
          <w:rFonts w:asciiTheme="majorBidi" w:hAnsiTheme="majorBidi" w:cstheme="majorBidi"/>
          <w:bCs/>
          <w:sz w:val="24"/>
          <w:szCs w:val="24"/>
          <w:lang w:val="en-GB"/>
        </w:rPr>
        <w:t xml:space="preserve">confounding </w:t>
      </w:r>
      <w:r w:rsidR="00EE6CB2">
        <w:rPr>
          <w:rFonts w:asciiTheme="majorBidi" w:hAnsiTheme="majorBidi" w:cstheme="majorBidi"/>
          <w:bCs/>
          <w:sz w:val="24"/>
          <w:szCs w:val="24"/>
          <w:lang w:val="en-GB"/>
        </w:rPr>
        <w:t>events</w:t>
      </w:r>
      <w:r w:rsidR="00EE6CB2" w:rsidRPr="00EA4C3B">
        <w:rPr>
          <w:rFonts w:asciiTheme="majorBidi" w:hAnsiTheme="majorBidi" w:cstheme="majorBidi"/>
          <w:bCs/>
          <w:sz w:val="24"/>
          <w:szCs w:val="24"/>
          <w:lang w:val="en-GB"/>
        </w:rPr>
        <w:t xml:space="preserve"> such as declarations of dividends, </w:t>
      </w:r>
      <w:r w:rsidR="00EE6CB2">
        <w:rPr>
          <w:rFonts w:asciiTheme="majorBidi" w:hAnsiTheme="majorBidi" w:cstheme="majorBidi"/>
          <w:bCs/>
          <w:sz w:val="24"/>
          <w:szCs w:val="24"/>
          <w:lang w:val="en-GB"/>
        </w:rPr>
        <w:t xml:space="preserve">other </w:t>
      </w:r>
      <w:r w:rsidR="00EE6CB2" w:rsidRPr="00EA4C3B">
        <w:rPr>
          <w:rFonts w:asciiTheme="majorBidi" w:hAnsiTheme="majorBidi" w:cstheme="majorBidi"/>
          <w:bCs/>
          <w:sz w:val="24"/>
          <w:szCs w:val="24"/>
          <w:lang w:val="en-GB"/>
        </w:rPr>
        <w:t xml:space="preserve">mergers and acquisitions, earnings </w:t>
      </w:r>
      <w:r w:rsidR="00EE6CB2">
        <w:rPr>
          <w:rFonts w:asciiTheme="majorBidi" w:hAnsiTheme="majorBidi" w:cstheme="majorBidi"/>
          <w:bCs/>
          <w:sz w:val="24"/>
          <w:szCs w:val="24"/>
          <w:lang w:val="en-GB"/>
        </w:rPr>
        <w:t>announcements</w:t>
      </w:r>
      <w:r w:rsidR="00EE6CB2" w:rsidRPr="00EA4C3B">
        <w:rPr>
          <w:rFonts w:asciiTheme="majorBidi" w:hAnsiTheme="majorBidi" w:cstheme="majorBidi"/>
          <w:bCs/>
          <w:sz w:val="24"/>
          <w:szCs w:val="24"/>
          <w:lang w:val="en-GB"/>
        </w:rPr>
        <w:t xml:space="preserve">, major contract awards, new product announcements, and significant liability suits during a 21-day window (from </w:t>
      </w:r>
      <w:r w:rsidR="00EE6CB2" w:rsidRPr="00EA4C3B">
        <w:rPr>
          <w:rFonts w:asciiTheme="majorBidi" w:hAnsiTheme="majorBidi" w:cstheme="majorBidi"/>
          <w:bCs/>
          <w:sz w:val="24"/>
          <w:szCs w:val="24"/>
          <w:lang w:val="en-GB"/>
        </w:rPr>
        <w:lastRenderedPageBreak/>
        <w:t xml:space="preserve">day -10 to day +10) around the </w:t>
      </w:r>
      <w:r w:rsidR="00965426">
        <w:rPr>
          <w:rFonts w:ascii="Times New Roman" w:hAnsi="Times New Roman" w:cs="Times New Roman"/>
          <w:sz w:val="24"/>
          <w:szCs w:val="24"/>
        </w:rPr>
        <w:t>voluntary M&amp;A announcements</w:t>
      </w:r>
      <w:r w:rsidR="00965426">
        <w:rPr>
          <w:rFonts w:asciiTheme="majorBidi" w:hAnsiTheme="majorBidi" w:cstheme="majorBidi"/>
          <w:bCs/>
          <w:sz w:val="24"/>
          <w:szCs w:val="24"/>
          <w:lang w:val="en-GB"/>
        </w:rPr>
        <w:t xml:space="preserve"> </w:t>
      </w:r>
      <w:r w:rsidR="00EE6CB2">
        <w:rPr>
          <w:rFonts w:asciiTheme="majorBidi" w:hAnsiTheme="majorBidi" w:cstheme="majorBidi"/>
          <w:bCs/>
          <w:sz w:val="24"/>
          <w:szCs w:val="24"/>
          <w:lang w:val="en-GB"/>
        </w:rPr>
        <w:t xml:space="preserve">(source: </w:t>
      </w:r>
      <w:r w:rsidR="00EE6CB2" w:rsidRPr="00EA4C3B">
        <w:rPr>
          <w:rFonts w:asciiTheme="majorBidi" w:hAnsiTheme="majorBidi" w:cstheme="majorBidi"/>
          <w:color w:val="000000"/>
          <w:sz w:val="24"/>
          <w:szCs w:val="24"/>
          <w:lang w:val="en-GB" w:eastAsia="en-GB"/>
        </w:rPr>
        <w:t>Factiva</w:t>
      </w:r>
      <w:r w:rsidR="00EE6CB2">
        <w:rPr>
          <w:rFonts w:asciiTheme="majorBidi" w:hAnsiTheme="majorBidi" w:cstheme="majorBidi"/>
          <w:color w:val="000000"/>
          <w:sz w:val="24"/>
          <w:szCs w:val="24"/>
          <w:lang w:val="en-GB" w:eastAsia="en-GB"/>
        </w:rPr>
        <w:t>)</w:t>
      </w:r>
      <w:r w:rsidR="00EE6CB2">
        <w:rPr>
          <w:rFonts w:asciiTheme="majorBidi" w:hAnsiTheme="majorBidi" w:cstheme="majorBidi"/>
          <w:bCs/>
          <w:sz w:val="24"/>
          <w:szCs w:val="24"/>
          <w:lang w:val="en-GB"/>
        </w:rPr>
        <w:t xml:space="preserve">. 82 </w:t>
      </w:r>
      <w:r w:rsidR="00965426">
        <w:rPr>
          <w:rFonts w:ascii="Times New Roman" w:hAnsi="Times New Roman" w:cs="Times New Roman"/>
          <w:sz w:val="24"/>
          <w:szCs w:val="24"/>
        </w:rPr>
        <w:t>voluntary M&amp;A announcements</w:t>
      </w:r>
      <w:r w:rsidR="00965426">
        <w:rPr>
          <w:rFonts w:asciiTheme="majorBidi" w:hAnsiTheme="majorBidi" w:cstheme="majorBidi"/>
          <w:bCs/>
          <w:sz w:val="24"/>
          <w:szCs w:val="24"/>
          <w:lang w:val="en-GB"/>
        </w:rPr>
        <w:t xml:space="preserve"> </w:t>
      </w:r>
      <w:r w:rsidR="00EE6CB2">
        <w:rPr>
          <w:rFonts w:asciiTheme="majorBidi" w:hAnsiTheme="majorBidi" w:cstheme="majorBidi"/>
          <w:bCs/>
          <w:sz w:val="24"/>
          <w:szCs w:val="24"/>
          <w:lang w:val="en-GB"/>
        </w:rPr>
        <w:t>were excluded as a result</w:t>
      </w:r>
      <w:r w:rsidR="00817E06">
        <w:rPr>
          <w:rFonts w:asciiTheme="majorBidi" w:hAnsiTheme="majorBidi" w:cstheme="majorBidi"/>
          <w:bCs/>
          <w:sz w:val="24"/>
          <w:szCs w:val="24"/>
          <w:lang w:val="en-GB"/>
        </w:rPr>
        <w:t xml:space="preserve">. </w:t>
      </w:r>
    </w:p>
    <w:p w14:paraId="439F9315" w14:textId="3DD2EE69" w:rsidR="003F457C" w:rsidRPr="005D7905" w:rsidRDefault="003F457C" w:rsidP="00253BEB">
      <w:pPr>
        <w:spacing w:line="480" w:lineRule="auto"/>
        <w:ind w:firstLine="709"/>
        <w:contextualSpacing/>
        <w:jc w:val="both"/>
        <w:rPr>
          <w:rFonts w:ascii="Times New Roman" w:hAnsi="Times New Roman" w:cs="Times New Roman"/>
          <w:sz w:val="24"/>
          <w:szCs w:val="24"/>
          <w:lang w:val="en-GB"/>
        </w:rPr>
      </w:pPr>
      <w:r w:rsidRPr="00EA4C3B">
        <w:rPr>
          <w:rFonts w:asciiTheme="majorBidi" w:hAnsiTheme="majorBidi" w:cstheme="majorBidi"/>
          <w:sz w:val="24"/>
          <w:szCs w:val="24"/>
          <w:lang w:val="en-GB"/>
        </w:rPr>
        <w:t>Before</w:t>
      </w:r>
      <w:r w:rsidR="009545BE">
        <w:rPr>
          <w:rFonts w:asciiTheme="majorBidi" w:hAnsiTheme="majorBidi" w:cstheme="majorBidi"/>
          <w:sz w:val="24"/>
          <w:szCs w:val="24"/>
          <w:lang w:val="en-GB"/>
        </w:rPr>
        <w:t xml:space="preserve"> the estimation</w:t>
      </w:r>
      <w:r w:rsidRPr="00EA4C3B">
        <w:rPr>
          <w:rFonts w:asciiTheme="majorBidi" w:hAnsiTheme="majorBidi" w:cstheme="majorBidi"/>
          <w:sz w:val="24"/>
          <w:szCs w:val="24"/>
          <w:lang w:val="en-GB"/>
        </w:rPr>
        <w:t xml:space="preserve">, </w:t>
      </w:r>
      <w:r>
        <w:rPr>
          <w:rFonts w:asciiTheme="majorBidi" w:hAnsiTheme="majorBidi" w:cstheme="majorBidi"/>
          <w:sz w:val="24"/>
          <w:szCs w:val="24"/>
          <w:lang w:val="en-GB"/>
        </w:rPr>
        <w:t>w</w:t>
      </w:r>
      <w:r>
        <w:rPr>
          <w:rFonts w:ascii="Times New Roman" w:hAnsi="Times New Roman" w:cs="Times New Roman"/>
          <w:sz w:val="24"/>
          <w:szCs w:val="24"/>
          <w:lang w:val="en-GB"/>
        </w:rPr>
        <w:t xml:space="preserve">e </w:t>
      </w:r>
      <w:r w:rsidRPr="00316F5D">
        <w:rPr>
          <w:rFonts w:ascii="Times New Roman" w:hAnsi="Times New Roman" w:cs="Times New Roman"/>
          <w:sz w:val="24"/>
          <w:szCs w:val="24"/>
          <w:lang w:val="en-GB"/>
        </w:rPr>
        <w:t>inspected the values of variance inflation factors (VIF) to assess our data for multico</w:t>
      </w:r>
      <w:r>
        <w:rPr>
          <w:rFonts w:ascii="Times New Roman" w:hAnsi="Times New Roman" w:cs="Times New Roman"/>
          <w:sz w:val="24"/>
          <w:szCs w:val="24"/>
          <w:lang w:val="en-GB"/>
        </w:rPr>
        <w:t>l</w:t>
      </w:r>
      <w:r w:rsidRPr="00316F5D">
        <w:rPr>
          <w:rFonts w:ascii="Times New Roman" w:hAnsi="Times New Roman" w:cs="Times New Roman"/>
          <w:sz w:val="24"/>
          <w:szCs w:val="24"/>
          <w:lang w:val="en-GB"/>
        </w:rPr>
        <w:t>linearity. The VIF values ranged between 1.</w:t>
      </w:r>
      <w:r w:rsidR="00EE6CB2">
        <w:rPr>
          <w:rFonts w:ascii="Times New Roman" w:hAnsi="Times New Roman" w:cs="Times New Roman"/>
          <w:sz w:val="24"/>
          <w:szCs w:val="24"/>
          <w:lang w:val="en-GB"/>
        </w:rPr>
        <w:t>22</w:t>
      </w:r>
      <w:r w:rsidRPr="00316F5D">
        <w:rPr>
          <w:rFonts w:ascii="Times New Roman" w:hAnsi="Times New Roman" w:cs="Times New Roman"/>
          <w:sz w:val="24"/>
          <w:szCs w:val="24"/>
          <w:lang w:val="en-GB"/>
        </w:rPr>
        <w:t xml:space="preserve"> and 2.</w:t>
      </w:r>
      <w:r w:rsidR="00EE6CB2">
        <w:rPr>
          <w:rFonts w:ascii="Times New Roman" w:hAnsi="Times New Roman" w:cs="Times New Roman"/>
          <w:sz w:val="24"/>
          <w:szCs w:val="24"/>
          <w:lang w:val="en-GB"/>
        </w:rPr>
        <w:t>97</w:t>
      </w:r>
      <w:r w:rsidRPr="00316F5D">
        <w:rPr>
          <w:rFonts w:ascii="Times New Roman" w:hAnsi="Times New Roman" w:cs="Times New Roman"/>
          <w:sz w:val="24"/>
          <w:szCs w:val="24"/>
          <w:lang w:val="en-GB"/>
        </w:rPr>
        <w:t xml:space="preserve"> for the variables in our regression models, which is lower than the commonly accep</w:t>
      </w:r>
      <w:r>
        <w:rPr>
          <w:rFonts w:ascii="Times New Roman" w:hAnsi="Times New Roman" w:cs="Times New Roman"/>
          <w:sz w:val="24"/>
          <w:szCs w:val="24"/>
          <w:lang w:val="en-GB"/>
        </w:rPr>
        <w:t>ted threshold value of 10 (Hair</w:t>
      </w:r>
      <w:r w:rsidR="0069030F">
        <w:rPr>
          <w:rFonts w:ascii="Times New Roman" w:hAnsi="Times New Roman" w:cs="Times New Roman"/>
          <w:sz w:val="24"/>
          <w:szCs w:val="24"/>
          <w:lang w:val="en-GB"/>
        </w:rPr>
        <w:t xml:space="preserve"> et al.</w:t>
      </w:r>
      <w:r>
        <w:rPr>
          <w:rFonts w:ascii="Times New Roman" w:hAnsi="Times New Roman" w:cs="Times New Roman"/>
          <w:sz w:val="24"/>
          <w:szCs w:val="24"/>
          <w:lang w:val="en-GB"/>
        </w:rPr>
        <w:t xml:space="preserve">, </w:t>
      </w:r>
      <w:r w:rsidR="0069030F">
        <w:rPr>
          <w:rFonts w:ascii="Times New Roman" w:hAnsi="Times New Roman" w:cs="Times New Roman"/>
          <w:sz w:val="24"/>
          <w:szCs w:val="24"/>
          <w:lang w:val="en-GB"/>
        </w:rPr>
        <w:t>2006</w:t>
      </w:r>
      <w:r w:rsidRPr="00316F5D">
        <w:rPr>
          <w:rFonts w:ascii="Times New Roman" w:hAnsi="Times New Roman" w:cs="Times New Roman"/>
          <w:sz w:val="24"/>
          <w:szCs w:val="24"/>
          <w:lang w:val="en-GB"/>
        </w:rPr>
        <w:t xml:space="preserve">) and </w:t>
      </w:r>
      <w:r>
        <w:rPr>
          <w:rFonts w:ascii="Times New Roman" w:hAnsi="Times New Roman" w:cs="Times New Roman"/>
          <w:sz w:val="24"/>
          <w:szCs w:val="24"/>
          <w:lang w:val="en-GB"/>
        </w:rPr>
        <w:t>suggests</w:t>
      </w:r>
      <w:r w:rsidRPr="00316F5D">
        <w:rPr>
          <w:rFonts w:ascii="Times New Roman" w:hAnsi="Times New Roman" w:cs="Times New Roman"/>
          <w:sz w:val="24"/>
          <w:szCs w:val="24"/>
          <w:lang w:val="en-GB"/>
        </w:rPr>
        <w:t xml:space="preserve"> that multicol</w:t>
      </w:r>
      <w:r>
        <w:rPr>
          <w:rFonts w:ascii="Times New Roman" w:hAnsi="Times New Roman" w:cs="Times New Roman"/>
          <w:sz w:val="24"/>
          <w:szCs w:val="24"/>
          <w:lang w:val="en-GB"/>
        </w:rPr>
        <w:t>l</w:t>
      </w:r>
      <w:r w:rsidRPr="00316F5D">
        <w:rPr>
          <w:rFonts w:ascii="Times New Roman" w:hAnsi="Times New Roman" w:cs="Times New Roman"/>
          <w:sz w:val="24"/>
          <w:szCs w:val="24"/>
          <w:lang w:val="en-GB"/>
        </w:rPr>
        <w:t>inearity is not a problem in our data.</w:t>
      </w:r>
      <w:r>
        <w:rPr>
          <w:rFonts w:ascii="Times New Roman" w:hAnsi="Times New Roman" w:cs="Times New Roman"/>
          <w:sz w:val="24"/>
          <w:szCs w:val="24"/>
          <w:lang w:val="en-GB"/>
        </w:rPr>
        <w:t xml:space="preserve"> </w:t>
      </w:r>
    </w:p>
    <w:p w14:paraId="213E1214" w14:textId="77777777" w:rsidR="0090363E" w:rsidRDefault="0090363E" w:rsidP="006958FD">
      <w:pPr>
        <w:spacing w:line="240" w:lineRule="auto"/>
        <w:contextualSpacing/>
        <w:rPr>
          <w:rFonts w:ascii="Times New Roman" w:hAnsi="Times New Roman" w:cs="Times New Roman"/>
          <w:b/>
          <w:bCs/>
          <w:sz w:val="24"/>
          <w:szCs w:val="24"/>
        </w:rPr>
      </w:pPr>
    </w:p>
    <w:p w14:paraId="28A65E74" w14:textId="6424E72B" w:rsidR="006958FD" w:rsidRPr="00284354" w:rsidRDefault="00BA66D3" w:rsidP="00253BEB">
      <w:pPr>
        <w:spacing w:line="240" w:lineRule="auto"/>
        <w:contextualSpacing/>
        <w:jc w:val="both"/>
        <w:rPr>
          <w:rFonts w:ascii="Times New Roman" w:hAnsi="Times New Roman" w:cs="Times New Roman"/>
          <w:b/>
          <w:bCs/>
          <w:sz w:val="24"/>
          <w:szCs w:val="24"/>
        </w:rPr>
      </w:pPr>
      <w:r w:rsidRPr="003B6AB0">
        <w:rPr>
          <w:rFonts w:ascii="Times New Roman" w:hAnsi="Times New Roman" w:cs="Times New Roman"/>
          <w:b/>
          <w:bCs/>
          <w:sz w:val="24"/>
          <w:szCs w:val="24"/>
        </w:rPr>
        <w:t>Results</w:t>
      </w:r>
    </w:p>
    <w:p w14:paraId="118258D7" w14:textId="77777777" w:rsidR="00C1647D" w:rsidRPr="00964301" w:rsidRDefault="00C1647D" w:rsidP="00253BEB">
      <w:pPr>
        <w:spacing w:line="240" w:lineRule="auto"/>
        <w:contextualSpacing/>
        <w:jc w:val="both"/>
        <w:rPr>
          <w:rFonts w:ascii="Times New Roman" w:hAnsi="Times New Roman" w:cs="Times New Roman"/>
          <w:b/>
          <w:bCs/>
          <w:sz w:val="24"/>
          <w:szCs w:val="24"/>
        </w:rPr>
      </w:pPr>
    </w:p>
    <w:p w14:paraId="5096FBA2" w14:textId="170FBB99" w:rsidR="00BA5385" w:rsidRPr="003B6AB0" w:rsidRDefault="00BA5385" w:rsidP="00253BEB">
      <w:pPr>
        <w:spacing w:line="480" w:lineRule="auto"/>
        <w:ind w:firstLine="720"/>
        <w:contextualSpacing/>
        <w:jc w:val="both"/>
        <w:rPr>
          <w:rFonts w:ascii="Times New Roman" w:hAnsi="Times New Roman" w:cs="Times New Roman"/>
          <w:sz w:val="24"/>
          <w:szCs w:val="24"/>
          <w:lang w:val="en-GB"/>
        </w:rPr>
      </w:pPr>
      <w:r w:rsidRPr="003035F8">
        <w:rPr>
          <w:rFonts w:ascii="Times New Roman" w:hAnsi="Times New Roman" w:cs="Times New Roman"/>
          <w:sz w:val="24"/>
          <w:szCs w:val="24"/>
          <w:lang w:val="en-GB"/>
        </w:rPr>
        <w:t xml:space="preserve">Our purpose is to test the likelihood </w:t>
      </w:r>
      <w:r w:rsidR="0059090F" w:rsidRPr="003035F8">
        <w:rPr>
          <w:rFonts w:ascii="Times New Roman" w:hAnsi="Times New Roman" w:cs="Times New Roman"/>
          <w:sz w:val="24"/>
          <w:szCs w:val="24"/>
          <w:lang w:val="en-GB"/>
        </w:rPr>
        <w:t xml:space="preserve">and stock-price </w:t>
      </w:r>
      <w:r w:rsidR="00233159" w:rsidRPr="001B490C">
        <w:rPr>
          <w:rFonts w:ascii="Times New Roman" w:hAnsi="Times New Roman" w:cs="Times New Roman"/>
          <w:sz w:val="24"/>
          <w:szCs w:val="24"/>
          <w:lang w:val="en-GB"/>
        </w:rPr>
        <w:t>related</w:t>
      </w:r>
      <w:r w:rsidR="0059090F" w:rsidRPr="003B6AB0">
        <w:rPr>
          <w:rFonts w:ascii="Times New Roman" w:hAnsi="Times New Roman" w:cs="Times New Roman"/>
          <w:sz w:val="24"/>
          <w:szCs w:val="24"/>
          <w:lang w:val="en-GB"/>
        </w:rPr>
        <w:t xml:space="preserve"> outcomes </w:t>
      </w:r>
      <w:r w:rsidRPr="003B6AB0">
        <w:rPr>
          <w:rFonts w:ascii="Times New Roman" w:hAnsi="Times New Roman" w:cs="Times New Roman"/>
          <w:sz w:val="24"/>
          <w:szCs w:val="24"/>
          <w:lang w:val="en-GB"/>
        </w:rPr>
        <w:t xml:space="preserve">of organizations engaging in open strategy through </w:t>
      </w:r>
      <w:r w:rsidR="00974B8F" w:rsidRPr="003B6AB0">
        <w:rPr>
          <w:rFonts w:ascii="Times New Roman" w:hAnsi="Times New Roman" w:cs="Times New Roman"/>
          <w:sz w:val="24"/>
          <w:szCs w:val="24"/>
          <w:lang w:val="en-GB"/>
        </w:rPr>
        <w:t>corporate voluntary communications</w:t>
      </w:r>
      <w:r w:rsidRPr="003B6AB0">
        <w:rPr>
          <w:rFonts w:ascii="Times New Roman" w:hAnsi="Times New Roman" w:cs="Times New Roman"/>
          <w:sz w:val="24"/>
          <w:szCs w:val="24"/>
          <w:lang w:val="en-GB"/>
        </w:rPr>
        <w:t xml:space="preserve"> targeted at financial analysts and their investors</w:t>
      </w:r>
      <w:r w:rsidR="00BA66D3" w:rsidRPr="003B6AB0">
        <w:rPr>
          <w:rFonts w:ascii="Times New Roman" w:hAnsi="Times New Roman" w:cs="Times New Roman"/>
          <w:sz w:val="24"/>
          <w:szCs w:val="24"/>
          <w:lang w:val="en-GB"/>
        </w:rPr>
        <w:t xml:space="preserve"> undergoing M&amp;A</w:t>
      </w:r>
      <w:r w:rsidRPr="003B6AB0">
        <w:rPr>
          <w:rFonts w:ascii="Times New Roman" w:hAnsi="Times New Roman" w:cs="Times New Roman"/>
          <w:sz w:val="24"/>
          <w:szCs w:val="24"/>
          <w:lang w:val="en-GB"/>
        </w:rPr>
        <w:t xml:space="preserve">. Our analysis therefore proceeds </w:t>
      </w:r>
      <w:r w:rsidR="00415E17" w:rsidRPr="003B6AB0">
        <w:rPr>
          <w:rFonts w:ascii="Times New Roman" w:hAnsi="Times New Roman" w:cs="Times New Roman"/>
          <w:sz w:val="24"/>
          <w:szCs w:val="24"/>
          <w:lang w:val="en-GB"/>
        </w:rPr>
        <w:t>as follows</w:t>
      </w:r>
      <w:r w:rsidRPr="003B6AB0">
        <w:rPr>
          <w:rFonts w:ascii="Times New Roman" w:hAnsi="Times New Roman" w:cs="Times New Roman"/>
          <w:sz w:val="24"/>
          <w:szCs w:val="24"/>
          <w:lang w:val="en-GB"/>
        </w:rPr>
        <w:t>.</w:t>
      </w:r>
      <w:r w:rsidR="00FB2CB2" w:rsidRPr="003B6AB0">
        <w:rPr>
          <w:rFonts w:ascii="Times New Roman" w:hAnsi="Times New Roman" w:cs="Times New Roman"/>
          <w:sz w:val="24"/>
          <w:szCs w:val="24"/>
          <w:lang w:val="en-GB"/>
        </w:rPr>
        <w:t xml:space="preserve"> </w:t>
      </w:r>
      <w:r w:rsidR="00E76426" w:rsidRPr="003B6AB0">
        <w:rPr>
          <w:rFonts w:ascii="Times New Roman" w:hAnsi="Times New Roman" w:cs="Times New Roman"/>
          <w:sz w:val="24"/>
          <w:szCs w:val="24"/>
          <w:lang w:val="en-GB"/>
        </w:rPr>
        <w:t xml:space="preserve">Table 1 presents descriptive statistics and correlations. </w:t>
      </w:r>
      <w:r w:rsidRPr="003B6AB0">
        <w:rPr>
          <w:rFonts w:ascii="Times New Roman" w:hAnsi="Times New Roman" w:cs="Times New Roman"/>
          <w:sz w:val="24"/>
          <w:szCs w:val="24"/>
          <w:lang w:val="en-GB"/>
        </w:rPr>
        <w:t xml:space="preserve">In </w:t>
      </w:r>
      <w:r w:rsidR="00E76426" w:rsidRPr="003B6AB0">
        <w:rPr>
          <w:rFonts w:ascii="Times New Roman" w:hAnsi="Times New Roman" w:cs="Times New Roman"/>
          <w:sz w:val="24"/>
          <w:szCs w:val="24"/>
          <w:lang w:val="en-GB"/>
        </w:rPr>
        <w:t>Table 2</w:t>
      </w:r>
      <w:r w:rsidR="0019744A" w:rsidRPr="003B6AB0">
        <w:rPr>
          <w:rFonts w:ascii="Times New Roman" w:hAnsi="Times New Roman" w:cs="Times New Roman"/>
          <w:sz w:val="24"/>
          <w:szCs w:val="24"/>
          <w:lang w:val="en-GB"/>
        </w:rPr>
        <w:t xml:space="preserve"> we </w:t>
      </w:r>
      <w:r w:rsidR="00233159" w:rsidRPr="003B6AB0">
        <w:rPr>
          <w:rFonts w:ascii="Times New Roman" w:hAnsi="Times New Roman" w:cs="Times New Roman"/>
          <w:sz w:val="24"/>
          <w:szCs w:val="24"/>
          <w:lang w:val="en-GB"/>
        </w:rPr>
        <w:t xml:space="preserve">display the results of two regressions: In Models 1a, 2a, 3a, and 4a we </w:t>
      </w:r>
      <w:r w:rsidR="0019744A" w:rsidRPr="003B6AB0">
        <w:rPr>
          <w:rFonts w:ascii="Times New Roman" w:hAnsi="Times New Roman" w:cs="Times New Roman"/>
          <w:sz w:val="24"/>
          <w:szCs w:val="24"/>
          <w:lang w:val="en-GB"/>
        </w:rPr>
        <w:t>carry out</w:t>
      </w:r>
      <w:r w:rsidR="00F72B60" w:rsidRPr="003B6AB0">
        <w:rPr>
          <w:rFonts w:ascii="Times New Roman" w:hAnsi="Times New Roman" w:cs="Times New Roman"/>
          <w:sz w:val="24"/>
          <w:szCs w:val="24"/>
          <w:lang w:val="en-GB"/>
        </w:rPr>
        <w:t xml:space="preserve"> a</w:t>
      </w:r>
      <w:r w:rsidR="0019744A" w:rsidRPr="003B6AB0">
        <w:rPr>
          <w:rFonts w:ascii="Times New Roman" w:hAnsi="Times New Roman" w:cs="Times New Roman"/>
          <w:sz w:val="24"/>
          <w:szCs w:val="24"/>
          <w:lang w:val="en-GB"/>
        </w:rPr>
        <w:t xml:space="preserve"> logistic </w:t>
      </w:r>
      <w:r w:rsidR="00E76426" w:rsidRPr="003B6AB0">
        <w:rPr>
          <w:rFonts w:ascii="Times New Roman" w:hAnsi="Times New Roman" w:cs="Times New Roman"/>
          <w:sz w:val="24"/>
          <w:szCs w:val="24"/>
          <w:lang w:val="en-GB"/>
        </w:rPr>
        <w:t>regression analys</w:t>
      </w:r>
      <w:r w:rsidR="00F72B60" w:rsidRPr="003B6AB0">
        <w:rPr>
          <w:rFonts w:ascii="Times New Roman" w:hAnsi="Times New Roman" w:cs="Times New Roman"/>
          <w:sz w:val="24"/>
          <w:szCs w:val="24"/>
          <w:lang w:val="en-GB"/>
        </w:rPr>
        <w:t>i</w:t>
      </w:r>
      <w:r w:rsidR="00E76426" w:rsidRPr="003B6AB0">
        <w:rPr>
          <w:rFonts w:ascii="Times New Roman" w:hAnsi="Times New Roman" w:cs="Times New Roman"/>
          <w:sz w:val="24"/>
          <w:szCs w:val="24"/>
          <w:lang w:val="en-GB"/>
        </w:rPr>
        <w:t xml:space="preserve">s in which the dependent variable is the probability of a given organization carrying out </w:t>
      </w:r>
      <w:r w:rsidR="00965426">
        <w:rPr>
          <w:rFonts w:ascii="Times New Roman" w:hAnsi="Times New Roman" w:cs="Times New Roman"/>
          <w:sz w:val="24"/>
          <w:szCs w:val="24"/>
        </w:rPr>
        <w:t>voluntary M&amp;A announcements</w:t>
      </w:r>
      <w:r w:rsidR="00233159" w:rsidRPr="003B6AB0">
        <w:rPr>
          <w:rFonts w:ascii="Times New Roman" w:hAnsi="Times New Roman" w:cs="Times New Roman"/>
          <w:sz w:val="24"/>
          <w:szCs w:val="24"/>
          <w:lang w:val="en-GB"/>
        </w:rPr>
        <w:t xml:space="preserve">. </w:t>
      </w:r>
      <w:r w:rsidR="00F72B60" w:rsidRPr="003B6AB0">
        <w:rPr>
          <w:rFonts w:ascii="Times New Roman" w:hAnsi="Times New Roman" w:cs="Times New Roman"/>
          <w:sz w:val="24"/>
          <w:szCs w:val="24"/>
          <w:lang w:val="en-GB"/>
        </w:rPr>
        <w:t xml:space="preserve">In Models 1b, 2b, 3b, and 4b we carry out a regression analysis which has a dependent variable in the form of cumulative abnormal returns associated with </w:t>
      </w:r>
      <w:r w:rsidR="00163FFE" w:rsidRPr="00FA0972">
        <w:rPr>
          <w:rFonts w:ascii="Times New Roman" w:hAnsi="Times New Roman" w:cs="Times New Roman"/>
          <w:bCs/>
          <w:sz w:val="24"/>
          <w:szCs w:val="24"/>
        </w:rPr>
        <w:t>voluntary M&amp;A announcements</w:t>
      </w:r>
      <w:r w:rsidR="00F72B60" w:rsidRPr="003B6AB0">
        <w:rPr>
          <w:rFonts w:ascii="Times New Roman" w:hAnsi="Times New Roman" w:cs="Times New Roman"/>
          <w:sz w:val="24"/>
          <w:szCs w:val="24"/>
          <w:lang w:val="en-GB"/>
        </w:rPr>
        <w:t xml:space="preserve">. </w:t>
      </w:r>
      <w:r w:rsidR="00233159" w:rsidRPr="003B6AB0">
        <w:rPr>
          <w:rFonts w:ascii="Times New Roman" w:hAnsi="Times New Roman" w:cs="Times New Roman"/>
          <w:sz w:val="24"/>
          <w:szCs w:val="24"/>
          <w:lang w:val="en-GB"/>
        </w:rPr>
        <w:t xml:space="preserve">In both cases our </w:t>
      </w:r>
      <w:r w:rsidR="00E76426" w:rsidRPr="003B6AB0">
        <w:rPr>
          <w:rFonts w:ascii="Times New Roman" w:hAnsi="Times New Roman" w:cs="Times New Roman"/>
          <w:sz w:val="24"/>
          <w:szCs w:val="24"/>
          <w:lang w:val="en-GB"/>
        </w:rPr>
        <w:t xml:space="preserve">two independent variables are strategic variation and strategic deviation. Our control variables comprise of contexts or circumstances associated with information asymmetry. </w:t>
      </w:r>
    </w:p>
    <w:p w14:paraId="4B405349" w14:textId="77777777" w:rsidR="00E76426" w:rsidRPr="003B6AB0" w:rsidRDefault="00E76426" w:rsidP="003035F8">
      <w:pPr>
        <w:spacing w:line="480" w:lineRule="auto"/>
        <w:contextualSpacing/>
        <w:jc w:val="center"/>
        <w:rPr>
          <w:rFonts w:ascii="Times New Roman" w:hAnsi="Times New Roman" w:cs="Times New Roman"/>
          <w:b/>
          <w:sz w:val="24"/>
          <w:szCs w:val="24"/>
          <w:lang w:val="en-GB"/>
        </w:rPr>
      </w:pPr>
      <w:r w:rsidRPr="003B6AB0">
        <w:rPr>
          <w:rFonts w:ascii="Times New Roman" w:hAnsi="Times New Roman" w:cs="Times New Roman"/>
          <w:b/>
          <w:sz w:val="24"/>
          <w:szCs w:val="24"/>
          <w:lang w:val="en-GB"/>
        </w:rPr>
        <w:t>Insert Table 1</w:t>
      </w:r>
      <w:r w:rsidR="006F0BF8" w:rsidRPr="003B6AB0">
        <w:rPr>
          <w:rFonts w:ascii="Times New Roman" w:hAnsi="Times New Roman" w:cs="Times New Roman"/>
          <w:b/>
          <w:sz w:val="24"/>
          <w:szCs w:val="24"/>
          <w:lang w:val="en-GB"/>
        </w:rPr>
        <w:t xml:space="preserve"> and </w:t>
      </w:r>
      <w:r w:rsidRPr="003B6AB0">
        <w:rPr>
          <w:rFonts w:ascii="Times New Roman" w:hAnsi="Times New Roman" w:cs="Times New Roman"/>
          <w:b/>
          <w:sz w:val="24"/>
          <w:szCs w:val="24"/>
          <w:lang w:val="en-GB"/>
        </w:rPr>
        <w:t>Table 2</w:t>
      </w:r>
    </w:p>
    <w:p w14:paraId="47FBE176" w14:textId="60110EC1" w:rsidR="00CD64BF" w:rsidRDefault="0019744A" w:rsidP="003B6AB0">
      <w:pPr>
        <w:spacing w:line="480" w:lineRule="auto"/>
        <w:ind w:firstLine="567"/>
        <w:contextualSpacing/>
        <w:jc w:val="both"/>
        <w:rPr>
          <w:rFonts w:ascii="Times New Roman" w:hAnsi="Times New Roman" w:cs="Times New Roman"/>
          <w:sz w:val="24"/>
          <w:szCs w:val="24"/>
          <w:lang w:val="en-GB"/>
        </w:rPr>
      </w:pPr>
      <w:r w:rsidRPr="003B6AB0">
        <w:rPr>
          <w:rFonts w:ascii="Times New Roman" w:hAnsi="Times New Roman" w:cs="Times New Roman"/>
          <w:sz w:val="24"/>
          <w:szCs w:val="24"/>
          <w:lang w:val="en-GB"/>
        </w:rPr>
        <w:t>Table 2</w:t>
      </w:r>
      <w:r w:rsidR="00BA5385" w:rsidRPr="003B6AB0">
        <w:rPr>
          <w:rFonts w:ascii="Times New Roman" w:hAnsi="Times New Roman" w:cs="Times New Roman"/>
          <w:sz w:val="24"/>
          <w:szCs w:val="24"/>
          <w:lang w:val="en-GB"/>
        </w:rPr>
        <w:t xml:space="preserve"> provides the stepwise </w:t>
      </w:r>
      <w:r w:rsidRPr="003B6AB0">
        <w:rPr>
          <w:rFonts w:ascii="Times New Roman" w:hAnsi="Times New Roman" w:cs="Times New Roman"/>
          <w:sz w:val="24"/>
          <w:szCs w:val="24"/>
          <w:lang w:val="en-GB"/>
        </w:rPr>
        <w:t xml:space="preserve">logistic </w:t>
      </w:r>
      <w:r w:rsidR="00BA5385" w:rsidRPr="003B6AB0">
        <w:rPr>
          <w:rFonts w:ascii="Times New Roman" w:hAnsi="Times New Roman" w:cs="Times New Roman"/>
          <w:sz w:val="24"/>
          <w:szCs w:val="24"/>
          <w:lang w:val="en-GB"/>
        </w:rPr>
        <w:t>regression analysis</w:t>
      </w:r>
      <w:r w:rsidR="00697087" w:rsidRPr="003B6AB0">
        <w:rPr>
          <w:rFonts w:ascii="Times New Roman" w:hAnsi="Times New Roman" w:cs="Times New Roman"/>
          <w:sz w:val="24"/>
          <w:szCs w:val="24"/>
          <w:lang w:val="en-GB"/>
        </w:rPr>
        <w:t>.</w:t>
      </w:r>
      <w:r w:rsidR="00BA5385" w:rsidRPr="003B6AB0">
        <w:rPr>
          <w:rFonts w:ascii="Times New Roman" w:hAnsi="Times New Roman" w:cs="Times New Roman"/>
          <w:sz w:val="24"/>
          <w:szCs w:val="24"/>
          <w:lang w:val="en-GB"/>
        </w:rPr>
        <w:t xml:space="preserve"> M</w:t>
      </w:r>
      <w:r w:rsidR="00697087" w:rsidRPr="003B6AB0">
        <w:rPr>
          <w:rFonts w:ascii="Times New Roman" w:hAnsi="Times New Roman" w:cs="Times New Roman"/>
          <w:sz w:val="24"/>
          <w:szCs w:val="24"/>
          <w:lang w:val="en-GB"/>
        </w:rPr>
        <w:t>odels 1</w:t>
      </w:r>
      <w:r w:rsidR="00C105DE" w:rsidRPr="003B6AB0">
        <w:rPr>
          <w:rFonts w:ascii="Times New Roman" w:hAnsi="Times New Roman" w:cs="Times New Roman"/>
          <w:sz w:val="24"/>
          <w:szCs w:val="24"/>
          <w:lang w:val="en-GB"/>
        </w:rPr>
        <w:t xml:space="preserve">(a-b) and 2(a-b) </w:t>
      </w:r>
      <w:r w:rsidR="00BA5385" w:rsidRPr="003B6AB0">
        <w:rPr>
          <w:rFonts w:ascii="Times New Roman" w:hAnsi="Times New Roman" w:cs="Times New Roman"/>
          <w:sz w:val="24"/>
          <w:szCs w:val="24"/>
          <w:lang w:val="en-GB"/>
        </w:rPr>
        <w:t xml:space="preserve">consider the impact of our independent variables on </w:t>
      </w:r>
      <w:r w:rsidR="00697087" w:rsidRPr="003B6AB0">
        <w:rPr>
          <w:rFonts w:ascii="Times New Roman" w:hAnsi="Times New Roman" w:cs="Times New Roman"/>
          <w:sz w:val="24"/>
          <w:szCs w:val="24"/>
          <w:lang w:val="en-GB"/>
        </w:rPr>
        <w:t>the likelihood of organizations engaging in open strategy</w:t>
      </w:r>
      <w:r w:rsidR="00BA5385" w:rsidRPr="003B6AB0">
        <w:rPr>
          <w:rFonts w:ascii="Times New Roman" w:hAnsi="Times New Roman" w:cs="Times New Roman"/>
          <w:sz w:val="24"/>
          <w:szCs w:val="24"/>
          <w:lang w:val="en-GB"/>
        </w:rPr>
        <w:t xml:space="preserve"> individually: </w:t>
      </w:r>
      <w:r w:rsidR="00697087" w:rsidRPr="003B6AB0">
        <w:rPr>
          <w:rFonts w:ascii="Times New Roman" w:hAnsi="Times New Roman" w:cs="Times New Roman"/>
          <w:sz w:val="24"/>
          <w:szCs w:val="24"/>
          <w:lang w:val="en-GB"/>
        </w:rPr>
        <w:t>only one of our independent variables</w:t>
      </w:r>
      <w:r w:rsidR="00BA5385" w:rsidRPr="003B6AB0">
        <w:rPr>
          <w:rFonts w:ascii="Times New Roman" w:hAnsi="Times New Roman" w:cs="Times New Roman"/>
          <w:sz w:val="24"/>
          <w:szCs w:val="24"/>
          <w:lang w:val="en-GB"/>
        </w:rPr>
        <w:t xml:space="preserve"> is associated with</w:t>
      </w:r>
      <w:r w:rsidR="00256BC5" w:rsidRPr="003B6AB0">
        <w:rPr>
          <w:rFonts w:ascii="Times New Roman" w:hAnsi="Times New Roman" w:cs="Times New Roman"/>
          <w:sz w:val="24"/>
          <w:szCs w:val="24"/>
          <w:lang w:val="en-GB"/>
        </w:rPr>
        <w:t xml:space="preserve"> the</w:t>
      </w:r>
      <w:r w:rsidR="00BA5385" w:rsidRPr="003B6AB0">
        <w:rPr>
          <w:rFonts w:ascii="Times New Roman" w:hAnsi="Times New Roman" w:cs="Times New Roman"/>
          <w:sz w:val="24"/>
          <w:szCs w:val="24"/>
          <w:lang w:val="en-GB"/>
        </w:rPr>
        <w:t xml:space="preserve"> </w:t>
      </w:r>
      <w:r w:rsidR="00697087" w:rsidRPr="003B6AB0">
        <w:rPr>
          <w:rFonts w:ascii="Times New Roman" w:hAnsi="Times New Roman" w:cs="Times New Roman"/>
          <w:sz w:val="24"/>
          <w:szCs w:val="24"/>
          <w:lang w:val="en-GB"/>
        </w:rPr>
        <w:t>likelihood of disclosure</w:t>
      </w:r>
      <w:r w:rsidR="00BA5385" w:rsidRPr="003B6AB0">
        <w:rPr>
          <w:rFonts w:ascii="Times New Roman" w:hAnsi="Times New Roman" w:cs="Times New Roman"/>
          <w:sz w:val="24"/>
          <w:szCs w:val="24"/>
          <w:lang w:val="en-GB"/>
        </w:rPr>
        <w:t xml:space="preserve">. The subsequent models </w:t>
      </w:r>
      <w:r w:rsidR="00C105DE" w:rsidRPr="003B6AB0">
        <w:rPr>
          <w:rFonts w:ascii="Times New Roman" w:hAnsi="Times New Roman" w:cs="Times New Roman"/>
          <w:sz w:val="24"/>
          <w:szCs w:val="24"/>
          <w:lang w:val="en-GB"/>
        </w:rPr>
        <w:t>(</w:t>
      </w:r>
      <w:r w:rsidR="00B728F1" w:rsidRPr="003B6AB0">
        <w:rPr>
          <w:rFonts w:ascii="Times New Roman" w:hAnsi="Times New Roman" w:cs="Times New Roman"/>
          <w:sz w:val="24"/>
          <w:szCs w:val="24"/>
          <w:lang w:val="en-GB"/>
        </w:rPr>
        <w:t>3</w:t>
      </w:r>
      <w:r w:rsidR="00C105DE" w:rsidRPr="003B6AB0">
        <w:rPr>
          <w:rFonts w:ascii="Times New Roman" w:hAnsi="Times New Roman" w:cs="Times New Roman"/>
          <w:sz w:val="24"/>
          <w:szCs w:val="24"/>
          <w:lang w:val="en-GB"/>
        </w:rPr>
        <w:t>(a-</w:t>
      </w:r>
      <w:r w:rsidR="00C105DE" w:rsidRPr="003B6AB0">
        <w:rPr>
          <w:rFonts w:ascii="Times New Roman" w:hAnsi="Times New Roman" w:cs="Times New Roman"/>
          <w:sz w:val="24"/>
          <w:szCs w:val="24"/>
          <w:lang w:val="en-GB"/>
        </w:rPr>
        <w:lastRenderedPageBreak/>
        <w:t xml:space="preserve">b) and </w:t>
      </w:r>
      <w:r w:rsidR="00B728F1" w:rsidRPr="003B6AB0">
        <w:rPr>
          <w:rFonts w:ascii="Times New Roman" w:hAnsi="Times New Roman" w:cs="Times New Roman"/>
          <w:sz w:val="24"/>
          <w:szCs w:val="24"/>
          <w:lang w:val="en-GB"/>
        </w:rPr>
        <w:t>4</w:t>
      </w:r>
      <w:r w:rsidR="00C105DE" w:rsidRPr="003B6AB0">
        <w:rPr>
          <w:rFonts w:ascii="Times New Roman" w:hAnsi="Times New Roman" w:cs="Times New Roman"/>
          <w:sz w:val="24"/>
          <w:szCs w:val="24"/>
          <w:lang w:val="en-GB"/>
        </w:rPr>
        <w:t>(a-b))</w:t>
      </w:r>
      <w:r w:rsidR="00BA5385" w:rsidRPr="003B6AB0">
        <w:rPr>
          <w:rFonts w:ascii="Times New Roman" w:hAnsi="Times New Roman" w:cs="Times New Roman"/>
          <w:sz w:val="24"/>
          <w:szCs w:val="24"/>
          <w:lang w:val="en-GB"/>
        </w:rPr>
        <w:t xml:space="preserve"> introduce successively the combined effects</w:t>
      </w:r>
      <w:r w:rsidR="00697087" w:rsidRPr="003B6AB0">
        <w:rPr>
          <w:rFonts w:ascii="Times New Roman" w:hAnsi="Times New Roman" w:cs="Times New Roman"/>
          <w:sz w:val="24"/>
          <w:szCs w:val="24"/>
          <w:lang w:val="en-GB"/>
        </w:rPr>
        <w:t xml:space="preserve"> of </w:t>
      </w:r>
      <w:r w:rsidR="00BA5385" w:rsidRPr="003B6AB0">
        <w:rPr>
          <w:rFonts w:ascii="Times New Roman" w:hAnsi="Times New Roman" w:cs="Times New Roman"/>
          <w:sz w:val="24"/>
          <w:szCs w:val="24"/>
          <w:lang w:val="en-GB"/>
        </w:rPr>
        <w:t xml:space="preserve">independent and control variables. </w:t>
      </w:r>
      <w:r w:rsidR="003D0297" w:rsidRPr="003B6AB0">
        <w:rPr>
          <w:rFonts w:ascii="Times New Roman" w:hAnsi="Times New Roman" w:cs="Times New Roman"/>
          <w:sz w:val="24"/>
          <w:szCs w:val="24"/>
          <w:lang w:val="en-GB"/>
        </w:rPr>
        <w:t xml:space="preserve">For the logistic regression analysis, </w:t>
      </w:r>
      <w:r w:rsidR="00904AD4">
        <w:rPr>
          <w:rFonts w:ascii="Times New Roman" w:hAnsi="Times New Roman" w:cs="Times New Roman"/>
          <w:sz w:val="24"/>
          <w:szCs w:val="24"/>
          <w:lang w:val="en-GB"/>
        </w:rPr>
        <w:t>six</w:t>
      </w:r>
      <w:r w:rsidR="00904AD4" w:rsidRPr="003B6AB0">
        <w:rPr>
          <w:rFonts w:ascii="Times New Roman" w:hAnsi="Times New Roman" w:cs="Times New Roman"/>
          <w:sz w:val="24"/>
          <w:szCs w:val="24"/>
          <w:lang w:val="en-GB"/>
        </w:rPr>
        <w:t xml:space="preserve"> </w:t>
      </w:r>
      <w:r w:rsidR="00256BC5" w:rsidRPr="003B6AB0">
        <w:rPr>
          <w:rFonts w:ascii="Times New Roman" w:hAnsi="Times New Roman" w:cs="Times New Roman"/>
          <w:sz w:val="24"/>
          <w:szCs w:val="24"/>
          <w:lang w:val="en-GB"/>
        </w:rPr>
        <w:t>control variables</w:t>
      </w:r>
      <w:r w:rsidR="005A5484">
        <w:rPr>
          <w:rFonts w:ascii="Times New Roman" w:hAnsi="Times New Roman" w:cs="Times New Roman"/>
          <w:sz w:val="24"/>
          <w:szCs w:val="24"/>
          <w:lang w:val="en-GB"/>
        </w:rPr>
        <w:t xml:space="preserve"> are significant in our final regression model. These are </w:t>
      </w:r>
      <w:r w:rsidR="00256BC5" w:rsidRPr="003B6AB0">
        <w:rPr>
          <w:rFonts w:ascii="Times New Roman" w:hAnsi="Times New Roman" w:cs="Times New Roman"/>
          <w:sz w:val="24"/>
          <w:szCs w:val="24"/>
          <w:lang w:val="en-GB"/>
        </w:rPr>
        <w:t xml:space="preserve">financial advisors in the bulge bracket, </w:t>
      </w:r>
      <w:r w:rsidR="00904AD4">
        <w:rPr>
          <w:rFonts w:ascii="Times New Roman" w:hAnsi="Times New Roman" w:cs="Times New Roman"/>
          <w:sz w:val="24"/>
          <w:szCs w:val="24"/>
          <w:lang w:val="en-GB"/>
        </w:rPr>
        <w:t xml:space="preserve">deal size, </w:t>
      </w:r>
      <w:r w:rsidR="00C105DE" w:rsidRPr="003B6AB0">
        <w:rPr>
          <w:rFonts w:ascii="Times New Roman" w:hAnsi="Times New Roman" w:cs="Times New Roman"/>
          <w:sz w:val="24"/>
          <w:szCs w:val="24"/>
          <w:lang w:val="en-GB"/>
        </w:rPr>
        <w:t>prior firm performance,</w:t>
      </w:r>
      <w:r w:rsidR="00904AD4">
        <w:rPr>
          <w:rFonts w:ascii="Times New Roman" w:hAnsi="Times New Roman" w:cs="Times New Roman"/>
          <w:sz w:val="24"/>
          <w:szCs w:val="24"/>
          <w:lang w:val="en-GB"/>
        </w:rPr>
        <w:t xml:space="preserve"> the fact that the deal was rumoured, prior acquisitions outside of main industry, and share price reactions associated with initial announcements of the deal</w:t>
      </w:r>
      <w:r w:rsidR="005A5484">
        <w:rPr>
          <w:rFonts w:ascii="Times New Roman" w:hAnsi="Times New Roman" w:cs="Times New Roman"/>
          <w:sz w:val="24"/>
          <w:szCs w:val="24"/>
          <w:lang w:val="en-GB"/>
        </w:rPr>
        <w:t xml:space="preserve">. Our control variables’ significance levels vary between p&lt;0.001 and </w:t>
      </w:r>
      <w:r w:rsidR="00BA5385" w:rsidRPr="003B6AB0">
        <w:rPr>
          <w:rFonts w:ascii="Times New Roman" w:hAnsi="Times New Roman" w:cs="Times New Roman"/>
          <w:sz w:val="24"/>
          <w:szCs w:val="24"/>
          <w:lang w:val="en-GB"/>
        </w:rPr>
        <w:t>p&lt;0.10</w:t>
      </w:r>
      <w:r w:rsidR="00C105DE" w:rsidRPr="003B6AB0">
        <w:rPr>
          <w:rFonts w:ascii="Times New Roman" w:hAnsi="Times New Roman" w:cs="Times New Roman"/>
          <w:sz w:val="24"/>
          <w:szCs w:val="24"/>
          <w:lang w:val="en-GB"/>
        </w:rPr>
        <w:t xml:space="preserve"> for estimating the likelihood of organizations engaging in open strategy</w:t>
      </w:r>
      <w:r w:rsidR="00256BC5" w:rsidRPr="003B6AB0">
        <w:rPr>
          <w:rFonts w:ascii="Times New Roman" w:hAnsi="Times New Roman" w:cs="Times New Roman"/>
          <w:sz w:val="24"/>
          <w:szCs w:val="24"/>
          <w:lang w:val="en-GB"/>
        </w:rPr>
        <w:t xml:space="preserve">. Model </w:t>
      </w:r>
      <w:r w:rsidR="00E20EB9" w:rsidRPr="003B6AB0">
        <w:rPr>
          <w:rFonts w:ascii="Times New Roman" w:hAnsi="Times New Roman" w:cs="Times New Roman"/>
          <w:sz w:val="24"/>
          <w:szCs w:val="24"/>
          <w:lang w:val="en-GB"/>
        </w:rPr>
        <w:t>4</w:t>
      </w:r>
      <w:r w:rsidR="003D0297" w:rsidRPr="003B6AB0">
        <w:rPr>
          <w:rFonts w:ascii="Times New Roman" w:hAnsi="Times New Roman" w:cs="Times New Roman"/>
          <w:sz w:val="24"/>
          <w:szCs w:val="24"/>
          <w:lang w:val="en-GB"/>
        </w:rPr>
        <w:t>a</w:t>
      </w:r>
      <w:r w:rsidR="00E20EB9" w:rsidRPr="003B6AB0">
        <w:rPr>
          <w:rFonts w:ascii="Times New Roman" w:hAnsi="Times New Roman" w:cs="Times New Roman"/>
          <w:sz w:val="24"/>
          <w:szCs w:val="24"/>
          <w:lang w:val="en-GB"/>
        </w:rPr>
        <w:t xml:space="preserve"> </w:t>
      </w:r>
      <w:r w:rsidR="00BA5385" w:rsidRPr="003B6AB0">
        <w:rPr>
          <w:rFonts w:ascii="Times New Roman" w:hAnsi="Times New Roman" w:cs="Times New Roman"/>
          <w:sz w:val="24"/>
          <w:szCs w:val="24"/>
          <w:lang w:val="en-GB"/>
        </w:rPr>
        <w:t>drops non-significant control variables</w:t>
      </w:r>
      <w:r w:rsidR="005A5484">
        <w:rPr>
          <w:rFonts w:ascii="Times New Roman" w:hAnsi="Times New Roman" w:cs="Times New Roman"/>
          <w:sz w:val="24"/>
          <w:szCs w:val="24"/>
          <w:lang w:val="en-GB"/>
        </w:rPr>
        <w:t xml:space="preserve">. </w:t>
      </w:r>
      <w:r w:rsidR="00C74E09" w:rsidRPr="003B6AB0">
        <w:rPr>
          <w:rFonts w:ascii="Times New Roman" w:hAnsi="Times New Roman" w:cs="Times New Roman"/>
          <w:sz w:val="24"/>
          <w:szCs w:val="24"/>
          <w:lang w:val="en-GB"/>
        </w:rPr>
        <w:t xml:space="preserve">Our final model </w:t>
      </w:r>
      <w:r w:rsidR="00E20EB9" w:rsidRPr="003B6AB0">
        <w:rPr>
          <w:rFonts w:ascii="Times New Roman" w:hAnsi="Times New Roman" w:cs="Times New Roman"/>
          <w:sz w:val="24"/>
          <w:szCs w:val="24"/>
          <w:lang w:val="en-GB"/>
        </w:rPr>
        <w:t xml:space="preserve">for the logistic regression analysis </w:t>
      </w:r>
      <w:r w:rsidR="00C74E09" w:rsidRPr="003B6AB0">
        <w:rPr>
          <w:rFonts w:ascii="Times New Roman" w:hAnsi="Times New Roman" w:cs="Times New Roman"/>
          <w:sz w:val="24"/>
          <w:szCs w:val="24"/>
          <w:lang w:val="en-GB"/>
        </w:rPr>
        <w:t>is significant at p&lt;0.00</w:t>
      </w:r>
      <w:r w:rsidR="00E20EB9" w:rsidRPr="003B6AB0">
        <w:rPr>
          <w:rFonts w:ascii="Times New Roman" w:hAnsi="Times New Roman" w:cs="Times New Roman"/>
          <w:sz w:val="24"/>
          <w:szCs w:val="24"/>
          <w:lang w:val="en-GB"/>
        </w:rPr>
        <w:t>5</w:t>
      </w:r>
      <w:r w:rsidR="00C74E09" w:rsidRPr="003B6AB0">
        <w:rPr>
          <w:rFonts w:ascii="Times New Roman" w:hAnsi="Times New Roman" w:cs="Times New Roman"/>
          <w:sz w:val="24"/>
          <w:szCs w:val="24"/>
          <w:lang w:val="en-GB"/>
        </w:rPr>
        <w:t xml:space="preserve">. </w:t>
      </w:r>
    </w:p>
    <w:p w14:paraId="7D6BA698" w14:textId="6A95512B" w:rsidR="00BA5385" w:rsidRPr="003B6AB0" w:rsidRDefault="003D0297" w:rsidP="00FB7347">
      <w:pPr>
        <w:spacing w:line="480" w:lineRule="auto"/>
        <w:ind w:firstLine="720"/>
        <w:contextualSpacing/>
        <w:jc w:val="both"/>
        <w:rPr>
          <w:rFonts w:ascii="Times New Roman" w:hAnsi="Times New Roman" w:cs="Times New Roman"/>
          <w:sz w:val="24"/>
          <w:szCs w:val="24"/>
          <w:lang w:val="en-GB"/>
        </w:rPr>
      </w:pPr>
      <w:r w:rsidRPr="003B6AB0">
        <w:rPr>
          <w:rFonts w:ascii="Times New Roman" w:hAnsi="Times New Roman" w:cs="Times New Roman"/>
          <w:sz w:val="24"/>
          <w:szCs w:val="24"/>
          <w:lang w:val="en-GB"/>
        </w:rPr>
        <w:t>For calculating market reactions associated with open strategy, we find that financial advisors</w:t>
      </w:r>
      <w:r w:rsidR="00093140">
        <w:rPr>
          <w:rFonts w:ascii="Times New Roman" w:hAnsi="Times New Roman" w:cs="Times New Roman"/>
          <w:sz w:val="24"/>
          <w:szCs w:val="24"/>
          <w:lang w:val="en-GB"/>
        </w:rPr>
        <w:t xml:space="preserve">, share price reactions associated with initial deal announcements, and changes in analysts’ estimates are </w:t>
      </w:r>
      <w:r w:rsidRPr="003B6AB0">
        <w:rPr>
          <w:rFonts w:ascii="Times New Roman" w:hAnsi="Times New Roman" w:cs="Times New Roman"/>
          <w:sz w:val="24"/>
          <w:szCs w:val="24"/>
          <w:lang w:val="en-GB"/>
        </w:rPr>
        <w:t>significant control variable</w:t>
      </w:r>
      <w:r w:rsidR="00093140">
        <w:rPr>
          <w:rFonts w:ascii="Times New Roman" w:hAnsi="Times New Roman" w:cs="Times New Roman"/>
          <w:sz w:val="24"/>
          <w:szCs w:val="24"/>
          <w:lang w:val="en-GB"/>
        </w:rPr>
        <w:t>s</w:t>
      </w:r>
      <w:r w:rsidRPr="003B6AB0">
        <w:rPr>
          <w:rFonts w:ascii="Times New Roman" w:hAnsi="Times New Roman" w:cs="Times New Roman"/>
          <w:sz w:val="24"/>
          <w:szCs w:val="24"/>
          <w:lang w:val="en-GB"/>
        </w:rPr>
        <w:t xml:space="preserve"> (p&lt;0.1</w:t>
      </w:r>
      <w:r w:rsidR="00093140">
        <w:rPr>
          <w:rFonts w:ascii="Times New Roman" w:hAnsi="Times New Roman" w:cs="Times New Roman"/>
          <w:sz w:val="24"/>
          <w:szCs w:val="24"/>
          <w:lang w:val="en-GB"/>
        </w:rPr>
        <w:t xml:space="preserve"> for all variables</w:t>
      </w:r>
      <w:r w:rsidRPr="003B6AB0">
        <w:rPr>
          <w:rFonts w:ascii="Times New Roman" w:hAnsi="Times New Roman" w:cs="Times New Roman"/>
          <w:sz w:val="24"/>
          <w:szCs w:val="24"/>
          <w:lang w:val="en-GB"/>
        </w:rPr>
        <w:t xml:space="preserve">). The final model for estimating CAR associated with </w:t>
      </w:r>
      <w:r w:rsidR="00965426">
        <w:rPr>
          <w:rFonts w:ascii="Times New Roman" w:hAnsi="Times New Roman" w:cs="Times New Roman"/>
          <w:sz w:val="24"/>
          <w:szCs w:val="24"/>
        </w:rPr>
        <w:t>voluntary M&amp;A announcements</w:t>
      </w:r>
      <w:r w:rsidR="00965426" w:rsidRPr="003B6AB0">
        <w:rPr>
          <w:rFonts w:ascii="Times New Roman" w:hAnsi="Times New Roman" w:cs="Times New Roman"/>
          <w:sz w:val="24"/>
          <w:szCs w:val="24"/>
          <w:lang w:val="en-GB"/>
        </w:rPr>
        <w:t xml:space="preserve"> </w:t>
      </w:r>
      <w:r w:rsidRPr="003B6AB0">
        <w:rPr>
          <w:rFonts w:ascii="Times New Roman" w:hAnsi="Times New Roman" w:cs="Times New Roman"/>
          <w:sz w:val="24"/>
          <w:szCs w:val="24"/>
          <w:lang w:val="en-GB"/>
        </w:rPr>
        <w:t xml:space="preserve">is significant at p&lt;0.01. </w:t>
      </w:r>
    </w:p>
    <w:p w14:paraId="64B8BDA7" w14:textId="7D57C619" w:rsidR="001945DC" w:rsidRPr="003B6AB0" w:rsidRDefault="004D1739" w:rsidP="00FB7347">
      <w:pPr>
        <w:spacing w:line="480" w:lineRule="auto"/>
        <w:ind w:firstLine="720"/>
        <w:contextualSpacing/>
        <w:jc w:val="both"/>
        <w:rPr>
          <w:rFonts w:ascii="Times New Roman" w:hAnsi="Times New Roman" w:cs="Times New Roman"/>
          <w:sz w:val="24"/>
          <w:szCs w:val="24"/>
          <w:lang w:val="en-GB"/>
        </w:rPr>
      </w:pPr>
      <w:r w:rsidRPr="003B6AB0">
        <w:rPr>
          <w:rFonts w:ascii="Times New Roman" w:hAnsi="Times New Roman" w:cs="Times New Roman"/>
          <w:sz w:val="24"/>
          <w:szCs w:val="24"/>
          <w:lang w:val="en-GB"/>
        </w:rPr>
        <w:t>We start with hypothesis</w:t>
      </w:r>
      <w:r w:rsidR="00BA5385" w:rsidRPr="003B6AB0">
        <w:rPr>
          <w:rFonts w:ascii="Times New Roman" w:hAnsi="Times New Roman" w:cs="Times New Roman"/>
          <w:sz w:val="24"/>
          <w:szCs w:val="24"/>
          <w:lang w:val="en-GB"/>
        </w:rPr>
        <w:t xml:space="preserve"> </w:t>
      </w:r>
      <w:r w:rsidRPr="003B6AB0">
        <w:rPr>
          <w:rFonts w:ascii="Times New Roman" w:hAnsi="Times New Roman" w:cs="Times New Roman"/>
          <w:sz w:val="24"/>
          <w:szCs w:val="24"/>
          <w:lang w:val="en-GB"/>
        </w:rPr>
        <w:t>1</w:t>
      </w:r>
      <w:r w:rsidR="00872DAB" w:rsidRPr="003B6AB0">
        <w:rPr>
          <w:rFonts w:ascii="Times New Roman" w:hAnsi="Times New Roman" w:cs="Times New Roman"/>
          <w:sz w:val="24"/>
          <w:szCs w:val="24"/>
          <w:lang w:val="en-GB"/>
        </w:rPr>
        <w:t>a</w:t>
      </w:r>
      <w:r w:rsidR="00BA5385" w:rsidRPr="003B6AB0">
        <w:rPr>
          <w:rFonts w:ascii="Times New Roman" w:hAnsi="Times New Roman" w:cs="Times New Roman"/>
          <w:sz w:val="24"/>
          <w:szCs w:val="24"/>
          <w:lang w:val="en-GB"/>
        </w:rPr>
        <w:t>, which state</w:t>
      </w:r>
      <w:r w:rsidRPr="003B6AB0">
        <w:rPr>
          <w:rFonts w:ascii="Times New Roman" w:hAnsi="Times New Roman" w:cs="Times New Roman"/>
          <w:sz w:val="24"/>
          <w:szCs w:val="24"/>
          <w:lang w:val="en-GB"/>
        </w:rPr>
        <w:t xml:space="preserve">s that </w:t>
      </w:r>
      <w:r w:rsidRPr="003B6AB0">
        <w:rPr>
          <w:rFonts w:ascii="Times New Roman" w:hAnsi="Times New Roman" w:cs="Times New Roman"/>
          <w:bCs/>
          <w:sz w:val="24"/>
          <w:szCs w:val="24"/>
        </w:rPr>
        <w:t xml:space="preserve">the probability of observing </w:t>
      </w:r>
      <w:r w:rsidR="00AF15AE" w:rsidRPr="00FA0972">
        <w:rPr>
          <w:rFonts w:ascii="Times New Roman" w:hAnsi="Times New Roman" w:cs="Times New Roman"/>
          <w:bCs/>
          <w:sz w:val="24"/>
          <w:szCs w:val="24"/>
        </w:rPr>
        <w:t>voluntary M&amp;A announcements</w:t>
      </w:r>
      <w:r w:rsidR="00AF15AE">
        <w:rPr>
          <w:rFonts w:asciiTheme="majorBidi" w:hAnsiTheme="majorBidi" w:cstheme="majorBidi"/>
          <w:bCs/>
          <w:sz w:val="24"/>
          <w:szCs w:val="24"/>
          <w:lang w:val="en-GB"/>
        </w:rPr>
        <w:t xml:space="preserve"> </w:t>
      </w:r>
      <w:r w:rsidRPr="003B6AB0">
        <w:rPr>
          <w:rFonts w:ascii="Times New Roman" w:hAnsi="Times New Roman" w:cs="Times New Roman"/>
          <w:bCs/>
          <w:sz w:val="24"/>
          <w:szCs w:val="24"/>
        </w:rPr>
        <w:t>is higher for organizations that display greater strategic variation compared to organizations that display lower strategic variation</w:t>
      </w:r>
      <w:r w:rsidR="009A0F6F" w:rsidRPr="003B6AB0">
        <w:rPr>
          <w:rFonts w:ascii="Times New Roman" w:hAnsi="Times New Roman" w:cs="Times New Roman"/>
          <w:bCs/>
          <w:sz w:val="24"/>
          <w:szCs w:val="24"/>
        </w:rPr>
        <w:t>.</w:t>
      </w:r>
      <w:r w:rsidRPr="003B6AB0">
        <w:rPr>
          <w:rFonts w:ascii="Times New Roman" w:hAnsi="Times New Roman" w:cs="Times New Roman"/>
          <w:sz w:val="24"/>
          <w:szCs w:val="24"/>
          <w:lang w:val="en-GB"/>
        </w:rPr>
        <w:t xml:space="preserve"> </w:t>
      </w:r>
      <w:r w:rsidR="00BA5385" w:rsidRPr="003B6AB0">
        <w:rPr>
          <w:rFonts w:ascii="Times New Roman" w:hAnsi="Times New Roman" w:cs="Times New Roman"/>
          <w:sz w:val="24"/>
          <w:szCs w:val="24"/>
          <w:lang w:val="en-GB"/>
        </w:rPr>
        <w:t xml:space="preserve">Model </w:t>
      </w:r>
      <w:r w:rsidR="00330CA4" w:rsidRPr="003B6AB0">
        <w:rPr>
          <w:rFonts w:ascii="Times New Roman" w:hAnsi="Times New Roman" w:cs="Times New Roman"/>
          <w:sz w:val="24"/>
          <w:szCs w:val="24"/>
          <w:lang w:val="en-GB"/>
        </w:rPr>
        <w:t>4</w:t>
      </w:r>
      <w:r w:rsidR="001E75FE" w:rsidRPr="003B6AB0">
        <w:rPr>
          <w:rFonts w:ascii="Times New Roman" w:hAnsi="Times New Roman" w:cs="Times New Roman"/>
          <w:sz w:val="24"/>
          <w:szCs w:val="24"/>
          <w:lang w:val="en-GB"/>
        </w:rPr>
        <w:t>a</w:t>
      </w:r>
      <w:r w:rsidR="009A0F6F" w:rsidRPr="003B6AB0">
        <w:rPr>
          <w:rFonts w:ascii="Times New Roman" w:hAnsi="Times New Roman" w:cs="Times New Roman"/>
          <w:sz w:val="24"/>
          <w:szCs w:val="24"/>
          <w:lang w:val="en-GB"/>
        </w:rPr>
        <w:t xml:space="preserve"> in Table 2</w:t>
      </w:r>
      <w:r w:rsidR="00BA5385" w:rsidRPr="003B6AB0">
        <w:rPr>
          <w:rFonts w:ascii="Times New Roman" w:hAnsi="Times New Roman" w:cs="Times New Roman"/>
          <w:sz w:val="24"/>
          <w:szCs w:val="24"/>
          <w:lang w:val="en-GB"/>
        </w:rPr>
        <w:t xml:space="preserve"> indicates that for </w:t>
      </w:r>
      <w:r w:rsidR="009A0F6F" w:rsidRPr="003B6AB0">
        <w:rPr>
          <w:rFonts w:ascii="Times New Roman" w:hAnsi="Times New Roman" w:cs="Times New Roman"/>
          <w:sz w:val="24"/>
          <w:szCs w:val="24"/>
          <w:lang w:val="en-GB"/>
        </w:rPr>
        <w:t>organizations whose strategy is associated with a shift over time, the likelihood of having an open M&amp;A strategy is no different to those that do not have changes taking place regarding their strategy (coefficient: 0.0</w:t>
      </w:r>
      <w:r w:rsidR="00330CA4" w:rsidRPr="003B6AB0">
        <w:rPr>
          <w:rFonts w:ascii="Times New Roman" w:hAnsi="Times New Roman" w:cs="Times New Roman"/>
          <w:sz w:val="24"/>
          <w:szCs w:val="24"/>
          <w:lang w:val="en-GB"/>
        </w:rPr>
        <w:t>5</w:t>
      </w:r>
      <w:r w:rsidR="009A0F6F" w:rsidRPr="003B6AB0">
        <w:rPr>
          <w:rFonts w:ascii="Times New Roman" w:hAnsi="Times New Roman" w:cs="Times New Roman"/>
          <w:sz w:val="24"/>
          <w:szCs w:val="24"/>
          <w:lang w:val="en-GB"/>
        </w:rPr>
        <w:t xml:space="preserve">; </w:t>
      </w:r>
      <w:r w:rsidR="000742B4" w:rsidRPr="003B6AB0">
        <w:rPr>
          <w:rFonts w:ascii="Times New Roman" w:hAnsi="Times New Roman" w:cs="Times New Roman"/>
          <w:sz w:val="24"/>
          <w:szCs w:val="24"/>
          <w:lang w:val="en-GB"/>
        </w:rPr>
        <w:t xml:space="preserve">p&gt;0.1; </w:t>
      </w:r>
      <w:r w:rsidR="009A0F6F" w:rsidRPr="003B6AB0">
        <w:rPr>
          <w:rFonts w:ascii="Times New Roman" w:hAnsi="Times New Roman" w:cs="Times New Roman"/>
          <w:sz w:val="24"/>
          <w:szCs w:val="24"/>
          <w:lang w:val="en-GB"/>
        </w:rPr>
        <w:t>standard error (SE): 0.</w:t>
      </w:r>
      <w:r w:rsidR="001E75FE" w:rsidRPr="003B6AB0">
        <w:rPr>
          <w:rFonts w:ascii="Times New Roman" w:hAnsi="Times New Roman" w:cs="Times New Roman"/>
          <w:sz w:val="24"/>
          <w:szCs w:val="24"/>
          <w:lang w:val="en-GB"/>
        </w:rPr>
        <w:t>00</w:t>
      </w:r>
      <w:r w:rsidR="00BA5385" w:rsidRPr="003B6AB0">
        <w:rPr>
          <w:rFonts w:ascii="Times New Roman" w:hAnsi="Times New Roman" w:cs="Times New Roman"/>
          <w:sz w:val="24"/>
          <w:szCs w:val="24"/>
          <w:lang w:val="en-GB"/>
        </w:rPr>
        <w:t xml:space="preserve">). However, </w:t>
      </w:r>
      <w:r w:rsidR="001E75FE" w:rsidRPr="003B6AB0">
        <w:rPr>
          <w:rFonts w:ascii="Times New Roman" w:hAnsi="Times New Roman" w:cs="Times New Roman"/>
          <w:sz w:val="24"/>
          <w:szCs w:val="24"/>
          <w:lang w:val="en-GB"/>
        </w:rPr>
        <w:t xml:space="preserve">in testing for hypothesis 1b, we find </w:t>
      </w:r>
      <w:r w:rsidR="00951EBF" w:rsidRPr="003B6AB0">
        <w:rPr>
          <w:rFonts w:ascii="Times New Roman" w:hAnsi="Times New Roman" w:cs="Times New Roman"/>
          <w:sz w:val="24"/>
          <w:szCs w:val="24"/>
          <w:lang w:val="en-GB"/>
        </w:rPr>
        <w:t xml:space="preserve">in Model 4a </w:t>
      </w:r>
      <w:r w:rsidR="001E75FE" w:rsidRPr="003B6AB0">
        <w:rPr>
          <w:rFonts w:ascii="Times New Roman" w:hAnsi="Times New Roman" w:cs="Times New Roman"/>
          <w:sz w:val="24"/>
          <w:szCs w:val="24"/>
          <w:lang w:val="en-GB"/>
        </w:rPr>
        <w:t xml:space="preserve">that </w:t>
      </w:r>
      <w:r w:rsidR="009A0F6F" w:rsidRPr="003B6AB0">
        <w:rPr>
          <w:rFonts w:ascii="Times New Roman" w:hAnsi="Times New Roman" w:cs="Times New Roman"/>
          <w:sz w:val="24"/>
          <w:szCs w:val="24"/>
          <w:lang w:val="en-GB"/>
        </w:rPr>
        <w:t>having a strategy that is characterised with having a deviation from industry norms increases the likelihood that organizations will engage in external transparency (coefficient: 1.</w:t>
      </w:r>
      <w:r w:rsidR="001B1BC5">
        <w:rPr>
          <w:rFonts w:ascii="Times New Roman" w:hAnsi="Times New Roman" w:cs="Times New Roman"/>
          <w:sz w:val="24"/>
          <w:szCs w:val="24"/>
          <w:lang w:val="en-GB"/>
        </w:rPr>
        <w:t>41</w:t>
      </w:r>
      <w:r w:rsidR="009A0F6F" w:rsidRPr="003B6AB0">
        <w:rPr>
          <w:rFonts w:ascii="Times New Roman" w:hAnsi="Times New Roman" w:cs="Times New Roman"/>
          <w:sz w:val="24"/>
          <w:szCs w:val="24"/>
          <w:lang w:val="en-GB"/>
        </w:rPr>
        <w:t xml:space="preserve">; </w:t>
      </w:r>
      <w:r w:rsidR="000742B4" w:rsidRPr="003B6AB0">
        <w:rPr>
          <w:rFonts w:ascii="Times New Roman" w:hAnsi="Times New Roman" w:cs="Times New Roman"/>
          <w:sz w:val="24"/>
          <w:szCs w:val="24"/>
          <w:lang w:val="en-GB"/>
        </w:rPr>
        <w:t xml:space="preserve">p&lt;0.005; </w:t>
      </w:r>
      <w:r w:rsidR="009A0F6F" w:rsidRPr="003B6AB0">
        <w:rPr>
          <w:rFonts w:ascii="Times New Roman" w:hAnsi="Times New Roman" w:cs="Times New Roman"/>
          <w:sz w:val="24"/>
          <w:szCs w:val="24"/>
          <w:lang w:val="en-GB"/>
        </w:rPr>
        <w:t>SE: 0.0</w:t>
      </w:r>
      <w:r w:rsidR="00330CA4" w:rsidRPr="003B6AB0">
        <w:rPr>
          <w:rFonts w:ascii="Times New Roman" w:hAnsi="Times New Roman" w:cs="Times New Roman"/>
          <w:sz w:val="24"/>
          <w:szCs w:val="24"/>
          <w:lang w:val="en-GB"/>
        </w:rPr>
        <w:t>0</w:t>
      </w:r>
      <w:r w:rsidR="00BA5385" w:rsidRPr="003B6AB0">
        <w:rPr>
          <w:rFonts w:ascii="Times New Roman" w:hAnsi="Times New Roman" w:cs="Times New Roman"/>
          <w:sz w:val="24"/>
          <w:szCs w:val="24"/>
          <w:lang w:val="en-GB"/>
        </w:rPr>
        <w:t xml:space="preserve">). This suggests that </w:t>
      </w:r>
      <w:r w:rsidR="005636AE" w:rsidRPr="003B6AB0">
        <w:rPr>
          <w:rFonts w:ascii="Times New Roman" w:hAnsi="Times New Roman" w:cs="Times New Roman"/>
          <w:sz w:val="24"/>
          <w:szCs w:val="24"/>
          <w:lang w:val="en-GB"/>
        </w:rPr>
        <w:t xml:space="preserve">strategies that vary over time do not encourage organizations to be transparent towards analysts and </w:t>
      </w:r>
      <w:r w:rsidR="005636AE" w:rsidRPr="003B6AB0">
        <w:rPr>
          <w:rFonts w:ascii="Times New Roman" w:hAnsi="Times New Roman" w:cs="Times New Roman"/>
          <w:sz w:val="24"/>
          <w:szCs w:val="24"/>
          <w:lang w:val="en-GB"/>
        </w:rPr>
        <w:lastRenderedPageBreak/>
        <w:t xml:space="preserve">investors during M&amp;A but a deviation from industry norms does increase the likelihood that they will. </w:t>
      </w:r>
      <w:r w:rsidR="001945DC" w:rsidRPr="003B6AB0">
        <w:rPr>
          <w:rFonts w:ascii="Times New Roman" w:hAnsi="Times New Roman" w:cs="Times New Roman"/>
          <w:sz w:val="24"/>
          <w:szCs w:val="24"/>
          <w:lang w:val="en-GB"/>
        </w:rPr>
        <w:t>We therefore find support for hypothesis 1</w:t>
      </w:r>
      <w:r w:rsidR="0039477A">
        <w:rPr>
          <w:rFonts w:ascii="Times New Roman" w:hAnsi="Times New Roman" w:cs="Times New Roman"/>
          <w:sz w:val="24"/>
          <w:szCs w:val="24"/>
          <w:lang w:val="en-GB"/>
        </w:rPr>
        <w:t>b</w:t>
      </w:r>
      <w:r w:rsidR="001945DC" w:rsidRPr="003B6AB0">
        <w:rPr>
          <w:rFonts w:ascii="Times New Roman" w:hAnsi="Times New Roman" w:cs="Times New Roman"/>
          <w:sz w:val="24"/>
          <w:szCs w:val="24"/>
          <w:lang w:val="en-GB"/>
        </w:rPr>
        <w:t xml:space="preserve"> but not for 1</w:t>
      </w:r>
      <w:r w:rsidR="0039477A">
        <w:rPr>
          <w:rFonts w:ascii="Times New Roman" w:hAnsi="Times New Roman" w:cs="Times New Roman"/>
          <w:sz w:val="24"/>
          <w:szCs w:val="24"/>
          <w:lang w:val="en-GB"/>
        </w:rPr>
        <w:t>a</w:t>
      </w:r>
      <w:r w:rsidR="001945DC" w:rsidRPr="003B6AB0">
        <w:rPr>
          <w:rFonts w:ascii="Times New Roman" w:hAnsi="Times New Roman" w:cs="Times New Roman"/>
          <w:sz w:val="24"/>
          <w:szCs w:val="24"/>
          <w:lang w:val="en-GB"/>
        </w:rPr>
        <w:t>.</w:t>
      </w:r>
    </w:p>
    <w:p w14:paraId="25E31BDE" w14:textId="72077AD7" w:rsidR="00BA5385" w:rsidRPr="003B6AB0" w:rsidRDefault="001945DC" w:rsidP="00FB7347">
      <w:pPr>
        <w:spacing w:line="480" w:lineRule="auto"/>
        <w:ind w:firstLine="720"/>
        <w:contextualSpacing/>
        <w:jc w:val="both"/>
        <w:rPr>
          <w:rFonts w:ascii="Times New Roman" w:hAnsi="Times New Roman" w:cs="Times New Roman"/>
          <w:sz w:val="24"/>
          <w:szCs w:val="24"/>
          <w:lang w:val="en-GB"/>
        </w:rPr>
      </w:pPr>
      <w:r w:rsidRPr="003B6AB0">
        <w:rPr>
          <w:rFonts w:ascii="Times New Roman" w:hAnsi="Times New Roman" w:cs="Times New Roman"/>
          <w:sz w:val="24"/>
          <w:szCs w:val="24"/>
          <w:lang w:val="en-GB"/>
        </w:rPr>
        <w:t xml:space="preserve">Hypotheses 2a and 2b test for the above-average share price reactions associated with </w:t>
      </w:r>
      <w:r w:rsidR="00965426">
        <w:rPr>
          <w:rFonts w:ascii="Times New Roman" w:hAnsi="Times New Roman" w:cs="Times New Roman"/>
          <w:sz w:val="24"/>
          <w:szCs w:val="24"/>
        </w:rPr>
        <w:t>voluntary M&amp;A announcements</w:t>
      </w:r>
      <w:r w:rsidR="00965426" w:rsidRPr="003B6AB0">
        <w:rPr>
          <w:rFonts w:ascii="Times New Roman" w:hAnsi="Times New Roman" w:cs="Times New Roman"/>
          <w:sz w:val="24"/>
          <w:szCs w:val="24"/>
          <w:lang w:val="en-GB"/>
        </w:rPr>
        <w:t xml:space="preserve"> </w:t>
      </w:r>
      <w:r w:rsidRPr="003B6AB0">
        <w:rPr>
          <w:rFonts w:ascii="Times New Roman" w:hAnsi="Times New Roman" w:cs="Times New Roman"/>
          <w:sz w:val="24"/>
          <w:szCs w:val="24"/>
          <w:lang w:val="en-GB"/>
        </w:rPr>
        <w:t xml:space="preserve">for organizations whose strategies are characterised with strategic variation and strategic deviation. </w:t>
      </w:r>
      <w:r w:rsidR="00BD1A10" w:rsidRPr="003B6AB0">
        <w:rPr>
          <w:rFonts w:ascii="Times New Roman" w:hAnsi="Times New Roman" w:cs="Times New Roman"/>
          <w:sz w:val="24"/>
          <w:szCs w:val="24"/>
          <w:lang w:val="en-GB"/>
        </w:rPr>
        <w:t>Model 4b displays the results for these tests: we find that CAR associated with open strategy practices for organizations that are moving away from their existing strategy as a result of the M&amp;A deal is significant at p&lt;0.1 (coefficient = 0.02; SE: 0.00). For organizations that are deviating from existing industry norms, CAR is significant at p&lt;0.05 (coefficient = 0.0</w:t>
      </w:r>
      <w:r w:rsidR="001B1BC5">
        <w:rPr>
          <w:rFonts w:ascii="Times New Roman" w:hAnsi="Times New Roman" w:cs="Times New Roman"/>
          <w:sz w:val="24"/>
          <w:szCs w:val="24"/>
          <w:lang w:val="en-GB"/>
        </w:rPr>
        <w:t>4</w:t>
      </w:r>
      <w:r w:rsidR="00BD1A10" w:rsidRPr="003B6AB0">
        <w:rPr>
          <w:rFonts w:ascii="Times New Roman" w:hAnsi="Times New Roman" w:cs="Times New Roman"/>
          <w:sz w:val="24"/>
          <w:szCs w:val="24"/>
          <w:lang w:val="en-GB"/>
        </w:rPr>
        <w:t xml:space="preserve">; SE: 0.00). </w:t>
      </w:r>
      <w:r w:rsidR="001C3FBB">
        <w:rPr>
          <w:rFonts w:ascii="Times New Roman" w:hAnsi="Times New Roman" w:cs="Times New Roman"/>
          <w:sz w:val="24"/>
          <w:szCs w:val="24"/>
          <w:lang w:val="en-GB"/>
        </w:rPr>
        <w:t>At the mean of our sample, this consists of $</w:t>
      </w:r>
      <w:r w:rsidR="001B1BC5">
        <w:rPr>
          <w:rFonts w:ascii="Times New Roman" w:hAnsi="Times New Roman" w:cs="Times New Roman"/>
          <w:sz w:val="24"/>
          <w:szCs w:val="24"/>
          <w:lang w:val="en-GB"/>
        </w:rPr>
        <w:t xml:space="preserve">453 </w:t>
      </w:r>
      <w:r w:rsidR="001C3FBB">
        <w:rPr>
          <w:rFonts w:ascii="Times New Roman" w:hAnsi="Times New Roman" w:cs="Times New Roman"/>
          <w:sz w:val="24"/>
          <w:szCs w:val="24"/>
          <w:lang w:val="en-GB"/>
        </w:rPr>
        <w:t xml:space="preserve">million in market capitalization. </w:t>
      </w:r>
      <w:r w:rsidR="00BD1A10" w:rsidRPr="003B6AB0">
        <w:rPr>
          <w:rFonts w:ascii="Times New Roman" w:hAnsi="Times New Roman" w:cs="Times New Roman"/>
          <w:sz w:val="24"/>
          <w:szCs w:val="24"/>
          <w:lang w:val="en-GB"/>
        </w:rPr>
        <w:t xml:space="preserve">We therefore find weak support for hypothesis 2a and moderately strong support for hypothesis 2b. </w:t>
      </w:r>
      <w:r w:rsidR="002E47ED">
        <w:rPr>
          <w:rFonts w:ascii="Times New Roman" w:hAnsi="Times New Roman" w:cs="Times New Roman"/>
          <w:sz w:val="24"/>
          <w:szCs w:val="24"/>
          <w:lang w:val="en-GB"/>
        </w:rPr>
        <w:t xml:space="preserve">Comparing these findings with findings for our first set of hypothesis, especially H1a warrants attention. While strategic variation is not a factor that increases the likelihood of organizations engaging in open strategy, it is associated with above-average share price reactions. </w:t>
      </w:r>
      <w:r w:rsidR="002D0845">
        <w:rPr>
          <w:rFonts w:ascii="Times New Roman" w:hAnsi="Times New Roman" w:cs="Times New Roman"/>
          <w:sz w:val="24"/>
          <w:szCs w:val="24"/>
          <w:lang w:val="en-GB"/>
        </w:rPr>
        <w:t>The reason why investors react to voluntary disclosures of organizations that are undergoing strategic variation is partly due to the fact that there is likely to be less uncertainty surrounding these deals compared to deals that are associated with deviation. More importantly, however, w</w:t>
      </w:r>
      <w:r w:rsidR="002E47ED">
        <w:rPr>
          <w:rFonts w:ascii="Times New Roman" w:hAnsi="Times New Roman" w:cs="Times New Roman"/>
          <w:sz w:val="24"/>
          <w:szCs w:val="24"/>
          <w:lang w:val="en-GB"/>
        </w:rPr>
        <w:t xml:space="preserve">e venture to suggest that the reason why </w:t>
      </w:r>
      <w:r w:rsidR="002D0845">
        <w:rPr>
          <w:rFonts w:ascii="Times New Roman" w:hAnsi="Times New Roman" w:cs="Times New Roman"/>
          <w:sz w:val="24"/>
          <w:szCs w:val="24"/>
          <w:lang w:val="en-GB"/>
        </w:rPr>
        <w:t xml:space="preserve">investors may be </w:t>
      </w:r>
      <w:r w:rsidR="007A71BD">
        <w:rPr>
          <w:rFonts w:ascii="Times New Roman" w:hAnsi="Times New Roman" w:cs="Times New Roman"/>
          <w:sz w:val="24"/>
          <w:szCs w:val="24"/>
          <w:lang w:val="en-GB"/>
        </w:rPr>
        <w:t xml:space="preserve">reacting in ways that they do is due to organizations’ reluctance to communicate publicly. Therefore, for organizations that do engage in open strategy, share price reactions are likely to </w:t>
      </w:r>
      <w:r w:rsidR="0023508A">
        <w:rPr>
          <w:rFonts w:ascii="Times New Roman" w:hAnsi="Times New Roman" w:cs="Times New Roman"/>
          <w:sz w:val="24"/>
          <w:szCs w:val="24"/>
          <w:lang w:val="en-GB"/>
        </w:rPr>
        <w:t xml:space="preserve">be </w:t>
      </w:r>
      <w:r w:rsidR="007A71BD">
        <w:rPr>
          <w:rFonts w:ascii="Times New Roman" w:hAnsi="Times New Roman" w:cs="Times New Roman"/>
          <w:sz w:val="24"/>
          <w:szCs w:val="24"/>
          <w:lang w:val="en-GB"/>
        </w:rPr>
        <w:t>significant, and above all, they are likely to be favourable.</w:t>
      </w:r>
    </w:p>
    <w:p w14:paraId="2EEE4E06" w14:textId="1679C5A0" w:rsidR="00964301" w:rsidRPr="00964301" w:rsidRDefault="00BA5385" w:rsidP="00FB7347">
      <w:pPr>
        <w:spacing w:after="0" w:line="480" w:lineRule="auto"/>
        <w:ind w:firstLine="720"/>
        <w:contextualSpacing/>
        <w:jc w:val="both"/>
        <w:rPr>
          <w:rFonts w:ascii="Times New Roman" w:hAnsi="Times New Roman" w:cs="Times New Roman"/>
          <w:sz w:val="24"/>
          <w:szCs w:val="24"/>
          <w:lang w:val="en-GB"/>
        </w:rPr>
      </w:pPr>
      <w:r w:rsidRPr="003B6AB0">
        <w:rPr>
          <w:rFonts w:ascii="Times New Roman" w:hAnsi="Times New Roman" w:cs="Times New Roman"/>
          <w:sz w:val="24"/>
          <w:szCs w:val="24"/>
          <w:lang w:val="en-GB"/>
        </w:rPr>
        <w:t>Regarding effect sizes</w:t>
      </w:r>
      <w:r w:rsidRPr="003B6AB0">
        <w:rPr>
          <w:rFonts w:asciiTheme="majorBidi" w:hAnsiTheme="majorBidi" w:cstheme="majorBidi"/>
          <w:sz w:val="24"/>
          <w:szCs w:val="24"/>
          <w:lang w:val="en-GB"/>
        </w:rPr>
        <w:t xml:space="preserve">, </w:t>
      </w:r>
      <w:r w:rsidRPr="003B6AB0">
        <w:rPr>
          <w:rFonts w:asciiTheme="majorBidi" w:eastAsiaTheme="minorEastAsia" w:hAnsiTheme="majorBidi" w:cstheme="majorBidi"/>
          <w:sz w:val="24"/>
          <w:szCs w:val="24"/>
          <w:lang w:bidi="he-IL"/>
        </w:rPr>
        <w:t>we calculated Cohen’s d (the standardized mean difference). Our effect size calculations fo</w:t>
      </w:r>
      <w:r w:rsidRPr="003B6AB0">
        <w:rPr>
          <w:rFonts w:ascii="Times New Roman" w:hAnsi="Times New Roman" w:cs="Times New Roman"/>
          <w:sz w:val="24"/>
          <w:szCs w:val="24"/>
          <w:lang w:val="en-GB"/>
        </w:rPr>
        <w:t>r our</w:t>
      </w:r>
      <w:r w:rsidR="005A0DB0" w:rsidRPr="003B6AB0">
        <w:rPr>
          <w:rFonts w:ascii="Times New Roman" w:hAnsi="Times New Roman" w:cs="Times New Roman"/>
          <w:sz w:val="24"/>
          <w:szCs w:val="24"/>
          <w:lang w:val="en-GB"/>
        </w:rPr>
        <w:t xml:space="preserve"> </w:t>
      </w:r>
      <w:r w:rsidR="001B1BC5">
        <w:rPr>
          <w:rFonts w:ascii="Times New Roman" w:hAnsi="Times New Roman" w:cs="Times New Roman"/>
          <w:sz w:val="24"/>
          <w:szCs w:val="24"/>
          <w:lang w:val="en-GB"/>
        </w:rPr>
        <w:t>in</w:t>
      </w:r>
      <w:r w:rsidR="005A0DB0" w:rsidRPr="003B6AB0">
        <w:rPr>
          <w:rFonts w:ascii="Times New Roman" w:hAnsi="Times New Roman" w:cs="Times New Roman"/>
          <w:sz w:val="24"/>
          <w:szCs w:val="24"/>
          <w:lang w:val="en-GB"/>
        </w:rPr>
        <w:t xml:space="preserve">dependent and control variables in </w:t>
      </w:r>
      <w:r w:rsidR="005A0DB0" w:rsidRPr="003B6AB0">
        <w:rPr>
          <w:rFonts w:ascii="Times New Roman" w:hAnsi="Times New Roman" w:cs="Times New Roman"/>
          <w:sz w:val="24"/>
          <w:szCs w:val="24"/>
          <w:lang w:val="en-GB"/>
        </w:rPr>
        <w:lastRenderedPageBreak/>
        <w:t>model</w:t>
      </w:r>
      <w:r w:rsidR="00192FB8" w:rsidRPr="003B6AB0">
        <w:rPr>
          <w:rFonts w:ascii="Times New Roman" w:hAnsi="Times New Roman" w:cs="Times New Roman"/>
          <w:sz w:val="24"/>
          <w:szCs w:val="24"/>
          <w:lang w:val="en-GB"/>
        </w:rPr>
        <w:t>s 4a and 4b</w:t>
      </w:r>
      <w:r w:rsidRPr="003B6AB0">
        <w:rPr>
          <w:rFonts w:ascii="Times New Roman" w:hAnsi="Times New Roman" w:cs="Times New Roman"/>
          <w:sz w:val="24"/>
          <w:szCs w:val="24"/>
          <w:lang w:val="en-GB"/>
        </w:rPr>
        <w:t xml:space="preserve"> </w:t>
      </w:r>
      <w:r w:rsidR="005A0DB0" w:rsidRPr="003B6AB0">
        <w:rPr>
          <w:rFonts w:ascii="Times New Roman" w:hAnsi="Times New Roman" w:cs="Times New Roman"/>
          <w:sz w:val="24"/>
          <w:szCs w:val="24"/>
          <w:lang w:val="en-GB"/>
        </w:rPr>
        <w:t>vary between 1.</w:t>
      </w:r>
      <w:r w:rsidR="001B1BC5">
        <w:rPr>
          <w:rFonts w:ascii="Times New Roman" w:hAnsi="Times New Roman" w:cs="Times New Roman"/>
          <w:sz w:val="24"/>
          <w:szCs w:val="24"/>
          <w:lang w:val="en-GB"/>
        </w:rPr>
        <w:t>82</w:t>
      </w:r>
      <w:r w:rsidR="001B1BC5" w:rsidRPr="003B6AB0">
        <w:rPr>
          <w:rFonts w:ascii="Times New Roman" w:hAnsi="Times New Roman" w:cs="Times New Roman"/>
          <w:sz w:val="24"/>
          <w:szCs w:val="24"/>
          <w:lang w:val="en-GB"/>
        </w:rPr>
        <w:t xml:space="preserve"> </w:t>
      </w:r>
      <w:r w:rsidRPr="003B6AB0">
        <w:rPr>
          <w:rFonts w:ascii="Times New Roman" w:hAnsi="Times New Roman" w:cs="Times New Roman"/>
          <w:sz w:val="24"/>
          <w:szCs w:val="24"/>
          <w:lang w:val="en-GB"/>
        </w:rPr>
        <w:t>and 0.</w:t>
      </w:r>
      <w:r w:rsidR="001B1BC5">
        <w:rPr>
          <w:rFonts w:ascii="Times New Roman" w:hAnsi="Times New Roman" w:cs="Times New Roman"/>
          <w:sz w:val="24"/>
          <w:szCs w:val="24"/>
          <w:lang w:val="en-GB"/>
        </w:rPr>
        <w:t>98</w:t>
      </w:r>
      <w:r w:rsidR="001B1BC5" w:rsidRPr="003B6AB0">
        <w:rPr>
          <w:rFonts w:ascii="Times New Roman" w:hAnsi="Times New Roman" w:cs="Times New Roman"/>
          <w:sz w:val="24"/>
          <w:szCs w:val="24"/>
          <w:lang w:val="en-GB"/>
        </w:rPr>
        <w:t xml:space="preserve"> </w:t>
      </w:r>
      <w:r w:rsidRPr="003B6AB0">
        <w:rPr>
          <w:rFonts w:ascii="Times New Roman" w:hAnsi="Times New Roman" w:cs="Times New Roman"/>
          <w:sz w:val="24"/>
          <w:szCs w:val="24"/>
          <w:lang w:val="en-GB"/>
        </w:rPr>
        <w:t xml:space="preserve">indicating strong or moderate effects (Cohen, 1988). </w:t>
      </w:r>
    </w:p>
    <w:p w14:paraId="6E880853" w14:textId="77777777" w:rsidR="007A2A46" w:rsidRDefault="007A2A46" w:rsidP="00253BEB">
      <w:pPr>
        <w:spacing w:line="240" w:lineRule="auto"/>
        <w:contextualSpacing/>
        <w:jc w:val="both"/>
        <w:rPr>
          <w:rFonts w:ascii="Times New Roman" w:hAnsi="Times New Roman" w:cs="Times New Roman"/>
          <w:b/>
          <w:bCs/>
          <w:sz w:val="24"/>
          <w:szCs w:val="24"/>
        </w:rPr>
      </w:pPr>
    </w:p>
    <w:p w14:paraId="6DFFC831" w14:textId="77777777" w:rsidR="008A6F7A" w:rsidRPr="003B6AB0" w:rsidRDefault="008A6F7A" w:rsidP="00253BEB">
      <w:pPr>
        <w:spacing w:line="240" w:lineRule="auto"/>
        <w:contextualSpacing/>
        <w:jc w:val="both"/>
        <w:rPr>
          <w:rFonts w:ascii="Times New Roman" w:hAnsi="Times New Roman" w:cs="Times New Roman"/>
          <w:b/>
          <w:bCs/>
          <w:sz w:val="24"/>
          <w:szCs w:val="24"/>
        </w:rPr>
      </w:pPr>
      <w:r w:rsidRPr="00964301">
        <w:rPr>
          <w:rFonts w:ascii="Times New Roman" w:hAnsi="Times New Roman" w:cs="Times New Roman"/>
          <w:b/>
          <w:bCs/>
          <w:sz w:val="24"/>
          <w:szCs w:val="24"/>
        </w:rPr>
        <w:t>Discussion</w:t>
      </w:r>
    </w:p>
    <w:p w14:paraId="08AFE449" w14:textId="77777777" w:rsidR="008A6F7A" w:rsidRPr="00284354" w:rsidRDefault="008A6F7A" w:rsidP="00253BEB">
      <w:pPr>
        <w:spacing w:line="240" w:lineRule="auto"/>
        <w:contextualSpacing/>
        <w:jc w:val="both"/>
        <w:rPr>
          <w:rFonts w:ascii="Times New Roman" w:hAnsi="Times New Roman" w:cs="Times New Roman"/>
          <w:sz w:val="24"/>
          <w:szCs w:val="24"/>
        </w:rPr>
      </w:pPr>
    </w:p>
    <w:p w14:paraId="5ED567F6" w14:textId="7F480511" w:rsidR="008A6F7A" w:rsidRPr="00253BEB" w:rsidRDefault="00D0560E" w:rsidP="003B6AB0">
      <w:pPr>
        <w:spacing w:line="480" w:lineRule="auto"/>
        <w:ind w:firstLine="720"/>
        <w:contextualSpacing/>
        <w:jc w:val="both"/>
        <w:rPr>
          <w:rFonts w:ascii="Times New Roman" w:hAnsi="Times New Roman" w:cs="Times New Roman"/>
          <w:sz w:val="24"/>
          <w:szCs w:val="24"/>
        </w:rPr>
      </w:pPr>
      <w:r w:rsidRPr="00253BEB">
        <w:rPr>
          <w:rFonts w:ascii="Times New Roman" w:hAnsi="Times New Roman" w:cs="Times New Roman"/>
          <w:sz w:val="24"/>
          <w:szCs w:val="24"/>
        </w:rPr>
        <w:t xml:space="preserve">M&amp;A are </w:t>
      </w:r>
      <w:r w:rsidR="008A6F7A" w:rsidRPr="00253BEB">
        <w:rPr>
          <w:rFonts w:ascii="Times New Roman" w:hAnsi="Times New Roman" w:cs="Times New Roman"/>
          <w:sz w:val="24"/>
          <w:szCs w:val="24"/>
        </w:rPr>
        <w:t>substantial and hard to reverse strategic commitments involving great financial investment and considerable managerial and organizational resources</w:t>
      </w:r>
      <w:r w:rsidR="0045382D">
        <w:rPr>
          <w:rFonts w:ascii="Times New Roman" w:hAnsi="Times New Roman" w:cs="Times New Roman"/>
          <w:sz w:val="24"/>
          <w:szCs w:val="24"/>
        </w:rPr>
        <w:t xml:space="preserve"> (Angwin, 2007)</w:t>
      </w:r>
      <w:r w:rsidR="008A6F7A" w:rsidRPr="00253BEB">
        <w:rPr>
          <w:rFonts w:ascii="Times New Roman" w:hAnsi="Times New Roman" w:cs="Times New Roman"/>
          <w:sz w:val="24"/>
          <w:szCs w:val="24"/>
        </w:rPr>
        <w:t>. However purchasing a specific firm may be associated with share price penalties and between announcing and closing a deal many things may go wrong (Angwin</w:t>
      </w:r>
      <w:r w:rsidR="00973B0D">
        <w:rPr>
          <w:rFonts w:ascii="Times New Roman" w:hAnsi="Times New Roman" w:cs="Times New Roman"/>
          <w:sz w:val="24"/>
          <w:szCs w:val="24"/>
        </w:rPr>
        <w:t xml:space="preserve"> et al.,</w:t>
      </w:r>
      <w:r w:rsidR="008A6F7A" w:rsidRPr="00253BEB">
        <w:rPr>
          <w:rFonts w:ascii="Times New Roman" w:hAnsi="Times New Roman" w:cs="Times New Roman"/>
          <w:sz w:val="24"/>
          <w:szCs w:val="24"/>
        </w:rPr>
        <w:t xml:space="preserve"> 2015). For the companies involved an important question arises as to whether, and to what extent they ought to engage in acquisition related communications to investors in order to persuade them to back the deal</w:t>
      </w:r>
      <w:r w:rsidR="0045382D">
        <w:rPr>
          <w:rFonts w:ascii="Times New Roman" w:hAnsi="Times New Roman" w:cs="Times New Roman"/>
          <w:sz w:val="24"/>
          <w:szCs w:val="24"/>
        </w:rPr>
        <w:t xml:space="preserve"> (Angwin et al. 2014)</w:t>
      </w:r>
      <w:r w:rsidR="008A6F7A" w:rsidRPr="00253BEB">
        <w:rPr>
          <w:rFonts w:ascii="Times New Roman" w:hAnsi="Times New Roman" w:cs="Times New Roman"/>
          <w:sz w:val="24"/>
          <w:szCs w:val="24"/>
        </w:rPr>
        <w:t xml:space="preserve">. In other words to what extent </w:t>
      </w:r>
      <w:r w:rsidR="00382B6F">
        <w:rPr>
          <w:rFonts w:ascii="Times New Roman" w:hAnsi="Times New Roman" w:cs="Times New Roman"/>
          <w:sz w:val="24"/>
          <w:szCs w:val="24"/>
        </w:rPr>
        <w:t>is external transparency as an aspect of open strategy beneficial to</w:t>
      </w:r>
      <w:r w:rsidR="008A6F7A" w:rsidRPr="00253BEB">
        <w:rPr>
          <w:rFonts w:ascii="Times New Roman" w:hAnsi="Times New Roman" w:cs="Times New Roman"/>
          <w:sz w:val="24"/>
          <w:szCs w:val="24"/>
        </w:rPr>
        <w:t xml:space="preserve"> protagonists</w:t>
      </w:r>
      <w:r w:rsidR="00382B6F">
        <w:rPr>
          <w:rFonts w:ascii="Times New Roman" w:hAnsi="Times New Roman" w:cs="Times New Roman"/>
          <w:sz w:val="24"/>
          <w:szCs w:val="24"/>
        </w:rPr>
        <w:t xml:space="preserve">? </w:t>
      </w:r>
      <w:r w:rsidR="008A6F7A" w:rsidRPr="00253BEB">
        <w:rPr>
          <w:rFonts w:ascii="Times New Roman" w:hAnsi="Times New Roman" w:cs="Times New Roman"/>
          <w:sz w:val="24"/>
          <w:szCs w:val="24"/>
        </w:rPr>
        <w:t xml:space="preserve"> </w:t>
      </w:r>
    </w:p>
    <w:p w14:paraId="58B6D3C9" w14:textId="659F2C5E" w:rsidR="00382B6F" w:rsidRDefault="008A6F7A" w:rsidP="00253BEB">
      <w:pPr>
        <w:spacing w:line="480" w:lineRule="auto"/>
        <w:ind w:firstLine="720"/>
        <w:contextualSpacing/>
        <w:jc w:val="both"/>
        <w:rPr>
          <w:rFonts w:ascii="Times New Roman" w:hAnsi="Times New Roman" w:cs="Times New Roman"/>
          <w:sz w:val="24"/>
          <w:szCs w:val="24"/>
        </w:rPr>
      </w:pPr>
      <w:r w:rsidRPr="00253BEB">
        <w:rPr>
          <w:rFonts w:ascii="Times New Roman" w:hAnsi="Times New Roman" w:cs="Times New Roman"/>
          <w:sz w:val="24"/>
          <w:szCs w:val="24"/>
        </w:rPr>
        <w:t xml:space="preserve">In this paper we argue that increasing </w:t>
      </w:r>
      <w:r w:rsidR="00382B6F">
        <w:rPr>
          <w:rFonts w:ascii="Times New Roman" w:hAnsi="Times New Roman" w:cs="Times New Roman"/>
          <w:sz w:val="24"/>
          <w:szCs w:val="24"/>
        </w:rPr>
        <w:t xml:space="preserve">external </w:t>
      </w:r>
      <w:r w:rsidRPr="00253BEB">
        <w:rPr>
          <w:rFonts w:ascii="Times New Roman" w:hAnsi="Times New Roman" w:cs="Times New Roman"/>
          <w:sz w:val="24"/>
          <w:szCs w:val="24"/>
        </w:rPr>
        <w:t>transparency through acquisition announcements can help inform investor decisions in order for M&amp;As to proceed. With the exception of a very few papers (for example, Loree</w:t>
      </w:r>
      <w:r w:rsidR="00973B0D">
        <w:rPr>
          <w:rFonts w:ascii="Times New Roman" w:hAnsi="Times New Roman" w:cs="Times New Roman"/>
          <w:sz w:val="24"/>
          <w:szCs w:val="24"/>
        </w:rPr>
        <w:t xml:space="preserve"> et al.</w:t>
      </w:r>
      <w:r w:rsidRPr="00253BEB">
        <w:rPr>
          <w:rFonts w:ascii="Times New Roman" w:hAnsi="Times New Roman" w:cs="Times New Roman"/>
          <w:sz w:val="24"/>
          <w:szCs w:val="24"/>
        </w:rPr>
        <w:t>, 2000), research into M&amp;A has so far overlooked post-announcement voluntary corporate communications. These acquisi</w:t>
      </w:r>
      <w:r w:rsidR="00382B6F">
        <w:rPr>
          <w:rFonts w:ascii="Times New Roman" w:hAnsi="Times New Roman" w:cs="Times New Roman"/>
          <w:sz w:val="24"/>
          <w:szCs w:val="24"/>
        </w:rPr>
        <w:t>tion announcements are forms of openness in strategy</w:t>
      </w:r>
      <w:r w:rsidRPr="00253BEB">
        <w:rPr>
          <w:rFonts w:ascii="Times New Roman" w:hAnsi="Times New Roman" w:cs="Times New Roman"/>
          <w:sz w:val="24"/>
          <w:szCs w:val="24"/>
        </w:rPr>
        <w:t xml:space="preserve"> </w:t>
      </w:r>
      <w:r w:rsidR="007555CB">
        <w:rPr>
          <w:rFonts w:ascii="Times New Roman" w:hAnsi="Times New Roman" w:cs="Times New Roman"/>
          <w:sz w:val="24"/>
          <w:szCs w:val="24"/>
        </w:rPr>
        <w:t>that can increase transparency by</w:t>
      </w:r>
      <w:r w:rsidRPr="00253BEB">
        <w:rPr>
          <w:rFonts w:ascii="Times New Roman" w:hAnsi="Times New Roman" w:cs="Times New Roman"/>
          <w:sz w:val="24"/>
          <w:szCs w:val="24"/>
        </w:rPr>
        <w:t xml:space="preserve"> reducing information asymmetry between outside investors and internal managers. While there is existing research on M&amp;A that focuses on information asymmetry between these two parties, it focuses on reactions of investors to acquisition announcements (see for example, </w:t>
      </w:r>
      <w:r w:rsidR="00D1489D">
        <w:rPr>
          <w:rFonts w:ascii="Times New Roman" w:hAnsi="Times New Roman" w:cs="Times New Roman"/>
          <w:sz w:val="24"/>
          <w:szCs w:val="24"/>
        </w:rPr>
        <w:t>Cuypers</w:t>
      </w:r>
      <w:r w:rsidR="00973B0D">
        <w:rPr>
          <w:rFonts w:ascii="Times New Roman" w:hAnsi="Times New Roman" w:cs="Times New Roman"/>
          <w:sz w:val="24"/>
          <w:szCs w:val="24"/>
        </w:rPr>
        <w:t xml:space="preserve"> et al.</w:t>
      </w:r>
      <w:r w:rsidR="00D1489D">
        <w:rPr>
          <w:rFonts w:ascii="Times New Roman" w:hAnsi="Times New Roman" w:cs="Times New Roman"/>
          <w:sz w:val="24"/>
          <w:szCs w:val="24"/>
        </w:rPr>
        <w:t xml:space="preserve">, 2016; </w:t>
      </w:r>
      <w:r w:rsidRPr="00253BEB">
        <w:rPr>
          <w:rFonts w:ascii="Times New Roman" w:hAnsi="Times New Roman" w:cs="Times New Roman"/>
          <w:sz w:val="24"/>
          <w:szCs w:val="24"/>
        </w:rPr>
        <w:t>Ragozzino and Reuer, 2007; 2009; 2011; Reuer</w:t>
      </w:r>
      <w:r w:rsidR="00973B0D">
        <w:rPr>
          <w:rFonts w:ascii="Times New Roman" w:hAnsi="Times New Roman" w:cs="Times New Roman"/>
          <w:sz w:val="24"/>
          <w:szCs w:val="24"/>
        </w:rPr>
        <w:t xml:space="preserve"> et al.</w:t>
      </w:r>
      <w:r w:rsidRPr="00253BEB">
        <w:rPr>
          <w:rFonts w:ascii="Times New Roman" w:hAnsi="Times New Roman" w:cs="Times New Roman"/>
          <w:sz w:val="24"/>
          <w:szCs w:val="24"/>
        </w:rPr>
        <w:t xml:space="preserve">, 2012) rather than announcements following the announcement of the deal. We believe that by shedding light onto voluntary acquisition announcements following the initial mandatory bid communication, we are </w:t>
      </w:r>
      <w:r w:rsidR="00382B6F">
        <w:rPr>
          <w:rFonts w:ascii="Times New Roman" w:hAnsi="Times New Roman" w:cs="Times New Roman"/>
          <w:sz w:val="24"/>
          <w:szCs w:val="24"/>
        </w:rPr>
        <w:t xml:space="preserve">not only </w:t>
      </w:r>
      <w:r w:rsidRPr="00253BEB">
        <w:rPr>
          <w:rFonts w:ascii="Times New Roman" w:hAnsi="Times New Roman" w:cs="Times New Roman"/>
          <w:sz w:val="24"/>
          <w:szCs w:val="24"/>
        </w:rPr>
        <w:t xml:space="preserve">addressing an important gap in terms of how </w:t>
      </w:r>
      <w:r w:rsidRPr="00253BEB">
        <w:rPr>
          <w:rFonts w:ascii="Times New Roman" w:hAnsi="Times New Roman" w:cs="Times New Roman"/>
          <w:sz w:val="24"/>
          <w:szCs w:val="24"/>
        </w:rPr>
        <w:lastRenderedPageBreak/>
        <w:t xml:space="preserve">investors evaluate strategy talk (Whittington </w:t>
      </w:r>
      <w:r w:rsidR="0045382D">
        <w:rPr>
          <w:rFonts w:ascii="Times New Roman" w:hAnsi="Times New Roman" w:cs="Times New Roman"/>
          <w:sz w:val="24"/>
          <w:szCs w:val="24"/>
        </w:rPr>
        <w:t>et al.</w:t>
      </w:r>
      <w:r w:rsidRPr="00253BEB">
        <w:rPr>
          <w:rFonts w:ascii="Times New Roman" w:hAnsi="Times New Roman" w:cs="Times New Roman"/>
          <w:sz w:val="24"/>
          <w:szCs w:val="24"/>
        </w:rPr>
        <w:t xml:space="preserve">, 2012) but also how organizations can actively manage their M&amp;A process. </w:t>
      </w:r>
    </w:p>
    <w:p w14:paraId="386B827D" w14:textId="520F57AE" w:rsidR="008A6F7A" w:rsidRPr="00253BEB" w:rsidRDefault="008A6F7A" w:rsidP="003B6AB0">
      <w:pPr>
        <w:spacing w:line="480" w:lineRule="auto"/>
        <w:ind w:firstLine="720"/>
        <w:contextualSpacing/>
        <w:jc w:val="both"/>
        <w:rPr>
          <w:rFonts w:ascii="Times New Roman" w:hAnsi="Times New Roman" w:cs="Times New Roman"/>
          <w:sz w:val="24"/>
          <w:szCs w:val="24"/>
        </w:rPr>
      </w:pPr>
      <w:r w:rsidRPr="00253BEB">
        <w:rPr>
          <w:rFonts w:ascii="Times New Roman" w:hAnsi="Times New Roman" w:cs="Times New Roman"/>
          <w:sz w:val="24"/>
          <w:szCs w:val="24"/>
        </w:rPr>
        <w:t xml:space="preserve">In investigating why organizations engage in open strategy, we find that </w:t>
      </w:r>
      <w:r w:rsidRPr="00253BEB">
        <w:rPr>
          <w:rFonts w:ascii="Times New Roman" w:hAnsi="Times New Roman" w:cs="Times New Roman"/>
          <w:sz w:val="24"/>
          <w:szCs w:val="24"/>
          <w:lang w:val="en-GB"/>
        </w:rPr>
        <w:t>organizations whose M&amp;A strategy deviate</w:t>
      </w:r>
      <w:r w:rsidR="008D3137">
        <w:rPr>
          <w:rFonts w:ascii="Times New Roman" w:hAnsi="Times New Roman" w:cs="Times New Roman"/>
          <w:sz w:val="24"/>
          <w:szCs w:val="24"/>
          <w:lang w:val="en-GB"/>
        </w:rPr>
        <w:t>s</w:t>
      </w:r>
      <w:r w:rsidRPr="00253BEB">
        <w:rPr>
          <w:rFonts w:ascii="Times New Roman" w:hAnsi="Times New Roman" w:cs="Times New Roman"/>
          <w:sz w:val="24"/>
          <w:szCs w:val="24"/>
          <w:lang w:val="en-GB"/>
        </w:rPr>
        <w:t xml:space="preserve"> from the industry are more likely to engage in voluntary acquisition announcements. In being open about their M&amp;A strategy organizational leaders may be reacting to the fear that analysts may downgrade their stock due to their own cognitive limitations or evaluative uncertainty. </w:t>
      </w:r>
      <w:r w:rsidRPr="00253BEB">
        <w:rPr>
          <w:rFonts w:ascii="Times New Roman" w:hAnsi="Times New Roman" w:cs="Times New Roman"/>
          <w:sz w:val="24"/>
          <w:szCs w:val="24"/>
        </w:rPr>
        <w:t>Communicating intention can act as a powerful signal for investors particularly as the firm and management stand to lose something, such as reputation, should the promise not work out (Besanko et al.</w:t>
      </w:r>
      <w:r w:rsidR="00973B0D">
        <w:rPr>
          <w:rFonts w:ascii="Times New Roman" w:hAnsi="Times New Roman" w:cs="Times New Roman"/>
          <w:sz w:val="24"/>
          <w:szCs w:val="24"/>
        </w:rPr>
        <w:t>,</w:t>
      </w:r>
      <w:r w:rsidRPr="00253BEB">
        <w:rPr>
          <w:rFonts w:ascii="Times New Roman" w:hAnsi="Times New Roman" w:cs="Times New Roman"/>
          <w:sz w:val="24"/>
          <w:szCs w:val="24"/>
        </w:rPr>
        <w:t xml:space="preserve"> 2004). The reduction in uncertainty attendant on reducing information asymmetries increases the willingness of shareholders to pay more for the company's stock (Bassen et al, 2010; Healy and Palepu, 2001). </w:t>
      </w:r>
    </w:p>
    <w:p w14:paraId="0F79C031" w14:textId="636C57DD" w:rsidR="008A6F7A" w:rsidRDefault="008A6F7A" w:rsidP="003B6AB0">
      <w:pPr>
        <w:spacing w:line="480" w:lineRule="auto"/>
        <w:ind w:firstLine="720"/>
        <w:contextualSpacing/>
        <w:jc w:val="both"/>
        <w:rPr>
          <w:rFonts w:ascii="Times New Roman" w:hAnsi="Times New Roman" w:cs="Times New Roman"/>
          <w:sz w:val="24"/>
          <w:szCs w:val="24"/>
        </w:rPr>
      </w:pPr>
      <w:r w:rsidRPr="00253BEB">
        <w:rPr>
          <w:rFonts w:ascii="Times New Roman" w:hAnsi="Times New Roman" w:cs="Times New Roman"/>
          <w:sz w:val="24"/>
          <w:szCs w:val="24"/>
        </w:rPr>
        <w:t xml:space="preserve">We also find that there is </w:t>
      </w:r>
      <w:r w:rsidR="00D0560E">
        <w:rPr>
          <w:rFonts w:ascii="Times New Roman" w:hAnsi="Times New Roman" w:cs="Times New Roman"/>
          <w:sz w:val="24"/>
          <w:szCs w:val="24"/>
        </w:rPr>
        <w:t>little</w:t>
      </w:r>
      <w:r w:rsidRPr="00253BEB">
        <w:rPr>
          <w:rFonts w:ascii="Times New Roman" w:hAnsi="Times New Roman" w:cs="Times New Roman"/>
          <w:sz w:val="24"/>
          <w:szCs w:val="24"/>
        </w:rPr>
        <w:t xml:space="preserve"> difference in the occurrence of M&amp;A announcements between firms with high and low strategic variation. This suggests that senior management feel much less need to issue voluntary M&amp;A announcements when the deal in question is a variation in firm resource deployment but not different from resource deployments across the industry. This suggests that investors are less sensitive to the history of firm resource deployment than whether a firm is departing from industry norms. The message therefore is that when a firm is likely to stand out from the crowd in its M&amp;A, it needs to engage in </w:t>
      </w:r>
      <w:r w:rsidR="0058274D">
        <w:rPr>
          <w:rFonts w:ascii="Times New Roman" w:hAnsi="Times New Roman" w:cs="Times New Roman"/>
          <w:sz w:val="24"/>
          <w:szCs w:val="24"/>
        </w:rPr>
        <w:t xml:space="preserve">more </w:t>
      </w:r>
      <w:r w:rsidRPr="00253BEB">
        <w:rPr>
          <w:rFonts w:ascii="Times New Roman" w:hAnsi="Times New Roman" w:cs="Times New Roman"/>
          <w:sz w:val="24"/>
          <w:szCs w:val="24"/>
        </w:rPr>
        <w:t>open</w:t>
      </w:r>
      <w:r w:rsidR="0058274D">
        <w:rPr>
          <w:rFonts w:ascii="Times New Roman" w:hAnsi="Times New Roman" w:cs="Times New Roman"/>
          <w:sz w:val="24"/>
          <w:szCs w:val="24"/>
        </w:rPr>
        <w:t>ness in</w:t>
      </w:r>
      <w:r w:rsidRPr="00253BEB">
        <w:rPr>
          <w:rFonts w:ascii="Times New Roman" w:hAnsi="Times New Roman" w:cs="Times New Roman"/>
          <w:sz w:val="24"/>
          <w:szCs w:val="24"/>
        </w:rPr>
        <w:t xml:space="preserve"> strategy in order to reduce investor uncertainty. There may also be an argument to say that even when an M&amp;A will cause a firm to vary its resource deployment in a way that departs from past practice, it may be better for management not to alert investors to this variation, taking the view that investors are likely to compare the deal against an industry </w:t>
      </w:r>
      <w:r w:rsidRPr="00253BEB">
        <w:rPr>
          <w:rFonts w:ascii="Times New Roman" w:hAnsi="Times New Roman" w:cs="Times New Roman"/>
          <w:sz w:val="24"/>
          <w:szCs w:val="24"/>
        </w:rPr>
        <w:lastRenderedPageBreak/>
        <w:t xml:space="preserve">‘benchmark’. </w:t>
      </w:r>
      <w:r w:rsidR="00382B6F">
        <w:rPr>
          <w:rFonts w:ascii="Times New Roman" w:hAnsi="Times New Roman" w:cs="Times New Roman"/>
          <w:sz w:val="24"/>
          <w:szCs w:val="24"/>
        </w:rPr>
        <w:t>Being outwardly transparent</w:t>
      </w:r>
      <w:r w:rsidRPr="00253BEB">
        <w:rPr>
          <w:rFonts w:ascii="Times New Roman" w:hAnsi="Times New Roman" w:cs="Times New Roman"/>
          <w:sz w:val="24"/>
          <w:szCs w:val="24"/>
        </w:rPr>
        <w:t xml:space="preserve"> then may</w:t>
      </w:r>
      <w:r w:rsidR="0023508A">
        <w:rPr>
          <w:rFonts w:ascii="Times New Roman" w:hAnsi="Times New Roman" w:cs="Times New Roman"/>
          <w:sz w:val="24"/>
          <w:szCs w:val="24"/>
        </w:rPr>
        <w:t xml:space="preserve"> </w:t>
      </w:r>
      <w:r w:rsidRPr="00253BEB">
        <w:rPr>
          <w:rFonts w:ascii="Times New Roman" w:hAnsi="Times New Roman" w:cs="Times New Roman"/>
          <w:sz w:val="24"/>
          <w:szCs w:val="24"/>
        </w:rPr>
        <w:t xml:space="preserve">be wise when departing from </w:t>
      </w:r>
      <w:r w:rsidR="007C0523">
        <w:rPr>
          <w:rFonts w:ascii="Times New Roman" w:hAnsi="Times New Roman" w:cs="Times New Roman"/>
          <w:sz w:val="24"/>
          <w:szCs w:val="24"/>
        </w:rPr>
        <w:t xml:space="preserve">what </w:t>
      </w:r>
      <w:r w:rsidR="00E51D00">
        <w:rPr>
          <w:rFonts w:ascii="Times New Roman" w:hAnsi="Times New Roman" w:cs="Times New Roman"/>
          <w:sz w:val="24"/>
          <w:szCs w:val="24"/>
        </w:rPr>
        <w:t>stakeholders are familiar with</w:t>
      </w:r>
      <w:r w:rsidRPr="00253BEB">
        <w:rPr>
          <w:rFonts w:ascii="Times New Roman" w:hAnsi="Times New Roman" w:cs="Times New Roman"/>
          <w:sz w:val="24"/>
          <w:szCs w:val="24"/>
        </w:rPr>
        <w:t xml:space="preserve">, </w:t>
      </w:r>
      <w:r w:rsidR="007C0523">
        <w:rPr>
          <w:rFonts w:ascii="Times New Roman" w:hAnsi="Times New Roman" w:cs="Times New Roman"/>
          <w:sz w:val="24"/>
          <w:szCs w:val="24"/>
        </w:rPr>
        <w:t xml:space="preserve">namely industry norms, </w:t>
      </w:r>
      <w:r w:rsidRPr="00253BEB">
        <w:rPr>
          <w:rFonts w:ascii="Times New Roman" w:hAnsi="Times New Roman" w:cs="Times New Roman"/>
          <w:sz w:val="24"/>
          <w:szCs w:val="24"/>
        </w:rPr>
        <w:t>and perhaps not desirable when conforming to industry norms</w:t>
      </w:r>
      <w:r w:rsidR="007C0523">
        <w:rPr>
          <w:rFonts w:ascii="Times New Roman" w:hAnsi="Times New Roman" w:cs="Times New Roman"/>
          <w:sz w:val="24"/>
          <w:szCs w:val="24"/>
        </w:rPr>
        <w:t>,</w:t>
      </w:r>
      <w:r w:rsidRPr="00253BEB">
        <w:rPr>
          <w:rFonts w:ascii="Times New Roman" w:hAnsi="Times New Roman" w:cs="Times New Roman"/>
          <w:sz w:val="24"/>
          <w:szCs w:val="24"/>
        </w:rPr>
        <w:t xml:space="preserve"> as </w:t>
      </w:r>
      <w:r w:rsidR="00D0560E">
        <w:rPr>
          <w:rFonts w:ascii="Times New Roman" w:hAnsi="Times New Roman" w:cs="Times New Roman"/>
          <w:sz w:val="24"/>
          <w:szCs w:val="24"/>
        </w:rPr>
        <w:t>t</w:t>
      </w:r>
      <w:r w:rsidRPr="00253BEB">
        <w:rPr>
          <w:rFonts w:ascii="Times New Roman" w:hAnsi="Times New Roman" w:cs="Times New Roman"/>
          <w:sz w:val="24"/>
          <w:szCs w:val="24"/>
        </w:rPr>
        <w:t xml:space="preserve">his might </w:t>
      </w:r>
      <w:r w:rsidR="0023508A">
        <w:rPr>
          <w:rFonts w:ascii="Times New Roman" w:hAnsi="Times New Roman" w:cs="Times New Roman"/>
          <w:sz w:val="24"/>
          <w:szCs w:val="24"/>
        </w:rPr>
        <w:t>trigger</w:t>
      </w:r>
      <w:r w:rsidRPr="00253BEB">
        <w:rPr>
          <w:rFonts w:ascii="Times New Roman" w:hAnsi="Times New Roman" w:cs="Times New Roman"/>
          <w:sz w:val="24"/>
          <w:szCs w:val="24"/>
        </w:rPr>
        <w:t xml:space="preserve"> suspicions. </w:t>
      </w:r>
    </w:p>
    <w:p w14:paraId="696BCD5C" w14:textId="6D998AA2" w:rsidR="008826DB" w:rsidRPr="00253BEB" w:rsidRDefault="008826DB" w:rsidP="00FB734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Our analysis also includes further tests to determine whether specific </w:t>
      </w:r>
      <w:r w:rsidR="0058274D">
        <w:rPr>
          <w:rFonts w:ascii="Times New Roman" w:hAnsi="Times New Roman" w:cs="Times New Roman"/>
          <w:sz w:val="24"/>
          <w:szCs w:val="24"/>
        </w:rPr>
        <w:t>open strategy practices</w:t>
      </w:r>
      <w:r>
        <w:rPr>
          <w:rFonts w:ascii="Times New Roman" w:hAnsi="Times New Roman" w:cs="Times New Roman"/>
          <w:sz w:val="24"/>
          <w:szCs w:val="24"/>
        </w:rPr>
        <w:t xml:space="preserve"> are associated with significant share price reactions. Our test results convey that both strategic variation and deviation are associated with above-average cumulative abnormal returns in favor of strategic deviation. The reason why strategic deviation is likely to cause stronger reactions may be due to </w:t>
      </w:r>
      <w:r w:rsidR="00D00DBB">
        <w:rPr>
          <w:rFonts w:ascii="Times New Roman" w:hAnsi="Times New Roman" w:cs="Times New Roman"/>
          <w:sz w:val="24"/>
          <w:szCs w:val="24"/>
        </w:rPr>
        <w:t xml:space="preserve">the </w:t>
      </w:r>
      <w:r>
        <w:rPr>
          <w:rFonts w:ascii="Times New Roman" w:hAnsi="Times New Roman" w:cs="Times New Roman"/>
          <w:sz w:val="24"/>
          <w:szCs w:val="24"/>
        </w:rPr>
        <w:t>easing of investors’ and analysts’ initial nervousness regarding unfamiliar strategies. While analysts</w:t>
      </w:r>
      <w:r w:rsidR="00D00DBB">
        <w:rPr>
          <w:rFonts w:ascii="Times New Roman" w:hAnsi="Times New Roman" w:cs="Times New Roman"/>
          <w:sz w:val="24"/>
          <w:szCs w:val="24"/>
        </w:rPr>
        <w:t>, in particular,</w:t>
      </w:r>
      <w:r>
        <w:rPr>
          <w:rFonts w:ascii="Times New Roman" w:hAnsi="Times New Roman" w:cs="Times New Roman"/>
          <w:sz w:val="24"/>
          <w:szCs w:val="24"/>
        </w:rPr>
        <w:t xml:space="preserve"> </w:t>
      </w:r>
      <w:r w:rsidR="00D00DBB">
        <w:rPr>
          <w:rFonts w:ascii="Times New Roman" w:hAnsi="Times New Roman" w:cs="Times New Roman"/>
          <w:sz w:val="24"/>
          <w:szCs w:val="24"/>
        </w:rPr>
        <w:t>a</w:t>
      </w:r>
      <w:r>
        <w:rPr>
          <w:rFonts w:ascii="Times New Roman" w:hAnsi="Times New Roman" w:cs="Times New Roman"/>
          <w:sz w:val="24"/>
          <w:szCs w:val="24"/>
        </w:rPr>
        <w:t xml:space="preserve">re characterized </w:t>
      </w:r>
      <w:r w:rsidR="00D00DBB">
        <w:rPr>
          <w:rFonts w:ascii="Times New Roman" w:hAnsi="Times New Roman" w:cs="Times New Roman"/>
          <w:sz w:val="24"/>
          <w:szCs w:val="24"/>
        </w:rPr>
        <w:t>by their</w:t>
      </w:r>
      <w:r>
        <w:rPr>
          <w:rFonts w:ascii="Times New Roman" w:hAnsi="Times New Roman" w:cs="Times New Roman"/>
          <w:sz w:val="24"/>
          <w:szCs w:val="24"/>
        </w:rPr>
        <w:t xml:space="preserve"> narrow specializations, </w:t>
      </w:r>
      <w:r w:rsidR="007555CB">
        <w:rPr>
          <w:rFonts w:ascii="Times New Roman" w:hAnsi="Times New Roman" w:cs="Times New Roman"/>
          <w:sz w:val="24"/>
          <w:szCs w:val="24"/>
        </w:rPr>
        <w:t>organizations venturing away from industry norms (i.e. deviating) are</w:t>
      </w:r>
      <w:r>
        <w:rPr>
          <w:rFonts w:ascii="Times New Roman" w:hAnsi="Times New Roman" w:cs="Times New Roman"/>
          <w:sz w:val="24"/>
          <w:szCs w:val="24"/>
        </w:rPr>
        <w:t xml:space="preserve"> likely to cause analysts to downgrade or give modest </w:t>
      </w:r>
      <w:r w:rsidR="00456598">
        <w:rPr>
          <w:rFonts w:ascii="Times New Roman" w:hAnsi="Times New Roman" w:cs="Times New Roman"/>
          <w:sz w:val="24"/>
          <w:szCs w:val="24"/>
        </w:rPr>
        <w:t xml:space="preserve">ratings for these companies. Investors follow analysts’ recommendations and are likely to have reflected the modest estimates in their purchasing choices. A voluntary disclosure which follows an unusual strategic move therefore might serve to ease the minds of analysts and investors in terms of how organizations defend their strategic choices, how they will implement the changes that the M&amp;A deal requires and furthermore, inject credibility regarding their capability for change. </w:t>
      </w:r>
    </w:p>
    <w:p w14:paraId="54984250" w14:textId="36C32F93" w:rsidR="00CD71CD" w:rsidRDefault="008A6F7A" w:rsidP="00CD71CD">
      <w:pPr>
        <w:autoSpaceDE w:val="0"/>
        <w:autoSpaceDN w:val="0"/>
        <w:adjustRightInd w:val="0"/>
        <w:spacing w:after="120" w:line="480" w:lineRule="auto"/>
        <w:ind w:firstLine="720"/>
        <w:contextualSpacing/>
        <w:jc w:val="both"/>
        <w:rPr>
          <w:rFonts w:ascii="Times New Roman" w:hAnsi="Times New Roman" w:cs="Times New Roman"/>
          <w:sz w:val="24"/>
          <w:szCs w:val="24"/>
        </w:rPr>
      </w:pPr>
      <w:r w:rsidRPr="00253BEB">
        <w:rPr>
          <w:rFonts w:ascii="Times New Roman" w:hAnsi="Times New Roman" w:cs="Times New Roman"/>
          <w:sz w:val="24"/>
          <w:szCs w:val="24"/>
        </w:rPr>
        <w:t xml:space="preserve">Our research is not without limitations: first, we focus only on the U.S. market but organizations that undertake cross-border M&amp;A deals are also likely to engage in open strategy. Also, the likelihood of disclosure may be higher for organizations that experience negative share price reactions to their initial announcements of acquisitions announcements and therefore these voluntary disclosures may act as attempts to adjust market reactions. </w:t>
      </w:r>
      <w:r w:rsidR="00757D43">
        <w:rPr>
          <w:rFonts w:ascii="Times New Roman" w:hAnsi="Times New Roman" w:cs="Times New Roman"/>
          <w:sz w:val="24"/>
          <w:szCs w:val="24"/>
        </w:rPr>
        <w:t>Furthermore</w:t>
      </w:r>
      <w:r w:rsidRPr="00253BEB">
        <w:rPr>
          <w:rFonts w:ascii="Times New Roman" w:hAnsi="Times New Roman" w:cs="Times New Roman"/>
          <w:sz w:val="24"/>
          <w:szCs w:val="24"/>
        </w:rPr>
        <w:t xml:space="preserve">, our research focuses on </w:t>
      </w:r>
      <w:r w:rsidR="00CD71CD">
        <w:rPr>
          <w:rFonts w:ascii="Times New Roman" w:hAnsi="Times New Roman" w:cs="Times New Roman"/>
          <w:sz w:val="24"/>
          <w:szCs w:val="24"/>
        </w:rPr>
        <w:t xml:space="preserve">external transparency </w:t>
      </w:r>
      <w:r w:rsidRPr="00253BEB">
        <w:rPr>
          <w:rFonts w:ascii="Times New Roman" w:hAnsi="Times New Roman" w:cs="Times New Roman"/>
          <w:sz w:val="24"/>
          <w:szCs w:val="24"/>
        </w:rPr>
        <w:t xml:space="preserve">as an orchestrated and proactive practice carried out by organizations to alter external stakeholders’ perceptions. There may, however, be circumstances in </w:t>
      </w:r>
      <w:r w:rsidRPr="00253BEB">
        <w:rPr>
          <w:rFonts w:ascii="Times New Roman" w:hAnsi="Times New Roman" w:cs="Times New Roman"/>
          <w:sz w:val="24"/>
          <w:szCs w:val="24"/>
        </w:rPr>
        <w:lastRenderedPageBreak/>
        <w:t xml:space="preserve">which outside stakeholders or constituents can be influential in altering strategy outside of organizational leaders’ intended forms of involvement. Recent longitudinal qualitative research by Ferraro and Beunza (2014) </w:t>
      </w:r>
      <w:r w:rsidR="0082490B">
        <w:rPr>
          <w:rFonts w:ascii="Times New Roman" w:hAnsi="Times New Roman" w:cs="Times New Roman"/>
          <w:sz w:val="24"/>
          <w:szCs w:val="24"/>
        </w:rPr>
        <w:t>shows</w:t>
      </w:r>
      <w:r w:rsidRPr="00253BEB">
        <w:rPr>
          <w:rFonts w:ascii="Times New Roman" w:hAnsi="Times New Roman" w:cs="Times New Roman"/>
          <w:sz w:val="24"/>
          <w:szCs w:val="24"/>
        </w:rPr>
        <w:t xml:space="preserve"> shareholder dialogue </w:t>
      </w:r>
      <w:r w:rsidR="0082490B">
        <w:rPr>
          <w:rFonts w:ascii="Times New Roman" w:hAnsi="Times New Roman" w:cs="Times New Roman"/>
          <w:sz w:val="24"/>
          <w:szCs w:val="24"/>
        </w:rPr>
        <w:t>can lead</w:t>
      </w:r>
      <w:r w:rsidRPr="00253BEB">
        <w:rPr>
          <w:rFonts w:ascii="Times New Roman" w:hAnsi="Times New Roman" w:cs="Times New Roman"/>
          <w:sz w:val="24"/>
          <w:szCs w:val="24"/>
        </w:rPr>
        <w:t xml:space="preserve"> to corporate change</w:t>
      </w:r>
      <w:r w:rsidR="0082490B">
        <w:rPr>
          <w:rFonts w:ascii="Times New Roman" w:hAnsi="Times New Roman" w:cs="Times New Roman"/>
          <w:sz w:val="24"/>
          <w:szCs w:val="24"/>
        </w:rPr>
        <w:t xml:space="preserve"> where </w:t>
      </w:r>
      <w:r w:rsidRPr="00253BEB">
        <w:rPr>
          <w:rFonts w:ascii="Times New Roman" w:hAnsi="Times New Roman" w:cs="Times New Roman"/>
          <w:sz w:val="24"/>
          <w:szCs w:val="24"/>
        </w:rPr>
        <w:t xml:space="preserve">activist analysts </w:t>
      </w:r>
      <w:r w:rsidR="0082490B">
        <w:rPr>
          <w:rFonts w:ascii="Times New Roman" w:hAnsi="Times New Roman" w:cs="Times New Roman"/>
          <w:sz w:val="24"/>
          <w:szCs w:val="24"/>
        </w:rPr>
        <w:t xml:space="preserve">in corporate investor meetings may be </w:t>
      </w:r>
      <w:r w:rsidRPr="00253BEB">
        <w:rPr>
          <w:rFonts w:ascii="Times New Roman" w:hAnsi="Times New Roman" w:cs="Times New Roman"/>
          <w:sz w:val="24"/>
          <w:szCs w:val="24"/>
        </w:rPr>
        <w:t xml:space="preserve">powerful influencers of strategy and other corporate issues. </w:t>
      </w:r>
    </w:p>
    <w:p w14:paraId="49FD1FD4" w14:textId="23F8089B" w:rsidR="00757D43" w:rsidRDefault="0082490B" w:rsidP="002350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also</w:t>
      </w:r>
      <w:r w:rsidR="00757D43">
        <w:rPr>
          <w:rFonts w:ascii="Times New Roman" w:hAnsi="Times New Roman" w:cs="Times New Roman"/>
          <w:sz w:val="24"/>
          <w:szCs w:val="24"/>
        </w:rPr>
        <w:t xml:space="preserve"> acknowledge various limitations of our independent variables, strategic variation and strategi</w:t>
      </w:r>
      <w:r>
        <w:rPr>
          <w:rFonts w:ascii="Times New Roman" w:hAnsi="Times New Roman" w:cs="Times New Roman"/>
          <w:sz w:val="24"/>
          <w:szCs w:val="24"/>
        </w:rPr>
        <w:t>c deviation. I</w:t>
      </w:r>
      <w:r w:rsidR="00757D43">
        <w:rPr>
          <w:rFonts w:ascii="Times New Roman" w:hAnsi="Times New Roman" w:cs="Times New Roman"/>
          <w:sz w:val="24"/>
          <w:szCs w:val="24"/>
        </w:rPr>
        <w:t>t is difficult to establish whether organizations undergo strategic variation and deviation as a result of the acquisitions under question. While the acquisition may have contributed to strategic variation or deviation, the extent to which it has done so remains to be explored. Also,</w:t>
      </w:r>
      <w:r w:rsidR="00757D43" w:rsidRPr="009C6556">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757D43" w:rsidRPr="009C6556">
        <w:rPr>
          <w:rFonts w:ascii="Times New Roman" w:hAnsi="Times New Roman" w:cs="Times New Roman"/>
          <w:sz w:val="24"/>
          <w:szCs w:val="24"/>
        </w:rPr>
        <w:t xml:space="preserve">understanding of strategic variation and deviation is limited to the products and product lines within the Compustat Segments database (which MergerMarket employs). As identified by Litov et al. (2012), if these industry codes aggregate various product lines, then understanding the full extent of how a given </w:t>
      </w:r>
      <w:r w:rsidR="00757D43" w:rsidRPr="00757D43">
        <w:rPr>
          <w:rFonts w:ascii="Times New Roman" w:hAnsi="Times New Roman" w:cs="Times New Roman"/>
          <w:sz w:val="24"/>
          <w:szCs w:val="24"/>
        </w:rPr>
        <w:t>organization’s</w:t>
      </w:r>
      <w:r w:rsidR="00757D43" w:rsidRPr="009C6556">
        <w:rPr>
          <w:rFonts w:ascii="Times New Roman" w:hAnsi="Times New Roman" w:cs="Times New Roman"/>
          <w:sz w:val="24"/>
          <w:szCs w:val="24"/>
        </w:rPr>
        <w:t xml:space="preserve"> strategy varies in comparison to the industry norm or from its former strategy may not be captured fully. Future research can make use of these variables for determini</w:t>
      </w:r>
      <w:r w:rsidR="00757D43" w:rsidRPr="00BF0B4E">
        <w:rPr>
          <w:rFonts w:ascii="Times New Roman" w:hAnsi="Times New Roman" w:cs="Times New Roman"/>
          <w:sz w:val="24"/>
          <w:szCs w:val="24"/>
        </w:rPr>
        <w:t>ng mor</w:t>
      </w:r>
      <w:r w:rsidR="00BF0B4E" w:rsidRPr="00BF0B4E">
        <w:rPr>
          <w:rFonts w:ascii="Times New Roman" w:hAnsi="Times New Roman" w:cs="Times New Roman"/>
          <w:sz w:val="24"/>
          <w:szCs w:val="24"/>
        </w:rPr>
        <w:t xml:space="preserve">e long-term associations </w:t>
      </w:r>
      <w:r w:rsidRPr="00AA5892">
        <w:rPr>
          <w:rFonts w:ascii="Times New Roman" w:hAnsi="Times New Roman" w:cs="Times New Roman"/>
          <w:sz w:val="24"/>
          <w:szCs w:val="24"/>
        </w:rPr>
        <w:t>with the</w:t>
      </w:r>
      <w:r w:rsidR="00BF0B4E" w:rsidRPr="00BF0B4E">
        <w:rPr>
          <w:rFonts w:ascii="Times New Roman" w:hAnsi="Times New Roman" w:cs="Times New Roman"/>
          <w:sz w:val="24"/>
          <w:szCs w:val="24"/>
        </w:rPr>
        <w:t xml:space="preserve"> diffusion of open </w:t>
      </w:r>
      <w:r w:rsidR="00BF0B4E">
        <w:rPr>
          <w:rFonts w:ascii="Times New Roman" w:hAnsi="Times New Roman" w:cs="Times New Roman"/>
          <w:sz w:val="24"/>
          <w:szCs w:val="24"/>
        </w:rPr>
        <w:t>strategy</w:t>
      </w:r>
      <w:r w:rsidR="0023508A">
        <w:rPr>
          <w:rFonts w:ascii="Times New Roman" w:hAnsi="Times New Roman" w:cs="Times New Roman"/>
          <w:sz w:val="24"/>
          <w:szCs w:val="24"/>
        </w:rPr>
        <w:t xml:space="preserve">. While our research focuses on when organizations employ open strategy </w:t>
      </w:r>
      <w:r w:rsidR="00A77F80">
        <w:rPr>
          <w:rFonts w:ascii="Times New Roman" w:hAnsi="Times New Roman" w:cs="Times New Roman"/>
          <w:sz w:val="24"/>
          <w:szCs w:val="24"/>
        </w:rPr>
        <w:t>practices as</w:t>
      </w:r>
      <w:r w:rsidR="0023508A">
        <w:rPr>
          <w:rFonts w:ascii="Times New Roman" w:hAnsi="Times New Roman" w:cs="Times New Roman"/>
          <w:sz w:val="24"/>
          <w:szCs w:val="24"/>
        </w:rPr>
        <w:t xml:space="preserve"> way</w:t>
      </w:r>
      <w:r w:rsidR="00A77F80">
        <w:rPr>
          <w:rFonts w:ascii="Times New Roman" w:hAnsi="Times New Roman" w:cs="Times New Roman"/>
          <w:sz w:val="24"/>
          <w:szCs w:val="24"/>
        </w:rPr>
        <w:t>s</w:t>
      </w:r>
      <w:r w:rsidR="0023508A">
        <w:rPr>
          <w:rFonts w:ascii="Times New Roman" w:hAnsi="Times New Roman" w:cs="Times New Roman"/>
          <w:sz w:val="24"/>
          <w:szCs w:val="24"/>
        </w:rPr>
        <w:t xml:space="preserve"> to </w:t>
      </w:r>
      <w:r w:rsidR="0023508A" w:rsidRPr="009C6556">
        <w:rPr>
          <w:rFonts w:ascii="Times New Roman" w:hAnsi="Times New Roman" w:cs="Times New Roman"/>
          <w:i/>
          <w:sz w:val="24"/>
          <w:szCs w:val="24"/>
        </w:rPr>
        <w:t>react</w:t>
      </w:r>
      <w:r w:rsidR="0023508A" w:rsidRPr="009C6556">
        <w:rPr>
          <w:rFonts w:ascii="Times New Roman" w:hAnsi="Times New Roman" w:cs="Times New Roman"/>
          <w:sz w:val="24"/>
          <w:szCs w:val="24"/>
        </w:rPr>
        <w:t xml:space="preserve"> to events</w:t>
      </w:r>
      <w:r w:rsidR="0023508A">
        <w:rPr>
          <w:rFonts w:ascii="Times New Roman" w:hAnsi="Times New Roman" w:cs="Times New Roman"/>
          <w:sz w:val="24"/>
          <w:szCs w:val="24"/>
        </w:rPr>
        <w:t>, researchers can delve into further questions</w:t>
      </w:r>
      <w:r w:rsidR="00BF0B4E" w:rsidRPr="00BF0B4E">
        <w:rPr>
          <w:rFonts w:ascii="Times New Roman" w:hAnsi="Times New Roman" w:cs="Times New Roman"/>
          <w:sz w:val="24"/>
          <w:szCs w:val="24"/>
        </w:rPr>
        <w:t xml:space="preserve"> </w:t>
      </w:r>
      <w:r w:rsidR="00BF0B4E">
        <w:rPr>
          <w:rFonts w:ascii="Times New Roman" w:hAnsi="Times New Roman" w:cs="Times New Roman"/>
          <w:sz w:val="24"/>
          <w:szCs w:val="24"/>
        </w:rPr>
        <w:t xml:space="preserve">such as when and why organizations </w:t>
      </w:r>
      <w:r w:rsidR="00BF0B4E" w:rsidRPr="009C6556">
        <w:rPr>
          <w:rFonts w:ascii="Times New Roman" w:hAnsi="Times New Roman" w:cs="Times New Roman"/>
          <w:i/>
          <w:sz w:val="24"/>
          <w:szCs w:val="24"/>
        </w:rPr>
        <w:t>adopt</w:t>
      </w:r>
      <w:r w:rsidR="00BF0B4E">
        <w:rPr>
          <w:rFonts w:ascii="Times New Roman" w:hAnsi="Times New Roman" w:cs="Times New Roman"/>
          <w:sz w:val="24"/>
          <w:szCs w:val="24"/>
        </w:rPr>
        <w:t xml:space="preserve"> </w:t>
      </w:r>
      <w:r w:rsidR="00A77F80">
        <w:rPr>
          <w:rFonts w:ascii="Times New Roman" w:hAnsi="Times New Roman" w:cs="Times New Roman"/>
          <w:sz w:val="24"/>
          <w:szCs w:val="24"/>
        </w:rPr>
        <w:t xml:space="preserve">more openness in </w:t>
      </w:r>
      <w:r w:rsidR="00BF0B4E">
        <w:rPr>
          <w:rFonts w:ascii="Times New Roman" w:hAnsi="Times New Roman" w:cs="Times New Roman"/>
          <w:sz w:val="24"/>
          <w:szCs w:val="24"/>
        </w:rPr>
        <w:t>strategy</w:t>
      </w:r>
      <w:r w:rsidR="00757D43" w:rsidRPr="009C6556">
        <w:rPr>
          <w:rFonts w:ascii="Times New Roman" w:hAnsi="Times New Roman" w:cs="Times New Roman"/>
          <w:sz w:val="24"/>
          <w:szCs w:val="24"/>
        </w:rPr>
        <w:t xml:space="preserve">. </w:t>
      </w:r>
    </w:p>
    <w:p w14:paraId="2694281D" w14:textId="77777777" w:rsidR="008A6F7A" w:rsidRPr="00253BEB" w:rsidRDefault="008A6F7A" w:rsidP="00253BEB">
      <w:pPr>
        <w:spacing w:line="240" w:lineRule="auto"/>
        <w:contextualSpacing/>
        <w:jc w:val="both"/>
        <w:rPr>
          <w:rFonts w:ascii="Times New Roman" w:hAnsi="Times New Roman" w:cs="Times New Roman"/>
          <w:b/>
          <w:bCs/>
          <w:sz w:val="24"/>
          <w:szCs w:val="24"/>
        </w:rPr>
      </w:pPr>
      <w:r w:rsidRPr="00253BEB">
        <w:rPr>
          <w:rFonts w:ascii="Times New Roman" w:hAnsi="Times New Roman" w:cs="Times New Roman"/>
          <w:b/>
          <w:bCs/>
          <w:sz w:val="24"/>
          <w:szCs w:val="24"/>
        </w:rPr>
        <w:t>Conclusion</w:t>
      </w:r>
    </w:p>
    <w:p w14:paraId="1CD3AE50" w14:textId="77777777" w:rsidR="008A6F7A" w:rsidRPr="00253BEB" w:rsidRDefault="008A6F7A" w:rsidP="00253BEB">
      <w:pPr>
        <w:spacing w:line="240" w:lineRule="auto"/>
        <w:contextualSpacing/>
        <w:jc w:val="both"/>
        <w:rPr>
          <w:rFonts w:ascii="Times New Roman" w:hAnsi="Times New Roman" w:cs="Times New Roman"/>
          <w:b/>
          <w:bCs/>
          <w:sz w:val="24"/>
          <w:szCs w:val="24"/>
        </w:rPr>
      </w:pPr>
    </w:p>
    <w:p w14:paraId="7FD2FB5D" w14:textId="0E7C8542" w:rsidR="008A6F7A" w:rsidRDefault="006B018C" w:rsidP="00FB7347">
      <w:pPr>
        <w:spacing w:line="480" w:lineRule="auto"/>
        <w:ind w:firstLine="720"/>
        <w:jc w:val="both"/>
        <w:rPr>
          <w:rFonts w:ascii="Times New Roman" w:hAnsi="Times New Roman" w:cs="Times New Roman"/>
          <w:sz w:val="24"/>
          <w:szCs w:val="24"/>
        </w:rPr>
      </w:pPr>
      <w:r w:rsidRPr="00253BEB">
        <w:rPr>
          <w:rFonts w:ascii="Times New Roman" w:hAnsi="Times New Roman" w:cs="Times New Roman"/>
          <w:sz w:val="24"/>
          <w:szCs w:val="24"/>
        </w:rPr>
        <w:t>Our research sheds light on circumstances i</w:t>
      </w:r>
      <w:r>
        <w:rPr>
          <w:rFonts w:ascii="Times New Roman" w:hAnsi="Times New Roman" w:cs="Times New Roman"/>
          <w:sz w:val="24"/>
          <w:szCs w:val="24"/>
        </w:rPr>
        <w:t xml:space="preserve">n which organizations demonstrate increased transparency towards their outside stakeholders </w:t>
      </w:r>
      <w:r w:rsidRPr="00253BEB">
        <w:rPr>
          <w:rFonts w:ascii="Times New Roman" w:hAnsi="Times New Roman" w:cs="Times New Roman"/>
          <w:sz w:val="24"/>
          <w:szCs w:val="24"/>
        </w:rPr>
        <w:t xml:space="preserve">during M&amp;A. </w:t>
      </w:r>
      <w:r w:rsidR="008A6F7A" w:rsidRPr="00253BEB">
        <w:rPr>
          <w:rFonts w:ascii="Times New Roman" w:hAnsi="Times New Roman" w:cs="Times New Roman"/>
          <w:sz w:val="24"/>
          <w:szCs w:val="24"/>
        </w:rPr>
        <w:t xml:space="preserve">We show that the likelihood of organizations engaging </w:t>
      </w:r>
      <w:r w:rsidR="00517272">
        <w:rPr>
          <w:rFonts w:ascii="Times New Roman" w:hAnsi="Times New Roman" w:cs="Times New Roman"/>
          <w:sz w:val="24"/>
          <w:szCs w:val="24"/>
        </w:rPr>
        <w:t xml:space="preserve">in </w:t>
      </w:r>
      <w:r w:rsidR="008A6F7A" w:rsidRPr="00253BEB">
        <w:rPr>
          <w:rFonts w:ascii="Times New Roman" w:hAnsi="Times New Roman" w:cs="Times New Roman"/>
          <w:sz w:val="24"/>
          <w:szCs w:val="24"/>
        </w:rPr>
        <w:t xml:space="preserve">external transparency is high for those that have strategies that depart from industry norms but not for those that have strategies </w:t>
      </w:r>
      <w:r w:rsidR="008A6F7A" w:rsidRPr="00253BEB">
        <w:rPr>
          <w:rFonts w:ascii="Times New Roman" w:hAnsi="Times New Roman" w:cs="Times New Roman"/>
          <w:sz w:val="24"/>
          <w:szCs w:val="24"/>
        </w:rPr>
        <w:lastRenderedPageBreak/>
        <w:t>moving away from their own norms. The reasoning behind this is likely to be tied to organizational leaders’ efforts to escape potential or existing share price penalties</w:t>
      </w:r>
      <w:r w:rsidR="00E72CF3">
        <w:rPr>
          <w:rFonts w:ascii="Times New Roman" w:hAnsi="Times New Roman" w:cs="Times New Roman"/>
          <w:sz w:val="24"/>
          <w:szCs w:val="24"/>
        </w:rPr>
        <w:t>. These unfavorable outcomes may be</w:t>
      </w:r>
      <w:r w:rsidR="008A6F7A" w:rsidRPr="00253BEB">
        <w:rPr>
          <w:rFonts w:ascii="Times New Roman" w:hAnsi="Times New Roman" w:cs="Times New Roman"/>
          <w:sz w:val="24"/>
          <w:szCs w:val="24"/>
        </w:rPr>
        <w:t xml:space="preserve"> driven by analysts who cannot understand </w:t>
      </w:r>
      <w:r w:rsidR="00E72CF3">
        <w:rPr>
          <w:rFonts w:ascii="Times New Roman" w:hAnsi="Times New Roman" w:cs="Times New Roman"/>
          <w:sz w:val="24"/>
          <w:szCs w:val="24"/>
        </w:rPr>
        <w:t xml:space="preserve">an </w:t>
      </w:r>
      <w:r w:rsidR="00B742FA">
        <w:rPr>
          <w:rFonts w:ascii="Times New Roman" w:hAnsi="Times New Roman" w:cs="Times New Roman"/>
          <w:sz w:val="24"/>
          <w:szCs w:val="24"/>
        </w:rPr>
        <w:t>organization’s</w:t>
      </w:r>
      <w:r w:rsidR="008A6F7A" w:rsidRPr="00253BEB">
        <w:rPr>
          <w:rFonts w:ascii="Times New Roman" w:hAnsi="Times New Roman" w:cs="Times New Roman"/>
          <w:sz w:val="24"/>
          <w:szCs w:val="24"/>
        </w:rPr>
        <w:t xml:space="preserve"> strategy due to their own cognitive limitations</w:t>
      </w:r>
      <w:r w:rsidR="009C0BD2">
        <w:rPr>
          <w:rFonts w:ascii="Times New Roman" w:hAnsi="Times New Roman" w:cs="Times New Roman"/>
          <w:sz w:val="24"/>
          <w:szCs w:val="24"/>
        </w:rPr>
        <w:t xml:space="preserve"> – tending to assess organizati</w:t>
      </w:r>
      <w:r w:rsidR="00407942">
        <w:rPr>
          <w:rFonts w:ascii="Times New Roman" w:hAnsi="Times New Roman" w:cs="Times New Roman"/>
          <w:sz w:val="24"/>
          <w:szCs w:val="24"/>
        </w:rPr>
        <w:t xml:space="preserve">onal strategy in relation </w:t>
      </w:r>
      <w:r w:rsidR="007D0A9F">
        <w:rPr>
          <w:rFonts w:ascii="Times New Roman" w:hAnsi="Times New Roman" w:cs="Times New Roman"/>
          <w:sz w:val="24"/>
          <w:szCs w:val="24"/>
        </w:rPr>
        <w:t>to industry</w:t>
      </w:r>
      <w:r w:rsidR="009C0BD2">
        <w:rPr>
          <w:rFonts w:ascii="Times New Roman" w:hAnsi="Times New Roman" w:cs="Times New Roman"/>
          <w:sz w:val="24"/>
          <w:szCs w:val="24"/>
        </w:rPr>
        <w:t xml:space="preserve"> norm</w:t>
      </w:r>
      <w:r w:rsidR="00407942">
        <w:rPr>
          <w:rFonts w:ascii="Times New Roman" w:hAnsi="Times New Roman" w:cs="Times New Roman"/>
          <w:sz w:val="24"/>
          <w:szCs w:val="24"/>
        </w:rPr>
        <w:t>s</w:t>
      </w:r>
      <w:r w:rsidR="009C0BD2">
        <w:rPr>
          <w:rFonts w:ascii="Times New Roman" w:hAnsi="Times New Roman" w:cs="Times New Roman"/>
          <w:sz w:val="24"/>
          <w:szCs w:val="24"/>
        </w:rPr>
        <w:t xml:space="preserve"> rather than in terms of whether it departs from a company’s prior trajectory</w:t>
      </w:r>
      <w:r w:rsidR="008A6F7A" w:rsidRPr="00253BEB">
        <w:rPr>
          <w:rFonts w:ascii="Times New Roman" w:hAnsi="Times New Roman" w:cs="Times New Roman"/>
          <w:sz w:val="24"/>
          <w:szCs w:val="24"/>
        </w:rPr>
        <w:t xml:space="preserve">. While both strategic variation and strategic deviation are forms of strategic change, </w:t>
      </w:r>
      <w:r w:rsidR="00AF2BA9">
        <w:rPr>
          <w:rFonts w:ascii="Times New Roman" w:hAnsi="Times New Roman" w:cs="Times New Roman"/>
          <w:sz w:val="24"/>
          <w:szCs w:val="24"/>
        </w:rPr>
        <w:t xml:space="preserve">we have undertaken a careful analysis of share price reaction which suggests that </w:t>
      </w:r>
      <w:r w:rsidR="008A6F7A" w:rsidRPr="00253BEB">
        <w:rPr>
          <w:rFonts w:ascii="Times New Roman" w:hAnsi="Times New Roman" w:cs="Times New Roman"/>
          <w:sz w:val="24"/>
          <w:szCs w:val="24"/>
        </w:rPr>
        <w:t xml:space="preserve">one is seen as a circumstance that organizations associate with </w:t>
      </w:r>
      <w:r w:rsidR="00407942">
        <w:rPr>
          <w:rFonts w:ascii="Times New Roman" w:hAnsi="Times New Roman" w:cs="Times New Roman"/>
          <w:sz w:val="24"/>
          <w:szCs w:val="24"/>
        </w:rPr>
        <w:t xml:space="preserve">analyst </w:t>
      </w:r>
      <w:r w:rsidR="008A6F7A" w:rsidRPr="00253BEB">
        <w:rPr>
          <w:rFonts w:ascii="Times New Roman" w:hAnsi="Times New Roman" w:cs="Times New Roman"/>
          <w:sz w:val="24"/>
          <w:szCs w:val="24"/>
        </w:rPr>
        <w:t xml:space="preserve">evaluative uncertainty while the other is not. Our findings suggest that organizational leaders are aware that </w:t>
      </w:r>
      <w:r w:rsidR="00C444A3">
        <w:rPr>
          <w:rFonts w:ascii="Times New Roman" w:hAnsi="Times New Roman" w:cs="Times New Roman"/>
          <w:sz w:val="24"/>
          <w:szCs w:val="24"/>
        </w:rPr>
        <w:t xml:space="preserve">more openness in strategy </w:t>
      </w:r>
      <w:r w:rsidR="008A6F7A" w:rsidRPr="00253BEB">
        <w:rPr>
          <w:rFonts w:ascii="Times New Roman" w:hAnsi="Times New Roman" w:cs="Times New Roman"/>
          <w:sz w:val="24"/>
          <w:szCs w:val="24"/>
        </w:rPr>
        <w:t xml:space="preserve">is necessary when departing from industry norms, against which they are being judged, and also that </w:t>
      </w:r>
      <w:r w:rsidR="00C444A3">
        <w:rPr>
          <w:rFonts w:ascii="Times New Roman" w:hAnsi="Times New Roman" w:cs="Times New Roman"/>
          <w:sz w:val="24"/>
          <w:szCs w:val="24"/>
        </w:rPr>
        <w:t>this</w:t>
      </w:r>
      <w:r w:rsidR="008A6F7A" w:rsidRPr="00253BEB">
        <w:rPr>
          <w:rFonts w:ascii="Times New Roman" w:hAnsi="Times New Roman" w:cs="Times New Roman"/>
          <w:sz w:val="24"/>
          <w:szCs w:val="24"/>
        </w:rPr>
        <w:t xml:space="preserve"> openness might not be desirable, even when the organization is departing from past behavior as long as it is within industry parameters. In this sense, our findings suggest that</w:t>
      </w:r>
      <w:r w:rsidR="00C444A3">
        <w:rPr>
          <w:rFonts w:ascii="Times New Roman" w:hAnsi="Times New Roman" w:cs="Times New Roman"/>
          <w:sz w:val="24"/>
          <w:szCs w:val="24"/>
        </w:rPr>
        <w:t xml:space="preserve"> more openness in strategy</w:t>
      </w:r>
      <w:r w:rsidR="008A6F7A" w:rsidRPr="00253BEB">
        <w:rPr>
          <w:rFonts w:ascii="Times New Roman" w:hAnsi="Times New Roman" w:cs="Times New Roman"/>
          <w:sz w:val="24"/>
          <w:szCs w:val="24"/>
        </w:rPr>
        <w:t xml:space="preserve"> is not always a positive force for </w:t>
      </w:r>
      <w:r w:rsidR="003B6AB0" w:rsidRPr="003B6AB0">
        <w:rPr>
          <w:rFonts w:ascii="Times New Roman" w:hAnsi="Times New Roman" w:cs="Times New Roman"/>
          <w:sz w:val="24"/>
          <w:szCs w:val="24"/>
        </w:rPr>
        <w:t>organizations</w:t>
      </w:r>
      <w:r w:rsidR="008A6F7A" w:rsidRPr="00253BEB">
        <w:rPr>
          <w:rFonts w:ascii="Times New Roman" w:hAnsi="Times New Roman" w:cs="Times New Roman"/>
          <w:sz w:val="24"/>
          <w:szCs w:val="24"/>
        </w:rPr>
        <w:t xml:space="preserve"> and </w:t>
      </w:r>
      <w:r w:rsidR="00C444A3">
        <w:rPr>
          <w:rFonts w:ascii="Times New Roman" w:hAnsi="Times New Roman" w:cs="Times New Roman"/>
          <w:sz w:val="24"/>
          <w:szCs w:val="24"/>
        </w:rPr>
        <w:t>therefore enhances</w:t>
      </w:r>
      <w:r w:rsidR="008A6F7A" w:rsidRPr="00253BEB">
        <w:rPr>
          <w:rFonts w:ascii="Times New Roman" w:hAnsi="Times New Roman" w:cs="Times New Roman"/>
          <w:sz w:val="24"/>
          <w:szCs w:val="24"/>
        </w:rPr>
        <w:t xml:space="preserve"> the idea that strategic openness is ‘uneven and incomplete’ (Whittington et al., 2011) in different settings. We also provide a more nuanced understanding on how organizations in different strategic settings put the transparency aspect of open strategy into practice.</w:t>
      </w:r>
      <w:r w:rsidR="008A6F7A" w:rsidRPr="005474C5">
        <w:rPr>
          <w:rFonts w:ascii="Times New Roman" w:hAnsi="Times New Roman" w:cs="Times New Roman"/>
          <w:sz w:val="24"/>
          <w:szCs w:val="24"/>
        </w:rPr>
        <w:t xml:space="preserve"> </w:t>
      </w:r>
    </w:p>
    <w:p w14:paraId="62CF69EE" w14:textId="6242A6F9" w:rsidR="006958FD" w:rsidRDefault="006958FD" w:rsidP="00DB6CED">
      <w:pPr>
        <w:spacing w:line="240" w:lineRule="auto"/>
        <w:contextualSpacing/>
        <w:rPr>
          <w:rFonts w:ascii="Times New Roman" w:hAnsi="Times New Roman" w:cs="Times New Roman"/>
          <w:b/>
          <w:bCs/>
          <w:sz w:val="24"/>
          <w:szCs w:val="24"/>
        </w:rPr>
      </w:pPr>
      <w:r w:rsidRPr="00DB6CED">
        <w:rPr>
          <w:rFonts w:ascii="Times New Roman" w:hAnsi="Times New Roman" w:cs="Times New Roman"/>
          <w:b/>
          <w:bCs/>
          <w:sz w:val="24"/>
          <w:szCs w:val="24"/>
        </w:rPr>
        <w:t>References</w:t>
      </w:r>
    </w:p>
    <w:p w14:paraId="79CDDC2D" w14:textId="77777777" w:rsidR="00DB6CED" w:rsidRPr="00DB6CED" w:rsidRDefault="00DB6CED" w:rsidP="00DB6CED">
      <w:pPr>
        <w:spacing w:line="240" w:lineRule="auto"/>
        <w:contextualSpacing/>
        <w:rPr>
          <w:rFonts w:ascii="Times New Roman" w:hAnsi="Times New Roman" w:cs="Times New Roman"/>
          <w:b/>
          <w:sz w:val="24"/>
          <w:szCs w:val="24"/>
        </w:rPr>
      </w:pPr>
    </w:p>
    <w:p w14:paraId="051CCCEC" w14:textId="77777777" w:rsidR="003910B3" w:rsidRPr="00253BEB"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253BEB">
        <w:rPr>
          <w:rFonts w:ascii="Times New Roman" w:eastAsiaTheme="minorEastAsia" w:hAnsi="Times New Roman" w:cs="Times New Roman"/>
          <w:color w:val="1A1A1A"/>
          <w:sz w:val="24"/>
          <w:szCs w:val="24"/>
        </w:rPr>
        <w:t xml:space="preserve">Ambarish, R., John, K., Williams, J., 1987. Efficient signalling with dividends and investments. </w:t>
      </w:r>
      <w:r w:rsidRPr="00253BEB">
        <w:rPr>
          <w:rFonts w:ascii="Times New Roman" w:eastAsiaTheme="minorEastAsia" w:hAnsi="Times New Roman" w:cs="Times New Roman"/>
          <w:iCs/>
          <w:color w:val="1A1A1A"/>
          <w:sz w:val="24"/>
          <w:szCs w:val="24"/>
        </w:rPr>
        <w:t>The Journal of Finance</w:t>
      </w:r>
      <w:r w:rsidRPr="00253BEB">
        <w:rPr>
          <w:rFonts w:ascii="Times New Roman" w:eastAsiaTheme="minorEastAsia" w:hAnsi="Times New Roman" w:cs="Times New Roman"/>
          <w:color w:val="1A1A1A"/>
          <w:sz w:val="24"/>
          <w:szCs w:val="24"/>
        </w:rPr>
        <w:t xml:space="preserve"> </w:t>
      </w:r>
      <w:r w:rsidRPr="00253BEB">
        <w:rPr>
          <w:rFonts w:ascii="Times New Roman" w:eastAsiaTheme="minorEastAsia" w:hAnsi="Times New Roman" w:cs="Times New Roman"/>
          <w:iCs/>
          <w:color w:val="1A1A1A"/>
          <w:sz w:val="24"/>
          <w:szCs w:val="24"/>
        </w:rPr>
        <w:t>42</w:t>
      </w:r>
      <w:r w:rsidRPr="00253BEB">
        <w:rPr>
          <w:rFonts w:ascii="Times New Roman" w:eastAsiaTheme="minorEastAsia" w:hAnsi="Times New Roman" w:cs="Times New Roman"/>
          <w:color w:val="1A1A1A"/>
          <w:sz w:val="24"/>
          <w:szCs w:val="24"/>
        </w:rPr>
        <w:t>, 321-343.</w:t>
      </w:r>
    </w:p>
    <w:p w14:paraId="3CEE37C7" w14:textId="77777777" w:rsidR="003910B3" w:rsidRPr="00253BEB" w:rsidRDefault="003910B3" w:rsidP="003910B3">
      <w:pPr>
        <w:tabs>
          <w:tab w:val="left" w:pos="284"/>
        </w:tabs>
        <w:spacing w:line="240" w:lineRule="auto"/>
        <w:ind w:left="567" w:hanging="567"/>
        <w:contextualSpacing/>
        <w:rPr>
          <w:rFonts w:ascii="Times New Roman" w:hAnsi="Times New Roman" w:cs="Times New Roman"/>
          <w:sz w:val="24"/>
          <w:szCs w:val="24"/>
        </w:rPr>
      </w:pPr>
      <w:r w:rsidRPr="00253BEB">
        <w:rPr>
          <w:rFonts w:ascii="Times New Roman" w:hAnsi="Times New Roman" w:cs="Times New Roman"/>
          <w:sz w:val="24"/>
          <w:szCs w:val="24"/>
        </w:rPr>
        <w:t xml:space="preserve">Andrade, G., Mitchell, M., Stafford, E., 2001. New Evidence and Perspectives on Mergers. Journal of Economic Perspectives 15, 103-111. </w:t>
      </w:r>
    </w:p>
    <w:p w14:paraId="19DE900F" w14:textId="119D9290" w:rsidR="003910B3" w:rsidRPr="00253BEB" w:rsidRDefault="003910B3" w:rsidP="00253BEB">
      <w:pPr>
        <w:spacing w:after="0" w:line="240" w:lineRule="auto"/>
        <w:ind w:left="567" w:hanging="567"/>
        <w:contextualSpacing/>
        <w:rPr>
          <w:rFonts w:ascii="Times New Roman" w:eastAsia="Times New Roman" w:hAnsi="Times New Roman" w:cs="Times New Roman"/>
          <w:color w:val="000000" w:themeColor="text1"/>
          <w:sz w:val="24"/>
          <w:szCs w:val="24"/>
          <w:lang w:val="en-GB" w:eastAsia="en-GB"/>
        </w:rPr>
      </w:pPr>
      <w:r w:rsidRPr="00253BEB">
        <w:rPr>
          <w:rFonts w:ascii="Times New Roman" w:eastAsia="Times New Roman" w:hAnsi="Times New Roman" w:cs="Times New Roman"/>
          <w:color w:val="000000" w:themeColor="text1"/>
          <w:sz w:val="24"/>
          <w:szCs w:val="24"/>
          <w:lang w:val="en-GB" w:eastAsia="en-GB"/>
        </w:rPr>
        <w:t>Angwin, D.</w:t>
      </w:r>
      <w:r w:rsidR="00A970CD">
        <w:rPr>
          <w:rFonts w:ascii="Times New Roman" w:eastAsia="Times New Roman" w:hAnsi="Times New Roman" w:cs="Times New Roman"/>
          <w:color w:val="000000" w:themeColor="text1"/>
          <w:sz w:val="24"/>
          <w:szCs w:val="24"/>
          <w:lang w:val="en-GB" w:eastAsia="en-GB"/>
        </w:rPr>
        <w:t xml:space="preserve"> N.</w:t>
      </w:r>
      <w:r w:rsidRPr="00253BEB">
        <w:rPr>
          <w:rFonts w:ascii="Times New Roman" w:eastAsia="Times New Roman" w:hAnsi="Times New Roman" w:cs="Times New Roman"/>
          <w:color w:val="000000" w:themeColor="text1"/>
          <w:sz w:val="24"/>
          <w:szCs w:val="24"/>
          <w:lang w:val="en-GB" w:eastAsia="en-GB"/>
        </w:rPr>
        <w:t>, 2001. Mergers and acquisitions across European borders: National perspectives on pre</w:t>
      </w:r>
      <w:r w:rsidR="007C2743">
        <w:rPr>
          <w:rFonts w:ascii="Times New Roman" w:eastAsia="Times New Roman" w:hAnsi="Times New Roman" w:cs="Times New Roman"/>
          <w:color w:val="000000" w:themeColor="text1"/>
          <w:sz w:val="24"/>
          <w:szCs w:val="24"/>
          <w:lang w:val="en-GB" w:eastAsia="en-GB"/>
        </w:rPr>
        <w:t>-</w:t>
      </w:r>
      <w:r w:rsidRPr="00253BEB">
        <w:rPr>
          <w:rFonts w:ascii="Times New Roman" w:eastAsia="Times New Roman" w:hAnsi="Times New Roman" w:cs="Times New Roman"/>
          <w:color w:val="000000" w:themeColor="text1"/>
          <w:sz w:val="24"/>
          <w:szCs w:val="24"/>
          <w:lang w:val="en-GB" w:eastAsia="en-GB"/>
        </w:rPr>
        <w:t xml:space="preserve">acquisition due diligence and the use of professional advisers. </w:t>
      </w:r>
      <w:r w:rsidRPr="00253BEB">
        <w:rPr>
          <w:rFonts w:ascii="Times New Roman" w:eastAsia="Times New Roman" w:hAnsi="Times New Roman" w:cs="Times New Roman"/>
          <w:iCs/>
          <w:color w:val="000000" w:themeColor="text1"/>
          <w:sz w:val="24"/>
          <w:szCs w:val="24"/>
          <w:lang w:val="en-GB" w:eastAsia="en-GB"/>
        </w:rPr>
        <w:t>Journal of World Business</w:t>
      </w:r>
      <w:r w:rsidRPr="00253BEB">
        <w:rPr>
          <w:rFonts w:ascii="Times New Roman" w:eastAsia="Times New Roman" w:hAnsi="Times New Roman" w:cs="Times New Roman"/>
          <w:color w:val="000000" w:themeColor="text1"/>
          <w:sz w:val="24"/>
          <w:szCs w:val="24"/>
          <w:lang w:val="en-GB" w:eastAsia="en-GB"/>
        </w:rPr>
        <w:t xml:space="preserve"> </w:t>
      </w:r>
      <w:r w:rsidRPr="00253BEB">
        <w:rPr>
          <w:rFonts w:ascii="Times New Roman" w:eastAsia="Times New Roman" w:hAnsi="Times New Roman" w:cs="Times New Roman"/>
          <w:iCs/>
          <w:color w:val="000000" w:themeColor="text1"/>
          <w:sz w:val="24"/>
          <w:szCs w:val="24"/>
          <w:lang w:val="en-GB" w:eastAsia="en-GB"/>
        </w:rPr>
        <w:t>36</w:t>
      </w:r>
      <w:r w:rsidRPr="00253BEB">
        <w:rPr>
          <w:rFonts w:ascii="Times New Roman" w:eastAsia="Times New Roman" w:hAnsi="Times New Roman" w:cs="Times New Roman"/>
          <w:color w:val="000000" w:themeColor="text1"/>
          <w:sz w:val="24"/>
          <w:szCs w:val="24"/>
          <w:lang w:val="en-GB" w:eastAsia="en-GB"/>
        </w:rPr>
        <w:t>, 32-57.</w:t>
      </w:r>
    </w:p>
    <w:p w14:paraId="0A493CDC" w14:textId="5ED7436F" w:rsidR="003910B3" w:rsidRPr="00253BEB" w:rsidRDefault="003910B3" w:rsidP="00253BEB">
      <w:pPr>
        <w:spacing w:after="0" w:line="240" w:lineRule="auto"/>
        <w:ind w:left="567" w:hanging="567"/>
        <w:contextualSpacing/>
        <w:rPr>
          <w:rFonts w:ascii="Times New Roman" w:eastAsia="Times New Roman" w:hAnsi="Times New Roman" w:cs="Times New Roman"/>
          <w:color w:val="000000" w:themeColor="text1"/>
          <w:sz w:val="24"/>
          <w:szCs w:val="24"/>
          <w:lang w:val="en-GB" w:eastAsia="en-GB"/>
        </w:rPr>
      </w:pPr>
      <w:r w:rsidRPr="00253BEB">
        <w:rPr>
          <w:rFonts w:ascii="Times New Roman" w:eastAsia="Times New Roman" w:hAnsi="Times New Roman" w:cs="Times New Roman"/>
          <w:color w:val="000000" w:themeColor="text1"/>
          <w:sz w:val="24"/>
          <w:szCs w:val="24"/>
          <w:lang w:val="en-GB" w:eastAsia="en-GB"/>
        </w:rPr>
        <w:t>Angwin, D.</w:t>
      </w:r>
      <w:r w:rsidR="00A970CD">
        <w:rPr>
          <w:rFonts w:ascii="Times New Roman" w:eastAsia="Times New Roman" w:hAnsi="Times New Roman" w:cs="Times New Roman"/>
          <w:color w:val="000000" w:themeColor="text1"/>
          <w:sz w:val="24"/>
          <w:szCs w:val="24"/>
          <w:lang w:val="en-GB" w:eastAsia="en-GB"/>
        </w:rPr>
        <w:t xml:space="preserve"> N., 2004.</w:t>
      </w:r>
      <w:r w:rsidRPr="00253BEB">
        <w:rPr>
          <w:rFonts w:ascii="Times New Roman" w:eastAsia="Times New Roman" w:hAnsi="Times New Roman" w:cs="Times New Roman"/>
          <w:color w:val="000000" w:themeColor="text1"/>
          <w:sz w:val="24"/>
          <w:szCs w:val="24"/>
          <w:lang w:val="en-GB" w:eastAsia="en-GB"/>
        </w:rPr>
        <w:t xml:space="preserve"> Speed in M&amp;A Integration: The First 100 Days. </w:t>
      </w:r>
      <w:r w:rsidRPr="00253BEB">
        <w:rPr>
          <w:rFonts w:ascii="Times New Roman" w:eastAsia="Times New Roman" w:hAnsi="Times New Roman" w:cs="Times New Roman"/>
          <w:iCs/>
          <w:color w:val="000000" w:themeColor="text1"/>
          <w:sz w:val="24"/>
          <w:szCs w:val="24"/>
          <w:lang w:val="en-GB" w:eastAsia="en-GB"/>
        </w:rPr>
        <w:t>European Management Journal</w:t>
      </w:r>
      <w:r w:rsidRPr="00253BEB">
        <w:rPr>
          <w:rFonts w:ascii="Times New Roman" w:eastAsia="Times New Roman" w:hAnsi="Times New Roman" w:cs="Times New Roman"/>
          <w:color w:val="000000" w:themeColor="text1"/>
          <w:sz w:val="24"/>
          <w:szCs w:val="24"/>
          <w:lang w:val="en-GB" w:eastAsia="en-GB"/>
        </w:rPr>
        <w:t xml:space="preserve"> </w:t>
      </w:r>
      <w:r w:rsidRPr="00253BEB">
        <w:rPr>
          <w:rFonts w:ascii="Times New Roman" w:eastAsia="Times New Roman" w:hAnsi="Times New Roman" w:cs="Times New Roman"/>
          <w:iCs/>
          <w:color w:val="000000" w:themeColor="text1"/>
          <w:sz w:val="24"/>
          <w:szCs w:val="24"/>
          <w:lang w:val="en-GB" w:eastAsia="en-GB"/>
        </w:rPr>
        <w:t>22</w:t>
      </w:r>
      <w:r w:rsidRPr="00253BEB">
        <w:rPr>
          <w:rFonts w:ascii="Times New Roman" w:eastAsia="Times New Roman" w:hAnsi="Times New Roman" w:cs="Times New Roman"/>
          <w:color w:val="000000" w:themeColor="text1"/>
          <w:sz w:val="24"/>
          <w:szCs w:val="24"/>
          <w:lang w:val="en-GB" w:eastAsia="en-GB"/>
        </w:rPr>
        <w:t>, 418-430.</w:t>
      </w:r>
    </w:p>
    <w:p w14:paraId="30B16E83" w14:textId="1705E542" w:rsidR="00A970CD" w:rsidRDefault="00A970CD" w:rsidP="00253BEB">
      <w:pPr>
        <w:spacing w:after="0" w:line="240" w:lineRule="auto"/>
        <w:ind w:left="567" w:hanging="567"/>
        <w:contextualSpacing/>
        <w:rPr>
          <w:rFonts w:ascii="Times New Roman" w:hAnsi="Times New Roman" w:cs="Times New Roman"/>
          <w:color w:val="1A1A1A"/>
          <w:sz w:val="24"/>
          <w:szCs w:val="24"/>
        </w:rPr>
      </w:pPr>
      <w:r>
        <w:rPr>
          <w:rFonts w:ascii="Times New Roman" w:hAnsi="Times New Roman" w:cs="Times New Roman"/>
          <w:color w:val="1A1A1A"/>
          <w:sz w:val="24"/>
          <w:szCs w:val="24"/>
        </w:rPr>
        <w:t xml:space="preserve">Angwin, D. N., (Ed.) 2007. Mergers and Acquisitions, Blackwell Publishing, Oxford. </w:t>
      </w:r>
    </w:p>
    <w:p w14:paraId="3B2A16DA" w14:textId="3FBB6A7F" w:rsidR="00B43B17" w:rsidRPr="00261140" w:rsidRDefault="00B43B17" w:rsidP="005C2CB4">
      <w:pPr>
        <w:pStyle w:val="Heading1"/>
        <w:keepNext w:val="0"/>
        <w:widowControl w:val="0"/>
        <w:spacing w:before="0"/>
        <w:ind w:left="567" w:hanging="567"/>
        <w:rPr>
          <w:rFonts w:ascii="Times New Roman" w:hAnsi="Times New Roman" w:cs="Times New Roman"/>
          <w:b/>
          <w:color w:val="auto"/>
          <w:sz w:val="24"/>
          <w:szCs w:val="24"/>
        </w:rPr>
      </w:pPr>
      <w:r w:rsidRPr="00B43B17">
        <w:rPr>
          <w:rFonts w:ascii="Times New Roman" w:hAnsi="Times New Roman" w:cs="Times New Roman"/>
          <w:color w:val="auto"/>
          <w:sz w:val="24"/>
          <w:szCs w:val="24"/>
        </w:rPr>
        <w:lastRenderedPageBreak/>
        <w:t>Angwin, D.N., Mellahi, K. Gomes, E., Peters, E</w:t>
      </w:r>
      <w:r>
        <w:rPr>
          <w:rFonts w:ascii="Times New Roman" w:hAnsi="Times New Roman" w:cs="Times New Roman"/>
          <w:color w:val="auto"/>
          <w:sz w:val="24"/>
          <w:szCs w:val="24"/>
        </w:rPr>
        <w:t xml:space="preserve">., </w:t>
      </w:r>
      <w:r w:rsidRPr="00B43B17">
        <w:rPr>
          <w:rFonts w:ascii="Times New Roman" w:hAnsi="Times New Roman" w:cs="Times New Roman"/>
          <w:color w:val="auto"/>
          <w:sz w:val="24"/>
          <w:szCs w:val="24"/>
        </w:rPr>
        <w:t>2014</w:t>
      </w:r>
      <w:r>
        <w:rPr>
          <w:rFonts w:ascii="Times New Roman" w:hAnsi="Times New Roman" w:cs="Times New Roman"/>
          <w:color w:val="auto"/>
          <w:sz w:val="24"/>
          <w:szCs w:val="24"/>
        </w:rPr>
        <w:t>.</w:t>
      </w:r>
      <w:r w:rsidRPr="00B43B17">
        <w:rPr>
          <w:rFonts w:ascii="Times New Roman" w:hAnsi="Times New Roman" w:cs="Times New Roman"/>
          <w:color w:val="auto"/>
          <w:sz w:val="24"/>
          <w:szCs w:val="24"/>
        </w:rPr>
        <w:t xml:space="preserve"> How communication approaches impact mergers and acquisitions outcomes, International Journal </w:t>
      </w:r>
      <w:r w:rsidRPr="00261140">
        <w:rPr>
          <w:rFonts w:ascii="Times New Roman" w:hAnsi="Times New Roman" w:cs="Times New Roman"/>
          <w:color w:val="auto"/>
          <w:sz w:val="24"/>
          <w:szCs w:val="24"/>
        </w:rPr>
        <w:t>of Human Resource Management</w:t>
      </w:r>
      <w:r w:rsidR="00895F0E" w:rsidRPr="007555CB">
        <w:rPr>
          <w:rFonts w:ascii="Times New Roman" w:hAnsi="Times New Roman" w:cs="Times New Roman"/>
          <w:color w:val="auto"/>
          <w:sz w:val="24"/>
          <w:szCs w:val="24"/>
        </w:rPr>
        <w:t>, 1-28 (</w:t>
      </w:r>
      <w:r w:rsidR="005C2CB4">
        <w:rPr>
          <w:rFonts w:ascii="Times New Roman" w:eastAsiaTheme="minorEastAsia" w:hAnsi="Times New Roman" w:cs="Times New Roman"/>
          <w:color w:val="auto"/>
          <w:sz w:val="24"/>
          <w:szCs w:val="24"/>
        </w:rPr>
        <w:t xml:space="preserve">ahead of print) </w:t>
      </w:r>
      <w:r w:rsidR="00895F0E" w:rsidRPr="00796902">
        <w:rPr>
          <w:rFonts w:ascii="Times New Roman" w:eastAsiaTheme="minorEastAsia" w:hAnsi="Times New Roman" w:cs="Times New Roman"/>
          <w:color w:val="auto"/>
          <w:sz w:val="24"/>
          <w:szCs w:val="24"/>
        </w:rPr>
        <w:t xml:space="preserve">doi:10.1080/09585192.2014.985330 </w:t>
      </w:r>
      <w:hyperlink r:id="rId9" w:history="1">
        <w:r w:rsidR="00895F0E" w:rsidRPr="00796902">
          <w:rPr>
            <w:rFonts w:ascii="Times New Roman" w:eastAsiaTheme="minorEastAsia" w:hAnsi="Times New Roman" w:cs="Times New Roman"/>
            <w:color w:val="auto"/>
            <w:sz w:val="24"/>
            <w:szCs w:val="24"/>
          </w:rPr>
          <w:t>[Taylor &amp; Francis Online]</w:t>
        </w:r>
      </w:hyperlink>
    </w:p>
    <w:p w14:paraId="2A04A4AB" w14:textId="0473AC85" w:rsidR="008A6F7A" w:rsidRPr="00253BEB" w:rsidRDefault="007C2743" w:rsidP="00253BEB">
      <w:pPr>
        <w:spacing w:after="0" w:line="240" w:lineRule="auto"/>
        <w:ind w:left="567" w:hanging="567"/>
        <w:contextualSpacing/>
        <w:rPr>
          <w:rFonts w:ascii="Times New Roman" w:eastAsia="Times New Roman" w:hAnsi="Times New Roman" w:cs="Times New Roman"/>
          <w:color w:val="000000" w:themeColor="text1"/>
          <w:sz w:val="24"/>
          <w:szCs w:val="24"/>
          <w:lang w:val="en-GB" w:eastAsia="en-GB"/>
        </w:rPr>
      </w:pPr>
      <w:r w:rsidRPr="00253BEB">
        <w:rPr>
          <w:rFonts w:ascii="Times New Roman" w:hAnsi="Times New Roman" w:cs="Times New Roman"/>
          <w:color w:val="1A1A1A"/>
          <w:sz w:val="24"/>
          <w:szCs w:val="24"/>
        </w:rPr>
        <w:t>Angwin, D.</w:t>
      </w:r>
      <w:r w:rsidR="00A970CD">
        <w:rPr>
          <w:rFonts w:ascii="Times New Roman" w:hAnsi="Times New Roman" w:cs="Times New Roman"/>
          <w:color w:val="1A1A1A"/>
          <w:sz w:val="24"/>
          <w:szCs w:val="24"/>
        </w:rPr>
        <w:t xml:space="preserve"> N.</w:t>
      </w:r>
      <w:r w:rsidR="008A6F7A" w:rsidRPr="00253BEB">
        <w:rPr>
          <w:rFonts w:ascii="Times New Roman" w:hAnsi="Times New Roman" w:cs="Times New Roman"/>
          <w:color w:val="1A1A1A"/>
          <w:sz w:val="24"/>
          <w:szCs w:val="24"/>
        </w:rPr>
        <w:t>,</w:t>
      </w:r>
      <w:r w:rsidRPr="00253BEB">
        <w:rPr>
          <w:rFonts w:ascii="Times New Roman" w:hAnsi="Times New Roman" w:cs="Times New Roman"/>
          <w:color w:val="1A1A1A"/>
          <w:sz w:val="24"/>
          <w:szCs w:val="24"/>
        </w:rPr>
        <w:t xml:space="preserve"> Paroutis, S.</w:t>
      </w:r>
      <w:r>
        <w:rPr>
          <w:rFonts w:ascii="Times New Roman" w:hAnsi="Times New Roman" w:cs="Times New Roman"/>
          <w:color w:val="1A1A1A"/>
          <w:sz w:val="24"/>
          <w:szCs w:val="24"/>
        </w:rPr>
        <w:t>,</w:t>
      </w:r>
      <w:r w:rsidRPr="00253BEB">
        <w:rPr>
          <w:rFonts w:ascii="Times New Roman" w:hAnsi="Times New Roman" w:cs="Times New Roman"/>
          <w:color w:val="1A1A1A"/>
          <w:sz w:val="24"/>
          <w:szCs w:val="24"/>
        </w:rPr>
        <w:t xml:space="preserve"> Connell, R., 2015.</w:t>
      </w:r>
      <w:r w:rsidR="008A6F7A" w:rsidRPr="00253BEB">
        <w:rPr>
          <w:rFonts w:ascii="Times New Roman" w:hAnsi="Times New Roman" w:cs="Times New Roman"/>
          <w:color w:val="1A1A1A"/>
          <w:sz w:val="24"/>
          <w:szCs w:val="24"/>
        </w:rPr>
        <w:t xml:space="preserve"> </w:t>
      </w:r>
      <w:r w:rsidR="008A6F7A" w:rsidRPr="00253BEB">
        <w:rPr>
          <w:rFonts w:ascii="Times New Roman" w:hAnsi="Times New Roman" w:cs="Times New Roman"/>
          <w:sz w:val="24"/>
          <w:szCs w:val="24"/>
        </w:rPr>
        <w:t>Why Good Things Don’t Happen: The Micro-foundations of Routines in the M&amp;A Process, Journal of Business Research</w:t>
      </w:r>
      <w:r>
        <w:rPr>
          <w:rFonts w:ascii="Times New Roman" w:hAnsi="Times New Roman" w:cs="Times New Roman"/>
          <w:sz w:val="24"/>
          <w:szCs w:val="24"/>
        </w:rPr>
        <w:t xml:space="preserve"> </w:t>
      </w:r>
      <w:r w:rsidRPr="00253BEB">
        <w:rPr>
          <w:rFonts w:ascii="Times New Roman" w:hAnsi="Times New Roman" w:cs="Times New Roman"/>
          <w:sz w:val="24"/>
          <w:szCs w:val="24"/>
        </w:rPr>
        <w:t xml:space="preserve">68, </w:t>
      </w:r>
      <w:r w:rsidRPr="00253BEB">
        <w:rPr>
          <w:rFonts w:ascii="Times New Roman" w:hAnsi="Times New Roman" w:cs="Times New Roman"/>
          <w:color w:val="222222"/>
          <w:sz w:val="24"/>
          <w:szCs w:val="24"/>
        </w:rPr>
        <w:t>1367-1381.</w:t>
      </w:r>
    </w:p>
    <w:p w14:paraId="36B07A3F" w14:textId="77777777" w:rsidR="003910B3" w:rsidRPr="00253BEB" w:rsidRDefault="003910B3" w:rsidP="003910B3">
      <w:pPr>
        <w:spacing w:line="240" w:lineRule="auto"/>
        <w:ind w:left="567" w:hanging="567"/>
        <w:contextualSpacing/>
        <w:rPr>
          <w:rFonts w:ascii="Times New Roman" w:hAnsi="Times New Roman" w:cs="Times New Roman"/>
          <w:sz w:val="24"/>
          <w:szCs w:val="24"/>
        </w:rPr>
      </w:pPr>
      <w:r w:rsidRPr="00253BEB">
        <w:rPr>
          <w:rFonts w:ascii="Times New Roman" w:hAnsi="Times New Roman" w:cs="Times New Roman"/>
          <w:sz w:val="24"/>
          <w:szCs w:val="24"/>
        </w:rPr>
        <w:t xml:space="preserve">Baker, R.D., Limmack, R.J., 2002. UK takeovers and acquiring company wealth changes: The impact of survivorship and other potential selection biases on post-outcome performance. University of Stirling working paper, May. </w:t>
      </w:r>
    </w:p>
    <w:p w14:paraId="2B4E90D0" w14:textId="77777777" w:rsidR="003910B3" w:rsidRPr="00253BEB" w:rsidRDefault="003910B3" w:rsidP="003910B3">
      <w:pPr>
        <w:widowControl w:val="0"/>
        <w:spacing w:line="240" w:lineRule="auto"/>
        <w:ind w:left="567" w:hanging="567"/>
        <w:contextualSpacing/>
        <w:rPr>
          <w:rFonts w:ascii="Times New Roman" w:hAnsi="Times New Roman" w:cs="Times New Roman"/>
          <w:sz w:val="24"/>
          <w:szCs w:val="24"/>
          <w:lang w:val="en-GB"/>
        </w:rPr>
      </w:pPr>
      <w:r w:rsidRPr="00253BEB">
        <w:rPr>
          <w:rFonts w:ascii="Times New Roman" w:hAnsi="Times New Roman" w:cs="Times New Roman"/>
          <w:sz w:val="24"/>
          <w:szCs w:val="24"/>
          <w:lang w:val="en-GB"/>
        </w:rPr>
        <w:t>Bassen A., Basse Mama H., Ramaj H., 2010. Investor Relations: a Comprehensive Overview. Journal of Betriebswirtschaft 60, 49-79.</w:t>
      </w:r>
    </w:p>
    <w:p w14:paraId="001651CF" w14:textId="64AE1DCA" w:rsidR="003910B3" w:rsidRPr="00253BEB"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253BEB">
        <w:rPr>
          <w:rFonts w:ascii="Times New Roman" w:eastAsiaTheme="minorEastAsia" w:hAnsi="Times New Roman" w:cs="Times New Roman"/>
          <w:color w:val="1A1A1A"/>
          <w:sz w:val="24"/>
          <w:szCs w:val="24"/>
        </w:rPr>
        <w:t xml:space="preserve">Besanko, D.,  Doraszelski, U., 2004. Capacity dynamics and endogenous asymmetries in firm size. </w:t>
      </w:r>
      <w:r w:rsidRPr="00253BEB">
        <w:rPr>
          <w:rFonts w:ascii="Times New Roman" w:eastAsiaTheme="minorEastAsia" w:hAnsi="Times New Roman" w:cs="Times New Roman"/>
          <w:iCs/>
          <w:color w:val="1A1A1A"/>
          <w:sz w:val="24"/>
          <w:szCs w:val="24"/>
        </w:rPr>
        <w:t>RAND Journal of Economics</w:t>
      </w:r>
      <w:r w:rsidRPr="00253BEB">
        <w:rPr>
          <w:rFonts w:ascii="Times New Roman" w:eastAsiaTheme="minorEastAsia" w:hAnsi="Times New Roman" w:cs="Times New Roman"/>
          <w:color w:val="1A1A1A"/>
          <w:sz w:val="24"/>
          <w:szCs w:val="24"/>
        </w:rPr>
        <w:t>, 23-49.</w:t>
      </w:r>
    </w:p>
    <w:p w14:paraId="734D284B" w14:textId="77777777" w:rsidR="003910B3" w:rsidRPr="00253BEB" w:rsidRDefault="003910B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Boeh, K. K., 2011. Contracting Costs and Information Asymmetry Reduction in Cross-Border M&amp;A. Journal of Management Studies 48, 568-590.</w:t>
      </w:r>
    </w:p>
    <w:p w14:paraId="720FCAFE"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 xml:space="preserve">Carpenter, M.A., 2000. The price of change: The role of CEO compensation in strategic variation and deviation from industry strategy norms. Journal of Management 26, 1179-1198. </w:t>
      </w:r>
    </w:p>
    <w:p w14:paraId="62EB6297" w14:textId="4CB1105A" w:rsidR="003910B3" w:rsidRDefault="003910B3" w:rsidP="003910B3">
      <w:pPr>
        <w:widowControl w:val="0"/>
        <w:tabs>
          <w:tab w:val="left" w:pos="220"/>
          <w:tab w:val="left" w:pos="720"/>
        </w:tabs>
        <w:autoSpaceDE w:val="0"/>
        <w:autoSpaceDN w:val="0"/>
        <w:adjustRightInd w:val="0"/>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Cohen, J.</w:t>
      </w:r>
      <w:r w:rsidR="00C47787">
        <w:rPr>
          <w:rFonts w:ascii="Times New Roman" w:hAnsi="Times New Roman" w:cs="Times New Roman"/>
          <w:sz w:val="24"/>
          <w:szCs w:val="24"/>
        </w:rPr>
        <w:t>,</w:t>
      </w:r>
      <w:r>
        <w:rPr>
          <w:rFonts w:ascii="Times New Roman" w:hAnsi="Times New Roman" w:cs="Times New Roman"/>
          <w:sz w:val="24"/>
          <w:szCs w:val="24"/>
        </w:rPr>
        <w:t xml:space="preserve"> 1988</w:t>
      </w:r>
      <w:r w:rsidRPr="001E72C4">
        <w:rPr>
          <w:rFonts w:ascii="Times New Roman" w:hAnsi="Times New Roman" w:cs="Times New Roman"/>
          <w:color w:val="000000" w:themeColor="text1"/>
          <w:sz w:val="24"/>
          <w:szCs w:val="24"/>
        </w:rPr>
        <w:t xml:space="preserve">. </w:t>
      </w:r>
      <w:r w:rsidRPr="00DB6CED">
        <w:rPr>
          <w:rFonts w:ascii="Times New Roman" w:eastAsiaTheme="minorEastAsia" w:hAnsi="Times New Roman" w:cs="Times New Roman"/>
          <w:bCs/>
          <w:color w:val="232323"/>
          <w:sz w:val="24"/>
          <w:szCs w:val="24"/>
        </w:rPr>
        <w:t>Statistical Power Analysis for the Behavioral Sciences</w:t>
      </w:r>
      <w:r>
        <w:rPr>
          <w:rFonts w:ascii="Times New Roman" w:eastAsiaTheme="minorEastAsia" w:hAnsi="Times New Roman" w:cs="Times New Roman"/>
          <w:color w:val="000000" w:themeColor="text1"/>
          <w:sz w:val="24"/>
          <w:szCs w:val="24"/>
        </w:rPr>
        <w:t xml:space="preserve">. </w:t>
      </w:r>
      <w:r w:rsidRPr="001E72C4">
        <w:rPr>
          <w:rFonts w:ascii="Times New Roman" w:eastAsiaTheme="minorEastAsia" w:hAnsi="Times New Roman" w:cs="Times New Roman"/>
          <w:color w:val="000000" w:themeColor="text1"/>
          <w:sz w:val="24"/>
          <w:szCs w:val="24"/>
        </w:rPr>
        <w:t>Lawrence Erlbaum, Hillsdale, NJ.</w:t>
      </w:r>
    </w:p>
    <w:p w14:paraId="0AF32BA7" w14:textId="77777777" w:rsidR="005C2CB4" w:rsidRDefault="00585983" w:rsidP="00796902">
      <w:pPr>
        <w:widowControl w:val="0"/>
        <w:autoSpaceDE w:val="0"/>
        <w:autoSpaceDN w:val="0"/>
        <w:adjustRightInd w:val="0"/>
        <w:spacing w:after="240" w:line="240" w:lineRule="auto"/>
        <w:ind w:left="567" w:hanging="567"/>
        <w:contextualSpacing/>
        <w:rPr>
          <w:rFonts w:ascii="Times New Roman" w:eastAsia="Times New Roman" w:hAnsi="Times New Roman" w:cs="Times New Roman"/>
          <w:color w:val="222222"/>
          <w:sz w:val="24"/>
          <w:szCs w:val="24"/>
          <w:lang w:val="en-GB" w:eastAsia="en-GB"/>
        </w:rPr>
      </w:pPr>
      <w:r w:rsidRPr="00796902">
        <w:rPr>
          <w:rFonts w:ascii="Times New Roman" w:eastAsia="Times New Roman" w:hAnsi="Times New Roman" w:cs="Times New Roman"/>
          <w:color w:val="222222"/>
          <w:sz w:val="24"/>
          <w:szCs w:val="24"/>
          <w:lang w:val="en-GB" w:eastAsia="en-GB"/>
        </w:rPr>
        <w:t>Cuypers, I. R., Cuypers, Y., Martin, X.</w:t>
      </w:r>
      <w:r w:rsidR="00C47787">
        <w:rPr>
          <w:rFonts w:ascii="Times New Roman" w:eastAsia="Times New Roman" w:hAnsi="Times New Roman" w:cs="Times New Roman"/>
          <w:color w:val="222222"/>
          <w:sz w:val="24"/>
          <w:szCs w:val="24"/>
          <w:lang w:val="en-GB" w:eastAsia="en-GB"/>
        </w:rPr>
        <w:t>,</w:t>
      </w:r>
      <w:r w:rsidRPr="00796902">
        <w:rPr>
          <w:rFonts w:ascii="Times New Roman" w:eastAsia="Times New Roman" w:hAnsi="Times New Roman" w:cs="Times New Roman"/>
          <w:color w:val="222222"/>
          <w:sz w:val="24"/>
          <w:szCs w:val="24"/>
          <w:lang w:val="en-GB" w:eastAsia="en-GB"/>
        </w:rPr>
        <w:t xml:space="preserve">2016. When the target may know better: Effects of experience and information asymmetries on value from mergers and acquisitions. </w:t>
      </w:r>
      <w:r w:rsidRPr="00796902">
        <w:rPr>
          <w:rFonts w:ascii="Times New Roman" w:eastAsia="Times New Roman" w:hAnsi="Times New Roman" w:cs="Times New Roman"/>
          <w:iCs/>
          <w:color w:val="222222"/>
          <w:sz w:val="24"/>
          <w:szCs w:val="24"/>
          <w:lang w:val="en-GB" w:eastAsia="en-GB"/>
        </w:rPr>
        <w:t>Strategic Management Journal</w:t>
      </w:r>
      <w:r w:rsidRPr="00796902">
        <w:rPr>
          <w:rFonts w:ascii="Times New Roman" w:eastAsia="Times New Roman" w:hAnsi="Times New Roman" w:cs="Times New Roman"/>
          <w:color w:val="222222"/>
          <w:sz w:val="24"/>
          <w:szCs w:val="24"/>
          <w:lang w:val="en-GB" w:eastAsia="en-GB"/>
        </w:rPr>
        <w:t>.</w:t>
      </w:r>
      <w:r w:rsidR="0010572E">
        <w:rPr>
          <w:rFonts w:ascii="Times New Roman" w:eastAsia="Times New Roman" w:hAnsi="Times New Roman" w:cs="Times New Roman"/>
          <w:color w:val="222222"/>
          <w:sz w:val="24"/>
          <w:szCs w:val="24"/>
          <w:lang w:val="en-GB" w:eastAsia="en-GB"/>
        </w:rPr>
        <w:t xml:space="preserve"> (forthcoming)</w:t>
      </w:r>
    </w:p>
    <w:p w14:paraId="4CEEAFB6" w14:textId="2DDE6BCD" w:rsidR="003910B3" w:rsidRPr="00796902" w:rsidRDefault="003910B3" w:rsidP="00796902">
      <w:pPr>
        <w:widowControl w:val="0"/>
        <w:autoSpaceDE w:val="0"/>
        <w:autoSpaceDN w:val="0"/>
        <w:adjustRightInd w:val="0"/>
        <w:spacing w:after="240"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 xml:space="preserve">Dobrev, S.D., Kim T-Y., Carroll, G.R., 2002. The evolution of organizational niches: U.S. automobile manufacturers, 1885-1981. Administrative </w:t>
      </w:r>
      <w:r w:rsidR="00796902">
        <w:rPr>
          <w:rFonts w:ascii="Times New Roman" w:hAnsi="Times New Roman" w:cs="Times New Roman"/>
          <w:color w:val="000000" w:themeColor="text1"/>
          <w:sz w:val="24"/>
          <w:szCs w:val="24"/>
        </w:rPr>
        <w:t xml:space="preserve">Science Quarterly 47, 233-264. </w:t>
      </w:r>
    </w:p>
    <w:p w14:paraId="7BD7C709" w14:textId="77777777" w:rsidR="003910B3"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Feldman, E.R., Gilson, S.C., Villalonga, B., 2014. Do analysts add value when they most can? Evidence from corporate spin-offs. Strategic Management Journal 35, 1446-1463.</w:t>
      </w:r>
    </w:p>
    <w:p w14:paraId="5D0ED22D" w14:textId="77777777" w:rsidR="005C2CB4" w:rsidRDefault="00C874DD"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000000" w:themeColor="text1"/>
          <w:sz w:val="24"/>
          <w:szCs w:val="24"/>
        </w:rPr>
      </w:pPr>
      <w:r w:rsidRPr="00AD50CC">
        <w:rPr>
          <w:rFonts w:ascii="Times New Roman" w:eastAsiaTheme="minorEastAsia" w:hAnsi="Times New Roman" w:cs="Times New Roman"/>
          <w:color w:val="000000" w:themeColor="text1"/>
          <w:sz w:val="24"/>
          <w:szCs w:val="24"/>
        </w:rPr>
        <w:t xml:space="preserve">Ferraro F., and Beunza, D. </w:t>
      </w:r>
      <w:r w:rsidRPr="00AD50CC">
        <w:rPr>
          <w:rFonts w:ascii="Times New Roman" w:hAnsi="Times New Roman" w:cs="Times New Roman"/>
          <w:color w:val="000000" w:themeColor="text1"/>
          <w:sz w:val="24"/>
          <w:szCs w:val="24"/>
        </w:rPr>
        <w:t>Why Talk? A Process Model of Dial</w:t>
      </w:r>
      <w:r w:rsidR="005C2CB4">
        <w:rPr>
          <w:rFonts w:ascii="Times New Roman" w:hAnsi="Times New Roman" w:cs="Times New Roman"/>
          <w:color w:val="000000" w:themeColor="text1"/>
          <w:sz w:val="24"/>
          <w:szCs w:val="24"/>
        </w:rPr>
        <w:t>ogue in Shareholder Engagement.</w:t>
      </w:r>
      <w:r w:rsidRPr="00AD50CC">
        <w:rPr>
          <w:rFonts w:ascii="Times New Roman" w:eastAsiaTheme="minorEastAsia" w:hAnsi="Times New Roman" w:cs="Times New Roman"/>
          <w:color w:val="000000" w:themeColor="text1"/>
          <w:sz w:val="24"/>
          <w:szCs w:val="24"/>
        </w:rPr>
        <w:t>http://papers.ssrn.com/sol3/papers.cfm?abstract_id=2419571</w:t>
      </w:r>
    </w:p>
    <w:p w14:paraId="1FFB9005" w14:textId="1CA1EC4E" w:rsidR="003910B3"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 xml:space="preserve">Finkelstein, S., Hambrick, D.C., 1990. Top management team tenure and organizational outcomes. Administrative Science Quarterly 35, 484-503. </w:t>
      </w:r>
    </w:p>
    <w:p w14:paraId="4A4E66CD" w14:textId="5F62D811" w:rsidR="00BE6353" w:rsidRPr="00BE6353" w:rsidRDefault="00BE6353" w:rsidP="003910B3">
      <w:pPr>
        <w:widowControl w:val="0"/>
        <w:autoSpaceDE w:val="0"/>
        <w:autoSpaceDN w:val="0"/>
        <w:adjustRightInd w:val="0"/>
        <w:spacing w:after="240" w:line="240" w:lineRule="auto"/>
        <w:ind w:left="567" w:hanging="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Fogarty, T.J., Rogers, R.K., 2005.  </w:t>
      </w:r>
      <w:r w:rsidRPr="00BE6353">
        <w:rPr>
          <w:rFonts w:ascii="Times New Roman" w:hAnsi="Times New Roman" w:cs="Times New Roman"/>
          <w:color w:val="000000" w:themeColor="text1"/>
          <w:sz w:val="24"/>
          <w:szCs w:val="24"/>
        </w:rPr>
        <w:t xml:space="preserve">Financial analysts' reports: </w:t>
      </w:r>
      <w:r w:rsidR="00A82423">
        <w:rPr>
          <w:rFonts w:ascii="Times New Roman" w:hAnsi="Times New Roman" w:cs="Times New Roman"/>
          <w:color w:val="000000" w:themeColor="text1"/>
          <w:sz w:val="24"/>
          <w:szCs w:val="24"/>
        </w:rPr>
        <w:t>A</w:t>
      </w:r>
      <w:r w:rsidRPr="00BE6353">
        <w:rPr>
          <w:rFonts w:ascii="Times New Roman" w:hAnsi="Times New Roman" w:cs="Times New Roman"/>
          <w:color w:val="000000" w:themeColor="text1"/>
          <w:sz w:val="24"/>
          <w:szCs w:val="24"/>
        </w:rPr>
        <w:t>n extended institutional theory evaluation</w:t>
      </w:r>
      <w:r w:rsidR="00A82423">
        <w:rPr>
          <w:rFonts w:ascii="Times New Roman" w:hAnsi="Times New Roman" w:cs="Times New Roman"/>
          <w:iCs/>
          <w:color w:val="000000" w:themeColor="text1"/>
          <w:sz w:val="24"/>
          <w:szCs w:val="24"/>
        </w:rPr>
        <w:t xml:space="preserve">. </w:t>
      </w:r>
      <w:r w:rsidRPr="00BE6353">
        <w:rPr>
          <w:rFonts w:ascii="Times New Roman" w:hAnsi="Times New Roman" w:cs="Times New Roman"/>
          <w:iCs/>
          <w:color w:val="000000" w:themeColor="text1"/>
          <w:sz w:val="24"/>
          <w:szCs w:val="24"/>
        </w:rPr>
        <w:t>Accounting, Organizations and Society</w:t>
      </w:r>
      <w:r w:rsidRPr="00BE6353">
        <w:rPr>
          <w:rFonts w:ascii="Times New Roman" w:hAnsi="Times New Roman" w:cs="Times New Roman"/>
          <w:color w:val="000000" w:themeColor="text1"/>
          <w:sz w:val="24"/>
          <w:szCs w:val="24"/>
        </w:rPr>
        <w:t xml:space="preserve"> </w:t>
      </w:r>
      <w:r w:rsidRPr="00BE6353">
        <w:rPr>
          <w:rFonts w:ascii="Times New Roman" w:hAnsi="Times New Roman" w:cs="Times New Roman"/>
          <w:iCs/>
          <w:color w:val="000000" w:themeColor="text1"/>
          <w:sz w:val="24"/>
          <w:szCs w:val="24"/>
        </w:rPr>
        <w:t>30</w:t>
      </w:r>
      <w:r w:rsidRPr="00BE6353">
        <w:rPr>
          <w:rFonts w:ascii="Times New Roman" w:hAnsi="Times New Roman" w:cs="Times New Roman"/>
          <w:color w:val="000000" w:themeColor="text1"/>
          <w:sz w:val="24"/>
          <w:szCs w:val="24"/>
        </w:rPr>
        <w:t xml:space="preserve">, </w:t>
      </w:r>
      <w:r w:rsidRPr="00BE6353">
        <w:rPr>
          <w:rFonts w:ascii="Times New Roman" w:hAnsi="Times New Roman" w:cs="Times New Roman"/>
          <w:iCs/>
          <w:color w:val="000000" w:themeColor="text1"/>
          <w:sz w:val="24"/>
          <w:szCs w:val="24"/>
        </w:rPr>
        <w:t>331-356.</w:t>
      </w:r>
    </w:p>
    <w:p w14:paraId="10D0CB17"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253BEB">
        <w:rPr>
          <w:rFonts w:ascii="Times New Roman" w:hAnsi="Times New Roman" w:cs="Times New Roman"/>
          <w:color w:val="000000" w:themeColor="text1"/>
          <w:sz w:val="24"/>
          <w:szCs w:val="24"/>
        </w:rPr>
        <w:t xml:space="preserve">Geletkanycz M.A., Hambrick, D.C., 1997. The external ties of top executives: implications for strategic choice and performance. Administrative Science </w:t>
      </w:r>
      <w:r w:rsidRPr="00DB6CED">
        <w:rPr>
          <w:rFonts w:ascii="Times New Roman" w:hAnsi="Times New Roman" w:cs="Times New Roman"/>
          <w:sz w:val="24"/>
          <w:szCs w:val="24"/>
        </w:rPr>
        <w:t xml:space="preserve">Quarterly 42, 654-681. </w:t>
      </w:r>
    </w:p>
    <w:p w14:paraId="350BD878"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Gilson, S., 2000. Analysts and information gaps: Lessons from the UAL buyout. Financial Analysts Journal 56, 82-110.</w:t>
      </w:r>
    </w:p>
    <w:p w14:paraId="227C4664" w14:textId="77777777" w:rsidR="003910B3" w:rsidRPr="00DB6CED" w:rsidRDefault="003910B3" w:rsidP="003910B3">
      <w:pPr>
        <w:spacing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 xml:space="preserve">Goergen, M., Renneboog, L., 2003. Why are the levels of control (so) different in German and UK companies? Evidence from initial public offerings. Journal of Law, Economics and Organization 19, 141-175. </w:t>
      </w:r>
    </w:p>
    <w:p w14:paraId="14A53928"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DB6CED">
        <w:rPr>
          <w:rFonts w:ascii="Times New Roman" w:eastAsiaTheme="minorEastAsia" w:hAnsi="Times New Roman" w:cs="Times New Roman"/>
          <w:color w:val="1A1A1A"/>
          <w:sz w:val="24"/>
          <w:szCs w:val="24"/>
        </w:rPr>
        <w:t xml:space="preserve">Gomes, </w:t>
      </w:r>
      <w:r>
        <w:rPr>
          <w:rFonts w:ascii="Times New Roman" w:eastAsiaTheme="minorEastAsia" w:hAnsi="Times New Roman" w:cs="Times New Roman"/>
          <w:color w:val="1A1A1A"/>
          <w:sz w:val="24"/>
          <w:szCs w:val="24"/>
        </w:rPr>
        <w:t>E., Angwin, D. N., Weber, Y., Yedidia Tarba, S., 2013</w:t>
      </w:r>
      <w:r w:rsidRPr="00DB6CED">
        <w:rPr>
          <w:rFonts w:ascii="Times New Roman" w:eastAsiaTheme="minorEastAsia" w:hAnsi="Times New Roman" w:cs="Times New Roman"/>
          <w:color w:val="1A1A1A"/>
          <w:sz w:val="24"/>
          <w:szCs w:val="24"/>
        </w:rPr>
        <w:t>. Critical Success Factors through the Mergers and Acquisitions Process: Revealing Pre</w:t>
      </w:r>
      <w:r w:rsidRPr="00DB6CED">
        <w:rPr>
          <w:rFonts w:ascii="Palatino Linotype" w:eastAsiaTheme="minorEastAsia" w:hAnsi="Palatino Linotype" w:cs="Palatino Linotype"/>
          <w:color w:val="1A1A1A"/>
          <w:sz w:val="24"/>
          <w:szCs w:val="24"/>
        </w:rPr>
        <w:t>‐</w:t>
      </w:r>
      <w:r w:rsidRPr="00DB6CED">
        <w:rPr>
          <w:rFonts w:ascii="Times New Roman" w:eastAsiaTheme="minorEastAsia" w:hAnsi="Times New Roman" w:cs="Times New Roman"/>
          <w:color w:val="1A1A1A"/>
          <w:sz w:val="24"/>
          <w:szCs w:val="24"/>
        </w:rPr>
        <w:t>and Post</w:t>
      </w:r>
      <w:r w:rsidRPr="00DB6CED">
        <w:rPr>
          <w:rFonts w:ascii="Palatino Linotype" w:eastAsiaTheme="minorEastAsia" w:hAnsi="Palatino Linotype" w:cs="Palatino Linotype"/>
          <w:color w:val="1A1A1A"/>
          <w:sz w:val="24"/>
          <w:szCs w:val="24"/>
        </w:rPr>
        <w:t>‐</w:t>
      </w:r>
      <w:r w:rsidRPr="00DB6CED">
        <w:rPr>
          <w:rFonts w:ascii="Times New Roman" w:eastAsiaTheme="minorEastAsia" w:hAnsi="Times New Roman" w:cs="Times New Roman"/>
          <w:color w:val="1A1A1A"/>
          <w:sz w:val="24"/>
          <w:szCs w:val="24"/>
        </w:rPr>
        <w:t>M&amp;A Connections for Improved Performance</w:t>
      </w:r>
      <w:r>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Cs/>
          <w:color w:val="1A1A1A"/>
          <w:sz w:val="24"/>
          <w:szCs w:val="24"/>
        </w:rPr>
        <w:t>Thunderbird international business review</w:t>
      </w:r>
      <w:r>
        <w:rPr>
          <w:rFonts w:ascii="Times New Roman" w:eastAsiaTheme="minorEastAsia" w:hAnsi="Times New Roman" w:cs="Times New Roman"/>
          <w:color w:val="1A1A1A"/>
          <w:sz w:val="24"/>
          <w:szCs w:val="24"/>
        </w:rPr>
        <w:t xml:space="preserve"> </w:t>
      </w:r>
      <w:r>
        <w:rPr>
          <w:rFonts w:ascii="Times New Roman" w:eastAsiaTheme="minorEastAsia" w:hAnsi="Times New Roman" w:cs="Times New Roman"/>
          <w:iCs/>
          <w:color w:val="1A1A1A"/>
          <w:sz w:val="24"/>
          <w:szCs w:val="24"/>
        </w:rPr>
        <w:t>55</w:t>
      </w:r>
      <w:r w:rsidRPr="00DB6CED">
        <w:rPr>
          <w:rFonts w:ascii="Times New Roman" w:eastAsiaTheme="minorEastAsia" w:hAnsi="Times New Roman" w:cs="Times New Roman"/>
          <w:color w:val="1A1A1A"/>
          <w:sz w:val="24"/>
          <w:szCs w:val="24"/>
        </w:rPr>
        <w:t>, 13-35.</w:t>
      </w:r>
    </w:p>
    <w:p w14:paraId="218E6A4E" w14:textId="3EEBAD59"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DB6CED">
        <w:rPr>
          <w:rFonts w:ascii="Times New Roman" w:eastAsiaTheme="minorEastAsia" w:hAnsi="Times New Roman" w:cs="Times New Roman"/>
          <w:color w:val="1A1A1A"/>
          <w:sz w:val="24"/>
          <w:szCs w:val="24"/>
        </w:rPr>
        <w:lastRenderedPageBreak/>
        <w:t>Gom</w:t>
      </w:r>
      <w:r>
        <w:rPr>
          <w:rFonts w:ascii="Times New Roman" w:eastAsiaTheme="minorEastAsia" w:hAnsi="Times New Roman" w:cs="Times New Roman"/>
          <w:color w:val="1A1A1A"/>
          <w:sz w:val="24"/>
          <w:szCs w:val="24"/>
        </w:rPr>
        <w:t xml:space="preserve">es, E., Angwin, D., Peter, E., </w:t>
      </w:r>
      <w:r w:rsidRPr="00DB6CED">
        <w:rPr>
          <w:rFonts w:ascii="Times New Roman" w:eastAsiaTheme="minorEastAsia" w:hAnsi="Times New Roman" w:cs="Times New Roman"/>
          <w:color w:val="1A1A1A"/>
          <w:sz w:val="24"/>
          <w:szCs w:val="24"/>
        </w:rPr>
        <w:t>Mellahi, K.</w:t>
      </w:r>
      <w:r>
        <w:rPr>
          <w:rFonts w:ascii="Times New Roman" w:eastAsiaTheme="minorEastAsia" w:hAnsi="Times New Roman" w:cs="Times New Roman"/>
          <w:color w:val="1A1A1A"/>
          <w:sz w:val="24"/>
          <w:szCs w:val="24"/>
        </w:rPr>
        <w:t>, 2012</w:t>
      </w:r>
      <w:r w:rsidRPr="00DB6CED">
        <w:rPr>
          <w:rFonts w:ascii="Times New Roman" w:eastAsiaTheme="minorEastAsia" w:hAnsi="Times New Roman" w:cs="Times New Roman"/>
          <w:color w:val="1A1A1A"/>
          <w:sz w:val="24"/>
          <w:szCs w:val="24"/>
        </w:rPr>
        <w:t xml:space="preserve">. HRM issues and outcomes in African mergers and acquisitions: a study of the Nigerian banking sector. </w:t>
      </w:r>
      <w:r w:rsidRPr="001D4CDE">
        <w:rPr>
          <w:rFonts w:ascii="Times New Roman" w:eastAsiaTheme="minorEastAsia" w:hAnsi="Times New Roman" w:cs="Times New Roman"/>
          <w:iCs/>
          <w:color w:val="1A1A1A"/>
          <w:sz w:val="24"/>
          <w:szCs w:val="24"/>
        </w:rPr>
        <w:t>The International Journal of Human Resource Management</w:t>
      </w:r>
      <w:r>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Cs/>
          <w:color w:val="1A1A1A"/>
          <w:sz w:val="24"/>
          <w:szCs w:val="24"/>
        </w:rPr>
        <w:t>23</w:t>
      </w:r>
      <w:r w:rsidRPr="00DB6CED">
        <w:rPr>
          <w:rFonts w:ascii="Times New Roman" w:eastAsiaTheme="minorEastAsia" w:hAnsi="Times New Roman" w:cs="Times New Roman"/>
          <w:color w:val="1A1A1A"/>
          <w:sz w:val="24"/>
          <w:szCs w:val="24"/>
        </w:rPr>
        <w:t>, 2874-2900.</w:t>
      </w:r>
    </w:p>
    <w:p w14:paraId="6F9103B5" w14:textId="4CF42BD2"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Graffin, S.D., Carpenter, M.A., </w:t>
      </w:r>
      <w:r w:rsidRPr="00DB6CED">
        <w:rPr>
          <w:rFonts w:ascii="Times New Roman" w:eastAsiaTheme="minorEastAsia" w:hAnsi="Times New Roman" w:cs="Times New Roman"/>
          <w:color w:val="1A1A1A"/>
          <w:sz w:val="24"/>
          <w:szCs w:val="24"/>
        </w:rPr>
        <w:t>Boivie, S.</w:t>
      </w:r>
      <w:r>
        <w:rPr>
          <w:rFonts w:ascii="Times New Roman" w:eastAsiaTheme="minorEastAsia" w:hAnsi="Times New Roman" w:cs="Times New Roman"/>
          <w:color w:val="1A1A1A"/>
          <w:sz w:val="24"/>
          <w:szCs w:val="24"/>
        </w:rPr>
        <w:t>, 2011</w:t>
      </w:r>
      <w:r w:rsidRPr="00DB6CED">
        <w:rPr>
          <w:rFonts w:ascii="Times New Roman" w:eastAsiaTheme="minorEastAsia" w:hAnsi="Times New Roman" w:cs="Times New Roman"/>
          <w:color w:val="1A1A1A"/>
          <w:sz w:val="24"/>
          <w:szCs w:val="24"/>
        </w:rPr>
        <w:t xml:space="preserve">. What's all that (strategic) noise? anticipatory impression management in CEO succession. </w:t>
      </w:r>
      <w:r w:rsidRPr="001D4CDE">
        <w:rPr>
          <w:rFonts w:ascii="Times New Roman" w:eastAsiaTheme="minorEastAsia" w:hAnsi="Times New Roman" w:cs="Times New Roman"/>
          <w:iCs/>
          <w:color w:val="1A1A1A"/>
          <w:sz w:val="24"/>
          <w:szCs w:val="24"/>
        </w:rPr>
        <w:t>Strategic Management Journal</w:t>
      </w:r>
      <w:r w:rsidRPr="001D4CDE">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Cs/>
          <w:color w:val="1A1A1A"/>
          <w:sz w:val="24"/>
          <w:szCs w:val="24"/>
        </w:rPr>
        <w:t>32</w:t>
      </w:r>
      <w:r w:rsidRPr="00DB6CED">
        <w:rPr>
          <w:rFonts w:ascii="Times New Roman" w:eastAsiaTheme="minorEastAsia" w:hAnsi="Times New Roman" w:cs="Times New Roman"/>
          <w:color w:val="1A1A1A"/>
          <w:sz w:val="24"/>
          <w:szCs w:val="24"/>
        </w:rPr>
        <w:t>, 748-770.</w:t>
      </w:r>
    </w:p>
    <w:p w14:paraId="29481AA3" w14:textId="4E4206C8"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DB6CED">
        <w:rPr>
          <w:rFonts w:ascii="Times New Roman" w:eastAsiaTheme="minorEastAsia" w:hAnsi="Times New Roman" w:cs="Times New Roman"/>
          <w:color w:val="1A1A1A"/>
          <w:sz w:val="24"/>
          <w:szCs w:val="24"/>
        </w:rPr>
        <w:t>Graffi</w:t>
      </w:r>
      <w:r>
        <w:rPr>
          <w:rFonts w:ascii="Times New Roman" w:eastAsiaTheme="minorEastAsia" w:hAnsi="Times New Roman" w:cs="Times New Roman"/>
          <w:color w:val="1A1A1A"/>
          <w:sz w:val="24"/>
          <w:szCs w:val="24"/>
        </w:rPr>
        <w:t>n, S.</w:t>
      </w:r>
      <w:r w:rsidRPr="00DB6CED">
        <w:rPr>
          <w:rFonts w:ascii="Times New Roman" w:eastAsiaTheme="minorEastAsia" w:hAnsi="Times New Roman" w:cs="Times New Roman"/>
          <w:color w:val="1A1A1A"/>
          <w:sz w:val="24"/>
          <w:szCs w:val="24"/>
        </w:rPr>
        <w:t xml:space="preserve">D., </w:t>
      </w:r>
      <w:r>
        <w:rPr>
          <w:rFonts w:ascii="Times New Roman" w:eastAsiaTheme="minorEastAsia" w:hAnsi="Times New Roman" w:cs="Times New Roman"/>
          <w:color w:val="1A1A1A"/>
          <w:sz w:val="24"/>
          <w:szCs w:val="24"/>
        </w:rPr>
        <w:t>Ward, A.</w:t>
      </w:r>
      <w:r w:rsidRPr="00DB6CED">
        <w:rPr>
          <w:rFonts w:ascii="Times New Roman" w:eastAsiaTheme="minorEastAsia" w:hAnsi="Times New Roman" w:cs="Times New Roman"/>
          <w:color w:val="1A1A1A"/>
          <w:sz w:val="24"/>
          <w:szCs w:val="24"/>
        </w:rPr>
        <w:t>J.</w:t>
      </w:r>
      <w:r>
        <w:rPr>
          <w:rFonts w:ascii="Times New Roman" w:eastAsiaTheme="minorEastAsia" w:hAnsi="Times New Roman" w:cs="Times New Roman"/>
          <w:color w:val="1A1A1A"/>
          <w:sz w:val="24"/>
          <w:szCs w:val="24"/>
        </w:rPr>
        <w:t>, 2010</w:t>
      </w:r>
      <w:r w:rsidRPr="00DB6CED">
        <w:rPr>
          <w:rFonts w:ascii="Times New Roman" w:eastAsiaTheme="minorEastAsia" w:hAnsi="Times New Roman" w:cs="Times New Roman"/>
          <w:color w:val="1A1A1A"/>
          <w:sz w:val="24"/>
          <w:szCs w:val="24"/>
        </w:rPr>
        <w:t xml:space="preserve">. Certifications and reputation: Determining the standard of desirability amidst uncertainty. </w:t>
      </w:r>
      <w:r w:rsidRPr="001D4CDE">
        <w:rPr>
          <w:rFonts w:ascii="Times New Roman" w:eastAsiaTheme="minorEastAsia" w:hAnsi="Times New Roman" w:cs="Times New Roman"/>
          <w:iCs/>
          <w:color w:val="1A1A1A"/>
          <w:sz w:val="24"/>
          <w:szCs w:val="24"/>
        </w:rPr>
        <w:t>Organization Science</w:t>
      </w:r>
      <w:r w:rsidRPr="001D4CDE">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Cs/>
          <w:color w:val="1A1A1A"/>
          <w:sz w:val="24"/>
          <w:szCs w:val="24"/>
        </w:rPr>
        <w:t>21</w:t>
      </w:r>
      <w:r w:rsidRPr="00DB6CED">
        <w:rPr>
          <w:rFonts w:ascii="Times New Roman" w:eastAsiaTheme="minorEastAsia" w:hAnsi="Times New Roman" w:cs="Times New Roman"/>
          <w:color w:val="1A1A1A"/>
          <w:sz w:val="24"/>
          <w:szCs w:val="24"/>
        </w:rPr>
        <w:t>, 331-346.</w:t>
      </w:r>
    </w:p>
    <w:p w14:paraId="4E3297A3"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eastAsiaTheme="minorEastAsia" w:hAnsi="Times New Roman" w:cs="Times New Roman"/>
          <w:color w:val="1A1A1A"/>
          <w:sz w:val="24"/>
          <w:szCs w:val="24"/>
        </w:rPr>
        <w:t>Hair, J. F., T</w:t>
      </w:r>
      <w:r>
        <w:rPr>
          <w:rFonts w:ascii="Times New Roman" w:eastAsiaTheme="minorEastAsia" w:hAnsi="Times New Roman" w:cs="Times New Roman"/>
          <w:color w:val="1A1A1A"/>
          <w:sz w:val="24"/>
          <w:szCs w:val="24"/>
        </w:rPr>
        <w:t xml:space="preserve">atham, R. L., Anderson, R. E., </w:t>
      </w:r>
      <w:r w:rsidRPr="00DB6CED">
        <w:rPr>
          <w:rFonts w:ascii="Times New Roman" w:eastAsiaTheme="minorEastAsia" w:hAnsi="Times New Roman" w:cs="Times New Roman"/>
          <w:color w:val="1A1A1A"/>
          <w:sz w:val="24"/>
          <w:szCs w:val="24"/>
        </w:rPr>
        <w:t>Black, W.</w:t>
      </w:r>
      <w:r>
        <w:rPr>
          <w:rFonts w:ascii="Times New Roman" w:eastAsiaTheme="minorEastAsia" w:hAnsi="Times New Roman" w:cs="Times New Roman"/>
          <w:color w:val="1A1A1A"/>
          <w:sz w:val="24"/>
          <w:szCs w:val="24"/>
        </w:rPr>
        <w:t>, 2006</w:t>
      </w:r>
      <w:r w:rsidRPr="00DB6CED">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
          <w:iCs/>
          <w:color w:val="1A1A1A"/>
          <w:sz w:val="24"/>
          <w:szCs w:val="24"/>
        </w:rPr>
        <w:t>Multivariate data analysis</w:t>
      </w:r>
      <w:r w:rsidRPr="00DB6CED">
        <w:rPr>
          <w:rFonts w:ascii="Times New Roman" w:eastAsiaTheme="minorEastAsia" w:hAnsi="Times New Roman" w:cs="Times New Roman"/>
          <w:color w:val="1A1A1A"/>
          <w:sz w:val="24"/>
          <w:szCs w:val="24"/>
        </w:rPr>
        <w:t xml:space="preserve"> (Vol. 6). Upper Saddle River, NJ: Pearson Prentice Hall.</w:t>
      </w:r>
    </w:p>
    <w:p w14:paraId="05F01971" w14:textId="560B0B49"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Haleblian, J., Devers, C.</w:t>
      </w:r>
      <w:r w:rsidRPr="00DB6CED">
        <w:rPr>
          <w:rFonts w:ascii="Times New Roman" w:eastAsiaTheme="minorEastAsia" w:hAnsi="Times New Roman" w:cs="Times New Roman"/>
          <w:color w:val="1A1A1A"/>
          <w:sz w:val="24"/>
          <w:szCs w:val="24"/>
        </w:rPr>
        <w:t>E., McNamara, G., Carpenter, M</w:t>
      </w:r>
      <w:r>
        <w:rPr>
          <w:rFonts w:ascii="Times New Roman" w:eastAsiaTheme="minorEastAsia" w:hAnsi="Times New Roman" w:cs="Times New Roman"/>
          <w:color w:val="1A1A1A"/>
          <w:sz w:val="24"/>
          <w:szCs w:val="24"/>
        </w:rPr>
        <w:t>. A., Davison, R.B., 2009</w:t>
      </w:r>
      <w:r w:rsidRPr="00DB6CED">
        <w:rPr>
          <w:rFonts w:ascii="Times New Roman" w:eastAsiaTheme="minorEastAsia" w:hAnsi="Times New Roman" w:cs="Times New Roman"/>
          <w:color w:val="1A1A1A"/>
          <w:sz w:val="24"/>
          <w:szCs w:val="24"/>
        </w:rPr>
        <w:t xml:space="preserve">. Taking stock of what we know about mergers and acquisitions: A review and research agenda. </w:t>
      </w:r>
      <w:r w:rsidRPr="001D4CDE">
        <w:rPr>
          <w:rFonts w:ascii="Times New Roman" w:eastAsiaTheme="minorEastAsia" w:hAnsi="Times New Roman" w:cs="Times New Roman"/>
          <w:iCs/>
          <w:color w:val="1A1A1A"/>
          <w:sz w:val="24"/>
          <w:szCs w:val="24"/>
        </w:rPr>
        <w:t>Journal of Management</w:t>
      </w:r>
      <w:r w:rsidR="0010572E">
        <w:rPr>
          <w:rFonts w:ascii="Times New Roman" w:eastAsiaTheme="minorEastAsia" w:hAnsi="Times New Roman" w:cs="Times New Roman"/>
          <w:color w:val="1A1A1A"/>
          <w:sz w:val="24"/>
          <w:szCs w:val="24"/>
        </w:rPr>
        <w:t xml:space="preserve"> 35, 469-502.</w:t>
      </w:r>
    </w:p>
    <w:p w14:paraId="670CB3A1" w14:textId="00BCC731"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DB6CED">
        <w:rPr>
          <w:rFonts w:ascii="Times New Roman" w:eastAsiaTheme="minorEastAsia" w:hAnsi="Times New Roman" w:cs="Times New Roman"/>
          <w:color w:val="1A1A1A"/>
          <w:sz w:val="24"/>
          <w:szCs w:val="24"/>
        </w:rPr>
        <w:t xml:space="preserve">Haleblian, </w:t>
      </w:r>
      <w:r>
        <w:rPr>
          <w:rFonts w:ascii="Times New Roman" w:eastAsiaTheme="minorEastAsia" w:hAnsi="Times New Roman" w:cs="Times New Roman"/>
          <w:color w:val="1A1A1A"/>
          <w:sz w:val="24"/>
          <w:szCs w:val="24"/>
        </w:rPr>
        <w:t>J.,</w:t>
      </w:r>
      <w:r w:rsidRPr="00DB6CED">
        <w:rPr>
          <w:rFonts w:ascii="Times New Roman" w:eastAsiaTheme="minorEastAsia" w:hAnsi="Times New Roman" w:cs="Times New Roman"/>
          <w:color w:val="1A1A1A"/>
          <w:sz w:val="24"/>
          <w:szCs w:val="24"/>
        </w:rPr>
        <w:t xml:space="preserve"> Rajagopalan, N.</w:t>
      </w:r>
      <w:r>
        <w:rPr>
          <w:rFonts w:ascii="Times New Roman" w:eastAsiaTheme="minorEastAsia" w:hAnsi="Times New Roman" w:cs="Times New Roman"/>
          <w:color w:val="1A1A1A"/>
          <w:sz w:val="24"/>
          <w:szCs w:val="24"/>
        </w:rPr>
        <w:t>, 2006</w:t>
      </w:r>
      <w:r w:rsidRPr="00DB6CED">
        <w:rPr>
          <w:rFonts w:ascii="Times New Roman" w:eastAsiaTheme="minorEastAsia" w:hAnsi="Times New Roman" w:cs="Times New Roman"/>
          <w:color w:val="1A1A1A"/>
          <w:sz w:val="24"/>
          <w:szCs w:val="24"/>
        </w:rPr>
        <w:t xml:space="preserve">. A cognitive model of CEO dismissal: Understanding the influence of board perceptions, attributions and efficacy beliefs. </w:t>
      </w:r>
      <w:r w:rsidRPr="001D4CDE">
        <w:rPr>
          <w:rFonts w:ascii="Times New Roman" w:eastAsiaTheme="minorEastAsia" w:hAnsi="Times New Roman" w:cs="Times New Roman"/>
          <w:iCs/>
          <w:color w:val="1A1A1A"/>
          <w:sz w:val="24"/>
          <w:szCs w:val="24"/>
        </w:rPr>
        <w:t xml:space="preserve">Journal of Management </w:t>
      </w:r>
      <w:r w:rsidR="0010572E">
        <w:rPr>
          <w:rFonts w:ascii="Times New Roman" w:eastAsiaTheme="minorEastAsia" w:hAnsi="Times New Roman" w:cs="Times New Roman"/>
          <w:iCs/>
          <w:color w:val="1A1A1A"/>
          <w:sz w:val="24"/>
          <w:szCs w:val="24"/>
        </w:rPr>
        <w:t>S</w:t>
      </w:r>
      <w:r w:rsidRPr="001D4CDE">
        <w:rPr>
          <w:rFonts w:ascii="Times New Roman" w:eastAsiaTheme="minorEastAsia" w:hAnsi="Times New Roman" w:cs="Times New Roman"/>
          <w:iCs/>
          <w:color w:val="1A1A1A"/>
          <w:sz w:val="24"/>
          <w:szCs w:val="24"/>
        </w:rPr>
        <w:t>tudies</w:t>
      </w:r>
      <w:r>
        <w:rPr>
          <w:rFonts w:ascii="Times New Roman" w:eastAsiaTheme="minorEastAsia" w:hAnsi="Times New Roman" w:cs="Times New Roman"/>
          <w:color w:val="1A1A1A"/>
          <w:sz w:val="24"/>
          <w:szCs w:val="24"/>
        </w:rPr>
        <w:t xml:space="preserve"> </w:t>
      </w:r>
      <w:r w:rsidRPr="001D4CDE">
        <w:rPr>
          <w:rFonts w:ascii="Times New Roman" w:eastAsiaTheme="minorEastAsia" w:hAnsi="Times New Roman" w:cs="Times New Roman"/>
          <w:iCs/>
          <w:color w:val="1A1A1A"/>
          <w:sz w:val="24"/>
          <w:szCs w:val="24"/>
        </w:rPr>
        <w:t>43</w:t>
      </w:r>
      <w:r w:rsidRPr="00DB6CED">
        <w:rPr>
          <w:rFonts w:ascii="Times New Roman" w:eastAsiaTheme="minorEastAsia" w:hAnsi="Times New Roman" w:cs="Times New Roman"/>
          <w:color w:val="1A1A1A"/>
          <w:sz w:val="24"/>
          <w:szCs w:val="24"/>
        </w:rPr>
        <w:t>, 1009-1026.</w:t>
      </w:r>
    </w:p>
    <w:p w14:paraId="6D540E70"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Haynes, K.T., Hillman, A.</w:t>
      </w:r>
      <w:r>
        <w:rPr>
          <w:rFonts w:ascii="Times New Roman" w:hAnsi="Times New Roman" w:cs="Times New Roman"/>
          <w:sz w:val="24"/>
          <w:szCs w:val="24"/>
        </w:rPr>
        <w:t>,</w:t>
      </w:r>
      <w:r w:rsidRPr="00DB6CED">
        <w:rPr>
          <w:rFonts w:ascii="Times New Roman" w:hAnsi="Times New Roman" w:cs="Times New Roman"/>
          <w:sz w:val="24"/>
          <w:szCs w:val="24"/>
        </w:rPr>
        <w:t xml:space="preserve"> 2010. The effect of board capital and CEO power on strategic change. Strategic Management Journal 31, 1145-1163. </w:t>
      </w:r>
    </w:p>
    <w:p w14:paraId="4CBACE8E" w14:textId="43A59A08" w:rsidR="003910B3" w:rsidRPr="00DB6CED" w:rsidRDefault="003910B3" w:rsidP="003910B3">
      <w:pPr>
        <w:widowControl w:val="0"/>
        <w:spacing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Healy, P.M., Palepu, K.</w:t>
      </w:r>
      <w:r w:rsidRPr="00DB6CED">
        <w:rPr>
          <w:rFonts w:ascii="Times New Roman" w:eastAsiaTheme="minorEastAsia" w:hAnsi="Times New Roman" w:cs="Times New Roman"/>
          <w:color w:val="1A1A1A"/>
          <w:sz w:val="24"/>
          <w:szCs w:val="24"/>
        </w:rPr>
        <w:t>G.</w:t>
      </w:r>
      <w:r>
        <w:rPr>
          <w:rFonts w:ascii="Times New Roman" w:eastAsiaTheme="minorEastAsia" w:hAnsi="Times New Roman" w:cs="Times New Roman"/>
          <w:color w:val="1A1A1A"/>
          <w:sz w:val="24"/>
          <w:szCs w:val="24"/>
        </w:rPr>
        <w:t>, 2001</w:t>
      </w:r>
      <w:r w:rsidRPr="00DB6CED">
        <w:rPr>
          <w:rFonts w:ascii="Times New Roman" w:eastAsiaTheme="minorEastAsia" w:hAnsi="Times New Roman" w:cs="Times New Roman"/>
          <w:color w:val="1A1A1A"/>
          <w:sz w:val="24"/>
          <w:szCs w:val="24"/>
        </w:rPr>
        <w:t xml:space="preserve">. Information asymmetry, corporate disclosure, and the capital markets: A review of the empirical disclosure literature. </w:t>
      </w:r>
      <w:r w:rsidRPr="001E72C4">
        <w:rPr>
          <w:rFonts w:ascii="Times New Roman" w:eastAsiaTheme="minorEastAsia" w:hAnsi="Times New Roman" w:cs="Times New Roman"/>
          <w:iCs/>
          <w:color w:val="1A1A1A"/>
          <w:sz w:val="24"/>
          <w:szCs w:val="24"/>
        </w:rPr>
        <w:t>Journal of accounting and economics</w:t>
      </w:r>
      <w:r w:rsidRPr="001E72C4">
        <w:rPr>
          <w:rFonts w:ascii="Times New Roman" w:eastAsiaTheme="minorEastAsia" w:hAnsi="Times New Roman" w:cs="Times New Roman"/>
          <w:color w:val="1A1A1A"/>
          <w:sz w:val="24"/>
          <w:szCs w:val="24"/>
        </w:rPr>
        <w:t xml:space="preserve"> </w:t>
      </w:r>
      <w:r w:rsidRPr="001E72C4">
        <w:rPr>
          <w:rFonts w:ascii="Times New Roman" w:eastAsiaTheme="minorEastAsia" w:hAnsi="Times New Roman" w:cs="Times New Roman"/>
          <w:iCs/>
          <w:color w:val="1A1A1A"/>
          <w:sz w:val="24"/>
          <w:szCs w:val="24"/>
        </w:rPr>
        <w:t>31</w:t>
      </w:r>
      <w:r w:rsidRPr="00DB6CED">
        <w:rPr>
          <w:rFonts w:ascii="Times New Roman" w:eastAsiaTheme="minorEastAsia" w:hAnsi="Times New Roman" w:cs="Times New Roman"/>
          <w:color w:val="1A1A1A"/>
          <w:sz w:val="24"/>
          <w:szCs w:val="24"/>
        </w:rPr>
        <w:t>, 405-440.</w:t>
      </w:r>
    </w:p>
    <w:p w14:paraId="2506EFEB" w14:textId="7DB3C715" w:rsidR="00BD45E2" w:rsidRDefault="00BD45E2"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Hong, H., Kubik, J.D., Solomon, A.</w:t>
      </w:r>
      <w:r w:rsidR="00A82423">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2000</w:t>
      </w:r>
      <w:r w:rsidR="00A82423">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Pr="00BD45E2">
        <w:rPr>
          <w:rFonts w:ascii="Times New Roman" w:hAnsi="Times New Roman" w:cs="Times New Roman"/>
          <w:color w:val="000000" w:themeColor="text1"/>
          <w:sz w:val="24"/>
          <w:szCs w:val="24"/>
          <w:lang w:val="en-GB"/>
        </w:rPr>
        <w:t xml:space="preserve">Security </w:t>
      </w:r>
      <w:r w:rsidR="00A82423">
        <w:rPr>
          <w:rFonts w:ascii="Times New Roman" w:hAnsi="Times New Roman" w:cs="Times New Roman"/>
          <w:color w:val="000000" w:themeColor="text1"/>
          <w:sz w:val="24"/>
          <w:szCs w:val="24"/>
          <w:lang w:val="en-GB"/>
        </w:rPr>
        <w:t>a</w:t>
      </w:r>
      <w:r w:rsidRPr="00BD45E2">
        <w:rPr>
          <w:rFonts w:ascii="Times New Roman" w:hAnsi="Times New Roman" w:cs="Times New Roman"/>
          <w:color w:val="000000" w:themeColor="text1"/>
          <w:sz w:val="24"/>
          <w:szCs w:val="24"/>
          <w:lang w:val="en-GB"/>
        </w:rPr>
        <w:t xml:space="preserve">nalysts' </w:t>
      </w:r>
      <w:r w:rsidR="00A82423">
        <w:rPr>
          <w:rFonts w:ascii="Times New Roman" w:hAnsi="Times New Roman" w:cs="Times New Roman"/>
          <w:color w:val="000000" w:themeColor="text1"/>
          <w:sz w:val="24"/>
          <w:szCs w:val="24"/>
          <w:lang w:val="en-GB"/>
        </w:rPr>
        <w:t>c</w:t>
      </w:r>
      <w:r w:rsidRPr="00BD45E2">
        <w:rPr>
          <w:rFonts w:ascii="Times New Roman" w:hAnsi="Times New Roman" w:cs="Times New Roman"/>
          <w:color w:val="000000" w:themeColor="text1"/>
          <w:sz w:val="24"/>
          <w:szCs w:val="24"/>
          <w:lang w:val="en-GB"/>
        </w:rPr>
        <w:t xml:space="preserve">areer </w:t>
      </w:r>
      <w:r w:rsidR="00A82423">
        <w:rPr>
          <w:rFonts w:ascii="Times New Roman" w:hAnsi="Times New Roman" w:cs="Times New Roman"/>
          <w:color w:val="000000" w:themeColor="text1"/>
          <w:sz w:val="24"/>
          <w:szCs w:val="24"/>
          <w:lang w:val="en-GB"/>
        </w:rPr>
        <w:t>c</w:t>
      </w:r>
      <w:r w:rsidRPr="00BD45E2">
        <w:rPr>
          <w:rFonts w:ascii="Times New Roman" w:hAnsi="Times New Roman" w:cs="Times New Roman"/>
          <w:color w:val="000000" w:themeColor="text1"/>
          <w:sz w:val="24"/>
          <w:szCs w:val="24"/>
          <w:lang w:val="en-GB"/>
        </w:rPr>
        <w:t xml:space="preserve">oncerns and </w:t>
      </w:r>
      <w:r w:rsidR="00A82423">
        <w:rPr>
          <w:rFonts w:ascii="Times New Roman" w:hAnsi="Times New Roman" w:cs="Times New Roman"/>
          <w:color w:val="000000" w:themeColor="text1"/>
          <w:sz w:val="24"/>
          <w:szCs w:val="24"/>
          <w:lang w:val="en-GB"/>
        </w:rPr>
        <w:t>h</w:t>
      </w:r>
      <w:r w:rsidRPr="00BD45E2">
        <w:rPr>
          <w:rFonts w:ascii="Times New Roman" w:hAnsi="Times New Roman" w:cs="Times New Roman"/>
          <w:color w:val="000000" w:themeColor="text1"/>
          <w:sz w:val="24"/>
          <w:szCs w:val="24"/>
          <w:lang w:val="en-GB"/>
        </w:rPr>
        <w:t xml:space="preserve">erding of </w:t>
      </w:r>
      <w:r w:rsidR="00A82423">
        <w:rPr>
          <w:rFonts w:ascii="Times New Roman" w:hAnsi="Times New Roman" w:cs="Times New Roman"/>
          <w:color w:val="000000" w:themeColor="text1"/>
          <w:sz w:val="24"/>
          <w:szCs w:val="24"/>
          <w:lang w:val="en-GB"/>
        </w:rPr>
        <w:t>e</w:t>
      </w:r>
      <w:r w:rsidRPr="00BD45E2">
        <w:rPr>
          <w:rFonts w:ascii="Times New Roman" w:hAnsi="Times New Roman" w:cs="Times New Roman"/>
          <w:color w:val="000000" w:themeColor="text1"/>
          <w:sz w:val="24"/>
          <w:szCs w:val="24"/>
          <w:lang w:val="en-GB"/>
        </w:rPr>
        <w:t xml:space="preserve">arnings </w:t>
      </w:r>
      <w:r w:rsidR="00A82423">
        <w:rPr>
          <w:rFonts w:ascii="Times New Roman" w:hAnsi="Times New Roman" w:cs="Times New Roman"/>
          <w:color w:val="000000" w:themeColor="text1"/>
          <w:sz w:val="24"/>
          <w:szCs w:val="24"/>
          <w:lang w:val="en-GB"/>
        </w:rPr>
        <w:t>f</w:t>
      </w:r>
      <w:r w:rsidRPr="00BD45E2">
        <w:rPr>
          <w:rFonts w:ascii="Times New Roman" w:hAnsi="Times New Roman" w:cs="Times New Roman"/>
          <w:color w:val="000000" w:themeColor="text1"/>
          <w:sz w:val="24"/>
          <w:szCs w:val="24"/>
          <w:lang w:val="en-GB"/>
        </w:rPr>
        <w:t>orecasts</w:t>
      </w:r>
      <w:r>
        <w:rPr>
          <w:rFonts w:ascii="Times New Roman" w:hAnsi="Times New Roman" w:cs="Times New Roman"/>
          <w:color w:val="000000" w:themeColor="text1"/>
          <w:sz w:val="24"/>
          <w:szCs w:val="24"/>
          <w:lang w:val="en-GB"/>
        </w:rPr>
        <w:t xml:space="preserve">, </w:t>
      </w:r>
      <w:r w:rsidRPr="009C6556">
        <w:rPr>
          <w:rFonts w:ascii="Times New Roman" w:hAnsi="Times New Roman" w:cs="Times New Roman"/>
          <w:iCs/>
          <w:color w:val="000000" w:themeColor="text1"/>
          <w:sz w:val="24"/>
          <w:szCs w:val="24"/>
          <w:lang w:val="en-GB"/>
        </w:rPr>
        <w:t>The RAND Journal of Economics</w:t>
      </w:r>
      <w:r>
        <w:rPr>
          <w:rFonts w:ascii="Times New Roman" w:hAnsi="Times New Roman" w:cs="Times New Roman"/>
          <w:i/>
          <w:iCs/>
          <w:color w:val="000000" w:themeColor="text1"/>
          <w:sz w:val="24"/>
          <w:szCs w:val="24"/>
          <w:lang w:val="en-GB"/>
        </w:rPr>
        <w:t xml:space="preserve"> </w:t>
      </w:r>
      <w:r w:rsidRPr="00BD45E2">
        <w:rPr>
          <w:rFonts w:ascii="Times New Roman" w:hAnsi="Times New Roman" w:cs="Times New Roman"/>
          <w:color w:val="000000" w:themeColor="text1"/>
          <w:sz w:val="24"/>
          <w:szCs w:val="24"/>
          <w:lang w:val="en-GB"/>
        </w:rPr>
        <w:t>31</w:t>
      </w:r>
      <w:r>
        <w:rPr>
          <w:rFonts w:ascii="Times New Roman" w:hAnsi="Times New Roman" w:cs="Times New Roman"/>
          <w:color w:val="000000" w:themeColor="text1"/>
          <w:sz w:val="24"/>
          <w:szCs w:val="24"/>
          <w:lang w:val="en-GB"/>
        </w:rPr>
        <w:t>,</w:t>
      </w:r>
      <w:r w:rsidRPr="00BD45E2">
        <w:rPr>
          <w:rFonts w:ascii="Times New Roman" w:hAnsi="Times New Roman" w:cs="Times New Roman"/>
          <w:color w:val="000000" w:themeColor="text1"/>
          <w:sz w:val="24"/>
          <w:szCs w:val="24"/>
          <w:lang w:val="en-GB"/>
        </w:rPr>
        <w:t xml:space="preserve"> 121-144</w:t>
      </w:r>
      <w:r>
        <w:rPr>
          <w:rFonts w:ascii="Times New Roman" w:hAnsi="Times New Roman" w:cs="Times New Roman"/>
          <w:color w:val="000000" w:themeColor="text1"/>
          <w:sz w:val="24"/>
          <w:szCs w:val="24"/>
          <w:lang w:val="en-GB"/>
        </w:rPr>
        <w:t>.</w:t>
      </w:r>
    </w:p>
    <w:p w14:paraId="2B8B2170" w14:textId="2F68AC93" w:rsidR="00BE6353" w:rsidRPr="00BE6353" w:rsidRDefault="00BE635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0D40EB">
        <w:rPr>
          <w:rFonts w:ascii="Times New Roman" w:hAnsi="Times New Roman" w:cs="Times New Roman"/>
          <w:color w:val="000000" w:themeColor="text1"/>
          <w:sz w:val="24"/>
          <w:szCs w:val="24"/>
        </w:rPr>
        <w:t>Kadan, O.</w:t>
      </w:r>
      <w:r w:rsidRPr="000D40EB">
        <w:rPr>
          <w:rFonts w:ascii="Times New Roman" w:eastAsia="Times New Roman" w:hAnsi="Times New Roman" w:cs="Times New Roman"/>
          <w:bCs/>
          <w:color w:val="000000" w:themeColor="text1"/>
          <w:sz w:val="24"/>
          <w:szCs w:val="24"/>
          <w:lang w:val="en-GB" w:eastAsia="en-GB"/>
        </w:rPr>
        <w:t>, </w:t>
      </w:r>
      <w:hyperlink r:id="rId10" w:history="1">
        <w:r w:rsidRPr="000D40EB">
          <w:rPr>
            <w:rStyle w:val="Hyperlink"/>
            <w:rFonts w:ascii="Times New Roman" w:eastAsia="Times New Roman" w:hAnsi="Times New Roman"/>
            <w:bCs/>
            <w:color w:val="000000" w:themeColor="text1"/>
            <w:sz w:val="24"/>
            <w:szCs w:val="24"/>
            <w:u w:val="none"/>
            <w:lang w:val="en-GB" w:eastAsia="en-GB"/>
          </w:rPr>
          <w:t>Madureira</w:t>
        </w:r>
      </w:hyperlink>
      <w:r w:rsidRPr="000D40EB">
        <w:rPr>
          <w:rFonts w:ascii="Times New Roman" w:eastAsia="Times New Roman" w:hAnsi="Times New Roman" w:cs="Times New Roman"/>
          <w:bCs/>
          <w:color w:val="000000" w:themeColor="text1"/>
          <w:sz w:val="24"/>
          <w:szCs w:val="24"/>
          <w:lang w:val="en-GB" w:eastAsia="en-GB"/>
        </w:rPr>
        <w:t>, L., Wang, R., Zach, T.</w:t>
      </w:r>
      <w:r w:rsidR="00A82423" w:rsidRPr="000D40EB">
        <w:rPr>
          <w:rFonts w:ascii="Times New Roman" w:eastAsia="Times New Roman" w:hAnsi="Times New Roman" w:cs="Times New Roman"/>
          <w:bCs/>
          <w:color w:val="000000" w:themeColor="text1"/>
          <w:sz w:val="24"/>
          <w:szCs w:val="24"/>
          <w:lang w:val="en-GB" w:eastAsia="en-GB"/>
        </w:rPr>
        <w:t>,</w:t>
      </w:r>
      <w:r w:rsidRPr="000D40EB">
        <w:rPr>
          <w:rFonts w:ascii="Times New Roman" w:eastAsia="Times New Roman" w:hAnsi="Times New Roman" w:cs="Times New Roman"/>
          <w:bCs/>
          <w:color w:val="000000" w:themeColor="text1"/>
          <w:sz w:val="24"/>
          <w:szCs w:val="24"/>
          <w:lang w:val="en-GB" w:eastAsia="en-GB"/>
        </w:rPr>
        <w:t xml:space="preserve"> 2012</w:t>
      </w:r>
      <w:r w:rsidR="00A82423" w:rsidRPr="000D40EB">
        <w:rPr>
          <w:rFonts w:ascii="Times New Roman" w:eastAsia="Times New Roman" w:hAnsi="Times New Roman" w:cs="Times New Roman"/>
          <w:bCs/>
          <w:color w:val="000000" w:themeColor="text1"/>
          <w:sz w:val="24"/>
          <w:szCs w:val="24"/>
          <w:lang w:val="en-GB" w:eastAsia="en-GB"/>
        </w:rPr>
        <w:t xml:space="preserve">. </w:t>
      </w:r>
      <w:r w:rsidRPr="000D40EB">
        <w:rPr>
          <w:rFonts w:ascii="Times New Roman" w:eastAsia="Times New Roman" w:hAnsi="Times New Roman" w:cs="Times New Roman"/>
          <w:bCs/>
          <w:color w:val="000000" w:themeColor="text1"/>
          <w:sz w:val="24"/>
          <w:szCs w:val="24"/>
          <w:lang w:val="en-GB" w:eastAsia="en-GB"/>
        </w:rPr>
        <w:t xml:space="preserve">Analysts' industry expertise. </w:t>
      </w:r>
      <w:hyperlink r:id="rId11" w:tooltip="Go to Journal of Accounting and Economics on ScienceDirect" w:history="1">
        <w:r w:rsidRPr="000D40EB">
          <w:rPr>
            <w:rStyle w:val="Hyperlink"/>
            <w:rFonts w:ascii="Times New Roman" w:hAnsi="Times New Roman"/>
            <w:color w:val="000000" w:themeColor="text1"/>
            <w:sz w:val="24"/>
            <w:szCs w:val="24"/>
            <w:u w:val="none"/>
            <w:lang w:val="en-GB"/>
          </w:rPr>
          <w:t>Journal of Accounting and Economics</w:t>
        </w:r>
      </w:hyperlink>
      <w:r w:rsidRPr="00BE6353">
        <w:rPr>
          <w:rFonts w:ascii="Times New Roman" w:hAnsi="Times New Roman" w:cs="Times New Roman"/>
          <w:color w:val="000000" w:themeColor="text1"/>
          <w:sz w:val="24"/>
          <w:szCs w:val="24"/>
        </w:rPr>
        <w:t xml:space="preserve"> 54</w:t>
      </w:r>
      <w:r w:rsidRPr="00BE6353">
        <w:rPr>
          <w:rFonts w:ascii="Times New Roman" w:hAnsi="Times New Roman" w:cs="Times New Roman"/>
          <w:color w:val="000000" w:themeColor="text1"/>
          <w:sz w:val="24"/>
          <w:szCs w:val="24"/>
          <w:lang w:val="en-GB"/>
        </w:rPr>
        <w:t>, 95–120.</w:t>
      </w:r>
    </w:p>
    <w:p w14:paraId="592BD3BD"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 xml:space="preserve">Litov, L.P., Moreton, P., Zenger, T.R., 2012. Corporate strategy, analyst coverage, and the uniqueness paradox. Management Science 58, 1797-1815. </w:t>
      </w:r>
    </w:p>
    <w:p w14:paraId="1C4DED90" w14:textId="13F167BA" w:rsidR="00796902" w:rsidRPr="00796902" w:rsidRDefault="003910B3" w:rsidP="00796902">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Loree, D., Chen, C. C., Guisinger, S., 2000. International Acquisitions: Do Financial Analysts Take Note? Journal of World Business 35, 300-313.</w:t>
      </w:r>
    </w:p>
    <w:p w14:paraId="04E5EAB7" w14:textId="1EA94F0E" w:rsidR="00796902" w:rsidRPr="00796902" w:rsidRDefault="00796902" w:rsidP="00796902">
      <w:pPr>
        <w:spacing w:after="0" w:line="240" w:lineRule="auto"/>
        <w:ind w:left="567" w:hanging="567"/>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MacKinlay, A. C.</w:t>
      </w:r>
      <w:r w:rsidR="004146F6">
        <w:rPr>
          <w:rFonts w:ascii="Times New Roman" w:eastAsia="Times New Roman" w:hAnsi="Times New Roman" w:cs="Times New Roman"/>
          <w:color w:val="222222"/>
          <w:sz w:val="24"/>
          <w:szCs w:val="24"/>
          <w:lang w:val="en-GB" w:eastAsia="en-GB"/>
        </w:rPr>
        <w:t>,</w:t>
      </w:r>
      <w:r>
        <w:rPr>
          <w:rFonts w:ascii="Times New Roman" w:eastAsia="Times New Roman" w:hAnsi="Times New Roman" w:cs="Times New Roman"/>
          <w:color w:val="222222"/>
          <w:sz w:val="24"/>
          <w:szCs w:val="24"/>
          <w:lang w:val="en-GB" w:eastAsia="en-GB"/>
        </w:rPr>
        <w:t xml:space="preserve"> 1997</w:t>
      </w:r>
      <w:r w:rsidRPr="00796902">
        <w:rPr>
          <w:rFonts w:ascii="Times New Roman" w:eastAsia="Times New Roman" w:hAnsi="Times New Roman" w:cs="Times New Roman"/>
          <w:color w:val="222222"/>
          <w:sz w:val="24"/>
          <w:szCs w:val="24"/>
          <w:lang w:val="en-GB" w:eastAsia="en-GB"/>
        </w:rPr>
        <w:t xml:space="preserve">. Event studies in economics and finance. </w:t>
      </w:r>
      <w:r w:rsidRPr="00796902">
        <w:rPr>
          <w:rFonts w:ascii="Times New Roman" w:eastAsia="Times New Roman" w:hAnsi="Times New Roman" w:cs="Times New Roman"/>
          <w:iCs/>
          <w:color w:val="222222"/>
          <w:sz w:val="24"/>
          <w:szCs w:val="24"/>
          <w:lang w:val="en-GB" w:eastAsia="en-GB"/>
        </w:rPr>
        <w:t>Journal of economic literature</w:t>
      </w:r>
      <w:r w:rsidRPr="00796902">
        <w:rPr>
          <w:rFonts w:ascii="Times New Roman" w:eastAsia="Times New Roman" w:hAnsi="Times New Roman" w:cs="Times New Roman"/>
          <w:color w:val="222222"/>
          <w:sz w:val="24"/>
          <w:szCs w:val="24"/>
          <w:lang w:val="en-GB" w:eastAsia="en-GB"/>
        </w:rPr>
        <w:t xml:space="preserve">, </w:t>
      </w:r>
      <w:r w:rsidRPr="00796902">
        <w:rPr>
          <w:rFonts w:ascii="Times New Roman" w:eastAsia="Times New Roman" w:hAnsi="Times New Roman" w:cs="Times New Roman"/>
          <w:iCs/>
          <w:color w:val="222222"/>
          <w:sz w:val="24"/>
          <w:szCs w:val="24"/>
          <w:lang w:val="en-GB" w:eastAsia="en-GB"/>
        </w:rPr>
        <w:t>35</w:t>
      </w:r>
      <w:r w:rsidRPr="00796902">
        <w:rPr>
          <w:rFonts w:ascii="Times New Roman" w:eastAsia="Times New Roman" w:hAnsi="Times New Roman" w:cs="Times New Roman"/>
          <w:color w:val="222222"/>
          <w:sz w:val="24"/>
          <w:szCs w:val="24"/>
          <w:lang w:val="en-GB" w:eastAsia="en-GB"/>
        </w:rPr>
        <w:t>, 13-39.</w:t>
      </w:r>
    </w:p>
    <w:p w14:paraId="6C9D291B" w14:textId="12FA12A0" w:rsidR="004F29E2" w:rsidRPr="004F29E2" w:rsidRDefault="004F29E2" w:rsidP="00796902">
      <w:pPr>
        <w:spacing w:after="0" w:line="240" w:lineRule="auto"/>
        <w:ind w:left="567" w:hanging="567"/>
        <w:rPr>
          <w:rFonts w:ascii="Times New Roman" w:eastAsia="Times New Roman" w:hAnsi="Times New Roman" w:cs="Times New Roman"/>
          <w:color w:val="222222"/>
          <w:sz w:val="24"/>
          <w:szCs w:val="24"/>
          <w:lang w:val="en-GB" w:eastAsia="en-GB"/>
        </w:rPr>
      </w:pPr>
      <w:r w:rsidRPr="00796902">
        <w:rPr>
          <w:rFonts w:ascii="Times New Roman" w:eastAsia="Times New Roman" w:hAnsi="Times New Roman" w:cs="Times New Roman"/>
          <w:color w:val="222222"/>
          <w:sz w:val="24"/>
          <w:szCs w:val="24"/>
          <w:lang w:val="en-GB" w:eastAsia="en-GB"/>
        </w:rPr>
        <w:t>Makadok, R., Barney, J. B.</w:t>
      </w:r>
      <w:r w:rsidR="004146F6">
        <w:rPr>
          <w:rFonts w:ascii="Times New Roman" w:eastAsia="Times New Roman" w:hAnsi="Times New Roman" w:cs="Times New Roman"/>
          <w:color w:val="222222"/>
          <w:sz w:val="24"/>
          <w:szCs w:val="24"/>
          <w:lang w:val="en-GB" w:eastAsia="en-GB"/>
        </w:rPr>
        <w:t>,</w:t>
      </w:r>
      <w:r w:rsidRPr="00796902">
        <w:rPr>
          <w:rFonts w:ascii="Times New Roman" w:eastAsia="Times New Roman" w:hAnsi="Times New Roman" w:cs="Times New Roman"/>
          <w:color w:val="222222"/>
          <w:sz w:val="24"/>
          <w:szCs w:val="24"/>
          <w:lang w:val="en-GB" w:eastAsia="en-GB"/>
        </w:rPr>
        <w:t xml:space="preserve"> 2001. Strategic factor market intelligence: An application</w:t>
      </w:r>
      <w:r w:rsidRPr="004F29E2">
        <w:rPr>
          <w:rFonts w:ascii="Times New Roman" w:eastAsia="Times New Roman" w:hAnsi="Times New Roman" w:cs="Times New Roman"/>
          <w:color w:val="222222"/>
          <w:sz w:val="24"/>
          <w:szCs w:val="24"/>
          <w:lang w:val="en-GB" w:eastAsia="en-GB"/>
        </w:rPr>
        <w:t xml:space="preserve"> of information economics to strategy formulation and competitor intelligence. </w:t>
      </w:r>
      <w:r w:rsidRPr="004F29E2">
        <w:rPr>
          <w:rFonts w:ascii="Times New Roman" w:eastAsia="Times New Roman" w:hAnsi="Times New Roman" w:cs="Times New Roman"/>
          <w:iCs/>
          <w:color w:val="222222"/>
          <w:sz w:val="24"/>
          <w:szCs w:val="24"/>
          <w:lang w:val="en-GB" w:eastAsia="en-GB"/>
        </w:rPr>
        <w:t>Management Science</w:t>
      </w:r>
      <w:r w:rsidRPr="004F29E2">
        <w:rPr>
          <w:rFonts w:ascii="Times New Roman" w:eastAsia="Times New Roman" w:hAnsi="Times New Roman" w:cs="Times New Roman"/>
          <w:color w:val="222222"/>
          <w:sz w:val="24"/>
          <w:szCs w:val="24"/>
          <w:lang w:val="en-GB" w:eastAsia="en-GB"/>
        </w:rPr>
        <w:t xml:space="preserve">, </w:t>
      </w:r>
      <w:r w:rsidRPr="004F29E2">
        <w:rPr>
          <w:rFonts w:ascii="Times New Roman" w:eastAsia="Times New Roman" w:hAnsi="Times New Roman" w:cs="Times New Roman"/>
          <w:iCs/>
          <w:color w:val="222222"/>
          <w:sz w:val="24"/>
          <w:szCs w:val="24"/>
          <w:lang w:val="en-GB" w:eastAsia="en-GB"/>
        </w:rPr>
        <w:t>47</w:t>
      </w:r>
      <w:r w:rsidRPr="004F29E2">
        <w:rPr>
          <w:rFonts w:ascii="Times New Roman" w:eastAsia="Times New Roman" w:hAnsi="Times New Roman" w:cs="Times New Roman"/>
          <w:color w:val="222222"/>
          <w:sz w:val="24"/>
          <w:szCs w:val="24"/>
          <w:lang w:val="en-GB" w:eastAsia="en-GB"/>
        </w:rPr>
        <w:t>, 1621-1638.</w:t>
      </w:r>
    </w:p>
    <w:p w14:paraId="61596BE9" w14:textId="604A9823" w:rsidR="00796902" w:rsidRPr="00796902" w:rsidRDefault="00796902" w:rsidP="00796902">
      <w:pPr>
        <w:spacing w:after="0" w:line="240" w:lineRule="auto"/>
        <w:ind w:left="567" w:hanging="567"/>
        <w:rPr>
          <w:rFonts w:ascii="Times New Roman" w:eastAsia="Times New Roman" w:hAnsi="Times New Roman" w:cs="Times New Roman"/>
          <w:color w:val="222222"/>
          <w:sz w:val="24"/>
          <w:szCs w:val="24"/>
          <w:lang w:val="en-GB" w:eastAsia="en-GB"/>
        </w:rPr>
      </w:pPr>
      <w:r w:rsidRPr="00796902">
        <w:rPr>
          <w:rFonts w:ascii="Times New Roman" w:eastAsia="Times New Roman" w:hAnsi="Times New Roman" w:cs="Times New Roman"/>
          <w:color w:val="222222"/>
          <w:sz w:val="24"/>
          <w:szCs w:val="24"/>
          <w:lang w:val="en-GB" w:eastAsia="en-GB"/>
        </w:rPr>
        <w:t>McWilliams, A., Siegel, D.</w:t>
      </w:r>
      <w:r w:rsidR="004146F6">
        <w:rPr>
          <w:rFonts w:ascii="Times New Roman" w:eastAsia="Times New Roman" w:hAnsi="Times New Roman" w:cs="Times New Roman"/>
          <w:color w:val="222222"/>
          <w:sz w:val="24"/>
          <w:szCs w:val="24"/>
          <w:lang w:val="en-GB" w:eastAsia="en-GB"/>
        </w:rPr>
        <w:t>,</w:t>
      </w:r>
      <w:r w:rsidRPr="00796902">
        <w:rPr>
          <w:rFonts w:ascii="Times New Roman" w:eastAsia="Times New Roman" w:hAnsi="Times New Roman" w:cs="Times New Roman"/>
          <w:color w:val="222222"/>
          <w:sz w:val="24"/>
          <w:szCs w:val="24"/>
          <w:lang w:val="en-GB" w:eastAsia="en-GB"/>
        </w:rPr>
        <w:t xml:space="preserve"> 1997. Event studies in management research: Theoretical and empirical issues. </w:t>
      </w:r>
      <w:r w:rsidRPr="00796902">
        <w:rPr>
          <w:rFonts w:ascii="Times New Roman" w:eastAsia="Times New Roman" w:hAnsi="Times New Roman" w:cs="Times New Roman"/>
          <w:iCs/>
          <w:color w:val="222222"/>
          <w:sz w:val="24"/>
          <w:szCs w:val="24"/>
          <w:lang w:val="en-GB" w:eastAsia="en-GB"/>
        </w:rPr>
        <w:t xml:space="preserve">Academy of </w:t>
      </w:r>
      <w:r>
        <w:rPr>
          <w:rFonts w:ascii="Times New Roman" w:eastAsia="Times New Roman" w:hAnsi="Times New Roman" w:cs="Times New Roman"/>
          <w:iCs/>
          <w:color w:val="222222"/>
          <w:sz w:val="24"/>
          <w:szCs w:val="24"/>
          <w:lang w:val="en-GB" w:eastAsia="en-GB"/>
        </w:rPr>
        <w:t>Management J</w:t>
      </w:r>
      <w:r w:rsidRPr="00796902">
        <w:rPr>
          <w:rFonts w:ascii="Times New Roman" w:eastAsia="Times New Roman" w:hAnsi="Times New Roman" w:cs="Times New Roman"/>
          <w:iCs/>
          <w:color w:val="222222"/>
          <w:sz w:val="24"/>
          <w:szCs w:val="24"/>
          <w:lang w:val="en-GB" w:eastAsia="en-GB"/>
        </w:rPr>
        <w:t>ournal</w:t>
      </w:r>
      <w:r w:rsidRPr="00796902">
        <w:rPr>
          <w:rFonts w:ascii="Times New Roman" w:eastAsia="Times New Roman" w:hAnsi="Times New Roman" w:cs="Times New Roman"/>
          <w:color w:val="222222"/>
          <w:sz w:val="24"/>
          <w:szCs w:val="24"/>
          <w:lang w:val="en-GB" w:eastAsia="en-GB"/>
        </w:rPr>
        <w:t xml:space="preserve">, </w:t>
      </w:r>
      <w:r w:rsidRPr="00796902">
        <w:rPr>
          <w:rFonts w:ascii="Times New Roman" w:eastAsia="Times New Roman" w:hAnsi="Times New Roman" w:cs="Times New Roman"/>
          <w:iCs/>
          <w:color w:val="222222"/>
          <w:sz w:val="24"/>
          <w:szCs w:val="24"/>
          <w:lang w:val="en-GB" w:eastAsia="en-GB"/>
        </w:rPr>
        <w:t>40</w:t>
      </w:r>
      <w:r w:rsidRPr="00796902">
        <w:rPr>
          <w:rFonts w:ascii="Times New Roman" w:eastAsia="Times New Roman" w:hAnsi="Times New Roman" w:cs="Times New Roman"/>
          <w:color w:val="222222"/>
          <w:sz w:val="24"/>
          <w:szCs w:val="24"/>
          <w:lang w:val="en-GB" w:eastAsia="en-GB"/>
        </w:rPr>
        <w:t>, 626-657.</w:t>
      </w:r>
    </w:p>
    <w:p w14:paraId="745AADBF"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Miller, M. H., Rock, K., 1985</w:t>
      </w:r>
      <w:r w:rsidRPr="00DB6CED">
        <w:rPr>
          <w:rFonts w:ascii="Times New Roman" w:eastAsiaTheme="minorEastAsia" w:hAnsi="Times New Roman" w:cs="Times New Roman"/>
          <w:color w:val="1A1A1A"/>
          <w:sz w:val="24"/>
          <w:szCs w:val="24"/>
        </w:rPr>
        <w:t xml:space="preserve">. Dividend policy under asymmetric information. </w:t>
      </w:r>
      <w:r w:rsidRPr="001E72C4">
        <w:rPr>
          <w:rFonts w:ascii="Times New Roman" w:eastAsiaTheme="minorEastAsia" w:hAnsi="Times New Roman" w:cs="Times New Roman"/>
          <w:iCs/>
          <w:color w:val="1A1A1A"/>
          <w:sz w:val="24"/>
          <w:szCs w:val="24"/>
        </w:rPr>
        <w:t>The</w:t>
      </w:r>
      <w:r w:rsidRPr="00DB6CED">
        <w:rPr>
          <w:rFonts w:ascii="Times New Roman" w:eastAsiaTheme="minorEastAsia" w:hAnsi="Times New Roman" w:cs="Times New Roman"/>
          <w:i/>
          <w:iCs/>
          <w:color w:val="1A1A1A"/>
          <w:sz w:val="24"/>
          <w:szCs w:val="24"/>
        </w:rPr>
        <w:t xml:space="preserve"> </w:t>
      </w:r>
      <w:r w:rsidRPr="001E72C4">
        <w:rPr>
          <w:rFonts w:ascii="Times New Roman" w:eastAsiaTheme="minorEastAsia" w:hAnsi="Times New Roman" w:cs="Times New Roman"/>
          <w:iCs/>
          <w:color w:val="1A1A1A"/>
          <w:sz w:val="24"/>
          <w:szCs w:val="24"/>
        </w:rPr>
        <w:t>Journal of Finance</w:t>
      </w:r>
      <w:r w:rsidRPr="001E72C4">
        <w:rPr>
          <w:rFonts w:ascii="Times New Roman" w:eastAsiaTheme="minorEastAsia" w:hAnsi="Times New Roman" w:cs="Times New Roman"/>
          <w:color w:val="1A1A1A"/>
          <w:sz w:val="24"/>
          <w:szCs w:val="24"/>
        </w:rPr>
        <w:t xml:space="preserve"> </w:t>
      </w:r>
      <w:r w:rsidRPr="001E72C4">
        <w:rPr>
          <w:rFonts w:ascii="Times New Roman" w:eastAsiaTheme="minorEastAsia" w:hAnsi="Times New Roman" w:cs="Times New Roman"/>
          <w:iCs/>
          <w:color w:val="1A1A1A"/>
          <w:sz w:val="24"/>
          <w:szCs w:val="24"/>
        </w:rPr>
        <w:t>40</w:t>
      </w:r>
      <w:r w:rsidRPr="00DB6CED">
        <w:rPr>
          <w:rFonts w:ascii="Times New Roman" w:eastAsiaTheme="minorEastAsia" w:hAnsi="Times New Roman" w:cs="Times New Roman"/>
          <w:color w:val="1A1A1A"/>
          <w:sz w:val="24"/>
          <w:szCs w:val="24"/>
        </w:rPr>
        <w:t>, 1031-1051.</w:t>
      </w:r>
    </w:p>
    <w:p w14:paraId="55C85C7D" w14:textId="64A250D6" w:rsidR="003910B3" w:rsidRPr="00DB6CED" w:rsidRDefault="003910B3" w:rsidP="003910B3">
      <w:pPr>
        <w:widowControl w:val="0"/>
        <w:autoSpaceDE w:val="0"/>
        <w:autoSpaceDN w:val="0"/>
        <w:adjustRightInd w:val="0"/>
        <w:spacing w:after="240" w:line="240" w:lineRule="auto"/>
        <w:ind w:left="567" w:hanging="567"/>
        <w:contextualSpacing/>
        <w:rPr>
          <w:rFonts w:ascii="Times New Roman" w:hAnsi="Times New Roman" w:cs="Times New Roman"/>
          <w:sz w:val="24"/>
          <w:szCs w:val="24"/>
        </w:rPr>
      </w:pPr>
      <w:r w:rsidRPr="00DB6CED">
        <w:rPr>
          <w:rFonts w:ascii="Times New Roman" w:hAnsi="Times New Roman" w:cs="Times New Roman"/>
          <w:sz w:val="24"/>
          <w:szCs w:val="24"/>
        </w:rPr>
        <w:t>Mintzberg, H.,</w:t>
      </w:r>
      <w:r w:rsidR="000B1993">
        <w:rPr>
          <w:rFonts w:ascii="Times New Roman" w:hAnsi="Times New Roman" w:cs="Times New Roman"/>
          <w:sz w:val="24"/>
          <w:szCs w:val="24"/>
        </w:rPr>
        <w:t xml:space="preserve"> </w:t>
      </w:r>
      <w:r w:rsidRPr="00DB6CED">
        <w:rPr>
          <w:rFonts w:ascii="Times New Roman" w:hAnsi="Times New Roman" w:cs="Times New Roman"/>
          <w:sz w:val="24"/>
          <w:szCs w:val="24"/>
        </w:rPr>
        <w:t>1978. Patterns of strategy formation. Management Science 24, 934-948.</w:t>
      </w:r>
    </w:p>
    <w:p w14:paraId="02911B07" w14:textId="1D09A42A" w:rsidR="003910B3"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DB6CED">
        <w:rPr>
          <w:rFonts w:ascii="Times New Roman" w:eastAsiaTheme="minorEastAsia" w:hAnsi="Times New Roman" w:cs="Times New Roman"/>
          <w:color w:val="1A1A1A"/>
          <w:sz w:val="24"/>
          <w:szCs w:val="24"/>
        </w:rPr>
        <w:t>Myers, S. C., Majluf, N. S.</w:t>
      </w:r>
      <w:r>
        <w:rPr>
          <w:rFonts w:ascii="Times New Roman" w:eastAsiaTheme="minorEastAsia" w:hAnsi="Times New Roman" w:cs="Times New Roman"/>
          <w:color w:val="1A1A1A"/>
          <w:sz w:val="24"/>
          <w:szCs w:val="24"/>
        </w:rPr>
        <w:t>, 1984</w:t>
      </w:r>
      <w:r w:rsidRPr="00DB6CED">
        <w:rPr>
          <w:rFonts w:ascii="Times New Roman" w:eastAsiaTheme="minorEastAsia" w:hAnsi="Times New Roman" w:cs="Times New Roman"/>
          <w:color w:val="1A1A1A"/>
          <w:sz w:val="24"/>
          <w:szCs w:val="24"/>
        </w:rPr>
        <w:t xml:space="preserve">. Corporate financing and investment decisions when firms have information that investors do not have. </w:t>
      </w:r>
      <w:r w:rsidRPr="001E72C4">
        <w:rPr>
          <w:rFonts w:ascii="Times New Roman" w:eastAsiaTheme="minorEastAsia" w:hAnsi="Times New Roman" w:cs="Times New Roman"/>
          <w:iCs/>
          <w:color w:val="1A1A1A"/>
          <w:sz w:val="24"/>
          <w:szCs w:val="24"/>
        </w:rPr>
        <w:t xml:space="preserve">Journal of </w:t>
      </w:r>
      <w:r w:rsidR="001920D0">
        <w:rPr>
          <w:rFonts w:ascii="Times New Roman" w:eastAsiaTheme="minorEastAsia" w:hAnsi="Times New Roman" w:cs="Times New Roman"/>
          <w:iCs/>
          <w:color w:val="1A1A1A"/>
          <w:sz w:val="24"/>
          <w:szCs w:val="24"/>
        </w:rPr>
        <w:t>F</w:t>
      </w:r>
      <w:r w:rsidRPr="001E72C4">
        <w:rPr>
          <w:rFonts w:ascii="Times New Roman" w:eastAsiaTheme="minorEastAsia" w:hAnsi="Times New Roman" w:cs="Times New Roman"/>
          <w:iCs/>
          <w:color w:val="1A1A1A"/>
          <w:sz w:val="24"/>
          <w:szCs w:val="24"/>
        </w:rPr>
        <w:t xml:space="preserve">inancial </w:t>
      </w:r>
      <w:r w:rsidR="001920D0">
        <w:rPr>
          <w:rFonts w:ascii="Times New Roman" w:eastAsiaTheme="minorEastAsia" w:hAnsi="Times New Roman" w:cs="Times New Roman"/>
          <w:iCs/>
          <w:color w:val="1A1A1A"/>
          <w:sz w:val="24"/>
          <w:szCs w:val="24"/>
        </w:rPr>
        <w:t>E</w:t>
      </w:r>
      <w:r w:rsidRPr="001E72C4">
        <w:rPr>
          <w:rFonts w:ascii="Times New Roman" w:eastAsiaTheme="minorEastAsia" w:hAnsi="Times New Roman" w:cs="Times New Roman"/>
          <w:iCs/>
          <w:color w:val="1A1A1A"/>
          <w:sz w:val="24"/>
          <w:szCs w:val="24"/>
        </w:rPr>
        <w:t>conomics</w:t>
      </w:r>
      <w:r w:rsidRPr="001E72C4">
        <w:rPr>
          <w:rFonts w:ascii="Times New Roman" w:eastAsiaTheme="minorEastAsia" w:hAnsi="Times New Roman" w:cs="Times New Roman"/>
          <w:color w:val="1A1A1A"/>
          <w:sz w:val="24"/>
          <w:szCs w:val="24"/>
        </w:rPr>
        <w:t xml:space="preserve"> </w:t>
      </w:r>
      <w:r w:rsidRPr="001E72C4">
        <w:rPr>
          <w:rFonts w:ascii="Times New Roman" w:eastAsiaTheme="minorEastAsia" w:hAnsi="Times New Roman" w:cs="Times New Roman"/>
          <w:iCs/>
          <w:color w:val="1A1A1A"/>
          <w:sz w:val="24"/>
          <w:szCs w:val="24"/>
        </w:rPr>
        <w:t>13</w:t>
      </w:r>
      <w:r w:rsidRPr="00DB6CED">
        <w:rPr>
          <w:rFonts w:ascii="Times New Roman" w:eastAsiaTheme="minorEastAsia" w:hAnsi="Times New Roman" w:cs="Times New Roman"/>
          <w:color w:val="1A1A1A"/>
          <w:sz w:val="24"/>
          <w:szCs w:val="24"/>
        </w:rPr>
        <w:t>, 187-221.</w:t>
      </w:r>
    </w:p>
    <w:p w14:paraId="04157530" w14:textId="4FF1F613" w:rsidR="00990879" w:rsidRPr="00A82423" w:rsidRDefault="00990879"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A82423">
        <w:rPr>
          <w:rFonts w:ascii="Times New Roman" w:hAnsi="Times New Roman" w:cs="Times New Roman"/>
          <w:color w:val="000000"/>
          <w:sz w:val="24"/>
          <w:szCs w:val="24"/>
          <w:shd w:val="clear" w:color="auto" w:fill="FFFFFF"/>
        </w:rPr>
        <w:t xml:space="preserve">Piotroski, J.D., Roulstone, D.T., </w:t>
      </w:r>
      <w:r w:rsidRPr="00A82423">
        <w:rPr>
          <w:rFonts w:ascii="Times New Roman" w:hAnsi="Times New Roman" w:cs="Times New Roman"/>
          <w:iCs/>
          <w:color w:val="000000"/>
          <w:sz w:val="24"/>
          <w:szCs w:val="24"/>
          <w:shd w:val="clear" w:color="auto" w:fill="FFFFFF"/>
        </w:rPr>
        <w:t>2004</w:t>
      </w:r>
      <w:r w:rsidR="00A82423" w:rsidRPr="00A82423">
        <w:rPr>
          <w:rFonts w:ascii="Times New Roman" w:hAnsi="Times New Roman" w:cs="Times New Roman"/>
          <w:iCs/>
          <w:color w:val="000000"/>
          <w:sz w:val="24"/>
          <w:szCs w:val="24"/>
          <w:shd w:val="clear" w:color="auto" w:fill="FFFFFF"/>
        </w:rPr>
        <w:t xml:space="preserve">. </w:t>
      </w:r>
      <w:r w:rsidRPr="00A82423">
        <w:rPr>
          <w:rFonts w:ascii="Times New Roman" w:hAnsi="Times New Roman" w:cs="Times New Roman"/>
          <w:color w:val="000000"/>
          <w:sz w:val="24"/>
          <w:szCs w:val="24"/>
          <w:shd w:val="clear" w:color="auto" w:fill="FFFFFF"/>
        </w:rPr>
        <w:t xml:space="preserve">The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nfluence of </w:t>
      </w:r>
      <w:r w:rsidR="00A82423">
        <w:rPr>
          <w:rFonts w:ascii="Times New Roman" w:hAnsi="Times New Roman" w:cs="Times New Roman"/>
          <w:color w:val="000000"/>
          <w:sz w:val="24"/>
          <w:szCs w:val="24"/>
          <w:shd w:val="clear" w:color="auto" w:fill="FFFFFF"/>
        </w:rPr>
        <w:t>a</w:t>
      </w:r>
      <w:r w:rsidRPr="00A82423">
        <w:rPr>
          <w:rFonts w:ascii="Times New Roman" w:hAnsi="Times New Roman" w:cs="Times New Roman"/>
          <w:color w:val="000000"/>
          <w:sz w:val="24"/>
          <w:szCs w:val="24"/>
          <w:shd w:val="clear" w:color="auto" w:fill="FFFFFF"/>
        </w:rPr>
        <w:t xml:space="preserve">nalysts,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nstitutional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nvestors, and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nsiders on the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ncorporation of </w:t>
      </w:r>
      <w:r w:rsidR="00A82423">
        <w:rPr>
          <w:rFonts w:ascii="Times New Roman" w:hAnsi="Times New Roman" w:cs="Times New Roman"/>
          <w:color w:val="000000"/>
          <w:sz w:val="24"/>
          <w:szCs w:val="24"/>
          <w:shd w:val="clear" w:color="auto" w:fill="FFFFFF"/>
        </w:rPr>
        <w:t>m</w:t>
      </w:r>
      <w:r w:rsidRPr="00A82423">
        <w:rPr>
          <w:rFonts w:ascii="Times New Roman" w:hAnsi="Times New Roman" w:cs="Times New Roman"/>
          <w:color w:val="000000"/>
          <w:sz w:val="24"/>
          <w:szCs w:val="24"/>
          <w:shd w:val="clear" w:color="auto" w:fill="FFFFFF"/>
        </w:rPr>
        <w:t xml:space="preserve">arket,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ndustry, and </w:t>
      </w:r>
      <w:r w:rsidR="00A82423">
        <w:rPr>
          <w:rFonts w:ascii="Times New Roman" w:hAnsi="Times New Roman" w:cs="Times New Roman"/>
          <w:color w:val="000000"/>
          <w:sz w:val="24"/>
          <w:szCs w:val="24"/>
          <w:shd w:val="clear" w:color="auto" w:fill="FFFFFF"/>
        </w:rPr>
        <w:t>f</w:t>
      </w:r>
      <w:r w:rsidRPr="00A82423">
        <w:rPr>
          <w:rFonts w:ascii="Times New Roman" w:hAnsi="Times New Roman" w:cs="Times New Roman"/>
          <w:color w:val="000000"/>
          <w:sz w:val="24"/>
          <w:szCs w:val="24"/>
          <w:shd w:val="clear" w:color="auto" w:fill="FFFFFF"/>
        </w:rPr>
        <w:t>irm</w:t>
      </w:r>
      <w:r w:rsidRPr="00A82423">
        <w:rPr>
          <w:rFonts w:ascii="Cambria Math" w:hAnsi="Cambria Math" w:cs="Cambria Math"/>
          <w:color w:val="000000"/>
          <w:sz w:val="24"/>
          <w:szCs w:val="24"/>
          <w:shd w:val="clear" w:color="auto" w:fill="FFFFFF"/>
        </w:rPr>
        <w:t>‐</w:t>
      </w:r>
      <w:r w:rsidR="00A82423">
        <w:rPr>
          <w:rFonts w:ascii="Times New Roman" w:hAnsi="Times New Roman" w:cs="Times New Roman"/>
          <w:color w:val="000000"/>
          <w:sz w:val="24"/>
          <w:szCs w:val="24"/>
          <w:shd w:val="clear" w:color="auto" w:fill="FFFFFF"/>
        </w:rPr>
        <w:t>s</w:t>
      </w:r>
      <w:r w:rsidRPr="00A82423">
        <w:rPr>
          <w:rFonts w:ascii="Times New Roman" w:hAnsi="Times New Roman" w:cs="Times New Roman"/>
          <w:color w:val="000000"/>
          <w:sz w:val="24"/>
          <w:szCs w:val="24"/>
          <w:shd w:val="clear" w:color="auto" w:fill="FFFFFF"/>
        </w:rPr>
        <w:t xml:space="preserve">pecific </w:t>
      </w:r>
      <w:r w:rsidR="00A82423">
        <w:rPr>
          <w:rFonts w:ascii="Times New Roman" w:hAnsi="Times New Roman" w:cs="Times New Roman"/>
          <w:color w:val="000000"/>
          <w:sz w:val="24"/>
          <w:szCs w:val="24"/>
          <w:shd w:val="clear" w:color="auto" w:fill="FFFFFF"/>
        </w:rPr>
        <w:t>i</w:t>
      </w:r>
      <w:r w:rsidRPr="00A82423">
        <w:rPr>
          <w:rFonts w:ascii="Times New Roman" w:hAnsi="Times New Roman" w:cs="Times New Roman"/>
          <w:color w:val="000000"/>
          <w:sz w:val="24"/>
          <w:szCs w:val="24"/>
          <w:shd w:val="clear" w:color="auto" w:fill="FFFFFF"/>
        </w:rPr>
        <w:t xml:space="preserve">nformation into </w:t>
      </w:r>
      <w:r w:rsidR="00A82423">
        <w:rPr>
          <w:rFonts w:ascii="Times New Roman" w:hAnsi="Times New Roman" w:cs="Times New Roman"/>
          <w:color w:val="000000"/>
          <w:sz w:val="24"/>
          <w:szCs w:val="24"/>
          <w:shd w:val="clear" w:color="auto" w:fill="FFFFFF"/>
        </w:rPr>
        <w:t>s</w:t>
      </w:r>
      <w:r w:rsidRPr="00A82423">
        <w:rPr>
          <w:rFonts w:ascii="Times New Roman" w:hAnsi="Times New Roman" w:cs="Times New Roman"/>
          <w:color w:val="000000"/>
          <w:sz w:val="24"/>
          <w:szCs w:val="24"/>
          <w:shd w:val="clear" w:color="auto" w:fill="FFFFFF"/>
        </w:rPr>
        <w:t xml:space="preserve">tock </w:t>
      </w:r>
      <w:r w:rsidR="00A82423">
        <w:rPr>
          <w:rFonts w:ascii="Times New Roman" w:hAnsi="Times New Roman" w:cs="Times New Roman"/>
          <w:color w:val="000000"/>
          <w:sz w:val="24"/>
          <w:szCs w:val="24"/>
          <w:shd w:val="clear" w:color="auto" w:fill="FFFFFF"/>
        </w:rPr>
        <w:t>p</w:t>
      </w:r>
      <w:r w:rsidRPr="00A82423">
        <w:rPr>
          <w:rFonts w:ascii="Times New Roman" w:hAnsi="Times New Roman" w:cs="Times New Roman"/>
          <w:color w:val="000000"/>
          <w:sz w:val="24"/>
          <w:szCs w:val="24"/>
          <w:shd w:val="clear" w:color="auto" w:fill="FFFFFF"/>
        </w:rPr>
        <w:t>rices. The Accounting Review 79, 1119-1151.</w:t>
      </w:r>
    </w:p>
    <w:p w14:paraId="13C69970" w14:textId="15EB9CC7" w:rsidR="003910B3" w:rsidRPr="00253BEB" w:rsidRDefault="003910B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9C6556">
        <w:rPr>
          <w:rFonts w:ascii="Times New Roman" w:hAnsi="Times New Roman" w:cs="Times New Roman"/>
          <w:color w:val="000000" w:themeColor="text1"/>
          <w:sz w:val="24"/>
          <w:szCs w:val="24"/>
        </w:rPr>
        <w:t>Ragozzino, R., Reuer, J. J., 2007. Initial Public Offerings and the Acquisition of</w:t>
      </w:r>
      <w:r w:rsidRPr="00253BEB">
        <w:rPr>
          <w:rFonts w:ascii="Times New Roman" w:hAnsi="Times New Roman" w:cs="Times New Roman"/>
          <w:color w:val="000000" w:themeColor="text1"/>
          <w:sz w:val="24"/>
          <w:szCs w:val="24"/>
        </w:rPr>
        <w:t xml:space="preserve"> Entrepreneurial Firms. Strategic Organization 5, 155-176.</w:t>
      </w:r>
    </w:p>
    <w:p w14:paraId="44F91284" w14:textId="0AEA36A5" w:rsidR="003910B3" w:rsidRPr="00253BEB" w:rsidRDefault="003910B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Ragozzino, R., Reuer, J. J., 2009. Contingent Earnouts in Acquisitions of Privately Held Targets. Journal of Management 35, 857-879.</w:t>
      </w:r>
    </w:p>
    <w:p w14:paraId="22481E9B" w14:textId="494FF471" w:rsidR="003910B3" w:rsidRPr="00253BEB" w:rsidRDefault="003910B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lastRenderedPageBreak/>
        <w:t>Ragozzino, R., Reuer, J. J., 2011. Geographic Distance and Corporate Acquisitions: Signals from I</w:t>
      </w:r>
      <w:r w:rsidR="0010572E">
        <w:rPr>
          <w:rFonts w:ascii="Times New Roman" w:hAnsi="Times New Roman" w:cs="Times New Roman"/>
          <w:color w:val="000000" w:themeColor="text1"/>
          <w:sz w:val="24"/>
          <w:szCs w:val="24"/>
        </w:rPr>
        <w:t>PO</w:t>
      </w:r>
      <w:r w:rsidRPr="00253BEB">
        <w:rPr>
          <w:rFonts w:ascii="Times New Roman" w:hAnsi="Times New Roman" w:cs="Times New Roman"/>
          <w:color w:val="000000" w:themeColor="text1"/>
          <w:sz w:val="24"/>
          <w:szCs w:val="24"/>
        </w:rPr>
        <w:t xml:space="preserve"> Firms. Strategic Management Journal 32, 876-894.</w:t>
      </w:r>
    </w:p>
    <w:p w14:paraId="43CAF32E" w14:textId="1B6179A1" w:rsidR="003910B3" w:rsidRPr="00253BEB" w:rsidRDefault="003910B3" w:rsidP="00253BEB">
      <w:pPr>
        <w:widowControl w:val="0"/>
        <w:autoSpaceDE w:val="0"/>
        <w:autoSpaceDN w:val="0"/>
        <w:adjustRightInd w:val="0"/>
        <w:spacing w:line="240" w:lineRule="auto"/>
        <w:ind w:left="567" w:hanging="567"/>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Reuer, J. J., Tong, T. W., Wu, C. W., 2012. A Signaling Theory of Acquisition Premiums: Evidence from Ipo Targets. Academy of Management Journal 55, 667-683.</w:t>
      </w:r>
    </w:p>
    <w:p w14:paraId="5BE00181" w14:textId="0583E285" w:rsidR="003910B3" w:rsidRPr="00253BEB" w:rsidRDefault="003910B3" w:rsidP="00253BEB">
      <w:pPr>
        <w:widowControl w:val="0"/>
        <w:spacing w:line="240" w:lineRule="auto"/>
        <w:ind w:left="567" w:hanging="567"/>
        <w:contextualSpacing/>
        <w:rPr>
          <w:rFonts w:ascii="Times New Roman" w:hAnsi="Times New Roman" w:cs="Times New Roman"/>
          <w:color w:val="000000" w:themeColor="text1"/>
          <w:sz w:val="24"/>
          <w:szCs w:val="24"/>
          <w:lang w:val="en-GB"/>
        </w:rPr>
      </w:pPr>
      <w:r w:rsidRPr="00253BEB">
        <w:rPr>
          <w:rFonts w:ascii="Times New Roman" w:hAnsi="Times New Roman" w:cs="Times New Roman"/>
          <w:color w:val="000000" w:themeColor="text1"/>
          <w:sz w:val="24"/>
          <w:szCs w:val="24"/>
          <w:lang w:val="en-GB"/>
        </w:rPr>
        <w:t>Rindova V., Fombrun C., 1999. Constructing Competitive Advantage: the role of firm-constituent interactions. Strategic Management Journal 20, 691-710</w:t>
      </w:r>
    </w:p>
    <w:p w14:paraId="3BA68AE1" w14:textId="1CBFBE87" w:rsidR="003910B3" w:rsidRPr="002C17CD" w:rsidRDefault="003910B3" w:rsidP="00253BEB">
      <w:pPr>
        <w:spacing w:line="240" w:lineRule="auto"/>
        <w:ind w:left="567" w:hanging="567"/>
        <w:contextualSpacing/>
        <w:rPr>
          <w:rFonts w:ascii="Times New Roman" w:hAnsi="Times New Roman" w:cs="Times New Roman"/>
          <w:color w:val="000000" w:themeColor="text1"/>
          <w:sz w:val="24"/>
          <w:szCs w:val="24"/>
          <w:lang w:val="en-GB"/>
        </w:rPr>
      </w:pPr>
      <w:r w:rsidRPr="00253BEB">
        <w:rPr>
          <w:rFonts w:ascii="Times New Roman" w:hAnsi="Times New Roman" w:cs="Times New Roman"/>
          <w:color w:val="000000" w:themeColor="text1"/>
          <w:sz w:val="24"/>
          <w:szCs w:val="24"/>
          <w:lang w:val="en-GB"/>
        </w:rPr>
        <w:t>Rindova V.P., Becerra M., Cont</w:t>
      </w:r>
      <w:r w:rsidR="0010572E">
        <w:rPr>
          <w:rFonts w:ascii="Times New Roman" w:hAnsi="Times New Roman" w:cs="Times New Roman"/>
          <w:color w:val="000000" w:themeColor="text1"/>
          <w:sz w:val="24"/>
          <w:szCs w:val="24"/>
          <w:lang w:val="en-GB"/>
        </w:rPr>
        <w:t>a</w:t>
      </w:r>
      <w:r w:rsidRPr="00253BEB">
        <w:rPr>
          <w:rFonts w:ascii="Times New Roman" w:hAnsi="Times New Roman" w:cs="Times New Roman"/>
          <w:color w:val="000000" w:themeColor="text1"/>
          <w:sz w:val="24"/>
          <w:szCs w:val="24"/>
          <w:lang w:val="en-GB"/>
        </w:rPr>
        <w:t xml:space="preserve">rdo I., 2004. Enacting competitive wars: </w:t>
      </w:r>
      <w:r w:rsidRPr="002C17CD">
        <w:rPr>
          <w:rFonts w:ascii="Times New Roman" w:hAnsi="Times New Roman" w:cs="Times New Roman"/>
          <w:color w:val="000000" w:themeColor="text1"/>
          <w:sz w:val="24"/>
          <w:szCs w:val="24"/>
          <w:lang w:val="en-GB"/>
        </w:rPr>
        <w:t>Competitive activity, language games, and market consequences. Academy of Management Review 29, 670-686.</w:t>
      </w:r>
    </w:p>
    <w:p w14:paraId="620E1276" w14:textId="28BB5E91" w:rsidR="004F29E2" w:rsidRPr="004F29E2" w:rsidRDefault="004F29E2" w:rsidP="003910B3">
      <w:pPr>
        <w:widowControl w:val="0"/>
        <w:autoSpaceDE w:val="0"/>
        <w:autoSpaceDN w:val="0"/>
        <w:adjustRightInd w:val="0"/>
        <w:spacing w:after="240" w:line="240" w:lineRule="auto"/>
        <w:ind w:left="567" w:hanging="567"/>
        <w:contextualSpacing/>
        <w:rPr>
          <w:rFonts w:ascii="Times New Roman" w:eastAsia="Times New Roman" w:hAnsi="Times New Roman" w:cs="Times New Roman"/>
          <w:sz w:val="24"/>
          <w:szCs w:val="24"/>
          <w:lang w:eastAsia="en-GB"/>
        </w:rPr>
      </w:pPr>
      <w:r>
        <w:rPr>
          <w:rFonts w:ascii="Times New Roman" w:hAnsi="Times New Roman" w:cs="Times New Roman"/>
          <w:sz w:val="24"/>
          <w:szCs w:val="24"/>
        </w:rPr>
        <w:t>Rumelt, R. P.</w:t>
      </w:r>
      <w:r w:rsidR="004146F6">
        <w:rPr>
          <w:rFonts w:ascii="Times New Roman" w:hAnsi="Times New Roman" w:cs="Times New Roman"/>
          <w:sz w:val="24"/>
          <w:szCs w:val="24"/>
        </w:rPr>
        <w:t>,</w:t>
      </w:r>
      <w:r>
        <w:rPr>
          <w:rFonts w:ascii="Times New Roman" w:hAnsi="Times New Roman" w:cs="Times New Roman"/>
          <w:sz w:val="24"/>
          <w:szCs w:val="24"/>
        </w:rPr>
        <w:t xml:space="preserve"> 1984. </w:t>
      </w:r>
      <w:r w:rsidRPr="004F29E2">
        <w:rPr>
          <w:rFonts w:ascii="Times New Roman" w:hAnsi="Times New Roman" w:cs="Times New Roman"/>
          <w:sz w:val="24"/>
          <w:szCs w:val="24"/>
        </w:rPr>
        <w:t>Towards a strategic theory of the firm. In R. Lamb (ed.) Competitive Strategic Management. Prentice-Hall, Englewood Cliffs, NJ, pp. 556-570.</w:t>
      </w:r>
    </w:p>
    <w:p w14:paraId="6C97B812" w14:textId="1A27E95D" w:rsidR="00796902" w:rsidRPr="00796902" w:rsidRDefault="00796902" w:rsidP="00796902">
      <w:pPr>
        <w:spacing w:after="0" w:line="240" w:lineRule="auto"/>
        <w:ind w:left="567" w:hanging="567"/>
        <w:rPr>
          <w:rFonts w:ascii="Times New Roman" w:eastAsia="Times New Roman" w:hAnsi="Times New Roman" w:cs="Times New Roman"/>
          <w:color w:val="222222"/>
          <w:sz w:val="24"/>
          <w:szCs w:val="24"/>
          <w:lang w:val="en-GB" w:eastAsia="en-GB"/>
        </w:rPr>
      </w:pPr>
      <w:r w:rsidRPr="00796902">
        <w:rPr>
          <w:rFonts w:ascii="Times New Roman" w:eastAsia="Times New Roman" w:hAnsi="Times New Roman" w:cs="Times New Roman"/>
          <w:color w:val="222222"/>
          <w:sz w:val="24"/>
          <w:szCs w:val="24"/>
          <w:lang w:val="en-GB" w:eastAsia="en-GB"/>
        </w:rPr>
        <w:t xml:space="preserve">Schijven, M., Hitt, M. A. 2012. The vicarious wisdom of crowds: toward a behavioral perspective on investor reactions to acquisition announcements. </w:t>
      </w:r>
      <w:r w:rsidRPr="00796902">
        <w:rPr>
          <w:rFonts w:ascii="Times New Roman" w:eastAsia="Times New Roman" w:hAnsi="Times New Roman" w:cs="Times New Roman"/>
          <w:iCs/>
          <w:color w:val="222222"/>
          <w:sz w:val="24"/>
          <w:szCs w:val="24"/>
          <w:lang w:val="en-GB" w:eastAsia="en-GB"/>
        </w:rPr>
        <w:t>Strategic Management Journal</w:t>
      </w:r>
      <w:r w:rsidRPr="00796902">
        <w:rPr>
          <w:rFonts w:ascii="Times New Roman" w:eastAsia="Times New Roman" w:hAnsi="Times New Roman" w:cs="Times New Roman"/>
          <w:color w:val="222222"/>
          <w:sz w:val="24"/>
          <w:szCs w:val="24"/>
          <w:lang w:val="en-GB" w:eastAsia="en-GB"/>
        </w:rPr>
        <w:t xml:space="preserve">, </w:t>
      </w:r>
      <w:r w:rsidRPr="00796902">
        <w:rPr>
          <w:rFonts w:ascii="Times New Roman" w:eastAsia="Times New Roman" w:hAnsi="Times New Roman" w:cs="Times New Roman"/>
          <w:iCs/>
          <w:color w:val="222222"/>
          <w:sz w:val="24"/>
          <w:szCs w:val="24"/>
          <w:lang w:val="en-GB" w:eastAsia="en-GB"/>
        </w:rPr>
        <w:t>33</w:t>
      </w:r>
      <w:r w:rsidRPr="00796902">
        <w:rPr>
          <w:rFonts w:ascii="Times New Roman" w:eastAsia="Times New Roman" w:hAnsi="Times New Roman" w:cs="Times New Roman"/>
          <w:color w:val="222222"/>
          <w:sz w:val="24"/>
          <w:szCs w:val="24"/>
          <w:lang w:val="en-GB" w:eastAsia="en-GB"/>
        </w:rPr>
        <w:t>, 1247-1268.</w:t>
      </w:r>
    </w:p>
    <w:p w14:paraId="7F2AAB7B" w14:textId="77777777" w:rsidR="003910B3" w:rsidRPr="00DB6CED"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CB6EB5">
        <w:rPr>
          <w:rFonts w:ascii="Times New Roman" w:eastAsiaTheme="minorEastAsia" w:hAnsi="Times New Roman" w:cs="Times New Roman"/>
          <w:color w:val="1A1A1A"/>
          <w:sz w:val="24"/>
          <w:szCs w:val="24"/>
        </w:rPr>
        <w:t>Shen, W., Cannella, A. A., 2003. Will succession planning</w:t>
      </w:r>
      <w:r w:rsidRPr="00DB6CED">
        <w:rPr>
          <w:rFonts w:ascii="Times New Roman" w:eastAsiaTheme="minorEastAsia" w:hAnsi="Times New Roman" w:cs="Times New Roman"/>
          <w:color w:val="1A1A1A"/>
          <w:sz w:val="24"/>
          <w:szCs w:val="24"/>
        </w:rPr>
        <w:t xml:space="preserve"> increase shareholder wealth? Evidence from investor reactions to relay CEO successions. </w:t>
      </w:r>
      <w:r w:rsidRPr="001E72C4">
        <w:rPr>
          <w:rFonts w:ascii="Times New Roman" w:eastAsiaTheme="minorEastAsia" w:hAnsi="Times New Roman" w:cs="Times New Roman"/>
          <w:iCs/>
          <w:color w:val="1A1A1A"/>
          <w:sz w:val="24"/>
          <w:szCs w:val="24"/>
        </w:rPr>
        <w:t>Strategic Management Journal</w:t>
      </w:r>
      <w:r w:rsidRPr="001E72C4">
        <w:rPr>
          <w:rFonts w:ascii="Times New Roman" w:eastAsiaTheme="minorEastAsia" w:hAnsi="Times New Roman" w:cs="Times New Roman"/>
          <w:color w:val="1A1A1A"/>
          <w:sz w:val="24"/>
          <w:szCs w:val="24"/>
        </w:rPr>
        <w:t xml:space="preserve"> </w:t>
      </w:r>
      <w:r w:rsidRPr="001E72C4">
        <w:rPr>
          <w:rFonts w:ascii="Times New Roman" w:eastAsiaTheme="minorEastAsia" w:hAnsi="Times New Roman" w:cs="Times New Roman"/>
          <w:iCs/>
          <w:color w:val="1A1A1A"/>
          <w:sz w:val="24"/>
          <w:szCs w:val="24"/>
        </w:rPr>
        <w:t>24</w:t>
      </w:r>
      <w:r w:rsidRPr="00DB6CED">
        <w:rPr>
          <w:rFonts w:ascii="Times New Roman" w:eastAsiaTheme="minorEastAsia" w:hAnsi="Times New Roman" w:cs="Times New Roman"/>
          <w:color w:val="1A1A1A"/>
          <w:sz w:val="24"/>
          <w:szCs w:val="24"/>
        </w:rPr>
        <w:t>, 191-198.</w:t>
      </w:r>
    </w:p>
    <w:p w14:paraId="02B7CA3C" w14:textId="46F9A3EA" w:rsidR="00C25F0B" w:rsidRPr="00DB6CED" w:rsidRDefault="00C25F0B" w:rsidP="00C25F0B">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Sonney, F., </w:t>
      </w:r>
      <w:r w:rsidRPr="00C25F0B">
        <w:rPr>
          <w:rFonts w:ascii="Times New Roman" w:eastAsiaTheme="minorEastAsia" w:hAnsi="Times New Roman" w:cs="Times New Roman"/>
          <w:color w:val="1A1A1A"/>
          <w:sz w:val="24"/>
          <w:szCs w:val="24"/>
        </w:rPr>
        <w:t xml:space="preserve">2009. </w:t>
      </w:r>
      <w:r w:rsidRPr="003141F7">
        <w:rPr>
          <w:rFonts w:ascii="Times New Roman" w:eastAsiaTheme="minorEastAsia" w:hAnsi="Times New Roman" w:cs="Times New Roman"/>
          <w:bCs/>
          <w:color w:val="1A1A1A"/>
          <w:sz w:val="24"/>
          <w:szCs w:val="24"/>
          <w:lang w:val="en-GB"/>
        </w:rPr>
        <w:t xml:space="preserve">Financial </w:t>
      </w:r>
      <w:r w:rsidR="00A82423">
        <w:rPr>
          <w:rFonts w:ascii="Times New Roman" w:eastAsiaTheme="minorEastAsia" w:hAnsi="Times New Roman" w:cs="Times New Roman"/>
          <w:bCs/>
          <w:color w:val="1A1A1A"/>
          <w:sz w:val="24"/>
          <w:szCs w:val="24"/>
          <w:lang w:val="en-GB"/>
        </w:rPr>
        <w:t>a</w:t>
      </w:r>
      <w:r w:rsidRPr="003141F7">
        <w:rPr>
          <w:rFonts w:ascii="Times New Roman" w:eastAsiaTheme="minorEastAsia" w:hAnsi="Times New Roman" w:cs="Times New Roman"/>
          <w:bCs/>
          <w:color w:val="1A1A1A"/>
          <w:sz w:val="24"/>
          <w:szCs w:val="24"/>
          <w:lang w:val="en-GB"/>
        </w:rPr>
        <w:t xml:space="preserve">nalysts' </w:t>
      </w:r>
      <w:r w:rsidR="00A82423">
        <w:rPr>
          <w:rFonts w:ascii="Times New Roman" w:eastAsiaTheme="minorEastAsia" w:hAnsi="Times New Roman" w:cs="Times New Roman"/>
          <w:bCs/>
          <w:color w:val="1A1A1A"/>
          <w:sz w:val="24"/>
          <w:szCs w:val="24"/>
          <w:lang w:val="en-GB"/>
        </w:rPr>
        <w:t>p</w:t>
      </w:r>
      <w:r w:rsidRPr="003141F7">
        <w:rPr>
          <w:rFonts w:ascii="Times New Roman" w:eastAsiaTheme="minorEastAsia" w:hAnsi="Times New Roman" w:cs="Times New Roman"/>
          <w:bCs/>
          <w:color w:val="1A1A1A"/>
          <w:sz w:val="24"/>
          <w:szCs w:val="24"/>
          <w:lang w:val="en-GB"/>
        </w:rPr>
        <w:t xml:space="preserve">erformance: Sector </w:t>
      </w:r>
      <w:r w:rsidR="00A82423">
        <w:rPr>
          <w:rFonts w:ascii="Times New Roman" w:eastAsiaTheme="minorEastAsia" w:hAnsi="Times New Roman" w:cs="Times New Roman"/>
          <w:bCs/>
          <w:color w:val="1A1A1A"/>
          <w:sz w:val="24"/>
          <w:szCs w:val="24"/>
          <w:lang w:val="en-GB"/>
        </w:rPr>
        <w:t>v</w:t>
      </w:r>
      <w:r w:rsidRPr="003141F7">
        <w:rPr>
          <w:rFonts w:ascii="Times New Roman" w:eastAsiaTheme="minorEastAsia" w:hAnsi="Times New Roman" w:cs="Times New Roman"/>
          <w:bCs/>
          <w:color w:val="1A1A1A"/>
          <w:sz w:val="24"/>
          <w:szCs w:val="24"/>
          <w:lang w:val="en-GB"/>
        </w:rPr>
        <w:t xml:space="preserve">ersus </w:t>
      </w:r>
      <w:r w:rsidR="00A82423">
        <w:rPr>
          <w:rFonts w:ascii="Times New Roman" w:eastAsiaTheme="minorEastAsia" w:hAnsi="Times New Roman" w:cs="Times New Roman"/>
          <w:bCs/>
          <w:color w:val="1A1A1A"/>
          <w:sz w:val="24"/>
          <w:szCs w:val="24"/>
          <w:lang w:val="en-GB"/>
        </w:rPr>
        <w:t>c</w:t>
      </w:r>
      <w:r w:rsidRPr="003141F7">
        <w:rPr>
          <w:rFonts w:ascii="Times New Roman" w:eastAsiaTheme="minorEastAsia" w:hAnsi="Times New Roman" w:cs="Times New Roman"/>
          <w:bCs/>
          <w:color w:val="1A1A1A"/>
          <w:sz w:val="24"/>
          <w:szCs w:val="24"/>
          <w:lang w:val="en-GB"/>
        </w:rPr>
        <w:t xml:space="preserve">ountry </w:t>
      </w:r>
      <w:r w:rsidR="00A82423">
        <w:rPr>
          <w:rFonts w:ascii="Times New Roman" w:eastAsiaTheme="minorEastAsia" w:hAnsi="Times New Roman" w:cs="Times New Roman"/>
          <w:bCs/>
          <w:color w:val="1A1A1A"/>
          <w:sz w:val="24"/>
          <w:szCs w:val="24"/>
          <w:lang w:val="en-GB"/>
        </w:rPr>
        <w:t>s</w:t>
      </w:r>
      <w:r w:rsidRPr="003141F7">
        <w:rPr>
          <w:rFonts w:ascii="Times New Roman" w:eastAsiaTheme="minorEastAsia" w:hAnsi="Times New Roman" w:cs="Times New Roman"/>
          <w:bCs/>
          <w:color w:val="1A1A1A"/>
          <w:sz w:val="24"/>
          <w:szCs w:val="24"/>
          <w:lang w:val="en-GB"/>
        </w:rPr>
        <w:t>pecialization</w:t>
      </w:r>
      <w:r>
        <w:rPr>
          <w:rFonts w:ascii="Times New Roman" w:eastAsiaTheme="minorEastAsia" w:hAnsi="Times New Roman" w:cs="Times New Roman"/>
          <w:bCs/>
          <w:color w:val="1A1A1A"/>
          <w:sz w:val="24"/>
          <w:szCs w:val="24"/>
          <w:lang w:val="en-GB"/>
        </w:rPr>
        <w:t>,</w:t>
      </w:r>
      <w:r w:rsidR="00A82423">
        <w:rPr>
          <w:rFonts w:ascii="Times New Roman" w:eastAsiaTheme="minorEastAsia" w:hAnsi="Times New Roman" w:cs="Times New Roman"/>
          <w:color w:val="1A1A1A"/>
          <w:sz w:val="24"/>
          <w:szCs w:val="24"/>
        </w:rPr>
        <w:t xml:space="preserve"> </w:t>
      </w:r>
      <w:r w:rsidRPr="00C25F0B">
        <w:rPr>
          <w:rFonts w:ascii="Times New Roman" w:eastAsiaTheme="minorEastAsia" w:hAnsi="Times New Roman" w:cs="Times New Roman"/>
          <w:color w:val="1A1A1A"/>
          <w:sz w:val="24"/>
          <w:szCs w:val="24"/>
        </w:rPr>
        <w:t>Review of Financial Stud</w:t>
      </w:r>
      <w:r>
        <w:rPr>
          <w:rFonts w:ascii="Times New Roman" w:eastAsiaTheme="minorEastAsia" w:hAnsi="Times New Roman" w:cs="Times New Roman"/>
          <w:color w:val="1A1A1A"/>
          <w:sz w:val="24"/>
          <w:szCs w:val="24"/>
        </w:rPr>
        <w:t>ies</w:t>
      </w:r>
      <w:r w:rsidRPr="00C25F0B">
        <w:rPr>
          <w:rFonts w:ascii="Times New Roman" w:eastAsiaTheme="minorEastAsia" w:hAnsi="Times New Roman" w:cs="Times New Roman"/>
          <w:color w:val="1A1A1A"/>
          <w:sz w:val="24"/>
          <w:szCs w:val="24"/>
        </w:rPr>
        <w:t> 22</w:t>
      </w:r>
      <w:r>
        <w:rPr>
          <w:rFonts w:ascii="Times New Roman" w:eastAsiaTheme="minorEastAsia" w:hAnsi="Times New Roman" w:cs="Times New Roman"/>
          <w:color w:val="1A1A1A"/>
          <w:sz w:val="24"/>
          <w:szCs w:val="24"/>
        </w:rPr>
        <w:t xml:space="preserve">, </w:t>
      </w:r>
      <w:r w:rsidRPr="00C25F0B">
        <w:rPr>
          <w:rFonts w:ascii="Times New Roman" w:eastAsiaTheme="minorEastAsia" w:hAnsi="Times New Roman" w:cs="Times New Roman"/>
          <w:color w:val="1A1A1A"/>
          <w:sz w:val="24"/>
          <w:szCs w:val="24"/>
        </w:rPr>
        <w:t>2087-2131.</w:t>
      </w:r>
    </w:p>
    <w:p w14:paraId="0EA7240A" w14:textId="77777777" w:rsidR="003910B3" w:rsidRDefault="003910B3" w:rsidP="003910B3">
      <w:pPr>
        <w:widowControl w:val="0"/>
        <w:tabs>
          <w:tab w:val="left" w:pos="220"/>
          <w:tab w:val="left" w:pos="720"/>
        </w:tabs>
        <w:autoSpaceDE w:val="0"/>
        <w:autoSpaceDN w:val="0"/>
        <w:adjustRightInd w:val="0"/>
        <w:spacing w:after="0" w:line="240" w:lineRule="auto"/>
        <w:ind w:left="567" w:hanging="567"/>
        <w:contextualSpacing/>
        <w:rPr>
          <w:rFonts w:ascii="Times New Roman" w:hAnsi="Times New Roman" w:cs="Times New Roman"/>
          <w:sz w:val="24"/>
          <w:szCs w:val="24"/>
        </w:rPr>
      </w:pPr>
      <w:r w:rsidRPr="00667CF7">
        <w:rPr>
          <w:rFonts w:ascii="Times New Roman" w:hAnsi="Times New Roman" w:cs="Times New Roman"/>
          <w:sz w:val="24"/>
          <w:szCs w:val="24"/>
        </w:rPr>
        <w:t xml:space="preserve">Sudarsanam, S., Mahate, A.A., 2003. Glamour acquirers, method of payment and post-acquisition performance: the UK evidence. Journal of Business Finance and Accounting 30, 299-341. </w:t>
      </w:r>
    </w:p>
    <w:p w14:paraId="4D67756C" w14:textId="77F16409" w:rsidR="008A6F7A" w:rsidRDefault="008A6F7A" w:rsidP="008A6F7A">
      <w:pPr>
        <w:widowControl w:val="0"/>
        <w:tabs>
          <w:tab w:val="left" w:pos="220"/>
          <w:tab w:val="left" w:pos="720"/>
        </w:tabs>
        <w:autoSpaceDE w:val="0"/>
        <w:autoSpaceDN w:val="0"/>
        <w:adjustRightInd w:val="0"/>
        <w:spacing w:after="0" w:line="240" w:lineRule="auto"/>
        <w:ind w:left="567" w:hanging="567"/>
        <w:contextualSpacing/>
        <w:rPr>
          <w:rFonts w:ascii="Times New Roman" w:hAnsi="Times New Roman" w:cs="Times New Roman"/>
          <w:sz w:val="24"/>
          <w:szCs w:val="24"/>
        </w:rPr>
      </w:pPr>
      <w:r w:rsidRPr="00667CF7">
        <w:rPr>
          <w:rFonts w:ascii="Times New Roman" w:hAnsi="Times New Roman" w:cs="Times New Roman"/>
          <w:sz w:val="24"/>
          <w:szCs w:val="24"/>
        </w:rPr>
        <w:t>Sudarsanam, S.</w:t>
      </w:r>
      <w:r>
        <w:rPr>
          <w:rFonts w:ascii="Times New Roman" w:hAnsi="Times New Roman" w:cs="Times New Roman"/>
          <w:sz w:val="24"/>
          <w:szCs w:val="24"/>
        </w:rPr>
        <w:t xml:space="preserve">, 2010. </w:t>
      </w:r>
      <w:r w:rsidRPr="00796902">
        <w:rPr>
          <w:rFonts w:ascii="Times New Roman" w:hAnsi="Times New Roman" w:cs="Times New Roman"/>
          <w:sz w:val="24"/>
          <w:szCs w:val="24"/>
        </w:rPr>
        <w:t>Creating value from mergers and acquisitions: the challenges</w:t>
      </w:r>
      <w:r>
        <w:rPr>
          <w:rFonts w:ascii="Times New Roman" w:hAnsi="Times New Roman" w:cs="Times New Roman"/>
          <w:sz w:val="24"/>
          <w:szCs w:val="24"/>
        </w:rPr>
        <w:t xml:space="preserve">, </w:t>
      </w:r>
      <w:r w:rsidR="00A65F9F">
        <w:rPr>
          <w:rFonts w:ascii="Times New Roman" w:hAnsi="Times New Roman" w:cs="Times New Roman"/>
          <w:sz w:val="24"/>
          <w:szCs w:val="24"/>
        </w:rPr>
        <w:t xml:space="preserve">Second </w:t>
      </w:r>
      <w:r>
        <w:rPr>
          <w:rFonts w:ascii="Times New Roman" w:hAnsi="Times New Roman" w:cs="Times New Roman"/>
          <w:sz w:val="24"/>
          <w:szCs w:val="24"/>
        </w:rPr>
        <w:t>edition</w:t>
      </w:r>
      <w:r w:rsidR="00A65F9F">
        <w:rPr>
          <w:rFonts w:ascii="Times New Roman" w:hAnsi="Times New Roman" w:cs="Times New Roman"/>
          <w:sz w:val="24"/>
          <w:szCs w:val="24"/>
        </w:rPr>
        <w:t>,</w:t>
      </w:r>
      <w:r>
        <w:rPr>
          <w:rFonts w:ascii="Times New Roman" w:hAnsi="Times New Roman" w:cs="Times New Roman"/>
          <w:sz w:val="24"/>
          <w:szCs w:val="24"/>
        </w:rPr>
        <w:t xml:space="preserve"> FT Prentice Hall.</w:t>
      </w:r>
    </w:p>
    <w:p w14:paraId="3727B113" w14:textId="77777777" w:rsidR="004146F6" w:rsidRDefault="00C47787" w:rsidP="003141F7">
      <w:pPr>
        <w:widowControl w:val="0"/>
        <w:tabs>
          <w:tab w:val="left" w:pos="220"/>
          <w:tab w:val="left" w:pos="720"/>
        </w:tabs>
        <w:autoSpaceDE w:val="0"/>
        <w:autoSpaceDN w:val="0"/>
        <w:adjustRightInd w:val="0"/>
        <w:spacing w:line="240" w:lineRule="auto"/>
        <w:ind w:left="567" w:hanging="567"/>
        <w:contextualSpacing/>
        <w:rPr>
          <w:rFonts w:ascii="Times New Roman" w:eastAsiaTheme="minorEastAsia" w:hAnsi="Times New Roman" w:cs="Times New Roman"/>
          <w:color w:val="000000" w:themeColor="text1"/>
          <w:sz w:val="24"/>
          <w:szCs w:val="24"/>
        </w:rPr>
      </w:pPr>
      <w:r w:rsidRPr="00253BEB">
        <w:rPr>
          <w:rFonts w:ascii="Times New Roman" w:eastAsiaTheme="minorEastAsia" w:hAnsi="Times New Roman" w:cs="Times New Roman"/>
          <w:color w:val="000000" w:themeColor="text1"/>
          <w:sz w:val="24"/>
          <w:szCs w:val="24"/>
        </w:rPr>
        <w:t>Trautwein</w:t>
      </w:r>
      <w:r>
        <w:rPr>
          <w:rFonts w:ascii="Times New Roman" w:eastAsiaTheme="minorEastAsia" w:hAnsi="Times New Roman" w:cs="Times New Roman"/>
          <w:color w:val="000000" w:themeColor="text1"/>
          <w:sz w:val="24"/>
          <w:szCs w:val="24"/>
        </w:rPr>
        <w:t>, F.,</w:t>
      </w:r>
      <w:r w:rsidRPr="00253BEB">
        <w:rPr>
          <w:rFonts w:ascii="Times New Roman" w:eastAsiaTheme="minorEastAsia" w:hAnsi="Times New Roman" w:cs="Times New Roman"/>
          <w:color w:val="000000" w:themeColor="text1"/>
          <w:sz w:val="24"/>
          <w:szCs w:val="24"/>
        </w:rPr>
        <w:t xml:space="preserve"> 1990. Merger motives and merger prescriptions. </w:t>
      </w:r>
      <w:r w:rsidRPr="00253BEB">
        <w:rPr>
          <w:rFonts w:ascii="Times New Roman" w:eastAsiaTheme="minorEastAsia" w:hAnsi="Times New Roman" w:cs="Times New Roman"/>
          <w:iCs/>
          <w:color w:val="000000" w:themeColor="text1"/>
          <w:sz w:val="24"/>
          <w:szCs w:val="24"/>
        </w:rPr>
        <w:t>Strategic Management Journal</w:t>
      </w:r>
      <w:r w:rsidRPr="00253BEB">
        <w:rPr>
          <w:rFonts w:ascii="Times New Roman" w:eastAsiaTheme="minorEastAsia" w:hAnsi="Times New Roman" w:cs="Times New Roman"/>
          <w:color w:val="000000" w:themeColor="text1"/>
          <w:sz w:val="24"/>
          <w:szCs w:val="24"/>
        </w:rPr>
        <w:t xml:space="preserve"> 11, 283 - 295.</w:t>
      </w:r>
    </w:p>
    <w:p w14:paraId="62EE65D3" w14:textId="6E8D544A" w:rsidR="003141F7" w:rsidRPr="009C6556" w:rsidRDefault="003141F7" w:rsidP="003141F7">
      <w:pPr>
        <w:widowControl w:val="0"/>
        <w:tabs>
          <w:tab w:val="left" w:pos="220"/>
          <w:tab w:val="left" w:pos="720"/>
        </w:tabs>
        <w:autoSpaceDE w:val="0"/>
        <w:autoSpaceDN w:val="0"/>
        <w:adjustRightInd w:val="0"/>
        <w:spacing w:line="240" w:lineRule="auto"/>
        <w:ind w:left="567" w:hanging="567"/>
        <w:contextualSpacing/>
        <w:rPr>
          <w:rFonts w:ascii="Times New Roman" w:eastAsiaTheme="minorEastAsia" w:hAnsi="Times New Roman" w:cs="Times New Roman"/>
          <w:bCs/>
          <w:color w:val="232323"/>
          <w:sz w:val="24"/>
          <w:szCs w:val="24"/>
        </w:rPr>
      </w:pPr>
      <w:r w:rsidRPr="00A82423">
        <w:rPr>
          <w:rFonts w:ascii="Times New Roman" w:hAnsi="Times New Roman" w:cs="Times New Roman"/>
          <w:sz w:val="24"/>
          <w:szCs w:val="24"/>
        </w:rPr>
        <w:t>Trueman, B.</w:t>
      </w:r>
      <w:r w:rsidR="004146F6">
        <w:rPr>
          <w:rFonts w:ascii="Times New Roman" w:hAnsi="Times New Roman" w:cs="Times New Roman"/>
          <w:sz w:val="24"/>
          <w:szCs w:val="24"/>
        </w:rPr>
        <w:t>,</w:t>
      </w:r>
      <w:r w:rsidRPr="00A82423">
        <w:rPr>
          <w:rFonts w:ascii="Times New Roman" w:hAnsi="Times New Roman" w:cs="Times New Roman"/>
          <w:sz w:val="24"/>
          <w:szCs w:val="24"/>
        </w:rPr>
        <w:t xml:space="preserve"> </w:t>
      </w:r>
      <w:r w:rsidRPr="009C6556">
        <w:rPr>
          <w:rFonts w:ascii="Times New Roman" w:hAnsi="Times New Roman" w:cs="Times New Roman"/>
          <w:sz w:val="24"/>
          <w:szCs w:val="24"/>
        </w:rPr>
        <w:t>1994</w:t>
      </w:r>
      <w:r w:rsidR="00A82423" w:rsidRPr="009C6556">
        <w:rPr>
          <w:rFonts w:ascii="Times New Roman" w:hAnsi="Times New Roman" w:cs="Times New Roman"/>
          <w:sz w:val="24"/>
          <w:szCs w:val="24"/>
        </w:rPr>
        <w:t>.</w:t>
      </w:r>
      <w:r w:rsidRPr="009C6556">
        <w:rPr>
          <w:rFonts w:ascii="Times New Roman" w:hAnsi="Times New Roman" w:cs="Times New Roman"/>
          <w:sz w:val="24"/>
          <w:szCs w:val="24"/>
        </w:rPr>
        <w:t xml:space="preserve"> </w:t>
      </w:r>
      <w:r w:rsidRPr="009C6556">
        <w:rPr>
          <w:rFonts w:ascii="Times New Roman" w:hAnsi="Times New Roman" w:cs="Times New Roman"/>
          <w:bCs/>
          <w:sz w:val="24"/>
          <w:szCs w:val="24"/>
          <w:lang w:val="en-GB"/>
        </w:rPr>
        <w:t xml:space="preserve">Analyst </w:t>
      </w:r>
      <w:r w:rsidR="00A82423" w:rsidRPr="009C6556">
        <w:rPr>
          <w:rFonts w:ascii="Times New Roman" w:hAnsi="Times New Roman" w:cs="Times New Roman"/>
          <w:bCs/>
          <w:sz w:val="24"/>
          <w:szCs w:val="24"/>
          <w:lang w:val="en-GB"/>
        </w:rPr>
        <w:t>f</w:t>
      </w:r>
      <w:r w:rsidRPr="009C6556">
        <w:rPr>
          <w:rFonts w:ascii="Times New Roman" w:hAnsi="Times New Roman" w:cs="Times New Roman"/>
          <w:bCs/>
          <w:sz w:val="24"/>
          <w:szCs w:val="24"/>
          <w:lang w:val="en-GB"/>
        </w:rPr>
        <w:t xml:space="preserve">orecasts and </w:t>
      </w:r>
      <w:r w:rsidR="00A82423" w:rsidRPr="009C6556">
        <w:rPr>
          <w:rFonts w:ascii="Times New Roman" w:hAnsi="Times New Roman" w:cs="Times New Roman"/>
          <w:bCs/>
          <w:sz w:val="24"/>
          <w:szCs w:val="24"/>
          <w:lang w:val="en-GB"/>
        </w:rPr>
        <w:t>h</w:t>
      </w:r>
      <w:r w:rsidRPr="009C6556">
        <w:rPr>
          <w:rFonts w:ascii="Times New Roman" w:hAnsi="Times New Roman" w:cs="Times New Roman"/>
          <w:bCs/>
          <w:sz w:val="24"/>
          <w:szCs w:val="24"/>
          <w:lang w:val="en-GB"/>
        </w:rPr>
        <w:t xml:space="preserve">erding </w:t>
      </w:r>
      <w:r w:rsidR="00A82423" w:rsidRPr="009C6556">
        <w:rPr>
          <w:rFonts w:ascii="Times New Roman" w:hAnsi="Times New Roman" w:cs="Times New Roman"/>
          <w:bCs/>
          <w:sz w:val="24"/>
          <w:szCs w:val="24"/>
          <w:lang w:val="en-GB"/>
        </w:rPr>
        <w:t>b</w:t>
      </w:r>
      <w:r w:rsidRPr="009C6556">
        <w:rPr>
          <w:rFonts w:ascii="Times New Roman" w:hAnsi="Times New Roman" w:cs="Times New Roman"/>
          <w:bCs/>
          <w:sz w:val="24"/>
          <w:szCs w:val="24"/>
          <w:lang w:val="en-GB"/>
        </w:rPr>
        <w:t xml:space="preserve">ehavior, </w:t>
      </w:r>
      <w:r w:rsidRPr="00A82423">
        <w:rPr>
          <w:rFonts w:ascii="Times New Roman" w:hAnsi="Times New Roman" w:cs="Times New Roman"/>
          <w:sz w:val="24"/>
          <w:szCs w:val="24"/>
        </w:rPr>
        <w:t>Review of Financial Studies</w:t>
      </w:r>
      <w:r w:rsidRPr="009C6556">
        <w:rPr>
          <w:rFonts w:ascii="Times New Roman" w:hAnsi="Times New Roman" w:cs="Times New Roman"/>
          <w:sz w:val="24"/>
          <w:szCs w:val="24"/>
        </w:rPr>
        <w:t> 7, 97-124.</w:t>
      </w:r>
    </w:p>
    <w:p w14:paraId="3D1E4755" w14:textId="108D8535" w:rsidR="003910B3" w:rsidRPr="00253BEB" w:rsidRDefault="003910B3" w:rsidP="00253BEB">
      <w:pPr>
        <w:spacing w:line="240" w:lineRule="auto"/>
        <w:ind w:left="567" w:hanging="567"/>
        <w:contextualSpacing/>
        <w:rPr>
          <w:rFonts w:ascii="Times New Roman" w:hAnsi="Times New Roman" w:cs="Times New Roman"/>
          <w:color w:val="000000" w:themeColor="text1"/>
          <w:sz w:val="24"/>
          <w:szCs w:val="24"/>
          <w:lang w:val="en-GB"/>
        </w:rPr>
      </w:pPr>
      <w:r w:rsidRPr="00253BEB">
        <w:rPr>
          <w:rFonts w:ascii="Times New Roman" w:hAnsi="Times New Roman" w:cs="Times New Roman"/>
          <w:color w:val="000000" w:themeColor="text1"/>
          <w:sz w:val="24"/>
          <w:szCs w:val="24"/>
          <w:lang w:val="en-GB"/>
        </w:rPr>
        <w:t>Vaara E., Monin P., 2010. A recursive perspective on discursive legitimation and organizational action in mergers and acquisitions. Organization Science 21, 3-22.</w:t>
      </w:r>
    </w:p>
    <w:p w14:paraId="254B6FC2" w14:textId="203BF369" w:rsidR="003910B3" w:rsidRPr="00667CF7"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667CF7">
        <w:rPr>
          <w:rFonts w:ascii="Times New Roman" w:eastAsiaTheme="minorEastAsia" w:hAnsi="Times New Roman" w:cs="Times New Roman"/>
          <w:color w:val="1A1A1A"/>
          <w:sz w:val="24"/>
          <w:szCs w:val="24"/>
        </w:rPr>
        <w:t>Wade, J. B., Porac, J. F., Pollock, T. G., Graffin, S. D.</w:t>
      </w:r>
      <w:r>
        <w:rPr>
          <w:rFonts w:ascii="Times New Roman" w:eastAsiaTheme="minorEastAsia" w:hAnsi="Times New Roman" w:cs="Times New Roman"/>
          <w:color w:val="1A1A1A"/>
          <w:sz w:val="24"/>
          <w:szCs w:val="24"/>
        </w:rPr>
        <w:t>, 2006</w:t>
      </w:r>
      <w:r w:rsidRPr="00667CF7">
        <w:rPr>
          <w:rFonts w:ascii="Times New Roman" w:eastAsiaTheme="minorEastAsia" w:hAnsi="Times New Roman" w:cs="Times New Roman"/>
          <w:color w:val="1A1A1A"/>
          <w:sz w:val="24"/>
          <w:szCs w:val="24"/>
        </w:rPr>
        <w:t xml:space="preserve">. The burden of celebrity: The impact of CEO certification contests on CEO pay and performance. </w:t>
      </w:r>
      <w:r w:rsidRPr="00667CF7">
        <w:rPr>
          <w:rFonts w:ascii="Times New Roman" w:eastAsiaTheme="minorEastAsia" w:hAnsi="Times New Roman" w:cs="Times New Roman"/>
          <w:iCs/>
          <w:color w:val="1A1A1A"/>
          <w:sz w:val="24"/>
          <w:szCs w:val="24"/>
        </w:rPr>
        <w:t>Academy of Management Journal</w:t>
      </w:r>
      <w:r w:rsidRPr="00667CF7">
        <w:rPr>
          <w:rFonts w:ascii="Times New Roman" w:eastAsiaTheme="minorEastAsia" w:hAnsi="Times New Roman" w:cs="Times New Roman"/>
          <w:color w:val="1A1A1A"/>
          <w:sz w:val="24"/>
          <w:szCs w:val="24"/>
        </w:rPr>
        <w:t xml:space="preserve"> </w:t>
      </w:r>
      <w:r w:rsidRPr="00667CF7">
        <w:rPr>
          <w:rFonts w:ascii="Times New Roman" w:eastAsiaTheme="minorEastAsia" w:hAnsi="Times New Roman" w:cs="Times New Roman"/>
          <w:iCs/>
          <w:color w:val="1A1A1A"/>
          <w:sz w:val="24"/>
          <w:szCs w:val="24"/>
        </w:rPr>
        <w:t>49</w:t>
      </w:r>
      <w:r w:rsidRPr="00667CF7">
        <w:rPr>
          <w:rFonts w:ascii="Times New Roman" w:eastAsiaTheme="minorEastAsia" w:hAnsi="Times New Roman" w:cs="Times New Roman"/>
          <w:color w:val="1A1A1A"/>
          <w:sz w:val="24"/>
          <w:szCs w:val="24"/>
        </w:rPr>
        <w:t>, 643-660.</w:t>
      </w:r>
    </w:p>
    <w:p w14:paraId="5A0B26AA" w14:textId="5510432D" w:rsidR="003910B3" w:rsidRPr="00253BEB" w:rsidRDefault="003910B3" w:rsidP="00253BEB">
      <w:pPr>
        <w:spacing w:line="240" w:lineRule="auto"/>
        <w:ind w:left="567" w:hanging="567"/>
        <w:contextualSpacing/>
        <w:rPr>
          <w:rFonts w:ascii="Times New Roman" w:hAnsi="Times New Roman" w:cs="Times New Roman"/>
          <w:bCs/>
          <w:color w:val="000000" w:themeColor="text1"/>
          <w:sz w:val="24"/>
          <w:szCs w:val="24"/>
          <w:lang w:val="en-GB"/>
        </w:rPr>
      </w:pPr>
      <w:r w:rsidRPr="00253BEB">
        <w:rPr>
          <w:rFonts w:ascii="Times New Roman" w:eastAsiaTheme="minorEastAsia" w:hAnsi="Times New Roman" w:cs="Times New Roman"/>
          <w:color w:val="000000" w:themeColor="text1"/>
          <w:sz w:val="24"/>
          <w:szCs w:val="24"/>
        </w:rPr>
        <w:t xml:space="preserve">Whittington, R., Yakis-Douglas, B., 2012. </w:t>
      </w:r>
      <w:r w:rsidRPr="00253BEB">
        <w:rPr>
          <w:rFonts w:ascii="Times New Roman" w:hAnsi="Times New Roman" w:cs="Times New Roman"/>
          <w:bCs/>
          <w:color w:val="000000" w:themeColor="text1"/>
          <w:sz w:val="24"/>
          <w:szCs w:val="24"/>
          <w:lang w:val="en-GB"/>
        </w:rPr>
        <w:t xml:space="preserve">Strategic disclosure: Strategy as a Form of Reputation Management. In </w:t>
      </w:r>
      <w:r w:rsidRPr="00253BEB">
        <w:rPr>
          <w:rFonts w:ascii="Times New Roman" w:eastAsiaTheme="minorEastAsia" w:hAnsi="Times New Roman" w:cs="Times New Roman"/>
          <w:color w:val="000000" w:themeColor="text1"/>
          <w:sz w:val="24"/>
          <w:szCs w:val="24"/>
        </w:rPr>
        <w:t xml:space="preserve">Barnett, M. L., &amp; Pollock, T. G. (Eds.). </w:t>
      </w:r>
      <w:r w:rsidRPr="00253BEB">
        <w:rPr>
          <w:rFonts w:ascii="Times New Roman" w:eastAsiaTheme="minorEastAsia" w:hAnsi="Times New Roman" w:cs="Times New Roman"/>
          <w:i/>
          <w:iCs/>
          <w:color w:val="000000" w:themeColor="text1"/>
          <w:sz w:val="24"/>
          <w:szCs w:val="24"/>
        </w:rPr>
        <w:t xml:space="preserve">The Oxford </w:t>
      </w:r>
      <w:r w:rsidR="005F07B8">
        <w:rPr>
          <w:rFonts w:ascii="Times New Roman" w:eastAsiaTheme="minorEastAsia" w:hAnsi="Times New Roman" w:cs="Times New Roman"/>
          <w:i/>
          <w:iCs/>
          <w:color w:val="000000" w:themeColor="text1"/>
          <w:sz w:val="24"/>
          <w:szCs w:val="24"/>
        </w:rPr>
        <w:t>H</w:t>
      </w:r>
      <w:r w:rsidRPr="00253BEB">
        <w:rPr>
          <w:rFonts w:ascii="Times New Roman" w:eastAsiaTheme="minorEastAsia" w:hAnsi="Times New Roman" w:cs="Times New Roman"/>
          <w:i/>
          <w:iCs/>
          <w:color w:val="000000" w:themeColor="text1"/>
          <w:sz w:val="24"/>
          <w:szCs w:val="24"/>
        </w:rPr>
        <w:t xml:space="preserve">andbook of </w:t>
      </w:r>
      <w:r w:rsidR="005F07B8">
        <w:rPr>
          <w:rFonts w:ascii="Times New Roman" w:eastAsiaTheme="minorEastAsia" w:hAnsi="Times New Roman" w:cs="Times New Roman"/>
          <w:i/>
          <w:iCs/>
          <w:color w:val="000000" w:themeColor="text1"/>
          <w:sz w:val="24"/>
          <w:szCs w:val="24"/>
        </w:rPr>
        <w:t>C</w:t>
      </w:r>
      <w:r w:rsidRPr="00253BEB">
        <w:rPr>
          <w:rFonts w:ascii="Times New Roman" w:eastAsiaTheme="minorEastAsia" w:hAnsi="Times New Roman" w:cs="Times New Roman"/>
          <w:i/>
          <w:iCs/>
          <w:color w:val="000000" w:themeColor="text1"/>
          <w:sz w:val="24"/>
          <w:szCs w:val="24"/>
        </w:rPr>
        <w:t xml:space="preserve">orporate </w:t>
      </w:r>
      <w:r w:rsidR="005F07B8">
        <w:rPr>
          <w:rFonts w:ascii="Times New Roman" w:eastAsiaTheme="minorEastAsia" w:hAnsi="Times New Roman" w:cs="Times New Roman"/>
          <w:i/>
          <w:iCs/>
          <w:color w:val="000000" w:themeColor="text1"/>
          <w:sz w:val="24"/>
          <w:szCs w:val="24"/>
        </w:rPr>
        <w:t>R</w:t>
      </w:r>
      <w:r w:rsidRPr="00253BEB">
        <w:rPr>
          <w:rFonts w:ascii="Times New Roman" w:eastAsiaTheme="minorEastAsia" w:hAnsi="Times New Roman" w:cs="Times New Roman"/>
          <w:i/>
          <w:iCs/>
          <w:color w:val="000000" w:themeColor="text1"/>
          <w:sz w:val="24"/>
          <w:szCs w:val="24"/>
        </w:rPr>
        <w:t>eputation</w:t>
      </w:r>
      <w:r w:rsidRPr="00253BEB">
        <w:rPr>
          <w:rFonts w:ascii="Times New Roman" w:eastAsiaTheme="minorEastAsia" w:hAnsi="Times New Roman" w:cs="Times New Roman"/>
          <w:color w:val="000000" w:themeColor="text1"/>
          <w:sz w:val="24"/>
          <w:szCs w:val="24"/>
        </w:rPr>
        <w:t>. Oxford University Press.</w:t>
      </w:r>
    </w:p>
    <w:p w14:paraId="78D722A5" w14:textId="77777777" w:rsidR="003910B3" w:rsidRDefault="003910B3" w:rsidP="003910B3">
      <w:pPr>
        <w:spacing w:line="240" w:lineRule="auto"/>
        <w:ind w:left="567" w:hanging="567"/>
        <w:contextualSpacing/>
        <w:rPr>
          <w:rFonts w:ascii="Times New Roman" w:hAnsi="Times New Roman" w:cs="Times New Roman"/>
          <w:sz w:val="24"/>
          <w:szCs w:val="24"/>
        </w:rPr>
      </w:pPr>
      <w:r w:rsidRPr="00667CF7">
        <w:rPr>
          <w:rFonts w:ascii="Times New Roman" w:hAnsi="Times New Roman" w:cs="Times New Roman"/>
          <w:sz w:val="24"/>
          <w:szCs w:val="24"/>
        </w:rPr>
        <w:t xml:space="preserve">Whittington, R., Cailluet, L., Yakis-Douglas, B., 2011. Opening strategy: Evolution of a precarious profession. British Journal of Management 22, 531-544. </w:t>
      </w:r>
    </w:p>
    <w:p w14:paraId="2D539A82" w14:textId="3EE786A1" w:rsidR="000B3069" w:rsidRPr="000B3069" w:rsidRDefault="000B3069" w:rsidP="000B3069">
      <w:pPr>
        <w:spacing w:after="0" w:line="240" w:lineRule="auto"/>
        <w:ind w:left="284" w:hanging="284"/>
        <w:rPr>
          <w:rFonts w:ascii="Times New Roman" w:eastAsia="Times New Roman" w:hAnsi="Times New Roman" w:cs="Times New Roman"/>
          <w:color w:val="222222"/>
          <w:sz w:val="24"/>
          <w:szCs w:val="24"/>
          <w:lang w:val="en-GB" w:eastAsia="en-GB"/>
        </w:rPr>
      </w:pPr>
      <w:r w:rsidRPr="000B3069">
        <w:rPr>
          <w:rFonts w:ascii="Times New Roman" w:eastAsia="Times New Roman" w:hAnsi="Times New Roman" w:cs="Times New Roman"/>
          <w:color w:val="222222"/>
          <w:sz w:val="24"/>
          <w:szCs w:val="24"/>
          <w:lang w:val="en-GB" w:eastAsia="en-GB"/>
        </w:rPr>
        <w:t>Whittington, R., Yakis</w:t>
      </w:r>
      <w:r w:rsidRPr="000B3069">
        <w:rPr>
          <w:rFonts w:ascii="Cambria Math" w:eastAsia="Times New Roman" w:hAnsi="Cambria Math" w:cs="Cambria Math"/>
          <w:color w:val="222222"/>
          <w:sz w:val="24"/>
          <w:szCs w:val="24"/>
          <w:lang w:val="en-GB" w:eastAsia="en-GB"/>
        </w:rPr>
        <w:t>‐</w:t>
      </w:r>
      <w:r w:rsidRPr="000B3069">
        <w:rPr>
          <w:rFonts w:ascii="Times New Roman" w:eastAsia="Times New Roman" w:hAnsi="Times New Roman" w:cs="Times New Roman"/>
          <w:color w:val="222222"/>
          <w:sz w:val="24"/>
          <w:szCs w:val="24"/>
          <w:lang w:val="en-GB" w:eastAsia="en-GB"/>
        </w:rPr>
        <w:t>Douglas, B., Ahn, K.</w:t>
      </w:r>
      <w:r w:rsidR="004146F6">
        <w:rPr>
          <w:rFonts w:ascii="Times New Roman" w:eastAsia="Times New Roman" w:hAnsi="Times New Roman" w:cs="Times New Roman"/>
          <w:color w:val="222222"/>
          <w:sz w:val="24"/>
          <w:szCs w:val="24"/>
          <w:lang w:val="en-GB" w:eastAsia="en-GB"/>
        </w:rPr>
        <w:t>,</w:t>
      </w:r>
      <w:r w:rsidRPr="000B3069">
        <w:rPr>
          <w:rFonts w:ascii="Times New Roman" w:eastAsia="Times New Roman" w:hAnsi="Times New Roman" w:cs="Times New Roman"/>
          <w:color w:val="222222"/>
          <w:sz w:val="24"/>
          <w:szCs w:val="24"/>
          <w:lang w:val="en-GB" w:eastAsia="en-GB"/>
        </w:rPr>
        <w:t xml:space="preserve"> 2015. Cheap talk? Strategy presentations as a form of chief executive officer impression management. Published online </w:t>
      </w:r>
      <w:r w:rsidRPr="00AF2259">
        <w:rPr>
          <w:rFonts w:ascii="Times New Roman" w:eastAsia="Times New Roman" w:hAnsi="Times New Roman" w:cs="Times New Roman"/>
          <w:iCs/>
          <w:color w:val="222222"/>
          <w:sz w:val="24"/>
          <w:szCs w:val="24"/>
          <w:lang w:val="en-GB" w:eastAsia="en-GB"/>
        </w:rPr>
        <w:t>Strategic Management Journal</w:t>
      </w:r>
      <w:r w:rsidRPr="000B3069">
        <w:rPr>
          <w:rFonts w:ascii="Times New Roman" w:eastAsia="Times New Roman" w:hAnsi="Times New Roman" w:cs="Times New Roman"/>
          <w:color w:val="222222"/>
          <w:sz w:val="24"/>
          <w:szCs w:val="24"/>
          <w:lang w:val="en-GB" w:eastAsia="en-GB"/>
        </w:rPr>
        <w:t xml:space="preserve">. </w:t>
      </w:r>
    </w:p>
    <w:p w14:paraId="7058FA71" w14:textId="77777777" w:rsidR="003910B3" w:rsidRPr="00667CF7"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Wiersema, M. F., Zhang, Y. A., 2013</w:t>
      </w:r>
      <w:r w:rsidRPr="00667CF7">
        <w:rPr>
          <w:rFonts w:ascii="Times New Roman" w:eastAsiaTheme="minorEastAsia" w:hAnsi="Times New Roman" w:cs="Times New Roman"/>
          <w:color w:val="1A1A1A"/>
          <w:sz w:val="24"/>
          <w:szCs w:val="24"/>
        </w:rPr>
        <w:t xml:space="preserve">. Executive turnover in the stock option backdating wave: The impact of social context. </w:t>
      </w:r>
      <w:r w:rsidRPr="00667CF7">
        <w:rPr>
          <w:rFonts w:ascii="Times New Roman" w:eastAsiaTheme="minorEastAsia" w:hAnsi="Times New Roman" w:cs="Times New Roman"/>
          <w:iCs/>
          <w:color w:val="1A1A1A"/>
          <w:sz w:val="24"/>
          <w:szCs w:val="24"/>
        </w:rPr>
        <w:t>Strategic Management Journal</w:t>
      </w:r>
      <w:r w:rsidRPr="00667CF7">
        <w:rPr>
          <w:rFonts w:ascii="Times New Roman" w:eastAsiaTheme="minorEastAsia" w:hAnsi="Times New Roman" w:cs="Times New Roman"/>
          <w:color w:val="1A1A1A"/>
          <w:sz w:val="24"/>
          <w:szCs w:val="24"/>
        </w:rPr>
        <w:t xml:space="preserve"> </w:t>
      </w:r>
      <w:r w:rsidRPr="00667CF7">
        <w:rPr>
          <w:rFonts w:ascii="Times New Roman" w:eastAsiaTheme="minorEastAsia" w:hAnsi="Times New Roman" w:cs="Times New Roman"/>
          <w:iCs/>
          <w:color w:val="1A1A1A"/>
          <w:sz w:val="24"/>
          <w:szCs w:val="24"/>
        </w:rPr>
        <w:t>34</w:t>
      </w:r>
      <w:r w:rsidRPr="00667CF7">
        <w:rPr>
          <w:rFonts w:ascii="Times New Roman" w:eastAsiaTheme="minorEastAsia" w:hAnsi="Times New Roman" w:cs="Times New Roman"/>
          <w:color w:val="1A1A1A"/>
          <w:sz w:val="24"/>
          <w:szCs w:val="24"/>
        </w:rPr>
        <w:t>, 590-609.</w:t>
      </w:r>
    </w:p>
    <w:p w14:paraId="4FE7CE80" w14:textId="77777777" w:rsidR="003910B3" w:rsidRPr="00667CF7"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667CF7">
        <w:rPr>
          <w:rFonts w:ascii="Times New Roman" w:eastAsiaTheme="minorEastAsia" w:hAnsi="Times New Roman" w:cs="Times New Roman"/>
          <w:color w:val="1A1A1A"/>
          <w:sz w:val="24"/>
          <w:szCs w:val="24"/>
        </w:rPr>
        <w:t>Zajac, E. J.</w:t>
      </w:r>
      <w:r>
        <w:rPr>
          <w:rFonts w:ascii="Times New Roman" w:eastAsiaTheme="minorEastAsia" w:hAnsi="Times New Roman" w:cs="Times New Roman"/>
          <w:color w:val="1A1A1A"/>
          <w:sz w:val="24"/>
          <w:szCs w:val="24"/>
        </w:rPr>
        <w:t>, 1990</w:t>
      </w:r>
      <w:r w:rsidRPr="00667CF7">
        <w:rPr>
          <w:rFonts w:ascii="Times New Roman" w:eastAsiaTheme="minorEastAsia" w:hAnsi="Times New Roman" w:cs="Times New Roman"/>
          <w:color w:val="1A1A1A"/>
          <w:sz w:val="24"/>
          <w:szCs w:val="24"/>
        </w:rPr>
        <w:t xml:space="preserve">. CEO selection, succession, compensation and firm performance: A theoretical integration and empirical analysis. </w:t>
      </w:r>
      <w:r w:rsidRPr="00667CF7">
        <w:rPr>
          <w:rFonts w:ascii="Times New Roman" w:eastAsiaTheme="minorEastAsia" w:hAnsi="Times New Roman" w:cs="Times New Roman"/>
          <w:iCs/>
          <w:color w:val="1A1A1A"/>
          <w:sz w:val="24"/>
          <w:szCs w:val="24"/>
        </w:rPr>
        <w:t>Strategic Management Journal</w:t>
      </w:r>
      <w:r w:rsidRPr="00667CF7">
        <w:rPr>
          <w:rFonts w:ascii="Times New Roman" w:eastAsiaTheme="minorEastAsia" w:hAnsi="Times New Roman" w:cs="Times New Roman"/>
          <w:color w:val="1A1A1A"/>
          <w:sz w:val="24"/>
          <w:szCs w:val="24"/>
        </w:rPr>
        <w:t xml:space="preserve"> </w:t>
      </w:r>
      <w:r w:rsidRPr="00667CF7">
        <w:rPr>
          <w:rFonts w:ascii="Times New Roman" w:eastAsiaTheme="minorEastAsia" w:hAnsi="Times New Roman" w:cs="Times New Roman"/>
          <w:iCs/>
          <w:color w:val="1A1A1A"/>
          <w:sz w:val="24"/>
          <w:szCs w:val="24"/>
        </w:rPr>
        <w:t>11</w:t>
      </w:r>
      <w:r w:rsidRPr="00667CF7">
        <w:rPr>
          <w:rFonts w:ascii="Times New Roman" w:eastAsiaTheme="minorEastAsia" w:hAnsi="Times New Roman" w:cs="Times New Roman"/>
          <w:color w:val="1A1A1A"/>
          <w:sz w:val="24"/>
          <w:szCs w:val="24"/>
        </w:rPr>
        <w:t>, 217-230.</w:t>
      </w:r>
    </w:p>
    <w:p w14:paraId="0AE9F2A6" w14:textId="4172F397" w:rsidR="003910B3" w:rsidRPr="00667CF7"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sidRPr="00667CF7">
        <w:rPr>
          <w:rFonts w:ascii="Times New Roman" w:eastAsiaTheme="minorEastAsia" w:hAnsi="Times New Roman" w:cs="Times New Roman"/>
          <w:color w:val="1A1A1A"/>
          <w:sz w:val="24"/>
          <w:szCs w:val="24"/>
        </w:rPr>
        <w:lastRenderedPageBreak/>
        <w:t>Zenger, T.</w:t>
      </w:r>
      <w:r>
        <w:rPr>
          <w:rFonts w:ascii="Times New Roman" w:eastAsiaTheme="minorEastAsia" w:hAnsi="Times New Roman" w:cs="Times New Roman"/>
          <w:color w:val="1A1A1A"/>
          <w:sz w:val="24"/>
          <w:szCs w:val="24"/>
        </w:rPr>
        <w:t>, 2013</w:t>
      </w:r>
      <w:r w:rsidRPr="00667CF7">
        <w:rPr>
          <w:rFonts w:ascii="Times New Roman" w:eastAsiaTheme="minorEastAsia" w:hAnsi="Times New Roman" w:cs="Times New Roman"/>
          <w:color w:val="1A1A1A"/>
          <w:sz w:val="24"/>
          <w:szCs w:val="24"/>
        </w:rPr>
        <w:t xml:space="preserve">. Strategy: The uniqueness challenge. </w:t>
      </w:r>
      <w:r w:rsidRPr="00667CF7">
        <w:rPr>
          <w:rFonts w:ascii="Times New Roman" w:eastAsiaTheme="minorEastAsia" w:hAnsi="Times New Roman" w:cs="Times New Roman"/>
          <w:iCs/>
          <w:color w:val="1A1A1A"/>
          <w:sz w:val="24"/>
          <w:szCs w:val="24"/>
        </w:rPr>
        <w:t>Harvard Business Review</w:t>
      </w:r>
      <w:r w:rsidRPr="00667CF7">
        <w:rPr>
          <w:rFonts w:ascii="Times New Roman" w:eastAsiaTheme="minorEastAsia" w:hAnsi="Times New Roman" w:cs="Times New Roman"/>
          <w:color w:val="1A1A1A"/>
          <w:sz w:val="24"/>
          <w:szCs w:val="24"/>
        </w:rPr>
        <w:t xml:space="preserve"> </w:t>
      </w:r>
      <w:r w:rsidRPr="00667CF7">
        <w:rPr>
          <w:rFonts w:ascii="Times New Roman" w:eastAsiaTheme="minorEastAsia" w:hAnsi="Times New Roman" w:cs="Times New Roman"/>
          <w:iCs/>
          <w:color w:val="1A1A1A"/>
          <w:sz w:val="24"/>
          <w:szCs w:val="24"/>
        </w:rPr>
        <w:t>91</w:t>
      </w:r>
      <w:r w:rsidRPr="00667CF7">
        <w:rPr>
          <w:rFonts w:ascii="Times New Roman" w:eastAsiaTheme="minorEastAsia" w:hAnsi="Times New Roman" w:cs="Times New Roman"/>
          <w:color w:val="1A1A1A"/>
          <w:sz w:val="24"/>
          <w:szCs w:val="24"/>
        </w:rPr>
        <w:t>, 52-</w:t>
      </w:r>
      <w:r w:rsidR="009A02EA">
        <w:rPr>
          <w:rFonts w:ascii="Times New Roman" w:eastAsiaTheme="minorEastAsia" w:hAnsi="Times New Roman" w:cs="Times New Roman"/>
          <w:color w:val="1A1A1A"/>
          <w:sz w:val="24"/>
          <w:szCs w:val="24"/>
        </w:rPr>
        <w:t>58</w:t>
      </w:r>
      <w:r w:rsidRPr="00667CF7">
        <w:rPr>
          <w:rFonts w:ascii="Times New Roman" w:eastAsiaTheme="minorEastAsia" w:hAnsi="Times New Roman" w:cs="Times New Roman"/>
          <w:color w:val="1A1A1A"/>
          <w:sz w:val="24"/>
          <w:szCs w:val="24"/>
        </w:rPr>
        <w:t>.</w:t>
      </w:r>
    </w:p>
    <w:p w14:paraId="4C0E7E3B" w14:textId="77777777" w:rsidR="003910B3" w:rsidRPr="00667CF7" w:rsidRDefault="003910B3" w:rsidP="003910B3">
      <w:pPr>
        <w:widowControl w:val="0"/>
        <w:autoSpaceDE w:val="0"/>
        <w:autoSpaceDN w:val="0"/>
        <w:adjustRightInd w:val="0"/>
        <w:spacing w:after="240" w:line="240" w:lineRule="auto"/>
        <w:ind w:left="567" w:hanging="567"/>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Zhang, Y., 2008</w:t>
      </w:r>
      <w:r w:rsidRPr="00667CF7">
        <w:rPr>
          <w:rFonts w:ascii="Times New Roman" w:eastAsiaTheme="minorEastAsia" w:hAnsi="Times New Roman" w:cs="Times New Roman"/>
          <w:color w:val="1A1A1A"/>
          <w:sz w:val="24"/>
          <w:szCs w:val="24"/>
        </w:rPr>
        <w:t xml:space="preserve">. Information asymmetry and the dismissal of newly appointed CEOs: An empirical investigation. </w:t>
      </w:r>
      <w:r w:rsidRPr="00667CF7">
        <w:rPr>
          <w:rFonts w:ascii="Times New Roman" w:eastAsiaTheme="minorEastAsia" w:hAnsi="Times New Roman" w:cs="Times New Roman"/>
          <w:iCs/>
          <w:color w:val="1A1A1A"/>
          <w:sz w:val="24"/>
          <w:szCs w:val="24"/>
        </w:rPr>
        <w:t>Strategic Management Journal</w:t>
      </w:r>
      <w:r w:rsidRPr="00667CF7">
        <w:rPr>
          <w:rFonts w:ascii="Times New Roman" w:eastAsiaTheme="minorEastAsia" w:hAnsi="Times New Roman" w:cs="Times New Roman"/>
          <w:color w:val="1A1A1A"/>
          <w:sz w:val="24"/>
          <w:szCs w:val="24"/>
        </w:rPr>
        <w:t xml:space="preserve"> </w:t>
      </w:r>
      <w:r w:rsidRPr="00667CF7">
        <w:rPr>
          <w:rFonts w:ascii="Times New Roman" w:eastAsiaTheme="minorEastAsia" w:hAnsi="Times New Roman" w:cs="Times New Roman"/>
          <w:iCs/>
          <w:color w:val="1A1A1A"/>
          <w:sz w:val="24"/>
          <w:szCs w:val="24"/>
        </w:rPr>
        <w:t>29</w:t>
      </w:r>
      <w:r w:rsidRPr="00667CF7">
        <w:rPr>
          <w:rFonts w:ascii="Times New Roman" w:eastAsiaTheme="minorEastAsia" w:hAnsi="Times New Roman" w:cs="Times New Roman"/>
          <w:color w:val="1A1A1A"/>
          <w:sz w:val="24"/>
          <w:szCs w:val="24"/>
        </w:rPr>
        <w:t>, 859-872.</w:t>
      </w:r>
    </w:p>
    <w:p w14:paraId="0ED097A0" w14:textId="5324B01E" w:rsidR="00796902" w:rsidRPr="00796902" w:rsidRDefault="00796902" w:rsidP="00796902">
      <w:pPr>
        <w:spacing w:after="0" w:line="240" w:lineRule="auto"/>
        <w:ind w:left="567" w:hanging="567"/>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Zhang, Y., Rajagopalan, N.</w:t>
      </w:r>
      <w:r w:rsidR="004146F6">
        <w:rPr>
          <w:rFonts w:ascii="Times New Roman" w:eastAsia="Times New Roman" w:hAnsi="Times New Roman" w:cs="Times New Roman"/>
          <w:color w:val="222222"/>
          <w:sz w:val="24"/>
          <w:szCs w:val="24"/>
          <w:lang w:val="en-GB" w:eastAsia="en-GB"/>
        </w:rPr>
        <w:t>,</w:t>
      </w:r>
      <w:r>
        <w:rPr>
          <w:rFonts w:ascii="Times New Roman" w:eastAsia="Times New Roman" w:hAnsi="Times New Roman" w:cs="Times New Roman"/>
          <w:color w:val="222222"/>
          <w:sz w:val="24"/>
          <w:szCs w:val="24"/>
          <w:lang w:val="en-GB" w:eastAsia="en-GB"/>
        </w:rPr>
        <w:t xml:space="preserve"> 2010</w:t>
      </w:r>
      <w:r w:rsidRPr="00796902">
        <w:rPr>
          <w:rFonts w:ascii="Times New Roman" w:eastAsia="Times New Roman" w:hAnsi="Times New Roman" w:cs="Times New Roman"/>
          <w:color w:val="222222"/>
          <w:sz w:val="24"/>
          <w:szCs w:val="24"/>
          <w:lang w:val="en-GB" w:eastAsia="en-GB"/>
        </w:rPr>
        <w:t xml:space="preserve">. Once an outsider, always an outsider? CEO origin, strategic change, and firm performance. </w:t>
      </w:r>
      <w:r w:rsidRPr="00796902">
        <w:rPr>
          <w:rFonts w:ascii="Times New Roman" w:eastAsia="Times New Roman" w:hAnsi="Times New Roman" w:cs="Times New Roman"/>
          <w:iCs/>
          <w:color w:val="222222"/>
          <w:sz w:val="24"/>
          <w:szCs w:val="24"/>
          <w:lang w:val="en-GB" w:eastAsia="en-GB"/>
        </w:rPr>
        <w:t>Strategic Management Journal</w:t>
      </w:r>
      <w:r w:rsidRPr="00796902">
        <w:rPr>
          <w:rFonts w:ascii="Times New Roman" w:eastAsia="Times New Roman" w:hAnsi="Times New Roman" w:cs="Times New Roman"/>
          <w:color w:val="222222"/>
          <w:sz w:val="24"/>
          <w:szCs w:val="24"/>
          <w:lang w:val="en-GB" w:eastAsia="en-GB"/>
        </w:rPr>
        <w:t xml:space="preserve">, </w:t>
      </w:r>
      <w:r w:rsidRPr="00796902">
        <w:rPr>
          <w:rFonts w:ascii="Times New Roman" w:eastAsia="Times New Roman" w:hAnsi="Times New Roman" w:cs="Times New Roman"/>
          <w:iCs/>
          <w:color w:val="222222"/>
          <w:sz w:val="24"/>
          <w:szCs w:val="24"/>
          <w:lang w:val="en-GB" w:eastAsia="en-GB"/>
        </w:rPr>
        <w:t>31</w:t>
      </w:r>
      <w:r w:rsidRPr="00796902">
        <w:rPr>
          <w:rFonts w:ascii="Times New Roman" w:eastAsia="Times New Roman" w:hAnsi="Times New Roman" w:cs="Times New Roman"/>
          <w:color w:val="222222"/>
          <w:sz w:val="24"/>
          <w:szCs w:val="24"/>
          <w:lang w:val="en-GB" w:eastAsia="en-GB"/>
        </w:rPr>
        <w:t>, 334-346.</w:t>
      </w:r>
    </w:p>
    <w:p w14:paraId="6B1D8E17" w14:textId="71F7B2A2" w:rsidR="003910B3" w:rsidRPr="00253BEB" w:rsidRDefault="003910B3" w:rsidP="00796902">
      <w:pPr>
        <w:autoSpaceDE w:val="0"/>
        <w:autoSpaceDN w:val="0"/>
        <w:adjustRightInd w:val="0"/>
        <w:spacing w:line="240" w:lineRule="auto"/>
        <w:ind w:left="720" w:hanging="720"/>
        <w:contextualSpacing/>
        <w:rPr>
          <w:rFonts w:ascii="Times New Roman" w:hAnsi="Times New Roman" w:cs="Times New Roman"/>
          <w:color w:val="000000" w:themeColor="text1"/>
          <w:sz w:val="24"/>
          <w:szCs w:val="24"/>
        </w:rPr>
      </w:pPr>
      <w:r w:rsidRPr="00253BEB">
        <w:rPr>
          <w:rFonts w:ascii="Times New Roman" w:hAnsi="Times New Roman" w:cs="Times New Roman"/>
          <w:color w:val="000000" w:themeColor="text1"/>
          <w:sz w:val="24"/>
          <w:szCs w:val="24"/>
        </w:rPr>
        <w:t>Zott, C., Huy Q. N., 2007.  How entrepreneurs use symbolic management to acquire resources. Administrative Science Quarterly 52, 70-105.</w:t>
      </w:r>
    </w:p>
    <w:p w14:paraId="35E648A8" w14:textId="77777777" w:rsidR="005F07B8" w:rsidRPr="00667CF7" w:rsidRDefault="005F07B8" w:rsidP="005F07B8">
      <w:pPr>
        <w:spacing w:line="240" w:lineRule="auto"/>
        <w:ind w:left="567" w:hanging="567"/>
        <w:contextualSpacing/>
        <w:rPr>
          <w:rFonts w:ascii="Times New Roman" w:hAnsi="Times New Roman" w:cs="Times New Roman"/>
          <w:sz w:val="24"/>
          <w:szCs w:val="24"/>
        </w:rPr>
      </w:pPr>
      <w:r w:rsidRPr="00667CF7">
        <w:rPr>
          <w:rFonts w:ascii="Times New Roman" w:hAnsi="Times New Roman" w:cs="Times New Roman"/>
          <w:sz w:val="24"/>
          <w:szCs w:val="24"/>
        </w:rPr>
        <w:t>Zuckerman, E.W., 2004. Structural incoherence and stock market activity. American Sociological Review 69, 405-432.</w:t>
      </w:r>
    </w:p>
    <w:p w14:paraId="55D564F9" w14:textId="77777777" w:rsidR="00074BC0" w:rsidRPr="003910B3" w:rsidRDefault="00074BC0" w:rsidP="00FB39DA">
      <w:pPr>
        <w:widowControl w:val="0"/>
        <w:autoSpaceDE w:val="0"/>
        <w:autoSpaceDN w:val="0"/>
        <w:adjustRightInd w:val="0"/>
        <w:spacing w:after="240" w:line="240" w:lineRule="auto"/>
        <w:rPr>
          <w:rFonts w:ascii="Times New Roman" w:eastAsiaTheme="minorEastAsia" w:hAnsi="Times New Roman" w:cs="Times New Roman"/>
          <w:color w:val="1A1A1A"/>
          <w:sz w:val="24"/>
          <w:szCs w:val="24"/>
        </w:rPr>
      </w:pPr>
    </w:p>
    <w:p w14:paraId="13FF339C" w14:textId="77777777" w:rsidR="00656779" w:rsidRDefault="00656779" w:rsidP="00FB39DA">
      <w:pPr>
        <w:widowControl w:val="0"/>
        <w:autoSpaceDE w:val="0"/>
        <w:autoSpaceDN w:val="0"/>
        <w:adjustRightInd w:val="0"/>
        <w:spacing w:after="240" w:line="240" w:lineRule="auto"/>
        <w:rPr>
          <w:rFonts w:ascii="Times New Roman" w:eastAsiaTheme="minorEastAsia" w:hAnsi="Times New Roman" w:cs="Times New Roman"/>
          <w:color w:val="1A1A1A"/>
          <w:sz w:val="24"/>
          <w:szCs w:val="24"/>
        </w:rPr>
        <w:sectPr w:rsidR="00656779" w:rsidSect="00D27E13">
          <w:footerReference w:type="even" r:id="rId12"/>
          <w:footerReference w:type="default" r:id="rId13"/>
          <w:pgSz w:w="11900" w:h="16840"/>
          <w:pgMar w:top="1440" w:right="1800" w:bottom="1440" w:left="1800" w:header="708" w:footer="708" w:gutter="0"/>
          <w:cols w:space="708"/>
          <w:docGrid w:linePitch="360"/>
        </w:sectPr>
      </w:pPr>
    </w:p>
    <w:p w14:paraId="0708B443" w14:textId="77777777" w:rsidR="006958FD" w:rsidRPr="009C6556" w:rsidRDefault="006958FD" w:rsidP="006958FD">
      <w:pPr>
        <w:spacing w:line="240" w:lineRule="auto"/>
        <w:contextualSpacing/>
        <w:rPr>
          <w:rFonts w:ascii="Times New Roman" w:hAnsi="Times New Roman" w:cs="Times New Roman"/>
          <w:b/>
          <w:sz w:val="20"/>
          <w:szCs w:val="20"/>
        </w:rPr>
      </w:pPr>
      <w:r w:rsidRPr="009C6556">
        <w:rPr>
          <w:rFonts w:ascii="Times New Roman" w:hAnsi="Times New Roman" w:cs="Times New Roman"/>
          <w:b/>
          <w:sz w:val="20"/>
          <w:szCs w:val="20"/>
        </w:rPr>
        <w:lastRenderedPageBreak/>
        <w:t>Table 1</w:t>
      </w:r>
    </w:p>
    <w:p w14:paraId="76EEBF70" w14:textId="768E3DAB" w:rsidR="0090136D" w:rsidRPr="009C6556" w:rsidRDefault="006958FD" w:rsidP="006958FD">
      <w:pPr>
        <w:spacing w:line="240" w:lineRule="auto"/>
        <w:contextualSpacing/>
        <w:rPr>
          <w:rFonts w:ascii="Times New Roman" w:hAnsi="Times New Roman" w:cs="Times New Roman"/>
          <w:sz w:val="20"/>
          <w:szCs w:val="20"/>
        </w:rPr>
      </w:pPr>
      <w:r w:rsidRPr="009C6556">
        <w:rPr>
          <w:rFonts w:ascii="Times New Roman" w:hAnsi="Times New Roman" w:cs="Times New Roman"/>
          <w:sz w:val="20"/>
          <w:szCs w:val="20"/>
        </w:rPr>
        <w:t>Descriptive statistics and correlations</w:t>
      </w:r>
    </w:p>
    <w:p w14:paraId="0EE8DB1D" w14:textId="77777777" w:rsidR="006958FD" w:rsidRDefault="006958FD" w:rsidP="006958FD">
      <w:pPr>
        <w:spacing w:line="240" w:lineRule="auto"/>
        <w:contextualSpacing/>
        <w:rPr>
          <w:rFonts w:ascii="Times New Roman" w:hAnsi="Times New Roman" w:cs="Times New Roman"/>
          <w:sz w:val="24"/>
          <w:szCs w:val="24"/>
        </w:rPr>
      </w:pPr>
    </w:p>
    <w:tbl>
      <w:tblPr>
        <w:tblStyle w:val="TableGrid"/>
        <w:tblW w:w="541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
        <w:gridCol w:w="2548"/>
        <w:gridCol w:w="721"/>
        <w:gridCol w:w="863"/>
        <w:gridCol w:w="574"/>
        <w:gridCol w:w="574"/>
        <w:gridCol w:w="574"/>
        <w:gridCol w:w="574"/>
        <w:gridCol w:w="574"/>
        <w:gridCol w:w="574"/>
        <w:gridCol w:w="574"/>
        <w:gridCol w:w="574"/>
        <w:gridCol w:w="574"/>
        <w:gridCol w:w="574"/>
        <w:gridCol w:w="577"/>
        <w:gridCol w:w="577"/>
        <w:gridCol w:w="577"/>
        <w:gridCol w:w="577"/>
        <w:gridCol w:w="577"/>
        <w:gridCol w:w="577"/>
        <w:gridCol w:w="577"/>
        <w:gridCol w:w="577"/>
        <w:gridCol w:w="565"/>
      </w:tblGrid>
      <w:tr w:rsidR="0090136D" w:rsidRPr="00AE0C1E" w14:paraId="52D29978" w14:textId="77777777" w:rsidTr="009C6556">
        <w:trPr>
          <w:cantSplit/>
          <w:trHeight w:hRule="exact" w:val="467"/>
        </w:trPr>
        <w:tc>
          <w:tcPr>
            <w:tcW w:w="96" w:type="pct"/>
            <w:tcBorders>
              <w:top w:val="single" w:sz="4" w:space="0" w:color="auto"/>
              <w:bottom w:val="single" w:sz="4" w:space="0" w:color="auto"/>
            </w:tcBorders>
            <w:vAlign w:val="center"/>
          </w:tcPr>
          <w:p w14:paraId="162A9B77" w14:textId="77777777" w:rsidR="00471F3A" w:rsidRPr="009C6556" w:rsidRDefault="00471F3A">
            <w:pPr>
              <w:spacing w:line="240" w:lineRule="auto"/>
              <w:ind w:left="-142"/>
              <w:contextualSpacing/>
              <w:jc w:val="center"/>
              <w:rPr>
                <w:b/>
                <w:sz w:val="16"/>
                <w:szCs w:val="16"/>
              </w:rPr>
            </w:pPr>
          </w:p>
        </w:tc>
        <w:tc>
          <w:tcPr>
            <w:tcW w:w="830" w:type="pct"/>
            <w:tcBorders>
              <w:top w:val="single" w:sz="4" w:space="0" w:color="auto"/>
              <w:bottom w:val="single" w:sz="4" w:space="0" w:color="auto"/>
            </w:tcBorders>
            <w:vAlign w:val="center"/>
          </w:tcPr>
          <w:p w14:paraId="7B9AD2FB" w14:textId="77777777" w:rsidR="00471F3A" w:rsidRPr="009C6556" w:rsidRDefault="00471F3A">
            <w:pPr>
              <w:spacing w:line="240" w:lineRule="auto"/>
              <w:contextualSpacing/>
              <w:jc w:val="center"/>
              <w:rPr>
                <w:b/>
                <w:sz w:val="16"/>
                <w:szCs w:val="16"/>
              </w:rPr>
            </w:pPr>
          </w:p>
        </w:tc>
        <w:tc>
          <w:tcPr>
            <w:tcW w:w="235" w:type="pct"/>
            <w:tcBorders>
              <w:top w:val="single" w:sz="4" w:space="0" w:color="auto"/>
              <w:bottom w:val="single" w:sz="4" w:space="0" w:color="auto"/>
            </w:tcBorders>
            <w:vAlign w:val="center"/>
          </w:tcPr>
          <w:p w14:paraId="7D9CF492" w14:textId="77777777" w:rsidR="00471F3A" w:rsidRPr="009C6556" w:rsidRDefault="00471F3A">
            <w:pPr>
              <w:spacing w:line="240" w:lineRule="auto"/>
              <w:contextualSpacing/>
              <w:jc w:val="center"/>
              <w:rPr>
                <w:b/>
                <w:sz w:val="16"/>
                <w:szCs w:val="16"/>
              </w:rPr>
            </w:pPr>
            <w:r w:rsidRPr="009C6556">
              <w:rPr>
                <w:b/>
                <w:sz w:val="16"/>
                <w:szCs w:val="16"/>
              </w:rPr>
              <w:t>Means</w:t>
            </w:r>
          </w:p>
        </w:tc>
        <w:tc>
          <w:tcPr>
            <w:tcW w:w="281" w:type="pct"/>
            <w:tcBorders>
              <w:top w:val="single" w:sz="4" w:space="0" w:color="auto"/>
              <w:bottom w:val="single" w:sz="4" w:space="0" w:color="auto"/>
            </w:tcBorders>
            <w:vAlign w:val="center"/>
          </w:tcPr>
          <w:p w14:paraId="095F7BF4" w14:textId="77777777" w:rsidR="00471F3A" w:rsidRPr="009C6556" w:rsidRDefault="00471F3A">
            <w:pPr>
              <w:spacing w:line="240" w:lineRule="auto"/>
              <w:contextualSpacing/>
              <w:jc w:val="center"/>
              <w:rPr>
                <w:b/>
                <w:sz w:val="16"/>
                <w:szCs w:val="16"/>
              </w:rPr>
            </w:pPr>
            <w:r w:rsidRPr="009C6556">
              <w:rPr>
                <w:b/>
                <w:sz w:val="16"/>
                <w:szCs w:val="16"/>
              </w:rPr>
              <w:t>Std. Dev.</w:t>
            </w:r>
          </w:p>
        </w:tc>
        <w:tc>
          <w:tcPr>
            <w:tcW w:w="187" w:type="pct"/>
            <w:tcBorders>
              <w:top w:val="single" w:sz="4" w:space="0" w:color="auto"/>
              <w:bottom w:val="single" w:sz="4" w:space="0" w:color="auto"/>
            </w:tcBorders>
            <w:vAlign w:val="center"/>
          </w:tcPr>
          <w:p w14:paraId="352F3660" w14:textId="01772472" w:rsidR="00471F3A" w:rsidRPr="009C6556" w:rsidRDefault="00471F3A">
            <w:pPr>
              <w:keepNext/>
              <w:keepLines/>
              <w:spacing w:before="200" w:line="240" w:lineRule="auto"/>
              <w:contextualSpacing/>
              <w:jc w:val="center"/>
              <w:outlineLvl w:val="3"/>
              <w:rPr>
                <w:b/>
                <w:sz w:val="16"/>
                <w:szCs w:val="16"/>
              </w:rPr>
            </w:pPr>
            <w:r w:rsidRPr="002C1BD3">
              <w:rPr>
                <w:b/>
                <w:sz w:val="16"/>
                <w:szCs w:val="16"/>
              </w:rPr>
              <w:t>1</w:t>
            </w:r>
          </w:p>
        </w:tc>
        <w:tc>
          <w:tcPr>
            <w:tcW w:w="187" w:type="pct"/>
            <w:tcBorders>
              <w:top w:val="single" w:sz="4" w:space="0" w:color="auto"/>
              <w:bottom w:val="single" w:sz="4" w:space="0" w:color="auto"/>
            </w:tcBorders>
            <w:vAlign w:val="center"/>
          </w:tcPr>
          <w:p w14:paraId="6F45D385" w14:textId="52BDCE21" w:rsidR="00471F3A" w:rsidRPr="009C6556" w:rsidRDefault="00471F3A">
            <w:pPr>
              <w:keepNext/>
              <w:keepLines/>
              <w:spacing w:before="200" w:line="240" w:lineRule="auto"/>
              <w:contextualSpacing/>
              <w:jc w:val="center"/>
              <w:outlineLvl w:val="3"/>
              <w:rPr>
                <w:b/>
                <w:sz w:val="16"/>
                <w:szCs w:val="16"/>
              </w:rPr>
            </w:pPr>
            <w:r w:rsidRPr="002C1BD3">
              <w:rPr>
                <w:b/>
                <w:sz w:val="16"/>
                <w:szCs w:val="16"/>
              </w:rPr>
              <w:t>2</w:t>
            </w:r>
          </w:p>
        </w:tc>
        <w:tc>
          <w:tcPr>
            <w:tcW w:w="187" w:type="pct"/>
            <w:tcBorders>
              <w:top w:val="single" w:sz="4" w:space="0" w:color="auto"/>
              <w:bottom w:val="single" w:sz="4" w:space="0" w:color="auto"/>
            </w:tcBorders>
            <w:vAlign w:val="center"/>
          </w:tcPr>
          <w:p w14:paraId="64D07C91" w14:textId="5699A1FA" w:rsidR="00471F3A" w:rsidRPr="009C6556" w:rsidRDefault="00471F3A">
            <w:pPr>
              <w:keepNext/>
              <w:keepLines/>
              <w:spacing w:before="200" w:line="240" w:lineRule="auto"/>
              <w:contextualSpacing/>
              <w:jc w:val="center"/>
              <w:outlineLvl w:val="3"/>
              <w:rPr>
                <w:b/>
                <w:sz w:val="16"/>
                <w:szCs w:val="16"/>
              </w:rPr>
            </w:pPr>
            <w:r w:rsidRPr="002C1BD3">
              <w:rPr>
                <w:b/>
                <w:sz w:val="16"/>
                <w:szCs w:val="16"/>
              </w:rPr>
              <w:t>3</w:t>
            </w:r>
          </w:p>
        </w:tc>
        <w:tc>
          <w:tcPr>
            <w:tcW w:w="187" w:type="pct"/>
            <w:tcBorders>
              <w:top w:val="single" w:sz="4" w:space="0" w:color="auto"/>
              <w:bottom w:val="single" w:sz="4" w:space="0" w:color="auto"/>
            </w:tcBorders>
            <w:vAlign w:val="center"/>
          </w:tcPr>
          <w:p w14:paraId="2D47AC35" w14:textId="5EE7DEE4" w:rsidR="00471F3A" w:rsidRPr="009C6556" w:rsidRDefault="00471F3A">
            <w:pPr>
              <w:keepNext/>
              <w:keepLines/>
              <w:spacing w:before="200" w:line="240" w:lineRule="auto"/>
              <w:contextualSpacing/>
              <w:jc w:val="center"/>
              <w:outlineLvl w:val="3"/>
              <w:rPr>
                <w:b/>
                <w:sz w:val="16"/>
                <w:szCs w:val="16"/>
              </w:rPr>
            </w:pPr>
            <w:r w:rsidRPr="002C1BD3">
              <w:rPr>
                <w:b/>
                <w:sz w:val="16"/>
                <w:szCs w:val="16"/>
              </w:rPr>
              <w:t>4</w:t>
            </w:r>
          </w:p>
        </w:tc>
        <w:tc>
          <w:tcPr>
            <w:tcW w:w="187" w:type="pct"/>
            <w:tcBorders>
              <w:top w:val="single" w:sz="4" w:space="0" w:color="auto"/>
              <w:bottom w:val="single" w:sz="4" w:space="0" w:color="auto"/>
            </w:tcBorders>
            <w:vAlign w:val="center"/>
          </w:tcPr>
          <w:p w14:paraId="31A62574" w14:textId="005EC053" w:rsidR="00471F3A" w:rsidRPr="009C6556" w:rsidRDefault="00471F3A">
            <w:pPr>
              <w:keepNext/>
              <w:keepLines/>
              <w:spacing w:before="200" w:line="240" w:lineRule="auto"/>
              <w:contextualSpacing/>
              <w:jc w:val="center"/>
              <w:outlineLvl w:val="3"/>
              <w:rPr>
                <w:b/>
                <w:sz w:val="16"/>
                <w:szCs w:val="16"/>
              </w:rPr>
            </w:pPr>
            <w:r w:rsidRPr="002C1BD3">
              <w:rPr>
                <w:b/>
                <w:sz w:val="16"/>
                <w:szCs w:val="16"/>
              </w:rPr>
              <w:t>5</w:t>
            </w:r>
          </w:p>
        </w:tc>
        <w:tc>
          <w:tcPr>
            <w:tcW w:w="187" w:type="pct"/>
            <w:tcBorders>
              <w:top w:val="single" w:sz="4" w:space="0" w:color="auto"/>
              <w:bottom w:val="single" w:sz="4" w:space="0" w:color="auto"/>
            </w:tcBorders>
            <w:vAlign w:val="center"/>
          </w:tcPr>
          <w:p w14:paraId="4DF78F75" w14:textId="4E04EE6B" w:rsidR="00471F3A" w:rsidRPr="009C6556" w:rsidRDefault="00471F3A">
            <w:pPr>
              <w:keepNext/>
              <w:keepLines/>
              <w:spacing w:before="200" w:line="240" w:lineRule="auto"/>
              <w:contextualSpacing/>
              <w:jc w:val="center"/>
              <w:outlineLvl w:val="3"/>
              <w:rPr>
                <w:b/>
                <w:sz w:val="16"/>
                <w:szCs w:val="16"/>
              </w:rPr>
            </w:pPr>
            <w:r w:rsidRPr="002C1BD3">
              <w:rPr>
                <w:b/>
                <w:sz w:val="16"/>
                <w:szCs w:val="16"/>
              </w:rPr>
              <w:t>6</w:t>
            </w:r>
          </w:p>
        </w:tc>
        <w:tc>
          <w:tcPr>
            <w:tcW w:w="187" w:type="pct"/>
            <w:tcBorders>
              <w:top w:val="single" w:sz="4" w:space="0" w:color="auto"/>
              <w:bottom w:val="single" w:sz="4" w:space="0" w:color="auto"/>
            </w:tcBorders>
            <w:vAlign w:val="center"/>
          </w:tcPr>
          <w:p w14:paraId="2D475DD0" w14:textId="2E3B568A" w:rsidR="00471F3A" w:rsidRPr="009C6556" w:rsidRDefault="00471F3A">
            <w:pPr>
              <w:keepNext/>
              <w:keepLines/>
              <w:spacing w:before="200" w:line="240" w:lineRule="auto"/>
              <w:contextualSpacing/>
              <w:jc w:val="center"/>
              <w:outlineLvl w:val="3"/>
              <w:rPr>
                <w:b/>
                <w:sz w:val="16"/>
                <w:szCs w:val="16"/>
              </w:rPr>
            </w:pPr>
            <w:r w:rsidRPr="002C1BD3">
              <w:rPr>
                <w:b/>
                <w:sz w:val="16"/>
                <w:szCs w:val="16"/>
              </w:rPr>
              <w:t>7</w:t>
            </w:r>
          </w:p>
        </w:tc>
        <w:tc>
          <w:tcPr>
            <w:tcW w:w="187" w:type="pct"/>
            <w:tcBorders>
              <w:top w:val="single" w:sz="4" w:space="0" w:color="auto"/>
              <w:bottom w:val="single" w:sz="4" w:space="0" w:color="auto"/>
            </w:tcBorders>
            <w:vAlign w:val="center"/>
          </w:tcPr>
          <w:p w14:paraId="25E6B407" w14:textId="3573C1ED" w:rsidR="00471F3A" w:rsidRPr="009C6556" w:rsidRDefault="00471F3A">
            <w:pPr>
              <w:keepNext/>
              <w:keepLines/>
              <w:spacing w:before="200" w:line="240" w:lineRule="auto"/>
              <w:contextualSpacing/>
              <w:jc w:val="center"/>
              <w:outlineLvl w:val="3"/>
              <w:rPr>
                <w:b/>
                <w:sz w:val="16"/>
                <w:szCs w:val="16"/>
              </w:rPr>
            </w:pPr>
            <w:r w:rsidRPr="002C1BD3">
              <w:rPr>
                <w:b/>
                <w:sz w:val="16"/>
                <w:szCs w:val="16"/>
              </w:rPr>
              <w:t>8</w:t>
            </w:r>
          </w:p>
        </w:tc>
        <w:tc>
          <w:tcPr>
            <w:tcW w:w="187" w:type="pct"/>
            <w:tcBorders>
              <w:top w:val="single" w:sz="4" w:space="0" w:color="auto"/>
              <w:bottom w:val="single" w:sz="4" w:space="0" w:color="auto"/>
            </w:tcBorders>
            <w:vAlign w:val="center"/>
          </w:tcPr>
          <w:p w14:paraId="1E95449D" w14:textId="34E37A1D" w:rsidR="00471F3A" w:rsidRPr="009C6556" w:rsidRDefault="00471F3A">
            <w:pPr>
              <w:keepNext/>
              <w:keepLines/>
              <w:spacing w:before="200" w:line="240" w:lineRule="auto"/>
              <w:contextualSpacing/>
              <w:jc w:val="center"/>
              <w:outlineLvl w:val="3"/>
              <w:rPr>
                <w:b/>
                <w:sz w:val="16"/>
                <w:szCs w:val="16"/>
              </w:rPr>
            </w:pPr>
            <w:r w:rsidRPr="002C1BD3">
              <w:rPr>
                <w:b/>
                <w:sz w:val="16"/>
                <w:szCs w:val="16"/>
              </w:rPr>
              <w:t>9</w:t>
            </w:r>
          </w:p>
        </w:tc>
        <w:tc>
          <w:tcPr>
            <w:tcW w:w="187" w:type="pct"/>
            <w:tcBorders>
              <w:top w:val="single" w:sz="4" w:space="0" w:color="auto"/>
              <w:bottom w:val="single" w:sz="4" w:space="0" w:color="auto"/>
            </w:tcBorders>
            <w:vAlign w:val="center"/>
          </w:tcPr>
          <w:p w14:paraId="5CA949CD" w14:textId="0613C7E9" w:rsidR="00471F3A" w:rsidRPr="009C6556" w:rsidRDefault="0046353F">
            <w:pPr>
              <w:keepNext/>
              <w:keepLines/>
              <w:spacing w:before="200" w:line="240" w:lineRule="auto"/>
              <w:contextualSpacing/>
              <w:jc w:val="center"/>
              <w:outlineLvl w:val="3"/>
              <w:rPr>
                <w:b/>
                <w:sz w:val="16"/>
                <w:szCs w:val="16"/>
              </w:rPr>
            </w:pPr>
            <w:r>
              <w:rPr>
                <w:b/>
                <w:sz w:val="16"/>
                <w:szCs w:val="16"/>
              </w:rPr>
              <w:t>10</w:t>
            </w:r>
          </w:p>
        </w:tc>
        <w:tc>
          <w:tcPr>
            <w:tcW w:w="188" w:type="pct"/>
            <w:tcBorders>
              <w:top w:val="single" w:sz="4" w:space="0" w:color="auto"/>
              <w:bottom w:val="single" w:sz="4" w:space="0" w:color="auto"/>
            </w:tcBorders>
            <w:vAlign w:val="center"/>
          </w:tcPr>
          <w:p w14:paraId="65811284" w14:textId="3FE8E5AD" w:rsidR="00471F3A" w:rsidRPr="009C6556" w:rsidRDefault="0046353F">
            <w:pPr>
              <w:keepNext/>
              <w:keepLines/>
              <w:spacing w:before="200" w:line="240" w:lineRule="auto"/>
              <w:contextualSpacing/>
              <w:jc w:val="center"/>
              <w:outlineLvl w:val="3"/>
              <w:rPr>
                <w:b/>
                <w:sz w:val="16"/>
                <w:szCs w:val="16"/>
              </w:rPr>
            </w:pPr>
            <w:r>
              <w:rPr>
                <w:b/>
                <w:sz w:val="16"/>
                <w:szCs w:val="16"/>
              </w:rPr>
              <w:t>11</w:t>
            </w:r>
          </w:p>
        </w:tc>
        <w:tc>
          <w:tcPr>
            <w:tcW w:w="188" w:type="pct"/>
            <w:tcBorders>
              <w:top w:val="single" w:sz="4" w:space="0" w:color="auto"/>
              <w:bottom w:val="single" w:sz="4" w:space="0" w:color="auto"/>
            </w:tcBorders>
            <w:vAlign w:val="center"/>
          </w:tcPr>
          <w:p w14:paraId="23B03203" w14:textId="64BFE1E1" w:rsidR="00471F3A" w:rsidRPr="009C6556" w:rsidRDefault="0046353F">
            <w:pPr>
              <w:keepNext/>
              <w:keepLines/>
              <w:spacing w:before="200" w:line="240" w:lineRule="auto"/>
              <w:contextualSpacing/>
              <w:jc w:val="center"/>
              <w:outlineLvl w:val="3"/>
              <w:rPr>
                <w:b/>
                <w:sz w:val="16"/>
                <w:szCs w:val="16"/>
              </w:rPr>
            </w:pPr>
            <w:r>
              <w:rPr>
                <w:b/>
                <w:sz w:val="16"/>
                <w:szCs w:val="16"/>
              </w:rPr>
              <w:t>12</w:t>
            </w:r>
          </w:p>
        </w:tc>
        <w:tc>
          <w:tcPr>
            <w:tcW w:w="188" w:type="pct"/>
            <w:tcBorders>
              <w:top w:val="single" w:sz="4" w:space="0" w:color="auto"/>
              <w:bottom w:val="single" w:sz="4" w:space="0" w:color="auto"/>
            </w:tcBorders>
            <w:vAlign w:val="center"/>
          </w:tcPr>
          <w:p w14:paraId="397B71AF" w14:textId="3049723F" w:rsidR="00471F3A" w:rsidRPr="009C6556" w:rsidRDefault="0046353F">
            <w:pPr>
              <w:keepNext/>
              <w:keepLines/>
              <w:spacing w:before="200" w:line="240" w:lineRule="auto"/>
              <w:contextualSpacing/>
              <w:jc w:val="center"/>
              <w:outlineLvl w:val="3"/>
              <w:rPr>
                <w:b/>
                <w:sz w:val="16"/>
                <w:szCs w:val="16"/>
              </w:rPr>
            </w:pPr>
            <w:r>
              <w:rPr>
                <w:b/>
                <w:sz w:val="16"/>
                <w:szCs w:val="16"/>
              </w:rPr>
              <w:t>13</w:t>
            </w:r>
          </w:p>
        </w:tc>
        <w:tc>
          <w:tcPr>
            <w:tcW w:w="188" w:type="pct"/>
            <w:tcBorders>
              <w:top w:val="single" w:sz="4" w:space="0" w:color="auto"/>
              <w:bottom w:val="single" w:sz="4" w:space="0" w:color="auto"/>
            </w:tcBorders>
            <w:vAlign w:val="center"/>
          </w:tcPr>
          <w:p w14:paraId="4FC5232F" w14:textId="0CB097E2" w:rsidR="00471F3A" w:rsidRPr="009C6556" w:rsidRDefault="0046353F">
            <w:pPr>
              <w:keepNext/>
              <w:keepLines/>
              <w:spacing w:before="200" w:line="240" w:lineRule="auto"/>
              <w:contextualSpacing/>
              <w:jc w:val="center"/>
              <w:outlineLvl w:val="3"/>
              <w:rPr>
                <w:b/>
                <w:sz w:val="16"/>
                <w:szCs w:val="16"/>
              </w:rPr>
            </w:pPr>
            <w:r>
              <w:rPr>
                <w:b/>
                <w:sz w:val="16"/>
                <w:szCs w:val="16"/>
              </w:rPr>
              <w:t>14</w:t>
            </w:r>
          </w:p>
        </w:tc>
        <w:tc>
          <w:tcPr>
            <w:tcW w:w="188" w:type="pct"/>
            <w:tcBorders>
              <w:top w:val="single" w:sz="4" w:space="0" w:color="auto"/>
              <w:bottom w:val="single" w:sz="4" w:space="0" w:color="auto"/>
            </w:tcBorders>
            <w:vAlign w:val="center"/>
          </w:tcPr>
          <w:p w14:paraId="58E3AF65" w14:textId="6DBF6708" w:rsidR="00471F3A" w:rsidRPr="009C6556" w:rsidRDefault="0046353F">
            <w:pPr>
              <w:keepNext/>
              <w:keepLines/>
              <w:spacing w:before="200" w:line="240" w:lineRule="auto"/>
              <w:contextualSpacing/>
              <w:jc w:val="center"/>
              <w:outlineLvl w:val="3"/>
              <w:rPr>
                <w:b/>
                <w:sz w:val="16"/>
                <w:szCs w:val="16"/>
              </w:rPr>
            </w:pPr>
            <w:r>
              <w:rPr>
                <w:b/>
                <w:sz w:val="16"/>
                <w:szCs w:val="16"/>
              </w:rPr>
              <w:t>15</w:t>
            </w:r>
          </w:p>
        </w:tc>
        <w:tc>
          <w:tcPr>
            <w:tcW w:w="188" w:type="pct"/>
            <w:tcBorders>
              <w:top w:val="single" w:sz="4" w:space="0" w:color="auto"/>
              <w:bottom w:val="single" w:sz="4" w:space="0" w:color="auto"/>
            </w:tcBorders>
            <w:vAlign w:val="center"/>
          </w:tcPr>
          <w:p w14:paraId="31CC900E" w14:textId="62E08501" w:rsidR="00471F3A" w:rsidRPr="009C6556" w:rsidRDefault="0046353F">
            <w:pPr>
              <w:keepNext/>
              <w:keepLines/>
              <w:spacing w:before="200" w:line="240" w:lineRule="auto"/>
              <w:contextualSpacing/>
              <w:jc w:val="center"/>
              <w:outlineLvl w:val="3"/>
              <w:rPr>
                <w:b/>
                <w:sz w:val="16"/>
                <w:szCs w:val="16"/>
              </w:rPr>
            </w:pPr>
            <w:r>
              <w:rPr>
                <w:b/>
                <w:sz w:val="16"/>
                <w:szCs w:val="16"/>
              </w:rPr>
              <w:t>16</w:t>
            </w:r>
          </w:p>
        </w:tc>
        <w:tc>
          <w:tcPr>
            <w:tcW w:w="188" w:type="pct"/>
            <w:tcBorders>
              <w:top w:val="single" w:sz="4" w:space="0" w:color="auto"/>
              <w:bottom w:val="single" w:sz="4" w:space="0" w:color="auto"/>
            </w:tcBorders>
            <w:vAlign w:val="center"/>
          </w:tcPr>
          <w:p w14:paraId="0FBF452D" w14:textId="5A5B752B" w:rsidR="00471F3A" w:rsidRPr="009C6556" w:rsidRDefault="0046353F">
            <w:pPr>
              <w:keepNext/>
              <w:keepLines/>
              <w:spacing w:before="200" w:line="240" w:lineRule="auto"/>
              <w:contextualSpacing/>
              <w:jc w:val="center"/>
              <w:outlineLvl w:val="3"/>
              <w:rPr>
                <w:b/>
                <w:sz w:val="16"/>
                <w:szCs w:val="16"/>
              </w:rPr>
            </w:pPr>
            <w:r>
              <w:rPr>
                <w:b/>
                <w:sz w:val="16"/>
                <w:szCs w:val="16"/>
              </w:rPr>
              <w:t>17</w:t>
            </w:r>
          </w:p>
        </w:tc>
        <w:tc>
          <w:tcPr>
            <w:tcW w:w="188" w:type="pct"/>
            <w:tcBorders>
              <w:top w:val="single" w:sz="4" w:space="0" w:color="auto"/>
              <w:bottom w:val="single" w:sz="4" w:space="0" w:color="auto"/>
            </w:tcBorders>
            <w:vAlign w:val="center"/>
          </w:tcPr>
          <w:p w14:paraId="0CDCB140" w14:textId="01AACB7D" w:rsidR="00471F3A" w:rsidRPr="009C6556" w:rsidRDefault="0046353F">
            <w:pPr>
              <w:keepNext/>
              <w:keepLines/>
              <w:spacing w:before="200" w:line="240" w:lineRule="auto"/>
              <w:contextualSpacing/>
              <w:jc w:val="center"/>
              <w:outlineLvl w:val="3"/>
              <w:rPr>
                <w:b/>
                <w:sz w:val="16"/>
                <w:szCs w:val="16"/>
              </w:rPr>
            </w:pPr>
            <w:r>
              <w:rPr>
                <w:b/>
                <w:sz w:val="16"/>
                <w:szCs w:val="16"/>
              </w:rPr>
              <w:t>18</w:t>
            </w:r>
          </w:p>
        </w:tc>
        <w:tc>
          <w:tcPr>
            <w:tcW w:w="184" w:type="pct"/>
            <w:tcBorders>
              <w:top w:val="single" w:sz="4" w:space="0" w:color="auto"/>
              <w:bottom w:val="single" w:sz="4" w:space="0" w:color="auto"/>
            </w:tcBorders>
            <w:vAlign w:val="center"/>
          </w:tcPr>
          <w:p w14:paraId="37CD8BE4" w14:textId="104D3E39" w:rsidR="00471F3A" w:rsidRPr="009C6556" w:rsidRDefault="0046353F">
            <w:pPr>
              <w:keepNext/>
              <w:keepLines/>
              <w:spacing w:before="200" w:line="240" w:lineRule="auto"/>
              <w:contextualSpacing/>
              <w:jc w:val="center"/>
              <w:outlineLvl w:val="3"/>
              <w:rPr>
                <w:b/>
                <w:sz w:val="16"/>
                <w:szCs w:val="16"/>
              </w:rPr>
            </w:pPr>
            <w:r>
              <w:rPr>
                <w:b/>
                <w:sz w:val="16"/>
                <w:szCs w:val="16"/>
              </w:rPr>
              <w:t>19</w:t>
            </w:r>
          </w:p>
        </w:tc>
      </w:tr>
      <w:tr w:rsidR="0090136D" w:rsidRPr="002C1BD3" w14:paraId="27FF40F6" w14:textId="77777777" w:rsidTr="009C6556">
        <w:trPr>
          <w:cantSplit/>
          <w:trHeight w:hRule="exact" w:val="388"/>
        </w:trPr>
        <w:tc>
          <w:tcPr>
            <w:tcW w:w="96" w:type="pct"/>
            <w:tcBorders>
              <w:top w:val="single" w:sz="4" w:space="0" w:color="auto"/>
            </w:tcBorders>
            <w:vAlign w:val="center"/>
          </w:tcPr>
          <w:p w14:paraId="43447237" w14:textId="77777777" w:rsidR="00471F3A" w:rsidRPr="002C1BD3" w:rsidRDefault="00471F3A" w:rsidP="00AE0C1E">
            <w:pPr>
              <w:spacing w:line="240" w:lineRule="auto"/>
              <w:ind w:left="-142"/>
              <w:contextualSpacing/>
              <w:jc w:val="center"/>
              <w:rPr>
                <w:b/>
                <w:sz w:val="16"/>
                <w:szCs w:val="16"/>
              </w:rPr>
            </w:pPr>
            <w:r w:rsidRPr="002C1BD3">
              <w:rPr>
                <w:b/>
                <w:sz w:val="16"/>
                <w:szCs w:val="16"/>
              </w:rPr>
              <w:t>1</w:t>
            </w:r>
          </w:p>
        </w:tc>
        <w:tc>
          <w:tcPr>
            <w:tcW w:w="830" w:type="pct"/>
            <w:tcBorders>
              <w:top w:val="single" w:sz="4" w:space="0" w:color="auto"/>
            </w:tcBorders>
            <w:vAlign w:val="center"/>
          </w:tcPr>
          <w:p w14:paraId="33DE6DBD" w14:textId="77777777" w:rsidR="00471F3A" w:rsidRPr="002C1BD3" w:rsidRDefault="00471F3A" w:rsidP="00AE0C1E">
            <w:pPr>
              <w:spacing w:line="240" w:lineRule="auto"/>
              <w:contextualSpacing/>
              <w:rPr>
                <w:b/>
                <w:sz w:val="16"/>
                <w:szCs w:val="16"/>
              </w:rPr>
            </w:pPr>
            <w:r w:rsidRPr="002C1BD3">
              <w:rPr>
                <w:b/>
                <w:sz w:val="16"/>
                <w:szCs w:val="16"/>
              </w:rPr>
              <w:t>Voluntary M&amp;A announcements</w:t>
            </w:r>
          </w:p>
        </w:tc>
        <w:tc>
          <w:tcPr>
            <w:tcW w:w="235" w:type="pct"/>
            <w:tcBorders>
              <w:top w:val="single" w:sz="4" w:space="0" w:color="auto"/>
            </w:tcBorders>
            <w:vAlign w:val="center"/>
          </w:tcPr>
          <w:p w14:paraId="7724C99E" w14:textId="77777777" w:rsidR="00471F3A" w:rsidRPr="002C1BD3" w:rsidRDefault="00471F3A" w:rsidP="00AE0C1E">
            <w:pPr>
              <w:spacing w:line="240" w:lineRule="auto"/>
              <w:contextualSpacing/>
              <w:jc w:val="center"/>
              <w:rPr>
                <w:sz w:val="16"/>
                <w:szCs w:val="16"/>
              </w:rPr>
            </w:pPr>
            <w:r w:rsidRPr="002C1BD3">
              <w:rPr>
                <w:sz w:val="16"/>
                <w:szCs w:val="16"/>
              </w:rPr>
              <w:t>1.82</w:t>
            </w:r>
          </w:p>
        </w:tc>
        <w:tc>
          <w:tcPr>
            <w:tcW w:w="281" w:type="pct"/>
            <w:tcBorders>
              <w:top w:val="single" w:sz="4" w:space="0" w:color="auto"/>
            </w:tcBorders>
            <w:vAlign w:val="center"/>
          </w:tcPr>
          <w:p w14:paraId="5957AA0F" w14:textId="77777777" w:rsidR="00471F3A" w:rsidRPr="002C1BD3" w:rsidRDefault="00471F3A" w:rsidP="00AE0C1E">
            <w:pPr>
              <w:spacing w:line="240" w:lineRule="auto"/>
              <w:contextualSpacing/>
              <w:jc w:val="center"/>
              <w:rPr>
                <w:sz w:val="16"/>
                <w:szCs w:val="16"/>
              </w:rPr>
            </w:pPr>
            <w:r w:rsidRPr="002C1BD3">
              <w:rPr>
                <w:sz w:val="16"/>
                <w:szCs w:val="16"/>
              </w:rPr>
              <w:t>0.43</w:t>
            </w:r>
          </w:p>
        </w:tc>
        <w:tc>
          <w:tcPr>
            <w:tcW w:w="187" w:type="pct"/>
            <w:tcBorders>
              <w:top w:val="single" w:sz="4" w:space="0" w:color="auto"/>
            </w:tcBorders>
            <w:vAlign w:val="center"/>
          </w:tcPr>
          <w:p w14:paraId="4EE6743D" w14:textId="15D07C49"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tcBorders>
              <w:top w:val="single" w:sz="4" w:space="0" w:color="auto"/>
            </w:tcBorders>
            <w:vAlign w:val="center"/>
          </w:tcPr>
          <w:p w14:paraId="7A061FE6"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5802AF4B"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7A0BAA15"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2C88DFAA"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19F9564D"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0D707DC6"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2F95D871"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vAlign w:val="center"/>
          </w:tcPr>
          <w:p w14:paraId="229D33C8" w14:textId="77777777" w:rsidR="00471F3A" w:rsidRPr="002C1BD3" w:rsidRDefault="00471F3A" w:rsidP="00AE0C1E">
            <w:pPr>
              <w:spacing w:line="240" w:lineRule="auto"/>
              <w:contextualSpacing/>
              <w:jc w:val="center"/>
              <w:rPr>
                <w:sz w:val="16"/>
                <w:szCs w:val="16"/>
              </w:rPr>
            </w:pPr>
          </w:p>
        </w:tc>
        <w:tc>
          <w:tcPr>
            <w:tcW w:w="187" w:type="pct"/>
            <w:tcBorders>
              <w:top w:val="single" w:sz="4" w:space="0" w:color="auto"/>
            </w:tcBorders>
          </w:tcPr>
          <w:p w14:paraId="397B1850" w14:textId="5F760D3B"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42608A42"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0CA4CD9D"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2970A607"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619E118A"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0813C16A"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78EFB0A8"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1E59233B" w14:textId="77777777" w:rsidR="00471F3A" w:rsidRPr="002C1BD3" w:rsidRDefault="00471F3A" w:rsidP="00AE0C1E">
            <w:pPr>
              <w:spacing w:line="240" w:lineRule="auto"/>
              <w:contextualSpacing/>
              <w:jc w:val="center"/>
              <w:rPr>
                <w:sz w:val="16"/>
                <w:szCs w:val="16"/>
              </w:rPr>
            </w:pPr>
          </w:p>
        </w:tc>
        <w:tc>
          <w:tcPr>
            <w:tcW w:w="188" w:type="pct"/>
            <w:tcBorders>
              <w:top w:val="single" w:sz="4" w:space="0" w:color="auto"/>
            </w:tcBorders>
          </w:tcPr>
          <w:p w14:paraId="581A8D47" w14:textId="77777777" w:rsidR="00471F3A" w:rsidRPr="002C1BD3" w:rsidRDefault="00471F3A" w:rsidP="00AE0C1E">
            <w:pPr>
              <w:spacing w:line="240" w:lineRule="auto"/>
              <w:contextualSpacing/>
              <w:jc w:val="center"/>
              <w:rPr>
                <w:sz w:val="16"/>
                <w:szCs w:val="16"/>
              </w:rPr>
            </w:pPr>
          </w:p>
        </w:tc>
        <w:tc>
          <w:tcPr>
            <w:tcW w:w="184" w:type="pct"/>
            <w:tcBorders>
              <w:top w:val="single" w:sz="4" w:space="0" w:color="auto"/>
            </w:tcBorders>
          </w:tcPr>
          <w:p w14:paraId="5CA94E32" w14:textId="09889721" w:rsidR="00471F3A" w:rsidRPr="002C1BD3" w:rsidRDefault="00471F3A" w:rsidP="00AE0C1E">
            <w:pPr>
              <w:spacing w:line="240" w:lineRule="auto"/>
              <w:contextualSpacing/>
              <w:jc w:val="center"/>
              <w:rPr>
                <w:sz w:val="16"/>
                <w:szCs w:val="16"/>
              </w:rPr>
            </w:pPr>
          </w:p>
        </w:tc>
      </w:tr>
      <w:tr w:rsidR="0090136D" w:rsidRPr="002C1BD3" w14:paraId="37F41FEE" w14:textId="77777777" w:rsidTr="009C6556">
        <w:trPr>
          <w:cantSplit/>
          <w:trHeight w:hRule="exact" w:val="388"/>
        </w:trPr>
        <w:tc>
          <w:tcPr>
            <w:tcW w:w="96" w:type="pct"/>
            <w:vAlign w:val="center"/>
          </w:tcPr>
          <w:p w14:paraId="066BD7BD" w14:textId="77777777" w:rsidR="00471F3A" w:rsidRPr="002C1BD3" w:rsidRDefault="00471F3A" w:rsidP="00AE0C1E">
            <w:pPr>
              <w:spacing w:line="240" w:lineRule="auto"/>
              <w:ind w:left="-142"/>
              <w:contextualSpacing/>
              <w:jc w:val="center"/>
              <w:rPr>
                <w:b/>
                <w:sz w:val="16"/>
                <w:szCs w:val="16"/>
              </w:rPr>
            </w:pPr>
            <w:r w:rsidRPr="002C1BD3">
              <w:rPr>
                <w:b/>
                <w:sz w:val="16"/>
                <w:szCs w:val="16"/>
              </w:rPr>
              <w:t>2</w:t>
            </w:r>
          </w:p>
        </w:tc>
        <w:tc>
          <w:tcPr>
            <w:tcW w:w="830" w:type="pct"/>
            <w:vAlign w:val="center"/>
          </w:tcPr>
          <w:p w14:paraId="7240343D" w14:textId="77777777" w:rsidR="00471F3A" w:rsidRPr="002C1BD3" w:rsidRDefault="00471F3A" w:rsidP="00AE0C1E">
            <w:pPr>
              <w:spacing w:line="240" w:lineRule="auto"/>
              <w:contextualSpacing/>
              <w:rPr>
                <w:b/>
                <w:sz w:val="16"/>
                <w:szCs w:val="16"/>
              </w:rPr>
            </w:pPr>
            <w:r w:rsidRPr="002C1BD3">
              <w:rPr>
                <w:b/>
                <w:sz w:val="16"/>
                <w:szCs w:val="16"/>
              </w:rPr>
              <w:t>Strategic variation</w:t>
            </w:r>
          </w:p>
        </w:tc>
        <w:tc>
          <w:tcPr>
            <w:tcW w:w="235" w:type="pct"/>
            <w:vAlign w:val="center"/>
          </w:tcPr>
          <w:p w14:paraId="24210C69" w14:textId="77777777" w:rsidR="00471F3A" w:rsidRPr="002C1BD3" w:rsidRDefault="00471F3A" w:rsidP="00AE0C1E">
            <w:pPr>
              <w:spacing w:line="240" w:lineRule="auto"/>
              <w:contextualSpacing/>
              <w:jc w:val="center"/>
              <w:rPr>
                <w:sz w:val="16"/>
                <w:szCs w:val="16"/>
              </w:rPr>
            </w:pPr>
            <w:r w:rsidRPr="002C1BD3">
              <w:rPr>
                <w:sz w:val="16"/>
                <w:szCs w:val="16"/>
              </w:rPr>
              <w:t>-0.97</w:t>
            </w:r>
          </w:p>
        </w:tc>
        <w:tc>
          <w:tcPr>
            <w:tcW w:w="281" w:type="pct"/>
            <w:vAlign w:val="center"/>
          </w:tcPr>
          <w:p w14:paraId="22E5E28D" w14:textId="77777777" w:rsidR="00471F3A" w:rsidRPr="002C1BD3" w:rsidRDefault="00471F3A" w:rsidP="00AE0C1E">
            <w:pPr>
              <w:spacing w:line="240" w:lineRule="auto"/>
              <w:contextualSpacing/>
              <w:jc w:val="center"/>
              <w:rPr>
                <w:sz w:val="16"/>
                <w:szCs w:val="16"/>
              </w:rPr>
            </w:pPr>
            <w:r w:rsidRPr="002C1BD3">
              <w:rPr>
                <w:sz w:val="16"/>
                <w:szCs w:val="16"/>
              </w:rPr>
              <w:t>-0.54</w:t>
            </w:r>
          </w:p>
        </w:tc>
        <w:tc>
          <w:tcPr>
            <w:tcW w:w="187" w:type="pct"/>
            <w:vAlign w:val="center"/>
          </w:tcPr>
          <w:p w14:paraId="182E7107" w14:textId="7A3CB683" w:rsidR="00471F3A" w:rsidRPr="002C1BD3" w:rsidRDefault="00471F3A" w:rsidP="00AE0C1E">
            <w:pPr>
              <w:spacing w:line="240" w:lineRule="auto"/>
              <w:contextualSpacing/>
              <w:jc w:val="center"/>
              <w:rPr>
                <w:sz w:val="16"/>
                <w:szCs w:val="16"/>
              </w:rPr>
            </w:pPr>
            <w:r w:rsidRPr="002C1BD3">
              <w:rPr>
                <w:sz w:val="16"/>
                <w:szCs w:val="16"/>
              </w:rPr>
              <w:t>0.13</w:t>
            </w:r>
          </w:p>
        </w:tc>
        <w:tc>
          <w:tcPr>
            <w:tcW w:w="187" w:type="pct"/>
            <w:vAlign w:val="center"/>
          </w:tcPr>
          <w:p w14:paraId="48B2CC92" w14:textId="0632B010"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0E5ECB44" w14:textId="77777777" w:rsidR="00471F3A" w:rsidRPr="002C1BD3" w:rsidRDefault="00471F3A" w:rsidP="00AE0C1E">
            <w:pPr>
              <w:spacing w:line="240" w:lineRule="auto"/>
              <w:contextualSpacing/>
              <w:jc w:val="center"/>
              <w:rPr>
                <w:sz w:val="16"/>
                <w:szCs w:val="16"/>
              </w:rPr>
            </w:pPr>
          </w:p>
        </w:tc>
        <w:tc>
          <w:tcPr>
            <w:tcW w:w="187" w:type="pct"/>
            <w:vAlign w:val="center"/>
          </w:tcPr>
          <w:p w14:paraId="65A8BB74" w14:textId="77777777" w:rsidR="00471F3A" w:rsidRPr="002C1BD3" w:rsidRDefault="00471F3A" w:rsidP="00AE0C1E">
            <w:pPr>
              <w:spacing w:line="240" w:lineRule="auto"/>
              <w:contextualSpacing/>
              <w:jc w:val="center"/>
              <w:rPr>
                <w:sz w:val="16"/>
                <w:szCs w:val="16"/>
              </w:rPr>
            </w:pPr>
          </w:p>
        </w:tc>
        <w:tc>
          <w:tcPr>
            <w:tcW w:w="187" w:type="pct"/>
            <w:vAlign w:val="center"/>
          </w:tcPr>
          <w:p w14:paraId="152C437C" w14:textId="77777777" w:rsidR="00471F3A" w:rsidRPr="002C1BD3" w:rsidRDefault="00471F3A" w:rsidP="00AE0C1E">
            <w:pPr>
              <w:spacing w:line="240" w:lineRule="auto"/>
              <w:contextualSpacing/>
              <w:jc w:val="center"/>
              <w:rPr>
                <w:sz w:val="16"/>
                <w:szCs w:val="16"/>
              </w:rPr>
            </w:pPr>
          </w:p>
        </w:tc>
        <w:tc>
          <w:tcPr>
            <w:tcW w:w="187" w:type="pct"/>
            <w:vAlign w:val="center"/>
          </w:tcPr>
          <w:p w14:paraId="5E25A690" w14:textId="77777777" w:rsidR="00471F3A" w:rsidRPr="002C1BD3" w:rsidRDefault="00471F3A" w:rsidP="00AE0C1E">
            <w:pPr>
              <w:spacing w:line="240" w:lineRule="auto"/>
              <w:contextualSpacing/>
              <w:jc w:val="center"/>
              <w:rPr>
                <w:sz w:val="16"/>
                <w:szCs w:val="16"/>
              </w:rPr>
            </w:pPr>
          </w:p>
        </w:tc>
        <w:tc>
          <w:tcPr>
            <w:tcW w:w="187" w:type="pct"/>
            <w:vAlign w:val="center"/>
          </w:tcPr>
          <w:p w14:paraId="6573DD31" w14:textId="77777777" w:rsidR="00471F3A" w:rsidRPr="002C1BD3" w:rsidRDefault="00471F3A" w:rsidP="00AE0C1E">
            <w:pPr>
              <w:spacing w:line="240" w:lineRule="auto"/>
              <w:contextualSpacing/>
              <w:jc w:val="center"/>
              <w:rPr>
                <w:sz w:val="16"/>
                <w:szCs w:val="16"/>
              </w:rPr>
            </w:pPr>
          </w:p>
        </w:tc>
        <w:tc>
          <w:tcPr>
            <w:tcW w:w="187" w:type="pct"/>
            <w:vAlign w:val="center"/>
          </w:tcPr>
          <w:p w14:paraId="28F99CCF" w14:textId="77777777" w:rsidR="00471F3A" w:rsidRPr="002C1BD3" w:rsidRDefault="00471F3A" w:rsidP="00AE0C1E">
            <w:pPr>
              <w:spacing w:line="240" w:lineRule="auto"/>
              <w:contextualSpacing/>
              <w:jc w:val="center"/>
              <w:rPr>
                <w:sz w:val="16"/>
                <w:szCs w:val="16"/>
              </w:rPr>
            </w:pPr>
          </w:p>
        </w:tc>
        <w:tc>
          <w:tcPr>
            <w:tcW w:w="187" w:type="pct"/>
            <w:vAlign w:val="center"/>
          </w:tcPr>
          <w:p w14:paraId="0B017C48" w14:textId="77777777" w:rsidR="00471F3A" w:rsidRPr="002C1BD3" w:rsidRDefault="00471F3A" w:rsidP="00AE0C1E">
            <w:pPr>
              <w:spacing w:line="240" w:lineRule="auto"/>
              <w:contextualSpacing/>
              <w:jc w:val="center"/>
              <w:rPr>
                <w:sz w:val="16"/>
                <w:szCs w:val="16"/>
              </w:rPr>
            </w:pPr>
          </w:p>
        </w:tc>
        <w:tc>
          <w:tcPr>
            <w:tcW w:w="187" w:type="pct"/>
          </w:tcPr>
          <w:p w14:paraId="6B5527E2" w14:textId="03D83323" w:rsidR="00471F3A" w:rsidRPr="002C1BD3" w:rsidRDefault="00471F3A" w:rsidP="00AE0C1E">
            <w:pPr>
              <w:spacing w:line="240" w:lineRule="auto"/>
              <w:contextualSpacing/>
              <w:jc w:val="center"/>
              <w:rPr>
                <w:sz w:val="16"/>
                <w:szCs w:val="16"/>
              </w:rPr>
            </w:pPr>
          </w:p>
        </w:tc>
        <w:tc>
          <w:tcPr>
            <w:tcW w:w="188" w:type="pct"/>
          </w:tcPr>
          <w:p w14:paraId="3CE7EE68" w14:textId="77777777" w:rsidR="00471F3A" w:rsidRPr="002C1BD3" w:rsidRDefault="00471F3A" w:rsidP="00AE0C1E">
            <w:pPr>
              <w:spacing w:line="240" w:lineRule="auto"/>
              <w:contextualSpacing/>
              <w:jc w:val="center"/>
              <w:rPr>
                <w:sz w:val="16"/>
                <w:szCs w:val="16"/>
              </w:rPr>
            </w:pPr>
          </w:p>
        </w:tc>
        <w:tc>
          <w:tcPr>
            <w:tcW w:w="188" w:type="pct"/>
          </w:tcPr>
          <w:p w14:paraId="28B1D570" w14:textId="77777777" w:rsidR="00471F3A" w:rsidRPr="002C1BD3" w:rsidRDefault="00471F3A" w:rsidP="00AE0C1E">
            <w:pPr>
              <w:spacing w:line="240" w:lineRule="auto"/>
              <w:contextualSpacing/>
              <w:jc w:val="center"/>
              <w:rPr>
                <w:sz w:val="16"/>
                <w:szCs w:val="16"/>
              </w:rPr>
            </w:pPr>
          </w:p>
        </w:tc>
        <w:tc>
          <w:tcPr>
            <w:tcW w:w="188" w:type="pct"/>
          </w:tcPr>
          <w:p w14:paraId="4955F25E" w14:textId="77777777" w:rsidR="00471F3A" w:rsidRPr="002C1BD3" w:rsidRDefault="00471F3A" w:rsidP="00AE0C1E">
            <w:pPr>
              <w:spacing w:line="240" w:lineRule="auto"/>
              <w:contextualSpacing/>
              <w:jc w:val="center"/>
              <w:rPr>
                <w:sz w:val="16"/>
                <w:szCs w:val="16"/>
              </w:rPr>
            </w:pPr>
          </w:p>
        </w:tc>
        <w:tc>
          <w:tcPr>
            <w:tcW w:w="188" w:type="pct"/>
          </w:tcPr>
          <w:p w14:paraId="013FE156" w14:textId="77777777" w:rsidR="00471F3A" w:rsidRPr="002C1BD3" w:rsidRDefault="00471F3A" w:rsidP="00AE0C1E">
            <w:pPr>
              <w:spacing w:line="240" w:lineRule="auto"/>
              <w:contextualSpacing/>
              <w:jc w:val="center"/>
              <w:rPr>
                <w:sz w:val="16"/>
                <w:szCs w:val="16"/>
              </w:rPr>
            </w:pPr>
          </w:p>
        </w:tc>
        <w:tc>
          <w:tcPr>
            <w:tcW w:w="188" w:type="pct"/>
          </w:tcPr>
          <w:p w14:paraId="0AB443E9" w14:textId="77777777" w:rsidR="00471F3A" w:rsidRPr="002C1BD3" w:rsidRDefault="00471F3A" w:rsidP="00AE0C1E">
            <w:pPr>
              <w:spacing w:line="240" w:lineRule="auto"/>
              <w:contextualSpacing/>
              <w:jc w:val="center"/>
              <w:rPr>
                <w:sz w:val="16"/>
                <w:szCs w:val="16"/>
              </w:rPr>
            </w:pPr>
          </w:p>
        </w:tc>
        <w:tc>
          <w:tcPr>
            <w:tcW w:w="188" w:type="pct"/>
          </w:tcPr>
          <w:p w14:paraId="409E06CE" w14:textId="77777777" w:rsidR="00471F3A" w:rsidRPr="002C1BD3" w:rsidRDefault="00471F3A" w:rsidP="00AE0C1E">
            <w:pPr>
              <w:spacing w:line="240" w:lineRule="auto"/>
              <w:contextualSpacing/>
              <w:jc w:val="center"/>
              <w:rPr>
                <w:sz w:val="16"/>
                <w:szCs w:val="16"/>
              </w:rPr>
            </w:pPr>
          </w:p>
        </w:tc>
        <w:tc>
          <w:tcPr>
            <w:tcW w:w="188" w:type="pct"/>
          </w:tcPr>
          <w:p w14:paraId="0977E4EB" w14:textId="77777777" w:rsidR="00471F3A" w:rsidRPr="002C1BD3" w:rsidRDefault="00471F3A" w:rsidP="00AE0C1E">
            <w:pPr>
              <w:spacing w:line="240" w:lineRule="auto"/>
              <w:contextualSpacing/>
              <w:jc w:val="center"/>
              <w:rPr>
                <w:sz w:val="16"/>
                <w:szCs w:val="16"/>
              </w:rPr>
            </w:pPr>
          </w:p>
        </w:tc>
        <w:tc>
          <w:tcPr>
            <w:tcW w:w="188" w:type="pct"/>
          </w:tcPr>
          <w:p w14:paraId="684D009C" w14:textId="77777777" w:rsidR="00471F3A" w:rsidRPr="002C1BD3" w:rsidRDefault="00471F3A" w:rsidP="00AE0C1E">
            <w:pPr>
              <w:spacing w:line="240" w:lineRule="auto"/>
              <w:contextualSpacing/>
              <w:jc w:val="center"/>
              <w:rPr>
                <w:sz w:val="16"/>
                <w:szCs w:val="16"/>
              </w:rPr>
            </w:pPr>
          </w:p>
        </w:tc>
        <w:tc>
          <w:tcPr>
            <w:tcW w:w="184" w:type="pct"/>
          </w:tcPr>
          <w:p w14:paraId="5795BF85" w14:textId="0DAAB0CA" w:rsidR="00471F3A" w:rsidRPr="002C1BD3" w:rsidRDefault="00471F3A" w:rsidP="00AE0C1E">
            <w:pPr>
              <w:spacing w:line="240" w:lineRule="auto"/>
              <w:contextualSpacing/>
              <w:jc w:val="center"/>
              <w:rPr>
                <w:sz w:val="16"/>
                <w:szCs w:val="16"/>
              </w:rPr>
            </w:pPr>
          </w:p>
        </w:tc>
      </w:tr>
      <w:tr w:rsidR="0090136D" w:rsidRPr="002C1BD3" w14:paraId="67F7AC33" w14:textId="77777777" w:rsidTr="009C6556">
        <w:trPr>
          <w:cantSplit/>
          <w:trHeight w:hRule="exact" w:val="388"/>
        </w:trPr>
        <w:tc>
          <w:tcPr>
            <w:tcW w:w="96" w:type="pct"/>
            <w:vAlign w:val="center"/>
          </w:tcPr>
          <w:p w14:paraId="2B79D16B" w14:textId="77777777" w:rsidR="00471F3A" w:rsidRPr="002C1BD3" w:rsidRDefault="00471F3A" w:rsidP="00AE0C1E">
            <w:pPr>
              <w:spacing w:line="240" w:lineRule="auto"/>
              <w:ind w:left="-142"/>
              <w:contextualSpacing/>
              <w:jc w:val="center"/>
              <w:rPr>
                <w:b/>
                <w:sz w:val="16"/>
                <w:szCs w:val="16"/>
              </w:rPr>
            </w:pPr>
            <w:r w:rsidRPr="002C1BD3">
              <w:rPr>
                <w:b/>
                <w:sz w:val="16"/>
                <w:szCs w:val="16"/>
              </w:rPr>
              <w:t>3</w:t>
            </w:r>
          </w:p>
        </w:tc>
        <w:tc>
          <w:tcPr>
            <w:tcW w:w="830" w:type="pct"/>
            <w:vAlign w:val="center"/>
          </w:tcPr>
          <w:p w14:paraId="7B63B52F" w14:textId="77777777" w:rsidR="00471F3A" w:rsidRPr="002C1BD3" w:rsidRDefault="00471F3A" w:rsidP="00AE0C1E">
            <w:pPr>
              <w:spacing w:line="240" w:lineRule="auto"/>
              <w:contextualSpacing/>
              <w:rPr>
                <w:b/>
                <w:sz w:val="16"/>
                <w:szCs w:val="16"/>
              </w:rPr>
            </w:pPr>
            <w:r w:rsidRPr="002C1BD3">
              <w:rPr>
                <w:b/>
                <w:sz w:val="16"/>
                <w:szCs w:val="16"/>
              </w:rPr>
              <w:t>Strategic deviation</w:t>
            </w:r>
          </w:p>
        </w:tc>
        <w:tc>
          <w:tcPr>
            <w:tcW w:w="235" w:type="pct"/>
            <w:vAlign w:val="center"/>
          </w:tcPr>
          <w:p w14:paraId="3B2AB892" w14:textId="77777777" w:rsidR="00471F3A" w:rsidRPr="002C1BD3" w:rsidRDefault="00471F3A" w:rsidP="00AE0C1E">
            <w:pPr>
              <w:spacing w:line="240" w:lineRule="auto"/>
              <w:contextualSpacing/>
              <w:jc w:val="center"/>
              <w:rPr>
                <w:sz w:val="16"/>
                <w:szCs w:val="16"/>
              </w:rPr>
            </w:pPr>
            <w:r w:rsidRPr="002C1BD3">
              <w:rPr>
                <w:sz w:val="16"/>
                <w:szCs w:val="16"/>
              </w:rPr>
              <w:t>0.86</w:t>
            </w:r>
          </w:p>
        </w:tc>
        <w:tc>
          <w:tcPr>
            <w:tcW w:w="281" w:type="pct"/>
            <w:vAlign w:val="center"/>
          </w:tcPr>
          <w:p w14:paraId="70F7937A" w14:textId="77777777" w:rsidR="00471F3A" w:rsidRPr="002C1BD3" w:rsidRDefault="00471F3A" w:rsidP="00AE0C1E">
            <w:pPr>
              <w:spacing w:line="240" w:lineRule="auto"/>
              <w:contextualSpacing/>
              <w:jc w:val="center"/>
              <w:rPr>
                <w:sz w:val="16"/>
                <w:szCs w:val="16"/>
              </w:rPr>
            </w:pPr>
            <w:r w:rsidRPr="002C1BD3">
              <w:rPr>
                <w:sz w:val="16"/>
                <w:szCs w:val="16"/>
              </w:rPr>
              <w:t>0.38</w:t>
            </w:r>
          </w:p>
        </w:tc>
        <w:tc>
          <w:tcPr>
            <w:tcW w:w="187" w:type="pct"/>
            <w:vAlign w:val="center"/>
          </w:tcPr>
          <w:p w14:paraId="2FF79D44" w14:textId="6198FBA6" w:rsidR="00471F3A" w:rsidRPr="002C1BD3" w:rsidRDefault="00471F3A" w:rsidP="00AE0C1E">
            <w:pPr>
              <w:spacing w:line="240" w:lineRule="auto"/>
              <w:contextualSpacing/>
              <w:jc w:val="center"/>
              <w:rPr>
                <w:sz w:val="16"/>
                <w:szCs w:val="16"/>
              </w:rPr>
            </w:pPr>
            <w:r w:rsidRPr="002C1BD3">
              <w:rPr>
                <w:sz w:val="16"/>
                <w:szCs w:val="16"/>
              </w:rPr>
              <w:t>0.37</w:t>
            </w:r>
          </w:p>
        </w:tc>
        <w:tc>
          <w:tcPr>
            <w:tcW w:w="187" w:type="pct"/>
            <w:vAlign w:val="center"/>
          </w:tcPr>
          <w:p w14:paraId="49590ADA" w14:textId="44FB0518" w:rsidR="00471F3A" w:rsidRPr="002C1BD3" w:rsidRDefault="00471F3A" w:rsidP="00AE0C1E">
            <w:pPr>
              <w:spacing w:line="240" w:lineRule="auto"/>
              <w:contextualSpacing/>
              <w:jc w:val="center"/>
              <w:rPr>
                <w:sz w:val="16"/>
                <w:szCs w:val="16"/>
              </w:rPr>
            </w:pPr>
            <w:r w:rsidRPr="002C1BD3">
              <w:rPr>
                <w:sz w:val="16"/>
                <w:szCs w:val="16"/>
              </w:rPr>
              <w:t>0.21</w:t>
            </w:r>
          </w:p>
        </w:tc>
        <w:tc>
          <w:tcPr>
            <w:tcW w:w="187" w:type="pct"/>
            <w:vAlign w:val="center"/>
          </w:tcPr>
          <w:p w14:paraId="78021C2B" w14:textId="6CFF31DF"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03FF88B3" w14:textId="77777777" w:rsidR="00471F3A" w:rsidRPr="002C1BD3" w:rsidRDefault="00471F3A" w:rsidP="00AE0C1E">
            <w:pPr>
              <w:spacing w:line="240" w:lineRule="auto"/>
              <w:contextualSpacing/>
              <w:jc w:val="center"/>
              <w:rPr>
                <w:sz w:val="16"/>
                <w:szCs w:val="16"/>
              </w:rPr>
            </w:pPr>
          </w:p>
        </w:tc>
        <w:tc>
          <w:tcPr>
            <w:tcW w:w="187" w:type="pct"/>
            <w:vAlign w:val="center"/>
          </w:tcPr>
          <w:p w14:paraId="7D2BDDDE" w14:textId="77777777" w:rsidR="00471F3A" w:rsidRPr="002C1BD3" w:rsidRDefault="00471F3A" w:rsidP="00AE0C1E">
            <w:pPr>
              <w:spacing w:line="240" w:lineRule="auto"/>
              <w:contextualSpacing/>
              <w:jc w:val="center"/>
              <w:rPr>
                <w:sz w:val="16"/>
                <w:szCs w:val="16"/>
              </w:rPr>
            </w:pPr>
          </w:p>
        </w:tc>
        <w:tc>
          <w:tcPr>
            <w:tcW w:w="187" w:type="pct"/>
            <w:vAlign w:val="center"/>
          </w:tcPr>
          <w:p w14:paraId="16EB7940" w14:textId="77777777" w:rsidR="00471F3A" w:rsidRPr="002C1BD3" w:rsidRDefault="00471F3A" w:rsidP="00AE0C1E">
            <w:pPr>
              <w:spacing w:line="240" w:lineRule="auto"/>
              <w:contextualSpacing/>
              <w:jc w:val="center"/>
              <w:rPr>
                <w:sz w:val="16"/>
                <w:szCs w:val="16"/>
              </w:rPr>
            </w:pPr>
          </w:p>
        </w:tc>
        <w:tc>
          <w:tcPr>
            <w:tcW w:w="187" w:type="pct"/>
            <w:vAlign w:val="center"/>
          </w:tcPr>
          <w:p w14:paraId="6297396E" w14:textId="77777777" w:rsidR="00471F3A" w:rsidRPr="002C1BD3" w:rsidRDefault="00471F3A" w:rsidP="00AE0C1E">
            <w:pPr>
              <w:spacing w:line="240" w:lineRule="auto"/>
              <w:contextualSpacing/>
              <w:jc w:val="center"/>
              <w:rPr>
                <w:sz w:val="16"/>
                <w:szCs w:val="16"/>
              </w:rPr>
            </w:pPr>
          </w:p>
        </w:tc>
        <w:tc>
          <w:tcPr>
            <w:tcW w:w="187" w:type="pct"/>
            <w:vAlign w:val="center"/>
          </w:tcPr>
          <w:p w14:paraId="5E831F1B" w14:textId="77777777" w:rsidR="00471F3A" w:rsidRPr="002C1BD3" w:rsidRDefault="00471F3A" w:rsidP="00AE0C1E">
            <w:pPr>
              <w:spacing w:line="240" w:lineRule="auto"/>
              <w:contextualSpacing/>
              <w:jc w:val="center"/>
              <w:rPr>
                <w:sz w:val="16"/>
                <w:szCs w:val="16"/>
              </w:rPr>
            </w:pPr>
          </w:p>
        </w:tc>
        <w:tc>
          <w:tcPr>
            <w:tcW w:w="187" w:type="pct"/>
            <w:vAlign w:val="center"/>
          </w:tcPr>
          <w:p w14:paraId="674D2918" w14:textId="77777777" w:rsidR="00471F3A" w:rsidRPr="002C1BD3" w:rsidRDefault="00471F3A" w:rsidP="00AE0C1E">
            <w:pPr>
              <w:spacing w:line="240" w:lineRule="auto"/>
              <w:contextualSpacing/>
              <w:jc w:val="center"/>
              <w:rPr>
                <w:sz w:val="16"/>
                <w:szCs w:val="16"/>
              </w:rPr>
            </w:pPr>
          </w:p>
        </w:tc>
        <w:tc>
          <w:tcPr>
            <w:tcW w:w="187" w:type="pct"/>
          </w:tcPr>
          <w:p w14:paraId="29AE5345" w14:textId="530989C8" w:rsidR="00471F3A" w:rsidRPr="002C1BD3" w:rsidRDefault="00471F3A" w:rsidP="00AE0C1E">
            <w:pPr>
              <w:spacing w:line="240" w:lineRule="auto"/>
              <w:contextualSpacing/>
              <w:jc w:val="center"/>
              <w:rPr>
                <w:sz w:val="16"/>
                <w:szCs w:val="16"/>
              </w:rPr>
            </w:pPr>
          </w:p>
        </w:tc>
        <w:tc>
          <w:tcPr>
            <w:tcW w:w="188" w:type="pct"/>
          </w:tcPr>
          <w:p w14:paraId="1FBD4FAA" w14:textId="77777777" w:rsidR="00471F3A" w:rsidRPr="002C1BD3" w:rsidRDefault="00471F3A" w:rsidP="00AE0C1E">
            <w:pPr>
              <w:spacing w:line="240" w:lineRule="auto"/>
              <w:contextualSpacing/>
              <w:jc w:val="center"/>
              <w:rPr>
                <w:sz w:val="16"/>
                <w:szCs w:val="16"/>
              </w:rPr>
            </w:pPr>
          </w:p>
        </w:tc>
        <w:tc>
          <w:tcPr>
            <w:tcW w:w="188" w:type="pct"/>
          </w:tcPr>
          <w:p w14:paraId="3CA5FF2E" w14:textId="77777777" w:rsidR="00471F3A" w:rsidRPr="002C1BD3" w:rsidRDefault="00471F3A" w:rsidP="00AE0C1E">
            <w:pPr>
              <w:spacing w:line="240" w:lineRule="auto"/>
              <w:contextualSpacing/>
              <w:jc w:val="center"/>
              <w:rPr>
                <w:sz w:val="16"/>
                <w:szCs w:val="16"/>
              </w:rPr>
            </w:pPr>
          </w:p>
        </w:tc>
        <w:tc>
          <w:tcPr>
            <w:tcW w:w="188" w:type="pct"/>
          </w:tcPr>
          <w:p w14:paraId="473B5A0F" w14:textId="77777777" w:rsidR="00471F3A" w:rsidRPr="002C1BD3" w:rsidRDefault="00471F3A" w:rsidP="00AE0C1E">
            <w:pPr>
              <w:spacing w:line="240" w:lineRule="auto"/>
              <w:contextualSpacing/>
              <w:jc w:val="center"/>
              <w:rPr>
                <w:sz w:val="16"/>
                <w:szCs w:val="16"/>
              </w:rPr>
            </w:pPr>
          </w:p>
        </w:tc>
        <w:tc>
          <w:tcPr>
            <w:tcW w:w="188" w:type="pct"/>
          </w:tcPr>
          <w:p w14:paraId="4AFABCD4" w14:textId="77777777" w:rsidR="00471F3A" w:rsidRPr="002C1BD3" w:rsidRDefault="00471F3A" w:rsidP="00AE0C1E">
            <w:pPr>
              <w:spacing w:line="240" w:lineRule="auto"/>
              <w:contextualSpacing/>
              <w:jc w:val="center"/>
              <w:rPr>
                <w:sz w:val="16"/>
                <w:szCs w:val="16"/>
              </w:rPr>
            </w:pPr>
          </w:p>
        </w:tc>
        <w:tc>
          <w:tcPr>
            <w:tcW w:w="188" w:type="pct"/>
          </w:tcPr>
          <w:p w14:paraId="102AE085" w14:textId="77777777" w:rsidR="00471F3A" w:rsidRPr="002C1BD3" w:rsidRDefault="00471F3A" w:rsidP="00AE0C1E">
            <w:pPr>
              <w:spacing w:line="240" w:lineRule="auto"/>
              <w:contextualSpacing/>
              <w:jc w:val="center"/>
              <w:rPr>
                <w:sz w:val="16"/>
                <w:szCs w:val="16"/>
              </w:rPr>
            </w:pPr>
          </w:p>
        </w:tc>
        <w:tc>
          <w:tcPr>
            <w:tcW w:w="188" w:type="pct"/>
          </w:tcPr>
          <w:p w14:paraId="57F3F714" w14:textId="77777777" w:rsidR="00471F3A" w:rsidRPr="002C1BD3" w:rsidRDefault="00471F3A" w:rsidP="00AE0C1E">
            <w:pPr>
              <w:spacing w:line="240" w:lineRule="auto"/>
              <w:contextualSpacing/>
              <w:jc w:val="center"/>
              <w:rPr>
                <w:sz w:val="16"/>
                <w:szCs w:val="16"/>
              </w:rPr>
            </w:pPr>
          </w:p>
        </w:tc>
        <w:tc>
          <w:tcPr>
            <w:tcW w:w="188" w:type="pct"/>
          </w:tcPr>
          <w:p w14:paraId="455A8CE9" w14:textId="77777777" w:rsidR="00471F3A" w:rsidRPr="002C1BD3" w:rsidRDefault="00471F3A" w:rsidP="00AE0C1E">
            <w:pPr>
              <w:spacing w:line="240" w:lineRule="auto"/>
              <w:contextualSpacing/>
              <w:jc w:val="center"/>
              <w:rPr>
                <w:sz w:val="16"/>
                <w:szCs w:val="16"/>
              </w:rPr>
            </w:pPr>
          </w:p>
        </w:tc>
        <w:tc>
          <w:tcPr>
            <w:tcW w:w="188" w:type="pct"/>
          </w:tcPr>
          <w:p w14:paraId="1776ECF4" w14:textId="77777777" w:rsidR="00471F3A" w:rsidRPr="002C1BD3" w:rsidRDefault="00471F3A" w:rsidP="00AE0C1E">
            <w:pPr>
              <w:spacing w:line="240" w:lineRule="auto"/>
              <w:contextualSpacing/>
              <w:jc w:val="center"/>
              <w:rPr>
                <w:sz w:val="16"/>
                <w:szCs w:val="16"/>
              </w:rPr>
            </w:pPr>
          </w:p>
        </w:tc>
        <w:tc>
          <w:tcPr>
            <w:tcW w:w="184" w:type="pct"/>
          </w:tcPr>
          <w:p w14:paraId="3DDCADE5" w14:textId="6D1D4898" w:rsidR="00471F3A" w:rsidRPr="002C1BD3" w:rsidRDefault="00471F3A" w:rsidP="00AE0C1E">
            <w:pPr>
              <w:spacing w:line="240" w:lineRule="auto"/>
              <w:contextualSpacing/>
              <w:jc w:val="center"/>
              <w:rPr>
                <w:sz w:val="16"/>
                <w:szCs w:val="16"/>
              </w:rPr>
            </w:pPr>
          </w:p>
        </w:tc>
      </w:tr>
      <w:tr w:rsidR="0090136D" w:rsidRPr="002C1BD3" w14:paraId="038E6055" w14:textId="77777777" w:rsidTr="009C6556">
        <w:trPr>
          <w:cantSplit/>
          <w:trHeight w:hRule="exact" w:val="388"/>
        </w:trPr>
        <w:tc>
          <w:tcPr>
            <w:tcW w:w="96" w:type="pct"/>
            <w:vAlign w:val="center"/>
          </w:tcPr>
          <w:p w14:paraId="2396029C" w14:textId="77777777" w:rsidR="00471F3A" w:rsidRPr="002C1BD3" w:rsidRDefault="00471F3A" w:rsidP="00AE0C1E">
            <w:pPr>
              <w:spacing w:line="240" w:lineRule="auto"/>
              <w:ind w:left="-142"/>
              <w:contextualSpacing/>
              <w:jc w:val="center"/>
              <w:rPr>
                <w:b/>
                <w:sz w:val="16"/>
                <w:szCs w:val="16"/>
              </w:rPr>
            </w:pPr>
            <w:r w:rsidRPr="002C1BD3">
              <w:rPr>
                <w:b/>
                <w:sz w:val="16"/>
                <w:szCs w:val="16"/>
              </w:rPr>
              <w:t>4</w:t>
            </w:r>
          </w:p>
        </w:tc>
        <w:tc>
          <w:tcPr>
            <w:tcW w:w="830" w:type="pct"/>
            <w:vAlign w:val="center"/>
          </w:tcPr>
          <w:p w14:paraId="4CEEEB98" w14:textId="77777777" w:rsidR="00471F3A" w:rsidRPr="002C1BD3" w:rsidRDefault="00471F3A" w:rsidP="00AE0C1E">
            <w:pPr>
              <w:spacing w:line="240" w:lineRule="auto"/>
              <w:contextualSpacing/>
              <w:rPr>
                <w:b/>
                <w:sz w:val="16"/>
                <w:szCs w:val="16"/>
              </w:rPr>
            </w:pPr>
            <w:r w:rsidRPr="002C1BD3">
              <w:rPr>
                <w:b/>
                <w:sz w:val="16"/>
                <w:szCs w:val="16"/>
              </w:rPr>
              <w:t>Legal advisors in the magic circle</w:t>
            </w:r>
          </w:p>
        </w:tc>
        <w:tc>
          <w:tcPr>
            <w:tcW w:w="235" w:type="pct"/>
            <w:vAlign w:val="center"/>
          </w:tcPr>
          <w:p w14:paraId="04D106A8" w14:textId="77777777" w:rsidR="00471F3A" w:rsidRPr="002C1BD3" w:rsidRDefault="00471F3A" w:rsidP="00AE0C1E">
            <w:pPr>
              <w:spacing w:line="240" w:lineRule="auto"/>
              <w:contextualSpacing/>
              <w:jc w:val="center"/>
              <w:rPr>
                <w:sz w:val="16"/>
                <w:szCs w:val="16"/>
              </w:rPr>
            </w:pPr>
            <w:r w:rsidRPr="002C1BD3">
              <w:rPr>
                <w:sz w:val="16"/>
                <w:szCs w:val="16"/>
              </w:rPr>
              <w:t>0.73</w:t>
            </w:r>
          </w:p>
        </w:tc>
        <w:tc>
          <w:tcPr>
            <w:tcW w:w="281" w:type="pct"/>
            <w:vAlign w:val="center"/>
          </w:tcPr>
          <w:p w14:paraId="61F905BD" w14:textId="77777777" w:rsidR="00471F3A" w:rsidRPr="002C1BD3" w:rsidRDefault="00471F3A" w:rsidP="00AE0C1E">
            <w:pPr>
              <w:spacing w:line="240" w:lineRule="auto"/>
              <w:contextualSpacing/>
              <w:jc w:val="center"/>
              <w:rPr>
                <w:sz w:val="16"/>
                <w:szCs w:val="16"/>
              </w:rPr>
            </w:pPr>
            <w:r w:rsidRPr="002C1BD3">
              <w:rPr>
                <w:sz w:val="16"/>
                <w:szCs w:val="16"/>
              </w:rPr>
              <w:t>0.19</w:t>
            </w:r>
          </w:p>
        </w:tc>
        <w:tc>
          <w:tcPr>
            <w:tcW w:w="187" w:type="pct"/>
            <w:vAlign w:val="center"/>
          </w:tcPr>
          <w:p w14:paraId="0FEC808F" w14:textId="15293525" w:rsidR="00471F3A" w:rsidRPr="002C1BD3" w:rsidRDefault="00471F3A" w:rsidP="00AE0C1E">
            <w:pPr>
              <w:spacing w:line="240" w:lineRule="auto"/>
              <w:contextualSpacing/>
              <w:jc w:val="center"/>
              <w:rPr>
                <w:sz w:val="16"/>
                <w:szCs w:val="16"/>
              </w:rPr>
            </w:pPr>
            <w:r w:rsidRPr="002C1BD3">
              <w:rPr>
                <w:sz w:val="16"/>
                <w:szCs w:val="16"/>
              </w:rPr>
              <w:t>-0.01</w:t>
            </w:r>
          </w:p>
        </w:tc>
        <w:tc>
          <w:tcPr>
            <w:tcW w:w="187" w:type="pct"/>
            <w:vAlign w:val="center"/>
          </w:tcPr>
          <w:p w14:paraId="7F0C980E" w14:textId="68E88D1A" w:rsidR="00471F3A" w:rsidRPr="002C1BD3" w:rsidRDefault="00471F3A" w:rsidP="00AE0C1E">
            <w:pPr>
              <w:spacing w:line="240" w:lineRule="auto"/>
              <w:contextualSpacing/>
              <w:jc w:val="center"/>
              <w:rPr>
                <w:sz w:val="16"/>
                <w:szCs w:val="16"/>
              </w:rPr>
            </w:pPr>
            <w:r w:rsidRPr="002C1BD3">
              <w:rPr>
                <w:sz w:val="16"/>
                <w:szCs w:val="16"/>
              </w:rPr>
              <w:t>0.03</w:t>
            </w:r>
          </w:p>
        </w:tc>
        <w:tc>
          <w:tcPr>
            <w:tcW w:w="187" w:type="pct"/>
            <w:vAlign w:val="center"/>
          </w:tcPr>
          <w:p w14:paraId="21325470" w14:textId="3C7A1548" w:rsidR="00471F3A" w:rsidRPr="002C1BD3" w:rsidRDefault="00471F3A" w:rsidP="00AE0C1E">
            <w:pPr>
              <w:spacing w:line="240" w:lineRule="auto"/>
              <w:contextualSpacing/>
              <w:jc w:val="center"/>
              <w:rPr>
                <w:sz w:val="16"/>
                <w:szCs w:val="16"/>
              </w:rPr>
            </w:pPr>
            <w:r w:rsidRPr="002C1BD3">
              <w:rPr>
                <w:sz w:val="16"/>
                <w:szCs w:val="16"/>
              </w:rPr>
              <w:t>0.08</w:t>
            </w:r>
          </w:p>
        </w:tc>
        <w:tc>
          <w:tcPr>
            <w:tcW w:w="187" w:type="pct"/>
            <w:vAlign w:val="center"/>
          </w:tcPr>
          <w:p w14:paraId="22DE1033" w14:textId="328F4825"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3C204141" w14:textId="77777777" w:rsidR="00471F3A" w:rsidRPr="002C1BD3" w:rsidRDefault="00471F3A" w:rsidP="00AE0C1E">
            <w:pPr>
              <w:spacing w:line="240" w:lineRule="auto"/>
              <w:contextualSpacing/>
              <w:jc w:val="center"/>
              <w:rPr>
                <w:sz w:val="16"/>
                <w:szCs w:val="16"/>
              </w:rPr>
            </w:pPr>
          </w:p>
        </w:tc>
        <w:tc>
          <w:tcPr>
            <w:tcW w:w="187" w:type="pct"/>
            <w:vAlign w:val="center"/>
          </w:tcPr>
          <w:p w14:paraId="3C743474" w14:textId="77777777" w:rsidR="00471F3A" w:rsidRPr="002C1BD3" w:rsidRDefault="00471F3A" w:rsidP="00AE0C1E">
            <w:pPr>
              <w:spacing w:line="240" w:lineRule="auto"/>
              <w:contextualSpacing/>
              <w:jc w:val="center"/>
              <w:rPr>
                <w:sz w:val="16"/>
                <w:szCs w:val="16"/>
              </w:rPr>
            </w:pPr>
          </w:p>
        </w:tc>
        <w:tc>
          <w:tcPr>
            <w:tcW w:w="187" w:type="pct"/>
            <w:vAlign w:val="center"/>
          </w:tcPr>
          <w:p w14:paraId="510D17D0" w14:textId="77777777" w:rsidR="00471F3A" w:rsidRPr="002C1BD3" w:rsidRDefault="00471F3A" w:rsidP="00AE0C1E">
            <w:pPr>
              <w:spacing w:line="240" w:lineRule="auto"/>
              <w:contextualSpacing/>
              <w:jc w:val="center"/>
              <w:rPr>
                <w:sz w:val="16"/>
                <w:szCs w:val="16"/>
              </w:rPr>
            </w:pPr>
          </w:p>
        </w:tc>
        <w:tc>
          <w:tcPr>
            <w:tcW w:w="187" w:type="pct"/>
            <w:vAlign w:val="center"/>
          </w:tcPr>
          <w:p w14:paraId="7E575FF3" w14:textId="77777777" w:rsidR="00471F3A" w:rsidRPr="002C1BD3" w:rsidRDefault="00471F3A" w:rsidP="00AE0C1E">
            <w:pPr>
              <w:spacing w:line="240" w:lineRule="auto"/>
              <w:contextualSpacing/>
              <w:jc w:val="center"/>
              <w:rPr>
                <w:sz w:val="16"/>
                <w:szCs w:val="16"/>
              </w:rPr>
            </w:pPr>
          </w:p>
        </w:tc>
        <w:tc>
          <w:tcPr>
            <w:tcW w:w="187" w:type="pct"/>
            <w:vAlign w:val="center"/>
          </w:tcPr>
          <w:p w14:paraId="7908E1DD" w14:textId="77777777" w:rsidR="00471F3A" w:rsidRPr="002C1BD3" w:rsidRDefault="00471F3A" w:rsidP="00AE0C1E">
            <w:pPr>
              <w:spacing w:line="240" w:lineRule="auto"/>
              <w:contextualSpacing/>
              <w:jc w:val="center"/>
              <w:rPr>
                <w:sz w:val="16"/>
                <w:szCs w:val="16"/>
              </w:rPr>
            </w:pPr>
          </w:p>
        </w:tc>
        <w:tc>
          <w:tcPr>
            <w:tcW w:w="187" w:type="pct"/>
          </w:tcPr>
          <w:p w14:paraId="0E4A24AA" w14:textId="162E7934" w:rsidR="00471F3A" w:rsidRPr="002C1BD3" w:rsidRDefault="00471F3A" w:rsidP="00AE0C1E">
            <w:pPr>
              <w:spacing w:line="240" w:lineRule="auto"/>
              <w:contextualSpacing/>
              <w:jc w:val="center"/>
              <w:rPr>
                <w:sz w:val="16"/>
                <w:szCs w:val="16"/>
              </w:rPr>
            </w:pPr>
          </w:p>
        </w:tc>
        <w:tc>
          <w:tcPr>
            <w:tcW w:w="188" w:type="pct"/>
          </w:tcPr>
          <w:p w14:paraId="4D6D5251" w14:textId="77777777" w:rsidR="00471F3A" w:rsidRPr="002C1BD3" w:rsidRDefault="00471F3A" w:rsidP="00AE0C1E">
            <w:pPr>
              <w:spacing w:line="240" w:lineRule="auto"/>
              <w:contextualSpacing/>
              <w:jc w:val="center"/>
              <w:rPr>
                <w:sz w:val="16"/>
                <w:szCs w:val="16"/>
              </w:rPr>
            </w:pPr>
          </w:p>
        </w:tc>
        <w:tc>
          <w:tcPr>
            <w:tcW w:w="188" w:type="pct"/>
          </w:tcPr>
          <w:p w14:paraId="75FBCEFB" w14:textId="77777777" w:rsidR="00471F3A" w:rsidRPr="002C1BD3" w:rsidRDefault="00471F3A" w:rsidP="00AE0C1E">
            <w:pPr>
              <w:spacing w:line="240" w:lineRule="auto"/>
              <w:contextualSpacing/>
              <w:jc w:val="center"/>
              <w:rPr>
                <w:sz w:val="16"/>
                <w:szCs w:val="16"/>
              </w:rPr>
            </w:pPr>
          </w:p>
        </w:tc>
        <w:tc>
          <w:tcPr>
            <w:tcW w:w="188" w:type="pct"/>
          </w:tcPr>
          <w:p w14:paraId="5840600E" w14:textId="77777777" w:rsidR="00471F3A" w:rsidRPr="002C1BD3" w:rsidRDefault="00471F3A" w:rsidP="00AE0C1E">
            <w:pPr>
              <w:spacing w:line="240" w:lineRule="auto"/>
              <w:contextualSpacing/>
              <w:jc w:val="center"/>
              <w:rPr>
                <w:sz w:val="16"/>
                <w:szCs w:val="16"/>
              </w:rPr>
            </w:pPr>
          </w:p>
        </w:tc>
        <w:tc>
          <w:tcPr>
            <w:tcW w:w="188" w:type="pct"/>
          </w:tcPr>
          <w:p w14:paraId="38B1D014" w14:textId="77777777" w:rsidR="00471F3A" w:rsidRPr="002C1BD3" w:rsidRDefault="00471F3A" w:rsidP="00AE0C1E">
            <w:pPr>
              <w:spacing w:line="240" w:lineRule="auto"/>
              <w:contextualSpacing/>
              <w:jc w:val="center"/>
              <w:rPr>
                <w:sz w:val="16"/>
                <w:szCs w:val="16"/>
              </w:rPr>
            </w:pPr>
          </w:p>
        </w:tc>
        <w:tc>
          <w:tcPr>
            <w:tcW w:w="188" w:type="pct"/>
          </w:tcPr>
          <w:p w14:paraId="188864B0" w14:textId="77777777" w:rsidR="00471F3A" w:rsidRPr="002C1BD3" w:rsidRDefault="00471F3A" w:rsidP="00AE0C1E">
            <w:pPr>
              <w:spacing w:line="240" w:lineRule="auto"/>
              <w:contextualSpacing/>
              <w:jc w:val="center"/>
              <w:rPr>
                <w:sz w:val="16"/>
                <w:szCs w:val="16"/>
              </w:rPr>
            </w:pPr>
          </w:p>
        </w:tc>
        <w:tc>
          <w:tcPr>
            <w:tcW w:w="188" w:type="pct"/>
          </w:tcPr>
          <w:p w14:paraId="438B6A1C" w14:textId="77777777" w:rsidR="00471F3A" w:rsidRPr="002C1BD3" w:rsidRDefault="00471F3A" w:rsidP="00AE0C1E">
            <w:pPr>
              <w:spacing w:line="240" w:lineRule="auto"/>
              <w:contextualSpacing/>
              <w:jc w:val="center"/>
              <w:rPr>
                <w:sz w:val="16"/>
                <w:szCs w:val="16"/>
              </w:rPr>
            </w:pPr>
          </w:p>
        </w:tc>
        <w:tc>
          <w:tcPr>
            <w:tcW w:w="188" w:type="pct"/>
          </w:tcPr>
          <w:p w14:paraId="56729A86" w14:textId="77777777" w:rsidR="00471F3A" w:rsidRPr="002C1BD3" w:rsidRDefault="00471F3A" w:rsidP="00AE0C1E">
            <w:pPr>
              <w:spacing w:line="240" w:lineRule="auto"/>
              <w:contextualSpacing/>
              <w:jc w:val="center"/>
              <w:rPr>
                <w:sz w:val="16"/>
                <w:szCs w:val="16"/>
              </w:rPr>
            </w:pPr>
          </w:p>
        </w:tc>
        <w:tc>
          <w:tcPr>
            <w:tcW w:w="188" w:type="pct"/>
          </w:tcPr>
          <w:p w14:paraId="177F5E06" w14:textId="77777777" w:rsidR="00471F3A" w:rsidRPr="002C1BD3" w:rsidRDefault="00471F3A" w:rsidP="00AE0C1E">
            <w:pPr>
              <w:spacing w:line="240" w:lineRule="auto"/>
              <w:contextualSpacing/>
              <w:jc w:val="center"/>
              <w:rPr>
                <w:sz w:val="16"/>
                <w:szCs w:val="16"/>
              </w:rPr>
            </w:pPr>
          </w:p>
        </w:tc>
        <w:tc>
          <w:tcPr>
            <w:tcW w:w="184" w:type="pct"/>
          </w:tcPr>
          <w:p w14:paraId="059EE52B" w14:textId="486CF853" w:rsidR="00471F3A" w:rsidRPr="002C1BD3" w:rsidRDefault="00471F3A" w:rsidP="00AE0C1E">
            <w:pPr>
              <w:spacing w:line="240" w:lineRule="auto"/>
              <w:contextualSpacing/>
              <w:jc w:val="center"/>
              <w:rPr>
                <w:sz w:val="16"/>
                <w:szCs w:val="16"/>
              </w:rPr>
            </w:pPr>
          </w:p>
        </w:tc>
      </w:tr>
      <w:tr w:rsidR="0090136D" w:rsidRPr="002C1BD3" w14:paraId="56A5D583" w14:textId="77777777" w:rsidTr="009C6556">
        <w:trPr>
          <w:cantSplit/>
          <w:trHeight w:hRule="exact" w:val="388"/>
        </w:trPr>
        <w:tc>
          <w:tcPr>
            <w:tcW w:w="96" w:type="pct"/>
            <w:vAlign w:val="center"/>
          </w:tcPr>
          <w:p w14:paraId="0812584D" w14:textId="77777777" w:rsidR="00471F3A" w:rsidRPr="002C1BD3" w:rsidRDefault="00471F3A" w:rsidP="00AE0C1E">
            <w:pPr>
              <w:spacing w:line="240" w:lineRule="auto"/>
              <w:ind w:left="-142"/>
              <w:contextualSpacing/>
              <w:jc w:val="center"/>
              <w:rPr>
                <w:b/>
                <w:sz w:val="16"/>
                <w:szCs w:val="16"/>
              </w:rPr>
            </w:pPr>
            <w:r w:rsidRPr="002C1BD3">
              <w:rPr>
                <w:b/>
                <w:sz w:val="16"/>
                <w:szCs w:val="16"/>
              </w:rPr>
              <w:t>5</w:t>
            </w:r>
          </w:p>
        </w:tc>
        <w:tc>
          <w:tcPr>
            <w:tcW w:w="830" w:type="pct"/>
            <w:vAlign w:val="center"/>
          </w:tcPr>
          <w:p w14:paraId="42D23706" w14:textId="77777777" w:rsidR="00471F3A" w:rsidRPr="002C1BD3" w:rsidRDefault="00471F3A" w:rsidP="00AE0C1E">
            <w:pPr>
              <w:spacing w:line="240" w:lineRule="auto"/>
              <w:contextualSpacing/>
              <w:rPr>
                <w:b/>
                <w:sz w:val="16"/>
                <w:szCs w:val="16"/>
              </w:rPr>
            </w:pPr>
            <w:r w:rsidRPr="002C1BD3">
              <w:rPr>
                <w:b/>
                <w:sz w:val="16"/>
                <w:szCs w:val="16"/>
              </w:rPr>
              <w:t>Financial advisors in the bulge bracket</w:t>
            </w:r>
          </w:p>
        </w:tc>
        <w:tc>
          <w:tcPr>
            <w:tcW w:w="235" w:type="pct"/>
            <w:vAlign w:val="center"/>
          </w:tcPr>
          <w:p w14:paraId="1595ABBC" w14:textId="77777777" w:rsidR="00471F3A" w:rsidRPr="002C1BD3" w:rsidRDefault="00471F3A" w:rsidP="00AE0C1E">
            <w:pPr>
              <w:spacing w:line="240" w:lineRule="auto"/>
              <w:contextualSpacing/>
              <w:jc w:val="center"/>
              <w:rPr>
                <w:sz w:val="16"/>
                <w:szCs w:val="16"/>
              </w:rPr>
            </w:pPr>
            <w:r w:rsidRPr="002C1BD3">
              <w:rPr>
                <w:sz w:val="16"/>
                <w:szCs w:val="16"/>
              </w:rPr>
              <w:t>0.89</w:t>
            </w:r>
          </w:p>
        </w:tc>
        <w:tc>
          <w:tcPr>
            <w:tcW w:w="281" w:type="pct"/>
            <w:vAlign w:val="center"/>
          </w:tcPr>
          <w:p w14:paraId="29EA1ADF" w14:textId="77777777" w:rsidR="00471F3A" w:rsidRPr="002C1BD3" w:rsidRDefault="00471F3A" w:rsidP="00AE0C1E">
            <w:pPr>
              <w:spacing w:line="240" w:lineRule="auto"/>
              <w:contextualSpacing/>
              <w:jc w:val="center"/>
              <w:rPr>
                <w:sz w:val="16"/>
                <w:szCs w:val="16"/>
              </w:rPr>
            </w:pPr>
            <w:r w:rsidRPr="002C1BD3">
              <w:rPr>
                <w:sz w:val="16"/>
                <w:szCs w:val="16"/>
              </w:rPr>
              <w:t>0.23</w:t>
            </w:r>
          </w:p>
        </w:tc>
        <w:tc>
          <w:tcPr>
            <w:tcW w:w="187" w:type="pct"/>
            <w:vAlign w:val="center"/>
          </w:tcPr>
          <w:p w14:paraId="464DB478" w14:textId="3DCF76E1" w:rsidR="00471F3A" w:rsidRPr="002C1BD3" w:rsidRDefault="00471F3A" w:rsidP="00AE0C1E">
            <w:pPr>
              <w:spacing w:line="240" w:lineRule="auto"/>
              <w:contextualSpacing/>
              <w:jc w:val="center"/>
              <w:rPr>
                <w:sz w:val="16"/>
                <w:szCs w:val="16"/>
              </w:rPr>
            </w:pPr>
            <w:r w:rsidRPr="002C1BD3">
              <w:rPr>
                <w:sz w:val="16"/>
                <w:szCs w:val="16"/>
              </w:rPr>
              <w:t>0.19</w:t>
            </w:r>
          </w:p>
        </w:tc>
        <w:tc>
          <w:tcPr>
            <w:tcW w:w="187" w:type="pct"/>
            <w:vAlign w:val="center"/>
          </w:tcPr>
          <w:p w14:paraId="2E114772" w14:textId="5B105B7F" w:rsidR="00471F3A" w:rsidRPr="002C1BD3" w:rsidRDefault="00471F3A" w:rsidP="00AE0C1E">
            <w:pPr>
              <w:spacing w:line="240" w:lineRule="auto"/>
              <w:contextualSpacing/>
              <w:jc w:val="center"/>
              <w:rPr>
                <w:sz w:val="16"/>
                <w:szCs w:val="16"/>
              </w:rPr>
            </w:pPr>
            <w:r w:rsidRPr="002C1BD3">
              <w:rPr>
                <w:sz w:val="16"/>
                <w:szCs w:val="16"/>
              </w:rPr>
              <w:t>0.05</w:t>
            </w:r>
          </w:p>
        </w:tc>
        <w:tc>
          <w:tcPr>
            <w:tcW w:w="187" w:type="pct"/>
            <w:vAlign w:val="center"/>
          </w:tcPr>
          <w:p w14:paraId="67EEB0CF" w14:textId="1D92F519" w:rsidR="00471F3A" w:rsidRPr="002C1BD3" w:rsidRDefault="00471F3A" w:rsidP="00AE0C1E">
            <w:pPr>
              <w:spacing w:line="240" w:lineRule="auto"/>
              <w:contextualSpacing/>
              <w:jc w:val="center"/>
              <w:rPr>
                <w:sz w:val="16"/>
                <w:szCs w:val="16"/>
              </w:rPr>
            </w:pPr>
            <w:r w:rsidRPr="002C1BD3">
              <w:rPr>
                <w:sz w:val="16"/>
                <w:szCs w:val="16"/>
              </w:rPr>
              <w:t>0.09</w:t>
            </w:r>
          </w:p>
        </w:tc>
        <w:tc>
          <w:tcPr>
            <w:tcW w:w="187" w:type="pct"/>
            <w:vAlign w:val="center"/>
          </w:tcPr>
          <w:p w14:paraId="4B01F194" w14:textId="29D19162" w:rsidR="00471F3A" w:rsidRPr="002C1BD3" w:rsidRDefault="00471F3A" w:rsidP="00AE0C1E">
            <w:pPr>
              <w:spacing w:line="240" w:lineRule="auto"/>
              <w:contextualSpacing/>
              <w:jc w:val="center"/>
              <w:rPr>
                <w:sz w:val="16"/>
                <w:szCs w:val="16"/>
              </w:rPr>
            </w:pPr>
            <w:r w:rsidRPr="002C1BD3">
              <w:rPr>
                <w:sz w:val="16"/>
                <w:szCs w:val="16"/>
              </w:rPr>
              <w:t>0.17</w:t>
            </w:r>
          </w:p>
        </w:tc>
        <w:tc>
          <w:tcPr>
            <w:tcW w:w="187" w:type="pct"/>
            <w:vAlign w:val="center"/>
          </w:tcPr>
          <w:p w14:paraId="249DA8B0" w14:textId="67C31326"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4F5D2D52" w14:textId="77777777" w:rsidR="00471F3A" w:rsidRPr="002C1BD3" w:rsidRDefault="00471F3A" w:rsidP="00AE0C1E">
            <w:pPr>
              <w:spacing w:line="240" w:lineRule="auto"/>
              <w:contextualSpacing/>
              <w:jc w:val="center"/>
              <w:rPr>
                <w:sz w:val="16"/>
                <w:szCs w:val="16"/>
              </w:rPr>
            </w:pPr>
          </w:p>
        </w:tc>
        <w:tc>
          <w:tcPr>
            <w:tcW w:w="187" w:type="pct"/>
            <w:vAlign w:val="center"/>
          </w:tcPr>
          <w:p w14:paraId="44A08445" w14:textId="77777777" w:rsidR="00471F3A" w:rsidRPr="002C1BD3" w:rsidRDefault="00471F3A" w:rsidP="00AE0C1E">
            <w:pPr>
              <w:spacing w:line="240" w:lineRule="auto"/>
              <w:contextualSpacing/>
              <w:jc w:val="center"/>
              <w:rPr>
                <w:sz w:val="16"/>
                <w:szCs w:val="16"/>
              </w:rPr>
            </w:pPr>
          </w:p>
        </w:tc>
        <w:tc>
          <w:tcPr>
            <w:tcW w:w="187" w:type="pct"/>
            <w:vAlign w:val="center"/>
          </w:tcPr>
          <w:p w14:paraId="5CFF30F8" w14:textId="77777777" w:rsidR="00471F3A" w:rsidRPr="002C1BD3" w:rsidRDefault="00471F3A" w:rsidP="00AE0C1E">
            <w:pPr>
              <w:spacing w:line="240" w:lineRule="auto"/>
              <w:contextualSpacing/>
              <w:jc w:val="center"/>
              <w:rPr>
                <w:sz w:val="16"/>
                <w:szCs w:val="16"/>
              </w:rPr>
            </w:pPr>
          </w:p>
        </w:tc>
        <w:tc>
          <w:tcPr>
            <w:tcW w:w="187" w:type="pct"/>
            <w:vAlign w:val="center"/>
          </w:tcPr>
          <w:p w14:paraId="45067522" w14:textId="77777777" w:rsidR="00471F3A" w:rsidRPr="002C1BD3" w:rsidRDefault="00471F3A" w:rsidP="00AE0C1E">
            <w:pPr>
              <w:spacing w:line="240" w:lineRule="auto"/>
              <w:contextualSpacing/>
              <w:jc w:val="center"/>
              <w:rPr>
                <w:sz w:val="16"/>
                <w:szCs w:val="16"/>
              </w:rPr>
            </w:pPr>
          </w:p>
        </w:tc>
        <w:tc>
          <w:tcPr>
            <w:tcW w:w="187" w:type="pct"/>
          </w:tcPr>
          <w:p w14:paraId="5C9DAB85" w14:textId="64CDCD66" w:rsidR="00471F3A" w:rsidRPr="002C1BD3" w:rsidRDefault="00471F3A" w:rsidP="00AE0C1E">
            <w:pPr>
              <w:spacing w:line="240" w:lineRule="auto"/>
              <w:contextualSpacing/>
              <w:jc w:val="center"/>
              <w:rPr>
                <w:sz w:val="16"/>
                <w:szCs w:val="16"/>
              </w:rPr>
            </w:pPr>
          </w:p>
        </w:tc>
        <w:tc>
          <w:tcPr>
            <w:tcW w:w="188" w:type="pct"/>
          </w:tcPr>
          <w:p w14:paraId="27C9F2C5" w14:textId="77777777" w:rsidR="00471F3A" w:rsidRPr="002C1BD3" w:rsidRDefault="00471F3A" w:rsidP="00AE0C1E">
            <w:pPr>
              <w:spacing w:line="240" w:lineRule="auto"/>
              <w:contextualSpacing/>
              <w:jc w:val="center"/>
              <w:rPr>
                <w:sz w:val="16"/>
                <w:szCs w:val="16"/>
              </w:rPr>
            </w:pPr>
          </w:p>
        </w:tc>
        <w:tc>
          <w:tcPr>
            <w:tcW w:w="188" w:type="pct"/>
          </w:tcPr>
          <w:p w14:paraId="09734729" w14:textId="77777777" w:rsidR="00471F3A" w:rsidRPr="002C1BD3" w:rsidRDefault="00471F3A" w:rsidP="00AE0C1E">
            <w:pPr>
              <w:spacing w:line="240" w:lineRule="auto"/>
              <w:contextualSpacing/>
              <w:jc w:val="center"/>
              <w:rPr>
                <w:sz w:val="16"/>
                <w:szCs w:val="16"/>
              </w:rPr>
            </w:pPr>
          </w:p>
        </w:tc>
        <w:tc>
          <w:tcPr>
            <w:tcW w:w="188" w:type="pct"/>
          </w:tcPr>
          <w:p w14:paraId="267DB056" w14:textId="77777777" w:rsidR="00471F3A" w:rsidRPr="002C1BD3" w:rsidRDefault="00471F3A" w:rsidP="00AE0C1E">
            <w:pPr>
              <w:spacing w:line="240" w:lineRule="auto"/>
              <w:contextualSpacing/>
              <w:jc w:val="center"/>
              <w:rPr>
                <w:sz w:val="16"/>
                <w:szCs w:val="16"/>
              </w:rPr>
            </w:pPr>
          </w:p>
        </w:tc>
        <w:tc>
          <w:tcPr>
            <w:tcW w:w="188" w:type="pct"/>
          </w:tcPr>
          <w:p w14:paraId="3EE28ED0" w14:textId="77777777" w:rsidR="00471F3A" w:rsidRPr="002C1BD3" w:rsidRDefault="00471F3A" w:rsidP="00AE0C1E">
            <w:pPr>
              <w:spacing w:line="240" w:lineRule="auto"/>
              <w:contextualSpacing/>
              <w:jc w:val="center"/>
              <w:rPr>
                <w:sz w:val="16"/>
                <w:szCs w:val="16"/>
              </w:rPr>
            </w:pPr>
          </w:p>
        </w:tc>
        <w:tc>
          <w:tcPr>
            <w:tcW w:w="188" w:type="pct"/>
          </w:tcPr>
          <w:p w14:paraId="148D848D" w14:textId="77777777" w:rsidR="00471F3A" w:rsidRPr="002C1BD3" w:rsidRDefault="00471F3A" w:rsidP="00AE0C1E">
            <w:pPr>
              <w:spacing w:line="240" w:lineRule="auto"/>
              <w:contextualSpacing/>
              <w:jc w:val="center"/>
              <w:rPr>
                <w:sz w:val="16"/>
                <w:szCs w:val="16"/>
              </w:rPr>
            </w:pPr>
          </w:p>
        </w:tc>
        <w:tc>
          <w:tcPr>
            <w:tcW w:w="188" w:type="pct"/>
          </w:tcPr>
          <w:p w14:paraId="1422D78A" w14:textId="77777777" w:rsidR="00471F3A" w:rsidRPr="002C1BD3" w:rsidRDefault="00471F3A" w:rsidP="00AE0C1E">
            <w:pPr>
              <w:spacing w:line="240" w:lineRule="auto"/>
              <w:contextualSpacing/>
              <w:jc w:val="center"/>
              <w:rPr>
                <w:sz w:val="16"/>
                <w:szCs w:val="16"/>
              </w:rPr>
            </w:pPr>
          </w:p>
        </w:tc>
        <w:tc>
          <w:tcPr>
            <w:tcW w:w="188" w:type="pct"/>
          </w:tcPr>
          <w:p w14:paraId="17B37318" w14:textId="77777777" w:rsidR="00471F3A" w:rsidRPr="002C1BD3" w:rsidRDefault="00471F3A" w:rsidP="00AE0C1E">
            <w:pPr>
              <w:spacing w:line="240" w:lineRule="auto"/>
              <w:contextualSpacing/>
              <w:jc w:val="center"/>
              <w:rPr>
                <w:sz w:val="16"/>
                <w:szCs w:val="16"/>
              </w:rPr>
            </w:pPr>
          </w:p>
        </w:tc>
        <w:tc>
          <w:tcPr>
            <w:tcW w:w="188" w:type="pct"/>
          </w:tcPr>
          <w:p w14:paraId="121F171A" w14:textId="77777777" w:rsidR="00471F3A" w:rsidRPr="002C1BD3" w:rsidRDefault="00471F3A" w:rsidP="00AE0C1E">
            <w:pPr>
              <w:spacing w:line="240" w:lineRule="auto"/>
              <w:contextualSpacing/>
              <w:jc w:val="center"/>
              <w:rPr>
                <w:sz w:val="16"/>
                <w:szCs w:val="16"/>
              </w:rPr>
            </w:pPr>
          </w:p>
        </w:tc>
        <w:tc>
          <w:tcPr>
            <w:tcW w:w="184" w:type="pct"/>
          </w:tcPr>
          <w:p w14:paraId="5A532EC4" w14:textId="0C46C5CE" w:rsidR="00471F3A" w:rsidRPr="002C1BD3" w:rsidRDefault="00471F3A" w:rsidP="00AE0C1E">
            <w:pPr>
              <w:spacing w:line="240" w:lineRule="auto"/>
              <w:contextualSpacing/>
              <w:jc w:val="center"/>
              <w:rPr>
                <w:sz w:val="16"/>
                <w:szCs w:val="16"/>
              </w:rPr>
            </w:pPr>
          </w:p>
        </w:tc>
      </w:tr>
      <w:tr w:rsidR="0090136D" w:rsidRPr="002C1BD3" w14:paraId="6713A925" w14:textId="77777777" w:rsidTr="009C6556">
        <w:trPr>
          <w:cantSplit/>
          <w:trHeight w:hRule="exact" w:val="388"/>
        </w:trPr>
        <w:tc>
          <w:tcPr>
            <w:tcW w:w="96" w:type="pct"/>
            <w:vAlign w:val="center"/>
          </w:tcPr>
          <w:p w14:paraId="32FCF7B4" w14:textId="77777777" w:rsidR="00471F3A" w:rsidRPr="002C1BD3" w:rsidRDefault="00471F3A" w:rsidP="00AE0C1E">
            <w:pPr>
              <w:spacing w:line="240" w:lineRule="auto"/>
              <w:ind w:left="-142"/>
              <w:contextualSpacing/>
              <w:jc w:val="center"/>
              <w:rPr>
                <w:b/>
                <w:sz w:val="16"/>
                <w:szCs w:val="16"/>
              </w:rPr>
            </w:pPr>
            <w:r w:rsidRPr="002C1BD3">
              <w:rPr>
                <w:b/>
                <w:sz w:val="16"/>
                <w:szCs w:val="16"/>
              </w:rPr>
              <w:t>6</w:t>
            </w:r>
          </w:p>
        </w:tc>
        <w:tc>
          <w:tcPr>
            <w:tcW w:w="830" w:type="pct"/>
            <w:vAlign w:val="center"/>
          </w:tcPr>
          <w:p w14:paraId="2DB78A8F" w14:textId="77777777" w:rsidR="00471F3A" w:rsidRPr="002C1BD3" w:rsidRDefault="00471F3A" w:rsidP="00AE0C1E">
            <w:pPr>
              <w:spacing w:line="240" w:lineRule="auto"/>
              <w:contextualSpacing/>
              <w:rPr>
                <w:b/>
                <w:sz w:val="16"/>
                <w:szCs w:val="16"/>
              </w:rPr>
            </w:pPr>
            <w:r w:rsidRPr="002C1BD3">
              <w:rPr>
                <w:b/>
                <w:sz w:val="16"/>
                <w:szCs w:val="16"/>
              </w:rPr>
              <w:t>Consultants – white shoe</w:t>
            </w:r>
          </w:p>
        </w:tc>
        <w:tc>
          <w:tcPr>
            <w:tcW w:w="235" w:type="pct"/>
            <w:vAlign w:val="center"/>
          </w:tcPr>
          <w:p w14:paraId="754B6571" w14:textId="77777777" w:rsidR="00471F3A" w:rsidRPr="002C1BD3" w:rsidRDefault="00471F3A" w:rsidP="00AE0C1E">
            <w:pPr>
              <w:spacing w:line="240" w:lineRule="auto"/>
              <w:contextualSpacing/>
              <w:jc w:val="center"/>
              <w:rPr>
                <w:sz w:val="16"/>
                <w:szCs w:val="16"/>
              </w:rPr>
            </w:pPr>
            <w:r w:rsidRPr="002C1BD3">
              <w:rPr>
                <w:sz w:val="16"/>
                <w:szCs w:val="16"/>
              </w:rPr>
              <w:t>0.94</w:t>
            </w:r>
          </w:p>
        </w:tc>
        <w:tc>
          <w:tcPr>
            <w:tcW w:w="281" w:type="pct"/>
            <w:vAlign w:val="center"/>
          </w:tcPr>
          <w:p w14:paraId="687F838E" w14:textId="77777777" w:rsidR="00471F3A" w:rsidRPr="002C1BD3" w:rsidRDefault="00471F3A" w:rsidP="00AE0C1E">
            <w:pPr>
              <w:spacing w:line="240" w:lineRule="auto"/>
              <w:contextualSpacing/>
              <w:jc w:val="center"/>
              <w:rPr>
                <w:sz w:val="16"/>
                <w:szCs w:val="16"/>
              </w:rPr>
            </w:pPr>
            <w:r w:rsidRPr="002C1BD3">
              <w:rPr>
                <w:sz w:val="16"/>
                <w:szCs w:val="16"/>
              </w:rPr>
              <w:t>0.15</w:t>
            </w:r>
          </w:p>
        </w:tc>
        <w:tc>
          <w:tcPr>
            <w:tcW w:w="187" w:type="pct"/>
            <w:vAlign w:val="center"/>
          </w:tcPr>
          <w:p w14:paraId="5A34A4C7" w14:textId="41C27BA3" w:rsidR="00471F3A" w:rsidRPr="002C1BD3" w:rsidRDefault="00471F3A" w:rsidP="00AE0C1E">
            <w:pPr>
              <w:spacing w:line="240" w:lineRule="auto"/>
              <w:contextualSpacing/>
              <w:jc w:val="center"/>
              <w:rPr>
                <w:sz w:val="16"/>
                <w:szCs w:val="16"/>
              </w:rPr>
            </w:pPr>
            <w:r w:rsidRPr="002C1BD3">
              <w:rPr>
                <w:sz w:val="16"/>
                <w:szCs w:val="16"/>
              </w:rPr>
              <w:t>0.04</w:t>
            </w:r>
          </w:p>
        </w:tc>
        <w:tc>
          <w:tcPr>
            <w:tcW w:w="187" w:type="pct"/>
            <w:vAlign w:val="center"/>
          </w:tcPr>
          <w:p w14:paraId="30A23A83" w14:textId="5D0DE618" w:rsidR="00471F3A" w:rsidRPr="002C1BD3" w:rsidRDefault="00471F3A" w:rsidP="00AE0C1E">
            <w:pPr>
              <w:spacing w:line="240" w:lineRule="auto"/>
              <w:contextualSpacing/>
              <w:jc w:val="center"/>
              <w:rPr>
                <w:sz w:val="16"/>
                <w:szCs w:val="16"/>
              </w:rPr>
            </w:pPr>
            <w:r w:rsidRPr="002C1BD3">
              <w:rPr>
                <w:sz w:val="16"/>
                <w:szCs w:val="16"/>
              </w:rPr>
              <w:t>0.01</w:t>
            </w:r>
          </w:p>
        </w:tc>
        <w:tc>
          <w:tcPr>
            <w:tcW w:w="187" w:type="pct"/>
            <w:vAlign w:val="center"/>
          </w:tcPr>
          <w:p w14:paraId="5AAB93B9" w14:textId="7941044D" w:rsidR="00471F3A" w:rsidRPr="002C1BD3" w:rsidRDefault="00471F3A" w:rsidP="00AE0C1E">
            <w:pPr>
              <w:spacing w:line="240" w:lineRule="auto"/>
              <w:contextualSpacing/>
              <w:jc w:val="center"/>
              <w:rPr>
                <w:sz w:val="16"/>
                <w:szCs w:val="16"/>
              </w:rPr>
            </w:pPr>
            <w:r w:rsidRPr="002C1BD3">
              <w:rPr>
                <w:sz w:val="16"/>
                <w:szCs w:val="16"/>
              </w:rPr>
              <w:t>0.04</w:t>
            </w:r>
          </w:p>
        </w:tc>
        <w:tc>
          <w:tcPr>
            <w:tcW w:w="187" w:type="pct"/>
            <w:vAlign w:val="center"/>
          </w:tcPr>
          <w:p w14:paraId="034EFBC6" w14:textId="4E4EF927" w:rsidR="00471F3A" w:rsidRPr="002C1BD3" w:rsidRDefault="00471F3A" w:rsidP="00AE0C1E">
            <w:pPr>
              <w:spacing w:line="240" w:lineRule="auto"/>
              <w:contextualSpacing/>
              <w:jc w:val="center"/>
              <w:rPr>
                <w:sz w:val="16"/>
                <w:szCs w:val="16"/>
              </w:rPr>
            </w:pPr>
            <w:r w:rsidRPr="002C1BD3">
              <w:rPr>
                <w:sz w:val="16"/>
                <w:szCs w:val="16"/>
              </w:rPr>
              <w:t>0.13</w:t>
            </w:r>
          </w:p>
        </w:tc>
        <w:tc>
          <w:tcPr>
            <w:tcW w:w="187" w:type="pct"/>
            <w:vAlign w:val="center"/>
          </w:tcPr>
          <w:p w14:paraId="081D8D0F" w14:textId="46B93EAF" w:rsidR="00471F3A" w:rsidRPr="002C1BD3" w:rsidRDefault="00471F3A" w:rsidP="00AE0C1E">
            <w:pPr>
              <w:spacing w:line="240" w:lineRule="auto"/>
              <w:contextualSpacing/>
              <w:jc w:val="center"/>
              <w:rPr>
                <w:sz w:val="16"/>
                <w:szCs w:val="16"/>
              </w:rPr>
            </w:pPr>
            <w:r w:rsidRPr="002C1BD3">
              <w:rPr>
                <w:sz w:val="16"/>
                <w:szCs w:val="16"/>
              </w:rPr>
              <w:t>0.11</w:t>
            </w:r>
          </w:p>
        </w:tc>
        <w:tc>
          <w:tcPr>
            <w:tcW w:w="187" w:type="pct"/>
            <w:vAlign w:val="center"/>
          </w:tcPr>
          <w:p w14:paraId="70B93FC8" w14:textId="4BA6A088"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0DD0C97F" w14:textId="77777777" w:rsidR="00471F3A" w:rsidRPr="002C1BD3" w:rsidRDefault="00471F3A" w:rsidP="00AE0C1E">
            <w:pPr>
              <w:spacing w:line="240" w:lineRule="auto"/>
              <w:contextualSpacing/>
              <w:jc w:val="center"/>
              <w:rPr>
                <w:sz w:val="16"/>
                <w:szCs w:val="16"/>
              </w:rPr>
            </w:pPr>
          </w:p>
        </w:tc>
        <w:tc>
          <w:tcPr>
            <w:tcW w:w="187" w:type="pct"/>
            <w:vAlign w:val="center"/>
          </w:tcPr>
          <w:p w14:paraId="1DCEBC6B" w14:textId="77777777" w:rsidR="00471F3A" w:rsidRPr="002C1BD3" w:rsidRDefault="00471F3A" w:rsidP="00AE0C1E">
            <w:pPr>
              <w:spacing w:line="240" w:lineRule="auto"/>
              <w:contextualSpacing/>
              <w:jc w:val="center"/>
              <w:rPr>
                <w:sz w:val="16"/>
                <w:szCs w:val="16"/>
              </w:rPr>
            </w:pPr>
          </w:p>
        </w:tc>
        <w:tc>
          <w:tcPr>
            <w:tcW w:w="187" w:type="pct"/>
            <w:vAlign w:val="center"/>
          </w:tcPr>
          <w:p w14:paraId="1F1F1FF4" w14:textId="77777777" w:rsidR="00471F3A" w:rsidRPr="002C1BD3" w:rsidRDefault="00471F3A" w:rsidP="00AE0C1E">
            <w:pPr>
              <w:spacing w:line="240" w:lineRule="auto"/>
              <w:contextualSpacing/>
              <w:jc w:val="center"/>
              <w:rPr>
                <w:sz w:val="16"/>
                <w:szCs w:val="16"/>
              </w:rPr>
            </w:pPr>
          </w:p>
        </w:tc>
        <w:tc>
          <w:tcPr>
            <w:tcW w:w="187" w:type="pct"/>
          </w:tcPr>
          <w:p w14:paraId="67C0C0E5" w14:textId="23C8676E" w:rsidR="00471F3A" w:rsidRPr="002C1BD3" w:rsidRDefault="00471F3A" w:rsidP="00AE0C1E">
            <w:pPr>
              <w:spacing w:line="240" w:lineRule="auto"/>
              <w:contextualSpacing/>
              <w:jc w:val="center"/>
              <w:rPr>
                <w:sz w:val="16"/>
                <w:szCs w:val="16"/>
              </w:rPr>
            </w:pPr>
          </w:p>
        </w:tc>
        <w:tc>
          <w:tcPr>
            <w:tcW w:w="188" w:type="pct"/>
          </w:tcPr>
          <w:p w14:paraId="68B4F631" w14:textId="77777777" w:rsidR="00471F3A" w:rsidRPr="002C1BD3" w:rsidRDefault="00471F3A" w:rsidP="00AE0C1E">
            <w:pPr>
              <w:spacing w:line="240" w:lineRule="auto"/>
              <w:contextualSpacing/>
              <w:jc w:val="center"/>
              <w:rPr>
                <w:sz w:val="16"/>
                <w:szCs w:val="16"/>
              </w:rPr>
            </w:pPr>
          </w:p>
        </w:tc>
        <w:tc>
          <w:tcPr>
            <w:tcW w:w="188" w:type="pct"/>
          </w:tcPr>
          <w:p w14:paraId="0155B050" w14:textId="77777777" w:rsidR="00471F3A" w:rsidRPr="002C1BD3" w:rsidRDefault="00471F3A" w:rsidP="00AE0C1E">
            <w:pPr>
              <w:spacing w:line="240" w:lineRule="auto"/>
              <w:contextualSpacing/>
              <w:jc w:val="center"/>
              <w:rPr>
                <w:sz w:val="16"/>
                <w:szCs w:val="16"/>
              </w:rPr>
            </w:pPr>
          </w:p>
        </w:tc>
        <w:tc>
          <w:tcPr>
            <w:tcW w:w="188" w:type="pct"/>
          </w:tcPr>
          <w:p w14:paraId="4F599FDD" w14:textId="77777777" w:rsidR="00471F3A" w:rsidRPr="002C1BD3" w:rsidRDefault="00471F3A" w:rsidP="00AE0C1E">
            <w:pPr>
              <w:spacing w:line="240" w:lineRule="auto"/>
              <w:contextualSpacing/>
              <w:jc w:val="center"/>
              <w:rPr>
                <w:sz w:val="16"/>
                <w:szCs w:val="16"/>
              </w:rPr>
            </w:pPr>
          </w:p>
        </w:tc>
        <w:tc>
          <w:tcPr>
            <w:tcW w:w="188" w:type="pct"/>
          </w:tcPr>
          <w:p w14:paraId="3C56C0F8" w14:textId="77777777" w:rsidR="00471F3A" w:rsidRPr="002C1BD3" w:rsidRDefault="00471F3A" w:rsidP="00AE0C1E">
            <w:pPr>
              <w:spacing w:line="240" w:lineRule="auto"/>
              <w:contextualSpacing/>
              <w:jc w:val="center"/>
              <w:rPr>
                <w:sz w:val="16"/>
                <w:szCs w:val="16"/>
              </w:rPr>
            </w:pPr>
          </w:p>
        </w:tc>
        <w:tc>
          <w:tcPr>
            <w:tcW w:w="188" w:type="pct"/>
          </w:tcPr>
          <w:p w14:paraId="6735CDAC" w14:textId="77777777" w:rsidR="00471F3A" w:rsidRPr="002C1BD3" w:rsidRDefault="00471F3A" w:rsidP="00AE0C1E">
            <w:pPr>
              <w:spacing w:line="240" w:lineRule="auto"/>
              <w:contextualSpacing/>
              <w:jc w:val="center"/>
              <w:rPr>
                <w:sz w:val="16"/>
                <w:szCs w:val="16"/>
              </w:rPr>
            </w:pPr>
          </w:p>
        </w:tc>
        <w:tc>
          <w:tcPr>
            <w:tcW w:w="188" w:type="pct"/>
          </w:tcPr>
          <w:p w14:paraId="162028B0" w14:textId="77777777" w:rsidR="00471F3A" w:rsidRPr="002C1BD3" w:rsidRDefault="00471F3A" w:rsidP="00AE0C1E">
            <w:pPr>
              <w:spacing w:line="240" w:lineRule="auto"/>
              <w:contextualSpacing/>
              <w:jc w:val="center"/>
              <w:rPr>
                <w:sz w:val="16"/>
                <w:szCs w:val="16"/>
              </w:rPr>
            </w:pPr>
          </w:p>
        </w:tc>
        <w:tc>
          <w:tcPr>
            <w:tcW w:w="188" w:type="pct"/>
          </w:tcPr>
          <w:p w14:paraId="6AC59C4F" w14:textId="77777777" w:rsidR="00471F3A" w:rsidRPr="002C1BD3" w:rsidRDefault="00471F3A" w:rsidP="00AE0C1E">
            <w:pPr>
              <w:spacing w:line="240" w:lineRule="auto"/>
              <w:contextualSpacing/>
              <w:jc w:val="center"/>
              <w:rPr>
                <w:sz w:val="16"/>
                <w:szCs w:val="16"/>
              </w:rPr>
            </w:pPr>
          </w:p>
        </w:tc>
        <w:tc>
          <w:tcPr>
            <w:tcW w:w="188" w:type="pct"/>
          </w:tcPr>
          <w:p w14:paraId="3F33EA82" w14:textId="77777777" w:rsidR="00471F3A" w:rsidRPr="002C1BD3" w:rsidRDefault="00471F3A" w:rsidP="00AE0C1E">
            <w:pPr>
              <w:spacing w:line="240" w:lineRule="auto"/>
              <w:contextualSpacing/>
              <w:jc w:val="center"/>
              <w:rPr>
                <w:sz w:val="16"/>
                <w:szCs w:val="16"/>
              </w:rPr>
            </w:pPr>
          </w:p>
        </w:tc>
        <w:tc>
          <w:tcPr>
            <w:tcW w:w="184" w:type="pct"/>
          </w:tcPr>
          <w:p w14:paraId="3A0A81A1" w14:textId="4DC5FAD0" w:rsidR="00471F3A" w:rsidRPr="002C1BD3" w:rsidRDefault="00471F3A" w:rsidP="00AE0C1E">
            <w:pPr>
              <w:spacing w:line="240" w:lineRule="auto"/>
              <w:contextualSpacing/>
              <w:jc w:val="center"/>
              <w:rPr>
                <w:sz w:val="16"/>
                <w:szCs w:val="16"/>
              </w:rPr>
            </w:pPr>
          </w:p>
        </w:tc>
      </w:tr>
      <w:tr w:rsidR="0090136D" w:rsidRPr="002C1BD3" w14:paraId="4F86A7FF" w14:textId="77777777" w:rsidTr="009C6556">
        <w:trPr>
          <w:cantSplit/>
          <w:trHeight w:hRule="exact" w:val="388"/>
        </w:trPr>
        <w:tc>
          <w:tcPr>
            <w:tcW w:w="96" w:type="pct"/>
            <w:vAlign w:val="center"/>
          </w:tcPr>
          <w:p w14:paraId="784CCFBF" w14:textId="77777777" w:rsidR="00471F3A" w:rsidRPr="002C1BD3" w:rsidRDefault="00471F3A" w:rsidP="00AE0C1E">
            <w:pPr>
              <w:spacing w:line="240" w:lineRule="auto"/>
              <w:ind w:left="-142"/>
              <w:contextualSpacing/>
              <w:jc w:val="center"/>
              <w:rPr>
                <w:b/>
                <w:sz w:val="16"/>
                <w:szCs w:val="16"/>
              </w:rPr>
            </w:pPr>
            <w:r w:rsidRPr="002C1BD3">
              <w:rPr>
                <w:b/>
                <w:sz w:val="16"/>
                <w:szCs w:val="16"/>
              </w:rPr>
              <w:t>7</w:t>
            </w:r>
          </w:p>
        </w:tc>
        <w:tc>
          <w:tcPr>
            <w:tcW w:w="830" w:type="pct"/>
            <w:vAlign w:val="center"/>
          </w:tcPr>
          <w:p w14:paraId="35CAD463" w14:textId="77777777" w:rsidR="00471F3A" w:rsidRPr="002C1BD3" w:rsidRDefault="00471F3A" w:rsidP="00AE0C1E">
            <w:pPr>
              <w:spacing w:line="240" w:lineRule="auto"/>
              <w:contextualSpacing/>
              <w:rPr>
                <w:b/>
                <w:sz w:val="16"/>
                <w:szCs w:val="16"/>
              </w:rPr>
            </w:pPr>
            <w:r w:rsidRPr="002C1BD3">
              <w:rPr>
                <w:b/>
                <w:sz w:val="16"/>
                <w:szCs w:val="16"/>
              </w:rPr>
              <w:t>After 2008</w:t>
            </w:r>
          </w:p>
        </w:tc>
        <w:tc>
          <w:tcPr>
            <w:tcW w:w="235" w:type="pct"/>
            <w:vAlign w:val="center"/>
          </w:tcPr>
          <w:p w14:paraId="4142B980" w14:textId="77777777" w:rsidR="00471F3A" w:rsidRPr="002C1BD3" w:rsidRDefault="00471F3A" w:rsidP="00AE0C1E">
            <w:pPr>
              <w:spacing w:line="240" w:lineRule="auto"/>
              <w:contextualSpacing/>
              <w:jc w:val="center"/>
              <w:rPr>
                <w:sz w:val="16"/>
                <w:szCs w:val="16"/>
              </w:rPr>
            </w:pPr>
            <w:r w:rsidRPr="002C1BD3">
              <w:rPr>
                <w:sz w:val="16"/>
                <w:szCs w:val="16"/>
              </w:rPr>
              <w:t>0.64</w:t>
            </w:r>
          </w:p>
        </w:tc>
        <w:tc>
          <w:tcPr>
            <w:tcW w:w="281" w:type="pct"/>
            <w:vAlign w:val="center"/>
          </w:tcPr>
          <w:p w14:paraId="37D32DAE" w14:textId="77777777" w:rsidR="00471F3A" w:rsidRPr="002C1BD3" w:rsidRDefault="00471F3A" w:rsidP="00AE0C1E">
            <w:pPr>
              <w:spacing w:line="240" w:lineRule="auto"/>
              <w:contextualSpacing/>
              <w:jc w:val="center"/>
              <w:rPr>
                <w:sz w:val="16"/>
                <w:szCs w:val="16"/>
              </w:rPr>
            </w:pPr>
            <w:r w:rsidRPr="002C1BD3">
              <w:rPr>
                <w:sz w:val="16"/>
                <w:szCs w:val="16"/>
              </w:rPr>
              <w:t>0.27</w:t>
            </w:r>
          </w:p>
        </w:tc>
        <w:tc>
          <w:tcPr>
            <w:tcW w:w="187" w:type="pct"/>
            <w:vAlign w:val="center"/>
          </w:tcPr>
          <w:p w14:paraId="56671B50" w14:textId="52695CE5" w:rsidR="00471F3A" w:rsidRPr="002C1BD3" w:rsidRDefault="00471F3A" w:rsidP="00AE0C1E">
            <w:pPr>
              <w:spacing w:line="240" w:lineRule="auto"/>
              <w:contextualSpacing/>
              <w:jc w:val="center"/>
              <w:rPr>
                <w:sz w:val="16"/>
                <w:szCs w:val="16"/>
              </w:rPr>
            </w:pPr>
            <w:r w:rsidRPr="002C1BD3">
              <w:rPr>
                <w:sz w:val="16"/>
                <w:szCs w:val="16"/>
              </w:rPr>
              <w:t>-0.27</w:t>
            </w:r>
          </w:p>
        </w:tc>
        <w:tc>
          <w:tcPr>
            <w:tcW w:w="187" w:type="pct"/>
            <w:vAlign w:val="center"/>
          </w:tcPr>
          <w:p w14:paraId="4C8F9D36" w14:textId="2F1D8EB7" w:rsidR="00471F3A" w:rsidRPr="002C1BD3" w:rsidRDefault="00471F3A" w:rsidP="00AE0C1E">
            <w:pPr>
              <w:spacing w:line="240" w:lineRule="auto"/>
              <w:contextualSpacing/>
              <w:jc w:val="center"/>
              <w:rPr>
                <w:sz w:val="16"/>
                <w:szCs w:val="16"/>
              </w:rPr>
            </w:pPr>
            <w:r w:rsidRPr="002C1BD3">
              <w:rPr>
                <w:sz w:val="16"/>
                <w:szCs w:val="16"/>
              </w:rPr>
              <w:t>0.09</w:t>
            </w:r>
          </w:p>
        </w:tc>
        <w:tc>
          <w:tcPr>
            <w:tcW w:w="187" w:type="pct"/>
            <w:vAlign w:val="center"/>
          </w:tcPr>
          <w:p w14:paraId="3C8EEF98" w14:textId="1BF8CDF0" w:rsidR="00471F3A" w:rsidRPr="002C1BD3" w:rsidRDefault="00471F3A" w:rsidP="00AE0C1E">
            <w:pPr>
              <w:spacing w:line="240" w:lineRule="auto"/>
              <w:contextualSpacing/>
              <w:jc w:val="center"/>
              <w:rPr>
                <w:sz w:val="16"/>
                <w:szCs w:val="16"/>
              </w:rPr>
            </w:pPr>
            <w:r w:rsidRPr="002C1BD3">
              <w:rPr>
                <w:sz w:val="16"/>
                <w:szCs w:val="16"/>
              </w:rPr>
              <w:t>-0.05</w:t>
            </w:r>
          </w:p>
        </w:tc>
        <w:tc>
          <w:tcPr>
            <w:tcW w:w="187" w:type="pct"/>
            <w:vAlign w:val="center"/>
          </w:tcPr>
          <w:p w14:paraId="528A5EED" w14:textId="3301204B" w:rsidR="00471F3A" w:rsidRPr="002C1BD3" w:rsidRDefault="00471F3A" w:rsidP="00AE0C1E">
            <w:pPr>
              <w:spacing w:line="240" w:lineRule="auto"/>
              <w:contextualSpacing/>
              <w:jc w:val="center"/>
              <w:rPr>
                <w:sz w:val="16"/>
                <w:szCs w:val="16"/>
              </w:rPr>
            </w:pPr>
            <w:r w:rsidRPr="002C1BD3">
              <w:rPr>
                <w:sz w:val="16"/>
                <w:szCs w:val="16"/>
              </w:rPr>
              <w:t>0.02</w:t>
            </w:r>
          </w:p>
        </w:tc>
        <w:tc>
          <w:tcPr>
            <w:tcW w:w="187" w:type="pct"/>
            <w:vAlign w:val="center"/>
          </w:tcPr>
          <w:p w14:paraId="21689998" w14:textId="4D40A840" w:rsidR="00471F3A" w:rsidRPr="002C1BD3" w:rsidRDefault="00471F3A" w:rsidP="00AE0C1E">
            <w:pPr>
              <w:spacing w:line="240" w:lineRule="auto"/>
              <w:contextualSpacing/>
              <w:jc w:val="center"/>
              <w:rPr>
                <w:sz w:val="16"/>
                <w:szCs w:val="16"/>
              </w:rPr>
            </w:pPr>
            <w:r w:rsidRPr="002C1BD3">
              <w:rPr>
                <w:sz w:val="16"/>
                <w:szCs w:val="16"/>
              </w:rPr>
              <w:t>0.03</w:t>
            </w:r>
          </w:p>
        </w:tc>
        <w:tc>
          <w:tcPr>
            <w:tcW w:w="187" w:type="pct"/>
            <w:vAlign w:val="center"/>
          </w:tcPr>
          <w:p w14:paraId="44D91A7C" w14:textId="44837245" w:rsidR="00471F3A" w:rsidRPr="002C1BD3" w:rsidRDefault="00471F3A" w:rsidP="00AE0C1E">
            <w:pPr>
              <w:spacing w:line="240" w:lineRule="auto"/>
              <w:contextualSpacing/>
              <w:jc w:val="center"/>
              <w:rPr>
                <w:sz w:val="16"/>
                <w:szCs w:val="16"/>
              </w:rPr>
            </w:pPr>
            <w:r w:rsidRPr="002C1BD3">
              <w:rPr>
                <w:sz w:val="16"/>
                <w:szCs w:val="16"/>
              </w:rPr>
              <w:t>0.02</w:t>
            </w:r>
          </w:p>
        </w:tc>
        <w:tc>
          <w:tcPr>
            <w:tcW w:w="187" w:type="pct"/>
            <w:vAlign w:val="center"/>
          </w:tcPr>
          <w:p w14:paraId="57D9DEB6" w14:textId="01C3A4CD"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5C41D9E3" w14:textId="77777777" w:rsidR="00471F3A" w:rsidRPr="002C1BD3" w:rsidRDefault="00471F3A" w:rsidP="00AE0C1E">
            <w:pPr>
              <w:spacing w:line="240" w:lineRule="auto"/>
              <w:contextualSpacing/>
              <w:jc w:val="center"/>
              <w:rPr>
                <w:sz w:val="16"/>
                <w:szCs w:val="16"/>
              </w:rPr>
            </w:pPr>
          </w:p>
        </w:tc>
        <w:tc>
          <w:tcPr>
            <w:tcW w:w="187" w:type="pct"/>
            <w:vAlign w:val="center"/>
          </w:tcPr>
          <w:p w14:paraId="6550B746" w14:textId="77777777" w:rsidR="00471F3A" w:rsidRPr="002C1BD3" w:rsidRDefault="00471F3A" w:rsidP="00AE0C1E">
            <w:pPr>
              <w:spacing w:line="240" w:lineRule="auto"/>
              <w:contextualSpacing/>
              <w:jc w:val="center"/>
              <w:rPr>
                <w:sz w:val="16"/>
                <w:szCs w:val="16"/>
              </w:rPr>
            </w:pPr>
          </w:p>
        </w:tc>
        <w:tc>
          <w:tcPr>
            <w:tcW w:w="187" w:type="pct"/>
          </w:tcPr>
          <w:p w14:paraId="056B96D9" w14:textId="08198745" w:rsidR="00471F3A" w:rsidRPr="002C1BD3" w:rsidRDefault="00471F3A" w:rsidP="00AE0C1E">
            <w:pPr>
              <w:spacing w:line="240" w:lineRule="auto"/>
              <w:contextualSpacing/>
              <w:jc w:val="center"/>
              <w:rPr>
                <w:sz w:val="16"/>
                <w:szCs w:val="16"/>
              </w:rPr>
            </w:pPr>
          </w:p>
        </w:tc>
        <w:tc>
          <w:tcPr>
            <w:tcW w:w="188" w:type="pct"/>
          </w:tcPr>
          <w:p w14:paraId="0B86C273" w14:textId="77777777" w:rsidR="00471F3A" w:rsidRPr="002C1BD3" w:rsidRDefault="00471F3A" w:rsidP="00AE0C1E">
            <w:pPr>
              <w:spacing w:line="240" w:lineRule="auto"/>
              <w:contextualSpacing/>
              <w:jc w:val="center"/>
              <w:rPr>
                <w:sz w:val="16"/>
                <w:szCs w:val="16"/>
              </w:rPr>
            </w:pPr>
          </w:p>
        </w:tc>
        <w:tc>
          <w:tcPr>
            <w:tcW w:w="188" w:type="pct"/>
          </w:tcPr>
          <w:p w14:paraId="4BDE716B" w14:textId="77777777" w:rsidR="00471F3A" w:rsidRPr="002C1BD3" w:rsidRDefault="00471F3A" w:rsidP="00AE0C1E">
            <w:pPr>
              <w:spacing w:line="240" w:lineRule="auto"/>
              <w:contextualSpacing/>
              <w:jc w:val="center"/>
              <w:rPr>
                <w:sz w:val="16"/>
                <w:szCs w:val="16"/>
              </w:rPr>
            </w:pPr>
          </w:p>
        </w:tc>
        <w:tc>
          <w:tcPr>
            <w:tcW w:w="188" w:type="pct"/>
          </w:tcPr>
          <w:p w14:paraId="2FB20631" w14:textId="77777777" w:rsidR="00471F3A" w:rsidRPr="002C1BD3" w:rsidRDefault="00471F3A" w:rsidP="00AE0C1E">
            <w:pPr>
              <w:spacing w:line="240" w:lineRule="auto"/>
              <w:contextualSpacing/>
              <w:jc w:val="center"/>
              <w:rPr>
                <w:sz w:val="16"/>
                <w:szCs w:val="16"/>
              </w:rPr>
            </w:pPr>
          </w:p>
        </w:tc>
        <w:tc>
          <w:tcPr>
            <w:tcW w:w="188" w:type="pct"/>
          </w:tcPr>
          <w:p w14:paraId="5BA443FD" w14:textId="77777777" w:rsidR="00471F3A" w:rsidRPr="002C1BD3" w:rsidRDefault="00471F3A" w:rsidP="00AE0C1E">
            <w:pPr>
              <w:spacing w:line="240" w:lineRule="auto"/>
              <w:contextualSpacing/>
              <w:jc w:val="center"/>
              <w:rPr>
                <w:sz w:val="16"/>
                <w:szCs w:val="16"/>
              </w:rPr>
            </w:pPr>
          </w:p>
        </w:tc>
        <w:tc>
          <w:tcPr>
            <w:tcW w:w="188" w:type="pct"/>
          </w:tcPr>
          <w:p w14:paraId="47D137F9" w14:textId="77777777" w:rsidR="00471F3A" w:rsidRPr="002C1BD3" w:rsidRDefault="00471F3A" w:rsidP="00AE0C1E">
            <w:pPr>
              <w:spacing w:line="240" w:lineRule="auto"/>
              <w:contextualSpacing/>
              <w:jc w:val="center"/>
              <w:rPr>
                <w:sz w:val="16"/>
                <w:szCs w:val="16"/>
              </w:rPr>
            </w:pPr>
          </w:p>
        </w:tc>
        <w:tc>
          <w:tcPr>
            <w:tcW w:w="188" w:type="pct"/>
          </w:tcPr>
          <w:p w14:paraId="405D16FC" w14:textId="77777777" w:rsidR="00471F3A" w:rsidRPr="002C1BD3" w:rsidRDefault="00471F3A" w:rsidP="00AE0C1E">
            <w:pPr>
              <w:spacing w:line="240" w:lineRule="auto"/>
              <w:contextualSpacing/>
              <w:jc w:val="center"/>
              <w:rPr>
                <w:sz w:val="16"/>
                <w:szCs w:val="16"/>
              </w:rPr>
            </w:pPr>
          </w:p>
        </w:tc>
        <w:tc>
          <w:tcPr>
            <w:tcW w:w="188" w:type="pct"/>
          </w:tcPr>
          <w:p w14:paraId="4E479EFB" w14:textId="77777777" w:rsidR="00471F3A" w:rsidRPr="002C1BD3" w:rsidRDefault="00471F3A" w:rsidP="00AE0C1E">
            <w:pPr>
              <w:spacing w:line="240" w:lineRule="auto"/>
              <w:contextualSpacing/>
              <w:jc w:val="center"/>
              <w:rPr>
                <w:sz w:val="16"/>
                <w:szCs w:val="16"/>
              </w:rPr>
            </w:pPr>
          </w:p>
        </w:tc>
        <w:tc>
          <w:tcPr>
            <w:tcW w:w="188" w:type="pct"/>
          </w:tcPr>
          <w:p w14:paraId="4C8C31DD" w14:textId="77777777" w:rsidR="00471F3A" w:rsidRPr="002C1BD3" w:rsidRDefault="00471F3A" w:rsidP="00AE0C1E">
            <w:pPr>
              <w:spacing w:line="240" w:lineRule="auto"/>
              <w:contextualSpacing/>
              <w:jc w:val="center"/>
              <w:rPr>
                <w:sz w:val="16"/>
                <w:szCs w:val="16"/>
              </w:rPr>
            </w:pPr>
          </w:p>
        </w:tc>
        <w:tc>
          <w:tcPr>
            <w:tcW w:w="184" w:type="pct"/>
          </w:tcPr>
          <w:p w14:paraId="2CAAF06E" w14:textId="45B85B1D" w:rsidR="00471F3A" w:rsidRPr="002C1BD3" w:rsidRDefault="00471F3A" w:rsidP="00AE0C1E">
            <w:pPr>
              <w:spacing w:line="240" w:lineRule="auto"/>
              <w:contextualSpacing/>
              <w:jc w:val="center"/>
              <w:rPr>
                <w:sz w:val="16"/>
                <w:szCs w:val="16"/>
              </w:rPr>
            </w:pPr>
          </w:p>
        </w:tc>
      </w:tr>
      <w:tr w:rsidR="0090136D" w:rsidRPr="002C1BD3" w14:paraId="1C6A7CF7" w14:textId="77777777" w:rsidTr="009C6556">
        <w:trPr>
          <w:cantSplit/>
          <w:trHeight w:hRule="exact" w:val="388"/>
        </w:trPr>
        <w:tc>
          <w:tcPr>
            <w:tcW w:w="96" w:type="pct"/>
            <w:vAlign w:val="center"/>
          </w:tcPr>
          <w:p w14:paraId="7BE7CCB5" w14:textId="77777777" w:rsidR="00471F3A" w:rsidRPr="002C1BD3" w:rsidDel="00AC4702" w:rsidRDefault="00471F3A" w:rsidP="00AE0C1E">
            <w:pPr>
              <w:spacing w:line="240" w:lineRule="auto"/>
              <w:ind w:left="-142"/>
              <w:contextualSpacing/>
              <w:jc w:val="center"/>
              <w:rPr>
                <w:b/>
                <w:sz w:val="16"/>
                <w:szCs w:val="16"/>
              </w:rPr>
            </w:pPr>
            <w:r w:rsidRPr="002C1BD3">
              <w:rPr>
                <w:b/>
                <w:sz w:val="16"/>
                <w:szCs w:val="16"/>
              </w:rPr>
              <w:t>8</w:t>
            </w:r>
          </w:p>
        </w:tc>
        <w:tc>
          <w:tcPr>
            <w:tcW w:w="830" w:type="pct"/>
            <w:vAlign w:val="center"/>
          </w:tcPr>
          <w:p w14:paraId="06A52B40" w14:textId="77777777" w:rsidR="00471F3A" w:rsidRPr="002C1BD3" w:rsidRDefault="00471F3A" w:rsidP="00AE0C1E">
            <w:pPr>
              <w:spacing w:line="240" w:lineRule="auto"/>
              <w:contextualSpacing/>
              <w:rPr>
                <w:b/>
                <w:sz w:val="16"/>
                <w:szCs w:val="16"/>
              </w:rPr>
            </w:pPr>
            <w:r w:rsidRPr="002C1BD3">
              <w:rPr>
                <w:b/>
                <w:sz w:val="16"/>
                <w:szCs w:val="16"/>
              </w:rPr>
              <w:t>Deal size ($MM ln)</w:t>
            </w:r>
          </w:p>
        </w:tc>
        <w:tc>
          <w:tcPr>
            <w:tcW w:w="235" w:type="pct"/>
            <w:vAlign w:val="center"/>
          </w:tcPr>
          <w:p w14:paraId="0978F485" w14:textId="77777777" w:rsidR="00471F3A" w:rsidRPr="002C1BD3" w:rsidRDefault="00471F3A" w:rsidP="00AE0C1E">
            <w:pPr>
              <w:spacing w:line="240" w:lineRule="auto"/>
              <w:contextualSpacing/>
              <w:jc w:val="center"/>
              <w:rPr>
                <w:sz w:val="16"/>
                <w:szCs w:val="16"/>
              </w:rPr>
            </w:pPr>
            <w:r w:rsidRPr="002C1BD3">
              <w:rPr>
                <w:sz w:val="16"/>
                <w:szCs w:val="16"/>
              </w:rPr>
              <w:t>3.22</w:t>
            </w:r>
          </w:p>
        </w:tc>
        <w:tc>
          <w:tcPr>
            <w:tcW w:w="281" w:type="pct"/>
            <w:vAlign w:val="center"/>
          </w:tcPr>
          <w:p w14:paraId="004943A0" w14:textId="77777777" w:rsidR="00471F3A" w:rsidRPr="002C1BD3" w:rsidRDefault="00471F3A" w:rsidP="00AE0C1E">
            <w:pPr>
              <w:spacing w:line="240" w:lineRule="auto"/>
              <w:contextualSpacing/>
              <w:jc w:val="center"/>
              <w:rPr>
                <w:sz w:val="16"/>
                <w:szCs w:val="16"/>
              </w:rPr>
            </w:pPr>
            <w:r w:rsidRPr="002C1BD3">
              <w:rPr>
                <w:sz w:val="16"/>
                <w:szCs w:val="16"/>
              </w:rPr>
              <w:t>0.31</w:t>
            </w:r>
          </w:p>
        </w:tc>
        <w:tc>
          <w:tcPr>
            <w:tcW w:w="187" w:type="pct"/>
            <w:vAlign w:val="center"/>
          </w:tcPr>
          <w:p w14:paraId="1857D753" w14:textId="4995F6E2" w:rsidR="00471F3A" w:rsidRPr="002C1BD3" w:rsidRDefault="00471F3A" w:rsidP="00AE0C1E">
            <w:pPr>
              <w:spacing w:line="240" w:lineRule="auto"/>
              <w:contextualSpacing/>
              <w:jc w:val="center"/>
              <w:rPr>
                <w:sz w:val="16"/>
                <w:szCs w:val="16"/>
              </w:rPr>
            </w:pPr>
            <w:r w:rsidRPr="002C1BD3">
              <w:rPr>
                <w:sz w:val="16"/>
                <w:szCs w:val="16"/>
              </w:rPr>
              <w:t>0.11</w:t>
            </w:r>
          </w:p>
        </w:tc>
        <w:tc>
          <w:tcPr>
            <w:tcW w:w="187" w:type="pct"/>
            <w:vAlign w:val="center"/>
          </w:tcPr>
          <w:p w14:paraId="7CEC46DE" w14:textId="192D0E9A" w:rsidR="00471F3A" w:rsidRPr="002C1BD3" w:rsidRDefault="00471F3A" w:rsidP="00AE0C1E">
            <w:pPr>
              <w:spacing w:line="240" w:lineRule="auto"/>
              <w:contextualSpacing/>
              <w:jc w:val="center"/>
              <w:rPr>
                <w:sz w:val="16"/>
                <w:szCs w:val="16"/>
              </w:rPr>
            </w:pPr>
            <w:r w:rsidRPr="002C1BD3">
              <w:rPr>
                <w:sz w:val="16"/>
                <w:szCs w:val="16"/>
              </w:rPr>
              <w:t>0.23</w:t>
            </w:r>
          </w:p>
        </w:tc>
        <w:tc>
          <w:tcPr>
            <w:tcW w:w="187" w:type="pct"/>
            <w:vAlign w:val="center"/>
          </w:tcPr>
          <w:p w14:paraId="0F67A9F0" w14:textId="7095F3E6" w:rsidR="00471F3A" w:rsidRPr="002C1BD3" w:rsidRDefault="00471F3A" w:rsidP="00AE0C1E">
            <w:pPr>
              <w:spacing w:line="240" w:lineRule="auto"/>
              <w:contextualSpacing/>
              <w:jc w:val="center"/>
              <w:rPr>
                <w:sz w:val="16"/>
                <w:szCs w:val="16"/>
              </w:rPr>
            </w:pPr>
            <w:r w:rsidRPr="002C1BD3">
              <w:rPr>
                <w:sz w:val="16"/>
                <w:szCs w:val="16"/>
              </w:rPr>
              <w:t>0.19</w:t>
            </w:r>
          </w:p>
        </w:tc>
        <w:tc>
          <w:tcPr>
            <w:tcW w:w="187" w:type="pct"/>
            <w:vAlign w:val="center"/>
          </w:tcPr>
          <w:p w14:paraId="16EF1642" w14:textId="43BAA31C" w:rsidR="00471F3A" w:rsidRPr="002C1BD3" w:rsidRDefault="00471F3A" w:rsidP="00AE0C1E">
            <w:pPr>
              <w:spacing w:line="240" w:lineRule="auto"/>
              <w:contextualSpacing/>
              <w:jc w:val="center"/>
              <w:rPr>
                <w:sz w:val="16"/>
                <w:szCs w:val="16"/>
              </w:rPr>
            </w:pPr>
            <w:r w:rsidRPr="002C1BD3">
              <w:rPr>
                <w:sz w:val="16"/>
                <w:szCs w:val="16"/>
              </w:rPr>
              <w:t>0.10</w:t>
            </w:r>
          </w:p>
        </w:tc>
        <w:tc>
          <w:tcPr>
            <w:tcW w:w="187" w:type="pct"/>
            <w:vAlign w:val="center"/>
          </w:tcPr>
          <w:p w14:paraId="6D35B30C" w14:textId="6A103A04" w:rsidR="00471F3A" w:rsidRPr="002C1BD3" w:rsidRDefault="00471F3A" w:rsidP="00AE0C1E">
            <w:pPr>
              <w:spacing w:line="240" w:lineRule="auto"/>
              <w:contextualSpacing/>
              <w:jc w:val="center"/>
              <w:rPr>
                <w:sz w:val="16"/>
                <w:szCs w:val="16"/>
              </w:rPr>
            </w:pPr>
            <w:r w:rsidRPr="002C1BD3">
              <w:rPr>
                <w:sz w:val="16"/>
                <w:szCs w:val="16"/>
              </w:rPr>
              <w:t>0.09</w:t>
            </w:r>
          </w:p>
        </w:tc>
        <w:tc>
          <w:tcPr>
            <w:tcW w:w="187" w:type="pct"/>
            <w:vAlign w:val="center"/>
          </w:tcPr>
          <w:p w14:paraId="4022C1BB" w14:textId="0B8EAB49" w:rsidR="00471F3A" w:rsidRPr="002C1BD3" w:rsidRDefault="00471F3A" w:rsidP="00AE0C1E">
            <w:pPr>
              <w:spacing w:line="240" w:lineRule="auto"/>
              <w:contextualSpacing/>
              <w:jc w:val="center"/>
              <w:rPr>
                <w:sz w:val="16"/>
                <w:szCs w:val="16"/>
              </w:rPr>
            </w:pPr>
            <w:r w:rsidRPr="002C1BD3">
              <w:rPr>
                <w:sz w:val="16"/>
                <w:szCs w:val="16"/>
              </w:rPr>
              <w:t>0.18</w:t>
            </w:r>
          </w:p>
        </w:tc>
        <w:tc>
          <w:tcPr>
            <w:tcW w:w="187" w:type="pct"/>
            <w:vAlign w:val="center"/>
          </w:tcPr>
          <w:p w14:paraId="106EEBD8" w14:textId="7B4DBE59" w:rsidR="00471F3A" w:rsidRPr="002C1BD3" w:rsidRDefault="00471F3A" w:rsidP="00AE0C1E">
            <w:pPr>
              <w:spacing w:line="240" w:lineRule="auto"/>
              <w:contextualSpacing/>
              <w:jc w:val="center"/>
              <w:rPr>
                <w:sz w:val="16"/>
                <w:szCs w:val="16"/>
              </w:rPr>
            </w:pPr>
            <w:r w:rsidRPr="002C1BD3">
              <w:rPr>
                <w:sz w:val="16"/>
                <w:szCs w:val="16"/>
              </w:rPr>
              <w:t>0.07</w:t>
            </w:r>
          </w:p>
        </w:tc>
        <w:tc>
          <w:tcPr>
            <w:tcW w:w="187" w:type="pct"/>
            <w:vAlign w:val="center"/>
          </w:tcPr>
          <w:p w14:paraId="0A5A66D5" w14:textId="708C4A53"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vAlign w:val="center"/>
          </w:tcPr>
          <w:p w14:paraId="4927B70B" w14:textId="77777777" w:rsidR="00471F3A" w:rsidRPr="002C1BD3" w:rsidRDefault="00471F3A" w:rsidP="00AE0C1E">
            <w:pPr>
              <w:spacing w:line="240" w:lineRule="auto"/>
              <w:contextualSpacing/>
              <w:jc w:val="center"/>
              <w:rPr>
                <w:sz w:val="16"/>
                <w:szCs w:val="16"/>
              </w:rPr>
            </w:pPr>
          </w:p>
        </w:tc>
        <w:tc>
          <w:tcPr>
            <w:tcW w:w="187" w:type="pct"/>
          </w:tcPr>
          <w:p w14:paraId="23E0A645" w14:textId="6493E227" w:rsidR="00471F3A" w:rsidRPr="002C1BD3" w:rsidRDefault="00471F3A" w:rsidP="00AE0C1E">
            <w:pPr>
              <w:spacing w:line="240" w:lineRule="auto"/>
              <w:contextualSpacing/>
              <w:jc w:val="center"/>
              <w:rPr>
                <w:sz w:val="16"/>
                <w:szCs w:val="16"/>
              </w:rPr>
            </w:pPr>
          </w:p>
        </w:tc>
        <w:tc>
          <w:tcPr>
            <w:tcW w:w="188" w:type="pct"/>
          </w:tcPr>
          <w:p w14:paraId="7C57613B" w14:textId="77777777" w:rsidR="00471F3A" w:rsidRPr="002C1BD3" w:rsidRDefault="00471F3A" w:rsidP="00AE0C1E">
            <w:pPr>
              <w:spacing w:line="240" w:lineRule="auto"/>
              <w:contextualSpacing/>
              <w:jc w:val="center"/>
              <w:rPr>
                <w:sz w:val="16"/>
                <w:szCs w:val="16"/>
              </w:rPr>
            </w:pPr>
          </w:p>
        </w:tc>
        <w:tc>
          <w:tcPr>
            <w:tcW w:w="188" w:type="pct"/>
          </w:tcPr>
          <w:p w14:paraId="3F3A0F2B" w14:textId="77777777" w:rsidR="00471F3A" w:rsidRPr="002C1BD3" w:rsidRDefault="00471F3A" w:rsidP="00AE0C1E">
            <w:pPr>
              <w:spacing w:line="240" w:lineRule="auto"/>
              <w:contextualSpacing/>
              <w:jc w:val="center"/>
              <w:rPr>
                <w:sz w:val="16"/>
                <w:szCs w:val="16"/>
              </w:rPr>
            </w:pPr>
          </w:p>
        </w:tc>
        <w:tc>
          <w:tcPr>
            <w:tcW w:w="188" w:type="pct"/>
          </w:tcPr>
          <w:p w14:paraId="3164AC7B" w14:textId="77777777" w:rsidR="00471F3A" w:rsidRPr="002C1BD3" w:rsidRDefault="00471F3A" w:rsidP="00AE0C1E">
            <w:pPr>
              <w:spacing w:line="240" w:lineRule="auto"/>
              <w:contextualSpacing/>
              <w:jc w:val="center"/>
              <w:rPr>
                <w:sz w:val="16"/>
                <w:szCs w:val="16"/>
              </w:rPr>
            </w:pPr>
          </w:p>
        </w:tc>
        <w:tc>
          <w:tcPr>
            <w:tcW w:w="188" w:type="pct"/>
          </w:tcPr>
          <w:p w14:paraId="7E39A593" w14:textId="77777777" w:rsidR="00471F3A" w:rsidRPr="002C1BD3" w:rsidRDefault="00471F3A" w:rsidP="00AE0C1E">
            <w:pPr>
              <w:spacing w:line="240" w:lineRule="auto"/>
              <w:contextualSpacing/>
              <w:jc w:val="center"/>
              <w:rPr>
                <w:sz w:val="16"/>
                <w:szCs w:val="16"/>
              </w:rPr>
            </w:pPr>
          </w:p>
        </w:tc>
        <w:tc>
          <w:tcPr>
            <w:tcW w:w="188" w:type="pct"/>
          </w:tcPr>
          <w:p w14:paraId="0491EFC4" w14:textId="77777777" w:rsidR="00471F3A" w:rsidRPr="002C1BD3" w:rsidRDefault="00471F3A" w:rsidP="00AE0C1E">
            <w:pPr>
              <w:spacing w:line="240" w:lineRule="auto"/>
              <w:contextualSpacing/>
              <w:jc w:val="center"/>
              <w:rPr>
                <w:sz w:val="16"/>
                <w:szCs w:val="16"/>
              </w:rPr>
            </w:pPr>
          </w:p>
        </w:tc>
        <w:tc>
          <w:tcPr>
            <w:tcW w:w="188" w:type="pct"/>
          </w:tcPr>
          <w:p w14:paraId="6DA7F350" w14:textId="77777777" w:rsidR="00471F3A" w:rsidRPr="002C1BD3" w:rsidRDefault="00471F3A" w:rsidP="00AE0C1E">
            <w:pPr>
              <w:spacing w:line="240" w:lineRule="auto"/>
              <w:contextualSpacing/>
              <w:jc w:val="center"/>
              <w:rPr>
                <w:sz w:val="16"/>
                <w:szCs w:val="16"/>
              </w:rPr>
            </w:pPr>
          </w:p>
        </w:tc>
        <w:tc>
          <w:tcPr>
            <w:tcW w:w="188" w:type="pct"/>
          </w:tcPr>
          <w:p w14:paraId="5F2E3E58" w14:textId="77777777" w:rsidR="00471F3A" w:rsidRPr="002C1BD3" w:rsidRDefault="00471F3A" w:rsidP="00AE0C1E">
            <w:pPr>
              <w:spacing w:line="240" w:lineRule="auto"/>
              <w:contextualSpacing/>
              <w:jc w:val="center"/>
              <w:rPr>
                <w:sz w:val="16"/>
                <w:szCs w:val="16"/>
              </w:rPr>
            </w:pPr>
          </w:p>
        </w:tc>
        <w:tc>
          <w:tcPr>
            <w:tcW w:w="188" w:type="pct"/>
          </w:tcPr>
          <w:p w14:paraId="77E821E1" w14:textId="77777777" w:rsidR="00471F3A" w:rsidRPr="002C1BD3" w:rsidRDefault="00471F3A" w:rsidP="00AE0C1E">
            <w:pPr>
              <w:spacing w:line="240" w:lineRule="auto"/>
              <w:contextualSpacing/>
              <w:jc w:val="center"/>
              <w:rPr>
                <w:sz w:val="16"/>
                <w:szCs w:val="16"/>
              </w:rPr>
            </w:pPr>
          </w:p>
        </w:tc>
        <w:tc>
          <w:tcPr>
            <w:tcW w:w="184" w:type="pct"/>
          </w:tcPr>
          <w:p w14:paraId="0C1AA098" w14:textId="3961CC51" w:rsidR="00471F3A" w:rsidRPr="002C1BD3" w:rsidRDefault="00471F3A" w:rsidP="00AE0C1E">
            <w:pPr>
              <w:spacing w:line="240" w:lineRule="auto"/>
              <w:contextualSpacing/>
              <w:jc w:val="center"/>
              <w:rPr>
                <w:sz w:val="16"/>
                <w:szCs w:val="16"/>
              </w:rPr>
            </w:pPr>
          </w:p>
        </w:tc>
      </w:tr>
      <w:tr w:rsidR="0090136D" w:rsidRPr="002C1BD3" w14:paraId="3478D9C7" w14:textId="77777777" w:rsidTr="009C6556">
        <w:trPr>
          <w:cantSplit/>
          <w:trHeight w:hRule="exact" w:val="388"/>
        </w:trPr>
        <w:tc>
          <w:tcPr>
            <w:tcW w:w="96" w:type="pct"/>
            <w:tcBorders>
              <w:bottom w:val="nil"/>
            </w:tcBorders>
            <w:vAlign w:val="center"/>
          </w:tcPr>
          <w:p w14:paraId="3C48DF74" w14:textId="77777777" w:rsidR="00471F3A" w:rsidRPr="002C1BD3" w:rsidRDefault="00471F3A" w:rsidP="00AE0C1E">
            <w:pPr>
              <w:spacing w:line="240" w:lineRule="auto"/>
              <w:ind w:left="-142"/>
              <w:contextualSpacing/>
              <w:jc w:val="center"/>
              <w:rPr>
                <w:b/>
                <w:sz w:val="16"/>
                <w:szCs w:val="16"/>
              </w:rPr>
            </w:pPr>
            <w:r w:rsidRPr="002C1BD3">
              <w:rPr>
                <w:b/>
                <w:sz w:val="16"/>
                <w:szCs w:val="16"/>
              </w:rPr>
              <w:t>9</w:t>
            </w:r>
          </w:p>
        </w:tc>
        <w:tc>
          <w:tcPr>
            <w:tcW w:w="830" w:type="pct"/>
            <w:tcBorders>
              <w:bottom w:val="nil"/>
            </w:tcBorders>
            <w:vAlign w:val="center"/>
          </w:tcPr>
          <w:p w14:paraId="52B1492B" w14:textId="77777777" w:rsidR="00471F3A" w:rsidRPr="002C1BD3" w:rsidRDefault="00471F3A" w:rsidP="00AE0C1E">
            <w:pPr>
              <w:spacing w:line="240" w:lineRule="auto"/>
              <w:contextualSpacing/>
              <w:rPr>
                <w:b/>
                <w:sz w:val="16"/>
                <w:szCs w:val="16"/>
              </w:rPr>
            </w:pPr>
            <w:r w:rsidRPr="002C1BD3">
              <w:rPr>
                <w:b/>
                <w:sz w:val="16"/>
                <w:szCs w:val="16"/>
              </w:rPr>
              <w:t>Prior firm performance</w:t>
            </w:r>
          </w:p>
        </w:tc>
        <w:tc>
          <w:tcPr>
            <w:tcW w:w="235" w:type="pct"/>
            <w:tcBorders>
              <w:bottom w:val="nil"/>
            </w:tcBorders>
            <w:vAlign w:val="center"/>
          </w:tcPr>
          <w:p w14:paraId="7650E344" w14:textId="77777777" w:rsidR="00471F3A" w:rsidRPr="002C1BD3" w:rsidRDefault="00471F3A" w:rsidP="00AE0C1E">
            <w:pPr>
              <w:spacing w:line="240" w:lineRule="auto"/>
              <w:contextualSpacing/>
              <w:jc w:val="center"/>
              <w:rPr>
                <w:sz w:val="16"/>
                <w:szCs w:val="16"/>
              </w:rPr>
            </w:pPr>
            <w:r w:rsidRPr="002C1BD3">
              <w:rPr>
                <w:sz w:val="16"/>
                <w:szCs w:val="16"/>
              </w:rPr>
              <w:t>0.11</w:t>
            </w:r>
          </w:p>
        </w:tc>
        <w:tc>
          <w:tcPr>
            <w:tcW w:w="281" w:type="pct"/>
            <w:tcBorders>
              <w:bottom w:val="nil"/>
            </w:tcBorders>
            <w:vAlign w:val="center"/>
          </w:tcPr>
          <w:p w14:paraId="182B9015" w14:textId="77777777" w:rsidR="00471F3A" w:rsidRPr="002C1BD3" w:rsidRDefault="00471F3A" w:rsidP="00AE0C1E">
            <w:pPr>
              <w:spacing w:line="240" w:lineRule="auto"/>
              <w:contextualSpacing/>
              <w:jc w:val="center"/>
              <w:rPr>
                <w:sz w:val="16"/>
                <w:szCs w:val="16"/>
              </w:rPr>
            </w:pPr>
            <w:r w:rsidRPr="002C1BD3">
              <w:rPr>
                <w:sz w:val="16"/>
                <w:szCs w:val="16"/>
              </w:rPr>
              <w:t>0.21</w:t>
            </w:r>
          </w:p>
        </w:tc>
        <w:tc>
          <w:tcPr>
            <w:tcW w:w="187" w:type="pct"/>
            <w:tcBorders>
              <w:bottom w:val="nil"/>
            </w:tcBorders>
            <w:vAlign w:val="center"/>
          </w:tcPr>
          <w:p w14:paraId="646634F4" w14:textId="510C44DE" w:rsidR="00471F3A" w:rsidRPr="002C1BD3" w:rsidRDefault="00471F3A" w:rsidP="00AE0C1E">
            <w:pPr>
              <w:spacing w:line="240" w:lineRule="auto"/>
              <w:contextualSpacing/>
              <w:jc w:val="center"/>
              <w:rPr>
                <w:sz w:val="16"/>
                <w:szCs w:val="16"/>
              </w:rPr>
            </w:pPr>
            <w:r w:rsidRPr="002C1BD3">
              <w:rPr>
                <w:sz w:val="16"/>
                <w:szCs w:val="16"/>
              </w:rPr>
              <w:t>0.13</w:t>
            </w:r>
          </w:p>
        </w:tc>
        <w:tc>
          <w:tcPr>
            <w:tcW w:w="187" w:type="pct"/>
            <w:tcBorders>
              <w:bottom w:val="nil"/>
            </w:tcBorders>
            <w:vAlign w:val="center"/>
          </w:tcPr>
          <w:p w14:paraId="400A4F74" w14:textId="5EBAD615" w:rsidR="00471F3A" w:rsidRPr="002C1BD3" w:rsidRDefault="00471F3A" w:rsidP="00AE0C1E">
            <w:pPr>
              <w:spacing w:line="240" w:lineRule="auto"/>
              <w:contextualSpacing/>
              <w:jc w:val="center"/>
              <w:rPr>
                <w:sz w:val="16"/>
                <w:szCs w:val="16"/>
              </w:rPr>
            </w:pPr>
            <w:r w:rsidRPr="002C1BD3">
              <w:rPr>
                <w:sz w:val="16"/>
                <w:szCs w:val="16"/>
              </w:rPr>
              <w:t>0.19</w:t>
            </w:r>
          </w:p>
        </w:tc>
        <w:tc>
          <w:tcPr>
            <w:tcW w:w="187" w:type="pct"/>
            <w:tcBorders>
              <w:bottom w:val="nil"/>
            </w:tcBorders>
            <w:vAlign w:val="center"/>
          </w:tcPr>
          <w:p w14:paraId="6696F4AC" w14:textId="40B3D0E0" w:rsidR="00471F3A" w:rsidRPr="002C1BD3" w:rsidRDefault="00471F3A" w:rsidP="00AE0C1E">
            <w:pPr>
              <w:spacing w:line="240" w:lineRule="auto"/>
              <w:contextualSpacing/>
              <w:jc w:val="center"/>
              <w:rPr>
                <w:sz w:val="16"/>
                <w:szCs w:val="16"/>
              </w:rPr>
            </w:pPr>
            <w:r w:rsidRPr="002C1BD3">
              <w:rPr>
                <w:sz w:val="16"/>
                <w:szCs w:val="16"/>
              </w:rPr>
              <w:t>0.23</w:t>
            </w:r>
          </w:p>
        </w:tc>
        <w:tc>
          <w:tcPr>
            <w:tcW w:w="187" w:type="pct"/>
            <w:tcBorders>
              <w:bottom w:val="nil"/>
            </w:tcBorders>
            <w:vAlign w:val="center"/>
          </w:tcPr>
          <w:p w14:paraId="48355B07" w14:textId="4D60F4C5" w:rsidR="00471F3A" w:rsidRPr="002C1BD3" w:rsidRDefault="00471F3A" w:rsidP="00AE0C1E">
            <w:pPr>
              <w:spacing w:line="240" w:lineRule="auto"/>
              <w:contextualSpacing/>
              <w:jc w:val="center"/>
              <w:rPr>
                <w:sz w:val="16"/>
                <w:szCs w:val="16"/>
              </w:rPr>
            </w:pPr>
            <w:r w:rsidRPr="002C1BD3">
              <w:rPr>
                <w:sz w:val="16"/>
                <w:szCs w:val="16"/>
              </w:rPr>
              <w:t>0.10</w:t>
            </w:r>
          </w:p>
        </w:tc>
        <w:tc>
          <w:tcPr>
            <w:tcW w:w="187" w:type="pct"/>
            <w:tcBorders>
              <w:bottom w:val="nil"/>
            </w:tcBorders>
            <w:vAlign w:val="center"/>
          </w:tcPr>
          <w:p w14:paraId="41F1EEA3" w14:textId="1B9B09C7" w:rsidR="00471F3A" w:rsidRPr="002C1BD3" w:rsidRDefault="00471F3A" w:rsidP="00AE0C1E">
            <w:pPr>
              <w:spacing w:line="240" w:lineRule="auto"/>
              <w:contextualSpacing/>
              <w:jc w:val="center"/>
              <w:rPr>
                <w:sz w:val="16"/>
                <w:szCs w:val="16"/>
              </w:rPr>
            </w:pPr>
            <w:r w:rsidRPr="002C1BD3">
              <w:rPr>
                <w:sz w:val="16"/>
                <w:szCs w:val="16"/>
              </w:rPr>
              <w:t>0.14</w:t>
            </w:r>
          </w:p>
        </w:tc>
        <w:tc>
          <w:tcPr>
            <w:tcW w:w="187" w:type="pct"/>
            <w:tcBorders>
              <w:bottom w:val="nil"/>
            </w:tcBorders>
            <w:vAlign w:val="center"/>
          </w:tcPr>
          <w:p w14:paraId="795CCDE9" w14:textId="25D2D376" w:rsidR="00471F3A" w:rsidRPr="002C1BD3" w:rsidRDefault="00471F3A" w:rsidP="00AE0C1E">
            <w:pPr>
              <w:spacing w:line="240" w:lineRule="auto"/>
              <w:contextualSpacing/>
              <w:jc w:val="center"/>
              <w:rPr>
                <w:sz w:val="16"/>
                <w:szCs w:val="16"/>
              </w:rPr>
            </w:pPr>
            <w:r w:rsidRPr="002C1BD3">
              <w:rPr>
                <w:sz w:val="16"/>
                <w:szCs w:val="16"/>
              </w:rPr>
              <w:t>0.17</w:t>
            </w:r>
          </w:p>
        </w:tc>
        <w:tc>
          <w:tcPr>
            <w:tcW w:w="187" w:type="pct"/>
            <w:tcBorders>
              <w:bottom w:val="nil"/>
            </w:tcBorders>
            <w:vAlign w:val="center"/>
          </w:tcPr>
          <w:p w14:paraId="785456A8" w14:textId="24072A3D" w:rsidR="00471F3A" w:rsidRPr="002C1BD3" w:rsidRDefault="00471F3A" w:rsidP="00AE0C1E">
            <w:pPr>
              <w:spacing w:line="240" w:lineRule="auto"/>
              <w:contextualSpacing/>
              <w:jc w:val="center"/>
              <w:rPr>
                <w:sz w:val="16"/>
                <w:szCs w:val="16"/>
              </w:rPr>
            </w:pPr>
            <w:r w:rsidRPr="002C1BD3">
              <w:rPr>
                <w:sz w:val="16"/>
                <w:szCs w:val="16"/>
              </w:rPr>
              <w:t>0.09</w:t>
            </w:r>
          </w:p>
        </w:tc>
        <w:tc>
          <w:tcPr>
            <w:tcW w:w="187" w:type="pct"/>
            <w:tcBorders>
              <w:bottom w:val="nil"/>
            </w:tcBorders>
            <w:vAlign w:val="center"/>
          </w:tcPr>
          <w:p w14:paraId="568D6457" w14:textId="41EC2DDE" w:rsidR="00471F3A" w:rsidRPr="002C1BD3" w:rsidRDefault="00471F3A" w:rsidP="00AE0C1E">
            <w:pPr>
              <w:spacing w:line="240" w:lineRule="auto"/>
              <w:contextualSpacing/>
              <w:jc w:val="center"/>
              <w:rPr>
                <w:sz w:val="16"/>
                <w:szCs w:val="16"/>
              </w:rPr>
            </w:pPr>
            <w:r w:rsidRPr="002C1BD3">
              <w:rPr>
                <w:sz w:val="16"/>
                <w:szCs w:val="16"/>
              </w:rPr>
              <w:t>0.07</w:t>
            </w:r>
          </w:p>
        </w:tc>
        <w:tc>
          <w:tcPr>
            <w:tcW w:w="187" w:type="pct"/>
            <w:tcBorders>
              <w:bottom w:val="nil"/>
            </w:tcBorders>
            <w:vAlign w:val="center"/>
          </w:tcPr>
          <w:p w14:paraId="094F3A72" w14:textId="1CA870F9" w:rsidR="00471F3A" w:rsidRPr="002C1BD3" w:rsidRDefault="00471F3A" w:rsidP="00AE0C1E">
            <w:pPr>
              <w:spacing w:line="240" w:lineRule="auto"/>
              <w:contextualSpacing/>
              <w:jc w:val="center"/>
              <w:rPr>
                <w:sz w:val="16"/>
                <w:szCs w:val="16"/>
              </w:rPr>
            </w:pPr>
            <w:r w:rsidRPr="002C1BD3">
              <w:rPr>
                <w:sz w:val="16"/>
                <w:szCs w:val="16"/>
              </w:rPr>
              <w:t>1</w:t>
            </w:r>
          </w:p>
        </w:tc>
        <w:tc>
          <w:tcPr>
            <w:tcW w:w="187" w:type="pct"/>
            <w:tcBorders>
              <w:bottom w:val="nil"/>
            </w:tcBorders>
          </w:tcPr>
          <w:p w14:paraId="46E8F0E9" w14:textId="13A60DA5" w:rsidR="00471F3A" w:rsidRPr="002C1BD3" w:rsidRDefault="00471F3A" w:rsidP="00AE0C1E">
            <w:pPr>
              <w:spacing w:line="240" w:lineRule="auto"/>
              <w:contextualSpacing/>
              <w:jc w:val="center"/>
              <w:rPr>
                <w:sz w:val="16"/>
                <w:szCs w:val="16"/>
              </w:rPr>
            </w:pPr>
          </w:p>
        </w:tc>
        <w:tc>
          <w:tcPr>
            <w:tcW w:w="188" w:type="pct"/>
            <w:tcBorders>
              <w:bottom w:val="nil"/>
            </w:tcBorders>
          </w:tcPr>
          <w:p w14:paraId="716EF023"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47FF5238"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29021094"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4F42B643"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4D570088"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1DBC333B"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58061F65" w14:textId="77777777" w:rsidR="00471F3A" w:rsidRPr="002C1BD3" w:rsidRDefault="00471F3A" w:rsidP="00AE0C1E">
            <w:pPr>
              <w:spacing w:line="240" w:lineRule="auto"/>
              <w:contextualSpacing/>
              <w:jc w:val="center"/>
              <w:rPr>
                <w:sz w:val="16"/>
                <w:szCs w:val="16"/>
              </w:rPr>
            </w:pPr>
          </w:p>
        </w:tc>
        <w:tc>
          <w:tcPr>
            <w:tcW w:w="188" w:type="pct"/>
            <w:tcBorders>
              <w:bottom w:val="nil"/>
            </w:tcBorders>
          </w:tcPr>
          <w:p w14:paraId="0D1528C5" w14:textId="77777777" w:rsidR="00471F3A" w:rsidRPr="002C1BD3" w:rsidRDefault="00471F3A" w:rsidP="00AE0C1E">
            <w:pPr>
              <w:spacing w:line="240" w:lineRule="auto"/>
              <w:contextualSpacing/>
              <w:jc w:val="center"/>
              <w:rPr>
                <w:sz w:val="16"/>
                <w:szCs w:val="16"/>
              </w:rPr>
            </w:pPr>
          </w:p>
        </w:tc>
        <w:tc>
          <w:tcPr>
            <w:tcW w:w="184" w:type="pct"/>
            <w:tcBorders>
              <w:bottom w:val="nil"/>
            </w:tcBorders>
          </w:tcPr>
          <w:p w14:paraId="7DEF5209" w14:textId="1F68A881" w:rsidR="00471F3A" w:rsidRPr="002C1BD3" w:rsidRDefault="00471F3A" w:rsidP="00AE0C1E">
            <w:pPr>
              <w:spacing w:line="240" w:lineRule="auto"/>
              <w:contextualSpacing/>
              <w:jc w:val="center"/>
              <w:rPr>
                <w:sz w:val="16"/>
                <w:szCs w:val="16"/>
              </w:rPr>
            </w:pPr>
          </w:p>
        </w:tc>
      </w:tr>
      <w:tr w:rsidR="0090136D" w:rsidRPr="00AE0C1E" w14:paraId="7E248B1A" w14:textId="77777777" w:rsidTr="009C6556">
        <w:trPr>
          <w:cantSplit/>
          <w:trHeight w:hRule="exact" w:val="388"/>
        </w:trPr>
        <w:tc>
          <w:tcPr>
            <w:tcW w:w="96" w:type="pct"/>
            <w:tcBorders>
              <w:top w:val="nil"/>
              <w:bottom w:val="nil"/>
            </w:tcBorders>
            <w:vAlign w:val="center"/>
          </w:tcPr>
          <w:p w14:paraId="67E7338E" w14:textId="09B3D80D" w:rsidR="0046353F" w:rsidRPr="009C6556" w:rsidRDefault="0046353F">
            <w:pPr>
              <w:keepNext/>
              <w:keepLines/>
              <w:spacing w:before="200" w:line="240" w:lineRule="auto"/>
              <w:ind w:left="-142"/>
              <w:contextualSpacing/>
              <w:jc w:val="center"/>
              <w:outlineLvl w:val="3"/>
              <w:rPr>
                <w:b/>
                <w:sz w:val="16"/>
                <w:szCs w:val="16"/>
              </w:rPr>
            </w:pPr>
            <w:r>
              <w:rPr>
                <w:b/>
                <w:sz w:val="16"/>
                <w:szCs w:val="16"/>
              </w:rPr>
              <w:t>10</w:t>
            </w:r>
          </w:p>
        </w:tc>
        <w:tc>
          <w:tcPr>
            <w:tcW w:w="830" w:type="pct"/>
            <w:tcBorders>
              <w:top w:val="nil"/>
              <w:bottom w:val="nil"/>
            </w:tcBorders>
            <w:vAlign w:val="center"/>
          </w:tcPr>
          <w:p w14:paraId="2BB1C37A" w14:textId="5CDF6D79" w:rsidR="0046353F" w:rsidRPr="009C6556" w:rsidRDefault="0046353F">
            <w:pPr>
              <w:keepNext/>
              <w:keepLines/>
              <w:spacing w:before="200" w:line="240" w:lineRule="auto"/>
              <w:contextualSpacing/>
              <w:outlineLvl w:val="3"/>
              <w:rPr>
                <w:b/>
                <w:sz w:val="16"/>
                <w:szCs w:val="16"/>
              </w:rPr>
            </w:pPr>
            <w:r w:rsidRPr="009C6556">
              <w:rPr>
                <w:b/>
                <w:sz w:val="16"/>
                <w:szCs w:val="16"/>
              </w:rPr>
              <w:t>Time from initial announcement to closing of the deal</w:t>
            </w:r>
          </w:p>
        </w:tc>
        <w:tc>
          <w:tcPr>
            <w:tcW w:w="235" w:type="pct"/>
            <w:tcBorders>
              <w:top w:val="nil"/>
              <w:bottom w:val="nil"/>
            </w:tcBorders>
            <w:vAlign w:val="center"/>
          </w:tcPr>
          <w:p w14:paraId="5DA4E095" w14:textId="654C2F12" w:rsidR="0046353F" w:rsidRPr="009C6556" w:rsidRDefault="0046353F">
            <w:pPr>
              <w:keepNext/>
              <w:keepLines/>
              <w:spacing w:before="200" w:line="240" w:lineRule="auto"/>
              <w:contextualSpacing/>
              <w:jc w:val="center"/>
              <w:outlineLvl w:val="3"/>
              <w:rPr>
                <w:sz w:val="16"/>
                <w:szCs w:val="16"/>
              </w:rPr>
            </w:pPr>
            <w:r>
              <w:rPr>
                <w:sz w:val="16"/>
                <w:szCs w:val="16"/>
              </w:rPr>
              <w:t>91</w:t>
            </w:r>
          </w:p>
        </w:tc>
        <w:tc>
          <w:tcPr>
            <w:tcW w:w="281" w:type="pct"/>
            <w:tcBorders>
              <w:top w:val="nil"/>
              <w:bottom w:val="nil"/>
            </w:tcBorders>
            <w:vAlign w:val="center"/>
          </w:tcPr>
          <w:p w14:paraId="194895FD" w14:textId="7251319A" w:rsidR="0046353F" w:rsidRPr="009C6556" w:rsidRDefault="00C33798">
            <w:pPr>
              <w:keepNext/>
              <w:keepLines/>
              <w:spacing w:before="200" w:line="240" w:lineRule="auto"/>
              <w:contextualSpacing/>
              <w:jc w:val="center"/>
              <w:outlineLvl w:val="3"/>
              <w:rPr>
                <w:sz w:val="16"/>
                <w:szCs w:val="16"/>
              </w:rPr>
            </w:pPr>
            <w:r>
              <w:rPr>
                <w:sz w:val="16"/>
                <w:szCs w:val="16"/>
              </w:rPr>
              <w:t>35</w:t>
            </w:r>
          </w:p>
        </w:tc>
        <w:tc>
          <w:tcPr>
            <w:tcW w:w="187" w:type="pct"/>
            <w:tcBorders>
              <w:top w:val="nil"/>
              <w:bottom w:val="nil"/>
            </w:tcBorders>
            <w:vAlign w:val="center"/>
          </w:tcPr>
          <w:p w14:paraId="7404CB01" w14:textId="7989A703" w:rsidR="0046353F" w:rsidRPr="009C6556" w:rsidRDefault="00B10F6E">
            <w:pPr>
              <w:keepNext/>
              <w:keepLines/>
              <w:spacing w:before="200" w:line="240" w:lineRule="auto"/>
              <w:contextualSpacing/>
              <w:jc w:val="center"/>
              <w:outlineLvl w:val="3"/>
              <w:rPr>
                <w:sz w:val="16"/>
                <w:szCs w:val="16"/>
              </w:rPr>
            </w:pPr>
            <w:r>
              <w:rPr>
                <w:sz w:val="16"/>
                <w:szCs w:val="16"/>
              </w:rPr>
              <w:t>0.17</w:t>
            </w:r>
          </w:p>
        </w:tc>
        <w:tc>
          <w:tcPr>
            <w:tcW w:w="187" w:type="pct"/>
            <w:tcBorders>
              <w:top w:val="nil"/>
              <w:bottom w:val="nil"/>
            </w:tcBorders>
            <w:vAlign w:val="center"/>
          </w:tcPr>
          <w:p w14:paraId="76ECE8EF" w14:textId="503BE220" w:rsidR="0046353F" w:rsidRPr="009C6556" w:rsidRDefault="00B10F6E">
            <w:pPr>
              <w:keepNext/>
              <w:keepLines/>
              <w:spacing w:before="200" w:line="240" w:lineRule="auto"/>
              <w:contextualSpacing/>
              <w:jc w:val="center"/>
              <w:outlineLvl w:val="3"/>
              <w:rPr>
                <w:sz w:val="16"/>
                <w:szCs w:val="16"/>
              </w:rPr>
            </w:pPr>
            <w:r>
              <w:rPr>
                <w:sz w:val="16"/>
                <w:szCs w:val="16"/>
              </w:rPr>
              <w:t>0.26</w:t>
            </w:r>
          </w:p>
        </w:tc>
        <w:tc>
          <w:tcPr>
            <w:tcW w:w="187" w:type="pct"/>
            <w:tcBorders>
              <w:top w:val="nil"/>
              <w:bottom w:val="nil"/>
            </w:tcBorders>
            <w:vAlign w:val="center"/>
          </w:tcPr>
          <w:p w14:paraId="79B11786" w14:textId="245EBC8B" w:rsidR="0046353F" w:rsidRPr="009C6556" w:rsidRDefault="00B10F6E">
            <w:pPr>
              <w:keepNext/>
              <w:keepLines/>
              <w:spacing w:before="200" w:line="240" w:lineRule="auto"/>
              <w:contextualSpacing/>
              <w:jc w:val="center"/>
              <w:outlineLvl w:val="3"/>
              <w:rPr>
                <w:sz w:val="16"/>
                <w:szCs w:val="16"/>
              </w:rPr>
            </w:pPr>
            <w:r>
              <w:rPr>
                <w:sz w:val="16"/>
                <w:szCs w:val="16"/>
              </w:rPr>
              <w:t>0.33</w:t>
            </w:r>
          </w:p>
        </w:tc>
        <w:tc>
          <w:tcPr>
            <w:tcW w:w="187" w:type="pct"/>
            <w:tcBorders>
              <w:top w:val="nil"/>
              <w:bottom w:val="nil"/>
            </w:tcBorders>
            <w:vAlign w:val="center"/>
          </w:tcPr>
          <w:p w14:paraId="19E075E1" w14:textId="7410B903" w:rsidR="0046353F" w:rsidRPr="009C6556" w:rsidRDefault="007337A2">
            <w:pPr>
              <w:keepNext/>
              <w:keepLines/>
              <w:spacing w:before="200" w:line="240" w:lineRule="auto"/>
              <w:contextualSpacing/>
              <w:jc w:val="center"/>
              <w:outlineLvl w:val="3"/>
              <w:rPr>
                <w:sz w:val="16"/>
                <w:szCs w:val="16"/>
              </w:rPr>
            </w:pPr>
            <w:r>
              <w:rPr>
                <w:sz w:val="16"/>
                <w:szCs w:val="16"/>
              </w:rPr>
              <w:t>0.01</w:t>
            </w:r>
          </w:p>
        </w:tc>
        <w:tc>
          <w:tcPr>
            <w:tcW w:w="187" w:type="pct"/>
            <w:tcBorders>
              <w:top w:val="nil"/>
              <w:bottom w:val="nil"/>
            </w:tcBorders>
            <w:vAlign w:val="center"/>
          </w:tcPr>
          <w:p w14:paraId="5316F880" w14:textId="4096B076" w:rsidR="0046353F" w:rsidRPr="009C6556" w:rsidRDefault="007337A2">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33483672" w14:textId="6FFC68D2" w:rsidR="0046353F" w:rsidRPr="009C6556" w:rsidRDefault="007337A2">
            <w:pPr>
              <w:keepNext/>
              <w:keepLines/>
              <w:spacing w:before="200" w:line="240" w:lineRule="auto"/>
              <w:contextualSpacing/>
              <w:jc w:val="center"/>
              <w:outlineLvl w:val="3"/>
              <w:rPr>
                <w:sz w:val="16"/>
                <w:szCs w:val="16"/>
              </w:rPr>
            </w:pPr>
            <w:r>
              <w:rPr>
                <w:sz w:val="16"/>
                <w:szCs w:val="16"/>
              </w:rPr>
              <w:t>0.09</w:t>
            </w:r>
          </w:p>
        </w:tc>
        <w:tc>
          <w:tcPr>
            <w:tcW w:w="187" w:type="pct"/>
            <w:tcBorders>
              <w:top w:val="nil"/>
              <w:bottom w:val="nil"/>
            </w:tcBorders>
            <w:vAlign w:val="center"/>
          </w:tcPr>
          <w:p w14:paraId="745D7520" w14:textId="6DE84350" w:rsidR="0046353F" w:rsidRPr="009C6556" w:rsidRDefault="007337A2">
            <w:pPr>
              <w:keepNext/>
              <w:keepLines/>
              <w:spacing w:before="200" w:line="240" w:lineRule="auto"/>
              <w:contextualSpacing/>
              <w:jc w:val="center"/>
              <w:outlineLvl w:val="3"/>
              <w:rPr>
                <w:sz w:val="16"/>
                <w:szCs w:val="16"/>
              </w:rPr>
            </w:pPr>
            <w:r>
              <w:rPr>
                <w:sz w:val="16"/>
                <w:szCs w:val="16"/>
              </w:rPr>
              <w:t>-0.00</w:t>
            </w:r>
          </w:p>
        </w:tc>
        <w:tc>
          <w:tcPr>
            <w:tcW w:w="187" w:type="pct"/>
            <w:tcBorders>
              <w:top w:val="nil"/>
              <w:bottom w:val="nil"/>
            </w:tcBorders>
            <w:vAlign w:val="center"/>
          </w:tcPr>
          <w:p w14:paraId="406331EE" w14:textId="026B53E5" w:rsidR="0046353F" w:rsidRPr="009C6556" w:rsidRDefault="007337A2">
            <w:pPr>
              <w:keepNext/>
              <w:keepLines/>
              <w:spacing w:before="200" w:line="240" w:lineRule="auto"/>
              <w:contextualSpacing/>
              <w:jc w:val="center"/>
              <w:outlineLvl w:val="3"/>
              <w:rPr>
                <w:sz w:val="16"/>
                <w:szCs w:val="16"/>
              </w:rPr>
            </w:pPr>
            <w:r>
              <w:rPr>
                <w:sz w:val="16"/>
                <w:szCs w:val="16"/>
              </w:rPr>
              <w:t>0.13</w:t>
            </w:r>
          </w:p>
        </w:tc>
        <w:tc>
          <w:tcPr>
            <w:tcW w:w="187" w:type="pct"/>
            <w:tcBorders>
              <w:top w:val="nil"/>
              <w:bottom w:val="nil"/>
            </w:tcBorders>
            <w:vAlign w:val="center"/>
          </w:tcPr>
          <w:p w14:paraId="387F411E" w14:textId="237C78F6" w:rsidR="0046353F" w:rsidRPr="009C6556" w:rsidRDefault="007337A2">
            <w:pPr>
              <w:keepNext/>
              <w:keepLines/>
              <w:spacing w:before="200" w:line="240" w:lineRule="auto"/>
              <w:contextualSpacing/>
              <w:jc w:val="center"/>
              <w:outlineLvl w:val="3"/>
              <w:rPr>
                <w:sz w:val="16"/>
                <w:szCs w:val="16"/>
              </w:rPr>
            </w:pPr>
            <w:r>
              <w:rPr>
                <w:sz w:val="16"/>
                <w:szCs w:val="16"/>
              </w:rPr>
              <w:t>0.0</w:t>
            </w:r>
            <w:r w:rsidR="00415885">
              <w:rPr>
                <w:sz w:val="16"/>
                <w:szCs w:val="16"/>
              </w:rPr>
              <w:t>3</w:t>
            </w:r>
          </w:p>
        </w:tc>
        <w:tc>
          <w:tcPr>
            <w:tcW w:w="187" w:type="pct"/>
            <w:tcBorders>
              <w:top w:val="nil"/>
              <w:bottom w:val="nil"/>
            </w:tcBorders>
            <w:vAlign w:val="center"/>
          </w:tcPr>
          <w:p w14:paraId="4CFD01B9" w14:textId="7E58D2F1"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2137FB36"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BAD1AC2"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3AE88401"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051CFA33"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43B73637"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66A7C4F4"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4D3BB0D6"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A027489"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05FBE6AD" w14:textId="7FC9C11D" w:rsidR="0046353F" w:rsidRPr="009C6556" w:rsidRDefault="0046353F">
            <w:pPr>
              <w:spacing w:line="240" w:lineRule="auto"/>
              <w:contextualSpacing/>
              <w:jc w:val="center"/>
              <w:rPr>
                <w:sz w:val="16"/>
                <w:szCs w:val="16"/>
              </w:rPr>
            </w:pPr>
          </w:p>
        </w:tc>
      </w:tr>
      <w:tr w:rsidR="0090136D" w:rsidRPr="00AE0C1E" w14:paraId="3BC2F7E7" w14:textId="77777777" w:rsidTr="009C6556">
        <w:trPr>
          <w:cantSplit/>
          <w:trHeight w:hRule="exact" w:val="388"/>
        </w:trPr>
        <w:tc>
          <w:tcPr>
            <w:tcW w:w="96" w:type="pct"/>
            <w:tcBorders>
              <w:top w:val="nil"/>
              <w:bottom w:val="nil"/>
            </w:tcBorders>
            <w:vAlign w:val="center"/>
          </w:tcPr>
          <w:p w14:paraId="5AF94D58" w14:textId="53741103" w:rsidR="0046353F" w:rsidRPr="009C6556" w:rsidRDefault="0046353F">
            <w:pPr>
              <w:keepNext/>
              <w:keepLines/>
              <w:spacing w:before="200" w:line="240" w:lineRule="auto"/>
              <w:ind w:left="-142"/>
              <w:contextualSpacing/>
              <w:jc w:val="center"/>
              <w:outlineLvl w:val="3"/>
              <w:rPr>
                <w:b/>
                <w:sz w:val="16"/>
                <w:szCs w:val="16"/>
              </w:rPr>
            </w:pPr>
            <w:r>
              <w:rPr>
                <w:b/>
                <w:sz w:val="16"/>
                <w:szCs w:val="16"/>
              </w:rPr>
              <w:t>11</w:t>
            </w:r>
          </w:p>
        </w:tc>
        <w:tc>
          <w:tcPr>
            <w:tcW w:w="830" w:type="pct"/>
            <w:tcBorders>
              <w:top w:val="nil"/>
              <w:bottom w:val="nil"/>
            </w:tcBorders>
            <w:vAlign w:val="center"/>
          </w:tcPr>
          <w:p w14:paraId="29190E33" w14:textId="0277982C" w:rsidR="0046353F" w:rsidRPr="009C6556" w:rsidRDefault="0046353F">
            <w:pPr>
              <w:keepNext/>
              <w:keepLines/>
              <w:spacing w:before="200" w:line="240" w:lineRule="auto"/>
              <w:contextualSpacing/>
              <w:outlineLvl w:val="3"/>
              <w:rPr>
                <w:b/>
                <w:sz w:val="16"/>
                <w:szCs w:val="16"/>
              </w:rPr>
            </w:pPr>
            <w:r w:rsidRPr="009C6556">
              <w:rPr>
                <w:b/>
                <w:sz w:val="16"/>
                <w:szCs w:val="16"/>
              </w:rPr>
              <w:t>Rumoured</w:t>
            </w:r>
          </w:p>
        </w:tc>
        <w:tc>
          <w:tcPr>
            <w:tcW w:w="235" w:type="pct"/>
            <w:tcBorders>
              <w:top w:val="nil"/>
              <w:bottom w:val="nil"/>
            </w:tcBorders>
            <w:vAlign w:val="center"/>
          </w:tcPr>
          <w:p w14:paraId="41427D37" w14:textId="1B516CC5" w:rsidR="0046353F" w:rsidRPr="009C6556" w:rsidRDefault="0046353F">
            <w:pPr>
              <w:keepNext/>
              <w:keepLines/>
              <w:spacing w:before="200" w:line="240" w:lineRule="auto"/>
              <w:contextualSpacing/>
              <w:jc w:val="center"/>
              <w:outlineLvl w:val="3"/>
              <w:rPr>
                <w:sz w:val="16"/>
                <w:szCs w:val="16"/>
              </w:rPr>
            </w:pPr>
            <w:r>
              <w:rPr>
                <w:sz w:val="16"/>
                <w:szCs w:val="16"/>
              </w:rPr>
              <w:t>0.42</w:t>
            </w:r>
          </w:p>
        </w:tc>
        <w:tc>
          <w:tcPr>
            <w:tcW w:w="281" w:type="pct"/>
            <w:tcBorders>
              <w:top w:val="nil"/>
              <w:bottom w:val="nil"/>
            </w:tcBorders>
            <w:vAlign w:val="center"/>
          </w:tcPr>
          <w:p w14:paraId="2ECA73C9" w14:textId="5C52F0D9" w:rsidR="0046353F" w:rsidRPr="009C6556" w:rsidRDefault="00E8138A">
            <w:pPr>
              <w:keepNext/>
              <w:keepLines/>
              <w:spacing w:before="200" w:line="240" w:lineRule="auto"/>
              <w:contextualSpacing/>
              <w:jc w:val="center"/>
              <w:outlineLvl w:val="3"/>
              <w:rPr>
                <w:sz w:val="16"/>
                <w:szCs w:val="16"/>
              </w:rPr>
            </w:pPr>
            <w:r>
              <w:rPr>
                <w:sz w:val="16"/>
                <w:szCs w:val="16"/>
              </w:rPr>
              <w:t>0.18</w:t>
            </w:r>
          </w:p>
        </w:tc>
        <w:tc>
          <w:tcPr>
            <w:tcW w:w="187" w:type="pct"/>
            <w:tcBorders>
              <w:top w:val="nil"/>
              <w:bottom w:val="nil"/>
            </w:tcBorders>
            <w:vAlign w:val="center"/>
          </w:tcPr>
          <w:p w14:paraId="4EDAE2F2" w14:textId="30D91514" w:rsidR="0046353F" w:rsidRPr="009C6556" w:rsidRDefault="00B10F6E">
            <w:pPr>
              <w:keepNext/>
              <w:keepLines/>
              <w:spacing w:before="200" w:line="240" w:lineRule="auto"/>
              <w:contextualSpacing/>
              <w:jc w:val="center"/>
              <w:outlineLvl w:val="3"/>
              <w:rPr>
                <w:sz w:val="16"/>
                <w:szCs w:val="16"/>
              </w:rPr>
            </w:pPr>
            <w:r>
              <w:rPr>
                <w:sz w:val="16"/>
                <w:szCs w:val="16"/>
              </w:rPr>
              <w:t>-0.29</w:t>
            </w:r>
          </w:p>
        </w:tc>
        <w:tc>
          <w:tcPr>
            <w:tcW w:w="187" w:type="pct"/>
            <w:tcBorders>
              <w:top w:val="nil"/>
              <w:bottom w:val="nil"/>
            </w:tcBorders>
            <w:vAlign w:val="center"/>
          </w:tcPr>
          <w:p w14:paraId="3E414E4F" w14:textId="130A64D4" w:rsidR="0046353F" w:rsidRPr="009C6556" w:rsidRDefault="00B10F6E">
            <w:pPr>
              <w:keepNext/>
              <w:keepLines/>
              <w:spacing w:before="200" w:line="240" w:lineRule="auto"/>
              <w:contextualSpacing/>
              <w:jc w:val="center"/>
              <w:outlineLvl w:val="3"/>
              <w:rPr>
                <w:sz w:val="16"/>
                <w:szCs w:val="16"/>
              </w:rPr>
            </w:pPr>
            <w:r>
              <w:rPr>
                <w:sz w:val="16"/>
                <w:szCs w:val="16"/>
              </w:rPr>
              <w:t>0.22</w:t>
            </w:r>
          </w:p>
        </w:tc>
        <w:tc>
          <w:tcPr>
            <w:tcW w:w="187" w:type="pct"/>
            <w:tcBorders>
              <w:top w:val="nil"/>
              <w:bottom w:val="nil"/>
            </w:tcBorders>
            <w:vAlign w:val="center"/>
          </w:tcPr>
          <w:p w14:paraId="6A65F1DB" w14:textId="10CAD436" w:rsidR="0046353F" w:rsidRPr="009C6556" w:rsidRDefault="00B10F6E">
            <w:pPr>
              <w:keepNext/>
              <w:keepLines/>
              <w:spacing w:before="200" w:line="240" w:lineRule="auto"/>
              <w:contextualSpacing/>
              <w:jc w:val="center"/>
              <w:outlineLvl w:val="3"/>
              <w:rPr>
                <w:sz w:val="16"/>
                <w:szCs w:val="16"/>
              </w:rPr>
            </w:pPr>
            <w:r>
              <w:rPr>
                <w:sz w:val="16"/>
                <w:szCs w:val="16"/>
              </w:rPr>
              <w:t>0.35</w:t>
            </w:r>
          </w:p>
        </w:tc>
        <w:tc>
          <w:tcPr>
            <w:tcW w:w="187" w:type="pct"/>
            <w:tcBorders>
              <w:top w:val="nil"/>
              <w:bottom w:val="nil"/>
            </w:tcBorders>
            <w:vAlign w:val="center"/>
          </w:tcPr>
          <w:p w14:paraId="63FC517F" w14:textId="55D7B32B" w:rsidR="0046353F" w:rsidRPr="009C6556" w:rsidRDefault="00543A89">
            <w:pPr>
              <w:keepNext/>
              <w:keepLines/>
              <w:spacing w:before="200" w:line="240" w:lineRule="auto"/>
              <w:contextualSpacing/>
              <w:jc w:val="center"/>
              <w:outlineLvl w:val="3"/>
              <w:rPr>
                <w:sz w:val="16"/>
                <w:szCs w:val="16"/>
              </w:rPr>
            </w:pPr>
            <w:r>
              <w:rPr>
                <w:sz w:val="16"/>
                <w:szCs w:val="16"/>
              </w:rPr>
              <w:t>-0.09</w:t>
            </w:r>
          </w:p>
        </w:tc>
        <w:tc>
          <w:tcPr>
            <w:tcW w:w="187" w:type="pct"/>
            <w:tcBorders>
              <w:top w:val="nil"/>
              <w:bottom w:val="nil"/>
            </w:tcBorders>
            <w:vAlign w:val="center"/>
          </w:tcPr>
          <w:p w14:paraId="61CF6767" w14:textId="4F015EE6" w:rsidR="0046353F" w:rsidRPr="009C6556" w:rsidRDefault="00543A89">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6CBEB454" w14:textId="02A27513" w:rsidR="0046353F" w:rsidRPr="009C6556" w:rsidRDefault="00543A89">
            <w:pPr>
              <w:keepNext/>
              <w:keepLines/>
              <w:spacing w:before="200" w:line="240" w:lineRule="auto"/>
              <w:contextualSpacing/>
              <w:jc w:val="center"/>
              <w:outlineLvl w:val="3"/>
              <w:rPr>
                <w:sz w:val="16"/>
                <w:szCs w:val="16"/>
              </w:rPr>
            </w:pPr>
            <w:r>
              <w:rPr>
                <w:sz w:val="16"/>
                <w:szCs w:val="16"/>
              </w:rPr>
              <w:t>0.04</w:t>
            </w:r>
          </w:p>
        </w:tc>
        <w:tc>
          <w:tcPr>
            <w:tcW w:w="187" w:type="pct"/>
            <w:tcBorders>
              <w:top w:val="nil"/>
              <w:bottom w:val="nil"/>
            </w:tcBorders>
            <w:vAlign w:val="center"/>
          </w:tcPr>
          <w:p w14:paraId="6B18F984" w14:textId="2D721360" w:rsidR="0046353F" w:rsidRPr="009C6556" w:rsidRDefault="00543A89">
            <w:pPr>
              <w:keepNext/>
              <w:keepLines/>
              <w:spacing w:before="200" w:line="240" w:lineRule="auto"/>
              <w:contextualSpacing/>
              <w:jc w:val="center"/>
              <w:outlineLvl w:val="3"/>
              <w:rPr>
                <w:sz w:val="16"/>
                <w:szCs w:val="16"/>
              </w:rPr>
            </w:pPr>
            <w:r>
              <w:rPr>
                <w:sz w:val="16"/>
                <w:szCs w:val="16"/>
              </w:rPr>
              <w:t>-0.01</w:t>
            </w:r>
          </w:p>
        </w:tc>
        <w:tc>
          <w:tcPr>
            <w:tcW w:w="187" w:type="pct"/>
            <w:tcBorders>
              <w:top w:val="nil"/>
              <w:bottom w:val="nil"/>
            </w:tcBorders>
            <w:vAlign w:val="center"/>
          </w:tcPr>
          <w:p w14:paraId="382938A9" w14:textId="7F2CAAB7" w:rsidR="0046353F" w:rsidRPr="009C6556" w:rsidRDefault="00186326">
            <w:pPr>
              <w:keepNext/>
              <w:keepLines/>
              <w:spacing w:before="200" w:line="240" w:lineRule="auto"/>
              <w:contextualSpacing/>
              <w:jc w:val="center"/>
              <w:outlineLvl w:val="3"/>
              <w:rPr>
                <w:sz w:val="16"/>
                <w:szCs w:val="16"/>
              </w:rPr>
            </w:pPr>
            <w:r>
              <w:rPr>
                <w:sz w:val="16"/>
                <w:szCs w:val="16"/>
              </w:rPr>
              <w:t>0.34</w:t>
            </w:r>
          </w:p>
        </w:tc>
        <w:tc>
          <w:tcPr>
            <w:tcW w:w="187" w:type="pct"/>
            <w:tcBorders>
              <w:top w:val="nil"/>
              <w:bottom w:val="nil"/>
            </w:tcBorders>
            <w:vAlign w:val="center"/>
          </w:tcPr>
          <w:p w14:paraId="206F810A" w14:textId="24014F6C" w:rsidR="0046353F" w:rsidRPr="009C6556" w:rsidRDefault="00186326">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77912DAD" w14:textId="6F9E3918" w:rsidR="0046353F" w:rsidRPr="009C6556" w:rsidRDefault="00186326">
            <w:pPr>
              <w:keepNext/>
              <w:keepLines/>
              <w:spacing w:before="200" w:line="240" w:lineRule="auto"/>
              <w:contextualSpacing/>
              <w:jc w:val="center"/>
              <w:outlineLvl w:val="3"/>
              <w:rPr>
                <w:sz w:val="16"/>
                <w:szCs w:val="16"/>
              </w:rPr>
            </w:pPr>
            <w:r>
              <w:rPr>
                <w:sz w:val="16"/>
                <w:szCs w:val="16"/>
              </w:rPr>
              <w:t>-0.07</w:t>
            </w:r>
          </w:p>
        </w:tc>
        <w:tc>
          <w:tcPr>
            <w:tcW w:w="188" w:type="pct"/>
            <w:tcBorders>
              <w:top w:val="nil"/>
              <w:bottom w:val="nil"/>
            </w:tcBorders>
            <w:vAlign w:val="center"/>
          </w:tcPr>
          <w:p w14:paraId="17924B86" w14:textId="30A16E46"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626808F4"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4C2C5819"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5C3CA0A8"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1CEC2440"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2A376F36"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2BB23ACB"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174EC8F7"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6F863EDB" w14:textId="4B3DA77A" w:rsidR="0046353F" w:rsidRPr="009C6556" w:rsidRDefault="0046353F">
            <w:pPr>
              <w:spacing w:line="240" w:lineRule="auto"/>
              <w:contextualSpacing/>
              <w:jc w:val="center"/>
              <w:rPr>
                <w:sz w:val="16"/>
                <w:szCs w:val="16"/>
              </w:rPr>
            </w:pPr>
          </w:p>
        </w:tc>
      </w:tr>
      <w:tr w:rsidR="0090136D" w:rsidRPr="00AE0C1E" w14:paraId="246D6848" w14:textId="77777777" w:rsidTr="009C6556">
        <w:trPr>
          <w:cantSplit/>
          <w:trHeight w:hRule="exact" w:val="388"/>
        </w:trPr>
        <w:tc>
          <w:tcPr>
            <w:tcW w:w="96" w:type="pct"/>
            <w:tcBorders>
              <w:top w:val="nil"/>
              <w:bottom w:val="nil"/>
            </w:tcBorders>
            <w:vAlign w:val="center"/>
          </w:tcPr>
          <w:p w14:paraId="41AD227F" w14:textId="26BD72F6" w:rsidR="0046353F" w:rsidRPr="009C6556" w:rsidRDefault="0046353F">
            <w:pPr>
              <w:keepNext/>
              <w:keepLines/>
              <w:spacing w:before="200" w:line="240" w:lineRule="auto"/>
              <w:ind w:left="-142"/>
              <w:contextualSpacing/>
              <w:jc w:val="center"/>
              <w:outlineLvl w:val="3"/>
              <w:rPr>
                <w:b/>
                <w:sz w:val="16"/>
                <w:szCs w:val="16"/>
              </w:rPr>
            </w:pPr>
            <w:r>
              <w:rPr>
                <w:b/>
                <w:sz w:val="16"/>
                <w:szCs w:val="16"/>
              </w:rPr>
              <w:t>12</w:t>
            </w:r>
          </w:p>
        </w:tc>
        <w:tc>
          <w:tcPr>
            <w:tcW w:w="830" w:type="pct"/>
            <w:tcBorders>
              <w:top w:val="nil"/>
              <w:bottom w:val="nil"/>
            </w:tcBorders>
            <w:vAlign w:val="center"/>
          </w:tcPr>
          <w:p w14:paraId="2A114A37" w14:textId="411581F6" w:rsidR="0046353F" w:rsidRPr="009C6556" w:rsidRDefault="0046353F">
            <w:pPr>
              <w:keepNext/>
              <w:keepLines/>
              <w:spacing w:before="200" w:line="240" w:lineRule="auto"/>
              <w:contextualSpacing/>
              <w:outlineLvl w:val="3"/>
              <w:rPr>
                <w:b/>
                <w:sz w:val="16"/>
                <w:szCs w:val="16"/>
              </w:rPr>
            </w:pPr>
            <w:r w:rsidRPr="009C6556">
              <w:rPr>
                <w:b/>
                <w:sz w:val="16"/>
                <w:szCs w:val="16"/>
              </w:rPr>
              <w:t>Acquisition volume (t-1)</w:t>
            </w:r>
          </w:p>
        </w:tc>
        <w:tc>
          <w:tcPr>
            <w:tcW w:w="235" w:type="pct"/>
            <w:tcBorders>
              <w:top w:val="nil"/>
              <w:bottom w:val="nil"/>
            </w:tcBorders>
            <w:vAlign w:val="center"/>
          </w:tcPr>
          <w:p w14:paraId="7458DEEB" w14:textId="4FA3DAF4" w:rsidR="0046353F" w:rsidRPr="009C6556" w:rsidRDefault="00EB0E31">
            <w:pPr>
              <w:keepNext/>
              <w:keepLines/>
              <w:spacing w:before="200" w:line="240" w:lineRule="auto"/>
              <w:contextualSpacing/>
              <w:jc w:val="center"/>
              <w:outlineLvl w:val="3"/>
              <w:rPr>
                <w:sz w:val="16"/>
                <w:szCs w:val="16"/>
              </w:rPr>
            </w:pPr>
            <w:r>
              <w:rPr>
                <w:sz w:val="16"/>
                <w:szCs w:val="16"/>
              </w:rPr>
              <w:t>3.23</w:t>
            </w:r>
          </w:p>
        </w:tc>
        <w:tc>
          <w:tcPr>
            <w:tcW w:w="281" w:type="pct"/>
            <w:tcBorders>
              <w:top w:val="nil"/>
              <w:bottom w:val="nil"/>
            </w:tcBorders>
            <w:vAlign w:val="center"/>
          </w:tcPr>
          <w:p w14:paraId="106CCD64" w14:textId="74EE97CF" w:rsidR="0046353F" w:rsidRPr="009C6556" w:rsidRDefault="00E8138A">
            <w:pPr>
              <w:keepNext/>
              <w:keepLines/>
              <w:spacing w:before="200" w:line="240" w:lineRule="auto"/>
              <w:contextualSpacing/>
              <w:jc w:val="center"/>
              <w:outlineLvl w:val="3"/>
              <w:rPr>
                <w:sz w:val="16"/>
                <w:szCs w:val="16"/>
              </w:rPr>
            </w:pPr>
            <w:r>
              <w:rPr>
                <w:sz w:val="16"/>
                <w:szCs w:val="16"/>
              </w:rPr>
              <w:t>1.43</w:t>
            </w:r>
          </w:p>
        </w:tc>
        <w:tc>
          <w:tcPr>
            <w:tcW w:w="187" w:type="pct"/>
            <w:tcBorders>
              <w:top w:val="nil"/>
              <w:bottom w:val="nil"/>
            </w:tcBorders>
            <w:vAlign w:val="center"/>
          </w:tcPr>
          <w:p w14:paraId="171E4B1C" w14:textId="6E4B2C08" w:rsidR="0046353F" w:rsidRPr="009C6556" w:rsidRDefault="001164AC">
            <w:pPr>
              <w:keepNext/>
              <w:keepLines/>
              <w:spacing w:before="200" w:line="240" w:lineRule="auto"/>
              <w:contextualSpacing/>
              <w:jc w:val="center"/>
              <w:outlineLvl w:val="3"/>
              <w:rPr>
                <w:sz w:val="16"/>
                <w:szCs w:val="16"/>
              </w:rPr>
            </w:pPr>
            <w:r>
              <w:rPr>
                <w:sz w:val="16"/>
                <w:szCs w:val="16"/>
              </w:rPr>
              <w:t>0.04</w:t>
            </w:r>
          </w:p>
        </w:tc>
        <w:tc>
          <w:tcPr>
            <w:tcW w:w="187" w:type="pct"/>
            <w:tcBorders>
              <w:top w:val="nil"/>
              <w:bottom w:val="nil"/>
            </w:tcBorders>
            <w:vAlign w:val="center"/>
          </w:tcPr>
          <w:p w14:paraId="00342A7F" w14:textId="51E9DBBC" w:rsidR="0046353F" w:rsidRPr="009C6556" w:rsidRDefault="008370B4">
            <w:pPr>
              <w:keepNext/>
              <w:keepLines/>
              <w:spacing w:before="200" w:line="240" w:lineRule="auto"/>
              <w:contextualSpacing/>
              <w:jc w:val="center"/>
              <w:outlineLvl w:val="3"/>
              <w:rPr>
                <w:sz w:val="16"/>
                <w:szCs w:val="16"/>
              </w:rPr>
            </w:pPr>
            <w:r>
              <w:rPr>
                <w:sz w:val="16"/>
                <w:szCs w:val="16"/>
              </w:rPr>
              <w:t>0.16</w:t>
            </w:r>
          </w:p>
        </w:tc>
        <w:tc>
          <w:tcPr>
            <w:tcW w:w="187" w:type="pct"/>
            <w:tcBorders>
              <w:top w:val="nil"/>
              <w:bottom w:val="nil"/>
            </w:tcBorders>
            <w:vAlign w:val="center"/>
          </w:tcPr>
          <w:p w14:paraId="6C4EFBE3" w14:textId="38208061" w:rsidR="0046353F" w:rsidRPr="009C6556" w:rsidRDefault="008370B4">
            <w:pPr>
              <w:keepNext/>
              <w:keepLines/>
              <w:spacing w:before="200" w:line="240" w:lineRule="auto"/>
              <w:contextualSpacing/>
              <w:jc w:val="center"/>
              <w:outlineLvl w:val="3"/>
              <w:rPr>
                <w:sz w:val="16"/>
                <w:szCs w:val="16"/>
              </w:rPr>
            </w:pPr>
            <w:r>
              <w:rPr>
                <w:sz w:val="16"/>
                <w:szCs w:val="16"/>
              </w:rPr>
              <w:t>0.21</w:t>
            </w:r>
          </w:p>
        </w:tc>
        <w:tc>
          <w:tcPr>
            <w:tcW w:w="187" w:type="pct"/>
            <w:tcBorders>
              <w:top w:val="nil"/>
              <w:bottom w:val="nil"/>
            </w:tcBorders>
            <w:vAlign w:val="center"/>
          </w:tcPr>
          <w:p w14:paraId="2D2224AF" w14:textId="482EC614" w:rsidR="0046353F" w:rsidRPr="009C6556" w:rsidRDefault="00535AB3">
            <w:pPr>
              <w:keepNext/>
              <w:keepLines/>
              <w:spacing w:before="200" w:line="240" w:lineRule="auto"/>
              <w:contextualSpacing/>
              <w:jc w:val="center"/>
              <w:outlineLvl w:val="3"/>
              <w:rPr>
                <w:sz w:val="16"/>
                <w:szCs w:val="16"/>
              </w:rPr>
            </w:pPr>
            <w:r>
              <w:rPr>
                <w:sz w:val="16"/>
                <w:szCs w:val="16"/>
              </w:rPr>
              <w:t>0.08</w:t>
            </w:r>
          </w:p>
        </w:tc>
        <w:tc>
          <w:tcPr>
            <w:tcW w:w="187" w:type="pct"/>
            <w:tcBorders>
              <w:top w:val="nil"/>
              <w:bottom w:val="nil"/>
            </w:tcBorders>
            <w:vAlign w:val="center"/>
          </w:tcPr>
          <w:p w14:paraId="11E6211F" w14:textId="4571B5A5" w:rsidR="0046353F" w:rsidRPr="009C6556" w:rsidRDefault="00535AB3">
            <w:pPr>
              <w:keepNext/>
              <w:keepLines/>
              <w:spacing w:before="200" w:line="240" w:lineRule="auto"/>
              <w:contextualSpacing/>
              <w:jc w:val="center"/>
              <w:outlineLvl w:val="3"/>
              <w:rPr>
                <w:sz w:val="16"/>
                <w:szCs w:val="16"/>
              </w:rPr>
            </w:pPr>
            <w:r>
              <w:rPr>
                <w:sz w:val="16"/>
                <w:szCs w:val="16"/>
              </w:rPr>
              <w:t>0.11</w:t>
            </w:r>
          </w:p>
        </w:tc>
        <w:tc>
          <w:tcPr>
            <w:tcW w:w="187" w:type="pct"/>
            <w:tcBorders>
              <w:top w:val="nil"/>
              <w:bottom w:val="nil"/>
            </w:tcBorders>
            <w:vAlign w:val="center"/>
          </w:tcPr>
          <w:p w14:paraId="44916A0B" w14:textId="3652669D" w:rsidR="0046353F" w:rsidRPr="009C6556" w:rsidRDefault="00535AB3">
            <w:pPr>
              <w:keepNext/>
              <w:keepLines/>
              <w:spacing w:before="200" w:line="240" w:lineRule="auto"/>
              <w:contextualSpacing/>
              <w:jc w:val="center"/>
              <w:outlineLvl w:val="3"/>
              <w:rPr>
                <w:sz w:val="16"/>
                <w:szCs w:val="16"/>
              </w:rPr>
            </w:pPr>
            <w:r>
              <w:rPr>
                <w:sz w:val="16"/>
                <w:szCs w:val="16"/>
              </w:rPr>
              <w:t>0.17</w:t>
            </w:r>
          </w:p>
        </w:tc>
        <w:tc>
          <w:tcPr>
            <w:tcW w:w="187" w:type="pct"/>
            <w:tcBorders>
              <w:top w:val="nil"/>
              <w:bottom w:val="nil"/>
            </w:tcBorders>
            <w:vAlign w:val="center"/>
          </w:tcPr>
          <w:p w14:paraId="199E024A" w14:textId="4676B04C" w:rsidR="0046353F" w:rsidRPr="009C6556" w:rsidRDefault="00337AC6">
            <w:pPr>
              <w:keepNext/>
              <w:keepLines/>
              <w:spacing w:before="200" w:line="240" w:lineRule="auto"/>
              <w:contextualSpacing/>
              <w:jc w:val="center"/>
              <w:outlineLvl w:val="3"/>
              <w:rPr>
                <w:sz w:val="16"/>
                <w:szCs w:val="16"/>
              </w:rPr>
            </w:pPr>
            <w:r>
              <w:rPr>
                <w:sz w:val="16"/>
                <w:szCs w:val="16"/>
              </w:rPr>
              <w:t>-0.29</w:t>
            </w:r>
          </w:p>
        </w:tc>
        <w:tc>
          <w:tcPr>
            <w:tcW w:w="187" w:type="pct"/>
            <w:tcBorders>
              <w:top w:val="nil"/>
              <w:bottom w:val="nil"/>
            </w:tcBorders>
            <w:vAlign w:val="center"/>
          </w:tcPr>
          <w:p w14:paraId="5DCA7FA3" w14:textId="2371F94B" w:rsidR="0046353F" w:rsidRPr="009C6556" w:rsidRDefault="00337AC6">
            <w:pPr>
              <w:keepNext/>
              <w:keepLines/>
              <w:spacing w:before="200" w:line="240" w:lineRule="auto"/>
              <w:contextualSpacing/>
              <w:jc w:val="center"/>
              <w:outlineLvl w:val="3"/>
              <w:rPr>
                <w:sz w:val="16"/>
                <w:szCs w:val="16"/>
              </w:rPr>
            </w:pPr>
            <w:r>
              <w:rPr>
                <w:sz w:val="16"/>
                <w:szCs w:val="16"/>
              </w:rPr>
              <w:t>0.08</w:t>
            </w:r>
          </w:p>
        </w:tc>
        <w:tc>
          <w:tcPr>
            <w:tcW w:w="187" w:type="pct"/>
            <w:tcBorders>
              <w:top w:val="nil"/>
              <w:bottom w:val="nil"/>
            </w:tcBorders>
            <w:vAlign w:val="center"/>
          </w:tcPr>
          <w:p w14:paraId="3C8F773E" w14:textId="214FD9B6" w:rsidR="0046353F" w:rsidRPr="009C6556" w:rsidRDefault="00337AC6">
            <w:pPr>
              <w:keepNext/>
              <w:keepLines/>
              <w:spacing w:before="200" w:line="240" w:lineRule="auto"/>
              <w:contextualSpacing/>
              <w:jc w:val="center"/>
              <w:outlineLvl w:val="3"/>
              <w:rPr>
                <w:sz w:val="16"/>
                <w:szCs w:val="16"/>
              </w:rPr>
            </w:pPr>
            <w:r>
              <w:rPr>
                <w:sz w:val="16"/>
                <w:szCs w:val="16"/>
              </w:rPr>
              <w:t>0.17</w:t>
            </w:r>
          </w:p>
        </w:tc>
        <w:tc>
          <w:tcPr>
            <w:tcW w:w="187" w:type="pct"/>
            <w:tcBorders>
              <w:top w:val="nil"/>
              <w:bottom w:val="nil"/>
            </w:tcBorders>
            <w:vAlign w:val="center"/>
          </w:tcPr>
          <w:p w14:paraId="351E8FBB" w14:textId="0D2F7F89" w:rsidR="0046353F" w:rsidRPr="009C6556" w:rsidRDefault="00337AC6">
            <w:pPr>
              <w:keepNext/>
              <w:keepLines/>
              <w:spacing w:before="200" w:line="240" w:lineRule="auto"/>
              <w:contextualSpacing/>
              <w:jc w:val="center"/>
              <w:outlineLvl w:val="3"/>
              <w:rPr>
                <w:sz w:val="16"/>
                <w:szCs w:val="16"/>
              </w:rPr>
            </w:pPr>
            <w:r>
              <w:rPr>
                <w:sz w:val="16"/>
                <w:szCs w:val="16"/>
              </w:rPr>
              <w:t>0.01</w:t>
            </w:r>
          </w:p>
        </w:tc>
        <w:tc>
          <w:tcPr>
            <w:tcW w:w="188" w:type="pct"/>
            <w:tcBorders>
              <w:top w:val="nil"/>
              <w:bottom w:val="nil"/>
            </w:tcBorders>
            <w:vAlign w:val="center"/>
          </w:tcPr>
          <w:p w14:paraId="707CBE9D" w14:textId="48433B8F" w:rsidR="0046353F" w:rsidRPr="009C6556" w:rsidRDefault="00337AC6">
            <w:pPr>
              <w:keepNext/>
              <w:keepLines/>
              <w:spacing w:before="200" w:line="240" w:lineRule="auto"/>
              <w:contextualSpacing/>
              <w:jc w:val="center"/>
              <w:outlineLvl w:val="3"/>
              <w:rPr>
                <w:sz w:val="16"/>
                <w:szCs w:val="16"/>
              </w:rPr>
            </w:pPr>
            <w:r>
              <w:rPr>
                <w:sz w:val="16"/>
                <w:szCs w:val="16"/>
              </w:rPr>
              <w:t>0.05</w:t>
            </w:r>
          </w:p>
        </w:tc>
        <w:tc>
          <w:tcPr>
            <w:tcW w:w="188" w:type="pct"/>
            <w:tcBorders>
              <w:top w:val="nil"/>
              <w:bottom w:val="nil"/>
            </w:tcBorders>
            <w:vAlign w:val="center"/>
          </w:tcPr>
          <w:p w14:paraId="7CA98A63" w14:textId="3C103DAF"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0F2EF3D3"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174CA2DF"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21107D8"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1266EA93"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1141BBAF"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0F5ABD31"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21C9D77B" w14:textId="448076CF" w:rsidR="0046353F" w:rsidRPr="009C6556" w:rsidRDefault="0046353F">
            <w:pPr>
              <w:spacing w:line="240" w:lineRule="auto"/>
              <w:contextualSpacing/>
              <w:jc w:val="center"/>
              <w:rPr>
                <w:sz w:val="16"/>
                <w:szCs w:val="16"/>
              </w:rPr>
            </w:pPr>
          </w:p>
        </w:tc>
      </w:tr>
      <w:tr w:rsidR="0090136D" w:rsidRPr="00AE0C1E" w14:paraId="7E939CB4" w14:textId="77777777" w:rsidTr="009C6556">
        <w:trPr>
          <w:cantSplit/>
          <w:trHeight w:hRule="exact" w:val="388"/>
        </w:trPr>
        <w:tc>
          <w:tcPr>
            <w:tcW w:w="96" w:type="pct"/>
            <w:tcBorders>
              <w:top w:val="nil"/>
              <w:bottom w:val="nil"/>
            </w:tcBorders>
            <w:vAlign w:val="center"/>
          </w:tcPr>
          <w:p w14:paraId="14464F13" w14:textId="4CF01D29" w:rsidR="0046353F" w:rsidRPr="009C6556" w:rsidRDefault="0046353F">
            <w:pPr>
              <w:keepNext/>
              <w:keepLines/>
              <w:spacing w:before="200" w:line="240" w:lineRule="auto"/>
              <w:ind w:left="-142"/>
              <w:contextualSpacing/>
              <w:jc w:val="center"/>
              <w:outlineLvl w:val="3"/>
              <w:rPr>
                <w:b/>
                <w:sz w:val="16"/>
                <w:szCs w:val="16"/>
              </w:rPr>
            </w:pPr>
            <w:r>
              <w:rPr>
                <w:b/>
                <w:sz w:val="16"/>
                <w:szCs w:val="16"/>
              </w:rPr>
              <w:t>13</w:t>
            </w:r>
          </w:p>
        </w:tc>
        <w:tc>
          <w:tcPr>
            <w:tcW w:w="830" w:type="pct"/>
            <w:tcBorders>
              <w:top w:val="nil"/>
              <w:bottom w:val="nil"/>
            </w:tcBorders>
            <w:vAlign w:val="center"/>
          </w:tcPr>
          <w:p w14:paraId="6854593A" w14:textId="71279A20" w:rsidR="0046353F" w:rsidRPr="009C6556" w:rsidRDefault="0046353F">
            <w:pPr>
              <w:keepNext/>
              <w:keepLines/>
              <w:spacing w:before="200" w:line="240" w:lineRule="auto"/>
              <w:contextualSpacing/>
              <w:outlineLvl w:val="3"/>
              <w:rPr>
                <w:b/>
                <w:sz w:val="16"/>
                <w:szCs w:val="16"/>
              </w:rPr>
            </w:pPr>
            <w:r w:rsidRPr="009C6556">
              <w:rPr>
                <w:b/>
                <w:sz w:val="16"/>
                <w:szCs w:val="16"/>
              </w:rPr>
              <w:t>Acquisition volume (t-3)</w:t>
            </w:r>
          </w:p>
        </w:tc>
        <w:tc>
          <w:tcPr>
            <w:tcW w:w="235" w:type="pct"/>
            <w:tcBorders>
              <w:top w:val="nil"/>
              <w:bottom w:val="nil"/>
            </w:tcBorders>
            <w:vAlign w:val="center"/>
          </w:tcPr>
          <w:p w14:paraId="06EFF14C" w14:textId="5C13B3EE" w:rsidR="0046353F" w:rsidRPr="009C6556" w:rsidRDefault="00EB0E31">
            <w:pPr>
              <w:keepNext/>
              <w:keepLines/>
              <w:spacing w:before="200" w:line="240" w:lineRule="auto"/>
              <w:contextualSpacing/>
              <w:jc w:val="center"/>
              <w:outlineLvl w:val="3"/>
              <w:rPr>
                <w:sz w:val="16"/>
                <w:szCs w:val="16"/>
              </w:rPr>
            </w:pPr>
            <w:r>
              <w:rPr>
                <w:sz w:val="16"/>
                <w:szCs w:val="16"/>
              </w:rPr>
              <w:t>11.44</w:t>
            </w:r>
          </w:p>
        </w:tc>
        <w:tc>
          <w:tcPr>
            <w:tcW w:w="281" w:type="pct"/>
            <w:tcBorders>
              <w:top w:val="nil"/>
              <w:bottom w:val="nil"/>
            </w:tcBorders>
            <w:vAlign w:val="center"/>
          </w:tcPr>
          <w:p w14:paraId="3E08A150" w14:textId="0042DE62" w:rsidR="0046353F" w:rsidRPr="009C6556" w:rsidRDefault="00E8138A">
            <w:pPr>
              <w:keepNext/>
              <w:keepLines/>
              <w:spacing w:before="200" w:line="240" w:lineRule="auto"/>
              <w:contextualSpacing/>
              <w:jc w:val="center"/>
              <w:outlineLvl w:val="3"/>
              <w:rPr>
                <w:sz w:val="16"/>
                <w:szCs w:val="16"/>
              </w:rPr>
            </w:pPr>
            <w:r>
              <w:rPr>
                <w:sz w:val="16"/>
                <w:szCs w:val="16"/>
              </w:rPr>
              <w:t>3.26</w:t>
            </w:r>
          </w:p>
        </w:tc>
        <w:tc>
          <w:tcPr>
            <w:tcW w:w="187" w:type="pct"/>
            <w:tcBorders>
              <w:top w:val="nil"/>
              <w:bottom w:val="nil"/>
            </w:tcBorders>
            <w:vAlign w:val="center"/>
          </w:tcPr>
          <w:p w14:paraId="7A95F49F" w14:textId="54E51AA7" w:rsidR="0046353F" w:rsidRPr="009C6556" w:rsidRDefault="001164AC">
            <w:pPr>
              <w:keepNext/>
              <w:keepLines/>
              <w:spacing w:before="200" w:line="240" w:lineRule="auto"/>
              <w:contextualSpacing/>
              <w:jc w:val="center"/>
              <w:outlineLvl w:val="3"/>
              <w:rPr>
                <w:sz w:val="16"/>
                <w:szCs w:val="16"/>
              </w:rPr>
            </w:pPr>
            <w:r>
              <w:rPr>
                <w:sz w:val="16"/>
                <w:szCs w:val="16"/>
              </w:rPr>
              <w:t>0.15</w:t>
            </w:r>
          </w:p>
        </w:tc>
        <w:tc>
          <w:tcPr>
            <w:tcW w:w="187" w:type="pct"/>
            <w:tcBorders>
              <w:top w:val="nil"/>
              <w:bottom w:val="nil"/>
            </w:tcBorders>
            <w:vAlign w:val="center"/>
          </w:tcPr>
          <w:p w14:paraId="65D6618F" w14:textId="139F949D" w:rsidR="0046353F" w:rsidRPr="009C6556" w:rsidRDefault="008370B4">
            <w:pPr>
              <w:keepNext/>
              <w:keepLines/>
              <w:spacing w:before="200" w:line="240" w:lineRule="auto"/>
              <w:contextualSpacing/>
              <w:jc w:val="center"/>
              <w:outlineLvl w:val="3"/>
              <w:rPr>
                <w:sz w:val="16"/>
                <w:szCs w:val="16"/>
              </w:rPr>
            </w:pPr>
            <w:r>
              <w:rPr>
                <w:sz w:val="16"/>
                <w:szCs w:val="16"/>
              </w:rPr>
              <w:t>0.23</w:t>
            </w:r>
          </w:p>
        </w:tc>
        <w:tc>
          <w:tcPr>
            <w:tcW w:w="187" w:type="pct"/>
            <w:tcBorders>
              <w:top w:val="nil"/>
              <w:bottom w:val="nil"/>
            </w:tcBorders>
            <w:vAlign w:val="center"/>
          </w:tcPr>
          <w:p w14:paraId="6C699711" w14:textId="6AAADE56" w:rsidR="0046353F" w:rsidRPr="009C6556" w:rsidRDefault="008370B4">
            <w:pPr>
              <w:keepNext/>
              <w:keepLines/>
              <w:spacing w:before="200" w:line="240" w:lineRule="auto"/>
              <w:contextualSpacing/>
              <w:jc w:val="center"/>
              <w:outlineLvl w:val="3"/>
              <w:rPr>
                <w:sz w:val="16"/>
                <w:szCs w:val="16"/>
              </w:rPr>
            </w:pPr>
            <w:r>
              <w:rPr>
                <w:sz w:val="16"/>
                <w:szCs w:val="16"/>
              </w:rPr>
              <w:t>0.44</w:t>
            </w:r>
          </w:p>
        </w:tc>
        <w:tc>
          <w:tcPr>
            <w:tcW w:w="187" w:type="pct"/>
            <w:tcBorders>
              <w:top w:val="nil"/>
              <w:bottom w:val="nil"/>
            </w:tcBorders>
            <w:vAlign w:val="center"/>
          </w:tcPr>
          <w:p w14:paraId="29D56B80" w14:textId="12376F8D" w:rsidR="0046353F" w:rsidRPr="009C6556" w:rsidRDefault="00535AB3">
            <w:pPr>
              <w:keepNext/>
              <w:keepLines/>
              <w:spacing w:before="200" w:line="240" w:lineRule="auto"/>
              <w:contextualSpacing/>
              <w:jc w:val="center"/>
              <w:outlineLvl w:val="3"/>
              <w:rPr>
                <w:sz w:val="16"/>
                <w:szCs w:val="16"/>
              </w:rPr>
            </w:pPr>
            <w:r>
              <w:rPr>
                <w:sz w:val="16"/>
                <w:szCs w:val="16"/>
              </w:rPr>
              <w:t>0.10</w:t>
            </w:r>
          </w:p>
        </w:tc>
        <w:tc>
          <w:tcPr>
            <w:tcW w:w="187" w:type="pct"/>
            <w:tcBorders>
              <w:top w:val="nil"/>
              <w:bottom w:val="nil"/>
            </w:tcBorders>
            <w:vAlign w:val="center"/>
          </w:tcPr>
          <w:p w14:paraId="7B89DEF2" w14:textId="73BF37E1" w:rsidR="0046353F" w:rsidRPr="009C6556" w:rsidRDefault="00535AB3">
            <w:pPr>
              <w:keepNext/>
              <w:keepLines/>
              <w:spacing w:before="200" w:line="240" w:lineRule="auto"/>
              <w:contextualSpacing/>
              <w:jc w:val="center"/>
              <w:outlineLvl w:val="3"/>
              <w:rPr>
                <w:sz w:val="16"/>
                <w:szCs w:val="16"/>
              </w:rPr>
            </w:pPr>
            <w:r>
              <w:rPr>
                <w:sz w:val="16"/>
                <w:szCs w:val="16"/>
              </w:rPr>
              <w:t>0.13</w:t>
            </w:r>
          </w:p>
        </w:tc>
        <w:tc>
          <w:tcPr>
            <w:tcW w:w="187" w:type="pct"/>
            <w:tcBorders>
              <w:top w:val="nil"/>
              <w:bottom w:val="nil"/>
            </w:tcBorders>
            <w:vAlign w:val="center"/>
          </w:tcPr>
          <w:p w14:paraId="733AD4C2" w14:textId="09CFB3C5" w:rsidR="0046353F" w:rsidRPr="009C6556" w:rsidRDefault="00535AB3">
            <w:pPr>
              <w:keepNext/>
              <w:keepLines/>
              <w:spacing w:before="200" w:line="240" w:lineRule="auto"/>
              <w:contextualSpacing/>
              <w:jc w:val="center"/>
              <w:outlineLvl w:val="3"/>
              <w:rPr>
                <w:sz w:val="16"/>
                <w:szCs w:val="16"/>
              </w:rPr>
            </w:pPr>
            <w:r>
              <w:rPr>
                <w:sz w:val="16"/>
                <w:szCs w:val="16"/>
              </w:rPr>
              <w:t>0.18</w:t>
            </w:r>
          </w:p>
        </w:tc>
        <w:tc>
          <w:tcPr>
            <w:tcW w:w="187" w:type="pct"/>
            <w:tcBorders>
              <w:top w:val="nil"/>
              <w:bottom w:val="nil"/>
            </w:tcBorders>
            <w:vAlign w:val="center"/>
          </w:tcPr>
          <w:p w14:paraId="33011794" w14:textId="52562940" w:rsidR="0046353F" w:rsidRPr="009C6556" w:rsidRDefault="00337AC6">
            <w:pPr>
              <w:keepNext/>
              <w:keepLines/>
              <w:spacing w:before="200" w:line="240" w:lineRule="auto"/>
              <w:contextualSpacing/>
              <w:jc w:val="center"/>
              <w:outlineLvl w:val="3"/>
              <w:rPr>
                <w:sz w:val="16"/>
                <w:szCs w:val="16"/>
              </w:rPr>
            </w:pPr>
            <w:r>
              <w:rPr>
                <w:sz w:val="16"/>
                <w:szCs w:val="16"/>
              </w:rPr>
              <w:t>-0.18</w:t>
            </w:r>
          </w:p>
        </w:tc>
        <w:tc>
          <w:tcPr>
            <w:tcW w:w="187" w:type="pct"/>
            <w:tcBorders>
              <w:top w:val="nil"/>
              <w:bottom w:val="nil"/>
            </w:tcBorders>
            <w:vAlign w:val="center"/>
          </w:tcPr>
          <w:p w14:paraId="4BF26168" w14:textId="41A991EC" w:rsidR="0046353F" w:rsidRPr="009C6556" w:rsidRDefault="00337AC6">
            <w:pPr>
              <w:keepNext/>
              <w:keepLines/>
              <w:spacing w:before="200" w:line="240" w:lineRule="auto"/>
              <w:contextualSpacing/>
              <w:jc w:val="center"/>
              <w:outlineLvl w:val="3"/>
              <w:rPr>
                <w:sz w:val="16"/>
                <w:szCs w:val="16"/>
              </w:rPr>
            </w:pPr>
            <w:r>
              <w:rPr>
                <w:sz w:val="16"/>
                <w:szCs w:val="16"/>
              </w:rPr>
              <w:t>0.10</w:t>
            </w:r>
          </w:p>
        </w:tc>
        <w:tc>
          <w:tcPr>
            <w:tcW w:w="187" w:type="pct"/>
            <w:tcBorders>
              <w:top w:val="nil"/>
              <w:bottom w:val="nil"/>
            </w:tcBorders>
            <w:vAlign w:val="center"/>
          </w:tcPr>
          <w:p w14:paraId="2C8FA80D" w14:textId="0F5FDFD4" w:rsidR="0046353F" w:rsidRPr="009C6556" w:rsidRDefault="00337AC6">
            <w:pPr>
              <w:keepNext/>
              <w:keepLines/>
              <w:spacing w:before="200" w:line="240" w:lineRule="auto"/>
              <w:contextualSpacing/>
              <w:jc w:val="center"/>
              <w:outlineLvl w:val="3"/>
              <w:rPr>
                <w:sz w:val="16"/>
                <w:szCs w:val="16"/>
              </w:rPr>
            </w:pPr>
            <w:r>
              <w:rPr>
                <w:sz w:val="16"/>
                <w:szCs w:val="16"/>
              </w:rPr>
              <w:t>0.09</w:t>
            </w:r>
          </w:p>
        </w:tc>
        <w:tc>
          <w:tcPr>
            <w:tcW w:w="187" w:type="pct"/>
            <w:tcBorders>
              <w:top w:val="nil"/>
              <w:bottom w:val="nil"/>
            </w:tcBorders>
            <w:vAlign w:val="center"/>
          </w:tcPr>
          <w:p w14:paraId="0CB3B0C1" w14:textId="5A4B1347" w:rsidR="0046353F" w:rsidRPr="009C6556" w:rsidRDefault="00337AC6">
            <w:pPr>
              <w:keepNext/>
              <w:keepLines/>
              <w:spacing w:before="200" w:line="240" w:lineRule="auto"/>
              <w:contextualSpacing/>
              <w:jc w:val="center"/>
              <w:outlineLvl w:val="3"/>
              <w:rPr>
                <w:sz w:val="16"/>
                <w:szCs w:val="16"/>
              </w:rPr>
            </w:pPr>
            <w:r>
              <w:rPr>
                <w:sz w:val="16"/>
                <w:szCs w:val="16"/>
              </w:rPr>
              <w:t>0.03</w:t>
            </w:r>
          </w:p>
        </w:tc>
        <w:tc>
          <w:tcPr>
            <w:tcW w:w="188" w:type="pct"/>
            <w:tcBorders>
              <w:top w:val="nil"/>
              <w:bottom w:val="nil"/>
            </w:tcBorders>
            <w:vAlign w:val="center"/>
          </w:tcPr>
          <w:p w14:paraId="6490937C" w14:textId="10F2A8D2" w:rsidR="0046353F" w:rsidRPr="009C6556" w:rsidRDefault="00337AC6">
            <w:pPr>
              <w:keepNext/>
              <w:keepLines/>
              <w:spacing w:before="200" w:line="240" w:lineRule="auto"/>
              <w:contextualSpacing/>
              <w:jc w:val="center"/>
              <w:outlineLvl w:val="3"/>
              <w:rPr>
                <w:sz w:val="16"/>
                <w:szCs w:val="16"/>
              </w:rPr>
            </w:pPr>
            <w:r>
              <w:rPr>
                <w:sz w:val="16"/>
                <w:szCs w:val="16"/>
              </w:rPr>
              <w:t>0.11</w:t>
            </w:r>
          </w:p>
        </w:tc>
        <w:tc>
          <w:tcPr>
            <w:tcW w:w="188" w:type="pct"/>
            <w:tcBorders>
              <w:top w:val="nil"/>
              <w:bottom w:val="nil"/>
            </w:tcBorders>
            <w:vAlign w:val="center"/>
          </w:tcPr>
          <w:p w14:paraId="1976DECE" w14:textId="5650AA6D" w:rsidR="0046353F" w:rsidRPr="009C6556" w:rsidRDefault="00337AC6">
            <w:pPr>
              <w:keepNext/>
              <w:keepLines/>
              <w:spacing w:before="200" w:line="240" w:lineRule="auto"/>
              <w:contextualSpacing/>
              <w:jc w:val="center"/>
              <w:outlineLvl w:val="3"/>
              <w:rPr>
                <w:sz w:val="16"/>
                <w:szCs w:val="16"/>
              </w:rPr>
            </w:pPr>
            <w:r>
              <w:rPr>
                <w:sz w:val="16"/>
                <w:szCs w:val="16"/>
              </w:rPr>
              <w:t>0.23</w:t>
            </w:r>
          </w:p>
        </w:tc>
        <w:tc>
          <w:tcPr>
            <w:tcW w:w="188" w:type="pct"/>
            <w:tcBorders>
              <w:top w:val="nil"/>
              <w:bottom w:val="nil"/>
            </w:tcBorders>
            <w:vAlign w:val="center"/>
          </w:tcPr>
          <w:p w14:paraId="004E47C0" w14:textId="561B3CA3"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56234C18"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232B092B"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450B6D52"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626DAD31"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AA62F81"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249A18CE" w14:textId="2718BA0C" w:rsidR="0046353F" w:rsidRPr="009C6556" w:rsidRDefault="0046353F">
            <w:pPr>
              <w:spacing w:line="240" w:lineRule="auto"/>
              <w:contextualSpacing/>
              <w:jc w:val="center"/>
              <w:rPr>
                <w:sz w:val="16"/>
                <w:szCs w:val="16"/>
              </w:rPr>
            </w:pPr>
          </w:p>
        </w:tc>
      </w:tr>
      <w:tr w:rsidR="0090136D" w:rsidRPr="00AE0C1E" w14:paraId="02EC02F1" w14:textId="77777777" w:rsidTr="009C6556">
        <w:trPr>
          <w:cantSplit/>
          <w:trHeight w:hRule="exact" w:val="388"/>
        </w:trPr>
        <w:tc>
          <w:tcPr>
            <w:tcW w:w="96" w:type="pct"/>
            <w:tcBorders>
              <w:top w:val="nil"/>
              <w:bottom w:val="nil"/>
            </w:tcBorders>
            <w:vAlign w:val="center"/>
          </w:tcPr>
          <w:p w14:paraId="7FEFABBC" w14:textId="329B86E9" w:rsidR="0046353F" w:rsidRPr="009C6556" w:rsidRDefault="0046353F">
            <w:pPr>
              <w:keepNext/>
              <w:keepLines/>
              <w:spacing w:before="200" w:line="240" w:lineRule="auto"/>
              <w:ind w:left="-142"/>
              <w:contextualSpacing/>
              <w:jc w:val="center"/>
              <w:outlineLvl w:val="3"/>
              <w:rPr>
                <w:b/>
                <w:sz w:val="16"/>
                <w:szCs w:val="16"/>
              </w:rPr>
            </w:pPr>
            <w:r>
              <w:rPr>
                <w:b/>
                <w:sz w:val="16"/>
                <w:szCs w:val="16"/>
              </w:rPr>
              <w:t>14</w:t>
            </w:r>
          </w:p>
        </w:tc>
        <w:tc>
          <w:tcPr>
            <w:tcW w:w="830" w:type="pct"/>
            <w:tcBorders>
              <w:top w:val="nil"/>
              <w:bottom w:val="nil"/>
            </w:tcBorders>
            <w:vAlign w:val="center"/>
          </w:tcPr>
          <w:p w14:paraId="289C3F5D" w14:textId="1750B3B7" w:rsidR="0046353F" w:rsidRPr="009C6556" w:rsidRDefault="0046353F">
            <w:pPr>
              <w:keepNext/>
              <w:keepLines/>
              <w:spacing w:before="200" w:line="240" w:lineRule="auto"/>
              <w:contextualSpacing/>
              <w:outlineLvl w:val="3"/>
              <w:rPr>
                <w:b/>
                <w:sz w:val="16"/>
                <w:szCs w:val="16"/>
              </w:rPr>
            </w:pPr>
            <w:r w:rsidRPr="009C6556">
              <w:rPr>
                <w:b/>
                <w:sz w:val="16"/>
                <w:szCs w:val="16"/>
              </w:rPr>
              <w:t>Acquisition volume (t-5)</w:t>
            </w:r>
          </w:p>
        </w:tc>
        <w:tc>
          <w:tcPr>
            <w:tcW w:w="235" w:type="pct"/>
            <w:tcBorders>
              <w:top w:val="nil"/>
              <w:bottom w:val="nil"/>
            </w:tcBorders>
            <w:vAlign w:val="center"/>
          </w:tcPr>
          <w:p w14:paraId="0D379433" w14:textId="7AEAA3E0" w:rsidR="0046353F" w:rsidRPr="009C6556" w:rsidRDefault="00EB0E31">
            <w:pPr>
              <w:keepNext/>
              <w:keepLines/>
              <w:spacing w:before="200" w:line="240" w:lineRule="auto"/>
              <w:contextualSpacing/>
              <w:jc w:val="center"/>
              <w:outlineLvl w:val="3"/>
              <w:rPr>
                <w:sz w:val="16"/>
                <w:szCs w:val="16"/>
              </w:rPr>
            </w:pPr>
            <w:r>
              <w:rPr>
                <w:sz w:val="16"/>
                <w:szCs w:val="16"/>
              </w:rPr>
              <w:t>19.21</w:t>
            </w:r>
          </w:p>
        </w:tc>
        <w:tc>
          <w:tcPr>
            <w:tcW w:w="281" w:type="pct"/>
            <w:tcBorders>
              <w:top w:val="nil"/>
              <w:bottom w:val="nil"/>
            </w:tcBorders>
            <w:vAlign w:val="center"/>
          </w:tcPr>
          <w:p w14:paraId="283D31F5" w14:textId="205A0495" w:rsidR="0046353F" w:rsidRPr="009C6556" w:rsidRDefault="00E8138A">
            <w:pPr>
              <w:keepNext/>
              <w:keepLines/>
              <w:spacing w:before="200" w:line="240" w:lineRule="auto"/>
              <w:contextualSpacing/>
              <w:jc w:val="center"/>
              <w:outlineLvl w:val="3"/>
              <w:rPr>
                <w:sz w:val="16"/>
                <w:szCs w:val="16"/>
              </w:rPr>
            </w:pPr>
            <w:r>
              <w:rPr>
                <w:sz w:val="16"/>
                <w:szCs w:val="16"/>
              </w:rPr>
              <w:t>5.91</w:t>
            </w:r>
          </w:p>
        </w:tc>
        <w:tc>
          <w:tcPr>
            <w:tcW w:w="187" w:type="pct"/>
            <w:tcBorders>
              <w:top w:val="nil"/>
              <w:bottom w:val="nil"/>
            </w:tcBorders>
            <w:vAlign w:val="center"/>
          </w:tcPr>
          <w:p w14:paraId="03EE3D63" w14:textId="743C5A4C" w:rsidR="0046353F" w:rsidRPr="009C6556" w:rsidRDefault="001164AC">
            <w:pPr>
              <w:keepNext/>
              <w:keepLines/>
              <w:spacing w:before="200" w:line="240" w:lineRule="auto"/>
              <w:contextualSpacing/>
              <w:jc w:val="center"/>
              <w:outlineLvl w:val="3"/>
              <w:rPr>
                <w:sz w:val="16"/>
                <w:szCs w:val="16"/>
              </w:rPr>
            </w:pPr>
            <w:r>
              <w:rPr>
                <w:sz w:val="16"/>
                <w:szCs w:val="16"/>
              </w:rPr>
              <w:t>0.20</w:t>
            </w:r>
          </w:p>
        </w:tc>
        <w:tc>
          <w:tcPr>
            <w:tcW w:w="187" w:type="pct"/>
            <w:tcBorders>
              <w:top w:val="nil"/>
              <w:bottom w:val="nil"/>
            </w:tcBorders>
            <w:vAlign w:val="center"/>
          </w:tcPr>
          <w:p w14:paraId="65B5B656" w14:textId="6C15124A" w:rsidR="0046353F" w:rsidRPr="009C6556" w:rsidRDefault="008370B4">
            <w:pPr>
              <w:keepNext/>
              <w:keepLines/>
              <w:spacing w:before="200" w:line="240" w:lineRule="auto"/>
              <w:contextualSpacing/>
              <w:jc w:val="center"/>
              <w:outlineLvl w:val="3"/>
              <w:rPr>
                <w:sz w:val="16"/>
                <w:szCs w:val="16"/>
              </w:rPr>
            </w:pPr>
            <w:r>
              <w:rPr>
                <w:sz w:val="16"/>
                <w:szCs w:val="16"/>
              </w:rPr>
              <w:t>0.47</w:t>
            </w:r>
          </w:p>
        </w:tc>
        <w:tc>
          <w:tcPr>
            <w:tcW w:w="187" w:type="pct"/>
            <w:tcBorders>
              <w:top w:val="nil"/>
              <w:bottom w:val="nil"/>
            </w:tcBorders>
            <w:vAlign w:val="center"/>
          </w:tcPr>
          <w:p w14:paraId="0720E400" w14:textId="6AA5834C" w:rsidR="0046353F" w:rsidRPr="009C6556" w:rsidRDefault="008370B4">
            <w:pPr>
              <w:keepNext/>
              <w:keepLines/>
              <w:spacing w:before="200" w:line="240" w:lineRule="auto"/>
              <w:contextualSpacing/>
              <w:jc w:val="center"/>
              <w:outlineLvl w:val="3"/>
              <w:rPr>
                <w:sz w:val="16"/>
                <w:szCs w:val="16"/>
              </w:rPr>
            </w:pPr>
            <w:r>
              <w:rPr>
                <w:sz w:val="16"/>
                <w:szCs w:val="16"/>
              </w:rPr>
              <w:t>0.63</w:t>
            </w:r>
          </w:p>
        </w:tc>
        <w:tc>
          <w:tcPr>
            <w:tcW w:w="187" w:type="pct"/>
            <w:tcBorders>
              <w:top w:val="nil"/>
              <w:bottom w:val="nil"/>
            </w:tcBorders>
            <w:vAlign w:val="center"/>
          </w:tcPr>
          <w:p w14:paraId="13D796EA" w14:textId="003037F4" w:rsidR="0046353F" w:rsidRPr="009C6556" w:rsidRDefault="00535AB3">
            <w:pPr>
              <w:keepNext/>
              <w:keepLines/>
              <w:spacing w:before="200" w:line="240" w:lineRule="auto"/>
              <w:contextualSpacing/>
              <w:jc w:val="center"/>
              <w:outlineLvl w:val="3"/>
              <w:rPr>
                <w:sz w:val="16"/>
                <w:szCs w:val="16"/>
              </w:rPr>
            </w:pPr>
            <w:r>
              <w:rPr>
                <w:sz w:val="16"/>
                <w:szCs w:val="16"/>
              </w:rPr>
              <w:t>0.14</w:t>
            </w:r>
          </w:p>
        </w:tc>
        <w:tc>
          <w:tcPr>
            <w:tcW w:w="187" w:type="pct"/>
            <w:tcBorders>
              <w:top w:val="nil"/>
              <w:bottom w:val="nil"/>
            </w:tcBorders>
            <w:vAlign w:val="center"/>
          </w:tcPr>
          <w:p w14:paraId="50C54A5A" w14:textId="54DF45A2" w:rsidR="0046353F" w:rsidRPr="009C6556" w:rsidRDefault="00535AB3">
            <w:pPr>
              <w:keepNext/>
              <w:keepLines/>
              <w:spacing w:before="200" w:line="240" w:lineRule="auto"/>
              <w:contextualSpacing/>
              <w:jc w:val="center"/>
              <w:outlineLvl w:val="3"/>
              <w:rPr>
                <w:sz w:val="16"/>
                <w:szCs w:val="16"/>
              </w:rPr>
            </w:pPr>
            <w:r>
              <w:rPr>
                <w:sz w:val="16"/>
                <w:szCs w:val="16"/>
              </w:rPr>
              <w:t>0.19</w:t>
            </w:r>
          </w:p>
        </w:tc>
        <w:tc>
          <w:tcPr>
            <w:tcW w:w="187" w:type="pct"/>
            <w:tcBorders>
              <w:top w:val="nil"/>
              <w:bottom w:val="nil"/>
            </w:tcBorders>
            <w:vAlign w:val="center"/>
          </w:tcPr>
          <w:p w14:paraId="3BC23324" w14:textId="147F4853" w:rsidR="0046353F" w:rsidRPr="009C6556" w:rsidRDefault="00535AB3">
            <w:pPr>
              <w:keepNext/>
              <w:keepLines/>
              <w:spacing w:before="200" w:line="240" w:lineRule="auto"/>
              <w:contextualSpacing/>
              <w:jc w:val="center"/>
              <w:outlineLvl w:val="3"/>
              <w:rPr>
                <w:sz w:val="16"/>
                <w:szCs w:val="16"/>
              </w:rPr>
            </w:pPr>
            <w:r>
              <w:rPr>
                <w:sz w:val="16"/>
                <w:szCs w:val="16"/>
              </w:rPr>
              <w:t>0.22</w:t>
            </w:r>
          </w:p>
        </w:tc>
        <w:tc>
          <w:tcPr>
            <w:tcW w:w="187" w:type="pct"/>
            <w:tcBorders>
              <w:top w:val="nil"/>
              <w:bottom w:val="nil"/>
            </w:tcBorders>
            <w:vAlign w:val="center"/>
          </w:tcPr>
          <w:p w14:paraId="2430BAC1" w14:textId="4E796DB1" w:rsidR="0046353F" w:rsidRPr="009C6556" w:rsidRDefault="00337AC6">
            <w:pPr>
              <w:keepNext/>
              <w:keepLines/>
              <w:spacing w:before="200" w:line="240" w:lineRule="auto"/>
              <w:contextualSpacing/>
              <w:jc w:val="center"/>
              <w:outlineLvl w:val="3"/>
              <w:rPr>
                <w:sz w:val="16"/>
                <w:szCs w:val="16"/>
              </w:rPr>
            </w:pPr>
            <w:r>
              <w:rPr>
                <w:sz w:val="16"/>
                <w:szCs w:val="16"/>
              </w:rPr>
              <w:t>-0.09</w:t>
            </w:r>
          </w:p>
        </w:tc>
        <w:tc>
          <w:tcPr>
            <w:tcW w:w="187" w:type="pct"/>
            <w:tcBorders>
              <w:top w:val="nil"/>
              <w:bottom w:val="nil"/>
            </w:tcBorders>
            <w:vAlign w:val="center"/>
          </w:tcPr>
          <w:p w14:paraId="7C794D4F" w14:textId="66756B7D" w:rsidR="0046353F" w:rsidRPr="009C6556" w:rsidRDefault="00337AC6">
            <w:pPr>
              <w:keepNext/>
              <w:keepLines/>
              <w:spacing w:before="200" w:line="240" w:lineRule="auto"/>
              <w:contextualSpacing/>
              <w:jc w:val="center"/>
              <w:outlineLvl w:val="3"/>
              <w:rPr>
                <w:sz w:val="16"/>
                <w:szCs w:val="16"/>
              </w:rPr>
            </w:pPr>
            <w:r>
              <w:rPr>
                <w:sz w:val="16"/>
                <w:szCs w:val="16"/>
              </w:rPr>
              <w:t>0.14</w:t>
            </w:r>
          </w:p>
        </w:tc>
        <w:tc>
          <w:tcPr>
            <w:tcW w:w="187" w:type="pct"/>
            <w:tcBorders>
              <w:top w:val="nil"/>
              <w:bottom w:val="nil"/>
            </w:tcBorders>
            <w:vAlign w:val="center"/>
          </w:tcPr>
          <w:p w14:paraId="5497CFAD" w14:textId="6C1A9125" w:rsidR="0046353F" w:rsidRPr="009C6556" w:rsidRDefault="00337AC6">
            <w:pPr>
              <w:keepNext/>
              <w:keepLines/>
              <w:spacing w:before="200" w:line="240" w:lineRule="auto"/>
              <w:contextualSpacing/>
              <w:jc w:val="center"/>
              <w:outlineLvl w:val="3"/>
              <w:rPr>
                <w:sz w:val="16"/>
                <w:szCs w:val="16"/>
              </w:rPr>
            </w:pPr>
            <w:r>
              <w:rPr>
                <w:sz w:val="16"/>
                <w:szCs w:val="16"/>
              </w:rPr>
              <w:t>0.03</w:t>
            </w:r>
          </w:p>
        </w:tc>
        <w:tc>
          <w:tcPr>
            <w:tcW w:w="187" w:type="pct"/>
            <w:tcBorders>
              <w:top w:val="nil"/>
              <w:bottom w:val="nil"/>
            </w:tcBorders>
            <w:vAlign w:val="center"/>
          </w:tcPr>
          <w:p w14:paraId="5AFA28F9" w14:textId="523F1D12" w:rsidR="0046353F" w:rsidRPr="009C6556" w:rsidRDefault="00337AC6">
            <w:pPr>
              <w:keepNext/>
              <w:keepLines/>
              <w:spacing w:before="200" w:line="240" w:lineRule="auto"/>
              <w:contextualSpacing/>
              <w:jc w:val="center"/>
              <w:outlineLvl w:val="3"/>
              <w:rPr>
                <w:sz w:val="16"/>
                <w:szCs w:val="16"/>
              </w:rPr>
            </w:pPr>
            <w:r>
              <w:rPr>
                <w:sz w:val="16"/>
                <w:szCs w:val="16"/>
              </w:rPr>
              <w:t>0.00</w:t>
            </w:r>
          </w:p>
        </w:tc>
        <w:tc>
          <w:tcPr>
            <w:tcW w:w="188" w:type="pct"/>
            <w:tcBorders>
              <w:top w:val="nil"/>
              <w:bottom w:val="nil"/>
            </w:tcBorders>
            <w:vAlign w:val="center"/>
          </w:tcPr>
          <w:p w14:paraId="4A02C720" w14:textId="723C5E18" w:rsidR="0046353F" w:rsidRPr="009C6556" w:rsidRDefault="00337AC6">
            <w:pPr>
              <w:keepNext/>
              <w:keepLines/>
              <w:spacing w:before="200" w:line="240" w:lineRule="auto"/>
              <w:contextualSpacing/>
              <w:jc w:val="center"/>
              <w:outlineLvl w:val="3"/>
              <w:rPr>
                <w:sz w:val="16"/>
                <w:szCs w:val="16"/>
              </w:rPr>
            </w:pPr>
            <w:r>
              <w:rPr>
                <w:sz w:val="16"/>
                <w:szCs w:val="16"/>
              </w:rPr>
              <w:t>0.19</w:t>
            </w:r>
          </w:p>
        </w:tc>
        <w:tc>
          <w:tcPr>
            <w:tcW w:w="188" w:type="pct"/>
            <w:tcBorders>
              <w:top w:val="nil"/>
              <w:bottom w:val="nil"/>
            </w:tcBorders>
            <w:vAlign w:val="center"/>
          </w:tcPr>
          <w:p w14:paraId="679DFB54" w14:textId="6FA6EA64" w:rsidR="0046353F" w:rsidRPr="009C6556" w:rsidRDefault="00337AC6">
            <w:pPr>
              <w:keepNext/>
              <w:keepLines/>
              <w:spacing w:before="200" w:line="240" w:lineRule="auto"/>
              <w:contextualSpacing/>
              <w:jc w:val="center"/>
              <w:outlineLvl w:val="3"/>
              <w:rPr>
                <w:sz w:val="16"/>
                <w:szCs w:val="16"/>
              </w:rPr>
            </w:pPr>
            <w:r>
              <w:rPr>
                <w:sz w:val="16"/>
                <w:szCs w:val="16"/>
              </w:rPr>
              <w:t>0.18</w:t>
            </w:r>
          </w:p>
        </w:tc>
        <w:tc>
          <w:tcPr>
            <w:tcW w:w="188" w:type="pct"/>
            <w:tcBorders>
              <w:top w:val="nil"/>
              <w:bottom w:val="nil"/>
            </w:tcBorders>
            <w:vAlign w:val="center"/>
          </w:tcPr>
          <w:p w14:paraId="32BFA427" w14:textId="717AF383" w:rsidR="0046353F" w:rsidRPr="009C6556" w:rsidRDefault="00337AC6">
            <w:pPr>
              <w:keepNext/>
              <w:keepLines/>
              <w:spacing w:before="200" w:line="240" w:lineRule="auto"/>
              <w:contextualSpacing/>
              <w:jc w:val="center"/>
              <w:outlineLvl w:val="3"/>
              <w:rPr>
                <w:sz w:val="16"/>
                <w:szCs w:val="16"/>
              </w:rPr>
            </w:pPr>
            <w:r>
              <w:rPr>
                <w:sz w:val="16"/>
                <w:szCs w:val="16"/>
              </w:rPr>
              <w:t>0.37</w:t>
            </w:r>
          </w:p>
        </w:tc>
        <w:tc>
          <w:tcPr>
            <w:tcW w:w="188" w:type="pct"/>
            <w:tcBorders>
              <w:top w:val="nil"/>
              <w:bottom w:val="nil"/>
            </w:tcBorders>
            <w:vAlign w:val="center"/>
          </w:tcPr>
          <w:p w14:paraId="7D092F73" w14:textId="6DF21FCA"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646E5353"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77F7D6D"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70FBBC79"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4EF958C0"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047A7428" w14:textId="54795D33" w:rsidR="0046353F" w:rsidRPr="009C6556" w:rsidRDefault="0046353F">
            <w:pPr>
              <w:spacing w:line="240" w:lineRule="auto"/>
              <w:contextualSpacing/>
              <w:jc w:val="center"/>
              <w:rPr>
                <w:sz w:val="16"/>
                <w:szCs w:val="16"/>
              </w:rPr>
            </w:pPr>
          </w:p>
        </w:tc>
      </w:tr>
      <w:tr w:rsidR="0090136D" w:rsidRPr="00AE0C1E" w14:paraId="3014E293" w14:textId="77777777" w:rsidTr="009C6556">
        <w:trPr>
          <w:cantSplit/>
          <w:trHeight w:hRule="exact" w:val="388"/>
        </w:trPr>
        <w:tc>
          <w:tcPr>
            <w:tcW w:w="96" w:type="pct"/>
            <w:tcBorders>
              <w:top w:val="nil"/>
              <w:bottom w:val="nil"/>
            </w:tcBorders>
            <w:vAlign w:val="center"/>
          </w:tcPr>
          <w:p w14:paraId="333984A9" w14:textId="13936A65" w:rsidR="0046353F" w:rsidRPr="009C6556" w:rsidRDefault="0046353F">
            <w:pPr>
              <w:keepNext/>
              <w:keepLines/>
              <w:spacing w:before="200" w:line="240" w:lineRule="auto"/>
              <w:ind w:left="-142"/>
              <w:contextualSpacing/>
              <w:jc w:val="center"/>
              <w:outlineLvl w:val="3"/>
              <w:rPr>
                <w:b/>
                <w:sz w:val="16"/>
                <w:szCs w:val="16"/>
              </w:rPr>
            </w:pPr>
            <w:r>
              <w:rPr>
                <w:b/>
                <w:sz w:val="16"/>
                <w:szCs w:val="16"/>
              </w:rPr>
              <w:t>15</w:t>
            </w:r>
          </w:p>
        </w:tc>
        <w:tc>
          <w:tcPr>
            <w:tcW w:w="830" w:type="pct"/>
            <w:tcBorders>
              <w:top w:val="nil"/>
              <w:bottom w:val="nil"/>
            </w:tcBorders>
            <w:vAlign w:val="center"/>
          </w:tcPr>
          <w:p w14:paraId="40A30836" w14:textId="0E0B3126" w:rsidR="0046353F" w:rsidRPr="009C6556" w:rsidRDefault="0046353F">
            <w:pPr>
              <w:keepNext/>
              <w:keepLines/>
              <w:spacing w:before="200" w:line="240" w:lineRule="auto"/>
              <w:contextualSpacing/>
              <w:outlineLvl w:val="3"/>
              <w:rPr>
                <w:b/>
                <w:sz w:val="16"/>
                <w:szCs w:val="16"/>
              </w:rPr>
            </w:pPr>
            <w:r w:rsidRPr="009C6556">
              <w:rPr>
                <w:b/>
                <w:sz w:val="16"/>
                <w:szCs w:val="16"/>
              </w:rPr>
              <w:t>Acquisitions outside main SIC code (t-1)</w:t>
            </w:r>
          </w:p>
        </w:tc>
        <w:tc>
          <w:tcPr>
            <w:tcW w:w="235" w:type="pct"/>
            <w:tcBorders>
              <w:top w:val="nil"/>
              <w:bottom w:val="nil"/>
            </w:tcBorders>
            <w:vAlign w:val="center"/>
          </w:tcPr>
          <w:p w14:paraId="497ECEAB" w14:textId="169DB03A" w:rsidR="0046353F" w:rsidRPr="009C6556" w:rsidRDefault="00EB0E31">
            <w:pPr>
              <w:keepNext/>
              <w:keepLines/>
              <w:spacing w:before="200" w:line="240" w:lineRule="auto"/>
              <w:contextualSpacing/>
              <w:jc w:val="center"/>
              <w:outlineLvl w:val="3"/>
              <w:rPr>
                <w:sz w:val="16"/>
                <w:szCs w:val="16"/>
              </w:rPr>
            </w:pPr>
            <w:r>
              <w:rPr>
                <w:sz w:val="16"/>
                <w:szCs w:val="16"/>
              </w:rPr>
              <w:t>1.13</w:t>
            </w:r>
          </w:p>
        </w:tc>
        <w:tc>
          <w:tcPr>
            <w:tcW w:w="281" w:type="pct"/>
            <w:tcBorders>
              <w:top w:val="nil"/>
              <w:bottom w:val="nil"/>
            </w:tcBorders>
            <w:vAlign w:val="center"/>
          </w:tcPr>
          <w:p w14:paraId="20CB41CD" w14:textId="386E9DB3" w:rsidR="0046353F" w:rsidRPr="009C6556" w:rsidRDefault="00E8138A">
            <w:pPr>
              <w:keepNext/>
              <w:keepLines/>
              <w:spacing w:before="200" w:line="240" w:lineRule="auto"/>
              <w:contextualSpacing/>
              <w:jc w:val="center"/>
              <w:outlineLvl w:val="3"/>
              <w:rPr>
                <w:sz w:val="16"/>
                <w:szCs w:val="16"/>
              </w:rPr>
            </w:pPr>
            <w:r>
              <w:rPr>
                <w:sz w:val="16"/>
                <w:szCs w:val="16"/>
              </w:rPr>
              <w:t>1.05</w:t>
            </w:r>
          </w:p>
        </w:tc>
        <w:tc>
          <w:tcPr>
            <w:tcW w:w="187" w:type="pct"/>
            <w:tcBorders>
              <w:top w:val="nil"/>
              <w:bottom w:val="nil"/>
            </w:tcBorders>
            <w:vAlign w:val="center"/>
          </w:tcPr>
          <w:p w14:paraId="2B0A1693" w14:textId="490C4ECB" w:rsidR="0046353F" w:rsidRPr="009C6556" w:rsidRDefault="00A65781">
            <w:pPr>
              <w:keepNext/>
              <w:keepLines/>
              <w:spacing w:before="200" w:line="240" w:lineRule="auto"/>
              <w:contextualSpacing/>
              <w:jc w:val="center"/>
              <w:outlineLvl w:val="3"/>
              <w:rPr>
                <w:sz w:val="16"/>
                <w:szCs w:val="16"/>
              </w:rPr>
            </w:pPr>
            <w:r>
              <w:rPr>
                <w:sz w:val="16"/>
                <w:szCs w:val="16"/>
              </w:rPr>
              <w:t>0.39</w:t>
            </w:r>
          </w:p>
        </w:tc>
        <w:tc>
          <w:tcPr>
            <w:tcW w:w="187" w:type="pct"/>
            <w:tcBorders>
              <w:top w:val="nil"/>
              <w:bottom w:val="nil"/>
            </w:tcBorders>
            <w:vAlign w:val="center"/>
          </w:tcPr>
          <w:p w14:paraId="3D10D281" w14:textId="5A455C82" w:rsidR="0046353F" w:rsidRPr="009C6556" w:rsidRDefault="00A65781">
            <w:pPr>
              <w:keepNext/>
              <w:keepLines/>
              <w:spacing w:before="200" w:line="240" w:lineRule="auto"/>
              <w:contextualSpacing/>
              <w:jc w:val="center"/>
              <w:outlineLvl w:val="3"/>
              <w:rPr>
                <w:sz w:val="16"/>
                <w:szCs w:val="16"/>
              </w:rPr>
            </w:pPr>
            <w:r>
              <w:rPr>
                <w:sz w:val="16"/>
                <w:szCs w:val="16"/>
              </w:rPr>
              <w:t>0.12</w:t>
            </w:r>
          </w:p>
        </w:tc>
        <w:tc>
          <w:tcPr>
            <w:tcW w:w="187" w:type="pct"/>
            <w:tcBorders>
              <w:top w:val="nil"/>
              <w:bottom w:val="nil"/>
            </w:tcBorders>
            <w:vAlign w:val="center"/>
          </w:tcPr>
          <w:p w14:paraId="4968752E" w14:textId="40276DDE" w:rsidR="0046353F" w:rsidRPr="009C6556" w:rsidRDefault="00A65781">
            <w:pPr>
              <w:keepNext/>
              <w:keepLines/>
              <w:spacing w:before="200" w:line="240" w:lineRule="auto"/>
              <w:contextualSpacing/>
              <w:jc w:val="center"/>
              <w:outlineLvl w:val="3"/>
              <w:rPr>
                <w:sz w:val="16"/>
                <w:szCs w:val="16"/>
              </w:rPr>
            </w:pPr>
            <w:r>
              <w:rPr>
                <w:sz w:val="16"/>
                <w:szCs w:val="16"/>
              </w:rPr>
              <w:t>0.22</w:t>
            </w:r>
          </w:p>
        </w:tc>
        <w:tc>
          <w:tcPr>
            <w:tcW w:w="187" w:type="pct"/>
            <w:tcBorders>
              <w:top w:val="nil"/>
              <w:bottom w:val="nil"/>
            </w:tcBorders>
            <w:vAlign w:val="center"/>
          </w:tcPr>
          <w:p w14:paraId="47644924" w14:textId="203827FA" w:rsidR="0046353F" w:rsidRPr="009C6556" w:rsidRDefault="00424C8E">
            <w:pPr>
              <w:keepNext/>
              <w:keepLines/>
              <w:spacing w:before="200" w:line="240" w:lineRule="auto"/>
              <w:contextualSpacing/>
              <w:jc w:val="center"/>
              <w:outlineLvl w:val="3"/>
              <w:rPr>
                <w:sz w:val="16"/>
                <w:szCs w:val="16"/>
              </w:rPr>
            </w:pPr>
            <w:r>
              <w:rPr>
                <w:sz w:val="16"/>
                <w:szCs w:val="16"/>
              </w:rPr>
              <w:t>0.09</w:t>
            </w:r>
          </w:p>
        </w:tc>
        <w:tc>
          <w:tcPr>
            <w:tcW w:w="187" w:type="pct"/>
            <w:tcBorders>
              <w:top w:val="nil"/>
              <w:bottom w:val="nil"/>
            </w:tcBorders>
            <w:vAlign w:val="center"/>
          </w:tcPr>
          <w:p w14:paraId="6D56C557" w14:textId="25627631" w:rsidR="0046353F" w:rsidRPr="009C6556" w:rsidRDefault="00424C8E">
            <w:pPr>
              <w:keepNext/>
              <w:keepLines/>
              <w:spacing w:before="200" w:line="240" w:lineRule="auto"/>
              <w:contextualSpacing/>
              <w:jc w:val="center"/>
              <w:outlineLvl w:val="3"/>
              <w:rPr>
                <w:sz w:val="16"/>
                <w:szCs w:val="16"/>
              </w:rPr>
            </w:pPr>
            <w:r>
              <w:rPr>
                <w:sz w:val="16"/>
                <w:szCs w:val="16"/>
              </w:rPr>
              <w:t>0.06</w:t>
            </w:r>
          </w:p>
        </w:tc>
        <w:tc>
          <w:tcPr>
            <w:tcW w:w="187" w:type="pct"/>
            <w:tcBorders>
              <w:top w:val="nil"/>
              <w:bottom w:val="nil"/>
            </w:tcBorders>
            <w:vAlign w:val="center"/>
          </w:tcPr>
          <w:p w14:paraId="34DD7D96" w14:textId="0376378D" w:rsidR="0046353F" w:rsidRPr="009C6556" w:rsidRDefault="00424C8E">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3027BB62" w14:textId="3D9756F5" w:rsidR="0046353F" w:rsidRPr="009C6556" w:rsidRDefault="00772D48">
            <w:pPr>
              <w:keepNext/>
              <w:keepLines/>
              <w:spacing w:before="200" w:line="240" w:lineRule="auto"/>
              <w:contextualSpacing/>
              <w:jc w:val="center"/>
              <w:outlineLvl w:val="3"/>
              <w:rPr>
                <w:sz w:val="16"/>
                <w:szCs w:val="16"/>
              </w:rPr>
            </w:pPr>
            <w:r>
              <w:rPr>
                <w:sz w:val="16"/>
                <w:szCs w:val="16"/>
              </w:rPr>
              <w:t>-0.08</w:t>
            </w:r>
          </w:p>
        </w:tc>
        <w:tc>
          <w:tcPr>
            <w:tcW w:w="187" w:type="pct"/>
            <w:tcBorders>
              <w:top w:val="nil"/>
              <w:bottom w:val="nil"/>
            </w:tcBorders>
            <w:vAlign w:val="center"/>
          </w:tcPr>
          <w:p w14:paraId="7F4C7AE9" w14:textId="24978880" w:rsidR="0046353F" w:rsidRPr="009C6556" w:rsidRDefault="00772D48">
            <w:pPr>
              <w:keepNext/>
              <w:keepLines/>
              <w:spacing w:before="200" w:line="240" w:lineRule="auto"/>
              <w:contextualSpacing/>
              <w:jc w:val="center"/>
              <w:outlineLvl w:val="3"/>
              <w:rPr>
                <w:sz w:val="16"/>
                <w:szCs w:val="16"/>
              </w:rPr>
            </w:pPr>
            <w:r>
              <w:rPr>
                <w:sz w:val="16"/>
                <w:szCs w:val="16"/>
              </w:rPr>
              <w:t>0.07</w:t>
            </w:r>
          </w:p>
        </w:tc>
        <w:tc>
          <w:tcPr>
            <w:tcW w:w="187" w:type="pct"/>
            <w:tcBorders>
              <w:top w:val="nil"/>
              <w:bottom w:val="nil"/>
            </w:tcBorders>
            <w:vAlign w:val="center"/>
          </w:tcPr>
          <w:p w14:paraId="34143475" w14:textId="52843E6F" w:rsidR="0046353F" w:rsidRPr="009C6556" w:rsidRDefault="0081766A">
            <w:pPr>
              <w:keepNext/>
              <w:keepLines/>
              <w:spacing w:before="200" w:line="240" w:lineRule="auto"/>
              <w:contextualSpacing/>
              <w:jc w:val="center"/>
              <w:outlineLvl w:val="3"/>
              <w:rPr>
                <w:sz w:val="16"/>
                <w:szCs w:val="16"/>
              </w:rPr>
            </w:pPr>
            <w:r>
              <w:rPr>
                <w:sz w:val="16"/>
                <w:szCs w:val="16"/>
              </w:rPr>
              <w:t>0.15</w:t>
            </w:r>
          </w:p>
        </w:tc>
        <w:tc>
          <w:tcPr>
            <w:tcW w:w="187" w:type="pct"/>
            <w:tcBorders>
              <w:top w:val="nil"/>
              <w:bottom w:val="nil"/>
            </w:tcBorders>
            <w:vAlign w:val="center"/>
          </w:tcPr>
          <w:p w14:paraId="30E44731" w14:textId="2DD014EC" w:rsidR="0046353F" w:rsidRPr="009C6556" w:rsidRDefault="002726BB">
            <w:pPr>
              <w:keepNext/>
              <w:keepLines/>
              <w:spacing w:before="200" w:line="240" w:lineRule="auto"/>
              <w:contextualSpacing/>
              <w:jc w:val="center"/>
              <w:outlineLvl w:val="3"/>
              <w:rPr>
                <w:sz w:val="16"/>
                <w:szCs w:val="16"/>
              </w:rPr>
            </w:pPr>
            <w:r>
              <w:rPr>
                <w:sz w:val="16"/>
                <w:szCs w:val="16"/>
              </w:rPr>
              <w:t>-0.19</w:t>
            </w:r>
          </w:p>
        </w:tc>
        <w:tc>
          <w:tcPr>
            <w:tcW w:w="188" w:type="pct"/>
            <w:tcBorders>
              <w:top w:val="nil"/>
              <w:bottom w:val="nil"/>
            </w:tcBorders>
            <w:vAlign w:val="center"/>
          </w:tcPr>
          <w:p w14:paraId="408BE483" w14:textId="6C77A1E7" w:rsidR="0046353F" w:rsidRPr="009C6556" w:rsidRDefault="00640B01">
            <w:pPr>
              <w:keepNext/>
              <w:keepLines/>
              <w:spacing w:before="200" w:line="240" w:lineRule="auto"/>
              <w:contextualSpacing/>
              <w:jc w:val="center"/>
              <w:outlineLvl w:val="3"/>
              <w:rPr>
                <w:sz w:val="16"/>
                <w:szCs w:val="16"/>
              </w:rPr>
            </w:pPr>
            <w:r>
              <w:rPr>
                <w:sz w:val="16"/>
                <w:szCs w:val="16"/>
              </w:rPr>
              <w:t>0.21</w:t>
            </w:r>
          </w:p>
        </w:tc>
        <w:tc>
          <w:tcPr>
            <w:tcW w:w="188" w:type="pct"/>
            <w:tcBorders>
              <w:top w:val="nil"/>
              <w:bottom w:val="nil"/>
            </w:tcBorders>
            <w:vAlign w:val="center"/>
          </w:tcPr>
          <w:p w14:paraId="51CA5AE4" w14:textId="4A01A0AE" w:rsidR="0046353F" w:rsidRPr="009C6556" w:rsidRDefault="00640B01">
            <w:pPr>
              <w:keepNext/>
              <w:keepLines/>
              <w:spacing w:before="200" w:line="240" w:lineRule="auto"/>
              <w:contextualSpacing/>
              <w:jc w:val="center"/>
              <w:outlineLvl w:val="3"/>
              <w:rPr>
                <w:sz w:val="16"/>
                <w:szCs w:val="16"/>
              </w:rPr>
            </w:pPr>
            <w:r>
              <w:rPr>
                <w:sz w:val="16"/>
                <w:szCs w:val="16"/>
              </w:rPr>
              <w:t>0.29</w:t>
            </w:r>
          </w:p>
        </w:tc>
        <w:tc>
          <w:tcPr>
            <w:tcW w:w="188" w:type="pct"/>
            <w:tcBorders>
              <w:top w:val="nil"/>
              <w:bottom w:val="nil"/>
            </w:tcBorders>
            <w:vAlign w:val="center"/>
          </w:tcPr>
          <w:p w14:paraId="5B0DCCD8" w14:textId="3B7E12F8" w:rsidR="0046353F" w:rsidRPr="009C6556" w:rsidRDefault="00640B01">
            <w:pPr>
              <w:keepNext/>
              <w:keepLines/>
              <w:spacing w:before="200" w:line="240" w:lineRule="auto"/>
              <w:contextualSpacing/>
              <w:jc w:val="center"/>
              <w:outlineLvl w:val="3"/>
              <w:rPr>
                <w:sz w:val="16"/>
                <w:szCs w:val="16"/>
              </w:rPr>
            </w:pPr>
            <w:r>
              <w:rPr>
                <w:sz w:val="16"/>
                <w:szCs w:val="16"/>
              </w:rPr>
              <w:t>0.17</w:t>
            </w:r>
          </w:p>
        </w:tc>
        <w:tc>
          <w:tcPr>
            <w:tcW w:w="188" w:type="pct"/>
            <w:tcBorders>
              <w:top w:val="nil"/>
              <w:bottom w:val="nil"/>
            </w:tcBorders>
            <w:vAlign w:val="center"/>
          </w:tcPr>
          <w:p w14:paraId="3B786983" w14:textId="6EAA932D" w:rsidR="0046353F" w:rsidRPr="009C6556" w:rsidRDefault="00640B01">
            <w:pPr>
              <w:keepNext/>
              <w:keepLines/>
              <w:spacing w:before="200" w:line="240" w:lineRule="auto"/>
              <w:contextualSpacing/>
              <w:jc w:val="center"/>
              <w:outlineLvl w:val="3"/>
              <w:rPr>
                <w:sz w:val="16"/>
                <w:szCs w:val="16"/>
              </w:rPr>
            </w:pPr>
            <w:r>
              <w:rPr>
                <w:sz w:val="16"/>
                <w:szCs w:val="16"/>
              </w:rPr>
              <w:t>0.06</w:t>
            </w:r>
          </w:p>
        </w:tc>
        <w:tc>
          <w:tcPr>
            <w:tcW w:w="188" w:type="pct"/>
            <w:tcBorders>
              <w:top w:val="nil"/>
              <w:bottom w:val="nil"/>
            </w:tcBorders>
            <w:vAlign w:val="center"/>
          </w:tcPr>
          <w:p w14:paraId="1574A7C6" w14:textId="7CBA7BC5"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375520F6"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57DE4286"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662FF24F"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04AB01A0" w14:textId="4ECE94D1" w:rsidR="0046353F" w:rsidRPr="009C6556" w:rsidRDefault="0046353F">
            <w:pPr>
              <w:spacing w:line="240" w:lineRule="auto"/>
              <w:contextualSpacing/>
              <w:jc w:val="center"/>
              <w:rPr>
                <w:sz w:val="16"/>
                <w:szCs w:val="16"/>
              </w:rPr>
            </w:pPr>
          </w:p>
        </w:tc>
      </w:tr>
      <w:tr w:rsidR="0090136D" w:rsidRPr="00AE0C1E" w14:paraId="72327C59" w14:textId="77777777" w:rsidTr="009C6556">
        <w:trPr>
          <w:cantSplit/>
          <w:trHeight w:hRule="exact" w:val="388"/>
        </w:trPr>
        <w:tc>
          <w:tcPr>
            <w:tcW w:w="96" w:type="pct"/>
            <w:tcBorders>
              <w:top w:val="nil"/>
              <w:bottom w:val="nil"/>
            </w:tcBorders>
            <w:vAlign w:val="center"/>
          </w:tcPr>
          <w:p w14:paraId="36B5891A" w14:textId="19655EB0" w:rsidR="0046353F" w:rsidRPr="009C6556" w:rsidRDefault="0046353F">
            <w:pPr>
              <w:keepNext/>
              <w:keepLines/>
              <w:spacing w:before="200" w:line="240" w:lineRule="auto"/>
              <w:ind w:left="-142"/>
              <w:contextualSpacing/>
              <w:jc w:val="center"/>
              <w:outlineLvl w:val="3"/>
              <w:rPr>
                <w:b/>
                <w:sz w:val="16"/>
                <w:szCs w:val="16"/>
              </w:rPr>
            </w:pPr>
            <w:r>
              <w:rPr>
                <w:b/>
                <w:sz w:val="16"/>
                <w:szCs w:val="16"/>
              </w:rPr>
              <w:t>16</w:t>
            </w:r>
          </w:p>
        </w:tc>
        <w:tc>
          <w:tcPr>
            <w:tcW w:w="830" w:type="pct"/>
            <w:tcBorders>
              <w:top w:val="nil"/>
              <w:bottom w:val="nil"/>
            </w:tcBorders>
            <w:vAlign w:val="center"/>
          </w:tcPr>
          <w:p w14:paraId="6D597838" w14:textId="5E694516" w:rsidR="0046353F" w:rsidRPr="009C6556" w:rsidRDefault="0046353F">
            <w:pPr>
              <w:keepNext/>
              <w:keepLines/>
              <w:spacing w:before="200" w:line="240" w:lineRule="auto"/>
              <w:contextualSpacing/>
              <w:outlineLvl w:val="3"/>
              <w:rPr>
                <w:b/>
                <w:sz w:val="16"/>
                <w:szCs w:val="16"/>
              </w:rPr>
            </w:pPr>
            <w:r w:rsidRPr="009C6556">
              <w:rPr>
                <w:b/>
                <w:sz w:val="16"/>
                <w:szCs w:val="16"/>
              </w:rPr>
              <w:t>Acquisitions outside main SIC code (t-3)</w:t>
            </w:r>
          </w:p>
        </w:tc>
        <w:tc>
          <w:tcPr>
            <w:tcW w:w="235" w:type="pct"/>
            <w:tcBorders>
              <w:top w:val="nil"/>
              <w:bottom w:val="nil"/>
            </w:tcBorders>
            <w:vAlign w:val="center"/>
          </w:tcPr>
          <w:p w14:paraId="1C65EB04" w14:textId="3A7E719E" w:rsidR="0046353F" w:rsidRPr="009C6556" w:rsidRDefault="00EB0E31">
            <w:pPr>
              <w:keepNext/>
              <w:keepLines/>
              <w:spacing w:before="200" w:line="240" w:lineRule="auto"/>
              <w:contextualSpacing/>
              <w:jc w:val="center"/>
              <w:outlineLvl w:val="3"/>
              <w:rPr>
                <w:sz w:val="16"/>
                <w:szCs w:val="16"/>
              </w:rPr>
            </w:pPr>
            <w:r>
              <w:rPr>
                <w:sz w:val="16"/>
                <w:szCs w:val="16"/>
              </w:rPr>
              <w:t>6.73</w:t>
            </w:r>
          </w:p>
        </w:tc>
        <w:tc>
          <w:tcPr>
            <w:tcW w:w="281" w:type="pct"/>
            <w:tcBorders>
              <w:top w:val="nil"/>
              <w:bottom w:val="nil"/>
            </w:tcBorders>
            <w:vAlign w:val="center"/>
          </w:tcPr>
          <w:p w14:paraId="0CF5B6DF" w14:textId="06A4AE87" w:rsidR="0046353F" w:rsidRPr="009C6556" w:rsidRDefault="00E8138A">
            <w:pPr>
              <w:keepNext/>
              <w:keepLines/>
              <w:spacing w:before="200" w:line="240" w:lineRule="auto"/>
              <w:contextualSpacing/>
              <w:jc w:val="center"/>
              <w:outlineLvl w:val="3"/>
              <w:rPr>
                <w:sz w:val="16"/>
                <w:szCs w:val="16"/>
              </w:rPr>
            </w:pPr>
            <w:r>
              <w:rPr>
                <w:sz w:val="16"/>
                <w:szCs w:val="16"/>
              </w:rPr>
              <w:t>2.15</w:t>
            </w:r>
          </w:p>
        </w:tc>
        <w:tc>
          <w:tcPr>
            <w:tcW w:w="187" w:type="pct"/>
            <w:tcBorders>
              <w:top w:val="nil"/>
              <w:bottom w:val="nil"/>
            </w:tcBorders>
            <w:vAlign w:val="center"/>
          </w:tcPr>
          <w:p w14:paraId="0EC0145F" w14:textId="7837A672" w:rsidR="0046353F" w:rsidRPr="009C6556" w:rsidRDefault="00A65781">
            <w:pPr>
              <w:keepNext/>
              <w:keepLines/>
              <w:spacing w:before="200" w:line="240" w:lineRule="auto"/>
              <w:contextualSpacing/>
              <w:jc w:val="center"/>
              <w:outlineLvl w:val="3"/>
              <w:rPr>
                <w:sz w:val="16"/>
                <w:szCs w:val="16"/>
              </w:rPr>
            </w:pPr>
            <w:r>
              <w:rPr>
                <w:sz w:val="16"/>
                <w:szCs w:val="16"/>
              </w:rPr>
              <w:t>0.21</w:t>
            </w:r>
          </w:p>
        </w:tc>
        <w:tc>
          <w:tcPr>
            <w:tcW w:w="187" w:type="pct"/>
            <w:tcBorders>
              <w:top w:val="nil"/>
              <w:bottom w:val="nil"/>
            </w:tcBorders>
            <w:vAlign w:val="center"/>
          </w:tcPr>
          <w:p w14:paraId="79DA4704" w14:textId="7D231699" w:rsidR="0046353F" w:rsidRPr="009C6556" w:rsidRDefault="00A65781">
            <w:pPr>
              <w:keepNext/>
              <w:keepLines/>
              <w:spacing w:before="200" w:line="240" w:lineRule="auto"/>
              <w:contextualSpacing/>
              <w:jc w:val="center"/>
              <w:outlineLvl w:val="3"/>
              <w:rPr>
                <w:sz w:val="16"/>
                <w:szCs w:val="16"/>
              </w:rPr>
            </w:pPr>
            <w:r>
              <w:rPr>
                <w:sz w:val="16"/>
                <w:szCs w:val="16"/>
              </w:rPr>
              <w:t>0.20</w:t>
            </w:r>
          </w:p>
        </w:tc>
        <w:tc>
          <w:tcPr>
            <w:tcW w:w="187" w:type="pct"/>
            <w:tcBorders>
              <w:top w:val="nil"/>
              <w:bottom w:val="nil"/>
            </w:tcBorders>
            <w:vAlign w:val="center"/>
          </w:tcPr>
          <w:p w14:paraId="45E361BC" w14:textId="43AEC2CD" w:rsidR="0046353F" w:rsidRPr="009C6556" w:rsidRDefault="00A65781">
            <w:pPr>
              <w:keepNext/>
              <w:keepLines/>
              <w:spacing w:before="200" w:line="240" w:lineRule="auto"/>
              <w:contextualSpacing/>
              <w:jc w:val="center"/>
              <w:outlineLvl w:val="3"/>
              <w:rPr>
                <w:sz w:val="16"/>
                <w:szCs w:val="16"/>
              </w:rPr>
            </w:pPr>
            <w:r>
              <w:rPr>
                <w:sz w:val="16"/>
                <w:szCs w:val="16"/>
              </w:rPr>
              <w:t>0.41</w:t>
            </w:r>
          </w:p>
        </w:tc>
        <w:tc>
          <w:tcPr>
            <w:tcW w:w="187" w:type="pct"/>
            <w:tcBorders>
              <w:top w:val="nil"/>
              <w:bottom w:val="nil"/>
            </w:tcBorders>
            <w:vAlign w:val="center"/>
          </w:tcPr>
          <w:p w14:paraId="3F2937BF" w14:textId="4D3540E3" w:rsidR="0046353F" w:rsidRPr="009C6556" w:rsidRDefault="000D28CC">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2B4C7B0C" w14:textId="0F0712C5" w:rsidR="0046353F" w:rsidRPr="009C6556" w:rsidRDefault="000D28CC">
            <w:pPr>
              <w:keepNext/>
              <w:keepLines/>
              <w:spacing w:before="200" w:line="240" w:lineRule="auto"/>
              <w:contextualSpacing/>
              <w:jc w:val="center"/>
              <w:outlineLvl w:val="3"/>
              <w:rPr>
                <w:sz w:val="16"/>
                <w:szCs w:val="16"/>
              </w:rPr>
            </w:pPr>
            <w:r>
              <w:rPr>
                <w:sz w:val="16"/>
                <w:szCs w:val="16"/>
              </w:rPr>
              <w:t>0.02</w:t>
            </w:r>
          </w:p>
        </w:tc>
        <w:tc>
          <w:tcPr>
            <w:tcW w:w="187" w:type="pct"/>
            <w:tcBorders>
              <w:top w:val="nil"/>
              <w:bottom w:val="nil"/>
            </w:tcBorders>
            <w:vAlign w:val="center"/>
          </w:tcPr>
          <w:p w14:paraId="30193AFA" w14:textId="1D67BBED" w:rsidR="0046353F" w:rsidRPr="009C6556" w:rsidRDefault="000D28CC">
            <w:pPr>
              <w:keepNext/>
              <w:keepLines/>
              <w:spacing w:before="200" w:line="240" w:lineRule="auto"/>
              <w:contextualSpacing/>
              <w:jc w:val="center"/>
              <w:outlineLvl w:val="3"/>
              <w:rPr>
                <w:sz w:val="16"/>
                <w:szCs w:val="16"/>
              </w:rPr>
            </w:pPr>
            <w:r>
              <w:rPr>
                <w:sz w:val="16"/>
                <w:szCs w:val="16"/>
              </w:rPr>
              <w:t>0.01</w:t>
            </w:r>
          </w:p>
        </w:tc>
        <w:tc>
          <w:tcPr>
            <w:tcW w:w="187" w:type="pct"/>
            <w:tcBorders>
              <w:top w:val="nil"/>
              <w:bottom w:val="nil"/>
            </w:tcBorders>
            <w:vAlign w:val="center"/>
          </w:tcPr>
          <w:p w14:paraId="52F84476" w14:textId="4BB5906C" w:rsidR="0046353F" w:rsidRPr="009C6556" w:rsidRDefault="00772D48">
            <w:pPr>
              <w:keepNext/>
              <w:keepLines/>
              <w:spacing w:before="200" w:line="240" w:lineRule="auto"/>
              <w:contextualSpacing/>
              <w:jc w:val="center"/>
              <w:outlineLvl w:val="3"/>
              <w:rPr>
                <w:sz w:val="16"/>
                <w:szCs w:val="16"/>
              </w:rPr>
            </w:pPr>
            <w:r>
              <w:rPr>
                <w:sz w:val="16"/>
                <w:szCs w:val="16"/>
              </w:rPr>
              <w:t>-0.03</w:t>
            </w:r>
          </w:p>
        </w:tc>
        <w:tc>
          <w:tcPr>
            <w:tcW w:w="187" w:type="pct"/>
            <w:tcBorders>
              <w:top w:val="nil"/>
              <w:bottom w:val="nil"/>
            </w:tcBorders>
            <w:vAlign w:val="center"/>
          </w:tcPr>
          <w:p w14:paraId="19675330" w14:textId="4253337F" w:rsidR="0046353F" w:rsidRPr="009C6556" w:rsidRDefault="00772D48">
            <w:pPr>
              <w:keepNext/>
              <w:keepLines/>
              <w:spacing w:before="200" w:line="240" w:lineRule="auto"/>
              <w:contextualSpacing/>
              <w:jc w:val="center"/>
              <w:outlineLvl w:val="3"/>
              <w:rPr>
                <w:sz w:val="16"/>
                <w:szCs w:val="16"/>
              </w:rPr>
            </w:pPr>
            <w:r>
              <w:rPr>
                <w:sz w:val="16"/>
                <w:szCs w:val="16"/>
              </w:rPr>
              <w:t>0.12</w:t>
            </w:r>
          </w:p>
        </w:tc>
        <w:tc>
          <w:tcPr>
            <w:tcW w:w="187" w:type="pct"/>
            <w:tcBorders>
              <w:top w:val="nil"/>
              <w:bottom w:val="nil"/>
            </w:tcBorders>
            <w:vAlign w:val="center"/>
          </w:tcPr>
          <w:p w14:paraId="2BEF16A1" w14:textId="365C0323" w:rsidR="0046353F" w:rsidRPr="009C6556" w:rsidRDefault="0081766A">
            <w:pPr>
              <w:keepNext/>
              <w:keepLines/>
              <w:spacing w:before="200" w:line="240" w:lineRule="auto"/>
              <w:contextualSpacing/>
              <w:jc w:val="center"/>
              <w:outlineLvl w:val="3"/>
              <w:rPr>
                <w:sz w:val="16"/>
                <w:szCs w:val="16"/>
              </w:rPr>
            </w:pPr>
            <w:r>
              <w:rPr>
                <w:sz w:val="16"/>
                <w:szCs w:val="16"/>
              </w:rPr>
              <w:t>0.11</w:t>
            </w:r>
          </w:p>
        </w:tc>
        <w:tc>
          <w:tcPr>
            <w:tcW w:w="187" w:type="pct"/>
            <w:tcBorders>
              <w:top w:val="nil"/>
              <w:bottom w:val="nil"/>
            </w:tcBorders>
            <w:vAlign w:val="center"/>
          </w:tcPr>
          <w:p w14:paraId="100EDFAD" w14:textId="670E61F0" w:rsidR="0046353F" w:rsidRPr="009C6556" w:rsidRDefault="002726BB">
            <w:pPr>
              <w:keepNext/>
              <w:keepLines/>
              <w:spacing w:before="200" w:line="240" w:lineRule="auto"/>
              <w:contextualSpacing/>
              <w:jc w:val="center"/>
              <w:outlineLvl w:val="3"/>
              <w:rPr>
                <w:sz w:val="16"/>
                <w:szCs w:val="16"/>
              </w:rPr>
            </w:pPr>
            <w:r>
              <w:rPr>
                <w:sz w:val="16"/>
                <w:szCs w:val="16"/>
              </w:rPr>
              <w:t>-0.31</w:t>
            </w:r>
          </w:p>
        </w:tc>
        <w:tc>
          <w:tcPr>
            <w:tcW w:w="188" w:type="pct"/>
            <w:tcBorders>
              <w:top w:val="nil"/>
              <w:bottom w:val="nil"/>
            </w:tcBorders>
            <w:vAlign w:val="center"/>
          </w:tcPr>
          <w:p w14:paraId="25A7A220" w14:textId="49A22524" w:rsidR="0046353F" w:rsidRPr="009C6556" w:rsidRDefault="00640B01">
            <w:pPr>
              <w:keepNext/>
              <w:keepLines/>
              <w:spacing w:before="200" w:line="240" w:lineRule="auto"/>
              <w:contextualSpacing/>
              <w:jc w:val="center"/>
              <w:outlineLvl w:val="3"/>
              <w:rPr>
                <w:sz w:val="16"/>
                <w:szCs w:val="16"/>
              </w:rPr>
            </w:pPr>
            <w:r>
              <w:rPr>
                <w:sz w:val="16"/>
                <w:szCs w:val="16"/>
              </w:rPr>
              <w:t>0.29</w:t>
            </w:r>
          </w:p>
        </w:tc>
        <w:tc>
          <w:tcPr>
            <w:tcW w:w="188" w:type="pct"/>
            <w:tcBorders>
              <w:top w:val="nil"/>
              <w:bottom w:val="nil"/>
            </w:tcBorders>
            <w:vAlign w:val="center"/>
          </w:tcPr>
          <w:p w14:paraId="2B037AE5" w14:textId="0FE88D26" w:rsidR="0046353F" w:rsidRPr="009C6556" w:rsidRDefault="00640B01">
            <w:pPr>
              <w:keepNext/>
              <w:keepLines/>
              <w:spacing w:before="200" w:line="240" w:lineRule="auto"/>
              <w:contextualSpacing/>
              <w:jc w:val="center"/>
              <w:outlineLvl w:val="3"/>
              <w:rPr>
                <w:sz w:val="16"/>
                <w:szCs w:val="16"/>
              </w:rPr>
            </w:pPr>
            <w:r>
              <w:rPr>
                <w:sz w:val="16"/>
                <w:szCs w:val="16"/>
              </w:rPr>
              <w:t>0.09</w:t>
            </w:r>
          </w:p>
        </w:tc>
        <w:tc>
          <w:tcPr>
            <w:tcW w:w="188" w:type="pct"/>
            <w:tcBorders>
              <w:top w:val="nil"/>
              <w:bottom w:val="nil"/>
            </w:tcBorders>
            <w:vAlign w:val="center"/>
          </w:tcPr>
          <w:p w14:paraId="3F8E71CB" w14:textId="5C1964DF" w:rsidR="0046353F" w:rsidRPr="009C6556" w:rsidRDefault="00640B01">
            <w:pPr>
              <w:keepNext/>
              <w:keepLines/>
              <w:spacing w:before="200" w:line="240" w:lineRule="auto"/>
              <w:contextualSpacing/>
              <w:jc w:val="center"/>
              <w:outlineLvl w:val="3"/>
              <w:rPr>
                <w:sz w:val="16"/>
                <w:szCs w:val="16"/>
              </w:rPr>
            </w:pPr>
            <w:r>
              <w:rPr>
                <w:sz w:val="16"/>
                <w:szCs w:val="16"/>
              </w:rPr>
              <w:t>0.18</w:t>
            </w:r>
          </w:p>
        </w:tc>
        <w:tc>
          <w:tcPr>
            <w:tcW w:w="188" w:type="pct"/>
            <w:tcBorders>
              <w:top w:val="nil"/>
              <w:bottom w:val="nil"/>
            </w:tcBorders>
            <w:vAlign w:val="center"/>
          </w:tcPr>
          <w:p w14:paraId="56B040FA" w14:textId="06083BA7" w:rsidR="0046353F" w:rsidRPr="009C6556" w:rsidRDefault="00640B01">
            <w:pPr>
              <w:keepNext/>
              <w:keepLines/>
              <w:spacing w:before="200" w:line="240" w:lineRule="auto"/>
              <w:contextualSpacing/>
              <w:jc w:val="center"/>
              <w:outlineLvl w:val="3"/>
              <w:rPr>
                <w:sz w:val="16"/>
                <w:szCs w:val="16"/>
              </w:rPr>
            </w:pPr>
            <w:r>
              <w:rPr>
                <w:sz w:val="16"/>
                <w:szCs w:val="16"/>
              </w:rPr>
              <w:t>0.14</w:t>
            </w:r>
          </w:p>
        </w:tc>
        <w:tc>
          <w:tcPr>
            <w:tcW w:w="188" w:type="pct"/>
            <w:tcBorders>
              <w:top w:val="nil"/>
              <w:bottom w:val="nil"/>
            </w:tcBorders>
            <w:vAlign w:val="center"/>
          </w:tcPr>
          <w:p w14:paraId="42B9948E" w14:textId="4C4B9E08" w:rsidR="0046353F" w:rsidRPr="009C6556" w:rsidRDefault="00FC19EA">
            <w:pPr>
              <w:keepNext/>
              <w:keepLines/>
              <w:spacing w:before="200" w:line="240" w:lineRule="auto"/>
              <w:contextualSpacing/>
              <w:jc w:val="center"/>
              <w:outlineLvl w:val="3"/>
              <w:rPr>
                <w:sz w:val="16"/>
                <w:szCs w:val="16"/>
              </w:rPr>
            </w:pPr>
            <w:r>
              <w:rPr>
                <w:sz w:val="16"/>
                <w:szCs w:val="16"/>
              </w:rPr>
              <w:t>0.39</w:t>
            </w:r>
          </w:p>
        </w:tc>
        <w:tc>
          <w:tcPr>
            <w:tcW w:w="188" w:type="pct"/>
            <w:tcBorders>
              <w:top w:val="nil"/>
              <w:bottom w:val="nil"/>
            </w:tcBorders>
            <w:vAlign w:val="center"/>
          </w:tcPr>
          <w:p w14:paraId="6484EE57" w14:textId="192B2A48"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5AB868E1" w14:textId="77777777" w:rsidR="0046353F" w:rsidRPr="009C6556" w:rsidRDefault="0046353F">
            <w:pPr>
              <w:spacing w:line="240" w:lineRule="auto"/>
              <w:contextualSpacing/>
              <w:jc w:val="center"/>
              <w:rPr>
                <w:sz w:val="16"/>
                <w:szCs w:val="16"/>
              </w:rPr>
            </w:pPr>
          </w:p>
        </w:tc>
        <w:tc>
          <w:tcPr>
            <w:tcW w:w="188" w:type="pct"/>
            <w:tcBorders>
              <w:top w:val="nil"/>
              <w:bottom w:val="nil"/>
            </w:tcBorders>
            <w:vAlign w:val="center"/>
          </w:tcPr>
          <w:p w14:paraId="5211920C"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6F9C6171" w14:textId="586FBF7A" w:rsidR="0046353F" w:rsidRPr="009C6556" w:rsidRDefault="0046353F">
            <w:pPr>
              <w:spacing w:line="240" w:lineRule="auto"/>
              <w:contextualSpacing/>
              <w:jc w:val="center"/>
              <w:rPr>
                <w:sz w:val="16"/>
                <w:szCs w:val="16"/>
              </w:rPr>
            </w:pPr>
          </w:p>
        </w:tc>
      </w:tr>
      <w:tr w:rsidR="0090136D" w:rsidRPr="00AE0C1E" w14:paraId="220D2553" w14:textId="77777777" w:rsidTr="009C6556">
        <w:trPr>
          <w:cantSplit/>
          <w:trHeight w:hRule="exact" w:val="388"/>
        </w:trPr>
        <w:tc>
          <w:tcPr>
            <w:tcW w:w="96" w:type="pct"/>
            <w:tcBorders>
              <w:top w:val="nil"/>
              <w:bottom w:val="nil"/>
            </w:tcBorders>
            <w:vAlign w:val="center"/>
          </w:tcPr>
          <w:p w14:paraId="15D95713" w14:textId="60EE500A" w:rsidR="0046353F" w:rsidRPr="009C6556" w:rsidRDefault="0046353F">
            <w:pPr>
              <w:keepNext/>
              <w:keepLines/>
              <w:spacing w:before="200" w:line="240" w:lineRule="auto"/>
              <w:ind w:left="-142"/>
              <w:contextualSpacing/>
              <w:jc w:val="center"/>
              <w:outlineLvl w:val="3"/>
              <w:rPr>
                <w:b/>
                <w:sz w:val="16"/>
                <w:szCs w:val="16"/>
              </w:rPr>
            </w:pPr>
            <w:r>
              <w:rPr>
                <w:b/>
                <w:sz w:val="16"/>
                <w:szCs w:val="16"/>
              </w:rPr>
              <w:t>17</w:t>
            </w:r>
          </w:p>
        </w:tc>
        <w:tc>
          <w:tcPr>
            <w:tcW w:w="830" w:type="pct"/>
            <w:tcBorders>
              <w:top w:val="nil"/>
              <w:bottom w:val="nil"/>
            </w:tcBorders>
            <w:vAlign w:val="center"/>
          </w:tcPr>
          <w:p w14:paraId="4DEE2761" w14:textId="078C455F" w:rsidR="0046353F" w:rsidRPr="009C6556" w:rsidRDefault="0046353F">
            <w:pPr>
              <w:keepNext/>
              <w:keepLines/>
              <w:spacing w:before="200" w:line="240" w:lineRule="auto"/>
              <w:contextualSpacing/>
              <w:outlineLvl w:val="3"/>
              <w:rPr>
                <w:b/>
                <w:sz w:val="16"/>
                <w:szCs w:val="16"/>
              </w:rPr>
            </w:pPr>
            <w:r w:rsidRPr="009C6556">
              <w:rPr>
                <w:b/>
                <w:sz w:val="16"/>
                <w:szCs w:val="16"/>
              </w:rPr>
              <w:t>Acquisitions outside main SIC code (t-5)</w:t>
            </w:r>
          </w:p>
        </w:tc>
        <w:tc>
          <w:tcPr>
            <w:tcW w:w="235" w:type="pct"/>
            <w:tcBorders>
              <w:top w:val="nil"/>
              <w:bottom w:val="nil"/>
            </w:tcBorders>
            <w:vAlign w:val="center"/>
          </w:tcPr>
          <w:p w14:paraId="446985E9" w14:textId="1FD99E5B" w:rsidR="0046353F" w:rsidRPr="009C6556" w:rsidRDefault="00EB0E31">
            <w:pPr>
              <w:keepNext/>
              <w:keepLines/>
              <w:spacing w:before="200" w:line="240" w:lineRule="auto"/>
              <w:contextualSpacing/>
              <w:jc w:val="center"/>
              <w:outlineLvl w:val="3"/>
              <w:rPr>
                <w:sz w:val="16"/>
                <w:szCs w:val="16"/>
              </w:rPr>
            </w:pPr>
            <w:r>
              <w:rPr>
                <w:sz w:val="16"/>
                <w:szCs w:val="16"/>
              </w:rPr>
              <w:t>9.88</w:t>
            </w:r>
          </w:p>
        </w:tc>
        <w:tc>
          <w:tcPr>
            <w:tcW w:w="281" w:type="pct"/>
            <w:tcBorders>
              <w:top w:val="nil"/>
              <w:bottom w:val="nil"/>
            </w:tcBorders>
            <w:vAlign w:val="center"/>
          </w:tcPr>
          <w:p w14:paraId="1F431509" w14:textId="76C823FE" w:rsidR="0046353F" w:rsidRPr="009C6556" w:rsidRDefault="00E8138A">
            <w:pPr>
              <w:keepNext/>
              <w:keepLines/>
              <w:spacing w:before="200" w:line="240" w:lineRule="auto"/>
              <w:contextualSpacing/>
              <w:jc w:val="center"/>
              <w:outlineLvl w:val="3"/>
              <w:rPr>
                <w:sz w:val="16"/>
                <w:szCs w:val="16"/>
              </w:rPr>
            </w:pPr>
            <w:r>
              <w:rPr>
                <w:sz w:val="16"/>
                <w:szCs w:val="16"/>
              </w:rPr>
              <w:t>3.46</w:t>
            </w:r>
          </w:p>
        </w:tc>
        <w:tc>
          <w:tcPr>
            <w:tcW w:w="187" w:type="pct"/>
            <w:tcBorders>
              <w:top w:val="nil"/>
              <w:bottom w:val="nil"/>
            </w:tcBorders>
            <w:vAlign w:val="center"/>
          </w:tcPr>
          <w:p w14:paraId="5F3BCFF7" w14:textId="09F9686A" w:rsidR="0046353F" w:rsidRPr="009C6556" w:rsidRDefault="00A65781">
            <w:pPr>
              <w:keepNext/>
              <w:keepLines/>
              <w:spacing w:before="200" w:line="240" w:lineRule="auto"/>
              <w:contextualSpacing/>
              <w:jc w:val="center"/>
              <w:outlineLvl w:val="3"/>
              <w:rPr>
                <w:sz w:val="16"/>
                <w:szCs w:val="16"/>
              </w:rPr>
            </w:pPr>
            <w:r>
              <w:rPr>
                <w:sz w:val="16"/>
                <w:szCs w:val="16"/>
              </w:rPr>
              <w:t>0.10</w:t>
            </w:r>
          </w:p>
        </w:tc>
        <w:tc>
          <w:tcPr>
            <w:tcW w:w="187" w:type="pct"/>
            <w:tcBorders>
              <w:top w:val="nil"/>
              <w:bottom w:val="nil"/>
            </w:tcBorders>
            <w:vAlign w:val="center"/>
          </w:tcPr>
          <w:p w14:paraId="14A6142B" w14:textId="4626DADA" w:rsidR="0046353F" w:rsidRPr="009C6556" w:rsidRDefault="00A65781">
            <w:pPr>
              <w:keepNext/>
              <w:keepLines/>
              <w:spacing w:before="200" w:line="240" w:lineRule="auto"/>
              <w:contextualSpacing/>
              <w:jc w:val="center"/>
              <w:outlineLvl w:val="3"/>
              <w:rPr>
                <w:sz w:val="16"/>
                <w:szCs w:val="16"/>
              </w:rPr>
            </w:pPr>
            <w:r>
              <w:rPr>
                <w:sz w:val="16"/>
                <w:szCs w:val="16"/>
              </w:rPr>
              <w:t>0.31</w:t>
            </w:r>
          </w:p>
        </w:tc>
        <w:tc>
          <w:tcPr>
            <w:tcW w:w="187" w:type="pct"/>
            <w:tcBorders>
              <w:top w:val="nil"/>
              <w:bottom w:val="nil"/>
            </w:tcBorders>
            <w:vAlign w:val="center"/>
          </w:tcPr>
          <w:p w14:paraId="42607C81" w14:textId="2274148E" w:rsidR="0046353F" w:rsidRPr="009C6556" w:rsidRDefault="00A65781">
            <w:pPr>
              <w:keepNext/>
              <w:keepLines/>
              <w:spacing w:before="200" w:line="240" w:lineRule="auto"/>
              <w:contextualSpacing/>
              <w:jc w:val="center"/>
              <w:outlineLvl w:val="3"/>
              <w:rPr>
                <w:sz w:val="16"/>
                <w:szCs w:val="16"/>
              </w:rPr>
            </w:pPr>
            <w:r>
              <w:rPr>
                <w:sz w:val="16"/>
                <w:szCs w:val="16"/>
              </w:rPr>
              <w:t>0.56</w:t>
            </w:r>
          </w:p>
        </w:tc>
        <w:tc>
          <w:tcPr>
            <w:tcW w:w="187" w:type="pct"/>
            <w:tcBorders>
              <w:top w:val="nil"/>
              <w:bottom w:val="nil"/>
            </w:tcBorders>
            <w:vAlign w:val="center"/>
          </w:tcPr>
          <w:p w14:paraId="0A953443" w14:textId="60FC7313" w:rsidR="0046353F" w:rsidRPr="009C6556" w:rsidRDefault="00772D48">
            <w:pPr>
              <w:keepNext/>
              <w:keepLines/>
              <w:spacing w:before="200" w:line="240" w:lineRule="auto"/>
              <w:contextualSpacing/>
              <w:jc w:val="center"/>
              <w:outlineLvl w:val="3"/>
              <w:rPr>
                <w:sz w:val="16"/>
                <w:szCs w:val="16"/>
              </w:rPr>
            </w:pPr>
            <w:r>
              <w:rPr>
                <w:sz w:val="16"/>
                <w:szCs w:val="16"/>
              </w:rPr>
              <w:t>0.06</w:t>
            </w:r>
          </w:p>
        </w:tc>
        <w:tc>
          <w:tcPr>
            <w:tcW w:w="187" w:type="pct"/>
            <w:tcBorders>
              <w:top w:val="nil"/>
              <w:bottom w:val="nil"/>
            </w:tcBorders>
            <w:vAlign w:val="center"/>
          </w:tcPr>
          <w:p w14:paraId="1902A830" w14:textId="4FD78CFF" w:rsidR="0046353F" w:rsidRPr="009C6556" w:rsidRDefault="00772D48">
            <w:pPr>
              <w:keepNext/>
              <w:keepLines/>
              <w:spacing w:before="200" w:line="240" w:lineRule="auto"/>
              <w:contextualSpacing/>
              <w:jc w:val="center"/>
              <w:outlineLvl w:val="3"/>
              <w:rPr>
                <w:sz w:val="16"/>
                <w:szCs w:val="16"/>
              </w:rPr>
            </w:pPr>
            <w:r>
              <w:rPr>
                <w:sz w:val="16"/>
                <w:szCs w:val="16"/>
              </w:rPr>
              <w:t>0.05</w:t>
            </w:r>
          </w:p>
        </w:tc>
        <w:tc>
          <w:tcPr>
            <w:tcW w:w="187" w:type="pct"/>
            <w:tcBorders>
              <w:top w:val="nil"/>
              <w:bottom w:val="nil"/>
            </w:tcBorders>
            <w:vAlign w:val="center"/>
          </w:tcPr>
          <w:p w14:paraId="15FAF59C" w14:textId="1B48FE76" w:rsidR="0046353F" w:rsidRPr="009C6556" w:rsidRDefault="00772D48">
            <w:pPr>
              <w:keepNext/>
              <w:keepLines/>
              <w:spacing w:before="200" w:line="240" w:lineRule="auto"/>
              <w:contextualSpacing/>
              <w:jc w:val="center"/>
              <w:outlineLvl w:val="3"/>
              <w:rPr>
                <w:sz w:val="16"/>
                <w:szCs w:val="16"/>
              </w:rPr>
            </w:pPr>
            <w:r>
              <w:rPr>
                <w:sz w:val="16"/>
                <w:szCs w:val="16"/>
              </w:rPr>
              <w:t>0.10</w:t>
            </w:r>
          </w:p>
        </w:tc>
        <w:tc>
          <w:tcPr>
            <w:tcW w:w="187" w:type="pct"/>
            <w:tcBorders>
              <w:top w:val="nil"/>
              <w:bottom w:val="nil"/>
            </w:tcBorders>
            <w:vAlign w:val="center"/>
          </w:tcPr>
          <w:p w14:paraId="57AD0FAD" w14:textId="5A56B6F4" w:rsidR="0046353F" w:rsidRPr="009C6556" w:rsidRDefault="00772D48">
            <w:pPr>
              <w:keepNext/>
              <w:keepLines/>
              <w:spacing w:before="200" w:line="240" w:lineRule="auto"/>
              <w:contextualSpacing/>
              <w:jc w:val="center"/>
              <w:outlineLvl w:val="3"/>
              <w:rPr>
                <w:sz w:val="16"/>
                <w:szCs w:val="16"/>
              </w:rPr>
            </w:pPr>
            <w:r>
              <w:rPr>
                <w:sz w:val="16"/>
                <w:szCs w:val="16"/>
              </w:rPr>
              <w:t>-0.07</w:t>
            </w:r>
          </w:p>
        </w:tc>
        <w:tc>
          <w:tcPr>
            <w:tcW w:w="187" w:type="pct"/>
            <w:tcBorders>
              <w:top w:val="nil"/>
              <w:bottom w:val="nil"/>
            </w:tcBorders>
            <w:vAlign w:val="center"/>
          </w:tcPr>
          <w:p w14:paraId="253F4DEB" w14:textId="310C5CDC" w:rsidR="0046353F" w:rsidRPr="009C6556" w:rsidRDefault="00772D48">
            <w:pPr>
              <w:keepNext/>
              <w:keepLines/>
              <w:spacing w:before="200" w:line="240" w:lineRule="auto"/>
              <w:contextualSpacing/>
              <w:jc w:val="center"/>
              <w:outlineLvl w:val="3"/>
              <w:rPr>
                <w:sz w:val="16"/>
                <w:szCs w:val="16"/>
              </w:rPr>
            </w:pPr>
            <w:r>
              <w:rPr>
                <w:sz w:val="16"/>
                <w:szCs w:val="16"/>
              </w:rPr>
              <w:t>0.14</w:t>
            </w:r>
          </w:p>
        </w:tc>
        <w:tc>
          <w:tcPr>
            <w:tcW w:w="187" w:type="pct"/>
            <w:tcBorders>
              <w:top w:val="nil"/>
              <w:bottom w:val="nil"/>
            </w:tcBorders>
            <w:vAlign w:val="center"/>
          </w:tcPr>
          <w:p w14:paraId="089D03B2" w14:textId="1AAF4F5C" w:rsidR="0046353F" w:rsidRPr="009C6556" w:rsidRDefault="0081766A">
            <w:pPr>
              <w:keepNext/>
              <w:keepLines/>
              <w:spacing w:before="200" w:line="240" w:lineRule="auto"/>
              <w:contextualSpacing/>
              <w:jc w:val="center"/>
              <w:outlineLvl w:val="3"/>
              <w:rPr>
                <w:sz w:val="16"/>
                <w:szCs w:val="16"/>
              </w:rPr>
            </w:pPr>
            <w:r>
              <w:rPr>
                <w:sz w:val="16"/>
                <w:szCs w:val="16"/>
              </w:rPr>
              <w:t>0.03</w:t>
            </w:r>
          </w:p>
        </w:tc>
        <w:tc>
          <w:tcPr>
            <w:tcW w:w="187" w:type="pct"/>
            <w:tcBorders>
              <w:top w:val="nil"/>
              <w:bottom w:val="nil"/>
            </w:tcBorders>
            <w:vAlign w:val="center"/>
          </w:tcPr>
          <w:p w14:paraId="5A0694AC" w14:textId="106DF1A5" w:rsidR="0046353F" w:rsidRPr="009C6556" w:rsidRDefault="002726BB">
            <w:pPr>
              <w:keepNext/>
              <w:keepLines/>
              <w:spacing w:before="200" w:line="240" w:lineRule="auto"/>
              <w:contextualSpacing/>
              <w:jc w:val="center"/>
              <w:outlineLvl w:val="3"/>
              <w:rPr>
                <w:sz w:val="16"/>
                <w:szCs w:val="16"/>
              </w:rPr>
            </w:pPr>
            <w:r>
              <w:rPr>
                <w:sz w:val="16"/>
                <w:szCs w:val="16"/>
              </w:rPr>
              <w:t>-0.47</w:t>
            </w:r>
          </w:p>
        </w:tc>
        <w:tc>
          <w:tcPr>
            <w:tcW w:w="188" w:type="pct"/>
            <w:tcBorders>
              <w:top w:val="nil"/>
              <w:bottom w:val="nil"/>
            </w:tcBorders>
            <w:vAlign w:val="center"/>
          </w:tcPr>
          <w:p w14:paraId="498260A7" w14:textId="65C820E0" w:rsidR="0046353F" w:rsidRPr="009C6556" w:rsidRDefault="00640B01">
            <w:pPr>
              <w:keepNext/>
              <w:keepLines/>
              <w:spacing w:before="200" w:line="240" w:lineRule="auto"/>
              <w:contextualSpacing/>
              <w:jc w:val="center"/>
              <w:outlineLvl w:val="3"/>
              <w:rPr>
                <w:sz w:val="16"/>
                <w:szCs w:val="16"/>
              </w:rPr>
            </w:pPr>
            <w:r>
              <w:rPr>
                <w:sz w:val="16"/>
                <w:szCs w:val="16"/>
              </w:rPr>
              <w:t>0.57</w:t>
            </w:r>
          </w:p>
        </w:tc>
        <w:tc>
          <w:tcPr>
            <w:tcW w:w="188" w:type="pct"/>
            <w:tcBorders>
              <w:top w:val="nil"/>
              <w:bottom w:val="nil"/>
            </w:tcBorders>
            <w:vAlign w:val="center"/>
          </w:tcPr>
          <w:p w14:paraId="29C2BC2A" w14:textId="448B143A" w:rsidR="0046353F" w:rsidRPr="009C6556" w:rsidRDefault="00640B01">
            <w:pPr>
              <w:keepNext/>
              <w:keepLines/>
              <w:spacing w:before="200" w:line="240" w:lineRule="auto"/>
              <w:contextualSpacing/>
              <w:jc w:val="center"/>
              <w:outlineLvl w:val="3"/>
              <w:rPr>
                <w:sz w:val="16"/>
                <w:szCs w:val="16"/>
              </w:rPr>
            </w:pPr>
            <w:r>
              <w:rPr>
                <w:sz w:val="16"/>
                <w:szCs w:val="16"/>
              </w:rPr>
              <w:t>0.13</w:t>
            </w:r>
          </w:p>
        </w:tc>
        <w:tc>
          <w:tcPr>
            <w:tcW w:w="188" w:type="pct"/>
            <w:tcBorders>
              <w:top w:val="nil"/>
              <w:bottom w:val="nil"/>
            </w:tcBorders>
            <w:vAlign w:val="center"/>
          </w:tcPr>
          <w:p w14:paraId="2EB95467" w14:textId="5483DBA1" w:rsidR="0046353F" w:rsidRPr="009C6556" w:rsidRDefault="00640B01">
            <w:pPr>
              <w:keepNext/>
              <w:keepLines/>
              <w:spacing w:before="200" w:line="240" w:lineRule="auto"/>
              <w:contextualSpacing/>
              <w:jc w:val="center"/>
              <w:outlineLvl w:val="3"/>
              <w:rPr>
                <w:sz w:val="16"/>
                <w:szCs w:val="16"/>
              </w:rPr>
            </w:pPr>
            <w:r>
              <w:rPr>
                <w:sz w:val="16"/>
                <w:szCs w:val="16"/>
              </w:rPr>
              <w:t>0.24</w:t>
            </w:r>
          </w:p>
        </w:tc>
        <w:tc>
          <w:tcPr>
            <w:tcW w:w="188" w:type="pct"/>
            <w:tcBorders>
              <w:top w:val="nil"/>
              <w:bottom w:val="nil"/>
            </w:tcBorders>
            <w:vAlign w:val="center"/>
          </w:tcPr>
          <w:p w14:paraId="16E7AF4A" w14:textId="29D20800" w:rsidR="0046353F" w:rsidRPr="009C6556" w:rsidRDefault="00B10F6E">
            <w:pPr>
              <w:keepNext/>
              <w:keepLines/>
              <w:spacing w:before="200" w:line="240" w:lineRule="auto"/>
              <w:contextualSpacing/>
              <w:jc w:val="center"/>
              <w:outlineLvl w:val="3"/>
              <w:rPr>
                <w:sz w:val="16"/>
                <w:szCs w:val="16"/>
              </w:rPr>
            </w:pPr>
            <w:r>
              <w:rPr>
                <w:sz w:val="16"/>
                <w:szCs w:val="16"/>
              </w:rPr>
              <w:t>0.31</w:t>
            </w:r>
          </w:p>
        </w:tc>
        <w:tc>
          <w:tcPr>
            <w:tcW w:w="188" w:type="pct"/>
            <w:tcBorders>
              <w:top w:val="nil"/>
              <w:bottom w:val="nil"/>
            </w:tcBorders>
            <w:vAlign w:val="center"/>
          </w:tcPr>
          <w:p w14:paraId="513C6261" w14:textId="2283D5E3" w:rsidR="0046353F" w:rsidRPr="009C6556" w:rsidRDefault="00B10F6E">
            <w:pPr>
              <w:keepNext/>
              <w:keepLines/>
              <w:spacing w:before="200" w:line="240" w:lineRule="auto"/>
              <w:contextualSpacing/>
              <w:jc w:val="center"/>
              <w:outlineLvl w:val="3"/>
              <w:rPr>
                <w:sz w:val="16"/>
                <w:szCs w:val="16"/>
              </w:rPr>
            </w:pPr>
            <w:r>
              <w:rPr>
                <w:sz w:val="16"/>
                <w:szCs w:val="16"/>
              </w:rPr>
              <w:t>0.2</w:t>
            </w:r>
            <w:r w:rsidR="00FC19EA">
              <w:rPr>
                <w:sz w:val="16"/>
                <w:szCs w:val="16"/>
              </w:rPr>
              <w:t>8</w:t>
            </w:r>
          </w:p>
        </w:tc>
        <w:tc>
          <w:tcPr>
            <w:tcW w:w="188" w:type="pct"/>
            <w:tcBorders>
              <w:top w:val="nil"/>
              <w:bottom w:val="nil"/>
            </w:tcBorders>
            <w:vAlign w:val="center"/>
          </w:tcPr>
          <w:p w14:paraId="1496FB6F" w14:textId="265DA858" w:rsidR="0046353F" w:rsidRPr="009C6556" w:rsidRDefault="00B10F6E">
            <w:pPr>
              <w:keepNext/>
              <w:keepLines/>
              <w:spacing w:before="200" w:line="240" w:lineRule="auto"/>
              <w:contextualSpacing/>
              <w:jc w:val="center"/>
              <w:outlineLvl w:val="3"/>
              <w:rPr>
                <w:sz w:val="16"/>
                <w:szCs w:val="16"/>
              </w:rPr>
            </w:pPr>
            <w:r>
              <w:rPr>
                <w:sz w:val="16"/>
                <w:szCs w:val="16"/>
              </w:rPr>
              <w:t>0.02</w:t>
            </w:r>
          </w:p>
        </w:tc>
        <w:tc>
          <w:tcPr>
            <w:tcW w:w="188" w:type="pct"/>
            <w:tcBorders>
              <w:top w:val="nil"/>
              <w:bottom w:val="nil"/>
            </w:tcBorders>
            <w:vAlign w:val="center"/>
          </w:tcPr>
          <w:p w14:paraId="7F387CC7" w14:textId="2801CD6C"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8" w:type="pct"/>
            <w:tcBorders>
              <w:top w:val="nil"/>
              <w:bottom w:val="nil"/>
            </w:tcBorders>
            <w:vAlign w:val="center"/>
          </w:tcPr>
          <w:p w14:paraId="72CB8442" w14:textId="77777777" w:rsidR="0046353F" w:rsidRPr="009C6556" w:rsidRDefault="0046353F">
            <w:pPr>
              <w:spacing w:line="240" w:lineRule="auto"/>
              <w:contextualSpacing/>
              <w:jc w:val="center"/>
              <w:rPr>
                <w:sz w:val="16"/>
                <w:szCs w:val="16"/>
              </w:rPr>
            </w:pPr>
          </w:p>
        </w:tc>
        <w:tc>
          <w:tcPr>
            <w:tcW w:w="184" w:type="pct"/>
            <w:tcBorders>
              <w:top w:val="nil"/>
              <w:bottom w:val="nil"/>
            </w:tcBorders>
            <w:vAlign w:val="center"/>
          </w:tcPr>
          <w:p w14:paraId="3517EBFC" w14:textId="071CB153" w:rsidR="0046353F" w:rsidRPr="009C6556" w:rsidRDefault="0046353F">
            <w:pPr>
              <w:spacing w:line="240" w:lineRule="auto"/>
              <w:contextualSpacing/>
              <w:jc w:val="center"/>
              <w:rPr>
                <w:sz w:val="16"/>
                <w:szCs w:val="16"/>
              </w:rPr>
            </w:pPr>
          </w:p>
        </w:tc>
      </w:tr>
      <w:tr w:rsidR="0090136D" w:rsidRPr="00AE0C1E" w14:paraId="78557AD7" w14:textId="77777777" w:rsidTr="009C6556">
        <w:trPr>
          <w:cantSplit/>
          <w:trHeight w:hRule="exact" w:val="551"/>
        </w:trPr>
        <w:tc>
          <w:tcPr>
            <w:tcW w:w="96" w:type="pct"/>
            <w:tcBorders>
              <w:top w:val="nil"/>
              <w:bottom w:val="nil"/>
            </w:tcBorders>
            <w:vAlign w:val="center"/>
          </w:tcPr>
          <w:p w14:paraId="2C44FAF1" w14:textId="31818220" w:rsidR="0046353F" w:rsidRPr="009C6556" w:rsidRDefault="0046353F">
            <w:pPr>
              <w:keepNext/>
              <w:keepLines/>
              <w:spacing w:before="200" w:line="240" w:lineRule="auto"/>
              <w:ind w:left="-142"/>
              <w:contextualSpacing/>
              <w:jc w:val="center"/>
              <w:outlineLvl w:val="3"/>
              <w:rPr>
                <w:b/>
                <w:sz w:val="16"/>
                <w:szCs w:val="16"/>
              </w:rPr>
            </w:pPr>
            <w:r>
              <w:rPr>
                <w:b/>
                <w:sz w:val="16"/>
                <w:szCs w:val="16"/>
              </w:rPr>
              <w:t>18</w:t>
            </w:r>
          </w:p>
        </w:tc>
        <w:tc>
          <w:tcPr>
            <w:tcW w:w="830" w:type="pct"/>
            <w:tcBorders>
              <w:top w:val="nil"/>
              <w:bottom w:val="nil"/>
            </w:tcBorders>
            <w:vAlign w:val="center"/>
          </w:tcPr>
          <w:p w14:paraId="6D5BCBB6" w14:textId="2B4E01F7" w:rsidR="0046353F" w:rsidRPr="009C6556" w:rsidRDefault="0046353F">
            <w:pPr>
              <w:keepNext/>
              <w:keepLines/>
              <w:spacing w:before="200" w:line="240" w:lineRule="auto"/>
              <w:contextualSpacing/>
              <w:outlineLvl w:val="3"/>
              <w:rPr>
                <w:b/>
                <w:sz w:val="16"/>
                <w:szCs w:val="16"/>
              </w:rPr>
            </w:pPr>
            <w:r w:rsidRPr="009C6556">
              <w:rPr>
                <w:b/>
                <w:sz w:val="16"/>
                <w:szCs w:val="16"/>
              </w:rPr>
              <w:t>CAR (initial M&amp;A announcement)</w:t>
            </w:r>
          </w:p>
        </w:tc>
        <w:tc>
          <w:tcPr>
            <w:tcW w:w="235" w:type="pct"/>
            <w:tcBorders>
              <w:top w:val="nil"/>
              <w:bottom w:val="nil"/>
            </w:tcBorders>
            <w:vAlign w:val="center"/>
          </w:tcPr>
          <w:p w14:paraId="75A2EEFD" w14:textId="3AF7AED7" w:rsidR="0046353F" w:rsidRPr="009C6556" w:rsidRDefault="009856C6">
            <w:pPr>
              <w:keepNext/>
              <w:keepLines/>
              <w:spacing w:before="200" w:line="240" w:lineRule="auto"/>
              <w:contextualSpacing/>
              <w:jc w:val="center"/>
              <w:outlineLvl w:val="3"/>
              <w:rPr>
                <w:sz w:val="16"/>
                <w:szCs w:val="16"/>
              </w:rPr>
            </w:pPr>
            <w:r>
              <w:rPr>
                <w:sz w:val="16"/>
                <w:szCs w:val="16"/>
              </w:rPr>
              <w:t>0.01</w:t>
            </w:r>
          </w:p>
        </w:tc>
        <w:tc>
          <w:tcPr>
            <w:tcW w:w="281" w:type="pct"/>
            <w:tcBorders>
              <w:top w:val="nil"/>
              <w:bottom w:val="nil"/>
            </w:tcBorders>
            <w:vAlign w:val="center"/>
          </w:tcPr>
          <w:p w14:paraId="06B75314" w14:textId="7719B4E4" w:rsidR="0046353F" w:rsidRPr="009C6556" w:rsidRDefault="00E8138A">
            <w:pPr>
              <w:keepNext/>
              <w:keepLines/>
              <w:spacing w:before="200" w:line="240" w:lineRule="auto"/>
              <w:contextualSpacing/>
              <w:jc w:val="center"/>
              <w:outlineLvl w:val="3"/>
              <w:rPr>
                <w:sz w:val="16"/>
                <w:szCs w:val="16"/>
              </w:rPr>
            </w:pPr>
            <w:r>
              <w:rPr>
                <w:sz w:val="16"/>
                <w:szCs w:val="16"/>
              </w:rPr>
              <w:t>0.00</w:t>
            </w:r>
          </w:p>
        </w:tc>
        <w:tc>
          <w:tcPr>
            <w:tcW w:w="187" w:type="pct"/>
            <w:tcBorders>
              <w:top w:val="nil"/>
              <w:bottom w:val="nil"/>
            </w:tcBorders>
            <w:vAlign w:val="center"/>
          </w:tcPr>
          <w:p w14:paraId="3C0772C9" w14:textId="117BE2DC" w:rsidR="0046353F" w:rsidRPr="009C6556" w:rsidRDefault="006E5DA3">
            <w:pPr>
              <w:keepNext/>
              <w:keepLines/>
              <w:spacing w:before="200" w:line="240" w:lineRule="auto"/>
              <w:contextualSpacing/>
              <w:jc w:val="center"/>
              <w:outlineLvl w:val="3"/>
              <w:rPr>
                <w:sz w:val="16"/>
                <w:szCs w:val="16"/>
              </w:rPr>
            </w:pPr>
            <w:r>
              <w:rPr>
                <w:sz w:val="16"/>
                <w:szCs w:val="16"/>
              </w:rPr>
              <w:t>0.03</w:t>
            </w:r>
          </w:p>
        </w:tc>
        <w:tc>
          <w:tcPr>
            <w:tcW w:w="187" w:type="pct"/>
            <w:tcBorders>
              <w:top w:val="nil"/>
              <w:bottom w:val="nil"/>
            </w:tcBorders>
            <w:vAlign w:val="center"/>
          </w:tcPr>
          <w:p w14:paraId="04CB5D05" w14:textId="7AF95CC5" w:rsidR="0046353F" w:rsidRPr="009C6556" w:rsidRDefault="006E5DA3" w:rsidP="009C6556">
            <w:pPr>
              <w:spacing w:line="240" w:lineRule="auto"/>
              <w:contextualSpacing/>
              <w:rPr>
                <w:sz w:val="16"/>
                <w:szCs w:val="16"/>
              </w:rPr>
            </w:pPr>
            <w:r>
              <w:rPr>
                <w:sz w:val="16"/>
                <w:szCs w:val="16"/>
              </w:rPr>
              <w:t>0.1</w:t>
            </w:r>
            <w:r w:rsidR="005A3B5B">
              <w:rPr>
                <w:sz w:val="16"/>
                <w:szCs w:val="16"/>
              </w:rPr>
              <w:t>7</w:t>
            </w:r>
          </w:p>
        </w:tc>
        <w:tc>
          <w:tcPr>
            <w:tcW w:w="187" w:type="pct"/>
            <w:tcBorders>
              <w:top w:val="nil"/>
              <w:bottom w:val="nil"/>
            </w:tcBorders>
            <w:vAlign w:val="center"/>
          </w:tcPr>
          <w:p w14:paraId="08BC2DAF" w14:textId="139204EF" w:rsidR="0046353F" w:rsidRPr="009C6556" w:rsidRDefault="006E5DA3">
            <w:pPr>
              <w:keepNext/>
              <w:keepLines/>
              <w:spacing w:before="200" w:line="240" w:lineRule="auto"/>
              <w:contextualSpacing/>
              <w:jc w:val="center"/>
              <w:outlineLvl w:val="3"/>
              <w:rPr>
                <w:sz w:val="16"/>
                <w:szCs w:val="16"/>
              </w:rPr>
            </w:pPr>
            <w:r>
              <w:rPr>
                <w:sz w:val="16"/>
                <w:szCs w:val="16"/>
              </w:rPr>
              <w:t>0.00</w:t>
            </w:r>
          </w:p>
        </w:tc>
        <w:tc>
          <w:tcPr>
            <w:tcW w:w="187" w:type="pct"/>
            <w:tcBorders>
              <w:top w:val="nil"/>
              <w:bottom w:val="nil"/>
            </w:tcBorders>
            <w:vAlign w:val="center"/>
          </w:tcPr>
          <w:p w14:paraId="36315423" w14:textId="63D3EF28" w:rsidR="0046353F" w:rsidRPr="009C6556" w:rsidRDefault="006E5DA3">
            <w:pPr>
              <w:keepNext/>
              <w:keepLines/>
              <w:spacing w:before="200" w:line="240" w:lineRule="auto"/>
              <w:contextualSpacing/>
              <w:jc w:val="center"/>
              <w:outlineLvl w:val="3"/>
              <w:rPr>
                <w:sz w:val="16"/>
                <w:szCs w:val="16"/>
              </w:rPr>
            </w:pPr>
            <w:r>
              <w:rPr>
                <w:sz w:val="16"/>
                <w:szCs w:val="16"/>
              </w:rPr>
              <w:t>0.01</w:t>
            </w:r>
          </w:p>
        </w:tc>
        <w:tc>
          <w:tcPr>
            <w:tcW w:w="187" w:type="pct"/>
            <w:tcBorders>
              <w:top w:val="nil"/>
              <w:bottom w:val="nil"/>
            </w:tcBorders>
            <w:vAlign w:val="center"/>
          </w:tcPr>
          <w:p w14:paraId="1D759A15" w14:textId="548AC36C" w:rsidR="0046353F" w:rsidRPr="009C6556" w:rsidRDefault="006E5DA3">
            <w:pPr>
              <w:keepNext/>
              <w:keepLines/>
              <w:spacing w:before="200" w:line="240" w:lineRule="auto"/>
              <w:contextualSpacing/>
              <w:jc w:val="center"/>
              <w:outlineLvl w:val="3"/>
              <w:rPr>
                <w:sz w:val="16"/>
                <w:szCs w:val="16"/>
              </w:rPr>
            </w:pPr>
            <w:r>
              <w:rPr>
                <w:sz w:val="16"/>
                <w:szCs w:val="16"/>
              </w:rPr>
              <w:t>0.00</w:t>
            </w:r>
          </w:p>
        </w:tc>
        <w:tc>
          <w:tcPr>
            <w:tcW w:w="187" w:type="pct"/>
            <w:tcBorders>
              <w:top w:val="nil"/>
              <w:bottom w:val="nil"/>
            </w:tcBorders>
            <w:vAlign w:val="center"/>
          </w:tcPr>
          <w:p w14:paraId="43A4E987" w14:textId="6A77E3AB" w:rsidR="0046353F" w:rsidRPr="009C6556" w:rsidRDefault="006E5DA3">
            <w:pPr>
              <w:keepNext/>
              <w:keepLines/>
              <w:spacing w:before="200" w:line="240" w:lineRule="auto"/>
              <w:contextualSpacing/>
              <w:jc w:val="center"/>
              <w:outlineLvl w:val="3"/>
              <w:rPr>
                <w:sz w:val="16"/>
                <w:szCs w:val="16"/>
              </w:rPr>
            </w:pPr>
            <w:r>
              <w:rPr>
                <w:sz w:val="16"/>
                <w:szCs w:val="16"/>
              </w:rPr>
              <w:t>0.02</w:t>
            </w:r>
          </w:p>
        </w:tc>
        <w:tc>
          <w:tcPr>
            <w:tcW w:w="187" w:type="pct"/>
            <w:tcBorders>
              <w:top w:val="nil"/>
              <w:bottom w:val="nil"/>
            </w:tcBorders>
            <w:vAlign w:val="center"/>
          </w:tcPr>
          <w:p w14:paraId="289FA7FA" w14:textId="1466045F" w:rsidR="0046353F" w:rsidRPr="009C6556" w:rsidRDefault="006E5DA3">
            <w:pPr>
              <w:keepNext/>
              <w:keepLines/>
              <w:spacing w:before="200" w:line="240" w:lineRule="auto"/>
              <w:contextualSpacing/>
              <w:jc w:val="center"/>
              <w:outlineLvl w:val="3"/>
              <w:rPr>
                <w:sz w:val="16"/>
                <w:szCs w:val="16"/>
              </w:rPr>
            </w:pPr>
            <w:r>
              <w:rPr>
                <w:sz w:val="16"/>
                <w:szCs w:val="16"/>
              </w:rPr>
              <w:t>0.01</w:t>
            </w:r>
          </w:p>
        </w:tc>
        <w:tc>
          <w:tcPr>
            <w:tcW w:w="187" w:type="pct"/>
            <w:tcBorders>
              <w:top w:val="nil"/>
              <w:bottom w:val="nil"/>
            </w:tcBorders>
            <w:vAlign w:val="center"/>
          </w:tcPr>
          <w:p w14:paraId="0FFBE3AF" w14:textId="28C25D8C" w:rsidR="0046353F" w:rsidRPr="009C6556" w:rsidRDefault="006E5DA3">
            <w:pPr>
              <w:keepNext/>
              <w:keepLines/>
              <w:spacing w:before="200" w:line="240" w:lineRule="auto"/>
              <w:contextualSpacing/>
              <w:jc w:val="center"/>
              <w:outlineLvl w:val="3"/>
              <w:rPr>
                <w:sz w:val="16"/>
                <w:szCs w:val="16"/>
              </w:rPr>
            </w:pPr>
            <w:r>
              <w:rPr>
                <w:sz w:val="16"/>
                <w:szCs w:val="16"/>
              </w:rPr>
              <w:t>0.00</w:t>
            </w:r>
          </w:p>
        </w:tc>
        <w:tc>
          <w:tcPr>
            <w:tcW w:w="187" w:type="pct"/>
            <w:tcBorders>
              <w:top w:val="nil"/>
              <w:bottom w:val="nil"/>
            </w:tcBorders>
            <w:vAlign w:val="center"/>
          </w:tcPr>
          <w:p w14:paraId="4D5A7D73" w14:textId="438B7DB4" w:rsidR="0046353F" w:rsidRPr="009C6556" w:rsidRDefault="006E5DA3">
            <w:pPr>
              <w:keepNext/>
              <w:keepLines/>
              <w:spacing w:before="200" w:line="240" w:lineRule="auto"/>
              <w:contextualSpacing/>
              <w:jc w:val="center"/>
              <w:outlineLvl w:val="3"/>
              <w:rPr>
                <w:sz w:val="16"/>
                <w:szCs w:val="16"/>
              </w:rPr>
            </w:pPr>
            <w:r>
              <w:rPr>
                <w:sz w:val="16"/>
                <w:szCs w:val="16"/>
              </w:rPr>
              <w:t>0.02</w:t>
            </w:r>
          </w:p>
        </w:tc>
        <w:tc>
          <w:tcPr>
            <w:tcW w:w="187" w:type="pct"/>
            <w:tcBorders>
              <w:top w:val="nil"/>
              <w:bottom w:val="nil"/>
            </w:tcBorders>
            <w:vAlign w:val="center"/>
          </w:tcPr>
          <w:p w14:paraId="2A1C55C8" w14:textId="199202A3" w:rsidR="0046353F" w:rsidRPr="009C6556" w:rsidRDefault="006E5DA3">
            <w:pPr>
              <w:keepNext/>
              <w:keepLines/>
              <w:spacing w:before="200" w:line="240" w:lineRule="auto"/>
              <w:contextualSpacing/>
              <w:jc w:val="center"/>
              <w:outlineLvl w:val="3"/>
              <w:rPr>
                <w:sz w:val="16"/>
                <w:szCs w:val="16"/>
              </w:rPr>
            </w:pPr>
            <w:r>
              <w:rPr>
                <w:sz w:val="16"/>
                <w:szCs w:val="16"/>
              </w:rPr>
              <w:t>0.00</w:t>
            </w:r>
          </w:p>
        </w:tc>
        <w:tc>
          <w:tcPr>
            <w:tcW w:w="188" w:type="pct"/>
            <w:tcBorders>
              <w:top w:val="nil"/>
              <w:bottom w:val="nil"/>
            </w:tcBorders>
            <w:vAlign w:val="center"/>
          </w:tcPr>
          <w:p w14:paraId="1C139A9F" w14:textId="26C974C9" w:rsidR="0046353F" w:rsidRPr="009C6556" w:rsidRDefault="006E5DA3">
            <w:pPr>
              <w:keepNext/>
              <w:keepLines/>
              <w:spacing w:before="200" w:line="240" w:lineRule="auto"/>
              <w:contextualSpacing/>
              <w:jc w:val="center"/>
              <w:outlineLvl w:val="3"/>
              <w:rPr>
                <w:sz w:val="16"/>
                <w:szCs w:val="16"/>
              </w:rPr>
            </w:pPr>
            <w:r>
              <w:rPr>
                <w:sz w:val="16"/>
                <w:szCs w:val="16"/>
              </w:rPr>
              <w:t>0.01</w:t>
            </w:r>
          </w:p>
        </w:tc>
        <w:tc>
          <w:tcPr>
            <w:tcW w:w="188" w:type="pct"/>
            <w:tcBorders>
              <w:top w:val="nil"/>
              <w:bottom w:val="nil"/>
            </w:tcBorders>
            <w:vAlign w:val="center"/>
          </w:tcPr>
          <w:p w14:paraId="371F8BBF" w14:textId="177962A1" w:rsidR="0046353F" w:rsidRPr="009C6556" w:rsidRDefault="006E5DA3">
            <w:pPr>
              <w:keepNext/>
              <w:keepLines/>
              <w:spacing w:before="200" w:line="240" w:lineRule="auto"/>
              <w:contextualSpacing/>
              <w:jc w:val="center"/>
              <w:outlineLvl w:val="3"/>
              <w:rPr>
                <w:sz w:val="16"/>
                <w:szCs w:val="16"/>
              </w:rPr>
            </w:pPr>
            <w:r>
              <w:rPr>
                <w:sz w:val="16"/>
                <w:szCs w:val="16"/>
              </w:rPr>
              <w:t>0.02</w:t>
            </w:r>
          </w:p>
        </w:tc>
        <w:tc>
          <w:tcPr>
            <w:tcW w:w="188" w:type="pct"/>
            <w:tcBorders>
              <w:top w:val="nil"/>
              <w:bottom w:val="nil"/>
            </w:tcBorders>
            <w:vAlign w:val="center"/>
          </w:tcPr>
          <w:p w14:paraId="5040EAE3" w14:textId="2261A811" w:rsidR="0046353F" w:rsidRPr="009C6556" w:rsidRDefault="006E5DA3">
            <w:pPr>
              <w:keepNext/>
              <w:keepLines/>
              <w:spacing w:before="200" w:line="240" w:lineRule="auto"/>
              <w:contextualSpacing/>
              <w:jc w:val="center"/>
              <w:outlineLvl w:val="3"/>
              <w:rPr>
                <w:sz w:val="16"/>
                <w:szCs w:val="16"/>
              </w:rPr>
            </w:pPr>
            <w:r>
              <w:rPr>
                <w:sz w:val="16"/>
                <w:szCs w:val="16"/>
              </w:rPr>
              <w:t>0.01</w:t>
            </w:r>
          </w:p>
        </w:tc>
        <w:tc>
          <w:tcPr>
            <w:tcW w:w="188" w:type="pct"/>
            <w:tcBorders>
              <w:top w:val="nil"/>
              <w:bottom w:val="nil"/>
            </w:tcBorders>
            <w:vAlign w:val="center"/>
          </w:tcPr>
          <w:p w14:paraId="657FF1C3" w14:textId="611FF75D" w:rsidR="0046353F" w:rsidRPr="009C6556" w:rsidRDefault="006E5DA3">
            <w:pPr>
              <w:keepNext/>
              <w:keepLines/>
              <w:spacing w:before="200" w:line="240" w:lineRule="auto"/>
              <w:contextualSpacing/>
              <w:jc w:val="center"/>
              <w:outlineLvl w:val="3"/>
              <w:rPr>
                <w:sz w:val="16"/>
                <w:szCs w:val="16"/>
              </w:rPr>
            </w:pPr>
            <w:r>
              <w:rPr>
                <w:sz w:val="16"/>
                <w:szCs w:val="16"/>
              </w:rPr>
              <w:t>0.00</w:t>
            </w:r>
          </w:p>
        </w:tc>
        <w:tc>
          <w:tcPr>
            <w:tcW w:w="188" w:type="pct"/>
            <w:tcBorders>
              <w:top w:val="nil"/>
              <w:bottom w:val="nil"/>
            </w:tcBorders>
            <w:vAlign w:val="center"/>
          </w:tcPr>
          <w:p w14:paraId="786AA3DF" w14:textId="66E7AE8B" w:rsidR="0046353F" w:rsidRPr="009C6556" w:rsidRDefault="006E5DA3">
            <w:pPr>
              <w:keepNext/>
              <w:keepLines/>
              <w:spacing w:before="200" w:line="240" w:lineRule="auto"/>
              <w:contextualSpacing/>
              <w:jc w:val="center"/>
              <w:outlineLvl w:val="3"/>
              <w:rPr>
                <w:sz w:val="16"/>
                <w:szCs w:val="16"/>
              </w:rPr>
            </w:pPr>
            <w:r>
              <w:rPr>
                <w:sz w:val="16"/>
                <w:szCs w:val="16"/>
              </w:rPr>
              <w:t>0.04</w:t>
            </w:r>
          </w:p>
        </w:tc>
        <w:tc>
          <w:tcPr>
            <w:tcW w:w="188" w:type="pct"/>
            <w:tcBorders>
              <w:top w:val="nil"/>
              <w:bottom w:val="nil"/>
            </w:tcBorders>
            <w:vAlign w:val="center"/>
          </w:tcPr>
          <w:p w14:paraId="2E1DA0A4" w14:textId="2CB99722" w:rsidR="0046353F" w:rsidRPr="009C6556" w:rsidRDefault="006E5DA3">
            <w:pPr>
              <w:keepNext/>
              <w:keepLines/>
              <w:spacing w:before="200" w:line="240" w:lineRule="auto"/>
              <w:contextualSpacing/>
              <w:jc w:val="center"/>
              <w:outlineLvl w:val="3"/>
              <w:rPr>
                <w:sz w:val="16"/>
                <w:szCs w:val="16"/>
              </w:rPr>
            </w:pPr>
            <w:r>
              <w:rPr>
                <w:sz w:val="16"/>
                <w:szCs w:val="16"/>
              </w:rPr>
              <w:t>0.03</w:t>
            </w:r>
          </w:p>
        </w:tc>
        <w:tc>
          <w:tcPr>
            <w:tcW w:w="188" w:type="pct"/>
            <w:tcBorders>
              <w:top w:val="nil"/>
              <w:bottom w:val="nil"/>
            </w:tcBorders>
            <w:vAlign w:val="center"/>
          </w:tcPr>
          <w:p w14:paraId="41A88C85" w14:textId="047F8FBA" w:rsidR="0046353F" w:rsidRPr="009C6556" w:rsidRDefault="006E5DA3">
            <w:pPr>
              <w:keepNext/>
              <w:keepLines/>
              <w:spacing w:before="200" w:line="240" w:lineRule="auto"/>
              <w:contextualSpacing/>
              <w:jc w:val="center"/>
              <w:outlineLvl w:val="3"/>
              <w:rPr>
                <w:sz w:val="16"/>
                <w:szCs w:val="16"/>
              </w:rPr>
            </w:pPr>
            <w:r>
              <w:rPr>
                <w:sz w:val="16"/>
                <w:szCs w:val="16"/>
              </w:rPr>
              <w:t>0.01</w:t>
            </w:r>
          </w:p>
        </w:tc>
        <w:tc>
          <w:tcPr>
            <w:tcW w:w="188" w:type="pct"/>
            <w:tcBorders>
              <w:top w:val="nil"/>
              <w:bottom w:val="nil"/>
            </w:tcBorders>
            <w:vAlign w:val="center"/>
          </w:tcPr>
          <w:p w14:paraId="32E637A4" w14:textId="683263BA" w:rsidR="0046353F" w:rsidRPr="009C6556" w:rsidRDefault="0046353F">
            <w:pPr>
              <w:keepNext/>
              <w:keepLines/>
              <w:spacing w:before="200" w:line="240" w:lineRule="auto"/>
              <w:contextualSpacing/>
              <w:jc w:val="center"/>
              <w:outlineLvl w:val="3"/>
              <w:rPr>
                <w:sz w:val="16"/>
                <w:szCs w:val="16"/>
              </w:rPr>
            </w:pPr>
            <w:r>
              <w:rPr>
                <w:sz w:val="16"/>
                <w:szCs w:val="16"/>
              </w:rPr>
              <w:t>1</w:t>
            </w:r>
          </w:p>
        </w:tc>
        <w:tc>
          <w:tcPr>
            <w:tcW w:w="184" w:type="pct"/>
            <w:tcBorders>
              <w:top w:val="nil"/>
              <w:bottom w:val="nil"/>
            </w:tcBorders>
            <w:vAlign w:val="center"/>
          </w:tcPr>
          <w:p w14:paraId="7A239517" w14:textId="049DC048" w:rsidR="0046353F" w:rsidRPr="009C6556" w:rsidRDefault="0046353F">
            <w:pPr>
              <w:spacing w:line="240" w:lineRule="auto"/>
              <w:contextualSpacing/>
              <w:jc w:val="center"/>
              <w:rPr>
                <w:sz w:val="16"/>
                <w:szCs w:val="16"/>
              </w:rPr>
            </w:pPr>
          </w:p>
        </w:tc>
      </w:tr>
      <w:tr w:rsidR="0090136D" w:rsidRPr="00AE0C1E" w14:paraId="1CCC3337" w14:textId="77777777" w:rsidTr="009C6556">
        <w:trPr>
          <w:cantSplit/>
          <w:trHeight w:hRule="exact" w:val="291"/>
        </w:trPr>
        <w:tc>
          <w:tcPr>
            <w:tcW w:w="96" w:type="pct"/>
            <w:tcBorders>
              <w:top w:val="nil"/>
            </w:tcBorders>
            <w:vAlign w:val="center"/>
          </w:tcPr>
          <w:p w14:paraId="025672DC" w14:textId="5069CE14" w:rsidR="0046353F" w:rsidRPr="009C6556" w:rsidRDefault="0046353F">
            <w:pPr>
              <w:keepNext/>
              <w:keepLines/>
              <w:spacing w:before="200" w:line="240" w:lineRule="auto"/>
              <w:ind w:left="-142"/>
              <w:contextualSpacing/>
              <w:jc w:val="center"/>
              <w:outlineLvl w:val="3"/>
              <w:rPr>
                <w:b/>
                <w:sz w:val="16"/>
                <w:szCs w:val="16"/>
              </w:rPr>
            </w:pPr>
            <w:r>
              <w:rPr>
                <w:b/>
                <w:sz w:val="16"/>
                <w:szCs w:val="16"/>
              </w:rPr>
              <w:t>19</w:t>
            </w:r>
          </w:p>
        </w:tc>
        <w:tc>
          <w:tcPr>
            <w:tcW w:w="830" w:type="pct"/>
            <w:tcBorders>
              <w:top w:val="nil"/>
            </w:tcBorders>
            <w:vAlign w:val="center"/>
          </w:tcPr>
          <w:p w14:paraId="49811300" w14:textId="65B5B261" w:rsidR="0046353F" w:rsidRPr="009C6556" w:rsidRDefault="0046353F">
            <w:pPr>
              <w:keepNext/>
              <w:keepLines/>
              <w:spacing w:before="200" w:line="240" w:lineRule="auto"/>
              <w:contextualSpacing/>
              <w:outlineLvl w:val="3"/>
              <w:rPr>
                <w:b/>
                <w:sz w:val="16"/>
                <w:szCs w:val="16"/>
              </w:rPr>
            </w:pPr>
            <w:r w:rsidRPr="009C6556">
              <w:rPr>
                <w:b/>
                <w:sz w:val="16"/>
                <w:szCs w:val="16"/>
              </w:rPr>
              <w:t>Change in analysts’ estimates</w:t>
            </w:r>
          </w:p>
        </w:tc>
        <w:tc>
          <w:tcPr>
            <w:tcW w:w="235" w:type="pct"/>
            <w:tcBorders>
              <w:top w:val="nil"/>
            </w:tcBorders>
            <w:vAlign w:val="center"/>
          </w:tcPr>
          <w:p w14:paraId="77C2BFDD" w14:textId="3E0E058C" w:rsidR="0046353F" w:rsidRPr="009C6556" w:rsidRDefault="009856C6">
            <w:pPr>
              <w:keepNext/>
              <w:keepLines/>
              <w:spacing w:before="200" w:line="240" w:lineRule="auto"/>
              <w:contextualSpacing/>
              <w:jc w:val="center"/>
              <w:outlineLvl w:val="3"/>
              <w:rPr>
                <w:sz w:val="16"/>
                <w:szCs w:val="16"/>
              </w:rPr>
            </w:pPr>
            <w:r>
              <w:rPr>
                <w:sz w:val="16"/>
                <w:szCs w:val="16"/>
              </w:rPr>
              <w:t>1.32</w:t>
            </w:r>
          </w:p>
        </w:tc>
        <w:tc>
          <w:tcPr>
            <w:tcW w:w="281" w:type="pct"/>
            <w:tcBorders>
              <w:top w:val="nil"/>
            </w:tcBorders>
            <w:vAlign w:val="center"/>
          </w:tcPr>
          <w:p w14:paraId="05478277" w14:textId="38D359DC" w:rsidR="0046353F" w:rsidRPr="009C6556" w:rsidRDefault="00D4671B">
            <w:pPr>
              <w:keepNext/>
              <w:keepLines/>
              <w:spacing w:before="200" w:line="240" w:lineRule="auto"/>
              <w:contextualSpacing/>
              <w:jc w:val="center"/>
              <w:outlineLvl w:val="3"/>
              <w:rPr>
                <w:sz w:val="16"/>
                <w:szCs w:val="16"/>
              </w:rPr>
            </w:pPr>
            <w:r>
              <w:rPr>
                <w:sz w:val="16"/>
                <w:szCs w:val="16"/>
              </w:rPr>
              <w:t>0.33</w:t>
            </w:r>
          </w:p>
        </w:tc>
        <w:tc>
          <w:tcPr>
            <w:tcW w:w="187" w:type="pct"/>
            <w:tcBorders>
              <w:top w:val="nil"/>
            </w:tcBorders>
            <w:vAlign w:val="center"/>
          </w:tcPr>
          <w:p w14:paraId="3B9BED04" w14:textId="3122AFAB" w:rsidR="0046353F" w:rsidRPr="009C6556" w:rsidRDefault="009A0D18">
            <w:pPr>
              <w:keepNext/>
              <w:keepLines/>
              <w:spacing w:before="200" w:line="240" w:lineRule="auto"/>
              <w:contextualSpacing/>
              <w:jc w:val="center"/>
              <w:outlineLvl w:val="3"/>
              <w:rPr>
                <w:sz w:val="16"/>
                <w:szCs w:val="16"/>
              </w:rPr>
            </w:pPr>
            <w:r>
              <w:rPr>
                <w:sz w:val="16"/>
                <w:szCs w:val="16"/>
              </w:rPr>
              <w:t>0.29</w:t>
            </w:r>
          </w:p>
        </w:tc>
        <w:tc>
          <w:tcPr>
            <w:tcW w:w="187" w:type="pct"/>
            <w:tcBorders>
              <w:top w:val="nil"/>
            </w:tcBorders>
            <w:vAlign w:val="center"/>
          </w:tcPr>
          <w:p w14:paraId="67E08C97" w14:textId="71D795B1" w:rsidR="0046353F" w:rsidRPr="009C6556" w:rsidRDefault="009A0D18">
            <w:pPr>
              <w:keepNext/>
              <w:keepLines/>
              <w:spacing w:before="200" w:line="240" w:lineRule="auto"/>
              <w:contextualSpacing/>
              <w:jc w:val="center"/>
              <w:outlineLvl w:val="3"/>
              <w:rPr>
                <w:sz w:val="16"/>
                <w:szCs w:val="16"/>
              </w:rPr>
            </w:pPr>
            <w:r>
              <w:rPr>
                <w:sz w:val="16"/>
                <w:szCs w:val="16"/>
              </w:rPr>
              <w:t>0.13</w:t>
            </w:r>
          </w:p>
        </w:tc>
        <w:tc>
          <w:tcPr>
            <w:tcW w:w="187" w:type="pct"/>
            <w:tcBorders>
              <w:top w:val="nil"/>
            </w:tcBorders>
            <w:vAlign w:val="center"/>
          </w:tcPr>
          <w:p w14:paraId="2C7E6A67" w14:textId="0B1263B8" w:rsidR="0046353F" w:rsidRPr="009C6556" w:rsidRDefault="009A0D18">
            <w:pPr>
              <w:keepNext/>
              <w:keepLines/>
              <w:spacing w:before="200" w:line="240" w:lineRule="auto"/>
              <w:contextualSpacing/>
              <w:jc w:val="center"/>
              <w:outlineLvl w:val="3"/>
              <w:rPr>
                <w:sz w:val="16"/>
                <w:szCs w:val="16"/>
              </w:rPr>
            </w:pPr>
            <w:r>
              <w:rPr>
                <w:sz w:val="16"/>
                <w:szCs w:val="16"/>
              </w:rPr>
              <w:t>0.26</w:t>
            </w:r>
          </w:p>
        </w:tc>
        <w:tc>
          <w:tcPr>
            <w:tcW w:w="187" w:type="pct"/>
            <w:tcBorders>
              <w:top w:val="nil"/>
            </w:tcBorders>
            <w:vAlign w:val="center"/>
          </w:tcPr>
          <w:p w14:paraId="08C4BA54" w14:textId="15DBB67F" w:rsidR="0046353F" w:rsidRPr="009C6556" w:rsidRDefault="009A0D18">
            <w:pPr>
              <w:keepNext/>
              <w:keepLines/>
              <w:spacing w:before="200" w:line="240" w:lineRule="auto"/>
              <w:contextualSpacing/>
              <w:jc w:val="center"/>
              <w:outlineLvl w:val="3"/>
              <w:rPr>
                <w:sz w:val="16"/>
                <w:szCs w:val="16"/>
              </w:rPr>
            </w:pPr>
            <w:r>
              <w:rPr>
                <w:sz w:val="16"/>
                <w:szCs w:val="16"/>
              </w:rPr>
              <w:t>0.00</w:t>
            </w:r>
          </w:p>
        </w:tc>
        <w:tc>
          <w:tcPr>
            <w:tcW w:w="187" w:type="pct"/>
            <w:tcBorders>
              <w:top w:val="nil"/>
            </w:tcBorders>
            <w:vAlign w:val="center"/>
          </w:tcPr>
          <w:p w14:paraId="7E2CD1DF" w14:textId="56865419" w:rsidR="0046353F" w:rsidRPr="009C6556" w:rsidRDefault="009A0D18">
            <w:pPr>
              <w:keepNext/>
              <w:keepLines/>
              <w:spacing w:before="200" w:line="240" w:lineRule="auto"/>
              <w:contextualSpacing/>
              <w:jc w:val="center"/>
              <w:outlineLvl w:val="3"/>
              <w:rPr>
                <w:sz w:val="16"/>
                <w:szCs w:val="16"/>
              </w:rPr>
            </w:pPr>
            <w:r>
              <w:rPr>
                <w:sz w:val="16"/>
                <w:szCs w:val="16"/>
              </w:rPr>
              <w:t>0.03</w:t>
            </w:r>
          </w:p>
        </w:tc>
        <w:tc>
          <w:tcPr>
            <w:tcW w:w="187" w:type="pct"/>
            <w:tcBorders>
              <w:top w:val="nil"/>
            </w:tcBorders>
            <w:vAlign w:val="center"/>
          </w:tcPr>
          <w:p w14:paraId="187C6268" w14:textId="7A55387E" w:rsidR="0046353F" w:rsidRPr="009C6556" w:rsidRDefault="009A0D18">
            <w:pPr>
              <w:keepNext/>
              <w:keepLines/>
              <w:spacing w:before="200" w:line="240" w:lineRule="auto"/>
              <w:contextualSpacing/>
              <w:jc w:val="center"/>
              <w:outlineLvl w:val="3"/>
              <w:rPr>
                <w:sz w:val="16"/>
                <w:szCs w:val="16"/>
              </w:rPr>
            </w:pPr>
            <w:r>
              <w:rPr>
                <w:sz w:val="16"/>
                <w:szCs w:val="16"/>
              </w:rPr>
              <w:t>0.00</w:t>
            </w:r>
          </w:p>
        </w:tc>
        <w:tc>
          <w:tcPr>
            <w:tcW w:w="187" w:type="pct"/>
            <w:tcBorders>
              <w:top w:val="nil"/>
            </w:tcBorders>
            <w:vAlign w:val="center"/>
          </w:tcPr>
          <w:p w14:paraId="76D7F623" w14:textId="58FA997E" w:rsidR="0046353F" w:rsidRPr="009C6556" w:rsidRDefault="006A33E0">
            <w:pPr>
              <w:keepNext/>
              <w:keepLines/>
              <w:spacing w:before="200" w:line="240" w:lineRule="auto"/>
              <w:contextualSpacing/>
              <w:jc w:val="center"/>
              <w:outlineLvl w:val="3"/>
              <w:rPr>
                <w:sz w:val="16"/>
                <w:szCs w:val="16"/>
              </w:rPr>
            </w:pPr>
            <w:r>
              <w:rPr>
                <w:sz w:val="16"/>
                <w:szCs w:val="16"/>
              </w:rPr>
              <w:t>-0.00</w:t>
            </w:r>
          </w:p>
        </w:tc>
        <w:tc>
          <w:tcPr>
            <w:tcW w:w="187" w:type="pct"/>
            <w:tcBorders>
              <w:top w:val="nil"/>
            </w:tcBorders>
            <w:vAlign w:val="center"/>
          </w:tcPr>
          <w:p w14:paraId="560A8C0F" w14:textId="20DF6286" w:rsidR="0046353F" w:rsidRPr="009C6556" w:rsidRDefault="006A33E0">
            <w:pPr>
              <w:keepNext/>
              <w:keepLines/>
              <w:spacing w:before="200" w:line="240" w:lineRule="auto"/>
              <w:contextualSpacing/>
              <w:jc w:val="center"/>
              <w:outlineLvl w:val="3"/>
              <w:rPr>
                <w:sz w:val="16"/>
                <w:szCs w:val="16"/>
              </w:rPr>
            </w:pPr>
            <w:r>
              <w:rPr>
                <w:sz w:val="16"/>
                <w:szCs w:val="16"/>
              </w:rPr>
              <w:t>0.05</w:t>
            </w:r>
          </w:p>
        </w:tc>
        <w:tc>
          <w:tcPr>
            <w:tcW w:w="187" w:type="pct"/>
            <w:tcBorders>
              <w:top w:val="nil"/>
            </w:tcBorders>
            <w:vAlign w:val="center"/>
          </w:tcPr>
          <w:p w14:paraId="6DABF24A" w14:textId="34D369CD" w:rsidR="0046353F" w:rsidRPr="009C6556" w:rsidRDefault="006A33E0">
            <w:pPr>
              <w:keepNext/>
              <w:keepLines/>
              <w:spacing w:before="200" w:line="240" w:lineRule="auto"/>
              <w:contextualSpacing/>
              <w:jc w:val="center"/>
              <w:outlineLvl w:val="3"/>
              <w:rPr>
                <w:sz w:val="16"/>
                <w:szCs w:val="16"/>
              </w:rPr>
            </w:pPr>
            <w:r>
              <w:rPr>
                <w:sz w:val="16"/>
                <w:szCs w:val="16"/>
              </w:rPr>
              <w:t>0.12</w:t>
            </w:r>
          </w:p>
        </w:tc>
        <w:tc>
          <w:tcPr>
            <w:tcW w:w="187" w:type="pct"/>
            <w:tcBorders>
              <w:top w:val="nil"/>
            </w:tcBorders>
            <w:vAlign w:val="center"/>
          </w:tcPr>
          <w:p w14:paraId="3890D455" w14:textId="2D8E9D03" w:rsidR="0046353F" w:rsidRPr="009C6556" w:rsidRDefault="006A33E0">
            <w:pPr>
              <w:keepNext/>
              <w:keepLines/>
              <w:spacing w:before="200" w:line="240" w:lineRule="auto"/>
              <w:contextualSpacing/>
              <w:jc w:val="center"/>
              <w:outlineLvl w:val="3"/>
              <w:rPr>
                <w:sz w:val="16"/>
                <w:szCs w:val="16"/>
              </w:rPr>
            </w:pPr>
            <w:r>
              <w:rPr>
                <w:sz w:val="16"/>
                <w:szCs w:val="16"/>
              </w:rPr>
              <w:t>-0.10</w:t>
            </w:r>
          </w:p>
        </w:tc>
        <w:tc>
          <w:tcPr>
            <w:tcW w:w="188" w:type="pct"/>
            <w:tcBorders>
              <w:top w:val="nil"/>
            </w:tcBorders>
            <w:vAlign w:val="center"/>
          </w:tcPr>
          <w:p w14:paraId="272E977F" w14:textId="532A5720" w:rsidR="0046353F" w:rsidRPr="009C6556" w:rsidRDefault="006A33E0">
            <w:pPr>
              <w:keepNext/>
              <w:keepLines/>
              <w:spacing w:before="200" w:line="240" w:lineRule="auto"/>
              <w:contextualSpacing/>
              <w:jc w:val="center"/>
              <w:outlineLvl w:val="3"/>
              <w:rPr>
                <w:sz w:val="16"/>
                <w:szCs w:val="16"/>
              </w:rPr>
            </w:pPr>
            <w:r>
              <w:rPr>
                <w:sz w:val="16"/>
                <w:szCs w:val="16"/>
              </w:rPr>
              <w:t>0.41</w:t>
            </w:r>
          </w:p>
        </w:tc>
        <w:tc>
          <w:tcPr>
            <w:tcW w:w="188" w:type="pct"/>
            <w:tcBorders>
              <w:top w:val="nil"/>
            </w:tcBorders>
            <w:vAlign w:val="center"/>
          </w:tcPr>
          <w:p w14:paraId="4176BC14" w14:textId="1A5D5B11" w:rsidR="0046353F" w:rsidRPr="009C6556" w:rsidRDefault="006A33E0">
            <w:pPr>
              <w:keepNext/>
              <w:keepLines/>
              <w:spacing w:before="200" w:line="240" w:lineRule="auto"/>
              <w:contextualSpacing/>
              <w:jc w:val="center"/>
              <w:outlineLvl w:val="3"/>
              <w:rPr>
                <w:sz w:val="16"/>
                <w:szCs w:val="16"/>
              </w:rPr>
            </w:pPr>
            <w:r>
              <w:rPr>
                <w:sz w:val="16"/>
                <w:szCs w:val="16"/>
              </w:rPr>
              <w:t>0.11</w:t>
            </w:r>
          </w:p>
        </w:tc>
        <w:tc>
          <w:tcPr>
            <w:tcW w:w="188" w:type="pct"/>
            <w:tcBorders>
              <w:top w:val="nil"/>
            </w:tcBorders>
            <w:vAlign w:val="center"/>
          </w:tcPr>
          <w:p w14:paraId="031A160C" w14:textId="0A7B58FF" w:rsidR="0046353F" w:rsidRPr="009C6556" w:rsidRDefault="006A33E0">
            <w:pPr>
              <w:keepNext/>
              <w:keepLines/>
              <w:spacing w:before="200" w:line="240" w:lineRule="auto"/>
              <w:contextualSpacing/>
              <w:jc w:val="center"/>
              <w:outlineLvl w:val="3"/>
              <w:rPr>
                <w:sz w:val="16"/>
                <w:szCs w:val="16"/>
              </w:rPr>
            </w:pPr>
            <w:r>
              <w:rPr>
                <w:sz w:val="16"/>
                <w:szCs w:val="16"/>
              </w:rPr>
              <w:t>0.07</w:t>
            </w:r>
          </w:p>
        </w:tc>
        <w:tc>
          <w:tcPr>
            <w:tcW w:w="188" w:type="pct"/>
            <w:tcBorders>
              <w:top w:val="nil"/>
            </w:tcBorders>
            <w:vAlign w:val="center"/>
          </w:tcPr>
          <w:p w14:paraId="1ACC887A" w14:textId="3911DC7E" w:rsidR="0046353F" w:rsidRPr="009C6556" w:rsidRDefault="006A33E0">
            <w:pPr>
              <w:keepNext/>
              <w:keepLines/>
              <w:spacing w:before="200" w:line="240" w:lineRule="auto"/>
              <w:contextualSpacing/>
              <w:jc w:val="center"/>
              <w:outlineLvl w:val="3"/>
              <w:rPr>
                <w:sz w:val="16"/>
                <w:szCs w:val="16"/>
              </w:rPr>
            </w:pPr>
            <w:r>
              <w:rPr>
                <w:sz w:val="16"/>
                <w:szCs w:val="16"/>
              </w:rPr>
              <w:t>0.05</w:t>
            </w:r>
          </w:p>
        </w:tc>
        <w:tc>
          <w:tcPr>
            <w:tcW w:w="188" w:type="pct"/>
            <w:tcBorders>
              <w:top w:val="nil"/>
            </w:tcBorders>
            <w:vAlign w:val="center"/>
          </w:tcPr>
          <w:p w14:paraId="339C7A0E" w14:textId="0844CFA7" w:rsidR="0046353F" w:rsidRPr="009C6556" w:rsidRDefault="00B802EE">
            <w:pPr>
              <w:keepNext/>
              <w:keepLines/>
              <w:spacing w:before="200" w:line="240" w:lineRule="auto"/>
              <w:contextualSpacing/>
              <w:jc w:val="center"/>
              <w:outlineLvl w:val="3"/>
              <w:rPr>
                <w:sz w:val="16"/>
                <w:szCs w:val="16"/>
              </w:rPr>
            </w:pPr>
            <w:r>
              <w:rPr>
                <w:sz w:val="16"/>
                <w:szCs w:val="16"/>
              </w:rPr>
              <w:t>0.14</w:t>
            </w:r>
          </w:p>
        </w:tc>
        <w:tc>
          <w:tcPr>
            <w:tcW w:w="188" w:type="pct"/>
            <w:tcBorders>
              <w:top w:val="nil"/>
            </w:tcBorders>
            <w:vAlign w:val="center"/>
          </w:tcPr>
          <w:p w14:paraId="15032B61" w14:textId="52DF01E6" w:rsidR="0046353F" w:rsidRPr="009C6556" w:rsidRDefault="00B802EE">
            <w:pPr>
              <w:keepNext/>
              <w:keepLines/>
              <w:spacing w:before="200" w:line="240" w:lineRule="auto"/>
              <w:contextualSpacing/>
              <w:jc w:val="center"/>
              <w:outlineLvl w:val="3"/>
              <w:rPr>
                <w:sz w:val="16"/>
                <w:szCs w:val="16"/>
              </w:rPr>
            </w:pPr>
            <w:r>
              <w:rPr>
                <w:sz w:val="16"/>
                <w:szCs w:val="16"/>
              </w:rPr>
              <w:t>0.09</w:t>
            </w:r>
          </w:p>
        </w:tc>
        <w:tc>
          <w:tcPr>
            <w:tcW w:w="188" w:type="pct"/>
            <w:tcBorders>
              <w:top w:val="nil"/>
            </w:tcBorders>
            <w:vAlign w:val="center"/>
          </w:tcPr>
          <w:p w14:paraId="35A3D5DF" w14:textId="5058C948" w:rsidR="0046353F" w:rsidRPr="009C6556" w:rsidRDefault="00B802EE">
            <w:pPr>
              <w:keepNext/>
              <w:keepLines/>
              <w:spacing w:before="200" w:line="240" w:lineRule="auto"/>
              <w:contextualSpacing/>
              <w:jc w:val="center"/>
              <w:outlineLvl w:val="3"/>
              <w:rPr>
                <w:sz w:val="16"/>
                <w:szCs w:val="16"/>
              </w:rPr>
            </w:pPr>
            <w:r>
              <w:rPr>
                <w:sz w:val="16"/>
                <w:szCs w:val="16"/>
              </w:rPr>
              <w:t>0.03</w:t>
            </w:r>
          </w:p>
        </w:tc>
        <w:tc>
          <w:tcPr>
            <w:tcW w:w="188" w:type="pct"/>
            <w:tcBorders>
              <w:top w:val="nil"/>
            </w:tcBorders>
            <w:vAlign w:val="center"/>
          </w:tcPr>
          <w:p w14:paraId="77F873D0" w14:textId="0536C564" w:rsidR="0046353F" w:rsidRPr="009C6556" w:rsidRDefault="009A0D18">
            <w:pPr>
              <w:keepNext/>
              <w:keepLines/>
              <w:spacing w:before="200" w:line="240" w:lineRule="auto"/>
              <w:contextualSpacing/>
              <w:jc w:val="center"/>
              <w:outlineLvl w:val="3"/>
              <w:rPr>
                <w:sz w:val="16"/>
                <w:szCs w:val="16"/>
              </w:rPr>
            </w:pPr>
            <w:r>
              <w:rPr>
                <w:sz w:val="16"/>
                <w:szCs w:val="16"/>
              </w:rPr>
              <w:t>0.41</w:t>
            </w:r>
          </w:p>
        </w:tc>
        <w:tc>
          <w:tcPr>
            <w:tcW w:w="184" w:type="pct"/>
            <w:tcBorders>
              <w:top w:val="nil"/>
            </w:tcBorders>
            <w:vAlign w:val="center"/>
          </w:tcPr>
          <w:p w14:paraId="6950973D" w14:textId="7028B8F3" w:rsidR="0046353F" w:rsidRPr="009C6556" w:rsidRDefault="0046353F">
            <w:pPr>
              <w:keepNext/>
              <w:keepLines/>
              <w:spacing w:before="200" w:line="240" w:lineRule="auto"/>
              <w:contextualSpacing/>
              <w:jc w:val="center"/>
              <w:outlineLvl w:val="3"/>
              <w:rPr>
                <w:sz w:val="16"/>
                <w:szCs w:val="16"/>
              </w:rPr>
            </w:pPr>
            <w:r>
              <w:rPr>
                <w:sz w:val="16"/>
                <w:szCs w:val="16"/>
              </w:rPr>
              <w:t>1</w:t>
            </w:r>
          </w:p>
        </w:tc>
      </w:tr>
    </w:tbl>
    <w:p w14:paraId="697A618B" w14:textId="44F99953" w:rsidR="006958FD" w:rsidRPr="00C208FF" w:rsidRDefault="006958FD" w:rsidP="0090136D">
      <w:pPr>
        <w:ind w:left="-709"/>
        <w:rPr>
          <w:rFonts w:ascii="Times New Roman" w:hAnsi="Times New Roman" w:cs="Times New Roman"/>
          <w:sz w:val="20"/>
          <w:szCs w:val="20"/>
        </w:rPr>
      </w:pPr>
      <w:r>
        <w:rPr>
          <w:rFonts w:ascii="Times New Roman" w:hAnsi="Times New Roman" w:cs="Times New Roman"/>
          <w:sz w:val="20"/>
          <w:szCs w:val="20"/>
        </w:rPr>
        <w:t>N=</w:t>
      </w:r>
      <w:r w:rsidR="00652CC4">
        <w:rPr>
          <w:rFonts w:ascii="Times New Roman" w:hAnsi="Times New Roman" w:cs="Times New Roman"/>
          <w:sz w:val="20"/>
          <w:szCs w:val="20"/>
        </w:rPr>
        <w:t>472</w:t>
      </w:r>
      <w:r>
        <w:rPr>
          <w:rFonts w:ascii="Times New Roman" w:hAnsi="Times New Roman" w:cs="Times New Roman"/>
          <w:sz w:val="20"/>
          <w:szCs w:val="20"/>
        </w:rPr>
        <w:t>. Correlations above 0.15 are significant at p&lt;0.05.</w:t>
      </w:r>
    </w:p>
    <w:p w14:paraId="13284A5D" w14:textId="02F8046B" w:rsidR="00450C80" w:rsidRPr="003E718A" w:rsidRDefault="00450C80" w:rsidP="00450C80">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Table 2</w:t>
      </w:r>
    </w:p>
    <w:p w14:paraId="0BB99333" w14:textId="77777777" w:rsidR="00450C80" w:rsidRPr="003E718A" w:rsidRDefault="00450C80" w:rsidP="00450C80">
      <w:pPr>
        <w:spacing w:line="240" w:lineRule="auto"/>
        <w:contextualSpacing/>
        <w:rPr>
          <w:rFonts w:ascii="Times New Roman" w:hAnsi="Times New Roman" w:cs="Times New Roman"/>
          <w:sz w:val="20"/>
          <w:szCs w:val="20"/>
        </w:rPr>
      </w:pPr>
      <w:r w:rsidRPr="003E718A">
        <w:rPr>
          <w:rFonts w:ascii="Times New Roman" w:hAnsi="Times New Roman" w:cs="Times New Roman"/>
          <w:sz w:val="20"/>
          <w:szCs w:val="20"/>
        </w:rPr>
        <w:lastRenderedPageBreak/>
        <w:t>Regression 1(Models 1a, 2a, 3a, 4a): Logistic regression with dependent variable as the probability of observing a given organization carrying out</w:t>
      </w:r>
      <w:r w:rsidRPr="003E718A">
        <w:rPr>
          <w:rFonts w:ascii="Times New Roman" w:hAnsi="Times New Roman" w:cs="Times New Roman"/>
          <w:color w:val="222222"/>
          <w:sz w:val="20"/>
          <w:szCs w:val="20"/>
        </w:rPr>
        <w:t xml:space="preserve"> voluntary M&amp;A announcements</w:t>
      </w:r>
    </w:p>
    <w:p w14:paraId="6950D4F4" w14:textId="77777777" w:rsidR="00450C80" w:rsidRPr="003E718A" w:rsidRDefault="00450C80" w:rsidP="00450C80">
      <w:pPr>
        <w:spacing w:line="240" w:lineRule="auto"/>
        <w:contextualSpacing/>
        <w:rPr>
          <w:rFonts w:ascii="Times New Roman" w:hAnsi="Times New Roman" w:cs="Times New Roman"/>
          <w:sz w:val="20"/>
          <w:szCs w:val="20"/>
        </w:rPr>
      </w:pPr>
      <w:r w:rsidRPr="003E718A">
        <w:rPr>
          <w:rFonts w:ascii="Times New Roman" w:hAnsi="Times New Roman" w:cs="Times New Roman"/>
          <w:sz w:val="20"/>
          <w:szCs w:val="20"/>
        </w:rPr>
        <w:t>Regression 2 (Models 1b, 2b, 3b, 4b): Regression with dependent variable as the cumulative abnormal returns (-1,+1) associated with voluntary M&amp;A announcements</w:t>
      </w:r>
    </w:p>
    <w:p w14:paraId="5D069524" w14:textId="77777777" w:rsidR="00450C80" w:rsidRPr="003E718A" w:rsidRDefault="00450C80" w:rsidP="00450C80">
      <w:pPr>
        <w:spacing w:line="240" w:lineRule="auto"/>
        <w:contextualSpacing/>
        <w:rPr>
          <w:rFonts w:ascii="Times New Roman" w:hAnsi="Times New Roman" w:cs="Times New Roman"/>
          <w:sz w:val="20"/>
          <w:szCs w:val="20"/>
        </w:rPr>
      </w:pPr>
    </w:p>
    <w:tbl>
      <w:tblPr>
        <w:tblStyle w:val="TableGrid"/>
        <w:tblW w:w="5605" w:type="pct"/>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1473"/>
        <w:gridCol w:w="1306"/>
        <w:gridCol w:w="1618"/>
        <w:gridCol w:w="1611"/>
        <w:gridCol w:w="1611"/>
        <w:gridCol w:w="1472"/>
        <w:gridCol w:w="1472"/>
        <w:gridCol w:w="1465"/>
      </w:tblGrid>
      <w:tr w:rsidR="00CD25A5" w:rsidRPr="003E718A" w14:paraId="1A3F7D8D" w14:textId="77777777" w:rsidTr="009C6556">
        <w:trPr>
          <w:cantSplit/>
          <w:trHeight w:hRule="exact" w:val="188"/>
        </w:trPr>
        <w:tc>
          <w:tcPr>
            <w:tcW w:w="1215" w:type="pct"/>
            <w:tcBorders>
              <w:top w:val="single" w:sz="4" w:space="0" w:color="auto"/>
              <w:bottom w:val="single" w:sz="4" w:space="0" w:color="auto"/>
            </w:tcBorders>
            <w:vAlign w:val="center"/>
          </w:tcPr>
          <w:p w14:paraId="6094739F" w14:textId="77777777" w:rsidR="00450C80" w:rsidRPr="003E718A" w:rsidRDefault="00450C80" w:rsidP="00450C80">
            <w:pPr>
              <w:contextualSpacing/>
              <w:rPr>
                <w:sz w:val="16"/>
                <w:szCs w:val="16"/>
              </w:rPr>
            </w:pPr>
          </w:p>
        </w:tc>
        <w:tc>
          <w:tcPr>
            <w:tcW w:w="463" w:type="pct"/>
            <w:tcBorders>
              <w:top w:val="single" w:sz="4" w:space="0" w:color="auto"/>
              <w:bottom w:val="single" w:sz="4" w:space="0" w:color="auto"/>
            </w:tcBorders>
            <w:vAlign w:val="center"/>
          </w:tcPr>
          <w:p w14:paraId="3A248A08" w14:textId="77777777" w:rsidR="00450C80" w:rsidRPr="003E718A" w:rsidRDefault="00450C80" w:rsidP="00450C80">
            <w:pPr>
              <w:contextualSpacing/>
              <w:jc w:val="center"/>
              <w:rPr>
                <w:b/>
                <w:sz w:val="16"/>
                <w:szCs w:val="16"/>
              </w:rPr>
            </w:pPr>
            <w:r w:rsidRPr="003E718A">
              <w:rPr>
                <w:b/>
                <w:sz w:val="16"/>
                <w:szCs w:val="16"/>
              </w:rPr>
              <w:t>Model 1a</w:t>
            </w:r>
          </w:p>
        </w:tc>
        <w:tc>
          <w:tcPr>
            <w:tcW w:w="411" w:type="pct"/>
            <w:tcBorders>
              <w:top w:val="single" w:sz="4" w:space="0" w:color="auto"/>
              <w:bottom w:val="single" w:sz="4" w:space="0" w:color="auto"/>
            </w:tcBorders>
            <w:vAlign w:val="center"/>
          </w:tcPr>
          <w:p w14:paraId="26D024A2" w14:textId="77777777" w:rsidR="00450C80" w:rsidRPr="003E718A" w:rsidRDefault="00450C80" w:rsidP="00450C80">
            <w:pPr>
              <w:contextualSpacing/>
              <w:jc w:val="center"/>
              <w:rPr>
                <w:b/>
                <w:sz w:val="16"/>
                <w:szCs w:val="16"/>
              </w:rPr>
            </w:pPr>
            <w:r w:rsidRPr="003E718A">
              <w:rPr>
                <w:b/>
                <w:sz w:val="16"/>
                <w:szCs w:val="16"/>
              </w:rPr>
              <w:t>Model 1b</w:t>
            </w:r>
          </w:p>
        </w:tc>
        <w:tc>
          <w:tcPr>
            <w:tcW w:w="509" w:type="pct"/>
            <w:tcBorders>
              <w:top w:val="single" w:sz="4" w:space="0" w:color="auto"/>
              <w:bottom w:val="single" w:sz="4" w:space="0" w:color="auto"/>
            </w:tcBorders>
            <w:vAlign w:val="center"/>
          </w:tcPr>
          <w:p w14:paraId="1A1A1885" w14:textId="77777777" w:rsidR="00450C80" w:rsidRPr="003E718A" w:rsidRDefault="00450C80" w:rsidP="00450C80">
            <w:pPr>
              <w:contextualSpacing/>
              <w:jc w:val="center"/>
              <w:rPr>
                <w:b/>
                <w:sz w:val="16"/>
                <w:szCs w:val="16"/>
              </w:rPr>
            </w:pPr>
            <w:r w:rsidRPr="003E718A">
              <w:rPr>
                <w:b/>
                <w:sz w:val="16"/>
                <w:szCs w:val="16"/>
              </w:rPr>
              <w:t>Model 2a</w:t>
            </w:r>
          </w:p>
        </w:tc>
        <w:tc>
          <w:tcPr>
            <w:tcW w:w="507" w:type="pct"/>
            <w:tcBorders>
              <w:top w:val="single" w:sz="4" w:space="0" w:color="auto"/>
              <w:bottom w:val="single" w:sz="4" w:space="0" w:color="auto"/>
            </w:tcBorders>
            <w:vAlign w:val="center"/>
          </w:tcPr>
          <w:p w14:paraId="762B6C99" w14:textId="77777777" w:rsidR="00450C80" w:rsidRPr="003E718A" w:rsidRDefault="00450C80" w:rsidP="00450C80">
            <w:pPr>
              <w:contextualSpacing/>
              <w:jc w:val="center"/>
              <w:rPr>
                <w:b/>
                <w:sz w:val="16"/>
                <w:szCs w:val="16"/>
              </w:rPr>
            </w:pPr>
            <w:r w:rsidRPr="003E718A">
              <w:rPr>
                <w:b/>
                <w:sz w:val="16"/>
                <w:szCs w:val="16"/>
              </w:rPr>
              <w:t>Model 2b</w:t>
            </w:r>
          </w:p>
        </w:tc>
        <w:tc>
          <w:tcPr>
            <w:tcW w:w="507" w:type="pct"/>
            <w:tcBorders>
              <w:top w:val="single" w:sz="4" w:space="0" w:color="auto"/>
              <w:bottom w:val="single" w:sz="4" w:space="0" w:color="auto"/>
            </w:tcBorders>
            <w:vAlign w:val="center"/>
          </w:tcPr>
          <w:p w14:paraId="7AF211F4" w14:textId="77777777" w:rsidR="00450C80" w:rsidRPr="003E718A" w:rsidRDefault="00450C80" w:rsidP="00450C80">
            <w:pPr>
              <w:contextualSpacing/>
              <w:jc w:val="center"/>
              <w:rPr>
                <w:b/>
                <w:sz w:val="16"/>
                <w:szCs w:val="16"/>
              </w:rPr>
            </w:pPr>
            <w:r w:rsidRPr="003E718A">
              <w:rPr>
                <w:b/>
                <w:sz w:val="16"/>
                <w:szCs w:val="16"/>
              </w:rPr>
              <w:t>Model 3a</w:t>
            </w:r>
          </w:p>
        </w:tc>
        <w:tc>
          <w:tcPr>
            <w:tcW w:w="463" w:type="pct"/>
            <w:tcBorders>
              <w:top w:val="single" w:sz="4" w:space="0" w:color="auto"/>
              <w:bottom w:val="single" w:sz="4" w:space="0" w:color="auto"/>
            </w:tcBorders>
            <w:vAlign w:val="center"/>
          </w:tcPr>
          <w:p w14:paraId="33A7BEE5" w14:textId="77777777" w:rsidR="00450C80" w:rsidRPr="003E718A" w:rsidRDefault="00450C80" w:rsidP="00450C80">
            <w:pPr>
              <w:contextualSpacing/>
              <w:jc w:val="center"/>
              <w:rPr>
                <w:b/>
                <w:sz w:val="16"/>
                <w:szCs w:val="16"/>
              </w:rPr>
            </w:pPr>
            <w:r w:rsidRPr="003E718A">
              <w:rPr>
                <w:b/>
                <w:sz w:val="16"/>
                <w:szCs w:val="16"/>
              </w:rPr>
              <w:t>Model 3b</w:t>
            </w:r>
          </w:p>
        </w:tc>
        <w:tc>
          <w:tcPr>
            <w:tcW w:w="463" w:type="pct"/>
            <w:tcBorders>
              <w:top w:val="single" w:sz="4" w:space="0" w:color="auto"/>
              <w:bottom w:val="single" w:sz="4" w:space="0" w:color="auto"/>
            </w:tcBorders>
            <w:vAlign w:val="center"/>
          </w:tcPr>
          <w:p w14:paraId="45531768" w14:textId="77777777" w:rsidR="00450C80" w:rsidRPr="003E718A" w:rsidRDefault="00450C80" w:rsidP="00450C80">
            <w:pPr>
              <w:contextualSpacing/>
              <w:jc w:val="center"/>
              <w:rPr>
                <w:b/>
                <w:sz w:val="16"/>
                <w:szCs w:val="16"/>
              </w:rPr>
            </w:pPr>
            <w:r w:rsidRPr="003E718A">
              <w:rPr>
                <w:b/>
                <w:sz w:val="16"/>
                <w:szCs w:val="16"/>
              </w:rPr>
              <w:t>Model 4a</w:t>
            </w:r>
          </w:p>
        </w:tc>
        <w:tc>
          <w:tcPr>
            <w:tcW w:w="461" w:type="pct"/>
            <w:tcBorders>
              <w:top w:val="single" w:sz="4" w:space="0" w:color="auto"/>
              <w:bottom w:val="single" w:sz="4" w:space="0" w:color="auto"/>
            </w:tcBorders>
            <w:vAlign w:val="center"/>
          </w:tcPr>
          <w:p w14:paraId="1FB5BDCF" w14:textId="77777777" w:rsidR="00450C80" w:rsidRPr="003E718A" w:rsidRDefault="00450C80" w:rsidP="00450C80">
            <w:pPr>
              <w:contextualSpacing/>
              <w:jc w:val="center"/>
              <w:rPr>
                <w:b/>
                <w:sz w:val="16"/>
                <w:szCs w:val="16"/>
              </w:rPr>
            </w:pPr>
            <w:r w:rsidRPr="003E718A">
              <w:rPr>
                <w:b/>
                <w:sz w:val="16"/>
                <w:szCs w:val="16"/>
              </w:rPr>
              <w:t>Model 4b</w:t>
            </w:r>
          </w:p>
        </w:tc>
      </w:tr>
      <w:tr w:rsidR="00CD25A5" w:rsidRPr="003E718A" w14:paraId="77F096D0" w14:textId="77777777" w:rsidTr="009C6556">
        <w:trPr>
          <w:cantSplit/>
          <w:trHeight w:hRule="exact" w:val="282"/>
        </w:trPr>
        <w:tc>
          <w:tcPr>
            <w:tcW w:w="1215" w:type="pct"/>
            <w:tcBorders>
              <w:top w:val="single" w:sz="4" w:space="0" w:color="auto"/>
            </w:tcBorders>
            <w:vAlign w:val="center"/>
          </w:tcPr>
          <w:p w14:paraId="10C04B6A" w14:textId="77777777" w:rsidR="00450C80" w:rsidRPr="003E718A" w:rsidRDefault="00450C80" w:rsidP="00450C80">
            <w:pPr>
              <w:contextualSpacing/>
              <w:rPr>
                <w:b/>
                <w:sz w:val="16"/>
                <w:szCs w:val="16"/>
              </w:rPr>
            </w:pPr>
            <w:r w:rsidRPr="003E718A">
              <w:rPr>
                <w:b/>
                <w:sz w:val="16"/>
                <w:szCs w:val="16"/>
              </w:rPr>
              <w:t>Intercept</w:t>
            </w:r>
          </w:p>
        </w:tc>
        <w:tc>
          <w:tcPr>
            <w:tcW w:w="463" w:type="pct"/>
            <w:tcBorders>
              <w:top w:val="single" w:sz="4" w:space="0" w:color="auto"/>
            </w:tcBorders>
            <w:vAlign w:val="center"/>
          </w:tcPr>
          <w:p w14:paraId="3C19D608" w14:textId="77777777" w:rsidR="00450C80" w:rsidRPr="003E718A" w:rsidRDefault="00450C80" w:rsidP="00450C80">
            <w:pPr>
              <w:contextualSpacing/>
              <w:jc w:val="center"/>
              <w:rPr>
                <w:sz w:val="16"/>
                <w:szCs w:val="16"/>
              </w:rPr>
            </w:pPr>
            <w:r>
              <w:rPr>
                <w:sz w:val="16"/>
                <w:szCs w:val="16"/>
              </w:rPr>
              <w:t>23.71 (0.18</w:t>
            </w:r>
            <w:r w:rsidRPr="003E718A">
              <w:rPr>
                <w:sz w:val="16"/>
                <w:szCs w:val="16"/>
              </w:rPr>
              <w:t>)</w:t>
            </w:r>
          </w:p>
        </w:tc>
        <w:tc>
          <w:tcPr>
            <w:tcW w:w="411" w:type="pct"/>
            <w:tcBorders>
              <w:top w:val="single" w:sz="4" w:space="0" w:color="auto"/>
            </w:tcBorders>
            <w:vAlign w:val="center"/>
          </w:tcPr>
          <w:p w14:paraId="4634D768" w14:textId="77777777" w:rsidR="00450C80" w:rsidRPr="003E718A" w:rsidRDefault="00450C80" w:rsidP="00450C80">
            <w:pPr>
              <w:contextualSpacing/>
              <w:jc w:val="center"/>
              <w:rPr>
                <w:sz w:val="16"/>
                <w:szCs w:val="16"/>
              </w:rPr>
            </w:pPr>
            <w:r>
              <w:rPr>
                <w:sz w:val="16"/>
                <w:szCs w:val="16"/>
              </w:rPr>
              <w:t>0.11</w:t>
            </w:r>
            <w:r w:rsidRPr="003E718A">
              <w:rPr>
                <w:sz w:val="16"/>
                <w:szCs w:val="16"/>
              </w:rPr>
              <w:t xml:space="preserve"> (0.</w:t>
            </w:r>
            <w:r>
              <w:rPr>
                <w:sz w:val="16"/>
                <w:szCs w:val="16"/>
              </w:rPr>
              <w:t>27</w:t>
            </w:r>
            <w:r w:rsidRPr="003E718A">
              <w:rPr>
                <w:sz w:val="16"/>
                <w:szCs w:val="16"/>
              </w:rPr>
              <w:t>)</w:t>
            </w:r>
          </w:p>
        </w:tc>
        <w:tc>
          <w:tcPr>
            <w:tcW w:w="509" w:type="pct"/>
            <w:tcBorders>
              <w:top w:val="single" w:sz="4" w:space="0" w:color="auto"/>
            </w:tcBorders>
            <w:vAlign w:val="center"/>
          </w:tcPr>
          <w:p w14:paraId="74389D33" w14:textId="77777777" w:rsidR="00450C80" w:rsidRPr="003E718A" w:rsidRDefault="00450C80" w:rsidP="00450C80">
            <w:pPr>
              <w:contextualSpacing/>
              <w:jc w:val="center"/>
              <w:rPr>
                <w:sz w:val="16"/>
                <w:szCs w:val="16"/>
              </w:rPr>
            </w:pPr>
            <w:r>
              <w:rPr>
                <w:sz w:val="16"/>
                <w:szCs w:val="16"/>
              </w:rPr>
              <w:t>126</w:t>
            </w:r>
            <w:r w:rsidRPr="003E718A">
              <w:rPr>
                <w:sz w:val="16"/>
                <w:szCs w:val="16"/>
              </w:rPr>
              <w:t>.</w:t>
            </w:r>
            <w:r>
              <w:rPr>
                <w:sz w:val="16"/>
                <w:szCs w:val="16"/>
              </w:rPr>
              <w:t>41 (0.15</w:t>
            </w:r>
            <w:r w:rsidRPr="003E718A">
              <w:rPr>
                <w:sz w:val="16"/>
                <w:szCs w:val="16"/>
              </w:rPr>
              <w:t>)</w:t>
            </w:r>
          </w:p>
        </w:tc>
        <w:tc>
          <w:tcPr>
            <w:tcW w:w="507" w:type="pct"/>
            <w:tcBorders>
              <w:top w:val="single" w:sz="4" w:space="0" w:color="auto"/>
            </w:tcBorders>
            <w:vAlign w:val="center"/>
          </w:tcPr>
          <w:p w14:paraId="3AF3A75D" w14:textId="77777777" w:rsidR="00450C80" w:rsidRPr="003E718A" w:rsidRDefault="00450C80" w:rsidP="00450C80">
            <w:pPr>
              <w:contextualSpacing/>
              <w:jc w:val="center"/>
              <w:rPr>
                <w:sz w:val="16"/>
                <w:szCs w:val="16"/>
              </w:rPr>
            </w:pPr>
            <w:r w:rsidRPr="003E718A">
              <w:rPr>
                <w:sz w:val="16"/>
                <w:szCs w:val="16"/>
              </w:rPr>
              <w:t>0.0</w:t>
            </w:r>
            <w:r>
              <w:rPr>
                <w:sz w:val="16"/>
                <w:szCs w:val="16"/>
              </w:rPr>
              <w:t>5</w:t>
            </w:r>
            <w:r w:rsidRPr="003E718A">
              <w:rPr>
                <w:sz w:val="16"/>
                <w:szCs w:val="16"/>
              </w:rPr>
              <w:t xml:space="preserve"> (0.</w:t>
            </w:r>
            <w:r>
              <w:rPr>
                <w:sz w:val="16"/>
                <w:szCs w:val="16"/>
              </w:rPr>
              <w:t>08</w:t>
            </w:r>
            <w:r w:rsidRPr="003E718A">
              <w:rPr>
                <w:sz w:val="16"/>
                <w:szCs w:val="16"/>
              </w:rPr>
              <w:t>)</w:t>
            </w:r>
          </w:p>
        </w:tc>
        <w:tc>
          <w:tcPr>
            <w:tcW w:w="507" w:type="pct"/>
            <w:tcBorders>
              <w:top w:val="single" w:sz="4" w:space="0" w:color="auto"/>
            </w:tcBorders>
            <w:vAlign w:val="center"/>
          </w:tcPr>
          <w:p w14:paraId="30685BC0" w14:textId="77777777" w:rsidR="00450C80" w:rsidRPr="003E718A" w:rsidRDefault="00450C80" w:rsidP="00450C80">
            <w:pPr>
              <w:contextualSpacing/>
              <w:jc w:val="center"/>
              <w:rPr>
                <w:sz w:val="16"/>
                <w:szCs w:val="16"/>
              </w:rPr>
            </w:pPr>
            <w:r>
              <w:rPr>
                <w:sz w:val="16"/>
                <w:szCs w:val="16"/>
              </w:rPr>
              <w:t>132.69 (0.08</w:t>
            </w:r>
            <w:r w:rsidRPr="003E718A">
              <w:rPr>
                <w:sz w:val="16"/>
                <w:szCs w:val="16"/>
              </w:rPr>
              <w:t>)</w:t>
            </w:r>
          </w:p>
        </w:tc>
        <w:tc>
          <w:tcPr>
            <w:tcW w:w="463" w:type="pct"/>
            <w:tcBorders>
              <w:top w:val="single" w:sz="4" w:space="0" w:color="auto"/>
            </w:tcBorders>
            <w:vAlign w:val="center"/>
          </w:tcPr>
          <w:p w14:paraId="2E949ABC" w14:textId="77777777" w:rsidR="00450C80" w:rsidRPr="003E718A" w:rsidRDefault="00450C80" w:rsidP="00450C80">
            <w:pPr>
              <w:contextualSpacing/>
              <w:jc w:val="center"/>
              <w:rPr>
                <w:sz w:val="16"/>
                <w:szCs w:val="16"/>
              </w:rPr>
            </w:pPr>
            <w:r>
              <w:rPr>
                <w:sz w:val="16"/>
                <w:szCs w:val="16"/>
              </w:rPr>
              <w:t>0.07</w:t>
            </w:r>
            <w:r w:rsidRPr="003E718A">
              <w:rPr>
                <w:sz w:val="16"/>
                <w:szCs w:val="16"/>
              </w:rPr>
              <w:t xml:space="preserve"> (0.1</w:t>
            </w:r>
            <w:r>
              <w:rPr>
                <w:sz w:val="16"/>
                <w:szCs w:val="16"/>
              </w:rPr>
              <w:t>9</w:t>
            </w:r>
            <w:r w:rsidRPr="003E718A">
              <w:rPr>
                <w:sz w:val="16"/>
                <w:szCs w:val="16"/>
              </w:rPr>
              <w:t>)</w:t>
            </w:r>
          </w:p>
        </w:tc>
        <w:tc>
          <w:tcPr>
            <w:tcW w:w="463" w:type="pct"/>
            <w:tcBorders>
              <w:top w:val="single" w:sz="4" w:space="0" w:color="auto"/>
            </w:tcBorders>
            <w:vAlign w:val="center"/>
          </w:tcPr>
          <w:p w14:paraId="1600EACD" w14:textId="77777777" w:rsidR="00450C80" w:rsidRPr="003E718A" w:rsidRDefault="00450C80" w:rsidP="00450C80">
            <w:pPr>
              <w:contextualSpacing/>
              <w:jc w:val="center"/>
              <w:rPr>
                <w:sz w:val="16"/>
                <w:szCs w:val="16"/>
              </w:rPr>
            </w:pPr>
            <w:r>
              <w:rPr>
                <w:sz w:val="16"/>
                <w:szCs w:val="16"/>
              </w:rPr>
              <w:t>41</w:t>
            </w:r>
            <w:r w:rsidRPr="003E718A">
              <w:rPr>
                <w:sz w:val="16"/>
                <w:szCs w:val="16"/>
              </w:rPr>
              <w:t>7.</w:t>
            </w:r>
            <w:r>
              <w:rPr>
                <w:sz w:val="16"/>
                <w:szCs w:val="16"/>
              </w:rPr>
              <w:t>39</w:t>
            </w:r>
            <w:r w:rsidRPr="003E718A">
              <w:rPr>
                <w:sz w:val="16"/>
                <w:szCs w:val="16"/>
              </w:rPr>
              <w:t xml:space="preserve"> (0.</w:t>
            </w:r>
            <w:r>
              <w:rPr>
                <w:sz w:val="16"/>
                <w:szCs w:val="16"/>
              </w:rPr>
              <w:t>13</w:t>
            </w:r>
            <w:r w:rsidRPr="003E718A">
              <w:rPr>
                <w:sz w:val="16"/>
                <w:szCs w:val="16"/>
              </w:rPr>
              <w:t>)</w:t>
            </w:r>
          </w:p>
        </w:tc>
        <w:tc>
          <w:tcPr>
            <w:tcW w:w="461" w:type="pct"/>
            <w:tcBorders>
              <w:top w:val="single" w:sz="4" w:space="0" w:color="auto"/>
            </w:tcBorders>
            <w:vAlign w:val="center"/>
          </w:tcPr>
          <w:p w14:paraId="3C3C7F68" w14:textId="77777777" w:rsidR="00450C80" w:rsidRPr="003E718A" w:rsidRDefault="00450C80" w:rsidP="00450C80">
            <w:pPr>
              <w:contextualSpacing/>
              <w:jc w:val="center"/>
              <w:rPr>
                <w:sz w:val="16"/>
                <w:szCs w:val="16"/>
              </w:rPr>
            </w:pPr>
            <w:r>
              <w:rPr>
                <w:sz w:val="16"/>
                <w:szCs w:val="16"/>
              </w:rPr>
              <w:t>0.08 (0.05</w:t>
            </w:r>
            <w:r w:rsidRPr="003E718A">
              <w:rPr>
                <w:sz w:val="16"/>
                <w:szCs w:val="16"/>
              </w:rPr>
              <w:t>)</w:t>
            </w:r>
          </w:p>
        </w:tc>
      </w:tr>
      <w:tr w:rsidR="00CD25A5" w:rsidRPr="003E718A" w14:paraId="6825EF31" w14:textId="77777777" w:rsidTr="009C6556">
        <w:trPr>
          <w:cantSplit/>
          <w:trHeight w:hRule="exact" w:val="282"/>
        </w:trPr>
        <w:tc>
          <w:tcPr>
            <w:tcW w:w="1215" w:type="pct"/>
            <w:vAlign w:val="center"/>
          </w:tcPr>
          <w:p w14:paraId="63D6A831" w14:textId="77777777" w:rsidR="00450C80" w:rsidRPr="003E718A" w:rsidRDefault="00450C80" w:rsidP="00450C80">
            <w:pPr>
              <w:contextualSpacing/>
              <w:rPr>
                <w:b/>
                <w:sz w:val="16"/>
                <w:szCs w:val="16"/>
              </w:rPr>
            </w:pPr>
            <w:r w:rsidRPr="003E718A">
              <w:rPr>
                <w:b/>
                <w:sz w:val="16"/>
                <w:szCs w:val="16"/>
              </w:rPr>
              <w:t>Main effects (hypotheses)</w:t>
            </w:r>
          </w:p>
        </w:tc>
        <w:tc>
          <w:tcPr>
            <w:tcW w:w="463" w:type="pct"/>
            <w:vAlign w:val="center"/>
          </w:tcPr>
          <w:p w14:paraId="3CFF38BE" w14:textId="77777777" w:rsidR="00450C80" w:rsidRPr="003E718A" w:rsidRDefault="00450C80" w:rsidP="00450C80">
            <w:pPr>
              <w:contextualSpacing/>
              <w:jc w:val="center"/>
              <w:rPr>
                <w:sz w:val="16"/>
                <w:szCs w:val="16"/>
              </w:rPr>
            </w:pPr>
          </w:p>
        </w:tc>
        <w:tc>
          <w:tcPr>
            <w:tcW w:w="411" w:type="pct"/>
            <w:vAlign w:val="center"/>
          </w:tcPr>
          <w:p w14:paraId="26309BCE" w14:textId="77777777" w:rsidR="00450C80" w:rsidRPr="003E718A" w:rsidRDefault="00450C80" w:rsidP="00450C80">
            <w:pPr>
              <w:contextualSpacing/>
              <w:jc w:val="center"/>
              <w:rPr>
                <w:sz w:val="16"/>
                <w:szCs w:val="16"/>
              </w:rPr>
            </w:pPr>
          </w:p>
        </w:tc>
        <w:tc>
          <w:tcPr>
            <w:tcW w:w="509" w:type="pct"/>
            <w:vAlign w:val="center"/>
          </w:tcPr>
          <w:p w14:paraId="31D5EBF4" w14:textId="77777777" w:rsidR="00450C80" w:rsidRPr="003E718A" w:rsidRDefault="00450C80" w:rsidP="00450C80">
            <w:pPr>
              <w:contextualSpacing/>
              <w:jc w:val="center"/>
              <w:rPr>
                <w:sz w:val="16"/>
                <w:szCs w:val="16"/>
              </w:rPr>
            </w:pPr>
          </w:p>
        </w:tc>
        <w:tc>
          <w:tcPr>
            <w:tcW w:w="507" w:type="pct"/>
            <w:vAlign w:val="center"/>
          </w:tcPr>
          <w:p w14:paraId="76C9B95E" w14:textId="77777777" w:rsidR="00450C80" w:rsidRPr="003E718A" w:rsidRDefault="00450C80" w:rsidP="00450C80">
            <w:pPr>
              <w:contextualSpacing/>
              <w:jc w:val="center"/>
              <w:rPr>
                <w:sz w:val="16"/>
                <w:szCs w:val="16"/>
              </w:rPr>
            </w:pPr>
          </w:p>
        </w:tc>
        <w:tc>
          <w:tcPr>
            <w:tcW w:w="507" w:type="pct"/>
            <w:vAlign w:val="center"/>
          </w:tcPr>
          <w:p w14:paraId="33D94129" w14:textId="77777777" w:rsidR="00450C80" w:rsidRPr="003E718A" w:rsidRDefault="00450C80" w:rsidP="00450C80">
            <w:pPr>
              <w:contextualSpacing/>
              <w:jc w:val="center"/>
              <w:rPr>
                <w:sz w:val="16"/>
                <w:szCs w:val="16"/>
              </w:rPr>
            </w:pPr>
          </w:p>
        </w:tc>
        <w:tc>
          <w:tcPr>
            <w:tcW w:w="463" w:type="pct"/>
            <w:vAlign w:val="center"/>
          </w:tcPr>
          <w:p w14:paraId="30A59F08" w14:textId="77777777" w:rsidR="00450C80" w:rsidRPr="003E718A" w:rsidRDefault="00450C80" w:rsidP="00450C80">
            <w:pPr>
              <w:contextualSpacing/>
              <w:jc w:val="center"/>
              <w:rPr>
                <w:sz w:val="16"/>
                <w:szCs w:val="16"/>
              </w:rPr>
            </w:pPr>
          </w:p>
        </w:tc>
        <w:tc>
          <w:tcPr>
            <w:tcW w:w="463" w:type="pct"/>
            <w:vAlign w:val="center"/>
          </w:tcPr>
          <w:p w14:paraId="5CD2C747" w14:textId="77777777" w:rsidR="00450C80" w:rsidRPr="003E718A" w:rsidRDefault="00450C80" w:rsidP="00450C80">
            <w:pPr>
              <w:contextualSpacing/>
              <w:jc w:val="center"/>
              <w:rPr>
                <w:sz w:val="16"/>
                <w:szCs w:val="16"/>
              </w:rPr>
            </w:pPr>
          </w:p>
        </w:tc>
        <w:tc>
          <w:tcPr>
            <w:tcW w:w="461" w:type="pct"/>
            <w:vAlign w:val="center"/>
          </w:tcPr>
          <w:p w14:paraId="1D33D2AD" w14:textId="77777777" w:rsidR="00450C80" w:rsidRPr="003E718A" w:rsidRDefault="00450C80" w:rsidP="00450C80">
            <w:pPr>
              <w:contextualSpacing/>
              <w:jc w:val="center"/>
              <w:rPr>
                <w:sz w:val="16"/>
                <w:szCs w:val="16"/>
              </w:rPr>
            </w:pPr>
          </w:p>
        </w:tc>
      </w:tr>
      <w:tr w:rsidR="00CD25A5" w:rsidRPr="003E718A" w14:paraId="7BEEC947" w14:textId="77777777" w:rsidTr="009C6556">
        <w:trPr>
          <w:cantSplit/>
          <w:trHeight w:hRule="exact" w:val="282"/>
        </w:trPr>
        <w:tc>
          <w:tcPr>
            <w:tcW w:w="1215" w:type="pct"/>
            <w:vAlign w:val="center"/>
          </w:tcPr>
          <w:p w14:paraId="12561B6C" w14:textId="77777777" w:rsidR="00450C80" w:rsidRPr="003E718A" w:rsidRDefault="00450C80" w:rsidP="00450C80">
            <w:pPr>
              <w:contextualSpacing/>
              <w:rPr>
                <w:sz w:val="16"/>
                <w:szCs w:val="16"/>
              </w:rPr>
            </w:pPr>
            <w:r w:rsidRPr="003E718A">
              <w:rPr>
                <w:sz w:val="16"/>
                <w:szCs w:val="16"/>
              </w:rPr>
              <w:t>Strategic variation associated with M&amp;A deal</w:t>
            </w:r>
          </w:p>
        </w:tc>
        <w:tc>
          <w:tcPr>
            <w:tcW w:w="463" w:type="pct"/>
            <w:vAlign w:val="center"/>
          </w:tcPr>
          <w:p w14:paraId="0C66B1F0" w14:textId="77777777" w:rsidR="00450C80" w:rsidRPr="003E718A" w:rsidRDefault="00450C80" w:rsidP="00450C80">
            <w:pPr>
              <w:contextualSpacing/>
              <w:jc w:val="center"/>
              <w:rPr>
                <w:sz w:val="16"/>
                <w:szCs w:val="16"/>
              </w:rPr>
            </w:pPr>
            <w:r>
              <w:rPr>
                <w:sz w:val="16"/>
                <w:szCs w:val="16"/>
              </w:rPr>
              <w:t>0.09</w:t>
            </w:r>
            <w:r w:rsidRPr="003E718A">
              <w:rPr>
                <w:sz w:val="16"/>
                <w:szCs w:val="16"/>
              </w:rPr>
              <w:t xml:space="preserve"> (0.00) </w:t>
            </w:r>
          </w:p>
        </w:tc>
        <w:tc>
          <w:tcPr>
            <w:tcW w:w="411" w:type="pct"/>
            <w:vAlign w:val="center"/>
          </w:tcPr>
          <w:p w14:paraId="5AC50466" w14:textId="77777777" w:rsidR="00450C80" w:rsidRPr="003E718A" w:rsidRDefault="00450C80" w:rsidP="00450C80">
            <w:pPr>
              <w:contextualSpacing/>
              <w:jc w:val="center"/>
              <w:rPr>
                <w:rFonts w:asciiTheme="majorHAnsi" w:hAnsiTheme="majorHAnsi" w:cstheme="majorBidi"/>
                <w:i/>
                <w:iCs/>
                <w:color w:val="404040" w:themeColor="text1" w:themeTint="BF"/>
                <w:sz w:val="16"/>
                <w:szCs w:val="16"/>
                <w:lang w:val="en-US" w:eastAsia="en-US"/>
              </w:rPr>
            </w:pPr>
            <w:r>
              <w:rPr>
                <w:sz w:val="16"/>
                <w:szCs w:val="16"/>
              </w:rPr>
              <w:t>0.03</w:t>
            </w:r>
            <w:r w:rsidRPr="003E718A">
              <w:rPr>
                <w:sz w:val="16"/>
                <w:szCs w:val="16"/>
              </w:rPr>
              <w:t>* (0.00)</w:t>
            </w:r>
          </w:p>
        </w:tc>
        <w:tc>
          <w:tcPr>
            <w:tcW w:w="509" w:type="pct"/>
            <w:vAlign w:val="center"/>
          </w:tcPr>
          <w:p w14:paraId="5346B072" w14:textId="77777777" w:rsidR="00450C80" w:rsidRPr="003E718A" w:rsidRDefault="00450C80" w:rsidP="00450C80">
            <w:pPr>
              <w:contextualSpacing/>
              <w:jc w:val="center"/>
              <w:rPr>
                <w:sz w:val="16"/>
                <w:szCs w:val="16"/>
              </w:rPr>
            </w:pPr>
          </w:p>
        </w:tc>
        <w:tc>
          <w:tcPr>
            <w:tcW w:w="507" w:type="pct"/>
            <w:vAlign w:val="center"/>
          </w:tcPr>
          <w:p w14:paraId="59EBD4C3" w14:textId="77777777" w:rsidR="00450C80" w:rsidRPr="003E718A" w:rsidRDefault="00450C80" w:rsidP="00450C80">
            <w:pPr>
              <w:contextualSpacing/>
              <w:jc w:val="center"/>
              <w:rPr>
                <w:sz w:val="16"/>
                <w:szCs w:val="16"/>
              </w:rPr>
            </w:pPr>
          </w:p>
        </w:tc>
        <w:tc>
          <w:tcPr>
            <w:tcW w:w="507" w:type="pct"/>
            <w:vAlign w:val="center"/>
          </w:tcPr>
          <w:p w14:paraId="474E2464" w14:textId="77777777" w:rsidR="00450C80" w:rsidRPr="003E718A" w:rsidRDefault="00450C80" w:rsidP="00450C80">
            <w:pPr>
              <w:contextualSpacing/>
              <w:jc w:val="center"/>
              <w:rPr>
                <w:sz w:val="16"/>
                <w:szCs w:val="16"/>
              </w:rPr>
            </w:pPr>
            <w:r w:rsidRPr="003E718A">
              <w:rPr>
                <w:sz w:val="16"/>
                <w:szCs w:val="16"/>
              </w:rPr>
              <w:t>0.03 (0.00)</w:t>
            </w:r>
          </w:p>
        </w:tc>
        <w:tc>
          <w:tcPr>
            <w:tcW w:w="463" w:type="pct"/>
            <w:vAlign w:val="center"/>
          </w:tcPr>
          <w:p w14:paraId="1BD6EB38" w14:textId="77777777" w:rsidR="00450C80" w:rsidRPr="003E718A" w:rsidRDefault="00450C80" w:rsidP="00450C80">
            <w:pPr>
              <w:contextualSpacing/>
              <w:jc w:val="center"/>
              <w:rPr>
                <w:sz w:val="16"/>
                <w:szCs w:val="16"/>
              </w:rPr>
            </w:pPr>
            <w:r w:rsidRPr="003E718A">
              <w:rPr>
                <w:sz w:val="16"/>
                <w:szCs w:val="16"/>
              </w:rPr>
              <w:t>0.01† (0.00)</w:t>
            </w:r>
          </w:p>
        </w:tc>
        <w:tc>
          <w:tcPr>
            <w:tcW w:w="463" w:type="pct"/>
            <w:vAlign w:val="center"/>
          </w:tcPr>
          <w:p w14:paraId="1F0A837C" w14:textId="77777777" w:rsidR="00450C80" w:rsidRPr="003E718A" w:rsidRDefault="00450C80" w:rsidP="00450C80">
            <w:pPr>
              <w:contextualSpacing/>
              <w:jc w:val="center"/>
              <w:rPr>
                <w:rFonts w:asciiTheme="minorHAnsi" w:hAnsiTheme="minorHAnsi" w:cstheme="minorBidi"/>
                <w:sz w:val="16"/>
                <w:szCs w:val="16"/>
                <w:lang w:val="en-US" w:eastAsia="en-US"/>
              </w:rPr>
            </w:pPr>
            <w:r w:rsidRPr="003E718A">
              <w:rPr>
                <w:sz w:val="16"/>
                <w:szCs w:val="16"/>
              </w:rPr>
              <w:t>0.05 (0.00)</w:t>
            </w:r>
          </w:p>
        </w:tc>
        <w:tc>
          <w:tcPr>
            <w:tcW w:w="461" w:type="pct"/>
            <w:vAlign w:val="center"/>
          </w:tcPr>
          <w:p w14:paraId="7162F21A" w14:textId="77777777" w:rsidR="00450C80" w:rsidRPr="003E718A" w:rsidRDefault="00450C80" w:rsidP="00450C80">
            <w:pPr>
              <w:contextualSpacing/>
              <w:jc w:val="center"/>
              <w:rPr>
                <w:sz w:val="16"/>
                <w:szCs w:val="16"/>
              </w:rPr>
            </w:pPr>
            <w:r w:rsidRPr="003E718A">
              <w:rPr>
                <w:sz w:val="16"/>
                <w:szCs w:val="16"/>
              </w:rPr>
              <w:t>0.02† (0.00)</w:t>
            </w:r>
          </w:p>
        </w:tc>
      </w:tr>
      <w:tr w:rsidR="00CD25A5" w:rsidRPr="003E718A" w14:paraId="3825F669" w14:textId="77777777" w:rsidTr="009C6556">
        <w:trPr>
          <w:cantSplit/>
          <w:trHeight w:hRule="exact" w:val="282"/>
        </w:trPr>
        <w:tc>
          <w:tcPr>
            <w:tcW w:w="1215" w:type="pct"/>
            <w:vAlign w:val="center"/>
          </w:tcPr>
          <w:p w14:paraId="12AC901F" w14:textId="77777777" w:rsidR="00450C80" w:rsidRPr="003E718A" w:rsidRDefault="00450C80" w:rsidP="00450C80">
            <w:pPr>
              <w:contextualSpacing/>
              <w:rPr>
                <w:sz w:val="16"/>
                <w:szCs w:val="16"/>
              </w:rPr>
            </w:pPr>
            <w:r w:rsidRPr="003E718A">
              <w:rPr>
                <w:sz w:val="16"/>
                <w:szCs w:val="16"/>
              </w:rPr>
              <w:t>Strategic deviation associated with M&amp;A deal</w:t>
            </w:r>
          </w:p>
        </w:tc>
        <w:tc>
          <w:tcPr>
            <w:tcW w:w="463" w:type="pct"/>
            <w:vAlign w:val="center"/>
          </w:tcPr>
          <w:p w14:paraId="0121BB53" w14:textId="77777777" w:rsidR="00450C80" w:rsidRPr="003E718A" w:rsidRDefault="00450C80" w:rsidP="00450C80">
            <w:pPr>
              <w:contextualSpacing/>
              <w:jc w:val="center"/>
              <w:rPr>
                <w:sz w:val="16"/>
                <w:szCs w:val="16"/>
              </w:rPr>
            </w:pPr>
          </w:p>
        </w:tc>
        <w:tc>
          <w:tcPr>
            <w:tcW w:w="411" w:type="pct"/>
            <w:vAlign w:val="center"/>
          </w:tcPr>
          <w:p w14:paraId="061C0C43" w14:textId="77777777" w:rsidR="00450C80" w:rsidRPr="003E718A" w:rsidRDefault="00450C80" w:rsidP="00450C80">
            <w:pPr>
              <w:contextualSpacing/>
              <w:jc w:val="center"/>
              <w:rPr>
                <w:sz w:val="16"/>
                <w:szCs w:val="16"/>
              </w:rPr>
            </w:pPr>
          </w:p>
        </w:tc>
        <w:tc>
          <w:tcPr>
            <w:tcW w:w="509" w:type="pct"/>
            <w:vAlign w:val="center"/>
          </w:tcPr>
          <w:p w14:paraId="7D0F2727" w14:textId="77777777" w:rsidR="00450C80" w:rsidRPr="003E718A" w:rsidRDefault="00450C80" w:rsidP="00450C80">
            <w:pPr>
              <w:contextualSpacing/>
              <w:jc w:val="center"/>
              <w:rPr>
                <w:sz w:val="16"/>
                <w:szCs w:val="16"/>
              </w:rPr>
            </w:pPr>
            <w:r w:rsidRPr="003E718A">
              <w:rPr>
                <w:sz w:val="16"/>
                <w:szCs w:val="16"/>
              </w:rPr>
              <w:t>1.</w:t>
            </w:r>
            <w:r>
              <w:rPr>
                <w:sz w:val="16"/>
                <w:szCs w:val="16"/>
              </w:rPr>
              <w:t>98</w:t>
            </w:r>
            <w:r w:rsidRPr="003E718A">
              <w:rPr>
                <w:sz w:val="16"/>
                <w:szCs w:val="16"/>
              </w:rPr>
              <w:t>*** (0.00)</w:t>
            </w:r>
          </w:p>
        </w:tc>
        <w:tc>
          <w:tcPr>
            <w:tcW w:w="507" w:type="pct"/>
            <w:vAlign w:val="center"/>
          </w:tcPr>
          <w:p w14:paraId="495DED13" w14:textId="77777777" w:rsidR="00450C80" w:rsidRPr="003E718A" w:rsidRDefault="00450C80" w:rsidP="00450C80">
            <w:pPr>
              <w:contextualSpacing/>
              <w:jc w:val="center"/>
              <w:rPr>
                <w:sz w:val="16"/>
                <w:szCs w:val="16"/>
              </w:rPr>
            </w:pPr>
            <w:r w:rsidRPr="003E718A">
              <w:rPr>
                <w:sz w:val="16"/>
                <w:szCs w:val="16"/>
              </w:rPr>
              <w:t>0.0</w:t>
            </w:r>
            <w:r>
              <w:rPr>
                <w:sz w:val="16"/>
                <w:szCs w:val="16"/>
              </w:rPr>
              <w:t>5</w:t>
            </w:r>
            <w:r w:rsidRPr="003E718A">
              <w:rPr>
                <w:sz w:val="16"/>
                <w:szCs w:val="16"/>
              </w:rPr>
              <w:t>** (0.00)</w:t>
            </w:r>
          </w:p>
        </w:tc>
        <w:tc>
          <w:tcPr>
            <w:tcW w:w="507" w:type="pct"/>
            <w:vAlign w:val="center"/>
          </w:tcPr>
          <w:p w14:paraId="335CCDB1" w14:textId="77777777" w:rsidR="00450C80" w:rsidRPr="003E718A" w:rsidRDefault="00450C80" w:rsidP="00450C80">
            <w:pPr>
              <w:contextualSpacing/>
              <w:jc w:val="center"/>
              <w:rPr>
                <w:sz w:val="16"/>
                <w:szCs w:val="16"/>
              </w:rPr>
            </w:pPr>
            <w:r w:rsidRPr="003E718A">
              <w:rPr>
                <w:sz w:val="16"/>
                <w:szCs w:val="16"/>
              </w:rPr>
              <w:t>1.</w:t>
            </w:r>
            <w:r>
              <w:rPr>
                <w:sz w:val="16"/>
                <w:szCs w:val="16"/>
              </w:rPr>
              <w:t>37</w:t>
            </w:r>
            <w:r w:rsidRPr="003E718A">
              <w:rPr>
                <w:sz w:val="16"/>
                <w:szCs w:val="16"/>
              </w:rPr>
              <w:t>*** (0.00)</w:t>
            </w:r>
          </w:p>
        </w:tc>
        <w:tc>
          <w:tcPr>
            <w:tcW w:w="463" w:type="pct"/>
            <w:vAlign w:val="center"/>
          </w:tcPr>
          <w:p w14:paraId="0A4BC656" w14:textId="77777777" w:rsidR="00450C80" w:rsidRPr="003E718A" w:rsidRDefault="00450C80" w:rsidP="00450C80">
            <w:pPr>
              <w:contextualSpacing/>
              <w:jc w:val="center"/>
              <w:rPr>
                <w:sz w:val="16"/>
                <w:szCs w:val="16"/>
              </w:rPr>
            </w:pPr>
            <w:r w:rsidRPr="003E718A">
              <w:rPr>
                <w:sz w:val="16"/>
                <w:szCs w:val="16"/>
              </w:rPr>
              <w:t>0.</w:t>
            </w:r>
            <w:r>
              <w:rPr>
                <w:sz w:val="16"/>
                <w:szCs w:val="16"/>
              </w:rPr>
              <w:t>03</w:t>
            </w:r>
            <w:r w:rsidRPr="003E718A">
              <w:rPr>
                <w:sz w:val="16"/>
                <w:szCs w:val="16"/>
              </w:rPr>
              <w:t>* (0.00)</w:t>
            </w:r>
          </w:p>
        </w:tc>
        <w:tc>
          <w:tcPr>
            <w:tcW w:w="463" w:type="pct"/>
            <w:vAlign w:val="center"/>
          </w:tcPr>
          <w:p w14:paraId="18048C37" w14:textId="77777777" w:rsidR="00450C80" w:rsidRPr="003E718A" w:rsidRDefault="00450C80" w:rsidP="00450C80">
            <w:pPr>
              <w:contextualSpacing/>
              <w:jc w:val="center"/>
              <w:rPr>
                <w:sz w:val="16"/>
                <w:szCs w:val="16"/>
              </w:rPr>
            </w:pPr>
            <w:r>
              <w:rPr>
                <w:sz w:val="16"/>
                <w:szCs w:val="16"/>
              </w:rPr>
              <w:t>1.41</w:t>
            </w:r>
            <w:r w:rsidRPr="003E718A">
              <w:rPr>
                <w:sz w:val="16"/>
                <w:szCs w:val="16"/>
              </w:rPr>
              <w:t>*** (0.00)</w:t>
            </w:r>
          </w:p>
        </w:tc>
        <w:tc>
          <w:tcPr>
            <w:tcW w:w="461" w:type="pct"/>
            <w:vAlign w:val="center"/>
          </w:tcPr>
          <w:p w14:paraId="0183CB96" w14:textId="77777777" w:rsidR="00450C80" w:rsidRPr="003E718A" w:rsidRDefault="00450C80" w:rsidP="00450C80">
            <w:pPr>
              <w:contextualSpacing/>
              <w:jc w:val="center"/>
              <w:rPr>
                <w:sz w:val="16"/>
                <w:szCs w:val="16"/>
              </w:rPr>
            </w:pPr>
            <w:r>
              <w:rPr>
                <w:sz w:val="16"/>
                <w:szCs w:val="16"/>
              </w:rPr>
              <w:t>0.04</w:t>
            </w:r>
            <w:r w:rsidRPr="003E718A">
              <w:rPr>
                <w:sz w:val="16"/>
                <w:szCs w:val="16"/>
              </w:rPr>
              <w:t>* (0.00)</w:t>
            </w:r>
          </w:p>
        </w:tc>
      </w:tr>
      <w:tr w:rsidR="00CD25A5" w:rsidRPr="003E718A" w14:paraId="3A2C0A66" w14:textId="77777777" w:rsidTr="009C6556">
        <w:trPr>
          <w:cantSplit/>
          <w:trHeight w:hRule="exact" w:val="282"/>
        </w:trPr>
        <w:tc>
          <w:tcPr>
            <w:tcW w:w="1215" w:type="pct"/>
            <w:vAlign w:val="center"/>
          </w:tcPr>
          <w:p w14:paraId="236AE779" w14:textId="77777777" w:rsidR="00450C80" w:rsidRPr="003E718A" w:rsidRDefault="00450C80" w:rsidP="00450C80">
            <w:pPr>
              <w:contextualSpacing/>
              <w:rPr>
                <w:b/>
                <w:sz w:val="16"/>
                <w:szCs w:val="16"/>
              </w:rPr>
            </w:pPr>
            <w:r w:rsidRPr="003E718A">
              <w:rPr>
                <w:b/>
                <w:sz w:val="16"/>
                <w:szCs w:val="16"/>
              </w:rPr>
              <w:t>Control variables</w:t>
            </w:r>
          </w:p>
        </w:tc>
        <w:tc>
          <w:tcPr>
            <w:tcW w:w="463" w:type="pct"/>
            <w:vAlign w:val="center"/>
          </w:tcPr>
          <w:p w14:paraId="573EDD47" w14:textId="77777777" w:rsidR="00450C80" w:rsidRPr="003E718A" w:rsidRDefault="00450C80" w:rsidP="00450C80">
            <w:pPr>
              <w:contextualSpacing/>
              <w:jc w:val="center"/>
              <w:rPr>
                <w:sz w:val="16"/>
                <w:szCs w:val="16"/>
              </w:rPr>
            </w:pPr>
          </w:p>
        </w:tc>
        <w:tc>
          <w:tcPr>
            <w:tcW w:w="411" w:type="pct"/>
            <w:vAlign w:val="center"/>
          </w:tcPr>
          <w:p w14:paraId="21BBE235" w14:textId="77777777" w:rsidR="00450C80" w:rsidRPr="003E718A" w:rsidRDefault="00450C80" w:rsidP="00450C80">
            <w:pPr>
              <w:contextualSpacing/>
              <w:jc w:val="center"/>
              <w:rPr>
                <w:sz w:val="16"/>
                <w:szCs w:val="16"/>
              </w:rPr>
            </w:pPr>
          </w:p>
        </w:tc>
        <w:tc>
          <w:tcPr>
            <w:tcW w:w="509" w:type="pct"/>
            <w:vAlign w:val="center"/>
          </w:tcPr>
          <w:p w14:paraId="3FE1D6EF" w14:textId="77777777" w:rsidR="00450C80" w:rsidRPr="003E718A" w:rsidRDefault="00450C80" w:rsidP="00450C80">
            <w:pPr>
              <w:contextualSpacing/>
              <w:jc w:val="center"/>
              <w:rPr>
                <w:sz w:val="16"/>
                <w:szCs w:val="16"/>
              </w:rPr>
            </w:pPr>
          </w:p>
        </w:tc>
        <w:tc>
          <w:tcPr>
            <w:tcW w:w="507" w:type="pct"/>
            <w:vAlign w:val="center"/>
          </w:tcPr>
          <w:p w14:paraId="55FF53D5" w14:textId="77777777" w:rsidR="00450C80" w:rsidRPr="003E718A" w:rsidRDefault="00450C80" w:rsidP="00450C80">
            <w:pPr>
              <w:contextualSpacing/>
              <w:jc w:val="center"/>
              <w:rPr>
                <w:sz w:val="16"/>
                <w:szCs w:val="16"/>
              </w:rPr>
            </w:pPr>
          </w:p>
        </w:tc>
        <w:tc>
          <w:tcPr>
            <w:tcW w:w="507" w:type="pct"/>
            <w:vAlign w:val="center"/>
          </w:tcPr>
          <w:p w14:paraId="3F3FF762" w14:textId="77777777" w:rsidR="00450C80" w:rsidRPr="003E718A" w:rsidRDefault="00450C80" w:rsidP="00450C80">
            <w:pPr>
              <w:contextualSpacing/>
              <w:jc w:val="center"/>
              <w:rPr>
                <w:sz w:val="16"/>
                <w:szCs w:val="16"/>
              </w:rPr>
            </w:pPr>
          </w:p>
        </w:tc>
        <w:tc>
          <w:tcPr>
            <w:tcW w:w="463" w:type="pct"/>
            <w:vAlign w:val="center"/>
          </w:tcPr>
          <w:p w14:paraId="14023EC0" w14:textId="77777777" w:rsidR="00450C80" w:rsidRPr="003E718A" w:rsidRDefault="00450C80" w:rsidP="00450C80">
            <w:pPr>
              <w:contextualSpacing/>
              <w:jc w:val="center"/>
              <w:rPr>
                <w:sz w:val="16"/>
                <w:szCs w:val="16"/>
              </w:rPr>
            </w:pPr>
          </w:p>
        </w:tc>
        <w:tc>
          <w:tcPr>
            <w:tcW w:w="463" w:type="pct"/>
            <w:vAlign w:val="center"/>
          </w:tcPr>
          <w:p w14:paraId="352DFE8D" w14:textId="77777777" w:rsidR="00450C80" w:rsidRPr="003E718A" w:rsidRDefault="00450C80" w:rsidP="00450C80">
            <w:pPr>
              <w:contextualSpacing/>
              <w:jc w:val="center"/>
              <w:rPr>
                <w:sz w:val="16"/>
                <w:szCs w:val="16"/>
              </w:rPr>
            </w:pPr>
          </w:p>
        </w:tc>
        <w:tc>
          <w:tcPr>
            <w:tcW w:w="461" w:type="pct"/>
            <w:vAlign w:val="center"/>
          </w:tcPr>
          <w:p w14:paraId="408B46E8" w14:textId="77777777" w:rsidR="00450C80" w:rsidRPr="003E718A" w:rsidRDefault="00450C80" w:rsidP="00450C80">
            <w:pPr>
              <w:contextualSpacing/>
              <w:jc w:val="center"/>
              <w:rPr>
                <w:sz w:val="16"/>
                <w:szCs w:val="16"/>
              </w:rPr>
            </w:pPr>
          </w:p>
        </w:tc>
      </w:tr>
      <w:tr w:rsidR="00CD25A5" w:rsidRPr="003E718A" w14:paraId="5E00B17C" w14:textId="77777777" w:rsidTr="009C6556">
        <w:trPr>
          <w:cantSplit/>
          <w:trHeight w:hRule="exact" w:val="282"/>
        </w:trPr>
        <w:tc>
          <w:tcPr>
            <w:tcW w:w="1215" w:type="pct"/>
            <w:vAlign w:val="center"/>
          </w:tcPr>
          <w:p w14:paraId="4697B5E8" w14:textId="77777777" w:rsidR="00450C80" w:rsidRPr="003E718A" w:rsidRDefault="00450C80" w:rsidP="00450C80">
            <w:pPr>
              <w:contextualSpacing/>
              <w:rPr>
                <w:sz w:val="16"/>
                <w:szCs w:val="16"/>
              </w:rPr>
            </w:pPr>
            <w:r w:rsidRPr="003E718A">
              <w:rPr>
                <w:sz w:val="16"/>
                <w:szCs w:val="16"/>
              </w:rPr>
              <w:t xml:space="preserve">Legal advisors in the magic circle </w:t>
            </w:r>
          </w:p>
        </w:tc>
        <w:tc>
          <w:tcPr>
            <w:tcW w:w="463" w:type="pct"/>
            <w:vAlign w:val="center"/>
          </w:tcPr>
          <w:p w14:paraId="452A70BA" w14:textId="77777777" w:rsidR="00450C80" w:rsidRPr="003E718A" w:rsidRDefault="00450C80" w:rsidP="00450C80">
            <w:pPr>
              <w:contextualSpacing/>
              <w:jc w:val="center"/>
              <w:rPr>
                <w:sz w:val="16"/>
                <w:szCs w:val="16"/>
              </w:rPr>
            </w:pPr>
            <w:r w:rsidRPr="003E718A">
              <w:rPr>
                <w:sz w:val="16"/>
                <w:szCs w:val="16"/>
              </w:rPr>
              <w:t>0.</w:t>
            </w:r>
            <w:r>
              <w:rPr>
                <w:sz w:val="16"/>
                <w:szCs w:val="16"/>
              </w:rPr>
              <w:t>09</w:t>
            </w:r>
            <w:r w:rsidRPr="003E718A">
              <w:rPr>
                <w:sz w:val="16"/>
                <w:szCs w:val="16"/>
              </w:rPr>
              <w:t xml:space="preserve"> (0.00)</w:t>
            </w:r>
          </w:p>
        </w:tc>
        <w:tc>
          <w:tcPr>
            <w:tcW w:w="411" w:type="pct"/>
            <w:vAlign w:val="center"/>
          </w:tcPr>
          <w:p w14:paraId="08337B8C" w14:textId="77777777" w:rsidR="00450C80" w:rsidRPr="003E718A" w:rsidRDefault="00450C80" w:rsidP="00450C80">
            <w:pPr>
              <w:contextualSpacing/>
              <w:jc w:val="center"/>
              <w:rPr>
                <w:sz w:val="16"/>
                <w:szCs w:val="16"/>
              </w:rPr>
            </w:pPr>
            <w:r w:rsidRPr="003E718A">
              <w:rPr>
                <w:sz w:val="16"/>
                <w:szCs w:val="16"/>
              </w:rPr>
              <w:t>0.00 (0.0</w:t>
            </w:r>
            <w:r>
              <w:rPr>
                <w:sz w:val="16"/>
                <w:szCs w:val="16"/>
              </w:rPr>
              <w:t>4</w:t>
            </w:r>
            <w:r w:rsidRPr="003E718A">
              <w:rPr>
                <w:sz w:val="16"/>
                <w:szCs w:val="16"/>
              </w:rPr>
              <w:t>)</w:t>
            </w:r>
          </w:p>
        </w:tc>
        <w:tc>
          <w:tcPr>
            <w:tcW w:w="509" w:type="pct"/>
            <w:vAlign w:val="center"/>
          </w:tcPr>
          <w:p w14:paraId="3A175385" w14:textId="77777777" w:rsidR="00450C80" w:rsidRPr="003E718A" w:rsidRDefault="00450C80" w:rsidP="00450C80">
            <w:pPr>
              <w:contextualSpacing/>
              <w:jc w:val="center"/>
              <w:rPr>
                <w:sz w:val="16"/>
                <w:szCs w:val="16"/>
              </w:rPr>
            </w:pPr>
            <w:r w:rsidRPr="003E718A">
              <w:rPr>
                <w:sz w:val="16"/>
                <w:szCs w:val="16"/>
              </w:rPr>
              <w:t>0.0</w:t>
            </w:r>
            <w:r>
              <w:rPr>
                <w:sz w:val="16"/>
                <w:szCs w:val="16"/>
              </w:rPr>
              <w:t>6</w:t>
            </w:r>
            <w:r w:rsidRPr="003E718A">
              <w:rPr>
                <w:sz w:val="16"/>
                <w:szCs w:val="16"/>
              </w:rPr>
              <w:t xml:space="preserve"> (0.00)</w:t>
            </w:r>
          </w:p>
        </w:tc>
        <w:tc>
          <w:tcPr>
            <w:tcW w:w="507" w:type="pct"/>
            <w:vAlign w:val="center"/>
          </w:tcPr>
          <w:p w14:paraId="2BEBEEDB" w14:textId="77777777" w:rsidR="00450C80" w:rsidRPr="003E718A" w:rsidRDefault="00450C80" w:rsidP="00450C80">
            <w:pPr>
              <w:contextualSpacing/>
              <w:jc w:val="center"/>
              <w:rPr>
                <w:sz w:val="16"/>
                <w:szCs w:val="16"/>
              </w:rPr>
            </w:pPr>
            <w:r w:rsidRPr="003E718A">
              <w:rPr>
                <w:sz w:val="16"/>
                <w:szCs w:val="16"/>
              </w:rPr>
              <w:t>0.00 (0.0</w:t>
            </w:r>
            <w:r>
              <w:rPr>
                <w:sz w:val="16"/>
                <w:szCs w:val="16"/>
              </w:rPr>
              <w:t>8</w:t>
            </w:r>
            <w:r w:rsidRPr="003E718A">
              <w:rPr>
                <w:sz w:val="16"/>
                <w:szCs w:val="16"/>
              </w:rPr>
              <w:t>)</w:t>
            </w:r>
          </w:p>
        </w:tc>
        <w:tc>
          <w:tcPr>
            <w:tcW w:w="507" w:type="pct"/>
            <w:vAlign w:val="center"/>
          </w:tcPr>
          <w:p w14:paraId="153723B9" w14:textId="77777777" w:rsidR="00450C80" w:rsidRPr="003E718A" w:rsidRDefault="00450C80" w:rsidP="00450C80">
            <w:pPr>
              <w:contextualSpacing/>
              <w:jc w:val="center"/>
              <w:rPr>
                <w:sz w:val="16"/>
                <w:szCs w:val="16"/>
              </w:rPr>
            </w:pPr>
            <w:r w:rsidRPr="003E718A">
              <w:rPr>
                <w:sz w:val="16"/>
                <w:szCs w:val="16"/>
              </w:rPr>
              <w:t>0.1</w:t>
            </w:r>
            <w:r>
              <w:rPr>
                <w:sz w:val="16"/>
                <w:szCs w:val="16"/>
              </w:rPr>
              <w:t>4</w:t>
            </w:r>
            <w:r w:rsidRPr="003E718A">
              <w:rPr>
                <w:sz w:val="16"/>
                <w:szCs w:val="16"/>
              </w:rPr>
              <w:t xml:space="preserve"> (0.00)</w:t>
            </w:r>
          </w:p>
        </w:tc>
        <w:tc>
          <w:tcPr>
            <w:tcW w:w="463" w:type="pct"/>
            <w:vAlign w:val="center"/>
          </w:tcPr>
          <w:p w14:paraId="7F6233B7" w14:textId="77777777" w:rsidR="00450C80" w:rsidRPr="003E718A" w:rsidRDefault="00450C80" w:rsidP="00450C80">
            <w:pPr>
              <w:contextualSpacing/>
              <w:jc w:val="center"/>
              <w:rPr>
                <w:sz w:val="16"/>
                <w:szCs w:val="16"/>
              </w:rPr>
            </w:pPr>
            <w:r w:rsidRPr="003E718A">
              <w:rPr>
                <w:sz w:val="16"/>
                <w:szCs w:val="16"/>
              </w:rPr>
              <w:t>0.00 (0.0</w:t>
            </w:r>
            <w:r>
              <w:rPr>
                <w:sz w:val="16"/>
                <w:szCs w:val="16"/>
              </w:rPr>
              <w:t>3</w:t>
            </w:r>
            <w:r w:rsidRPr="003E718A">
              <w:rPr>
                <w:sz w:val="16"/>
                <w:szCs w:val="16"/>
              </w:rPr>
              <w:t>)</w:t>
            </w:r>
          </w:p>
        </w:tc>
        <w:tc>
          <w:tcPr>
            <w:tcW w:w="463" w:type="pct"/>
            <w:vAlign w:val="center"/>
          </w:tcPr>
          <w:p w14:paraId="7566E691" w14:textId="77777777" w:rsidR="00450C80" w:rsidRPr="003E718A" w:rsidRDefault="00450C80" w:rsidP="00450C80">
            <w:pPr>
              <w:contextualSpacing/>
              <w:jc w:val="center"/>
              <w:rPr>
                <w:sz w:val="16"/>
                <w:szCs w:val="16"/>
              </w:rPr>
            </w:pPr>
          </w:p>
        </w:tc>
        <w:tc>
          <w:tcPr>
            <w:tcW w:w="461" w:type="pct"/>
            <w:vAlign w:val="center"/>
          </w:tcPr>
          <w:p w14:paraId="07A848E2" w14:textId="77777777" w:rsidR="00450C80" w:rsidRPr="003E718A" w:rsidRDefault="00450C80" w:rsidP="00450C80">
            <w:pPr>
              <w:contextualSpacing/>
              <w:jc w:val="center"/>
              <w:rPr>
                <w:sz w:val="16"/>
                <w:szCs w:val="16"/>
              </w:rPr>
            </w:pPr>
          </w:p>
        </w:tc>
      </w:tr>
      <w:tr w:rsidR="00CD25A5" w:rsidRPr="003E718A" w14:paraId="526B5490" w14:textId="77777777" w:rsidTr="009C6556">
        <w:trPr>
          <w:cantSplit/>
          <w:trHeight w:hRule="exact" w:val="282"/>
        </w:trPr>
        <w:tc>
          <w:tcPr>
            <w:tcW w:w="1215" w:type="pct"/>
            <w:vAlign w:val="center"/>
          </w:tcPr>
          <w:p w14:paraId="5BA5C267" w14:textId="77777777" w:rsidR="00450C80" w:rsidRPr="003E718A" w:rsidRDefault="00450C80" w:rsidP="00450C80">
            <w:pPr>
              <w:contextualSpacing/>
              <w:rPr>
                <w:sz w:val="16"/>
                <w:szCs w:val="16"/>
              </w:rPr>
            </w:pPr>
            <w:r w:rsidRPr="003E718A">
              <w:rPr>
                <w:sz w:val="16"/>
                <w:szCs w:val="16"/>
              </w:rPr>
              <w:t>Financial advisors in the bulge bracket</w:t>
            </w:r>
          </w:p>
        </w:tc>
        <w:tc>
          <w:tcPr>
            <w:tcW w:w="463" w:type="pct"/>
            <w:vAlign w:val="center"/>
          </w:tcPr>
          <w:p w14:paraId="011FD9E4" w14:textId="77777777" w:rsidR="00450C80" w:rsidRPr="003E718A" w:rsidRDefault="00450C80" w:rsidP="00450C80">
            <w:pPr>
              <w:contextualSpacing/>
              <w:jc w:val="center"/>
              <w:rPr>
                <w:sz w:val="16"/>
                <w:szCs w:val="16"/>
              </w:rPr>
            </w:pPr>
            <w:r w:rsidRPr="003E718A">
              <w:rPr>
                <w:sz w:val="16"/>
                <w:szCs w:val="16"/>
              </w:rPr>
              <w:t>0.</w:t>
            </w:r>
            <w:r>
              <w:rPr>
                <w:sz w:val="16"/>
                <w:szCs w:val="16"/>
              </w:rPr>
              <w:t>55</w:t>
            </w:r>
            <w:r w:rsidRPr="003E718A">
              <w:rPr>
                <w:sz w:val="16"/>
                <w:szCs w:val="16"/>
              </w:rPr>
              <w:t>† (0.00)</w:t>
            </w:r>
          </w:p>
        </w:tc>
        <w:tc>
          <w:tcPr>
            <w:tcW w:w="411" w:type="pct"/>
            <w:vAlign w:val="center"/>
          </w:tcPr>
          <w:p w14:paraId="3DF6A598" w14:textId="77777777" w:rsidR="00450C80" w:rsidRPr="003E718A" w:rsidRDefault="00450C80" w:rsidP="00450C80">
            <w:pPr>
              <w:contextualSpacing/>
              <w:jc w:val="center"/>
              <w:rPr>
                <w:sz w:val="16"/>
                <w:szCs w:val="16"/>
              </w:rPr>
            </w:pPr>
            <w:r>
              <w:rPr>
                <w:sz w:val="16"/>
                <w:szCs w:val="16"/>
              </w:rPr>
              <w:t>0.02</w:t>
            </w:r>
            <w:r w:rsidRPr="003E718A">
              <w:rPr>
                <w:sz w:val="16"/>
                <w:szCs w:val="16"/>
              </w:rPr>
              <w:t>* (0.00)</w:t>
            </w:r>
          </w:p>
        </w:tc>
        <w:tc>
          <w:tcPr>
            <w:tcW w:w="509" w:type="pct"/>
            <w:vAlign w:val="center"/>
          </w:tcPr>
          <w:p w14:paraId="3A3B80AD" w14:textId="77777777" w:rsidR="00450C80" w:rsidRPr="003E718A" w:rsidRDefault="00450C80" w:rsidP="00450C80">
            <w:pPr>
              <w:contextualSpacing/>
              <w:jc w:val="center"/>
              <w:rPr>
                <w:sz w:val="16"/>
                <w:szCs w:val="16"/>
              </w:rPr>
            </w:pPr>
            <w:r w:rsidRPr="003E718A">
              <w:rPr>
                <w:sz w:val="16"/>
                <w:szCs w:val="16"/>
              </w:rPr>
              <w:t>0.6</w:t>
            </w:r>
            <w:r>
              <w:rPr>
                <w:sz w:val="16"/>
                <w:szCs w:val="16"/>
              </w:rPr>
              <w:t>1</w:t>
            </w:r>
            <w:r w:rsidRPr="003E718A">
              <w:rPr>
                <w:sz w:val="16"/>
                <w:szCs w:val="16"/>
              </w:rPr>
              <w:t>† (0. 00)</w:t>
            </w:r>
          </w:p>
        </w:tc>
        <w:tc>
          <w:tcPr>
            <w:tcW w:w="507" w:type="pct"/>
            <w:vAlign w:val="center"/>
          </w:tcPr>
          <w:p w14:paraId="17C44497" w14:textId="77777777" w:rsidR="00450C80" w:rsidRPr="003E718A" w:rsidRDefault="00450C80" w:rsidP="00450C80">
            <w:pPr>
              <w:contextualSpacing/>
              <w:jc w:val="center"/>
              <w:rPr>
                <w:sz w:val="16"/>
                <w:szCs w:val="16"/>
              </w:rPr>
            </w:pPr>
            <w:r w:rsidRPr="003E718A">
              <w:rPr>
                <w:sz w:val="16"/>
                <w:szCs w:val="16"/>
              </w:rPr>
              <w:t>0.02† (0.00)</w:t>
            </w:r>
          </w:p>
        </w:tc>
        <w:tc>
          <w:tcPr>
            <w:tcW w:w="507" w:type="pct"/>
            <w:vAlign w:val="center"/>
          </w:tcPr>
          <w:p w14:paraId="5F88233B" w14:textId="77777777" w:rsidR="00450C80" w:rsidRPr="003E718A" w:rsidRDefault="00450C80" w:rsidP="00450C80">
            <w:pPr>
              <w:contextualSpacing/>
              <w:jc w:val="center"/>
              <w:rPr>
                <w:sz w:val="16"/>
                <w:szCs w:val="16"/>
              </w:rPr>
            </w:pPr>
            <w:r w:rsidRPr="003E718A">
              <w:rPr>
                <w:sz w:val="16"/>
                <w:szCs w:val="16"/>
              </w:rPr>
              <w:t>0.7</w:t>
            </w:r>
            <w:r>
              <w:rPr>
                <w:sz w:val="16"/>
                <w:szCs w:val="16"/>
              </w:rPr>
              <w:t>0</w:t>
            </w:r>
            <w:r w:rsidRPr="003E718A">
              <w:rPr>
                <w:sz w:val="16"/>
                <w:szCs w:val="16"/>
              </w:rPr>
              <w:t>† (0. 00)</w:t>
            </w:r>
          </w:p>
        </w:tc>
        <w:tc>
          <w:tcPr>
            <w:tcW w:w="463" w:type="pct"/>
            <w:vAlign w:val="center"/>
          </w:tcPr>
          <w:p w14:paraId="04BC6820" w14:textId="77777777" w:rsidR="00450C80" w:rsidRPr="003E718A" w:rsidRDefault="00450C80" w:rsidP="00450C80">
            <w:pPr>
              <w:contextualSpacing/>
              <w:jc w:val="center"/>
              <w:rPr>
                <w:sz w:val="16"/>
                <w:szCs w:val="16"/>
              </w:rPr>
            </w:pPr>
            <w:r w:rsidRPr="003E718A">
              <w:rPr>
                <w:sz w:val="16"/>
                <w:szCs w:val="16"/>
              </w:rPr>
              <w:t>0.01† (0.00)</w:t>
            </w:r>
          </w:p>
        </w:tc>
        <w:tc>
          <w:tcPr>
            <w:tcW w:w="463" w:type="pct"/>
            <w:vAlign w:val="center"/>
          </w:tcPr>
          <w:p w14:paraId="4AF3575C" w14:textId="77777777" w:rsidR="00450C80" w:rsidRPr="003E718A" w:rsidRDefault="00450C80" w:rsidP="00450C80">
            <w:pPr>
              <w:contextualSpacing/>
              <w:jc w:val="center"/>
              <w:rPr>
                <w:rFonts w:asciiTheme="minorHAnsi" w:hAnsiTheme="minorHAnsi" w:cstheme="minorBidi"/>
                <w:sz w:val="16"/>
                <w:szCs w:val="16"/>
                <w:lang w:val="en-US" w:eastAsia="en-US"/>
              </w:rPr>
            </w:pPr>
            <w:r w:rsidRPr="003E718A">
              <w:rPr>
                <w:sz w:val="16"/>
                <w:szCs w:val="16"/>
              </w:rPr>
              <w:t>0.7</w:t>
            </w:r>
            <w:r>
              <w:rPr>
                <w:sz w:val="16"/>
                <w:szCs w:val="16"/>
              </w:rPr>
              <w:t>2</w:t>
            </w:r>
            <w:r w:rsidRPr="003E718A">
              <w:rPr>
                <w:sz w:val="16"/>
                <w:szCs w:val="16"/>
              </w:rPr>
              <w:t>† (0.00)</w:t>
            </w:r>
          </w:p>
        </w:tc>
        <w:tc>
          <w:tcPr>
            <w:tcW w:w="461" w:type="pct"/>
            <w:vAlign w:val="center"/>
          </w:tcPr>
          <w:p w14:paraId="746B460D" w14:textId="77777777" w:rsidR="00450C80" w:rsidRPr="003E718A" w:rsidRDefault="00450C80" w:rsidP="00450C80">
            <w:pPr>
              <w:contextualSpacing/>
              <w:jc w:val="center"/>
              <w:rPr>
                <w:sz w:val="16"/>
                <w:szCs w:val="16"/>
              </w:rPr>
            </w:pPr>
            <w:r w:rsidRPr="003E718A">
              <w:rPr>
                <w:sz w:val="16"/>
                <w:szCs w:val="16"/>
              </w:rPr>
              <w:t>0.01† (0.00)</w:t>
            </w:r>
          </w:p>
        </w:tc>
      </w:tr>
      <w:tr w:rsidR="00CD25A5" w:rsidRPr="003E718A" w14:paraId="176C01B8" w14:textId="77777777" w:rsidTr="009C6556">
        <w:trPr>
          <w:cantSplit/>
          <w:trHeight w:hRule="exact" w:val="282"/>
        </w:trPr>
        <w:tc>
          <w:tcPr>
            <w:tcW w:w="1215" w:type="pct"/>
            <w:vAlign w:val="center"/>
          </w:tcPr>
          <w:p w14:paraId="7A97EB41" w14:textId="77777777" w:rsidR="00450C80" w:rsidRPr="003E718A" w:rsidRDefault="00450C80" w:rsidP="00450C80">
            <w:pPr>
              <w:contextualSpacing/>
              <w:rPr>
                <w:sz w:val="16"/>
                <w:szCs w:val="16"/>
              </w:rPr>
            </w:pPr>
            <w:r w:rsidRPr="003E718A">
              <w:rPr>
                <w:sz w:val="16"/>
                <w:szCs w:val="16"/>
              </w:rPr>
              <w:t>Consultants – white shoe</w:t>
            </w:r>
          </w:p>
        </w:tc>
        <w:tc>
          <w:tcPr>
            <w:tcW w:w="463" w:type="pct"/>
            <w:vAlign w:val="center"/>
          </w:tcPr>
          <w:p w14:paraId="31291FBD" w14:textId="77777777" w:rsidR="00450C80" w:rsidRPr="003E718A" w:rsidRDefault="00450C80" w:rsidP="00450C80">
            <w:pPr>
              <w:contextualSpacing/>
              <w:jc w:val="center"/>
              <w:rPr>
                <w:sz w:val="16"/>
                <w:szCs w:val="16"/>
              </w:rPr>
            </w:pPr>
            <w:r w:rsidRPr="003E718A">
              <w:rPr>
                <w:sz w:val="16"/>
                <w:szCs w:val="16"/>
              </w:rPr>
              <w:t>0.02 (0. 00)</w:t>
            </w:r>
          </w:p>
        </w:tc>
        <w:tc>
          <w:tcPr>
            <w:tcW w:w="411" w:type="pct"/>
            <w:vAlign w:val="center"/>
          </w:tcPr>
          <w:p w14:paraId="11B36AB5" w14:textId="77777777" w:rsidR="00450C80" w:rsidRPr="003E718A" w:rsidRDefault="00450C80" w:rsidP="00450C80">
            <w:pPr>
              <w:contextualSpacing/>
              <w:jc w:val="center"/>
              <w:rPr>
                <w:sz w:val="16"/>
                <w:szCs w:val="16"/>
              </w:rPr>
            </w:pPr>
            <w:r w:rsidRPr="003E718A">
              <w:rPr>
                <w:sz w:val="16"/>
                <w:szCs w:val="16"/>
              </w:rPr>
              <w:t>0.00 (0.0</w:t>
            </w:r>
            <w:r>
              <w:rPr>
                <w:sz w:val="16"/>
                <w:szCs w:val="16"/>
              </w:rPr>
              <w:t>7</w:t>
            </w:r>
            <w:r w:rsidRPr="003E718A">
              <w:rPr>
                <w:sz w:val="16"/>
                <w:szCs w:val="16"/>
              </w:rPr>
              <w:t>)</w:t>
            </w:r>
          </w:p>
        </w:tc>
        <w:tc>
          <w:tcPr>
            <w:tcW w:w="509" w:type="pct"/>
            <w:vAlign w:val="center"/>
          </w:tcPr>
          <w:p w14:paraId="2B115B73" w14:textId="77777777" w:rsidR="00450C80" w:rsidRPr="003E718A" w:rsidRDefault="00450C80" w:rsidP="00450C80">
            <w:pPr>
              <w:contextualSpacing/>
              <w:jc w:val="center"/>
              <w:rPr>
                <w:sz w:val="16"/>
                <w:szCs w:val="16"/>
              </w:rPr>
            </w:pPr>
            <w:r w:rsidRPr="003E718A">
              <w:rPr>
                <w:sz w:val="16"/>
                <w:szCs w:val="16"/>
              </w:rPr>
              <w:t>0.01 (0. 00)</w:t>
            </w:r>
          </w:p>
        </w:tc>
        <w:tc>
          <w:tcPr>
            <w:tcW w:w="507" w:type="pct"/>
            <w:vAlign w:val="center"/>
          </w:tcPr>
          <w:p w14:paraId="53EE1F5F" w14:textId="77777777" w:rsidR="00450C80" w:rsidRPr="003E718A" w:rsidRDefault="00450C80" w:rsidP="00450C80">
            <w:pPr>
              <w:contextualSpacing/>
              <w:jc w:val="center"/>
              <w:rPr>
                <w:sz w:val="16"/>
                <w:szCs w:val="16"/>
              </w:rPr>
            </w:pPr>
            <w:r w:rsidRPr="003E718A">
              <w:rPr>
                <w:sz w:val="16"/>
                <w:szCs w:val="16"/>
              </w:rPr>
              <w:t>0.00 (0.1</w:t>
            </w:r>
            <w:r>
              <w:rPr>
                <w:sz w:val="16"/>
                <w:szCs w:val="16"/>
              </w:rPr>
              <w:t>0</w:t>
            </w:r>
            <w:r w:rsidRPr="003E718A">
              <w:rPr>
                <w:sz w:val="16"/>
                <w:szCs w:val="16"/>
              </w:rPr>
              <w:t>)</w:t>
            </w:r>
          </w:p>
        </w:tc>
        <w:tc>
          <w:tcPr>
            <w:tcW w:w="507" w:type="pct"/>
            <w:vAlign w:val="center"/>
          </w:tcPr>
          <w:p w14:paraId="71365C1F" w14:textId="77777777" w:rsidR="00450C80" w:rsidRPr="003E718A" w:rsidRDefault="00450C80" w:rsidP="00450C80">
            <w:pPr>
              <w:contextualSpacing/>
              <w:jc w:val="center"/>
              <w:rPr>
                <w:sz w:val="16"/>
                <w:szCs w:val="16"/>
              </w:rPr>
            </w:pPr>
            <w:r w:rsidRPr="003E718A">
              <w:rPr>
                <w:sz w:val="16"/>
                <w:szCs w:val="16"/>
              </w:rPr>
              <w:t>0.0</w:t>
            </w:r>
            <w:r>
              <w:rPr>
                <w:sz w:val="16"/>
                <w:szCs w:val="16"/>
              </w:rPr>
              <w:t>3</w:t>
            </w:r>
            <w:r w:rsidRPr="003E718A">
              <w:rPr>
                <w:sz w:val="16"/>
                <w:szCs w:val="16"/>
              </w:rPr>
              <w:t xml:space="preserve"> (0. 00)</w:t>
            </w:r>
          </w:p>
        </w:tc>
        <w:tc>
          <w:tcPr>
            <w:tcW w:w="463" w:type="pct"/>
            <w:vAlign w:val="center"/>
          </w:tcPr>
          <w:p w14:paraId="4D78FE95" w14:textId="77777777" w:rsidR="00450C80" w:rsidRPr="003E718A" w:rsidRDefault="00450C80" w:rsidP="00450C80">
            <w:pPr>
              <w:contextualSpacing/>
              <w:jc w:val="center"/>
              <w:rPr>
                <w:sz w:val="16"/>
                <w:szCs w:val="16"/>
              </w:rPr>
            </w:pPr>
            <w:r w:rsidRPr="003E718A">
              <w:rPr>
                <w:sz w:val="16"/>
                <w:szCs w:val="16"/>
              </w:rPr>
              <w:t>0.00 (0.0</w:t>
            </w:r>
            <w:r>
              <w:rPr>
                <w:sz w:val="16"/>
                <w:szCs w:val="16"/>
              </w:rPr>
              <w:t>5</w:t>
            </w:r>
            <w:r w:rsidRPr="003E718A">
              <w:rPr>
                <w:sz w:val="16"/>
                <w:szCs w:val="16"/>
              </w:rPr>
              <w:t>)</w:t>
            </w:r>
          </w:p>
        </w:tc>
        <w:tc>
          <w:tcPr>
            <w:tcW w:w="463" w:type="pct"/>
            <w:vAlign w:val="center"/>
          </w:tcPr>
          <w:p w14:paraId="35CB7491" w14:textId="77777777" w:rsidR="00450C80" w:rsidRPr="003E718A" w:rsidRDefault="00450C80" w:rsidP="00450C80">
            <w:pPr>
              <w:contextualSpacing/>
              <w:jc w:val="center"/>
              <w:rPr>
                <w:sz w:val="16"/>
                <w:szCs w:val="16"/>
              </w:rPr>
            </w:pPr>
          </w:p>
        </w:tc>
        <w:tc>
          <w:tcPr>
            <w:tcW w:w="461" w:type="pct"/>
            <w:vAlign w:val="center"/>
          </w:tcPr>
          <w:p w14:paraId="5943C1BB" w14:textId="77777777" w:rsidR="00450C80" w:rsidRPr="003E718A" w:rsidRDefault="00450C80" w:rsidP="00450C80">
            <w:pPr>
              <w:contextualSpacing/>
              <w:jc w:val="center"/>
              <w:rPr>
                <w:sz w:val="16"/>
                <w:szCs w:val="16"/>
              </w:rPr>
            </w:pPr>
          </w:p>
        </w:tc>
      </w:tr>
      <w:tr w:rsidR="00CD25A5" w:rsidRPr="003E718A" w14:paraId="33AADC74" w14:textId="77777777" w:rsidTr="009C6556">
        <w:trPr>
          <w:cantSplit/>
          <w:trHeight w:hRule="exact" w:val="282"/>
        </w:trPr>
        <w:tc>
          <w:tcPr>
            <w:tcW w:w="1215" w:type="pct"/>
            <w:vAlign w:val="center"/>
          </w:tcPr>
          <w:p w14:paraId="258AC111" w14:textId="77777777" w:rsidR="00450C80" w:rsidRPr="003E718A" w:rsidRDefault="00450C80" w:rsidP="00450C80">
            <w:pPr>
              <w:contextualSpacing/>
              <w:rPr>
                <w:sz w:val="16"/>
                <w:szCs w:val="16"/>
              </w:rPr>
            </w:pPr>
            <w:r w:rsidRPr="003E718A">
              <w:rPr>
                <w:sz w:val="16"/>
                <w:szCs w:val="16"/>
              </w:rPr>
              <w:t>After 2008</w:t>
            </w:r>
          </w:p>
        </w:tc>
        <w:tc>
          <w:tcPr>
            <w:tcW w:w="463" w:type="pct"/>
            <w:vAlign w:val="center"/>
          </w:tcPr>
          <w:p w14:paraId="571D7F1E" w14:textId="77777777" w:rsidR="00450C80" w:rsidRPr="003E718A" w:rsidRDefault="00450C80" w:rsidP="00450C80">
            <w:pPr>
              <w:contextualSpacing/>
              <w:jc w:val="center"/>
              <w:rPr>
                <w:sz w:val="16"/>
                <w:szCs w:val="16"/>
              </w:rPr>
            </w:pPr>
            <w:r w:rsidRPr="003E718A">
              <w:rPr>
                <w:sz w:val="16"/>
                <w:szCs w:val="16"/>
              </w:rPr>
              <w:t>-0.11 (0. 05)</w:t>
            </w:r>
          </w:p>
        </w:tc>
        <w:tc>
          <w:tcPr>
            <w:tcW w:w="411" w:type="pct"/>
            <w:vAlign w:val="center"/>
          </w:tcPr>
          <w:p w14:paraId="21A288DA" w14:textId="77777777" w:rsidR="00450C80" w:rsidRPr="003E718A" w:rsidRDefault="00450C80" w:rsidP="00450C80">
            <w:pPr>
              <w:contextualSpacing/>
              <w:jc w:val="center"/>
              <w:rPr>
                <w:sz w:val="16"/>
                <w:szCs w:val="16"/>
              </w:rPr>
            </w:pPr>
            <w:r w:rsidRPr="003E718A">
              <w:rPr>
                <w:sz w:val="16"/>
                <w:szCs w:val="16"/>
              </w:rPr>
              <w:t>0.00 (0.12)</w:t>
            </w:r>
          </w:p>
        </w:tc>
        <w:tc>
          <w:tcPr>
            <w:tcW w:w="509" w:type="pct"/>
            <w:vAlign w:val="center"/>
          </w:tcPr>
          <w:p w14:paraId="7368DCB2" w14:textId="77777777" w:rsidR="00450C80" w:rsidRPr="003E718A" w:rsidRDefault="00450C80" w:rsidP="00450C80">
            <w:pPr>
              <w:contextualSpacing/>
              <w:jc w:val="center"/>
              <w:rPr>
                <w:sz w:val="16"/>
                <w:szCs w:val="16"/>
              </w:rPr>
            </w:pPr>
            <w:r w:rsidRPr="003E718A">
              <w:rPr>
                <w:sz w:val="16"/>
                <w:szCs w:val="16"/>
              </w:rPr>
              <w:t>-0.07 (-0. 03)</w:t>
            </w:r>
          </w:p>
        </w:tc>
        <w:tc>
          <w:tcPr>
            <w:tcW w:w="507" w:type="pct"/>
            <w:vAlign w:val="center"/>
          </w:tcPr>
          <w:p w14:paraId="18E7A023" w14:textId="77777777" w:rsidR="00450C80" w:rsidRPr="003E718A" w:rsidRDefault="00450C80" w:rsidP="00450C80">
            <w:pPr>
              <w:contextualSpacing/>
              <w:jc w:val="center"/>
              <w:rPr>
                <w:sz w:val="16"/>
                <w:szCs w:val="16"/>
              </w:rPr>
            </w:pPr>
            <w:r w:rsidRPr="003E718A">
              <w:rPr>
                <w:sz w:val="16"/>
                <w:szCs w:val="16"/>
              </w:rPr>
              <w:t>0.00 (0.10)</w:t>
            </w:r>
          </w:p>
        </w:tc>
        <w:tc>
          <w:tcPr>
            <w:tcW w:w="507" w:type="pct"/>
            <w:vAlign w:val="center"/>
          </w:tcPr>
          <w:p w14:paraId="08F721C8" w14:textId="77777777" w:rsidR="00450C80" w:rsidRPr="003E718A" w:rsidRDefault="00450C80" w:rsidP="00450C80">
            <w:pPr>
              <w:contextualSpacing/>
              <w:jc w:val="center"/>
              <w:rPr>
                <w:sz w:val="16"/>
                <w:szCs w:val="16"/>
              </w:rPr>
            </w:pPr>
            <w:r w:rsidRPr="003E718A">
              <w:rPr>
                <w:sz w:val="16"/>
                <w:szCs w:val="16"/>
              </w:rPr>
              <w:t>-0.18 (-0. 04)</w:t>
            </w:r>
          </w:p>
        </w:tc>
        <w:tc>
          <w:tcPr>
            <w:tcW w:w="463" w:type="pct"/>
            <w:vAlign w:val="center"/>
          </w:tcPr>
          <w:p w14:paraId="0BD79894" w14:textId="77777777" w:rsidR="00450C80" w:rsidRPr="003E718A" w:rsidRDefault="00450C80" w:rsidP="00450C80">
            <w:pPr>
              <w:contextualSpacing/>
              <w:jc w:val="center"/>
              <w:rPr>
                <w:sz w:val="16"/>
                <w:szCs w:val="16"/>
              </w:rPr>
            </w:pPr>
            <w:r w:rsidRPr="003E718A">
              <w:rPr>
                <w:sz w:val="16"/>
                <w:szCs w:val="16"/>
              </w:rPr>
              <w:t>0.00 (0.14)</w:t>
            </w:r>
          </w:p>
        </w:tc>
        <w:tc>
          <w:tcPr>
            <w:tcW w:w="463" w:type="pct"/>
            <w:vAlign w:val="center"/>
          </w:tcPr>
          <w:p w14:paraId="69050B9A" w14:textId="77777777" w:rsidR="00450C80" w:rsidRPr="003E718A" w:rsidRDefault="00450C80" w:rsidP="00450C80">
            <w:pPr>
              <w:contextualSpacing/>
              <w:jc w:val="center"/>
              <w:rPr>
                <w:sz w:val="16"/>
                <w:szCs w:val="16"/>
              </w:rPr>
            </w:pPr>
          </w:p>
        </w:tc>
        <w:tc>
          <w:tcPr>
            <w:tcW w:w="461" w:type="pct"/>
            <w:vAlign w:val="center"/>
          </w:tcPr>
          <w:p w14:paraId="019B08BD" w14:textId="77777777" w:rsidR="00450C80" w:rsidRPr="003E718A" w:rsidRDefault="00450C80" w:rsidP="00450C80">
            <w:pPr>
              <w:contextualSpacing/>
              <w:jc w:val="center"/>
              <w:rPr>
                <w:sz w:val="16"/>
                <w:szCs w:val="16"/>
              </w:rPr>
            </w:pPr>
          </w:p>
        </w:tc>
      </w:tr>
      <w:tr w:rsidR="00CD25A5" w:rsidRPr="003E718A" w14:paraId="1577C32C" w14:textId="77777777" w:rsidTr="009C6556">
        <w:trPr>
          <w:cantSplit/>
          <w:trHeight w:hRule="exact" w:val="282"/>
        </w:trPr>
        <w:tc>
          <w:tcPr>
            <w:tcW w:w="1215" w:type="pct"/>
            <w:vAlign w:val="center"/>
          </w:tcPr>
          <w:p w14:paraId="3CD824E9" w14:textId="77777777" w:rsidR="00450C80" w:rsidRPr="003E718A" w:rsidRDefault="00450C80" w:rsidP="00450C80">
            <w:pPr>
              <w:contextualSpacing/>
              <w:rPr>
                <w:sz w:val="16"/>
                <w:szCs w:val="16"/>
              </w:rPr>
            </w:pPr>
            <w:r w:rsidRPr="003E718A">
              <w:rPr>
                <w:sz w:val="16"/>
                <w:szCs w:val="16"/>
              </w:rPr>
              <w:t>Deal size ($MMln)</w:t>
            </w:r>
          </w:p>
        </w:tc>
        <w:tc>
          <w:tcPr>
            <w:tcW w:w="463" w:type="pct"/>
            <w:vAlign w:val="center"/>
          </w:tcPr>
          <w:p w14:paraId="4B0CCAA9" w14:textId="77777777" w:rsidR="00450C80" w:rsidRPr="003E718A" w:rsidRDefault="00450C80" w:rsidP="00450C80">
            <w:pPr>
              <w:contextualSpacing/>
              <w:jc w:val="center"/>
              <w:rPr>
                <w:sz w:val="16"/>
                <w:szCs w:val="16"/>
              </w:rPr>
            </w:pPr>
            <w:r w:rsidRPr="003E718A">
              <w:rPr>
                <w:sz w:val="16"/>
                <w:szCs w:val="16"/>
              </w:rPr>
              <w:t>0.5</w:t>
            </w:r>
            <w:r>
              <w:rPr>
                <w:sz w:val="16"/>
                <w:szCs w:val="16"/>
              </w:rPr>
              <w:t>1</w:t>
            </w:r>
            <w:r w:rsidRPr="003E718A">
              <w:rPr>
                <w:sz w:val="16"/>
                <w:szCs w:val="16"/>
              </w:rPr>
              <w:t>* (0.0</w:t>
            </w:r>
            <w:r>
              <w:rPr>
                <w:sz w:val="16"/>
                <w:szCs w:val="16"/>
              </w:rPr>
              <w:t>3</w:t>
            </w:r>
            <w:r w:rsidRPr="003E718A">
              <w:rPr>
                <w:sz w:val="16"/>
                <w:szCs w:val="16"/>
              </w:rPr>
              <w:t>)</w:t>
            </w:r>
          </w:p>
        </w:tc>
        <w:tc>
          <w:tcPr>
            <w:tcW w:w="411" w:type="pct"/>
            <w:vAlign w:val="center"/>
          </w:tcPr>
          <w:p w14:paraId="44C7869E" w14:textId="77777777" w:rsidR="00450C80" w:rsidRPr="003E718A" w:rsidRDefault="00450C80" w:rsidP="00450C80">
            <w:pPr>
              <w:contextualSpacing/>
              <w:jc w:val="center"/>
              <w:rPr>
                <w:sz w:val="16"/>
                <w:szCs w:val="16"/>
              </w:rPr>
            </w:pPr>
            <w:r w:rsidRPr="003E718A">
              <w:rPr>
                <w:sz w:val="16"/>
                <w:szCs w:val="16"/>
              </w:rPr>
              <w:t>0.00 (0.1</w:t>
            </w:r>
            <w:r>
              <w:rPr>
                <w:sz w:val="16"/>
                <w:szCs w:val="16"/>
              </w:rPr>
              <w:t>0</w:t>
            </w:r>
            <w:r w:rsidRPr="003E718A">
              <w:rPr>
                <w:sz w:val="16"/>
                <w:szCs w:val="16"/>
              </w:rPr>
              <w:t>)</w:t>
            </w:r>
          </w:p>
        </w:tc>
        <w:tc>
          <w:tcPr>
            <w:tcW w:w="509" w:type="pct"/>
            <w:vAlign w:val="center"/>
          </w:tcPr>
          <w:p w14:paraId="35843158" w14:textId="77777777" w:rsidR="00450C80" w:rsidRPr="003E718A" w:rsidRDefault="00450C80" w:rsidP="00450C80">
            <w:pPr>
              <w:contextualSpacing/>
              <w:jc w:val="center"/>
              <w:rPr>
                <w:sz w:val="16"/>
                <w:szCs w:val="16"/>
              </w:rPr>
            </w:pPr>
            <w:r w:rsidRPr="003E718A">
              <w:rPr>
                <w:sz w:val="16"/>
                <w:szCs w:val="16"/>
              </w:rPr>
              <w:t>0.6</w:t>
            </w:r>
            <w:r>
              <w:rPr>
                <w:sz w:val="16"/>
                <w:szCs w:val="16"/>
              </w:rPr>
              <w:t>0</w:t>
            </w:r>
            <w:r w:rsidRPr="003E718A">
              <w:rPr>
                <w:sz w:val="16"/>
                <w:szCs w:val="16"/>
              </w:rPr>
              <w:t>* (0.01)</w:t>
            </w:r>
          </w:p>
        </w:tc>
        <w:tc>
          <w:tcPr>
            <w:tcW w:w="507" w:type="pct"/>
            <w:vAlign w:val="center"/>
          </w:tcPr>
          <w:p w14:paraId="2B65BD8F" w14:textId="77777777" w:rsidR="00450C80" w:rsidRPr="003E718A" w:rsidRDefault="00450C80" w:rsidP="00450C80">
            <w:pPr>
              <w:contextualSpacing/>
              <w:jc w:val="center"/>
              <w:rPr>
                <w:sz w:val="16"/>
                <w:szCs w:val="16"/>
              </w:rPr>
            </w:pPr>
            <w:r w:rsidRPr="003E718A">
              <w:rPr>
                <w:sz w:val="16"/>
                <w:szCs w:val="16"/>
              </w:rPr>
              <w:t>0.00 (0.0</w:t>
            </w:r>
            <w:r>
              <w:rPr>
                <w:sz w:val="16"/>
                <w:szCs w:val="16"/>
              </w:rPr>
              <w:t>6</w:t>
            </w:r>
            <w:r w:rsidRPr="003E718A">
              <w:rPr>
                <w:sz w:val="16"/>
                <w:szCs w:val="16"/>
              </w:rPr>
              <w:t>)</w:t>
            </w:r>
          </w:p>
        </w:tc>
        <w:tc>
          <w:tcPr>
            <w:tcW w:w="507" w:type="pct"/>
            <w:vAlign w:val="center"/>
          </w:tcPr>
          <w:p w14:paraId="7925E073" w14:textId="77777777" w:rsidR="00450C80" w:rsidRPr="003E718A" w:rsidRDefault="00450C80" w:rsidP="00450C80">
            <w:pPr>
              <w:contextualSpacing/>
              <w:jc w:val="center"/>
              <w:rPr>
                <w:rFonts w:asciiTheme="minorHAnsi" w:hAnsiTheme="minorHAnsi" w:cstheme="minorBidi"/>
                <w:sz w:val="16"/>
                <w:szCs w:val="16"/>
                <w:lang w:val="en-US" w:eastAsia="en-US"/>
              </w:rPr>
            </w:pPr>
            <w:r w:rsidRPr="003E718A">
              <w:rPr>
                <w:sz w:val="16"/>
                <w:szCs w:val="16"/>
              </w:rPr>
              <w:t>0.5</w:t>
            </w:r>
            <w:r>
              <w:rPr>
                <w:sz w:val="16"/>
                <w:szCs w:val="16"/>
              </w:rPr>
              <w:t>5</w:t>
            </w:r>
            <w:r w:rsidRPr="003E718A">
              <w:rPr>
                <w:sz w:val="16"/>
                <w:szCs w:val="16"/>
              </w:rPr>
              <w:t>* (0.02)</w:t>
            </w:r>
          </w:p>
        </w:tc>
        <w:tc>
          <w:tcPr>
            <w:tcW w:w="463" w:type="pct"/>
            <w:vAlign w:val="center"/>
          </w:tcPr>
          <w:p w14:paraId="3D20A340" w14:textId="77777777" w:rsidR="00450C80" w:rsidRPr="003E718A" w:rsidRDefault="00450C80" w:rsidP="00450C80">
            <w:pPr>
              <w:contextualSpacing/>
              <w:jc w:val="center"/>
              <w:rPr>
                <w:sz w:val="16"/>
                <w:szCs w:val="16"/>
              </w:rPr>
            </w:pPr>
            <w:r w:rsidRPr="003E718A">
              <w:rPr>
                <w:sz w:val="16"/>
                <w:szCs w:val="16"/>
              </w:rPr>
              <w:t>0.00 (0.0</w:t>
            </w:r>
            <w:r>
              <w:rPr>
                <w:sz w:val="16"/>
                <w:szCs w:val="16"/>
              </w:rPr>
              <w:t>6</w:t>
            </w:r>
            <w:r w:rsidRPr="003E718A">
              <w:rPr>
                <w:sz w:val="16"/>
                <w:szCs w:val="16"/>
              </w:rPr>
              <w:t>)</w:t>
            </w:r>
          </w:p>
        </w:tc>
        <w:tc>
          <w:tcPr>
            <w:tcW w:w="463" w:type="pct"/>
            <w:vAlign w:val="center"/>
          </w:tcPr>
          <w:p w14:paraId="28239150" w14:textId="77777777" w:rsidR="00450C80" w:rsidRPr="003E718A" w:rsidRDefault="00450C80" w:rsidP="00450C80">
            <w:pPr>
              <w:contextualSpacing/>
              <w:jc w:val="center"/>
              <w:rPr>
                <w:sz w:val="16"/>
                <w:szCs w:val="16"/>
              </w:rPr>
            </w:pPr>
            <w:r w:rsidRPr="003E718A">
              <w:rPr>
                <w:sz w:val="16"/>
                <w:szCs w:val="16"/>
              </w:rPr>
              <w:t>0.6</w:t>
            </w:r>
            <w:r>
              <w:rPr>
                <w:sz w:val="16"/>
                <w:szCs w:val="16"/>
              </w:rPr>
              <w:t>3</w:t>
            </w:r>
            <w:r w:rsidRPr="003E718A">
              <w:rPr>
                <w:sz w:val="16"/>
                <w:szCs w:val="16"/>
              </w:rPr>
              <w:t>* (0.00)</w:t>
            </w:r>
          </w:p>
        </w:tc>
        <w:tc>
          <w:tcPr>
            <w:tcW w:w="461" w:type="pct"/>
            <w:vAlign w:val="center"/>
          </w:tcPr>
          <w:p w14:paraId="778A7357" w14:textId="77777777" w:rsidR="00450C80" w:rsidRPr="003E718A" w:rsidRDefault="00450C80" w:rsidP="00450C80">
            <w:pPr>
              <w:contextualSpacing/>
              <w:jc w:val="center"/>
              <w:rPr>
                <w:sz w:val="16"/>
                <w:szCs w:val="16"/>
              </w:rPr>
            </w:pPr>
          </w:p>
        </w:tc>
      </w:tr>
      <w:tr w:rsidR="00CD25A5" w:rsidRPr="003E718A" w14:paraId="1F3EF219" w14:textId="77777777" w:rsidTr="009C6556">
        <w:trPr>
          <w:cantSplit/>
          <w:trHeight w:hRule="exact" w:val="282"/>
        </w:trPr>
        <w:tc>
          <w:tcPr>
            <w:tcW w:w="1215" w:type="pct"/>
            <w:tcBorders>
              <w:bottom w:val="nil"/>
            </w:tcBorders>
            <w:vAlign w:val="center"/>
          </w:tcPr>
          <w:p w14:paraId="2E873E7C" w14:textId="77777777" w:rsidR="00450C80" w:rsidRPr="003E718A" w:rsidRDefault="00450C80" w:rsidP="00450C80">
            <w:pPr>
              <w:contextualSpacing/>
              <w:rPr>
                <w:sz w:val="16"/>
                <w:szCs w:val="16"/>
              </w:rPr>
            </w:pPr>
            <w:r w:rsidRPr="003E718A">
              <w:rPr>
                <w:sz w:val="16"/>
                <w:szCs w:val="16"/>
              </w:rPr>
              <w:t>Prior firm performance</w:t>
            </w:r>
          </w:p>
        </w:tc>
        <w:tc>
          <w:tcPr>
            <w:tcW w:w="463" w:type="pct"/>
            <w:tcBorders>
              <w:bottom w:val="nil"/>
            </w:tcBorders>
            <w:vAlign w:val="center"/>
          </w:tcPr>
          <w:p w14:paraId="1574EA2D" w14:textId="77777777" w:rsidR="00450C80" w:rsidRPr="003E718A" w:rsidRDefault="00450C80" w:rsidP="00450C80">
            <w:pPr>
              <w:contextualSpacing/>
              <w:jc w:val="center"/>
              <w:rPr>
                <w:sz w:val="16"/>
                <w:szCs w:val="16"/>
              </w:rPr>
            </w:pPr>
            <w:r w:rsidRPr="003E718A">
              <w:rPr>
                <w:sz w:val="16"/>
                <w:szCs w:val="16"/>
              </w:rPr>
              <w:t>0.6</w:t>
            </w:r>
            <w:r>
              <w:rPr>
                <w:sz w:val="16"/>
                <w:szCs w:val="16"/>
              </w:rPr>
              <w:t>0</w:t>
            </w:r>
            <w:r w:rsidRPr="003E718A">
              <w:rPr>
                <w:sz w:val="16"/>
                <w:szCs w:val="16"/>
              </w:rPr>
              <w:t>† (0. 00)</w:t>
            </w:r>
          </w:p>
        </w:tc>
        <w:tc>
          <w:tcPr>
            <w:tcW w:w="411" w:type="pct"/>
            <w:tcBorders>
              <w:bottom w:val="nil"/>
            </w:tcBorders>
            <w:vAlign w:val="center"/>
          </w:tcPr>
          <w:p w14:paraId="41486CA1" w14:textId="77777777" w:rsidR="00450C80" w:rsidRPr="003E718A" w:rsidRDefault="00450C80" w:rsidP="00450C80">
            <w:pPr>
              <w:contextualSpacing/>
              <w:jc w:val="center"/>
              <w:rPr>
                <w:sz w:val="16"/>
                <w:szCs w:val="16"/>
              </w:rPr>
            </w:pPr>
            <w:r w:rsidRPr="003E718A">
              <w:rPr>
                <w:sz w:val="16"/>
                <w:szCs w:val="16"/>
              </w:rPr>
              <w:t>0.00 (0.04)</w:t>
            </w:r>
          </w:p>
        </w:tc>
        <w:tc>
          <w:tcPr>
            <w:tcW w:w="509" w:type="pct"/>
            <w:tcBorders>
              <w:bottom w:val="nil"/>
            </w:tcBorders>
            <w:vAlign w:val="center"/>
          </w:tcPr>
          <w:p w14:paraId="127C43BE" w14:textId="77777777" w:rsidR="00450C80" w:rsidRPr="003E718A" w:rsidRDefault="00450C80" w:rsidP="00450C80">
            <w:pPr>
              <w:contextualSpacing/>
              <w:jc w:val="center"/>
              <w:rPr>
                <w:sz w:val="16"/>
                <w:szCs w:val="16"/>
              </w:rPr>
            </w:pPr>
            <w:r w:rsidRPr="003E718A">
              <w:rPr>
                <w:sz w:val="16"/>
                <w:szCs w:val="16"/>
              </w:rPr>
              <w:t>0.7</w:t>
            </w:r>
            <w:r>
              <w:rPr>
                <w:sz w:val="16"/>
                <w:szCs w:val="16"/>
              </w:rPr>
              <w:t>4</w:t>
            </w:r>
            <w:r w:rsidRPr="003E718A">
              <w:rPr>
                <w:sz w:val="16"/>
                <w:szCs w:val="16"/>
              </w:rPr>
              <w:t>† (0. 00)</w:t>
            </w:r>
          </w:p>
        </w:tc>
        <w:tc>
          <w:tcPr>
            <w:tcW w:w="507" w:type="pct"/>
            <w:tcBorders>
              <w:bottom w:val="nil"/>
            </w:tcBorders>
            <w:vAlign w:val="center"/>
          </w:tcPr>
          <w:p w14:paraId="443F8F0A" w14:textId="77777777" w:rsidR="00450C80" w:rsidRPr="003E718A" w:rsidRDefault="00450C80" w:rsidP="00450C80">
            <w:pPr>
              <w:contextualSpacing/>
              <w:jc w:val="center"/>
              <w:rPr>
                <w:sz w:val="16"/>
                <w:szCs w:val="16"/>
              </w:rPr>
            </w:pPr>
            <w:r w:rsidRPr="003E718A">
              <w:rPr>
                <w:sz w:val="16"/>
                <w:szCs w:val="16"/>
              </w:rPr>
              <w:t>0.00 (0.1</w:t>
            </w:r>
            <w:r>
              <w:rPr>
                <w:sz w:val="16"/>
                <w:szCs w:val="16"/>
              </w:rPr>
              <w:t>1</w:t>
            </w:r>
            <w:r w:rsidRPr="003E718A">
              <w:rPr>
                <w:sz w:val="16"/>
                <w:szCs w:val="16"/>
              </w:rPr>
              <w:t>)</w:t>
            </w:r>
          </w:p>
        </w:tc>
        <w:tc>
          <w:tcPr>
            <w:tcW w:w="507" w:type="pct"/>
            <w:tcBorders>
              <w:bottom w:val="nil"/>
            </w:tcBorders>
            <w:vAlign w:val="center"/>
          </w:tcPr>
          <w:p w14:paraId="555F4341" w14:textId="77777777" w:rsidR="00450C80" w:rsidRPr="003E718A" w:rsidRDefault="00450C80" w:rsidP="00450C80">
            <w:pPr>
              <w:contextualSpacing/>
              <w:jc w:val="center"/>
              <w:rPr>
                <w:sz w:val="16"/>
                <w:szCs w:val="16"/>
              </w:rPr>
            </w:pPr>
            <w:r w:rsidRPr="003E718A">
              <w:rPr>
                <w:sz w:val="16"/>
                <w:szCs w:val="16"/>
              </w:rPr>
              <w:t>0.83* (0.00)</w:t>
            </w:r>
          </w:p>
        </w:tc>
        <w:tc>
          <w:tcPr>
            <w:tcW w:w="463" w:type="pct"/>
            <w:tcBorders>
              <w:bottom w:val="nil"/>
            </w:tcBorders>
            <w:vAlign w:val="center"/>
          </w:tcPr>
          <w:p w14:paraId="42A3FF89" w14:textId="77777777" w:rsidR="00450C80" w:rsidRPr="003E718A" w:rsidRDefault="00450C80" w:rsidP="00450C80">
            <w:pPr>
              <w:contextualSpacing/>
              <w:jc w:val="center"/>
              <w:rPr>
                <w:sz w:val="16"/>
                <w:szCs w:val="16"/>
              </w:rPr>
            </w:pPr>
            <w:r w:rsidRPr="003E718A">
              <w:rPr>
                <w:sz w:val="16"/>
                <w:szCs w:val="16"/>
              </w:rPr>
              <w:t>0.00 (0.1</w:t>
            </w:r>
            <w:r>
              <w:rPr>
                <w:sz w:val="16"/>
                <w:szCs w:val="16"/>
              </w:rPr>
              <w:t>5</w:t>
            </w:r>
            <w:r w:rsidRPr="003E718A">
              <w:rPr>
                <w:sz w:val="16"/>
                <w:szCs w:val="16"/>
              </w:rPr>
              <w:t>)</w:t>
            </w:r>
          </w:p>
        </w:tc>
        <w:tc>
          <w:tcPr>
            <w:tcW w:w="463" w:type="pct"/>
            <w:tcBorders>
              <w:bottom w:val="nil"/>
            </w:tcBorders>
            <w:vAlign w:val="center"/>
          </w:tcPr>
          <w:p w14:paraId="288F0C54" w14:textId="77777777" w:rsidR="00450C80" w:rsidRPr="003E718A" w:rsidRDefault="00450C80" w:rsidP="00450C80">
            <w:pPr>
              <w:contextualSpacing/>
              <w:jc w:val="center"/>
              <w:rPr>
                <w:sz w:val="16"/>
                <w:szCs w:val="16"/>
              </w:rPr>
            </w:pPr>
            <w:r w:rsidRPr="003E718A">
              <w:rPr>
                <w:sz w:val="16"/>
                <w:szCs w:val="16"/>
              </w:rPr>
              <w:t>0.8</w:t>
            </w:r>
            <w:r>
              <w:rPr>
                <w:sz w:val="16"/>
                <w:szCs w:val="16"/>
              </w:rPr>
              <w:t>8</w:t>
            </w:r>
            <w:r w:rsidRPr="003E718A">
              <w:rPr>
                <w:sz w:val="16"/>
                <w:szCs w:val="16"/>
              </w:rPr>
              <w:t>* (0.00)</w:t>
            </w:r>
          </w:p>
        </w:tc>
        <w:tc>
          <w:tcPr>
            <w:tcW w:w="461" w:type="pct"/>
            <w:tcBorders>
              <w:bottom w:val="nil"/>
            </w:tcBorders>
            <w:vAlign w:val="center"/>
          </w:tcPr>
          <w:p w14:paraId="12D8B907" w14:textId="77777777" w:rsidR="00450C80" w:rsidRPr="003E718A" w:rsidRDefault="00450C80" w:rsidP="00450C80">
            <w:pPr>
              <w:contextualSpacing/>
              <w:jc w:val="center"/>
              <w:rPr>
                <w:sz w:val="16"/>
                <w:szCs w:val="16"/>
                <w:highlight w:val="red"/>
              </w:rPr>
            </w:pPr>
          </w:p>
        </w:tc>
      </w:tr>
      <w:tr w:rsidR="00CD25A5" w:rsidRPr="003E718A" w14:paraId="0043B9CE" w14:textId="77777777" w:rsidTr="009C6556">
        <w:trPr>
          <w:cantSplit/>
          <w:trHeight w:hRule="exact" w:val="421"/>
        </w:trPr>
        <w:tc>
          <w:tcPr>
            <w:tcW w:w="1215" w:type="pct"/>
            <w:tcBorders>
              <w:top w:val="nil"/>
              <w:bottom w:val="nil"/>
            </w:tcBorders>
            <w:vAlign w:val="center"/>
          </w:tcPr>
          <w:p w14:paraId="4CDA7788" w14:textId="77777777" w:rsidR="00450C80" w:rsidRPr="003E718A" w:rsidRDefault="00450C80" w:rsidP="00450C80">
            <w:pPr>
              <w:contextualSpacing/>
              <w:rPr>
                <w:sz w:val="16"/>
                <w:szCs w:val="16"/>
              </w:rPr>
            </w:pPr>
            <w:r w:rsidRPr="003E718A">
              <w:rPr>
                <w:sz w:val="16"/>
                <w:szCs w:val="16"/>
              </w:rPr>
              <w:t>Time from initial announcement to closing of the deal</w:t>
            </w:r>
          </w:p>
        </w:tc>
        <w:tc>
          <w:tcPr>
            <w:tcW w:w="463" w:type="pct"/>
            <w:tcBorders>
              <w:top w:val="nil"/>
              <w:bottom w:val="nil"/>
            </w:tcBorders>
            <w:vAlign w:val="center"/>
          </w:tcPr>
          <w:p w14:paraId="74287D10" w14:textId="77777777" w:rsidR="00450C80" w:rsidRPr="003E718A" w:rsidRDefault="00450C80" w:rsidP="00450C80">
            <w:pPr>
              <w:contextualSpacing/>
              <w:jc w:val="center"/>
              <w:rPr>
                <w:sz w:val="16"/>
                <w:szCs w:val="16"/>
              </w:rPr>
            </w:pPr>
            <w:r>
              <w:rPr>
                <w:sz w:val="16"/>
                <w:szCs w:val="16"/>
              </w:rPr>
              <w:t>0.06 (0.03)</w:t>
            </w:r>
          </w:p>
        </w:tc>
        <w:tc>
          <w:tcPr>
            <w:tcW w:w="411" w:type="pct"/>
            <w:tcBorders>
              <w:top w:val="nil"/>
              <w:bottom w:val="nil"/>
            </w:tcBorders>
            <w:vAlign w:val="center"/>
          </w:tcPr>
          <w:p w14:paraId="5052B4CA" w14:textId="77777777" w:rsidR="00450C80" w:rsidRPr="003E718A" w:rsidRDefault="00450C80" w:rsidP="00450C80">
            <w:pPr>
              <w:contextualSpacing/>
              <w:jc w:val="center"/>
              <w:rPr>
                <w:sz w:val="16"/>
                <w:szCs w:val="16"/>
              </w:rPr>
            </w:pPr>
            <w:r>
              <w:rPr>
                <w:sz w:val="16"/>
                <w:szCs w:val="16"/>
              </w:rPr>
              <w:t>0.00 (0.17)</w:t>
            </w:r>
          </w:p>
        </w:tc>
        <w:tc>
          <w:tcPr>
            <w:tcW w:w="509" w:type="pct"/>
            <w:tcBorders>
              <w:top w:val="nil"/>
              <w:bottom w:val="nil"/>
            </w:tcBorders>
            <w:vAlign w:val="center"/>
          </w:tcPr>
          <w:p w14:paraId="0FEE8B78" w14:textId="77777777" w:rsidR="00450C80" w:rsidRPr="003E718A" w:rsidRDefault="00450C80" w:rsidP="00450C80">
            <w:pPr>
              <w:contextualSpacing/>
              <w:jc w:val="center"/>
              <w:rPr>
                <w:sz w:val="16"/>
                <w:szCs w:val="16"/>
              </w:rPr>
            </w:pPr>
            <w:r>
              <w:rPr>
                <w:sz w:val="16"/>
                <w:szCs w:val="16"/>
              </w:rPr>
              <w:t>0.04 (0.01)</w:t>
            </w:r>
          </w:p>
        </w:tc>
        <w:tc>
          <w:tcPr>
            <w:tcW w:w="507" w:type="pct"/>
            <w:tcBorders>
              <w:top w:val="nil"/>
              <w:bottom w:val="nil"/>
            </w:tcBorders>
            <w:vAlign w:val="center"/>
          </w:tcPr>
          <w:p w14:paraId="4D692527" w14:textId="77777777" w:rsidR="00450C80" w:rsidRPr="003E718A" w:rsidRDefault="00450C80" w:rsidP="00450C80">
            <w:pPr>
              <w:contextualSpacing/>
              <w:jc w:val="center"/>
              <w:rPr>
                <w:sz w:val="16"/>
                <w:szCs w:val="16"/>
              </w:rPr>
            </w:pPr>
            <w:r>
              <w:rPr>
                <w:sz w:val="16"/>
                <w:szCs w:val="16"/>
              </w:rPr>
              <w:t>0.00 (0.21)</w:t>
            </w:r>
          </w:p>
        </w:tc>
        <w:tc>
          <w:tcPr>
            <w:tcW w:w="507" w:type="pct"/>
            <w:tcBorders>
              <w:top w:val="nil"/>
              <w:bottom w:val="nil"/>
            </w:tcBorders>
            <w:vAlign w:val="center"/>
          </w:tcPr>
          <w:p w14:paraId="55C3299A" w14:textId="77777777" w:rsidR="00450C80" w:rsidRPr="003E718A" w:rsidRDefault="00450C80" w:rsidP="00450C80">
            <w:pPr>
              <w:contextualSpacing/>
              <w:jc w:val="center"/>
              <w:rPr>
                <w:sz w:val="16"/>
                <w:szCs w:val="16"/>
              </w:rPr>
            </w:pPr>
            <w:r>
              <w:rPr>
                <w:sz w:val="16"/>
                <w:szCs w:val="16"/>
              </w:rPr>
              <w:t>0.03 (0.01)</w:t>
            </w:r>
          </w:p>
        </w:tc>
        <w:tc>
          <w:tcPr>
            <w:tcW w:w="463" w:type="pct"/>
            <w:tcBorders>
              <w:top w:val="nil"/>
              <w:bottom w:val="nil"/>
            </w:tcBorders>
            <w:vAlign w:val="center"/>
          </w:tcPr>
          <w:p w14:paraId="3B1FCA05" w14:textId="77777777" w:rsidR="00450C80" w:rsidRPr="003E718A" w:rsidRDefault="00450C80" w:rsidP="00450C80">
            <w:pPr>
              <w:contextualSpacing/>
              <w:jc w:val="center"/>
              <w:rPr>
                <w:sz w:val="16"/>
                <w:szCs w:val="16"/>
              </w:rPr>
            </w:pPr>
            <w:r>
              <w:rPr>
                <w:sz w:val="16"/>
                <w:szCs w:val="16"/>
              </w:rPr>
              <w:t>0.00 (0.19)</w:t>
            </w:r>
          </w:p>
        </w:tc>
        <w:tc>
          <w:tcPr>
            <w:tcW w:w="463" w:type="pct"/>
            <w:tcBorders>
              <w:top w:val="nil"/>
              <w:bottom w:val="nil"/>
            </w:tcBorders>
            <w:vAlign w:val="center"/>
          </w:tcPr>
          <w:p w14:paraId="4D95E9D2"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0B380C7C" w14:textId="77777777" w:rsidR="00450C80" w:rsidRPr="003E718A" w:rsidRDefault="00450C80" w:rsidP="00450C80">
            <w:pPr>
              <w:contextualSpacing/>
              <w:jc w:val="center"/>
              <w:rPr>
                <w:sz w:val="16"/>
                <w:szCs w:val="16"/>
                <w:highlight w:val="red"/>
              </w:rPr>
            </w:pPr>
          </w:p>
        </w:tc>
      </w:tr>
      <w:tr w:rsidR="00CD25A5" w:rsidRPr="003E718A" w14:paraId="6FD566ED" w14:textId="77777777" w:rsidTr="009C6556">
        <w:trPr>
          <w:cantSplit/>
          <w:trHeight w:hRule="exact" w:val="282"/>
        </w:trPr>
        <w:tc>
          <w:tcPr>
            <w:tcW w:w="1215" w:type="pct"/>
            <w:tcBorders>
              <w:top w:val="nil"/>
              <w:bottom w:val="nil"/>
            </w:tcBorders>
            <w:vAlign w:val="center"/>
          </w:tcPr>
          <w:p w14:paraId="413BD5A0" w14:textId="77777777" w:rsidR="00450C80" w:rsidRPr="003E718A" w:rsidRDefault="00450C80" w:rsidP="00450C80">
            <w:pPr>
              <w:contextualSpacing/>
              <w:rPr>
                <w:sz w:val="16"/>
                <w:szCs w:val="16"/>
              </w:rPr>
            </w:pPr>
            <w:r w:rsidRPr="003E718A">
              <w:rPr>
                <w:sz w:val="16"/>
                <w:szCs w:val="16"/>
              </w:rPr>
              <w:t>Rumoured</w:t>
            </w:r>
          </w:p>
        </w:tc>
        <w:tc>
          <w:tcPr>
            <w:tcW w:w="463" w:type="pct"/>
            <w:tcBorders>
              <w:top w:val="nil"/>
              <w:bottom w:val="nil"/>
            </w:tcBorders>
            <w:vAlign w:val="center"/>
          </w:tcPr>
          <w:p w14:paraId="2F7F2109" w14:textId="77777777" w:rsidR="00450C80" w:rsidRPr="003E718A" w:rsidRDefault="00450C80" w:rsidP="00450C80">
            <w:pPr>
              <w:contextualSpacing/>
              <w:jc w:val="center"/>
              <w:rPr>
                <w:sz w:val="16"/>
                <w:szCs w:val="16"/>
              </w:rPr>
            </w:pPr>
            <w:r>
              <w:rPr>
                <w:sz w:val="16"/>
                <w:szCs w:val="16"/>
              </w:rPr>
              <w:t>-1.33</w:t>
            </w:r>
            <w:r w:rsidRPr="003E718A">
              <w:rPr>
                <w:sz w:val="16"/>
                <w:szCs w:val="16"/>
              </w:rPr>
              <w:t>†</w:t>
            </w:r>
            <w:r>
              <w:rPr>
                <w:sz w:val="16"/>
                <w:szCs w:val="16"/>
              </w:rPr>
              <w:t xml:space="preserve"> (0.00)</w:t>
            </w:r>
          </w:p>
        </w:tc>
        <w:tc>
          <w:tcPr>
            <w:tcW w:w="411" w:type="pct"/>
            <w:tcBorders>
              <w:top w:val="nil"/>
              <w:bottom w:val="nil"/>
            </w:tcBorders>
            <w:vAlign w:val="center"/>
          </w:tcPr>
          <w:p w14:paraId="3B232A31" w14:textId="77777777" w:rsidR="00450C80" w:rsidRPr="003E718A" w:rsidRDefault="00450C80" w:rsidP="00450C80">
            <w:pPr>
              <w:contextualSpacing/>
              <w:jc w:val="center"/>
              <w:rPr>
                <w:sz w:val="16"/>
                <w:szCs w:val="16"/>
              </w:rPr>
            </w:pPr>
            <w:r>
              <w:rPr>
                <w:sz w:val="16"/>
                <w:szCs w:val="16"/>
              </w:rPr>
              <w:t>0.00 (0.31)</w:t>
            </w:r>
          </w:p>
        </w:tc>
        <w:tc>
          <w:tcPr>
            <w:tcW w:w="509" w:type="pct"/>
            <w:tcBorders>
              <w:top w:val="nil"/>
              <w:bottom w:val="nil"/>
            </w:tcBorders>
            <w:vAlign w:val="center"/>
          </w:tcPr>
          <w:p w14:paraId="4F165E0F" w14:textId="77777777" w:rsidR="00450C80" w:rsidRPr="003E718A" w:rsidRDefault="00450C80" w:rsidP="00450C80">
            <w:pPr>
              <w:contextualSpacing/>
              <w:jc w:val="center"/>
              <w:rPr>
                <w:sz w:val="16"/>
                <w:szCs w:val="16"/>
              </w:rPr>
            </w:pPr>
            <w:r>
              <w:rPr>
                <w:sz w:val="16"/>
                <w:szCs w:val="16"/>
              </w:rPr>
              <w:t>-1.28 (0.00)</w:t>
            </w:r>
          </w:p>
        </w:tc>
        <w:tc>
          <w:tcPr>
            <w:tcW w:w="507" w:type="pct"/>
            <w:tcBorders>
              <w:top w:val="nil"/>
              <w:bottom w:val="nil"/>
            </w:tcBorders>
            <w:vAlign w:val="center"/>
          </w:tcPr>
          <w:p w14:paraId="2823517F" w14:textId="77777777" w:rsidR="00450C80" w:rsidRPr="003E718A" w:rsidRDefault="00450C80" w:rsidP="00450C80">
            <w:pPr>
              <w:contextualSpacing/>
              <w:jc w:val="center"/>
              <w:rPr>
                <w:sz w:val="16"/>
                <w:szCs w:val="16"/>
              </w:rPr>
            </w:pPr>
            <w:r>
              <w:rPr>
                <w:sz w:val="16"/>
                <w:szCs w:val="16"/>
              </w:rPr>
              <w:t>0.00 (0.24)</w:t>
            </w:r>
          </w:p>
        </w:tc>
        <w:tc>
          <w:tcPr>
            <w:tcW w:w="507" w:type="pct"/>
            <w:tcBorders>
              <w:top w:val="nil"/>
              <w:bottom w:val="nil"/>
            </w:tcBorders>
            <w:vAlign w:val="center"/>
          </w:tcPr>
          <w:p w14:paraId="6DFA4C20" w14:textId="77777777" w:rsidR="00450C80" w:rsidRPr="003E718A" w:rsidRDefault="00450C80" w:rsidP="00450C80">
            <w:pPr>
              <w:contextualSpacing/>
              <w:jc w:val="center"/>
              <w:rPr>
                <w:sz w:val="16"/>
                <w:szCs w:val="16"/>
              </w:rPr>
            </w:pPr>
            <w:r>
              <w:rPr>
                <w:sz w:val="16"/>
                <w:szCs w:val="16"/>
              </w:rPr>
              <w:t>-1.98 (0.00)</w:t>
            </w:r>
          </w:p>
        </w:tc>
        <w:tc>
          <w:tcPr>
            <w:tcW w:w="463" w:type="pct"/>
            <w:tcBorders>
              <w:top w:val="nil"/>
              <w:bottom w:val="nil"/>
            </w:tcBorders>
            <w:vAlign w:val="center"/>
          </w:tcPr>
          <w:p w14:paraId="36476368" w14:textId="77777777" w:rsidR="00450C80" w:rsidRPr="003E718A" w:rsidRDefault="00450C80" w:rsidP="00450C80">
            <w:pPr>
              <w:contextualSpacing/>
              <w:jc w:val="center"/>
              <w:rPr>
                <w:sz w:val="16"/>
                <w:szCs w:val="16"/>
              </w:rPr>
            </w:pPr>
            <w:r>
              <w:rPr>
                <w:sz w:val="16"/>
                <w:szCs w:val="16"/>
              </w:rPr>
              <w:t>0.00 (0.21)</w:t>
            </w:r>
          </w:p>
        </w:tc>
        <w:tc>
          <w:tcPr>
            <w:tcW w:w="463" w:type="pct"/>
            <w:tcBorders>
              <w:top w:val="nil"/>
              <w:bottom w:val="nil"/>
            </w:tcBorders>
            <w:vAlign w:val="center"/>
          </w:tcPr>
          <w:p w14:paraId="6BBD6951" w14:textId="77777777" w:rsidR="00450C80" w:rsidRPr="003E718A" w:rsidRDefault="00450C80" w:rsidP="00450C80">
            <w:pPr>
              <w:contextualSpacing/>
              <w:jc w:val="center"/>
              <w:rPr>
                <w:sz w:val="16"/>
                <w:szCs w:val="16"/>
              </w:rPr>
            </w:pPr>
            <w:r>
              <w:rPr>
                <w:sz w:val="16"/>
                <w:szCs w:val="16"/>
              </w:rPr>
              <w:t>-2.27* (0.00)</w:t>
            </w:r>
          </w:p>
        </w:tc>
        <w:tc>
          <w:tcPr>
            <w:tcW w:w="461" w:type="pct"/>
            <w:tcBorders>
              <w:top w:val="nil"/>
              <w:bottom w:val="nil"/>
            </w:tcBorders>
            <w:vAlign w:val="center"/>
          </w:tcPr>
          <w:p w14:paraId="5C7E2EC7" w14:textId="77777777" w:rsidR="00450C80" w:rsidRPr="003E718A" w:rsidRDefault="00450C80" w:rsidP="00450C80">
            <w:pPr>
              <w:contextualSpacing/>
              <w:jc w:val="center"/>
              <w:rPr>
                <w:sz w:val="16"/>
                <w:szCs w:val="16"/>
                <w:highlight w:val="red"/>
              </w:rPr>
            </w:pPr>
          </w:p>
        </w:tc>
      </w:tr>
      <w:tr w:rsidR="00CD25A5" w:rsidRPr="003E718A" w14:paraId="570EDCC5" w14:textId="77777777" w:rsidTr="009C6556">
        <w:trPr>
          <w:cantSplit/>
          <w:trHeight w:hRule="exact" w:val="282"/>
        </w:trPr>
        <w:tc>
          <w:tcPr>
            <w:tcW w:w="1215" w:type="pct"/>
            <w:tcBorders>
              <w:top w:val="nil"/>
              <w:bottom w:val="nil"/>
            </w:tcBorders>
            <w:vAlign w:val="center"/>
          </w:tcPr>
          <w:p w14:paraId="68DA7BBF" w14:textId="77777777" w:rsidR="00450C80" w:rsidRPr="003E718A" w:rsidRDefault="00450C80" w:rsidP="00450C80">
            <w:pPr>
              <w:contextualSpacing/>
              <w:rPr>
                <w:sz w:val="16"/>
                <w:szCs w:val="16"/>
              </w:rPr>
            </w:pPr>
            <w:r w:rsidRPr="003E718A">
              <w:rPr>
                <w:sz w:val="16"/>
                <w:szCs w:val="16"/>
              </w:rPr>
              <w:t>Acquisition volume (t-1)</w:t>
            </w:r>
          </w:p>
        </w:tc>
        <w:tc>
          <w:tcPr>
            <w:tcW w:w="463" w:type="pct"/>
            <w:tcBorders>
              <w:top w:val="nil"/>
              <w:bottom w:val="nil"/>
            </w:tcBorders>
            <w:vAlign w:val="center"/>
          </w:tcPr>
          <w:p w14:paraId="20CA2CB9" w14:textId="77777777" w:rsidR="00450C80" w:rsidRPr="003E718A" w:rsidRDefault="00450C80" w:rsidP="00450C80">
            <w:pPr>
              <w:contextualSpacing/>
              <w:jc w:val="center"/>
              <w:rPr>
                <w:sz w:val="16"/>
                <w:szCs w:val="16"/>
              </w:rPr>
            </w:pPr>
            <w:r>
              <w:rPr>
                <w:sz w:val="16"/>
                <w:szCs w:val="16"/>
              </w:rPr>
              <w:t>0.11 (0.04)</w:t>
            </w:r>
          </w:p>
        </w:tc>
        <w:tc>
          <w:tcPr>
            <w:tcW w:w="411" w:type="pct"/>
            <w:tcBorders>
              <w:top w:val="nil"/>
              <w:bottom w:val="nil"/>
            </w:tcBorders>
            <w:vAlign w:val="center"/>
          </w:tcPr>
          <w:p w14:paraId="072282FD" w14:textId="77777777" w:rsidR="00450C80" w:rsidRPr="003E718A" w:rsidRDefault="00450C80" w:rsidP="00450C80">
            <w:pPr>
              <w:contextualSpacing/>
              <w:jc w:val="center"/>
              <w:rPr>
                <w:sz w:val="16"/>
                <w:szCs w:val="16"/>
              </w:rPr>
            </w:pPr>
            <w:r>
              <w:rPr>
                <w:sz w:val="16"/>
                <w:szCs w:val="16"/>
              </w:rPr>
              <w:t>0.00 (0.28)</w:t>
            </w:r>
          </w:p>
        </w:tc>
        <w:tc>
          <w:tcPr>
            <w:tcW w:w="509" w:type="pct"/>
            <w:tcBorders>
              <w:top w:val="nil"/>
              <w:bottom w:val="nil"/>
            </w:tcBorders>
            <w:vAlign w:val="center"/>
          </w:tcPr>
          <w:p w14:paraId="5207C5DA" w14:textId="77777777" w:rsidR="00450C80" w:rsidRPr="003E718A" w:rsidRDefault="00450C80" w:rsidP="00450C80">
            <w:pPr>
              <w:contextualSpacing/>
              <w:jc w:val="center"/>
              <w:rPr>
                <w:sz w:val="16"/>
                <w:szCs w:val="16"/>
              </w:rPr>
            </w:pPr>
            <w:r>
              <w:rPr>
                <w:sz w:val="16"/>
                <w:szCs w:val="16"/>
              </w:rPr>
              <w:t>0.10 (0.05)</w:t>
            </w:r>
          </w:p>
        </w:tc>
        <w:tc>
          <w:tcPr>
            <w:tcW w:w="507" w:type="pct"/>
            <w:tcBorders>
              <w:top w:val="nil"/>
              <w:bottom w:val="nil"/>
            </w:tcBorders>
            <w:vAlign w:val="center"/>
          </w:tcPr>
          <w:p w14:paraId="0F3E20E7" w14:textId="77777777" w:rsidR="00450C80" w:rsidRPr="003E718A" w:rsidRDefault="00450C80" w:rsidP="00450C80">
            <w:pPr>
              <w:contextualSpacing/>
              <w:jc w:val="center"/>
              <w:rPr>
                <w:sz w:val="16"/>
                <w:szCs w:val="16"/>
              </w:rPr>
            </w:pPr>
            <w:r>
              <w:rPr>
                <w:sz w:val="16"/>
                <w:szCs w:val="16"/>
              </w:rPr>
              <w:t>0.00 (0.19)</w:t>
            </w:r>
          </w:p>
        </w:tc>
        <w:tc>
          <w:tcPr>
            <w:tcW w:w="507" w:type="pct"/>
            <w:tcBorders>
              <w:top w:val="nil"/>
              <w:bottom w:val="nil"/>
            </w:tcBorders>
            <w:vAlign w:val="center"/>
          </w:tcPr>
          <w:p w14:paraId="5D80F630" w14:textId="77777777" w:rsidR="00450C80" w:rsidRPr="003E718A" w:rsidRDefault="00450C80" w:rsidP="00450C80">
            <w:pPr>
              <w:contextualSpacing/>
              <w:jc w:val="center"/>
              <w:rPr>
                <w:sz w:val="16"/>
                <w:szCs w:val="16"/>
              </w:rPr>
            </w:pPr>
            <w:r>
              <w:rPr>
                <w:sz w:val="16"/>
                <w:szCs w:val="16"/>
              </w:rPr>
              <w:t>0.09 (0.07)</w:t>
            </w:r>
          </w:p>
        </w:tc>
        <w:tc>
          <w:tcPr>
            <w:tcW w:w="463" w:type="pct"/>
            <w:tcBorders>
              <w:top w:val="nil"/>
              <w:bottom w:val="nil"/>
            </w:tcBorders>
            <w:vAlign w:val="center"/>
          </w:tcPr>
          <w:p w14:paraId="37717916" w14:textId="77777777" w:rsidR="00450C80" w:rsidRPr="003E718A" w:rsidRDefault="00450C80" w:rsidP="00450C80">
            <w:pPr>
              <w:contextualSpacing/>
              <w:jc w:val="center"/>
              <w:rPr>
                <w:sz w:val="16"/>
                <w:szCs w:val="16"/>
              </w:rPr>
            </w:pPr>
            <w:r>
              <w:rPr>
                <w:sz w:val="16"/>
                <w:szCs w:val="16"/>
              </w:rPr>
              <w:t>0.00 (0.14)</w:t>
            </w:r>
          </w:p>
        </w:tc>
        <w:tc>
          <w:tcPr>
            <w:tcW w:w="463" w:type="pct"/>
            <w:tcBorders>
              <w:top w:val="nil"/>
              <w:bottom w:val="nil"/>
            </w:tcBorders>
            <w:vAlign w:val="center"/>
          </w:tcPr>
          <w:p w14:paraId="173F1F2E"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6B9BE78C" w14:textId="77777777" w:rsidR="00450C80" w:rsidRPr="003E718A" w:rsidRDefault="00450C80" w:rsidP="00450C80">
            <w:pPr>
              <w:contextualSpacing/>
              <w:jc w:val="center"/>
              <w:rPr>
                <w:sz w:val="16"/>
                <w:szCs w:val="16"/>
                <w:highlight w:val="red"/>
              </w:rPr>
            </w:pPr>
          </w:p>
        </w:tc>
      </w:tr>
      <w:tr w:rsidR="00CD25A5" w:rsidRPr="003E718A" w14:paraId="7CBCE0F5" w14:textId="77777777" w:rsidTr="009C6556">
        <w:trPr>
          <w:cantSplit/>
          <w:trHeight w:hRule="exact" w:val="282"/>
        </w:trPr>
        <w:tc>
          <w:tcPr>
            <w:tcW w:w="1215" w:type="pct"/>
            <w:tcBorders>
              <w:top w:val="nil"/>
              <w:bottom w:val="nil"/>
            </w:tcBorders>
            <w:vAlign w:val="center"/>
          </w:tcPr>
          <w:p w14:paraId="70385598" w14:textId="77777777" w:rsidR="00450C80" w:rsidRPr="003E718A" w:rsidRDefault="00450C80" w:rsidP="00450C80">
            <w:pPr>
              <w:contextualSpacing/>
              <w:rPr>
                <w:sz w:val="16"/>
                <w:szCs w:val="16"/>
              </w:rPr>
            </w:pPr>
            <w:r w:rsidRPr="003E718A">
              <w:rPr>
                <w:sz w:val="16"/>
                <w:szCs w:val="16"/>
              </w:rPr>
              <w:t>Acquisition volume (t-3)</w:t>
            </w:r>
          </w:p>
        </w:tc>
        <w:tc>
          <w:tcPr>
            <w:tcW w:w="463" w:type="pct"/>
            <w:tcBorders>
              <w:top w:val="nil"/>
              <w:bottom w:val="nil"/>
            </w:tcBorders>
            <w:vAlign w:val="center"/>
          </w:tcPr>
          <w:p w14:paraId="3C3894DE" w14:textId="77777777" w:rsidR="00450C80" w:rsidRPr="003E718A" w:rsidRDefault="00450C80" w:rsidP="00450C80">
            <w:pPr>
              <w:contextualSpacing/>
              <w:jc w:val="center"/>
              <w:rPr>
                <w:sz w:val="16"/>
                <w:szCs w:val="16"/>
              </w:rPr>
            </w:pPr>
            <w:r>
              <w:rPr>
                <w:sz w:val="16"/>
                <w:szCs w:val="16"/>
              </w:rPr>
              <w:t>0.09 (0.03)</w:t>
            </w:r>
          </w:p>
        </w:tc>
        <w:tc>
          <w:tcPr>
            <w:tcW w:w="411" w:type="pct"/>
            <w:tcBorders>
              <w:top w:val="nil"/>
              <w:bottom w:val="nil"/>
            </w:tcBorders>
            <w:vAlign w:val="center"/>
          </w:tcPr>
          <w:p w14:paraId="61B3CACF" w14:textId="77777777" w:rsidR="00450C80" w:rsidRPr="003E718A" w:rsidRDefault="00450C80" w:rsidP="00450C80">
            <w:pPr>
              <w:contextualSpacing/>
              <w:jc w:val="center"/>
              <w:rPr>
                <w:sz w:val="16"/>
                <w:szCs w:val="16"/>
              </w:rPr>
            </w:pPr>
            <w:r>
              <w:rPr>
                <w:sz w:val="16"/>
                <w:szCs w:val="16"/>
              </w:rPr>
              <w:t>0.00 (0.51)</w:t>
            </w:r>
          </w:p>
        </w:tc>
        <w:tc>
          <w:tcPr>
            <w:tcW w:w="509" w:type="pct"/>
            <w:tcBorders>
              <w:top w:val="nil"/>
              <w:bottom w:val="nil"/>
            </w:tcBorders>
            <w:vAlign w:val="center"/>
          </w:tcPr>
          <w:p w14:paraId="49784FF3" w14:textId="77777777" w:rsidR="00450C80" w:rsidRPr="003E718A" w:rsidRDefault="00450C80" w:rsidP="00450C80">
            <w:pPr>
              <w:contextualSpacing/>
              <w:jc w:val="center"/>
              <w:rPr>
                <w:sz w:val="16"/>
                <w:szCs w:val="16"/>
              </w:rPr>
            </w:pPr>
            <w:r>
              <w:rPr>
                <w:sz w:val="16"/>
                <w:szCs w:val="16"/>
              </w:rPr>
              <w:t>0.06 (0.04)</w:t>
            </w:r>
          </w:p>
        </w:tc>
        <w:tc>
          <w:tcPr>
            <w:tcW w:w="507" w:type="pct"/>
            <w:tcBorders>
              <w:top w:val="nil"/>
              <w:bottom w:val="nil"/>
            </w:tcBorders>
            <w:vAlign w:val="center"/>
          </w:tcPr>
          <w:p w14:paraId="279FF492" w14:textId="77777777" w:rsidR="00450C80" w:rsidRPr="003E718A" w:rsidRDefault="00450C80" w:rsidP="00450C80">
            <w:pPr>
              <w:contextualSpacing/>
              <w:jc w:val="center"/>
              <w:rPr>
                <w:sz w:val="16"/>
                <w:szCs w:val="16"/>
              </w:rPr>
            </w:pPr>
            <w:r>
              <w:rPr>
                <w:sz w:val="16"/>
                <w:szCs w:val="16"/>
              </w:rPr>
              <w:t>0.00 (0.47)</w:t>
            </w:r>
          </w:p>
        </w:tc>
        <w:tc>
          <w:tcPr>
            <w:tcW w:w="507" w:type="pct"/>
            <w:tcBorders>
              <w:top w:val="nil"/>
              <w:bottom w:val="nil"/>
            </w:tcBorders>
            <w:vAlign w:val="center"/>
          </w:tcPr>
          <w:p w14:paraId="3E764FF8" w14:textId="77777777" w:rsidR="00450C80" w:rsidRPr="003E718A" w:rsidRDefault="00450C80" w:rsidP="00450C80">
            <w:pPr>
              <w:contextualSpacing/>
              <w:jc w:val="center"/>
              <w:rPr>
                <w:sz w:val="16"/>
                <w:szCs w:val="16"/>
              </w:rPr>
            </w:pPr>
            <w:r>
              <w:rPr>
                <w:sz w:val="16"/>
                <w:szCs w:val="16"/>
              </w:rPr>
              <w:t>0.04 (0.05)</w:t>
            </w:r>
          </w:p>
        </w:tc>
        <w:tc>
          <w:tcPr>
            <w:tcW w:w="463" w:type="pct"/>
            <w:tcBorders>
              <w:top w:val="nil"/>
              <w:bottom w:val="nil"/>
            </w:tcBorders>
            <w:vAlign w:val="center"/>
          </w:tcPr>
          <w:p w14:paraId="5BE6A925" w14:textId="77777777" w:rsidR="00450C80" w:rsidRPr="003E718A" w:rsidRDefault="00450C80" w:rsidP="00450C80">
            <w:pPr>
              <w:contextualSpacing/>
              <w:jc w:val="center"/>
              <w:rPr>
                <w:sz w:val="16"/>
                <w:szCs w:val="16"/>
              </w:rPr>
            </w:pPr>
            <w:r>
              <w:rPr>
                <w:sz w:val="16"/>
                <w:szCs w:val="16"/>
              </w:rPr>
              <w:t>0.00 (0.36)</w:t>
            </w:r>
          </w:p>
        </w:tc>
        <w:tc>
          <w:tcPr>
            <w:tcW w:w="463" w:type="pct"/>
            <w:tcBorders>
              <w:top w:val="nil"/>
              <w:bottom w:val="nil"/>
            </w:tcBorders>
            <w:vAlign w:val="center"/>
          </w:tcPr>
          <w:p w14:paraId="3AF3D84B"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37BD85A5" w14:textId="77777777" w:rsidR="00450C80" w:rsidRPr="003E718A" w:rsidRDefault="00450C80" w:rsidP="00450C80">
            <w:pPr>
              <w:contextualSpacing/>
              <w:jc w:val="center"/>
              <w:rPr>
                <w:sz w:val="16"/>
                <w:szCs w:val="16"/>
                <w:highlight w:val="red"/>
              </w:rPr>
            </w:pPr>
          </w:p>
        </w:tc>
      </w:tr>
      <w:tr w:rsidR="00CD25A5" w:rsidRPr="003E718A" w14:paraId="3638D05A" w14:textId="77777777" w:rsidTr="009C6556">
        <w:trPr>
          <w:cantSplit/>
          <w:trHeight w:hRule="exact" w:val="282"/>
        </w:trPr>
        <w:tc>
          <w:tcPr>
            <w:tcW w:w="1215" w:type="pct"/>
            <w:tcBorders>
              <w:top w:val="nil"/>
              <w:bottom w:val="nil"/>
            </w:tcBorders>
            <w:vAlign w:val="center"/>
          </w:tcPr>
          <w:p w14:paraId="750F04EC" w14:textId="77777777" w:rsidR="00450C80" w:rsidRPr="003E718A" w:rsidRDefault="00450C80" w:rsidP="00450C80">
            <w:pPr>
              <w:contextualSpacing/>
              <w:rPr>
                <w:sz w:val="16"/>
                <w:szCs w:val="16"/>
              </w:rPr>
            </w:pPr>
            <w:r w:rsidRPr="003E718A">
              <w:rPr>
                <w:sz w:val="16"/>
                <w:szCs w:val="16"/>
              </w:rPr>
              <w:t>Acquisition volume (t-5)</w:t>
            </w:r>
          </w:p>
        </w:tc>
        <w:tc>
          <w:tcPr>
            <w:tcW w:w="463" w:type="pct"/>
            <w:tcBorders>
              <w:top w:val="nil"/>
              <w:bottom w:val="nil"/>
            </w:tcBorders>
            <w:vAlign w:val="center"/>
          </w:tcPr>
          <w:p w14:paraId="5C3CBD8E" w14:textId="77777777" w:rsidR="00450C80" w:rsidRPr="003E718A" w:rsidRDefault="00450C80" w:rsidP="00450C80">
            <w:pPr>
              <w:contextualSpacing/>
              <w:jc w:val="center"/>
              <w:rPr>
                <w:sz w:val="16"/>
                <w:szCs w:val="16"/>
              </w:rPr>
            </w:pPr>
            <w:r>
              <w:rPr>
                <w:sz w:val="16"/>
                <w:szCs w:val="16"/>
              </w:rPr>
              <w:t>0.05 (0.01)</w:t>
            </w:r>
          </w:p>
        </w:tc>
        <w:tc>
          <w:tcPr>
            <w:tcW w:w="411" w:type="pct"/>
            <w:tcBorders>
              <w:top w:val="nil"/>
              <w:bottom w:val="nil"/>
            </w:tcBorders>
            <w:vAlign w:val="center"/>
          </w:tcPr>
          <w:p w14:paraId="2140D91D" w14:textId="77777777" w:rsidR="00450C80" w:rsidRPr="003E718A" w:rsidRDefault="00450C80" w:rsidP="00450C80">
            <w:pPr>
              <w:contextualSpacing/>
              <w:jc w:val="center"/>
              <w:rPr>
                <w:sz w:val="16"/>
                <w:szCs w:val="16"/>
              </w:rPr>
            </w:pPr>
            <w:r>
              <w:rPr>
                <w:sz w:val="16"/>
                <w:szCs w:val="16"/>
              </w:rPr>
              <w:t>0.00 (0.09)</w:t>
            </w:r>
          </w:p>
        </w:tc>
        <w:tc>
          <w:tcPr>
            <w:tcW w:w="509" w:type="pct"/>
            <w:tcBorders>
              <w:top w:val="nil"/>
              <w:bottom w:val="nil"/>
            </w:tcBorders>
            <w:vAlign w:val="center"/>
          </w:tcPr>
          <w:p w14:paraId="4FD5EFEC" w14:textId="77777777" w:rsidR="00450C80" w:rsidRPr="003E718A" w:rsidRDefault="00450C80" w:rsidP="00450C80">
            <w:pPr>
              <w:contextualSpacing/>
              <w:jc w:val="center"/>
              <w:rPr>
                <w:sz w:val="16"/>
                <w:szCs w:val="16"/>
              </w:rPr>
            </w:pPr>
            <w:r>
              <w:rPr>
                <w:sz w:val="16"/>
                <w:szCs w:val="16"/>
              </w:rPr>
              <w:t>0.04 (0.00)</w:t>
            </w:r>
          </w:p>
        </w:tc>
        <w:tc>
          <w:tcPr>
            <w:tcW w:w="507" w:type="pct"/>
            <w:tcBorders>
              <w:top w:val="nil"/>
              <w:bottom w:val="nil"/>
            </w:tcBorders>
            <w:vAlign w:val="center"/>
          </w:tcPr>
          <w:p w14:paraId="5D620806" w14:textId="77777777" w:rsidR="00450C80" w:rsidRPr="003E718A" w:rsidRDefault="00450C80" w:rsidP="00450C80">
            <w:pPr>
              <w:contextualSpacing/>
              <w:jc w:val="center"/>
              <w:rPr>
                <w:sz w:val="16"/>
                <w:szCs w:val="16"/>
              </w:rPr>
            </w:pPr>
            <w:r>
              <w:rPr>
                <w:sz w:val="16"/>
                <w:szCs w:val="16"/>
              </w:rPr>
              <w:t>0.00 (0.06)</w:t>
            </w:r>
          </w:p>
        </w:tc>
        <w:tc>
          <w:tcPr>
            <w:tcW w:w="507" w:type="pct"/>
            <w:tcBorders>
              <w:top w:val="nil"/>
              <w:bottom w:val="nil"/>
            </w:tcBorders>
            <w:vAlign w:val="center"/>
          </w:tcPr>
          <w:p w14:paraId="14DABF79" w14:textId="77777777" w:rsidR="00450C80" w:rsidRPr="003E718A" w:rsidRDefault="00450C80" w:rsidP="00450C80">
            <w:pPr>
              <w:contextualSpacing/>
              <w:jc w:val="center"/>
              <w:rPr>
                <w:sz w:val="16"/>
                <w:szCs w:val="16"/>
              </w:rPr>
            </w:pPr>
            <w:r>
              <w:rPr>
                <w:sz w:val="16"/>
                <w:szCs w:val="16"/>
              </w:rPr>
              <w:t>0.02 (0.00)</w:t>
            </w:r>
          </w:p>
        </w:tc>
        <w:tc>
          <w:tcPr>
            <w:tcW w:w="463" w:type="pct"/>
            <w:tcBorders>
              <w:top w:val="nil"/>
              <w:bottom w:val="nil"/>
            </w:tcBorders>
            <w:vAlign w:val="center"/>
          </w:tcPr>
          <w:p w14:paraId="26F05103" w14:textId="77777777" w:rsidR="00450C80" w:rsidRPr="003E718A" w:rsidRDefault="00450C80" w:rsidP="00450C80">
            <w:pPr>
              <w:contextualSpacing/>
              <w:jc w:val="center"/>
              <w:rPr>
                <w:sz w:val="16"/>
                <w:szCs w:val="16"/>
              </w:rPr>
            </w:pPr>
            <w:r>
              <w:rPr>
                <w:sz w:val="16"/>
                <w:szCs w:val="16"/>
              </w:rPr>
              <w:t>0.00 (0.05)</w:t>
            </w:r>
          </w:p>
        </w:tc>
        <w:tc>
          <w:tcPr>
            <w:tcW w:w="463" w:type="pct"/>
            <w:tcBorders>
              <w:top w:val="nil"/>
              <w:bottom w:val="nil"/>
            </w:tcBorders>
            <w:vAlign w:val="center"/>
          </w:tcPr>
          <w:p w14:paraId="6C60A193"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52237B2A" w14:textId="77777777" w:rsidR="00450C80" w:rsidRPr="003E718A" w:rsidRDefault="00450C80" w:rsidP="00450C80">
            <w:pPr>
              <w:contextualSpacing/>
              <w:jc w:val="center"/>
              <w:rPr>
                <w:sz w:val="16"/>
                <w:szCs w:val="16"/>
                <w:highlight w:val="red"/>
              </w:rPr>
            </w:pPr>
          </w:p>
        </w:tc>
      </w:tr>
      <w:tr w:rsidR="00CD25A5" w:rsidRPr="003E718A" w14:paraId="3116A1C9" w14:textId="77777777" w:rsidTr="009C6556">
        <w:trPr>
          <w:cantSplit/>
          <w:trHeight w:hRule="exact" w:val="282"/>
        </w:trPr>
        <w:tc>
          <w:tcPr>
            <w:tcW w:w="1215" w:type="pct"/>
            <w:tcBorders>
              <w:top w:val="nil"/>
              <w:bottom w:val="nil"/>
            </w:tcBorders>
            <w:vAlign w:val="center"/>
          </w:tcPr>
          <w:p w14:paraId="3C9DDB38" w14:textId="77777777" w:rsidR="00450C80" w:rsidRPr="003E718A" w:rsidRDefault="00450C80" w:rsidP="00450C80">
            <w:pPr>
              <w:contextualSpacing/>
              <w:rPr>
                <w:sz w:val="16"/>
                <w:szCs w:val="16"/>
              </w:rPr>
            </w:pPr>
            <w:r w:rsidRPr="003E718A">
              <w:rPr>
                <w:sz w:val="16"/>
                <w:szCs w:val="16"/>
              </w:rPr>
              <w:t>Acquisitions outside main SIC code (t-1)</w:t>
            </w:r>
          </w:p>
        </w:tc>
        <w:tc>
          <w:tcPr>
            <w:tcW w:w="463" w:type="pct"/>
            <w:tcBorders>
              <w:top w:val="nil"/>
              <w:bottom w:val="nil"/>
            </w:tcBorders>
            <w:vAlign w:val="center"/>
          </w:tcPr>
          <w:p w14:paraId="0EEFDAF9" w14:textId="77777777" w:rsidR="00450C80" w:rsidRPr="003E718A" w:rsidRDefault="00450C80" w:rsidP="00450C80">
            <w:pPr>
              <w:contextualSpacing/>
              <w:jc w:val="center"/>
              <w:rPr>
                <w:sz w:val="16"/>
                <w:szCs w:val="16"/>
              </w:rPr>
            </w:pPr>
            <w:r>
              <w:rPr>
                <w:sz w:val="16"/>
                <w:szCs w:val="16"/>
              </w:rPr>
              <w:t>1.01* (0.00)</w:t>
            </w:r>
          </w:p>
        </w:tc>
        <w:tc>
          <w:tcPr>
            <w:tcW w:w="411" w:type="pct"/>
            <w:tcBorders>
              <w:top w:val="nil"/>
              <w:bottom w:val="nil"/>
            </w:tcBorders>
            <w:vAlign w:val="center"/>
          </w:tcPr>
          <w:p w14:paraId="22B03DF4" w14:textId="77777777" w:rsidR="00450C80" w:rsidRPr="003E718A" w:rsidRDefault="00450C80" w:rsidP="00450C80">
            <w:pPr>
              <w:contextualSpacing/>
              <w:jc w:val="center"/>
              <w:rPr>
                <w:sz w:val="16"/>
                <w:szCs w:val="16"/>
              </w:rPr>
            </w:pPr>
            <w:r>
              <w:rPr>
                <w:sz w:val="16"/>
                <w:szCs w:val="16"/>
              </w:rPr>
              <w:t>0.00 (0.07)</w:t>
            </w:r>
          </w:p>
        </w:tc>
        <w:tc>
          <w:tcPr>
            <w:tcW w:w="509" w:type="pct"/>
            <w:tcBorders>
              <w:top w:val="nil"/>
              <w:bottom w:val="nil"/>
            </w:tcBorders>
            <w:vAlign w:val="center"/>
          </w:tcPr>
          <w:p w14:paraId="5E4575A8" w14:textId="77777777" w:rsidR="00450C80" w:rsidRPr="003E718A" w:rsidRDefault="00450C80" w:rsidP="00450C80">
            <w:pPr>
              <w:contextualSpacing/>
              <w:jc w:val="center"/>
              <w:rPr>
                <w:sz w:val="16"/>
                <w:szCs w:val="16"/>
              </w:rPr>
            </w:pPr>
            <w:r>
              <w:rPr>
                <w:sz w:val="16"/>
                <w:szCs w:val="16"/>
              </w:rPr>
              <w:t>1.04* (0.00)</w:t>
            </w:r>
          </w:p>
        </w:tc>
        <w:tc>
          <w:tcPr>
            <w:tcW w:w="507" w:type="pct"/>
            <w:tcBorders>
              <w:top w:val="nil"/>
              <w:bottom w:val="nil"/>
            </w:tcBorders>
            <w:vAlign w:val="center"/>
          </w:tcPr>
          <w:p w14:paraId="29BF9AD4" w14:textId="77777777" w:rsidR="00450C80" w:rsidRPr="003E718A" w:rsidRDefault="00450C80" w:rsidP="00450C80">
            <w:pPr>
              <w:contextualSpacing/>
              <w:jc w:val="center"/>
              <w:rPr>
                <w:sz w:val="16"/>
                <w:szCs w:val="16"/>
              </w:rPr>
            </w:pPr>
            <w:r>
              <w:rPr>
                <w:sz w:val="16"/>
                <w:szCs w:val="16"/>
              </w:rPr>
              <w:t>0.00 (0.08)</w:t>
            </w:r>
          </w:p>
        </w:tc>
        <w:tc>
          <w:tcPr>
            <w:tcW w:w="507" w:type="pct"/>
            <w:tcBorders>
              <w:top w:val="nil"/>
              <w:bottom w:val="nil"/>
            </w:tcBorders>
            <w:vAlign w:val="center"/>
          </w:tcPr>
          <w:p w14:paraId="36A386F7" w14:textId="77777777" w:rsidR="00450C80" w:rsidRPr="003E718A" w:rsidRDefault="00450C80" w:rsidP="00450C80">
            <w:pPr>
              <w:contextualSpacing/>
              <w:jc w:val="center"/>
              <w:rPr>
                <w:sz w:val="16"/>
                <w:szCs w:val="16"/>
              </w:rPr>
            </w:pPr>
            <w:r>
              <w:rPr>
                <w:sz w:val="16"/>
                <w:szCs w:val="16"/>
              </w:rPr>
              <w:t>1.12* (0.00)</w:t>
            </w:r>
          </w:p>
        </w:tc>
        <w:tc>
          <w:tcPr>
            <w:tcW w:w="463" w:type="pct"/>
            <w:tcBorders>
              <w:top w:val="nil"/>
              <w:bottom w:val="nil"/>
            </w:tcBorders>
            <w:vAlign w:val="center"/>
          </w:tcPr>
          <w:p w14:paraId="3A7D844D" w14:textId="77777777" w:rsidR="00450C80" w:rsidRPr="003E718A" w:rsidRDefault="00450C80" w:rsidP="00450C80">
            <w:pPr>
              <w:contextualSpacing/>
              <w:jc w:val="center"/>
              <w:rPr>
                <w:sz w:val="16"/>
                <w:szCs w:val="16"/>
              </w:rPr>
            </w:pPr>
            <w:r>
              <w:rPr>
                <w:sz w:val="16"/>
                <w:szCs w:val="16"/>
              </w:rPr>
              <w:t>0.00 (0.11)</w:t>
            </w:r>
          </w:p>
        </w:tc>
        <w:tc>
          <w:tcPr>
            <w:tcW w:w="463" w:type="pct"/>
            <w:tcBorders>
              <w:top w:val="nil"/>
              <w:bottom w:val="nil"/>
            </w:tcBorders>
            <w:vAlign w:val="center"/>
          </w:tcPr>
          <w:p w14:paraId="7C495E41" w14:textId="77777777" w:rsidR="00450C80" w:rsidRPr="003E718A" w:rsidRDefault="00450C80" w:rsidP="00450C80">
            <w:pPr>
              <w:contextualSpacing/>
              <w:jc w:val="center"/>
              <w:rPr>
                <w:sz w:val="16"/>
                <w:szCs w:val="16"/>
              </w:rPr>
            </w:pPr>
            <w:r>
              <w:rPr>
                <w:sz w:val="16"/>
                <w:szCs w:val="16"/>
              </w:rPr>
              <w:t>1.15* (0.00)</w:t>
            </w:r>
          </w:p>
        </w:tc>
        <w:tc>
          <w:tcPr>
            <w:tcW w:w="461" w:type="pct"/>
            <w:tcBorders>
              <w:top w:val="nil"/>
              <w:bottom w:val="nil"/>
            </w:tcBorders>
            <w:vAlign w:val="center"/>
          </w:tcPr>
          <w:p w14:paraId="25B1CD1D" w14:textId="77777777" w:rsidR="00450C80" w:rsidRPr="003E718A" w:rsidRDefault="00450C80" w:rsidP="00450C80">
            <w:pPr>
              <w:contextualSpacing/>
              <w:jc w:val="center"/>
              <w:rPr>
                <w:sz w:val="16"/>
                <w:szCs w:val="16"/>
                <w:highlight w:val="red"/>
              </w:rPr>
            </w:pPr>
          </w:p>
        </w:tc>
      </w:tr>
      <w:tr w:rsidR="00CD25A5" w:rsidRPr="003E718A" w14:paraId="4AEF3493" w14:textId="77777777" w:rsidTr="009C6556">
        <w:trPr>
          <w:cantSplit/>
          <w:trHeight w:hRule="exact" w:val="282"/>
        </w:trPr>
        <w:tc>
          <w:tcPr>
            <w:tcW w:w="1215" w:type="pct"/>
            <w:tcBorders>
              <w:top w:val="nil"/>
              <w:bottom w:val="nil"/>
            </w:tcBorders>
            <w:vAlign w:val="center"/>
          </w:tcPr>
          <w:p w14:paraId="4C49641A" w14:textId="77777777" w:rsidR="00450C80" w:rsidRPr="003E718A" w:rsidRDefault="00450C80" w:rsidP="00450C80">
            <w:pPr>
              <w:contextualSpacing/>
              <w:rPr>
                <w:sz w:val="16"/>
                <w:szCs w:val="16"/>
              </w:rPr>
            </w:pPr>
            <w:r w:rsidRPr="003E718A">
              <w:rPr>
                <w:sz w:val="16"/>
                <w:szCs w:val="16"/>
              </w:rPr>
              <w:t>Acquisitions outside main SIC code (t-3)</w:t>
            </w:r>
          </w:p>
        </w:tc>
        <w:tc>
          <w:tcPr>
            <w:tcW w:w="463" w:type="pct"/>
            <w:tcBorders>
              <w:top w:val="nil"/>
              <w:bottom w:val="nil"/>
            </w:tcBorders>
            <w:vAlign w:val="center"/>
          </w:tcPr>
          <w:p w14:paraId="3692093F" w14:textId="77777777" w:rsidR="00450C80" w:rsidRPr="003E718A" w:rsidRDefault="00450C80" w:rsidP="00450C80">
            <w:pPr>
              <w:contextualSpacing/>
              <w:jc w:val="center"/>
              <w:rPr>
                <w:sz w:val="16"/>
                <w:szCs w:val="16"/>
              </w:rPr>
            </w:pPr>
            <w:r>
              <w:rPr>
                <w:sz w:val="16"/>
                <w:szCs w:val="16"/>
              </w:rPr>
              <w:t>0.09 (0.00)</w:t>
            </w:r>
          </w:p>
        </w:tc>
        <w:tc>
          <w:tcPr>
            <w:tcW w:w="411" w:type="pct"/>
            <w:tcBorders>
              <w:top w:val="nil"/>
              <w:bottom w:val="nil"/>
            </w:tcBorders>
            <w:vAlign w:val="center"/>
          </w:tcPr>
          <w:p w14:paraId="1B797A86" w14:textId="77777777" w:rsidR="00450C80" w:rsidRPr="003E718A" w:rsidRDefault="00450C80" w:rsidP="00450C80">
            <w:pPr>
              <w:contextualSpacing/>
              <w:jc w:val="center"/>
              <w:rPr>
                <w:sz w:val="16"/>
                <w:szCs w:val="16"/>
              </w:rPr>
            </w:pPr>
            <w:r>
              <w:rPr>
                <w:sz w:val="16"/>
                <w:szCs w:val="16"/>
              </w:rPr>
              <w:t>0.00 (0.13)</w:t>
            </w:r>
          </w:p>
        </w:tc>
        <w:tc>
          <w:tcPr>
            <w:tcW w:w="509" w:type="pct"/>
            <w:tcBorders>
              <w:top w:val="nil"/>
              <w:bottom w:val="nil"/>
            </w:tcBorders>
            <w:vAlign w:val="center"/>
          </w:tcPr>
          <w:p w14:paraId="1E5E28D8" w14:textId="77777777" w:rsidR="00450C80" w:rsidRPr="003E718A" w:rsidRDefault="00450C80" w:rsidP="00450C80">
            <w:pPr>
              <w:contextualSpacing/>
              <w:jc w:val="center"/>
              <w:rPr>
                <w:sz w:val="16"/>
                <w:szCs w:val="16"/>
              </w:rPr>
            </w:pPr>
            <w:r>
              <w:rPr>
                <w:sz w:val="16"/>
                <w:szCs w:val="16"/>
              </w:rPr>
              <w:t>0.06 (0.00)</w:t>
            </w:r>
          </w:p>
        </w:tc>
        <w:tc>
          <w:tcPr>
            <w:tcW w:w="507" w:type="pct"/>
            <w:tcBorders>
              <w:top w:val="nil"/>
              <w:bottom w:val="nil"/>
            </w:tcBorders>
            <w:vAlign w:val="center"/>
          </w:tcPr>
          <w:p w14:paraId="1D51A8DC" w14:textId="77777777" w:rsidR="00450C80" w:rsidRPr="003E718A" w:rsidRDefault="00450C80" w:rsidP="00450C80">
            <w:pPr>
              <w:contextualSpacing/>
              <w:jc w:val="center"/>
              <w:rPr>
                <w:sz w:val="16"/>
                <w:szCs w:val="16"/>
              </w:rPr>
            </w:pPr>
            <w:r>
              <w:rPr>
                <w:sz w:val="16"/>
                <w:szCs w:val="16"/>
              </w:rPr>
              <w:t>0.00 (0.10)</w:t>
            </w:r>
          </w:p>
        </w:tc>
        <w:tc>
          <w:tcPr>
            <w:tcW w:w="507" w:type="pct"/>
            <w:tcBorders>
              <w:top w:val="nil"/>
              <w:bottom w:val="nil"/>
            </w:tcBorders>
            <w:vAlign w:val="center"/>
          </w:tcPr>
          <w:p w14:paraId="60C7B0D9" w14:textId="77777777" w:rsidR="00450C80" w:rsidRPr="003E718A" w:rsidRDefault="00450C80" w:rsidP="00450C80">
            <w:pPr>
              <w:contextualSpacing/>
              <w:jc w:val="center"/>
              <w:rPr>
                <w:sz w:val="16"/>
                <w:szCs w:val="16"/>
              </w:rPr>
            </w:pPr>
            <w:r>
              <w:rPr>
                <w:sz w:val="16"/>
                <w:szCs w:val="16"/>
              </w:rPr>
              <w:t>0.05 (0.00)</w:t>
            </w:r>
          </w:p>
        </w:tc>
        <w:tc>
          <w:tcPr>
            <w:tcW w:w="463" w:type="pct"/>
            <w:tcBorders>
              <w:top w:val="nil"/>
              <w:bottom w:val="nil"/>
            </w:tcBorders>
            <w:vAlign w:val="center"/>
          </w:tcPr>
          <w:p w14:paraId="67D8661F" w14:textId="77777777" w:rsidR="00450C80" w:rsidRPr="003E718A" w:rsidRDefault="00450C80" w:rsidP="00450C80">
            <w:pPr>
              <w:contextualSpacing/>
              <w:jc w:val="center"/>
              <w:rPr>
                <w:sz w:val="16"/>
                <w:szCs w:val="16"/>
              </w:rPr>
            </w:pPr>
            <w:r>
              <w:rPr>
                <w:sz w:val="16"/>
                <w:szCs w:val="16"/>
              </w:rPr>
              <w:t>0.00 (0.09)</w:t>
            </w:r>
          </w:p>
        </w:tc>
        <w:tc>
          <w:tcPr>
            <w:tcW w:w="463" w:type="pct"/>
            <w:tcBorders>
              <w:top w:val="nil"/>
              <w:bottom w:val="nil"/>
            </w:tcBorders>
            <w:vAlign w:val="center"/>
          </w:tcPr>
          <w:p w14:paraId="73D2A5AD"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732AC5B2" w14:textId="77777777" w:rsidR="00450C80" w:rsidRPr="003E718A" w:rsidRDefault="00450C80" w:rsidP="00450C80">
            <w:pPr>
              <w:contextualSpacing/>
              <w:jc w:val="center"/>
              <w:rPr>
                <w:sz w:val="16"/>
                <w:szCs w:val="16"/>
                <w:highlight w:val="red"/>
              </w:rPr>
            </w:pPr>
          </w:p>
        </w:tc>
      </w:tr>
      <w:tr w:rsidR="00CD25A5" w:rsidRPr="003E718A" w14:paraId="454A149B" w14:textId="77777777" w:rsidTr="009C6556">
        <w:trPr>
          <w:cantSplit/>
          <w:trHeight w:hRule="exact" w:val="282"/>
        </w:trPr>
        <w:tc>
          <w:tcPr>
            <w:tcW w:w="1215" w:type="pct"/>
            <w:tcBorders>
              <w:top w:val="nil"/>
              <w:bottom w:val="nil"/>
            </w:tcBorders>
            <w:vAlign w:val="center"/>
          </w:tcPr>
          <w:p w14:paraId="55C0CF6E" w14:textId="77777777" w:rsidR="00450C80" w:rsidRPr="003E718A" w:rsidRDefault="00450C80" w:rsidP="00450C80">
            <w:pPr>
              <w:contextualSpacing/>
              <w:rPr>
                <w:sz w:val="16"/>
                <w:szCs w:val="16"/>
              </w:rPr>
            </w:pPr>
            <w:r w:rsidRPr="003E718A">
              <w:rPr>
                <w:sz w:val="16"/>
                <w:szCs w:val="16"/>
              </w:rPr>
              <w:t>Acquisitions outside main SIC code (t-5)</w:t>
            </w:r>
          </w:p>
        </w:tc>
        <w:tc>
          <w:tcPr>
            <w:tcW w:w="463" w:type="pct"/>
            <w:tcBorders>
              <w:top w:val="nil"/>
              <w:bottom w:val="nil"/>
            </w:tcBorders>
            <w:vAlign w:val="center"/>
          </w:tcPr>
          <w:p w14:paraId="60E29B9B" w14:textId="77777777" w:rsidR="00450C80" w:rsidRPr="003E718A" w:rsidRDefault="00450C80" w:rsidP="00450C80">
            <w:pPr>
              <w:contextualSpacing/>
              <w:jc w:val="center"/>
              <w:rPr>
                <w:sz w:val="16"/>
                <w:szCs w:val="16"/>
              </w:rPr>
            </w:pPr>
            <w:r>
              <w:rPr>
                <w:sz w:val="16"/>
                <w:szCs w:val="16"/>
              </w:rPr>
              <w:t>0.03 (0.00)</w:t>
            </w:r>
          </w:p>
        </w:tc>
        <w:tc>
          <w:tcPr>
            <w:tcW w:w="411" w:type="pct"/>
            <w:tcBorders>
              <w:top w:val="nil"/>
              <w:bottom w:val="nil"/>
            </w:tcBorders>
            <w:vAlign w:val="center"/>
          </w:tcPr>
          <w:p w14:paraId="707871AE" w14:textId="77777777" w:rsidR="00450C80" w:rsidRPr="003E718A" w:rsidRDefault="00450C80" w:rsidP="00450C80">
            <w:pPr>
              <w:contextualSpacing/>
              <w:jc w:val="center"/>
              <w:rPr>
                <w:sz w:val="16"/>
                <w:szCs w:val="16"/>
              </w:rPr>
            </w:pPr>
            <w:r>
              <w:rPr>
                <w:sz w:val="16"/>
                <w:szCs w:val="16"/>
              </w:rPr>
              <w:t>0.00 (0.16)</w:t>
            </w:r>
          </w:p>
        </w:tc>
        <w:tc>
          <w:tcPr>
            <w:tcW w:w="509" w:type="pct"/>
            <w:tcBorders>
              <w:top w:val="nil"/>
              <w:bottom w:val="nil"/>
            </w:tcBorders>
            <w:vAlign w:val="center"/>
          </w:tcPr>
          <w:p w14:paraId="57AE2163" w14:textId="77777777" w:rsidR="00450C80" w:rsidRPr="003E718A" w:rsidRDefault="00450C80" w:rsidP="00450C80">
            <w:pPr>
              <w:contextualSpacing/>
              <w:jc w:val="center"/>
              <w:rPr>
                <w:sz w:val="16"/>
                <w:szCs w:val="16"/>
              </w:rPr>
            </w:pPr>
            <w:r>
              <w:rPr>
                <w:sz w:val="16"/>
                <w:szCs w:val="16"/>
              </w:rPr>
              <w:t>0.04 (0.00)</w:t>
            </w:r>
          </w:p>
        </w:tc>
        <w:tc>
          <w:tcPr>
            <w:tcW w:w="507" w:type="pct"/>
            <w:tcBorders>
              <w:top w:val="nil"/>
              <w:bottom w:val="nil"/>
            </w:tcBorders>
            <w:vAlign w:val="center"/>
          </w:tcPr>
          <w:p w14:paraId="4E43B27F" w14:textId="77777777" w:rsidR="00450C80" w:rsidRPr="003E718A" w:rsidRDefault="00450C80" w:rsidP="00450C80">
            <w:pPr>
              <w:contextualSpacing/>
              <w:jc w:val="center"/>
              <w:rPr>
                <w:sz w:val="16"/>
                <w:szCs w:val="16"/>
              </w:rPr>
            </w:pPr>
            <w:r>
              <w:rPr>
                <w:sz w:val="16"/>
                <w:szCs w:val="16"/>
              </w:rPr>
              <w:t>0.00 (0.13)</w:t>
            </w:r>
          </w:p>
        </w:tc>
        <w:tc>
          <w:tcPr>
            <w:tcW w:w="507" w:type="pct"/>
            <w:tcBorders>
              <w:top w:val="nil"/>
              <w:bottom w:val="nil"/>
            </w:tcBorders>
            <w:vAlign w:val="center"/>
          </w:tcPr>
          <w:p w14:paraId="1623A2AF" w14:textId="77777777" w:rsidR="00450C80" w:rsidRPr="003E718A" w:rsidRDefault="00450C80" w:rsidP="00450C80">
            <w:pPr>
              <w:contextualSpacing/>
              <w:jc w:val="center"/>
              <w:rPr>
                <w:sz w:val="16"/>
                <w:szCs w:val="16"/>
              </w:rPr>
            </w:pPr>
            <w:r>
              <w:rPr>
                <w:sz w:val="16"/>
                <w:szCs w:val="16"/>
              </w:rPr>
              <w:t>0.02 (0.01)</w:t>
            </w:r>
          </w:p>
        </w:tc>
        <w:tc>
          <w:tcPr>
            <w:tcW w:w="463" w:type="pct"/>
            <w:tcBorders>
              <w:top w:val="nil"/>
              <w:bottom w:val="nil"/>
            </w:tcBorders>
            <w:vAlign w:val="center"/>
          </w:tcPr>
          <w:p w14:paraId="7024C04E" w14:textId="77777777" w:rsidR="00450C80" w:rsidRPr="003E718A" w:rsidRDefault="00450C80" w:rsidP="00450C80">
            <w:pPr>
              <w:contextualSpacing/>
              <w:jc w:val="center"/>
              <w:rPr>
                <w:sz w:val="16"/>
                <w:szCs w:val="16"/>
              </w:rPr>
            </w:pPr>
            <w:r>
              <w:rPr>
                <w:sz w:val="16"/>
                <w:szCs w:val="16"/>
              </w:rPr>
              <w:t>0.00 (0.08)</w:t>
            </w:r>
          </w:p>
        </w:tc>
        <w:tc>
          <w:tcPr>
            <w:tcW w:w="463" w:type="pct"/>
            <w:tcBorders>
              <w:top w:val="nil"/>
              <w:bottom w:val="nil"/>
            </w:tcBorders>
            <w:vAlign w:val="center"/>
          </w:tcPr>
          <w:p w14:paraId="4CF25B09" w14:textId="77777777" w:rsidR="00450C80" w:rsidRPr="003E718A" w:rsidRDefault="00450C80" w:rsidP="00450C80">
            <w:pPr>
              <w:contextualSpacing/>
              <w:jc w:val="center"/>
              <w:rPr>
                <w:sz w:val="16"/>
                <w:szCs w:val="16"/>
              </w:rPr>
            </w:pPr>
          </w:p>
        </w:tc>
        <w:tc>
          <w:tcPr>
            <w:tcW w:w="461" w:type="pct"/>
            <w:tcBorders>
              <w:top w:val="nil"/>
              <w:bottom w:val="nil"/>
            </w:tcBorders>
            <w:vAlign w:val="center"/>
          </w:tcPr>
          <w:p w14:paraId="089B34ED" w14:textId="77777777" w:rsidR="00450C80" w:rsidRPr="003E718A" w:rsidRDefault="00450C80" w:rsidP="00450C80">
            <w:pPr>
              <w:contextualSpacing/>
              <w:jc w:val="center"/>
              <w:rPr>
                <w:sz w:val="16"/>
                <w:szCs w:val="16"/>
                <w:highlight w:val="red"/>
              </w:rPr>
            </w:pPr>
          </w:p>
        </w:tc>
      </w:tr>
      <w:tr w:rsidR="00CD25A5" w:rsidRPr="003E718A" w14:paraId="076A25A6" w14:textId="77777777" w:rsidTr="009C6556">
        <w:trPr>
          <w:cantSplit/>
          <w:trHeight w:hRule="exact" w:val="243"/>
        </w:trPr>
        <w:tc>
          <w:tcPr>
            <w:tcW w:w="1215" w:type="pct"/>
            <w:tcBorders>
              <w:top w:val="nil"/>
              <w:bottom w:val="nil"/>
            </w:tcBorders>
            <w:vAlign w:val="center"/>
          </w:tcPr>
          <w:p w14:paraId="4605541A" w14:textId="77777777" w:rsidR="00450C80" w:rsidRPr="003E718A" w:rsidRDefault="00450C80" w:rsidP="00450C80">
            <w:pPr>
              <w:contextualSpacing/>
              <w:rPr>
                <w:sz w:val="16"/>
                <w:szCs w:val="16"/>
              </w:rPr>
            </w:pPr>
            <w:r w:rsidRPr="003E718A">
              <w:rPr>
                <w:sz w:val="16"/>
                <w:szCs w:val="16"/>
              </w:rPr>
              <w:t>CAR (initial M&amp;A announcement)</w:t>
            </w:r>
          </w:p>
        </w:tc>
        <w:tc>
          <w:tcPr>
            <w:tcW w:w="463" w:type="pct"/>
            <w:tcBorders>
              <w:top w:val="nil"/>
              <w:bottom w:val="nil"/>
            </w:tcBorders>
            <w:vAlign w:val="center"/>
          </w:tcPr>
          <w:p w14:paraId="55784276" w14:textId="77777777" w:rsidR="00450C80" w:rsidRPr="003E718A" w:rsidRDefault="00450C80" w:rsidP="00450C80">
            <w:pPr>
              <w:contextualSpacing/>
              <w:jc w:val="center"/>
              <w:rPr>
                <w:sz w:val="16"/>
                <w:szCs w:val="16"/>
              </w:rPr>
            </w:pPr>
            <w:r>
              <w:rPr>
                <w:sz w:val="16"/>
                <w:szCs w:val="16"/>
              </w:rPr>
              <w:t>2.03*** (0.00)</w:t>
            </w:r>
          </w:p>
        </w:tc>
        <w:tc>
          <w:tcPr>
            <w:tcW w:w="411" w:type="pct"/>
            <w:tcBorders>
              <w:top w:val="nil"/>
              <w:bottom w:val="nil"/>
            </w:tcBorders>
            <w:vAlign w:val="center"/>
          </w:tcPr>
          <w:p w14:paraId="019A7A9E" w14:textId="77777777" w:rsidR="00450C80" w:rsidRPr="003E718A" w:rsidRDefault="00450C80" w:rsidP="00450C80">
            <w:pPr>
              <w:contextualSpacing/>
              <w:jc w:val="center"/>
              <w:rPr>
                <w:sz w:val="16"/>
                <w:szCs w:val="16"/>
              </w:rPr>
            </w:pPr>
            <w:r>
              <w:rPr>
                <w:sz w:val="16"/>
                <w:szCs w:val="16"/>
              </w:rPr>
              <w:t>0.01</w:t>
            </w:r>
            <w:r w:rsidRPr="003E718A">
              <w:rPr>
                <w:sz w:val="16"/>
                <w:szCs w:val="16"/>
              </w:rPr>
              <w:t>†</w:t>
            </w:r>
            <w:r>
              <w:rPr>
                <w:sz w:val="16"/>
                <w:szCs w:val="16"/>
              </w:rPr>
              <w:t xml:space="preserve"> (0.00)</w:t>
            </w:r>
          </w:p>
        </w:tc>
        <w:tc>
          <w:tcPr>
            <w:tcW w:w="509" w:type="pct"/>
            <w:tcBorders>
              <w:top w:val="nil"/>
              <w:bottom w:val="nil"/>
            </w:tcBorders>
            <w:vAlign w:val="center"/>
          </w:tcPr>
          <w:p w14:paraId="1E5EB965" w14:textId="77777777" w:rsidR="00450C80" w:rsidRPr="003E718A" w:rsidRDefault="00450C80" w:rsidP="00450C80">
            <w:pPr>
              <w:contextualSpacing/>
              <w:jc w:val="center"/>
              <w:rPr>
                <w:sz w:val="16"/>
                <w:szCs w:val="16"/>
              </w:rPr>
            </w:pPr>
            <w:r>
              <w:rPr>
                <w:sz w:val="16"/>
                <w:szCs w:val="16"/>
              </w:rPr>
              <w:t>2.01*** (0.00)</w:t>
            </w:r>
          </w:p>
        </w:tc>
        <w:tc>
          <w:tcPr>
            <w:tcW w:w="507" w:type="pct"/>
            <w:tcBorders>
              <w:top w:val="nil"/>
              <w:bottom w:val="nil"/>
            </w:tcBorders>
            <w:vAlign w:val="center"/>
          </w:tcPr>
          <w:p w14:paraId="32FB21CC" w14:textId="77777777" w:rsidR="00450C80" w:rsidRPr="003E718A" w:rsidRDefault="00450C80" w:rsidP="00450C80">
            <w:pPr>
              <w:contextualSpacing/>
              <w:jc w:val="center"/>
              <w:rPr>
                <w:sz w:val="16"/>
                <w:szCs w:val="16"/>
              </w:rPr>
            </w:pPr>
            <w:r>
              <w:rPr>
                <w:sz w:val="16"/>
                <w:szCs w:val="16"/>
              </w:rPr>
              <w:t>0.01</w:t>
            </w:r>
            <w:r w:rsidRPr="003E718A">
              <w:rPr>
                <w:sz w:val="16"/>
                <w:szCs w:val="16"/>
              </w:rPr>
              <w:t>†</w:t>
            </w:r>
            <w:r>
              <w:rPr>
                <w:sz w:val="16"/>
                <w:szCs w:val="16"/>
              </w:rPr>
              <w:t xml:space="preserve"> (0.00)</w:t>
            </w:r>
          </w:p>
        </w:tc>
        <w:tc>
          <w:tcPr>
            <w:tcW w:w="507" w:type="pct"/>
            <w:tcBorders>
              <w:top w:val="nil"/>
              <w:bottom w:val="nil"/>
            </w:tcBorders>
            <w:vAlign w:val="center"/>
          </w:tcPr>
          <w:p w14:paraId="674C66BC" w14:textId="77777777" w:rsidR="00450C80" w:rsidRPr="003E718A" w:rsidRDefault="00450C80" w:rsidP="00450C80">
            <w:pPr>
              <w:contextualSpacing/>
              <w:jc w:val="center"/>
              <w:rPr>
                <w:sz w:val="16"/>
                <w:szCs w:val="16"/>
              </w:rPr>
            </w:pPr>
            <w:r>
              <w:rPr>
                <w:sz w:val="16"/>
                <w:szCs w:val="16"/>
              </w:rPr>
              <w:t>1.87*** (0.00)</w:t>
            </w:r>
          </w:p>
        </w:tc>
        <w:tc>
          <w:tcPr>
            <w:tcW w:w="463" w:type="pct"/>
            <w:tcBorders>
              <w:top w:val="nil"/>
              <w:bottom w:val="nil"/>
            </w:tcBorders>
            <w:vAlign w:val="center"/>
          </w:tcPr>
          <w:p w14:paraId="790E37C3" w14:textId="77777777" w:rsidR="00450C80" w:rsidRPr="003E718A" w:rsidRDefault="00450C80" w:rsidP="00450C80">
            <w:pPr>
              <w:contextualSpacing/>
              <w:jc w:val="center"/>
              <w:rPr>
                <w:sz w:val="16"/>
                <w:szCs w:val="16"/>
              </w:rPr>
            </w:pPr>
            <w:r>
              <w:rPr>
                <w:sz w:val="16"/>
                <w:szCs w:val="16"/>
              </w:rPr>
              <w:t>0.01</w:t>
            </w:r>
            <w:r w:rsidRPr="003E718A">
              <w:rPr>
                <w:sz w:val="16"/>
                <w:szCs w:val="16"/>
              </w:rPr>
              <w:t>†</w:t>
            </w:r>
            <w:r>
              <w:rPr>
                <w:sz w:val="16"/>
                <w:szCs w:val="16"/>
              </w:rPr>
              <w:t xml:space="preserve"> (0.00)</w:t>
            </w:r>
          </w:p>
        </w:tc>
        <w:tc>
          <w:tcPr>
            <w:tcW w:w="463" w:type="pct"/>
            <w:tcBorders>
              <w:top w:val="nil"/>
              <w:bottom w:val="nil"/>
            </w:tcBorders>
            <w:vAlign w:val="center"/>
          </w:tcPr>
          <w:p w14:paraId="317E26EE" w14:textId="77777777" w:rsidR="00450C80" w:rsidRPr="003E718A" w:rsidRDefault="00450C80" w:rsidP="00450C80">
            <w:pPr>
              <w:contextualSpacing/>
              <w:jc w:val="center"/>
              <w:rPr>
                <w:sz w:val="16"/>
                <w:szCs w:val="16"/>
              </w:rPr>
            </w:pPr>
            <w:r>
              <w:rPr>
                <w:sz w:val="16"/>
                <w:szCs w:val="16"/>
              </w:rPr>
              <w:t>1.91*** (0.00)</w:t>
            </w:r>
          </w:p>
        </w:tc>
        <w:tc>
          <w:tcPr>
            <w:tcW w:w="461" w:type="pct"/>
            <w:tcBorders>
              <w:top w:val="nil"/>
              <w:bottom w:val="nil"/>
            </w:tcBorders>
            <w:vAlign w:val="center"/>
          </w:tcPr>
          <w:p w14:paraId="4FA8524D" w14:textId="77777777" w:rsidR="00450C80" w:rsidRPr="003E718A" w:rsidRDefault="00450C80" w:rsidP="00450C80">
            <w:pPr>
              <w:contextualSpacing/>
              <w:jc w:val="center"/>
              <w:rPr>
                <w:sz w:val="16"/>
                <w:szCs w:val="16"/>
                <w:highlight w:val="red"/>
              </w:rPr>
            </w:pPr>
            <w:r>
              <w:rPr>
                <w:sz w:val="16"/>
                <w:szCs w:val="16"/>
              </w:rPr>
              <w:t>0.02</w:t>
            </w:r>
            <w:r w:rsidRPr="003E718A">
              <w:rPr>
                <w:sz w:val="16"/>
                <w:szCs w:val="16"/>
              </w:rPr>
              <w:t>†</w:t>
            </w:r>
            <w:r>
              <w:rPr>
                <w:sz w:val="16"/>
                <w:szCs w:val="16"/>
              </w:rPr>
              <w:t xml:space="preserve"> (0.00)</w:t>
            </w:r>
          </w:p>
        </w:tc>
      </w:tr>
      <w:tr w:rsidR="00CD25A5" w:rsidRPr="003E718A" w14:paraId="63555F4B" w14:textId="77777777" w:rsidTr="009C6556">
        <w:trPr>
          <w:cantSplit/>
          <w:trHeight w:hRule="exact" w:val="430"/>
        </w:trPr>
        <w:tc>
          <w:tcPr>
            <w:tcW w:w="1215" w:type="pct"/>
            <w:tcBorders>
              <w:top w:val="nil"/>
              <w:bottom w:val="single" w:sz="4" w:space="0" w:color="auto"/>
            </w:tcBorders>
            <w:vAlign w:val="center"/>
          </w:tcPr>
          <w:p w14:paraId="0E330456" w14:textId="5052E285" w:rsidR="00450C80" w:rsidRPr="003E718A" w:rsidRDefault="00CD25A5">
            <w:pPr>
              <w:contextualSpacing/>
              <w:rPr>
                <w:rFonts w:asciiTheme="minorHAnsi" w:hAnsiTheme="minorHAnsi" w:cstheme="minorBidi"/>
                <w:sz w:val="16"/>
                <w:szCs w:val="16"/>
                <w:lang w:val="en-US" w:eastAsia="en-US"/>
              </w:rPr>
            </w:pPr>
            <w:r>
              <w:rPr>
                <w:sz w:val="16"/>
                <w:szCs w:val="16"/>
              </w:rPr>
              <w:t>Change in a</w:t>
            </w:r>
            <w:r w:rsidR="00450C80" w:rsidRPr="003E718A">
              <w:rPr>
                <w:sz w:val="16"/>
                <w:szCs w:val="16"/>
              </w:rPr>
              <w:t xml:space="preserve">nalysts’ estimates </w:t>
            </w:r>
          </w:p>
        </w:tc>
        <w:tc>
          <w:tcPr>
            <w:tcW w:w="463" w:type="pct"/>
            <w:tcBorders>
              <w:top w:val="nil"/>
              <w:bottom w:val="single" w:sz="4" w:space="0" w:color="auto"/>
            </w:tcBorders>
            <w:vAlign w:val="center"/>
          </w:tcPr>
          <w:p w14:paraId="5639FF1A" w14:textId="77777777" w:rsidR="00450C80" w:rsidRPr="003E718A" w:rsidRDefault="00450C80" w:rsidP="00450C80">
            <w:pPr>
              <w:contextualSpacing/>
              <w:jc w:val="center"/>
              <w:rPr>
                <w:sz w:val="16"/>
                <w:szCs w:val="16"/>
              </w:rPr>
            </w:pPr>
            <w:r>
              <w:rPr>
                <w:sz w:val="16"/>
                <w:szCs w:val="16"/>
              </w:rPr>
              <w:t>0.07 (0.03)</w:t>
            </w:r>
          </w:p>
        </w:tc>
        <w:tc>
          <w:tcPr>
            <w:tcW w:w="411" w:type="pct"/>
            <w:tcBorders>
              <w:top w:val="nil"/>
              <w:bottom w:val="single" w:sz="4" w:space="0" w:color="auto"/>
            </w:tcBorders>
            <w:vAlign w:val="center"/>
          </w:tcPr>
          <w:p w14:paraId="09FC7A91" w14:textId="77777777" w:rsidR="00450C80" w:rsidRPr="003E718A" w:rsidRDefault="00450C80" w:rsidP="00450C80">
            <w:pPr>
              <w:contextualSpacing/>
              <w:jc w:val="center"/>
              <w:rPr>
                <w:sz w:val="16"/>
                <w:szCs w:val="16"/>
              </w:rPr>
            </w:pPr>
            <w:r>
              <w:rPr>
                <w:sz w:val="16"/>
                <w:szCs w:val="16"/>
              </w:rPr>
              <w:t>0.02</w:t>
            </w:r>
            <w:r w:rsidRPr="003E718A">
              <w:rPr>
                <w:sz w:val="16"/>
                <w:szCs w:val="16"/>
              </w:rPr>
              <w:t>†</w:t>
            </w:r>
            <w:r>
              <w:rPr>
                <w:sz w:val="16"/>
                <w:szCs w:val="16"/>
              </w:rPr>
              <w:t xml:space="preserve"> (0.00)</w:t>
            </w:r>
          </w:p>
        </w:tc>
        <w:tc>
          <w:tcPr>
            <w:tcW w:w="509" w:type="pct"/>
            <w:tcBorders>
              <w:top w:val="nil"/>
              <w:bottom w:val="single" w:sz="4" w:space="0" w:color="auto"/>
            </w:tcBorders>
            <w:vAlign w:val="center"/>
          </w:tcPr>
          <w:p w14:paraId="35F6B24A" w14:textId="77777777" w:rsidR="00450C80" w:rsidRPr="003E718A" w:rsidRDefault="00450C80" w:rsidP="00450C80">
            <w:pPr>
              <w:contextualSpacing/>
              <w:jc w:val="center"/>
              <w:rPr>
                <w:sz w:val="16"/>
                <w:szCs w:val="16"/>
              </w:rPr>
            </w:pPr>
            <w:r>
              <w:rPr>
                <w:sz w:val="16"/>
                <w:szCs w:val="16"/>
              </w:rPr>
              <w:t>0.08 (0.04)</w:t>
            </w:r>
          </w:p>
        </w:tc>
        <w:tc>
          <w:tcPr>
            <w:tcW w:w="507" w:type="pct"/>
            <w:tcBorders>
              <w:top w:val="nil"/>
              <w:bottom w:val="single" w:sz="4" w:space="0" w:color="auto"/>
            </w:tcBorders>
            <w:vAlign w:val="center"/>
          </w:tcPr>
          <w:p w14:paraId="5422A1C4" w14:textId="77777777" w:rsidR="00450C80" w:rsidRPr="003E718A" w:rsidRDefault="00450C80" w:rsidP="00450C80">
            <w:pPr>
              <w:contextualSpacing/>
              <w:jc w:val="center"/>
              <w:rPr>
                <w:sz w:val="16"/>
                <w:szCs w:val="16"/>
              </w:rPr>
            </w:pPr>
            <w:r>
              <w:rPr>
                <w:sz w:val="16"/>
                <w:szCs w:val="16"/>
              </w:rPr>
              <w:t>0.02</w:t>
            </w:r>
            <w:r w:rsidRPr="003E718A">
              <w:rPr>
                <w:sz w:val="16"/>
                <w:szCs w:val="16"/>
              </w:rPr>
              <w:t>†</w:t>
            </w:r>
            <w:r>
              <w:rPr>
                <w:sz w:val="16"/>
                <w:szCs w:val="16"/>
              </w:rPr>
              <w:t xml:space="preserve"> (0.00)</w:t>
            </w:r>
          </w:p>
        </w:tc>
        <w:tc>
          <w:tcPr>
            <w:tcW w:w="507" w:type="pct"/>
            <w:tcBorders>
              <w:top w:val="nil"/>
              <w:bottom w:val="single" w:sz="4" w:space="0" w:color="auto"/>
            </w:tcBorders>
            <w:vAlign w:val="center"/>
          </w:tcPr>
          <w:p w14:paraId="4FA4B0B9" w14:textId="77777777" w:rsidR="00450C80" w:rsidRPr="003E718A" w:rsidRDefault="00450C80" w:rsidP="00450C80">
            <w:pPr>
              <w:contextualSpacing/>
              <w:jc w:val="center"/>
              <w:rPr>
                <w:sz w:val="16"/>
                <w:szCs w:val="16"/>
              </w:rPr>
            </w:pPr>
            <w:r>
              <w:rPr>
                <w:sz w:val="16"/>
                <w:szCs w:val="16"/>
              </w:rPr>
              <w:t>0.05 (0.03)</w:t>
            </w:r>
          </w:p>
        </w:tc>
        <w:tc>
          <w:tcPr>
            <w:tcW w:w="463" w:type="pct"/>
            <w:tcBorders>
              <w:top w:val="nil"/>
              <w:bottom w:val="single" w:sz="4" w:space="0" w:color="auto"/>
            </w:tcBorders>
            <w:vAlign w:val="center"/>
          </w:tcPr>
          <w:p w14:paraId="7C1C7ED9" w14:textId="77777777" w:rsidR="00450C80" w:rsidRPr="003E718A" w:rsidRDefault="00450C80" w:rsidP="00450C80">
            <w:pPr>
              <w:contextualSpacing/>
              <w:jc w:val="center"/>
              <w:rPr>
                <w:sz w:val="16"/>
                <w:szCs w:val="16"/>
              </w:rPr>
            </w:pPr>
            <w:r>
              <w:rPr>
                <w:sz w:val="16"/>
                <w:szCs w:val="16"/>
              </w:rPr>
              <w:t>0.02</w:t>
            </w:r>
            <w:r w:rsidRPr="003E718A">
              <w:rPr>
                <w:sz w:val="16"/>
                <w:szCs w:val="16"/>
              </w:rPr>
              <w:t>†</w:t>
            </w:r>
            <w:r>
              <w:rPr>
                <w:sz w:val="16"/>
                <w:szCs w:val="16"/>
              </w:rPr>
              <w:t xml:space="preserve"> (0.00)</w:t>
            </w:r>
          </w:p>
        </w:tc>
        <w:tc>
          <w:tcPr>
            <w:tcW w:w="463" w:type="pct"/>
            <w:tcBorders>
              <w:top w:val="nil"/>
              <w:bottom w:val="single" w:sz="4" w:space="0" w:color="auto"/>
            </w:tcBorders>
            <w:vAlign w:val="center"/>
          </w:tcPr>
          <w:p w14:paraId="6C3B3C45" w14:textId="77777777" w:rsidR="00450C80" w:rsidRPr="003E718A" w:rsidRDefault="00450C80" w:rsidP="00450C80">
            <w:pPr>
              <w:contextualSpacing/>
              <w:jc w:val="center"/>
              <w:rPr>
                <w:sz w:val="16"/>
                <w:szCs w:val="16"/>
              </w:rPr>
            </w:pPr>
          </w:p>
        </w:tc>
        <w:tc>
          <w:tcPr>
            <w:tcW w:w="461" w:type="pct"/>
            <w:tcBorders>
              <w:top w:val="nil"/>
              <w:bottom w:val="single" w:sz="4" w:space="0" w:color="auto"/>
            </w:tcBorders>
            <w:vAlign w:val="center"/>
          </w:tcPr>
          <w:p w14:paraId="37842392" w14:textId="77777777" w:rsidR="00450C80" w:rsidRPr="003E718A" w:rsidRDefault="00450C80" w:rsidP="00450C80">
            <w:pPr>
              <w:contextualSpacing/>
              <w:jc w:val="center"/>
              <w:rPr>
                <w:sz w:val="16"/>
                <w:szCs w:val="16"/>
                <w:highlight w:val="red"/>
              </w:rPr>
            </w:pPr>
            <w:r>
              <w:rPr>
                <w:sz w:val="16"/>
                <w:szCs w:val="16"/>
              </w:rPr>
              <w:t>0.03</w:t>
            </w:r>
            <w:r w:rsidRPr="003E718A">
              <w:rPr>
                <w:sz w:val="16"/>
                <w:szCs w:val="16"/>
              </w:rPr>
              <w:t>†</w:t>
            </w:r>
            <w:r>
              <w:rPr>
                <w:sz w:val="16"/>
                <w:szCs w:val="16"/>
              </w:rPr>
              <w:t xml:space="preserve"> (0.00)</w:t>
            </w:r>
          </w:p>
        </w:tc>
      </w:tr>
      <w:tr w:rsidR="00CD25A5" w:rsidRPr="003E718A" w14:paraId="412F588A" w14:textId="77777777" w:rsidTr="009C6556">
        <w:trPr>
          <w:cantSplit/>
          <w:trHeight w:hRule="exact" w:val="287"/>
        </w:trPr>
        <w:tc>
          <w:tcPr>
            <w:tcW w:w="1215" w:type="pct"/>
            <w:tcBorders>
              <w:top w:val="single" w:sz="4" w:space="0" w:color="auto"/>
              <w:bottom w:val="nil"/>
            </w:tcBorders>
            <w:vAlign w:val="center"/>
          </w:tcPr>
          <w:p w14:paraId="5D35B67B" w14:textId="77777777" w:rsidR="00450C80" w:rsidRPr="003E718A" w:rsidRDefault="00450C80" w:rsidP="00450C80">
            <w:pPr>
              <w:contextualSpacing/>
              <w:rPr>
                <w:b/>
                <w:sz w:val="16"/>
                <w:szCs w:val="16"/>
              </w:rPr>
            </w:pPr>
            <w:r w:rsidRPr="003E718A">
              <w:rPr>
                <w:b/>
                <w:sz w:val="16"/>
                <w:szCs w:val="16"/>
              </w:rPr>
              <w:t>Observations</w:t>
            </w:r>
          </w:p>
        </w:tc>
        <w:tc>
          <w:tcPr>
            <w:tcW w:w="463" w:type="pct"/>
            <w:tcBorders>
              <w:top w:val="single" w:sz="4" w:space="0" w:color="auto"/>
              <w:bottom w:val="nil"/>
            </w:tcBorders>
            <w:vAlign w:val="center"/>
          </w:tcPr>
          <w:p w14:paraId="70A67EA6"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472</w:t>
            </w:r>
          </w:p>
        </w:tc>
        <w:tc>
          <w:tcPr>
            <w:tcW w:w="411" w:type="pct"/>
            <w:tcBorders>
              <w:top w:val="single" w:sz="4" w:space="0" w:color="auto"/>
              <w:bottom w:val="nil"/>
            </w:tcBorders>
            <w:vAlign w:val="center"/>
          </w:tcPr>
          <w:p w14:paraId="3E558AB6"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886</w:t>
            </w:r>
          </w:p>
        </w:tc>
        <w:tc>
          <w:tcPr>
            <w:tcW w:w="509" w:type="pct"/>
            <w:tcBorders>
              <w:top w:val="single" w:sz="4" w:space="0" w:color="auto"/>
              <w:bottom w:val="nil"/>
            </w:tcBorders>
            <w:vAlign w:val="center"/>
          </w:tcPr>
          <w:p w14:paraId="72B72AE0"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472</w:t>
            </w:r>
          </w:p>
        </w:tc>
        <w:tc>
          <w:tcPr>
            <w:tcW w:w="507" w:type="pct"/>
            <w:tcBorders>
              <w:top w:val="single" w:sz="4" w:space="0" w:color="auto"/>
              <w:bottom w:val="nil"/>
            </w:tcBorders>
            <w:vAlign w:val="center"/>
          </w:tcPr>
          <w:p w14:paraId="77F4CD81"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886</w:t>
            </w:r>
          </w:p>
        </w:tc>
        <w:tc>
          <w:tcPr>
            <w:tcW w:w="507" w:type="pct"/>
            <w:tcBorders>
              <w:top w:val="single" w:sz="4" w:space="0" w:color="auto"/>
              <w:bottom w:val="nil"/>
            </w:tcBorders>
            <w:vAlign w:val="center"/>
          </w:tcPr>
          <w:p w14:paraId="057CD111"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472</w:t>
            </w:r>
          </w:p>
        </w:tc>
        <w:tc>
          <w:tcPr>
            <w:tcW w:w="463" w:type="pct"/>
            <w:tcBorders>
              <w:top w:val="single" w:sz="4" w:space="0" w:color="auto"/>
              <w:bottom w:val="nil"/>
            </w:tcBorders>
            <w:vAlign w:val="center"/>
          </w:tcPr>
          <w:p w14:paraId="206D2EC0"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886</w:t>
            </w:r>
          </w:p>
        </w:tc>
        <w:tc>
          <w:tcPr>
            <w:tcW w:w="463" w:type="pct"/>
            <w:tcBorders>
              <w:top w:val="single" w:sz="4" w:space="0" w:color="auto"/>
              <w:bottom w:val="nil"/>
            </w:tcBorders>
            <w:vAlign w:val="center"/>
          </w:tcPr>
          <w:p w14:paraId="17A750B9"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472</w:t>
            </w:r>
          </w:p>
        </w:tc>
        <w:tc>
          <w:tcPr>
            <w:tcW w:w="461" w:type="pct"/>
            <w:tcBorders>
              <w:top w:val="single" w:sz="4" w:space="0" w:color="auto"/>
              <w:bottom w:val="nil"/>
            </w:tcBorders>
            <w:vAlign w:val="center"/>
          </w:tcPr>
          <w:p w14:paraId="08D07BF0" w14:textId="77777777" w:rsidR="00450C80" w:rsidRPr="003E718A" w:rsidRDefault="00450C80" w:rsidP="00450C80">
            <w:pPr>
              <w:keepNext/>
              <w:keepLines/>
              <w:spacing w:before="200"/>
              <w:contextualSpacing/>
              <w:jc w:val="center"/>
              <w:outlineLvl w:val="5"/>
              <w:rPr>
                <w:sz w:val="16"/>
                <w:szCs w:val="16"/>
              </w:rPr>
            </w:pPr>
            <w:r w:rsidRPr="003E718A">
              <w:rPr>
                <w:sz w:val="16"/>
                <w:szCs w:val="16"/>
              </w:rPr>
              <w:t>886</w:t>
            </w:r>
          </w:p>
        </w:tc>
      </w:tr>
      <w:tr w:rsidR="00CD25A5" w:rsidRPr="003E718A" w14:paraId="08BCEFB7" w14:textId="77777777" w:rsidTr="009C6556">
        <w:trPr>
          <w:cantSplit/>
          <w:trHeight w:hRule="exact" w:val="256"/>
        </w:trPr>
        <w:tc>
          <w:tcPr>
            <w:tcW w:w="1215" w:type="pct"/>
            <w:tcBorders>
              <w:top w:val="nil"/>
            </w:tcBorders>
            <w:vAlign w:val="center"/>
          </w:tcPr>
          <w:p w14:paraId="5064825E" w14:textId="77777777" w:rsidR="00450C80" w:rsidRPr="003E718A" w:rsidRDefault="00450C80" w:rsidP="00450C80">
            <w:pPr>
              <w:contextualSpacing/>
              <w:rPr>
                <w:rFonts w:asciiTheme="minorHAnsi" w:hAnsiTheme="minorHAnsi" w:cstheme="minorBidi"/>
                <w:b/>
                <w:sz w:val="16"/>
                <w:szCs w:val="16"/>
                <w:lang w:val="en-US" w:eastAsia="en-US"/>
              </w:rPr>
            </w:pPr>
            <w:r w:rsidRPr="003E718A">
              <w:rPr>
                <w:b/>
                <w:sz w:val="16"/>
                <w:szCs w:val="16"/>
              </w:rPr>
              <w:t>Chi sq.</w:t>
            </w:r>
          </w:p>
        </w:tc>
        <w:tc>
          <w:tcPr>
            <w:tcW w:w="463" w:type="pct"/>
            <w:tcBorders>
              <w:top w:val="nil"/>
            </w:tcBorders>
            <w:vAlign w:val="center"/>
          </w:tcPr>
          <w:p w14:paraId="3AEA40FE" w14:textId="77777777" w:rsidR="00450C80" w:rsidRPr="003E718A" w:rsidRDefault="00450C80" w:rsidP="00450C80">
            <w:pPr>
              <w:contextualSpacing/>
              <w:jc w:val="center"/>
              <w:rPr>
                <w:sz w:val="16"/>
                <w:szCs w:val="16"/>
              </w:rPr>
            </w:pPr>
            <w:r w:rsidRPr="003E718A">
              <w:rPr>
                <w:sz w:val="16"/>
                <w:szCs w:val="16"/>
              </w:rPr>
              <w:t>2</w:t>
            </w:r>
            <w:r>
              <w:rPr>
                <w:sz w:val="16"/>
                <w:szCs w:val="16"/>
              </w:rPr>
              <w:t>9</w:t>
            </w:r>
            <w:r w:rsidRPr="003E718A">
              <w:rPr>
                <w:sz w:val="16"/>
                <w:szCs w:val="16"/>
              </w:rPr>
              <w:t>.</w:t>
            </w:r>
            <w:r>
              <w:rPr>
                <w:sz w:val="16"/>
                <w:szCs w:val="16"/>
              </w:rPr>
              <w:t>52</w:t>
            </w:r>
            <w:r w:rsidRPr="003E718A">
              <w:rPr>
                <w:sz w:val="16"/>
                <w:szCs w:val="16"/>
              </w:rPr>
              <w:t>*</w:t>
            </w:r>
          </w:p>
        </w:tc>
        <w:tc>
          <w:tcPr>
            <w:tcW w:w="411" w:type="pct"/>
            <w:tcBorders>
              <w:top w:val="nil"/>
            </w:tcBorders>
            <w:vAlign w:val="center"/>
          </w:tcPr>
          <w:p w14:paraId="47CC18E1" w14:textId="77777777" w:rsidR="00450C80" w:rsidRPr="003E718A" w:rsidRDefault="00450C80" w:rsidP="00450C80">
            <w:pPr>
              <w:contextualSpacing/>
              <w:jc w:val="center"/>
              <w:rPr>
                <w:sz w:val="16"/>
                <w:szCs w:val="16"/>
              </w:rPr>
            </w:pPr>
            <w:r>
              <w:rPr>
                <w:sz w:val="16"/>
                <w:szCs w:val="16"/>
              </w:rPr>
              <w:t>16.82</w:t>
            </w:r>
            <w:r w:rsidRPr="003E718A">
              <w:rPr>
                <w:sz w:val="16"/>
                <w:szCs w:val="16"/>
              </w:rPr>
              <w:t>†</w:t>
            </w:r>
          </w:p>
        </w:tc>
        <w:tc>
          <w:tcPr>
            <w:tcW w:w="509" w:type="pct"/>
            <w:tcBorders>
              <w:top w:val="nil"/>
            </w:tcBorders>
            <w:vAlign w:val="center"/>
          </w:tcPr>
          <w:p w14:paraId="7BE349F3" w14:textId="77777777" w:rsidR="00450C80" w:rsidRPr="003E718A" w:rsidRDefault="00450C80" w:rsidP="00450C80">
            <w:pPr>
              <w:contextualSpacing/>
              <w:jc w:val="center"/>
              <w:rPr>
                <w:sz w:val="16"/>
                <w:szCs w:val="16"/>
              </w:rPr>
            </w:pPr>
            <w:r>
              <w:rPr>
                <w:sz w:val="16"/>
                <w:szCs w:val="16"/>
              </w:rPr>
              <w:t>31</w:t>
            </w:r>
            <w:r w:rsidRPr="003E718A">
              <w:rPr>
                <w:sz w:val="16"/>
                <w:szCs w:val="16"/>
              </w:rPr>
              <w:t>.</w:t>
            </w:r>
            <w:r>
              <w:rPr>
                <w:sz w:val="16"/>
                <w:szCs w:val="16"/>
              </w:rPr>
              <w:t>57</w:t>
            </w:r>
            <w:r w:rsidRPr="003E718A">
              <w:rPr>
                <w:sz w:val="16"/>
                <w:szCs w:val="16"/>
              </w:rPr>
              <w:t>**</w:t>
            </w:r>
          </w:p>
        </w:tc>
        <w:tc>
          <w:tcPr>
            <w:tcW w:w="507" w:type="pct"/>
            <w:tcBorders>
              <w:top w:val="nil"/>
            </w:tcBorders>
            <w:vAlign w:val="center"/>
          </w:tcPr>
          <w:p w14:paraId="5998E3CA" w14:textId="77777777" w:rsidR="00450C80" w:rsidRPr="003E718A" w:rsidRDefault="00450C80" w:rsidP="00450C80">
            <w:pPr>
              <w:contextualSpacing/>
              <w:jc w:val="center"/>
              <w:rPr>
                <w:sz w:val="16"/>
                <w:szCs w:val="16"/>
              </w:rPr>
            </w:pPr>
            <w:r>
              <w:rPr>
                <w:sz w:val="16"/>
                <w:szCs w:val="16"/>
              </w:rPr>
              <w:t>19</w:t>
            </w:r>
            <w:r w:rsidRPr="003E718A">
              <w:rPr>
                <w:sz w:val="16"/>
                <w:szCs w:val="16"/>
              </w:rPr>
              <w:t>.</w:t>
            </w:r>
            <w:r>
              <w:rPr>
                <w:sz w:val="16"/>
                <w:szCs w:val="16"/>
              </w:rPr>
              <w:t>27</w:t>
            </w:r>
            <w:r w:rsidRPr="003E718A">
              <w:rPr>
                <w:sz w:val="16"/>
                <w:szCs w:val="16"/>
              </w:rPr>
              <w:t>†</w:t>
            </w:r>
          </w:p>
        </w:tc>
        <w:tc>
          <w:tcPr>
            <w:tcW w:w="507" w:type="pct"/>
            <w:tcBorders>
              <w:top w:val="nil"/>
            </w:tcBorders>
            <w:vAlign w:val="center"/>
          </w:tcPr>
          <w:p w14:paraId="5967A79B" w14:textId="77777777" w:rsidR="00450C80" w:rsidRPr="003E718A" w:rsidRDefault="00450C80" w:rsidP="00450C80">
            <w:pPr>
              <w:contextualSpacing/>
              <w:jc w:val="center"/>
              <w:rPr>
                <w:sz w:val="16"/>
                <w:szCs w:val="16"/>
              </w:rPr>
            </w:pPr>
            <w:r>
              <w:rPr>
                <w:sz w:val="16"/>
                <w:szCs w:val="16"/>
              </w:rPr>
              <w:t>37</w:t>
            </w:r>
            <w:r w:rsidRPr="003E718A">
              <w:rPr>
                <w:sz w:val="16"/>
                <w:szCs w:val="16"/>
              </w:rPr>
              <w:t>.</w:t>
            </w:r>
            <w:r>
              <w:rPr>
                <w:sz w:val="16"/>
                <w:szCs w:val="16"/>
              </w:rPr>
              <w:t>92</w:t>
            </w:r>
            <w:r w:rsidRPr="003E718A">
              <w:rPr>
                <w:sz w:val="16"/>
                <w:szCs w:val="16"/>
              </w:rPr>
              <w:t>***</w:t>
            </w:r>
          </w:p>
        </w:tc>
        <w:tc>
          <w:tcPr>
            <w:tcW w:w="463" w:type="pct"/>
            <w:tcBorders>
              <w:top w:val="nil"/>
            </w:tcBorders>
            <w:vAlign w:val="center"/>
          </w:tcPr>
          <w:p w14:paraId="7895BC5F" w14:textId="77777777" w:rsidR="00450C80" w:rsidRPr="003E718A" w:rsidRDefault="00450C80" w:rsidP="00450C80">
            <w:pPr>
              <w:contextualSpacing/>
              <w:jc w:val="center"/>
              <w:rPr>
                <w:sz w:val="16"/>
                <w:szCs w:val="16"/>
              </w:rPr>
            </w:pPr>
            <w:r w:rsidRPr="003E718A">
              <w:rPr>
                <w:sz w:val="16"/>
                <w:szCs w:val="16"/>
              </w:rPr>
              <w:t>2</w:t>
            </w:r>
            <w:r>
              <w:rPr>
                <w:sz w:val="16"/>
                <w:szCs w:val="16"/>
              </w:rPr>
              <w:t>8</w:t>
            </w:r>
            <w:r w:rsidRPr="003E718A">
              <w:rPr>
                <w:sz w:val="16"/>
                <w:szCs w:val="16"/>
              </w:rPr>
              <w:t>.</w:t>
            </w:r>
            <w:r>
              <w:rPr>
                <w:sz w:val="16"/>
                <w:szCs w:val="16"/>
              </w:rPr>
              <w:t>27</w:t>
            </w:r>
            <w:r w:rsidRPr="003E718A">
              <w:rPr>
                <w:sz w:val="16"/>
                <w:szCs w:val="16"/>
              </w:rPr>
              <w:t>*</w:t>
            </w:r>
          </w:p>
        </w:tc>
        <w:tc>
          <w:tcPr>
            <w:tcW w:w="463" w:type="pct"/>
            <w:tcBorders>
              <w:top w:val="nil"/>
            </w:tcBorders>
            <w:vAlign w:val="center"/>
          </w:tcPr>
          <w:p w14:paraId="23688B43" w14:textId="77777777" w:rsidR="00450C80" w:rsidRPr="003E718A" w:rsidRDefault="00450C80" w:rsidP="00450C80">
            <w:pPr>
              <w:contextualSpacing/>
              <w:jc w:val="center"/>
              <w:rPr>
                <w:sz w:val="16"/>
                <w:szCs w:val="16"/>
              </w:rPr>
            </w:pPr>
            <w:r w:rsidRPr="003E718A">
              <w:rPr>
                <w:sz w:val="16"/>
                <w:szCs w:val="16"/>
              </w:rPr>
              <w:t>4</w:t>
            </w:r>
            <w:r>
              <w:rPr>
                <w:sz w:val="16"/>
                <w:szCs w:val="16"/>
              </w:rPr>
              <w:t>7</w:t>
            </w:r>
            <w:r w:rsidRPr="003E718A">
              <w:rPr>
                <w:sz w:val="16"/>
                <w:szCs w:val="16"/>
              </w:rPr>
              <w:t>.</w:t>
            </w:r>
            <w:r>
              <w:rPr>
                <w:sz w:val="16"/>
                <w:szCs w:val="16"/>
              </w:rPr>
              <w:t>18</w:t>
            </w:r>
            <w:r w:rsidRPr="003E718A">
              <w:rPr>
                <w:sz w:val="16"/>
                <w:szCs w:val="16"/>
              </w:rPr>
              <w:t>***</w:t>
            </w:r>
          </w:p>
        </w:tc>
        <w:tc>
          <w:tcPr>
            <w:tcW w:w="461" w:type="pct"/>
            <w:tcBorders>
              <w:top w:val="nil"/>
            </w:tcBorders>
            <w:vAlign w:val="center"/>
          </w:tcPr>
          <w:p w14:paraId="7CB361D4" w14:textId="77777777" w:rsidR="00450C80" w:rsidRPr="003E718A" w:rsidRDefault="00450C80" w:rsidP="00450C80">
            <w:pPr>
              <w:contextualSpacing/>
              <w:jc w:val="center"/>
              <w:rPr>
                <w:sz w:val="16"/>
                <w:szCs w:val="16"/>
              </w:rPr>
            </w:pPr>
            <w:r w:rsidRPr="003E718A">
              <w:rPr>
                <w:sz w:val="16"/>
                <w:szCs w:val="16"/>
              </w:rPr>
              <w:t>3</w:t>
            </w:r>
            <w:r>
              <w:rPr>
                <w:sz w:val="16"/>
                <w:szCs w:val="16"/>
              </w:rPr>
              <w:t>6.49</w:t>
            </w:r>
            <w:r w:rsidRPr="003E718A">
              <w:rPr>
                <w:sz w:val="16"/>
                <w:szCs w:val="16"/>
              </w:rPr>
              <w:t>**</w:t>
            </w:r>
          </w:p>
        </w:tc>
      </w:tr>
    </w:tbl>
    <w:p w14:paraId="7D0C637B" w14:textId="38724CB2" w:rsidR="00252C6A" w:rsidRPr="00CD71CD" w:rsidRDefault="00450C80" w:rsidP="00252C6A">
      <w:pPr>
        <w:spacing w:line="240" w:lineRule="auto"/>
        <w:ind w:left="-709"/>
        <w:rPr>
          <w:rFonts w:asciiTheme="majorBidi" w:hAnsiTheme="majorBidi" w:cstheme="majorBidi"/>
          <w:sz w:val="16"/>
          <w:szCs w:val="16"/>
        </w:rPr>
        <w:sectPr w:rsidR="00252C6A" w:rsidRPr="00CD71CD" w:rsidSect="003B1795">
          <w:footerReference w:type="even" r:id="rId14"/>
          <w:footerReference w:type="default" r:id="rId15"/>
          <w:pgSz w:w="16840" w:h="11900" w:orient="landscape"/>
          <w:pgMar w:top="1560" w:right="1440" w:bottom="993" w:left="1440" w:header="708" w:footer="708" w:gutter="0"/>
          <w:cols w:space="708"/>
          <w:docGrid w:linePitch="360"/>
        </w:sectPr>
      </w:pPr>
      <w:r w:rsidRPr="00E85F48">
        <w:rPr>
          <w:rFonts w:ascii="Times New Roman" w:hAnsi="Times New Roman" w:cs="Times New Roman"/>
          <w:b/>
          <w:sz w:val="16"/>
          <w:szCs w:val="16"/>
        </w:rPr>
        <w:t>†</w:t>
      </w:r>
      <w:r w:rsidRPr="00E85F48">
        <w:rPr>
          <w:rFonts w:ascii="Times New Roman" w:hAnsi="Times New Roman" w:cs="Times New Roman"/>
          <w:sz w:val="16"/>
          <w:szCs w:val="16"/>
        </w:rPr>
        <w:t xml:space="preserve">p&lt;0.10; *p&lt;0.05; **p&lt;0.01; ***p&lt;0.005; ****p&lt;0.001. </w:t>
      </w:r>
      <w:r w:rsidRPr="00E85F48">
        <w:rPr>
          <w:rFonts w:asciiTheme="majorBidi" w:hAnsiTheme="majorBidi" w:cstheme="majorBidi"/>
          <w:sz w:val="16"/>
          <w:szCs w:val="16"/>
        </w:rPr>
        <w:t>Standard errors in parentheses. All models include year fix</w:t>
      </w:r>
      <w:r w:rsidR="00CD71CD">
        <w:rPr>
          <w:rFonts w:asciiTheme="majorBidi" w:hAnsiTheme="majorBidi" w:cstheme="majorBidi"/>
          <w:sz w:val="16"/>
          <w:szCs w:val="16"/>
        </w:rPr>
        <w:t>ed, industry, and order effects</w:t>
      </w:r>
    </w:p>
    <w:p w14:paraId="1B11533A" w14:textId="77777777" w:rsidR="00874F55" w:rsidRPr="00651C16" w:rsidRDefault="00874F55" w:rsidP="00252C6A">
      <w:pPr>
        <w:widowControl w:val="0"/>
        <w:autoSpaceDE w:val="0"/>
        <w:autoSpaceDN w:val="0"/>
        <w:adjustRightInd w:val="0"/>
        <w:spacing w:after="240" w:line="240" w:lineRule="auto"/>
        <w:rPr>
          <w:b/>
        </w:rPr>
      </w:pPr>
    </w:p>
    <w:sectPr w:rsidR="00874F55" w:rsidRPr="00651C16" w:rsidSect="00253BE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085FD" w14:textId="77777777" w:rsidR="0045382D" w:rsidRDefault="0045382D" w:rsidP="009E2D1A">
      <w:pPr>
        <w:spacing w:after="0" w:line="240" w:lineRule="auto"/>
      </w:pPr>
      <w:r>
        <w:separator/>
      </w:r>
    </w:p>
  </w:endnote>
  <w:endnote w:type="continuationSeparator" w:id="0">
    <w:p w14:paraId="18AC36E7" w14:textId="77777777" w:rsidR="0045382D" w:rsidRDefault="0045382D" w:rsidP="009E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6BDE" w14:textId="77777777" w:rsidR="0045382D" w:rsidRDefault="0045382D" w:rsidP="00817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D25A5" w14:textId="77777777" w:rsidR="0045382D" w:rsidRDefault="004538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725C" w14:textId="77777777" w:rsidR="0045382D" w:rsidRDefault="0045382D" w:rsidP="00817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F36">
      <w:rPr>
        <w:rStyle w:val="PageNumber"/>
        <w:noProof/>
      </w:rPr>
      <w:t>28</w:t>
    </w:r>
    <w:r>
      <w:rPr>
        <w:rStyle w:val="PageNumber"/>
      </w:rPr>
      <w:fldChar w:fldCharType="end"/>
    </w:r>
  </w:p>
  <w:p w14:paraId="16500D7D" w14:textId="77777777" w:rsidR="0045382D" w:rsidRDefault="004538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AB26" w14:textId="77777777" w:rsidR="0045382D" w:rsidRDefault="0045382D" w:rsidP="00883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7C684" w14:textId="77777777" w:rsidR="0045382D" w:rsidRDefault="004538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18B3" w14:textId="77777777" w:rsidR="0045382D" w:rsidRDefault="0045382D" w:rsidP="00883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F36">
      <w:rPr>
        <w:rStyle w:val="PageNumber"/>
        <w:noProof/>
      </w:rPr>
      <w:t>32</w:t>
    </w:r>
    <w:r>
      <w:rPr>
        <w:rStyle w:val="PageNumber"/>
      </w:rPr>
      <w:fldChar w:fldCharType="end"/>
    </w:r>
  </w:p>
  <w:p w14:paraId="0BC14E04" w14:textId="77777777" w:rsidR="0045382D" w:rsidRDefault="0045382D" w:rsidP="00252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F45C" w14:textId="77777777" w:rsidR="0045382D" w:rsidRDefault="0045382D" w:rsidP="009E2D1A">
      <w:pPr>
        <w:spacing w:after="0" w:line="240" w:lineRule="auto"/>
      </w:pPr>
      <w:r>
        <w:separator/>
      </w:r>
    </w:p>
  </w:footnote>
  <w:footnote w:type="continuationSeparator" w:id="0">
    <w:p w14:paraId="728C9C9B" w14:textId="77777777" w:rsidR="0045382D" w:rsidRDefault="0045382D" w:rsidP="009E2D1A">
      <w:pPr>
        <w:spacing w:after="0" w:line="240" w:lineRule="auto"/>
      </w:pPr>
      <w:r>
        <w:continuationSeparator/>
      </w:r>
    </w:p>
  </w:footnote>
  <w:footnote w:id="1">
    <w:p w14:paraId="266B17C3" w14:textId="77777777" w:rsidR="0045382D" w:rsidRPr="002E7BA4" w:rsidRDefault="0045382D" w:rsidP="00A452E7">
      <w:pPr>
        <w:pStyle w:val="FootnoteText"/>
        <w:rPr>
          <w:lang w:val="en-GB"/>
        </w:rPr>
      </w:pPr>
      <w:r>
        <w:rPr>
          <w:rStyle w:val="FootnoteReference"/>
        </w:rPr>
        <w:footnoteRef/>
      </w:r>
      <w:r>
        <w:t xml:space="preserve"> </w:t>
      </w:r>
      <w:r w:rsidRPr="00253BEB">
        <w:rPr>
          <w:rFonts w:ascii="Times New Roman" w:hAnsi="Times New Roman" w:cs="Times New Roman"/>
        </w:rPr>
        <w:t xml:space="preserve">2014 M&amp;A global activity at $3.5 trillion exceeded the GDP of France </w:t>
      </w:r>
      <w:r w:rsidRPr="00253BEB">
        <w:rPr>
          <w:rFonts w:ascii="Times New Roman" w:hAnsi="Times New Roman" w:cs="Times New Roman"/>
          <w:lang w:val="en-GB"/>
        </w:rPr>
        <w:t>($2.9trl - the 5</w:t>
      </w:r>
      <w:r w:rsidRPr="00253BEB">
        <w:rPr>
          <w:rFonts w:ascii="Times New Roman" w:hAnsi="Times New Roman" w:cs="Times New Roman"/>
          <w:vertAlign w:val="superscript"/>
          <w:lang w:val="en-GB"/>
        </w:rPr>
        <w:t>th</w:t>
      </w:r>
      <w:r w:rsidRPr="00253BEB">
        <w:rPr>
          <w:rFonts w:ascii="Times New Roman" w:hAnsi="Times New Roman" w:cs="Times New Roman"/>
          <w:lang w:val="en-GB"/>
        </w:rPr>
        <w:t xml:space="preserve"> largest economy in the world)</w:t>
      </w:r>
      <w:r w:rsidRPr="002E7BA4">
        <w:rPr>
          <w:lang w:val="en-GB"/>
        </w:rPr>
        <w:t xml:space="preserve"> </w:t>
      </w:r>
    </w:p>
    <w:p w14:paraId="757B5FD0" w14:textId="77777777" w:rsidR="0045382D" w:rsidRDefault="0045382D" w:rsidP="00A452E7">
      <w:pPr>
        <w:pStyle w:val="FootnoteText"/>
      </w:pPr>
    </w:p>
  </w:footnote>
  <w:footnote w:id="2">
    <w:p w14:paraId="44D01618" w14:textId="77777777" w:rsidR="0045382D" w:rsidRPr="00253BEB" w:rsidRDefault="0045382D" w:rsidP="00253BEB">
      <w:pPr>
        <w:spacing w:after="0" w:line="240" w:lineRule="auto"/>
        <w:contextualSpacing/>
        <w:rPr>
          <w:rFonts w:ascii="Times New Roman" w:hAnsi="Times New Roman" w:cs="Times New Roman"/>
          <w:sz w:val="20"/>
          <w:szCs w:val="20"/>
        </w:rPr>
      </w:pPr>
      <w:r w:rsidRPr="00253BEB">
        <w:rPr>
          <w:rStyle w:val="FootnoteReference"/>
          <w:rFonts w:ascii="Times New Roman" w:hAnsi="Times New Roman"/>
          <w:sz w:val="20"/>
          <w:szCs w:val="20"/>
        </w:rPr>
        <w:footnoteRef/>
      </w:r>
      <w:r w:rsidRPr="00253BEB">
        <w:rPr>
          <w:rFonts w:ascii="Times New Roman" w:hAnsi="Times New Roman" w:cs="Times New Roman"/>
          <w:sz w:val="20"/>
          <w:szCs w:val="20"/>
        </w:rPr>
        <w:t xml:space="preserve"> Legal advisors in the magic circle for the UK: </w:t>
      </w:r>
      <w:r w:rsidRPr="00253BEB">
        <w:rPr>
          <w:rFonts w:ascii="Times New Roman" w:hAnsi="Times New Roman" w:cs="Times New Roman"/>
          <w:color w:val="000000"/>
          <w:sz w:val="20"/>
          <w:szCs w:val="20"/>
          <w:lang w:bidi="he-IL"/>
        </w:rPr>
        <w:t xml:space="preserve">Allen &amp; Ovary , Freshfields Bruckhaus Deringer, Linklaters, Slaughter and May; For USA: </w:t>
      </w:r>
      <w:r w:rsidRPr="00253BEB">
        <w:rPr>
          <w:rFonts w:ascii="Times New Roman" w:hAnsi="Times New Roman" w:cs="Times New Roman"/>
          <w:sz w:val="20"/>
          <w:szCs w:val="20"/>
        </w:rPr>
        <w:t>Arnold &amp; Porter; Cadwalader, Wickersham &amp; Taft; Cravath,  Swaine &amp; Moore; Covington &amp; Burling; Davis Polk &amp; Wardwell; Debevoise &amp; Plimpton; Dewey &amp; LeBoeuf; Hogan &amp; Hartson; Latham &amp; Watkins; Milbank, Tweed,  Hadley &amp; McCloy; Ropes &amp; Gray; Shearman &amp; Sterling; Sidley Austin; Simpson, Thacher &amp; Bartlett; Sullivan &amp; Cromwell; White &amp; Case; Willkie Farr &amp; Gallagher; WilmerHale.</w:t>
      </w:r>
    </w:p>
    <w:p w14:paraId="7DEC6265" w14:textId="77777777" w:rsidR="0045382D" w:rsidRPr="00253BEB" w:rsidRDefault="0045382D" w:rsidP="00253BEB">
      <w:pPr>
        <w:spacing w:after="0" w:line="240" w:lineRule="auto"/>
        <w:contextualSpacing/>
        <w:rPr>
          <w:rFonts w:ascii="Times New Roman" w:hAnsi="Times New Roman" w:cs="Times New Roman"/>
          <w:sz w:val="20"/>
          <w:szCs w:val="20"/>
        </w:rPr>
      </w:pPr>
    </w:p>
  </w:footnote>
  <w:footnote w:id="3">
    <w:p w14:paraId="7087A810" w14:textId="77777777" w:rsidR="0045382D" w:rsidRPr="00253BEB" w:rsidRDefault="0045382D" w:rsidP="00253BEB">
      <w:pPr>
        <w:spacing w:after="0" w:line="240" w:lineRule="auto"/>
        <w:contextualSpacing/>
        <w:rPr>
          <w:rFonts w:ascii="Times New Roman" w:hAnsi="Times New Roman" w:cs="Times New Roman"/>
          <w:sz w:val="20"/>
          <w:szCs w:val="20"/>
        </w:rPr>
      </w:pPr>
      <w:r w:rsidRPr="00253BEB">
        <w:rPr>
          <w:rStyle w:val="FootnoteReference"/>
          <w:rFonts w:ascii="Times New Roman" w:hAnsi="Times New Roman"/>
          <w:sz w:val="20"/>
          <w:szCs w:val="20"/>
        </w:rPr>
        <w:footnoteRef/>
      </w:r>
      <w:r w:rsidRPr="00253BEB">
        <w:rPr>
          <w:rFonts w:ascii="Times New Roman" w:hAnsi="Times New Roman" w:cs="Times New Roman"/>
          <w:sz w:val="20"/>
          <w:szCs w:val="20"/>
        </w:rPr>
        <w:t>Financial advisors in the bulge bracket: Dillon, Read &amp; Co.; Swiss Bank Corporation; UBS ; First Boston ; Credit Suisse ; Kuhn, Loeb &amp; Co.; Lehman Brothers ; Merrill Lynch ; Bank of America ; Salomon Brothers ; Travelers Group ; Bank of America Merrill Lynch; Barclays Capital ; Citigroup ; Deutsche Bank ; Goldman Sachs ; JPMorgan Chase ; Morgan Stanley ; Lazard Freres &amp; Co. ;  Goldman, Sachs &amp; Co. ; N M Rothschild &amp; Sons</w:t>
      </w:r>
    </w:p>
    <w:p w14:paraId="1F4752E5" w14:textId="77777777" w:rsidR="0045382D" w:rsidRPr="00253BEB" w:rsidRDefault="0045382D">
      <w:pPr>
        <w:pStyle w:val="FootnoteText"/>
        <w:contextualSpacing/>
        <w:rPr>
          <w:rFonts w:ascii="Times New Roman" w:hAnsi="Times New Roman" w:cs="Times New Roman"/>
          <w:lang w:val="en-GB"/>
        </w:rPr>
      </w:pPr>
    </w:p>
  </w:footnote>
  <w:footnote w:id="4">
    <w:p w14:paraId="5A900577" w14:textId="64D86DB5" w:rsidR="0045382D" w:rsidRPr="00253BEB" w:rsidRDefault="0045382D" w:rsidP="00253BEB">
      <w:pPr>
        <w:spacing w:after="0" w:line="240" w:lineRule="auto"/>
        <w:contextualSpacing/>
        <w:rPr>
          <w:rFonts w:ascii="Times New Roman" w:hAnsi="Times New Roman" w:cs="Times New Roman"/>
          <w:sz w:val="20"/>
          <w:szCs w:val="20"/>
          <w:lang w:val="en-GB"/>
        </w:rPr>
      </w:pPr>
      <w:r w:rsidRPr="00253BEB">
        <w:rPr>
          <w:rStyle w:val="FootnoteReference"/>
          <w:rFonts w:ascii="Times New Roman" w:hAnsi="Times New Roman"/>
          <w:sz w:val="20"/>
          <w:szCs w:val="20"/>
        </w:rPr>
        <w:footnoteRef/>
      </w:r>
      <w:r w:rsidRPr="00253BEB">
        <w:rPr>
          <w:rFonts w:ascii="Times New Roman" w:hAnsi="Times New Roman" w:cs="Times New Roman"/>
          <w:sz w:val="20"/>
          <w:szCs w:val="20"/>
        </w:rPr>
        <w:t xml:space="preserve"> White shoe consultants: Bain &amp; Company; Boston Consulting Group; McKinsey &amp; Company; A.T. Kearney; Booz &amp; Company; Arthur D. Little;  Monitor Group</w:t>
      </w:r>
    </w:p>
  </w:footnote>
  <w:footnote w:id="5">
    <w:p w14:paraId="559D73B5" w14:textId="77777777" w:rsidR="0045382D" w:rsidRDefault="0045382D" w:rsidP="009545BE">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cs="Times New Roman"/>
        </w:rPr>
        <w:t xml:space="preserve"> </w:t>
      </w:r>
      <w:r>
        <w:rPr>
          <w:rFonts w:ascii="Times New Roman" w:hAnsi="Times New Roman" w:cs="Times New Roman"/>
          <w:lang w:val="en-GB"/>
        </w:rPr>
        <w:t>Source: Datastream</w:t>
      </w:r>
    </w:p>
    <w:p w14:paraId="146CBD00" w14:textId="77777777" w:rsidR="0045382D" w:rsidRDefault="0045382D" w:rsidP="009545B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279E6"/>
    <w:multiLevelType w:val="hybridMultilevel"/>
    <w:tmpl w:val="335E1292"/>
    <w:lvl w:ilvl="0" w:tplc="8170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D6539"/>
    <w:multiLevelType w:val="multilevel"/>
    <w:tmpl w:val="23E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F71EF"/>
    <w:multiLevelType w:val="hybridMultilevel"/>
    <w:tmpl w:val="8ED89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C5A2B"/>
    <w:multiLevelType w:val="hybridMultilevel"/>
    <w:tmpl w:val="E08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1A"/>
    <w:rsid w:val="000017BB"/>
    <w:rsid w:val="00002AD5"/>
    <w:rsid w:val="00014B98"/>
    <w:rsid w:val="00014BC4"/>
    <w:rsid w:val="00014CE3"/>
    <w:rsid w:val="000219B2"/>
    <w:rsid w:val="00025302"/>
    <w:rsid w:val="00032EF8"/>
    <w:rsid w:val="000351D7"/>
    <w:rsid w:val="00037789"/>
    <w:rsid w:val="000459E7"/>
    <w:rsid w:val="000526EA"/>
    <w:rsid w:val="00053DDC"/>
    <w:rsid w:val="00054E3A"/>
    <w:rsid w:val="000633AA"/>
    <w:rsid w:val="0006384C"/>
    <w:rsid w:val="00065409"/>
    <w:rsid w:val="00067088"/>
    <w:rsid w:val="00071400"/>
    <w:rsid w:val="000742B4"/>
    <w:rsid w:val="00074BC0"/>
    <w:rsid w:val="00081623"/>
    <w:rsid w:val="00083F2D"/>
    <w:rsid w:val="0009038E"/>
    <w:rsid w:val="00093140"/>
    <w:rsid w:val="00093F74"/>
    <w:rsid w:val="00097737"/>
    <w:rsid w:val="000A0FCF"/>
    <w:rsid w:val="000A2977"/>
    <w:rsid w:val="000A4CBB"/>
    <w:rsid w:val="000A6BEE"/>
    <w:rsid w:val="000A7F33"/>
    <w:rsid w:val="000B1993"/>
    <w:rsid w:val="000B3069"/>
    <w:rsid w:val="000B5133"/>
    <w:rsid w:val="000C7A6C"/>
    <w:rsid w:val="000C7D57"/>
    <w:rsid w:val="000D0C6F"/>
    <w:rsid w:val="000D0F59"/>
    <w:rsid w:val="000D28CC"/>
    <w:rsid w:val="000D35D6"/>
    <w:rsid w:val="000D40EB"/>
    <w:rsid w:val="000D4874"/>
    <w:rsid w:val="000D632D"/>
    <w:rsid w:val="000E5E64"/>
    <w:rsid w:val="000F1ECF"/>
    <w:rsid w:val="000F2EB1"/>
    <w:rsid w:val="000F4B66"/>
    <w:rsid w:val="00103DCF"/>
    <w:rsid w:val="0010572E"/>
    <w:rsid w:val="001103E7"/>
    <w:rsid w:val="00115B04"/>
    <w:rsid w:val="001164AC"/>
    <w:rsid w:val="00117EF6"/>
    <w:rsid w:val="00123DAF"/>
    <w:rsid w:val="00124A69"/>
    <w:rsid w:val="001335D8"/>
    <w:rsid w:val="00133F98"/>
    <w:rsid w:val="00134B20"/>
    <w:rsid w:val="001411B3"/>
    <w:rsid w:val="00143E02"/>
    <w:rsid w:val="00144BCF"/>
    <w:rsid w:val="001451C1"/>
    <w:rsid w:val="00152FEF"/>
    <w:rsid w:val="001635F0"/>
    <w:rsid w:val="00163FFE"/>
    <w:rsid w:val="001647FD"/>
    <w:rsid w:val="00176732"/>
    <w:rsid w:val="00177AC0"/>
    <w:rsid w:val="0018436D"/>
    <w:rsid w:val="0018477A"/>
    <w:rsid w:val="00186326"/>
    <w:rsid w:val="00186AFA"/>
    <w:rsid w:val="00187610"/>
    <w:rsid w:val="001903BA"/>
    <w:rsid w:val="001920D0"/>
    <w:rsid w:val="00192FB8"/>
    <w:rsid w:val="001945DC"/>
    <w:rsid w:val="00196337"/>
    <w:rsid w:val="0019744A"/>
    <w:rsid w:val="00197EE6"/>
    <w:rsid w:val="001A5E0D"/>
    <w:rsid w:val="001A6495"/>
    <w:rsid w:val="001B1BC5"/>
    <w:rsid w:val="001B490C"/>
    <w:rsid w:val="001C13DC"/>
    <w:rsid w:val="001C3FBB"/>
    <w:rsid w:val="001C5B3E"/>
    <w:rsid w:val="001C7EB5"/>
    <w:rsid w:val="001D4CDE"/>
    <w:rsid w:val="001D5C2B"/>
    <w:rsid w:val="001D62B0"/>
    <w:rsid w:val="001E63BB"/>
    <w:rsid w:val="001E72C4"/>
    <w:rsid w:val="001E75FE"/>
    <w:rsid w:val="001F105B"/>
    <w:rsid w:val="002006C3"/>
    <w:rsid w:val="00200739"/>
    <w:rsid w:val="0020136B"/>
    <w:rsid w:val="00204AB1"/>
    <w:rsid w:val="0021036B"/>
    <w:rsid w:val="002166F5"/>
    <w:rsid w:val="00220556"/>
    <w:rsid w:val="00225B8D"/>
    <w:rsid w:val="00227E78"/>
    <w:rsid w:val="00233159"/>
    <w:rsid w:val="0023508A"/>
    <w:rsid w:val="00240841"/>
    <w:rsid w:val="0024336E"/>
    <w:rsid w:val="00243867"/>
    <w:rsid w:val="00243AD9"/>
    <w:rsid w:val="00247237"/>
    <w:rsid w:val="00252C6A"/>
    <w:rsid w:val="00253742"/>
    <w:rsid w:val="00253BEB"/>
    <w:rsid w:val="00255586"/>
    <w:rsid w:val="00255E68"/>
    <w:rsid w:val="00256BC5"/>
    <w:rsid w:val="00261140"/>
    <w:rsid w:val="00262CDB"/>
    <w:rsid w:val="00264295"/>
    <w:rsid w:val="00266195"/>
    <w:rsid w:val="002668F6"/>
    <w:rsid w:val="002673C1"/>
    <w:rsid w:val="0027181B"/>
    <w:rsid w:val="002726BB"/>
    <w:rsid w:val="002749D0"/>
    <w:rsid w:val="00276466"/>
    <w:rsid w:val="00277BD1"/>
    <w:rsid w:val="00280F13"/>
    <w:rsid w:val="00284354"/>
    <w:rsid w:val="0028682A"/>
    <w:rsid w:val="00286D74"/>
    <w:rsid w:val="0029264A"/>
    <w:rsid w:val="0029392B"/>
    <w:rsid w:val="00297999"/>
    <w:rsid w:val="002A4955"/>
    <w:rsid w:val="002A55FE"/>
    <w:rsid w:val="002A691A"/>
    <w:rsid w:val="002B5903"/>
    <w:rsid w:val="002C134F"/>
    <w:rsid w:val="002C138B"/>
    <w:rsid w:val="002C17CD"/>
    <w:rsid w:val="002C2014"/>
    <w:rsid w:val="002C3EB1"/>
    <w:rsid w:val="002C6299"/>
    <w:rsid w:val="002D0579"/>
    <w:rsid w:val="002D0845"/>
    <w:rsid w:val="002D2FCB"/>
    <w:rsid w:val="002D6CE6"/>
    <w:rsid w:val="002D7DE6"/>
    <w:rsid w:val="002E028F"/>
    <w:rsid w:val="002E2AFB"/>
    <w:rsid w:val="002E47ED"/>
    <w:rsid w:val="002E7318"/>
    <w:rsid w:val="002F0624"/>
    <w:rsid w:val="002F26D4"/>
    <w:rsid w:val="002F42F1"/>
    <w:rsid w:val="002F45BC"/>
    <w:rsid w:val="002F4D88"/>
    <w:rsid w:val="002F4FE3"/>
    <w:rsid w:val="00301760"/>
    <w:rsid w:val="003035F8"/>
    <w:rsid w:val="0030722B"/>
    <w:rsid w:val="003125FD"/>
    <w:rsid w:val="003138A1"/>
    <w:rsid w:val="003141F7"/>
    <w:rsid w:val="003177E2"/>
    <w:rsid w:val="00317F45"/>
    <w:rsid w:val="0032067B"/>
    <w:rsid w:val="00330CA4"/>
    <w:rsid w:val="00337AC6"/>
    <w:rsid w:val="00347C2E"/>
    <w:rsid w:val="00347E77"/>
    <w:rsid w:val="0035059B"/>
    <w:rsid w:val="00352420"/>
    <w:rsid w:val="00360C1E"/>
    <w:rsid w:val="0037182D"/>
    <w:rsid w:val="00371D8A"/>
    <w:rsid w:val="00376AA5"/>
    <w:rsid w:val="00382B6F"/>
    <w:rsid w:val="00382F9F"/>
    <w:rsid w:val="00386A0D"/>
    <w:rsid w:val="003910B3"/>
    <w:rsid w:val="00393BC1"/>
    <w:rsid w:val="0039477A"/>
    <w:rsid w:val="003A1966"/>
    <w:rsid w:val="003A4721"/>
    <w:rsid w:val="003B1795"/>
    <w:rsid w:val="003B5FC0"/>
    <w:rsid w:val="003B6AB0"/>
    <w:rsid w:val="003B7A7F"/>
    <w:rsid w:val="003C25EB"/>
    <w:rsid w:val="003C3AC9"/>
    <w:rsid w:val="003C6300"/>
    <w:rsid w:val="003D0297"/>
    <w:rsid w:val="003D4901"/>
    <w:rsid w:val="003D6056"/>
    <w:rsid w:val="003E259F"/>
    <w:rsid w:val="003E68CB"/>
    <w:rsid w:val="003E77B3"/>
    <w:rsid w:val="003F36D6"/>
    <w:rsid w:val="003F457C"/>
    <w:rsid w:val="0040100B"/>
    <w:rsid w:val="00402368"/>
    <w:rsid w:val="0040403C"/>
    <w:rsid w:val="004052DF"/>
    <w:rsid w:val="00407942"/>
    <w:rsid w:val="0041207C"/>
    <w:rsid w:val="00413D10"/>
    <w:rsid w:val="004146F6"/>
    <w:rsid w:val="00415885"/>
    <w:rsid w:val="00415E17"/>
    <w:rsid w:val="004200B5"/>
    <w:rsid w:val="00421207"/>
    <w:rsid w:val="004220C0"/>
    <w:rsid w:val="00423A80"/>
    <w:rsid w:val="00424C8E"/>
    <w:rsid w:val="00425DB6"/>
    <w:rsid w:val="00431FAF"/>
    <w:rsid w:val="00432FBB"/>
    <w:rsid w:val="00433893"/>
    <w:rsid w:val="00436697"/>
    <w:rsid w:val="00437515"/>
    <w:rsid w:val="0044470B"/>
    <w:rsid w:val="004448A4"/>
    <w:rsid w:val="004450A8"/>
    <w:rsid w:val="004451E8"/>
    <w:rsid w:val="00445D25"/>
    <w:rsid w:val="004476C6"/>
    <w:rsid w:val="00450C80"/>
    <w:rsid w:val="0045382D"/>
    <w:rsid w:val="00456598"/>
    <w:rsid w:val="004627A8"/>
    <w:rsid w:val="00462BA7"/>
    <w:rsid w:val="0046353F"/>
    <w:rsid w:val="00471F3A"/>
    <w:rsid w:val="00474C73"/>
    <w:rsid w:val="00475F0C"/>
    <w:rsid w:val="004838FD"/>
    <w:rsid w:val="00483FEF"/>
    <w:rsid w:val="00485326"/>
    <w:rsid w:val="00485F9C"/>
    <w:rsid w:val="004874D5"/>
    <w:rsid w:val="004A1ECA"/>
    <w:rsid w:val="004A49DC"/>
    <w:rsid w:val="004A637A"/>
    <w:rsid w:val="004B2F23"/>
    <w:rsid w:val="004B7EA7"/>
    <w:rsid w:val="004C0757"/>
    <w:rsid w:val="004C24F0"/>
    <w:rsid w:val="004D1739"/>
    <w:rsid w:val="004E1730"/>
    <w:rsid w:val="004E428D"/>
    <w:rsid w:val="004E48B1"/>
    <w:rsid w:val="004E7BAC"/>
    <w:rsid w:val="004F291E"/>
    <w:rsid w:val="004F29E2"/>
    <w:rsid w:val="004F48A0"/>
    <w:rsid w:val="004F60BC"/>
    <w:rsid w:val="004F795E"/>
    <w:rsid w:val="00502500"/>
    <w:rsid w:val="005064E8"/>
    <w:rsid w:val="00512F61"/>
    <w:rsid w:val="005130C3"/>
    <w:rsid w:val="00515FCC"/>
    <w:rsid w:val="00516B20"/>
    <w:rsid w:val="00517272"/>
    <w:rsid w:val="00523AF8"/>
    <w:rsid w:val="00525CE6"/>
    <w:rsid w:val="00527339"/>
    <w:rsid w:val="005312FC"/>
    <w:rsid w:val="00535AB3"/>
    <w:rsid w:val="00543A89"/>
    <w:rsid w:val="0054431F"/>
    <w:rsid w:val="005454A8"/>
    <w:rsid w:val="00545EB3"/>
    <w:rsid w:val="00546AB8"/>
    <w:rsid w:val="005636AE"/>
    <w:rsid w:val="00564795"/>
    <w:rsid w:val="00566320"/>
    <w:rsid w:val="005673DF"/>
    <w:rsid w:val="00577372"/>
    <w:rsid w:val="005778BA"/>
    <w:rsid w:val="00581606"/>
    <w:rsid w:val="0058260E"/>
    <w:rsid w:val="0058274D"/>
    <w:rsid w:val="00585983"/>
    <w:rsid w:val="0059090F"/>
    <w:rsid w:val="00595104"/>
    <w:rsid w:val="005A05DE"/>
    <w:rsid w:val="005A0DB0"/>
    <w:rsid w:val="005A3B5B"/>
    <w:rsid w:val="005A5484"/>
    <w:rsid w:val="005A720E"/>
    <w:rsid w:val="005A7EDA"/>
    <w:rsid w:val="005B5B45"/>
    <w:rsid w:val="005B60BB"/>
    <w:rsid w:val="005B6491"/>
    <w:rsid w:val="005C2C97"/>
    <w:rsid w:val="005C2CB4"/>
    <w:rsid w:val="005C2DEC"/>
    <w:rsid w:val="005C41A8"/>
    <w:rsid w:val="005C56CC"/>
    <w:rsid w:val="005D1AE0"/>
    <w:rsid w:val="005D6763"/>
    <w:rsid w:val="005D68B3"/>
    <w:rsid w:val="005D7905"/>
    <w:rsid w:val="005F07B8"/>
    <w:rsid w:val="005F4282"/>
    <w:rsid w:val="005F549C"/>
    <w:rsid w:val="00606845"/>
    <w:rsid w:val="00613C0E"/>
    <w:rsid w:val="006149E4"/>
    <w:rsid w:val="00615F02"/>
    <w:rsid w:val="00640B01"/>
    <w:rsid w:val="006469E9"/>
    <w:rsid w:val="00651C16"/>
    <w:rsid w:val="00652CC4"/>
    <w:rsid w:val="006560BD"/>
    <w:rsid w:val="00656779"/>
    <w:rsid w:val="00657D7B"/>
    <w:rsid w:val="00667CF7"/>
    <w:rsid w:val="00677454"/>
    <w:rsid w:val="00685FAF"/>
    <w:rsid w:val="00686A80"/>
    <w:rsid w:val="0069030F"/>
    <w:rsid w:val="006905C2"/>
    <w:rsid w:val="006958FD"/>
    <w:rsid w:val="00697087"/>
    <w:rsid w:val="006A33E0"/>
    <w:rsid w:val="006B0083"/>
    <w:rsid w:val="006B018C"/>
    <w:rsid w:val="006B07BC"/>
    <w:rsid w:val="006B0CFC"/>
    <w:rsid w:val="006B1EC0"/>
    <w:rsid w:val="006B2BB6"/>
    <w:rsid w:val="006D4205"/>
    <w:rsid w:val="006E0D48"/>
    <w:rsid w:val="006E1E73"/>
    <w:rsid w:val="006E2E98"/>
    <w:rsid w:val="006E3158"/>
    <w:rsid w:val="006E5DA3"/>
    <w:rsid w:val="006F0BF8"/>
    <w:rsid w:val="006F40DA"/>
    <w:rsid w:val="00701159"/>
    <w:rsid w:val="00717071"/>
    <w:rsid w:val="00721B33"/>
    <w:rsid w:val="00725F19"/>
    <w:rsid w:val="0073066C"/>
    <w:rsid w:val="00730E53"/>
    <w:rsid w:val="007337A2"/>
    <w:rsid w:val="00745575"/>
    <w:rsid w:val="00747285"/>
    <w:rsid w:val="00751846"/>
    <w:rsid w:val="007555CB"/>
    <w:rsid w:val="00757D43"/>
    <w:rsid w:val="00757F85"/>
    <w:rsid w:val="00760381"/>
    <w:rsid w:val="00763D51"/>
    <w:rsid w:val="0076597E"/>
    <w:rsid w:val="0076636E"/>
    <w:rsid w:val="00772D48"/>
    <w:rsid w:val="00774F36"/>
    <w:rsid w:val="00780CC0"/>
    <w:rsid w:val="00785628"/>
    <w:rsid w:val="007906AD"/>
    <w:rsid w:val="00796902"/>
    <w:rsid w:val="007A00CA"/>
    <w:rsid w:val="007A2A46"/>
    <w:rsid w:val="007A4758"/>
    <w:rsid w:val="007A66E4"/>
    <w:rsid w:val="007A71BD"/>
    <w:rsid w:val="007B21A0"/>
    <w:rsid w:val="007B6065"/>
    <w:rsid w:val="007B6834"/>
    <w:rsid w:val="007B69EC"/>
    <w:rsid w:val="007C0523"/>
    <w:rsid w:val="007C1348"/>
    <w:rsid w:val="007C2743"/>
    <w:rsid w:val="007D0A9F"/>
    <w:rsid w:val="007E0067"/>
    <w:rsid w:val="007E0E5A"/>
    <w:rsid w:val="007E49A1"/>
    <w:rsid w:val="007F1716"/>
    <w:rsid w:val="007F3DE5"/>
    <w:rsid w:val="008047EE"/>
    <w:rsid w:val="00811500"/>
    <w:rsid w:val="008129F1"/>
    <w:rsid w:val="0081766A"/>
    <w:rsid w:val="00817E06"/>
    <w:rsid w:val="00817E2D"/>
    <w:rsid w:val="00823414"/>
    <w:rsid w:val="0082490B"/>
    <w:rsid w:val="00826FD9"/>
    <w:rsid w:val="008318CD"/>
    <w:rsid w:val="008370B4"/>
    <w:rsid w:val="0085192B"/>
    <w:rsid w:val="0086529E"/>
    <w:rsid w:val="00865FF5"/>
    <w:rsid w:val="00866AF8"/>
    <w:rsid w:val="00867AD1"/>
    <w:rsid w:val="00870E01"/>
    <w:rsid w:val="00872DAB"/>
    <w:rsid w:val="00874F55"/>
    <w:rsid w:val="00876BE6"/>
    <w:rsid w:val="00877FC1"/>
    <w:rsid w:val="008826DB"/>
    <w:rsid w:val="00882943"/>
    <w:rsid w:val="0088323D"/>
    <w:rsid w:val="00885EB4"/>
    <w:rsid w:val="00891F1B"/>
    <w:rsid w:val="008930B0"/>
    <w:rsid w:val="00895A59"/>
    <w:rsid w:val="00895F0E"/>
    <w:rsid w:val="0089637A"/>
    <w:rsid w:val="008A090A"/>
    <w:rsid w:val="008A55A3"/>
    <w:rsid w:val="008A5B56"/>
    <w:rsid w:val="008A6F7A"/>
    <w:rsid w:val="008A73A1"/>
    <w:rsid w:val="008B3060"/>
    <w:rsid w:val="008C1017"/>
    <w:rsid w:val="008C5AFC"/>
    <w:rsid w:val="008D1EF8"/>
    <w:rsid w:val="008D3137"/>
    <w:rsid w:val="008D35E2"/>
    <w:rsid w:val="008D391D"/>
    <w:rsid w:val="008D7B04"/>
    <w:rsid w:val="008E3B74"/>
    <w:rsid w:val="008E3CCD"/>
    <w:rsid w:val="008E4D10"/>
    <w:rsid w:val="008F7664"/>
    <w:rsid w:val="00901196"/>
    <w:rsid w:val="0090136D"/>
    <w:rsid w:val="00901DE0"/>
    <w:rsid w:val="0090363E"/>
    <w:rsid w:val="00904AD4"/>
    <w:rsid w:val="0091124F"/>
    <w:rsid w:val="00915BEA"/>
    <w:rsid w:val="0091740F"/>
    <w:rsid w:val="00917715"/>
    <w:rsid w:val="00920C62"/>
    <w:rsid w:val="00920C96"/>
    <w:rsid w:val="00921662"/>
    <w:rsid w:val="00925A66"/>
    <w:rsid w:val="00930A26"/>
    <w:rsid w:val="009325BE"/>
    <w:rsid w:val="00932BB5"/>
    <w:rsid w:val="009362FD"/>
    <w:rsid w:val="00937934"/>
    <w:rsid w:val="009416AE"/>
    <w:rsid w:val="00942B15"/>
    <w:rsid w:val="00944571"/>
    <w:rsid w:val="00946AC9"/>
    <w:rsid w:val="00947E19"/>
    <w:rsid w:val="00951EBF"/>
    <w:rsid w:val="009527F0"/>
    <w:rsid w:val="009543B1"/>
    <w:rsid w:val="009545BE"/>
    <w:rsid w:val="00954E23"/>
    <w:rsid w:val="009606D5"/>
    <w:rsid w:val="00960E7C"/>
    <w:rsid w:val="00964301"/>
    <w:rsid w:val="0096452B"/>
    <w:rsid w:val="00964926"/>
    <w:rsid w:val="00965426"/>
    <w:rsid w:val="009665E9"/>
    <w:rsid w:val="00973B0D"/>
    <w:rsid w:val="00974B8F"/>
    <w:rsid w:val="00974DE8"/>
    <w:rsid w:val="009766C5"/>
    <w:rsid w:val="0098056F"/>
    <w:rsid w:val="00982218"/>
    <w:rsid w:val="00984D54"/>
    <w:rsid w:val="009855D5"/>
    <w:rsid w:val="009856C6"/>
    <w:rsid w:val="00985EBC"/>
    <w:rsid w:val="00990879"/>
    <w:rsid w:val="0099116A"/>
    <w:rsid w:val="00993F65"/>
    <w:rsid w:val="00997E20"/>
    <w:rsid w:val="009A02EA"/>
    <w:rsid w:val="009A0D18"/>
    <w:rsid w:val="009A0F6F"/>
    <w:rsid w:val="009A47A9"/>
    <w:rsid w:val="009A74EE"/>
    <w:rsid w:val="009B7C55"/>
    <w:rsid w:val="009C0BD2"/>
    <w:rsid w:val="009C138D"/>
    <w:rsid w:val="009C4CA0"/>
    <w:rsid w:val="009C6556"/>
    <w:rsid w:val="009D0676"/>
    <w:rsid w:val="009D0CD0"/>
    <w:rsid w:val="009D45BE"/>
    <w:rsid w:val="009D47FB"/>
    <w:rsid w:val="009D661B"/>
    <w:rsid w:val="009E0810"/>
    <w:rsid w:val="009E0948"/>
    <w:rsid w:val="009E2AEE"/>
    <w:rsid w:val="009E2D1A"/>
    <w:rsid w:val="009E4ED5"/>
    <w:rsid w:val="009F37EF"/>
    <w:rsid w:val="00A03919"/>
    <w:rsid w:val="00A11478"/>
    <w:rsid w:val="00A138A3"/>
    <w:rsid w:val="00A17756"/>
    <w:rsid w:val="00A206D2"/>
    <w:rsid w:val="00A22B68"/>
    <w:rsid w:val="00A27186"/>
    <w:rsid w:val="00A275AC"/>
    <w:rsid w:val="00A279C0"/>
    <w:rsid w:val="00A41C19"/>
    <w:rsid w:val="00A42EBA"/>
    <w:rsid w:val="00A443AB"/>
    <w:rsid w:val="00A452E7"/>
    <w:rsid w:val="00A453CA"/>
    <w:rsid w:val="00A65781"/>
    <w:rsid w:val="00A65F9F"/>
    <w:rsid w:val="00A6701C"/>
    <w:rsid w:val="00A75E45"/>
    <w:rsid w:val="00A7625D"/>
    <w:rsid w:val="00A76CE9"/>
    <w:rsid w:val="00A77AFA"/>
    <w:rsid w:val="00A77F80"/>
    <w:rsid w:val="00A82423"/>
    <w:rsid w:val="00A83CB0"/>
    <w:rsid w:val="00A85C37"/>
    <w:rsid w:val="00A9013F"/>
    <w:rsid w:val="00A914DF"/>
    <w:rsid w:val="00A95621"/>
    <w:rsid w:val="00A96ED3"/>
    <w:rsid w:val="00A970CD"/>
    <w:rsid w:val="00A97CBA"/>
    <w:rsid w:val="00AA4C0E"/>
    <w:rsid w:val="00AA5892"/>
    <w:rsid w:val="00AB16FE"/>
    <w:rsid w:val="00AB2EA2"/>
    <w:rsid w:val="00AB55B5"/>
    <w:rsid w:val="00AC2340"/>
    <w:rsid w:val="00AC4204"/>
    <w:rsid w:val="00AC4702"/>
    <w:rsid w:val="00AC7406"/>
    <w:rsid w:val="00AD4BA2"/>
    <w:rsid w:val="00AD50CC"/>
    <w:rsid w:val="00AD75E0"/>
    <w:rsid w:val="00AE0C1E"/>
    <w:rsid w:val="00AE3E6C"/>
    <w:rsid w:val="00AF15AE"/>
    <w:rsid w:val="00AF2259"/>
    <w:rsid w:val="00AF2BA9"/>
    <w:rsid w:val="00AF665A"/>
    <w:rsid w:val="00AF67B2"/>
    <w:rsid w:val="00AF6E97"/>
    <w:rsid w:val="00B00BC2"/>
    <w:rsid w:val="00B00C7D"/>
    <w:rsid w:val="00B03A36"/>
    <w:rsid w:val="00B05DA3"/>
    <w:rsid w:val="00B07EF4"/>
    <w:rsid w:val="00B10728"/>
    <w:rsid w:val="00B10F6E"/>
    <w:rsid w:val="00B12EE3"/>
    <w:rsid w:val="00B212B3"/>
    <w:rsid w:val="00B22DAD"/>
    <w:rsid w:val="00B23675"/>
    <w:rsid w:val="00B239F8"/>
    <w:rsid w:val="00B32FFB"/>
    <w:rsid w:val="00B371F9"/>
    <w:rsid w:val="00B43B17"/>
    <w:rsid w:val="00B44CD2"/>
    <w:rsid w:val="00B50C3F"/>
    <w:rsid w:val="00B51B66"/>
    <w:rsid w:val="00B53A60"/>
    <w:rsid w:val="00B543F2"/>
    <w:rsid w:val="00B54CB3"/>
    <w:rsid w:val="00B56339"/>
    <w:rsid w:val="00B609C5"/>
    <w:rsid w:val="00B63711"/>
    <w:rsid w:val="00B66DE5"/>
    <w:rsid w:val="00B675B7"/>
    <w:rsid w:val="00B70794"/>
    <w:rsid w:val="00B728F1"/>
    <w:rsid w:val="00B73811"/>
    <w:rsid w:val="00B73D1B"/>
    <w:rsid w:val="00B742FA"/>
    <w:rsid w:val="00B74A2A"/>
    <w:rsid w:val="00B76CC2"/>
    <w:rsid w:val="00B802EE"/>
    <w:rsid w:val="00B9070F"/>
    <w:rsid w:val="00B961DA"/>
    <w:rsid w:val="00BA40B5"/>
    <w:rsid w:val="00BA5385"/>
    <w:rsid w:val="00BA5CAE"/>
    <w:rsid w:val="00BA66D3"/>
    <w:rsid w:val="00BB149B"/>
    <w:rsid w:val="00BB533B"/>
    <w:rsid w:val="00BB6751"/>
    <w:rsid w:val="00BC0AC9"/>
    <w:rsid w:val="00BC6228"/>
    <w:rsid w:val="00BD0D94"/>
    <w:rsid w:val="00BD1A10"/>
    <w:rsid w:val="00BD355A"/>
    <w:rsid w:val="00BD42A5"/>
    <w:rsid w:val="00BD45E2"/>
    <w:rsid w:val="00BD5E64"/>
    <w:rsid w:val="00BE08AA"/>
    <w:rsid w:val="00BE3318"/>
    <w:rsid w:val="00BE6353"/>
    <w:rsid w:val="00BE6D68"/>
    <w:rsid w:val="00BF0B4E"/>
    <w:rsid w:val="00BF6ACB"/>
    <w:rsid w:val="00C00C3B"/>
    <w:rsid w:val="00C105DE"/>
    <w:rsid w:val="00C1088C"/>
    <w:rsid w:val="00C13963"/>
    <w:rsid w:val="00C149CD"/>
    <w:rsid w:val="00C1647D"/>
    <w:rsid w:val="00C2150B"/>
    <w:rsid w:val="00C23226"/>
    <w:rsid w:val="00C25F0B"/>
    <w:rsid w:val="00C30C64"/>
    <w:rsid w:val="00C313F6"/>
    <w:rsid w:val="00C32830"/>
    <w:rsid w:val="00C33252"/>
    <w:rsid w:val="00C332CA"/>
    <w:rsid w:val="00C33798"/>
    <w:rsid w:val="00C3454A"/>
    <w:rsid w:val="00C35517"/>
    <w:rsid w:val="00C37EBA"/>
    <w:rsid w:val="00C42FD8"/>
    <w:rsid w:val="00C444A3"/>
    <w:rsid w:val="00C45EC0"/>
    <w:rsid w:val="00C4708D"/>
    <w:rsid w:val="00C47787"/>
    <w:rsid w:val="00C51F1F"/>
    <w:rsid w:val="00C57AF1"/>
    <w:rsid w:val="00C6276A"/>
    <w:rsid w:val="00C62C55"/>
    <w:rsid w:val="00C70841"/>
    <w:rsid w:val="00C74E09"/>
    <w:rsid w:val="00C874DD"/>
    <w:rsid w:val="00C9613E"/>
    <w:rsid w:val="00CA127C"/>
    <w:rsid w:val="00CA5658"/>
    <w:rsid w:val="00CB248B"/>
    <w:rsid w:val="00CB6EB5"/>
    <w:rsid w:val="00CB711E"/>
    <w:rsid w:val="00CB7F28"/>
    <w:rsid w:val="00CC3695"/>
    <w:rsid w:val="00CC6C20"/>
    <w:rsid w:val="00CD25A5"/>
    <w:rsid w:val="00CD64BF"/>
    <w:rsid w:val="00CD71CD"/>
    <w:rsid w:val="00CE2FAA"/>
    <w:rsid w:val="00CE418D"/>
    <w:rsid w:val="00CE5194"/>
    <w:rsid w:val="00CE740A"/>
    <w:rsid w:val="00CE7ECE"/>
    <w:rsid w:val="00CF45D9"/>
    <w:rsid w:val="00D00DBB"/>
    <w:rsid w:val="00D024B9"/>
    <w:rsid w:val="00D0560E"/>
    <w:rsid w:val="00D06C91"/>
    <w:rsid w:val="00D1489D"/>
    <w:rsid w:val="00D17015"/>
    <w:rsid w:val="00D229A5"/>
    <w:rsid w:val="00D25756"/>
    <w:rsid w:val="00D26D68"/>
    <w:rsid w:val="00D27E13"/>
    <w:rsid w:val="00D30329"/>
    <w:rsid w:val="00D31376"/>
    <w:rsid w:val="00D318EE"/>
    <w:rsid w:val="00D40779"/>
    <w:rsid w:val="00D42C18"/>
    <w:rsid w:val="00D43338"/>
    <w:rsid w:val="00D45AAA"/>
    <w:rsid w:val="00D4671B"/>
    <w:rsid w:val="00D6076E"/>
    <w:rsid w:val="00D64335"/>
    <w:rsid w:val="00D66D4F"/>
    <w:rsid w:val="00D6739D"/>
    <w:rsid w:val="00D70509"/>
    <w:rsid w:val="00D73064"/>
    <w:rsid w:val="00D74523"/>
    <w:rsid w:val="00D81F00"/>
    <w:rsid w:val="00D8338B"/>
    <w:rsid w:val="00D83E61"/>
    <w:rsid w:val="00D87707"/>
    <w:rsid w:val="00DA69C4"/>
    <w:rsid w:val="00DB2509"/>
    <w:rsid w:val="00DB3F8D"/>
    <w:rsid w:val="00DB4804"/>
    <w:rsid w:val="00DB4887"/>
    <w:rsid w:val="00DB69EF"/>
    <w:rsid w:val="00DB6CED"/>
    <w:rsid w:val="00DB771D"/>
    <w:rsid w:val="00DC1459"/>
    <w:rsid w:val="00DD23F0"/>
    <w:rsid w:val="00DD76B6"/>
    <w:rsid w:val="00DE33A2"/>
    <w:rsid w:val="00DE527C"/>
    <w:rsid w:val="00DE781A"/>
    <w:rsid w:val="00DF1416"/>
    <w:rsid w:val="00DF503B"/>
    <w:rsid w:val="00DF5733"/>
    <w:rsid w:val="00E00458"/>
    <w:rsid w:val="00E01074"/>
    <w:rsid w:val="00E0513B"/>
    <w:rsid w:val="00E0524B"/>
    <w:rsid w:val="00E0620A"/>
    <w:rsid w:val="00E077AC"/>
    <w:rsid w:val="00E15093"/>
    <w:rsid w:val="00E20EB9"/>
    <w:rsid w:val="00E3266D"/>
    <w:rsid w:val="00E33C6E"/>
    <w:rsid w:val="00E36367"/>
    <w:rsid w:val="00E36C3A"/>
    <w:rsid w:val="00E42FAD"/>
    <w:rsid w:val="00E47BEC"/>
    <w:rsid w:val="00E51D00"/>
    <w:rsid w:val="00E60822"/>
    <w:rsid w:val="00E6196C"/>
    <w:rsid w:val="00E64F92"/>
    <w:rsid w:val="00E67040"/>
    <w:rsid w:val="00E72CF3"/>
    <w:rsid w:val="00E74592"/>
    <w:rsid w:val="00E75C21"/>
    <w:rsid w:val="00E76426"/>
    <w:rsid w:val="00E77863"/>
    <w:rsid w:val="00E80263"/>
    <w:rsid w:val="00E8138A"/>
    <w:rsid w:val="00E827F7"/>
    <w:rsid w:val="00E84961"/>
    <w:rsid w:val="00E8529B"/>
    <w:rsid w:val="00E87367"/>
    <w:rsid w:val="00E92F66"/>
    <w:rsid w:val="00E95D60"/>
    <w:rsid w:val="00E96398"/>
    <w:rsid w:val="00EA1695"/>
    <w:rsid w:val="00EA411A"/>
    <w:rsid w:val="00EA54BE"/>
    <w:rsid w:val="00EA6687"/>
    <w:rsid w:val="00EB0E2D"/>
    <w:rsid w:val="00EB0E31"/>
    <w:rsid w:val="00EB1538"/>
    <w:rsid w:val="00EB3BB2"/>
    <w:rsid w:val="00EB5D18"/>
    <w:rsid w:val="00EC6CBF"/>
    <w:rsid w:val="00EE1432"/>
    <w:rsid w:val="00EE6CB2"/>
    <w:rsid w:val="00EF08D8"/>
    <w:rsid w:val="00EF39E9"/>
    <w:rsid w:val="00EF608D"/>
    <w:rsid w:val="00EF6BC3"/>
    <w:rsid w:val="00F11A7A"/>
    <w:rsid w:val="00F13F0A"/>
    <w:rsid w:val="00F15455"/>
    <w:rsid w:val="00F227BC"/>
    <w:rsid w:val="00F257C7"/>
    <w:rsid w:val="00F32E6B"/>
    <w:rsid w:val="00F40BFB"/>
    <w:rsid w:val="00F43F30"/>
    <w:rsid w:val="00F46EFB"/>
    <w:rsid w:val="00F6023A"/>
    <w:rsid w:val="00F62873"/>
    <w:rsid w:val="00F63029"/>
    <w:rsid w:val="00F721A1"/>
    <w:rsid w:val="00F72B60"/>
    <w:rsid w:val="00F73624"/>
    <w:rsid w:val="00F774E6"/>
    <w:rsid w:val="00F77626"/>
    <w:rsid w:val="00F87A11"/>
    <w:rsid w:val="00F907DE"/>
    <w:rsid w:val="00F947CC"/>
    <w:rsid w:val="00FB0F07"/>
    <w:rsid w:val="00FB2CB2"/>
    <w:rsid w:val="00FB39DA"/>
    <w:rsid w:val="00FB6643"/>
    <w:rsid w:val="00FB7347"/>
    <w:rsid w:val="00FC19EA"/>
    <w:rsid w:val="00FD1630"/>
    <w:rsid w:val="00FD50C4"/>
    <w:rsid w:val="00FD7C7D"/>
    <w:rsid w:val="00FE08C6"/>
    <w:rsid w:val="00FE72FA"/>
    <w:rsid w:val="00FF394B"/>
    <w:rsid w:val="00FF40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5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1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25F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32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6B2DB1"/>
    <w:rPr>
      <w:rFonts w:ascii="Lucida Grande" w:hAnsi="Lucida Grande"/>
      <w:sz w:val="18"/>
      <w:szCs w:val="18"/>
    </w:rPr>
  </w:style>
  <w:style w:type="character" w:styleId="Hyperlink">
    <w:name w:val="Hyperlink"/>
    <w:uiPriority w:val="99"/>
    <w:rsid w:val="009E2D1A"/>
    <w:rPr>
      <w:rFonts w:cs="Times New Roman"/>
      <w:color w:val="0000FF"/>
      <w:u w:val="single"/>
    </w:rPr>
  </w:style>
  <w:style w:type="paragraph" w:styleId="Footer">
    <w:name w:val="footer"/>
    <w:basedOn w:val="Normal"/>
    <w:link w:val="FooterChar"/>
    <w:uiPriority w:val="99"/>
    <w:unhideWhenUsed/>
    <w:rsid w:val="009E2D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2D1A"/>
    <w:rPr>
      <w:rFonts w:eastAsiaTheme="minorHAnsi"/>
      <w:sz w:val="22"/>
      <w:szCs w:val="22"/>
    </w:rPr>
  </w:style>
  <w:style w:type="character" w:styleId="PageNumber">
    <w:name w:val="page number"/>
    <w:basedOn w:val="DefaultParagraphFont"/>
    <w:uiPriority w:val="99"/>
    <w:semiHidden/>
    <w:unhideWhenUsed/>
    <w:rsid w:val="009E2D1A"/>
  </w:style>
  <w:style w:type="character" w:customStyle="1" w:styleId="BalloonTextChar1">
    <w:name w:val="Balloon Text Char1"/>
    <w:basedOn w:val="DefaultParagraphFont"/>
    <w:link w:val="BalloonText"/>
    <w:uiPriority w:val="99"/>
    <w:semiHidden/>
    <w:rsid w:val="0088323D"/>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B0083"/>
    <w:rPr>
      <w:sz w:val="18"/>
      <w:szCs w:val="18"/>
    </w:rPr>
  </w:style>
  <w:style w:type="paragraph" w:styleId="CommentText">
    <w:name w:val="annotation text"/>
    <w:basedOn w:val="Normal"/>
    <w:link w:val="CommentTextChar"/>
    <w:uiPriority w:val="99"/>
    <w:semiHidden/>
    <w:unhideWhenUsed/>
    <w:rsid w:val="006B0083"/>
    <w:pPr>
      <w:spacing w:line="240" w:lineRule="auto"/>
    </w:pPr>
    <w:rPr>
      <w:sz w:val="24"/>
      <w:szCs w:val="24"/>
    </w:rPr>
  </w:style>
  <w:style w:type="character" w:customStyle="1" w:styleId="CommentTextChar">
    <w:name w:val="Comment Text Char"/>
    <w:basedOn w:val="DefaultParagraphFont"/>
    <w:link w:val="CommentText"/>
    <w:uiPriority w:val="99"/>
    <w:semiHidden/>
    <w:rsid w:val="006B0083"/>
    <w:rPr>
      <w:rFonts w:eastAsiaTheme="minorHAnsi"/>
    </w:rPr>
  </w:style>
  <w:style w:type="paragraph" w:styleId="CommentSubject">
    <w:name w:val="annotation subject"/>
    <w:basedOn w:val="CommentText"/>
    <w:next w:val="CommentText"/>
    <w:link w:val="CommentSubjectChar"/>
    <w:uiPriority w:val="99"/>
    <w:semiHidden/>
    <w:unhideWhenUsed/>
    <w:rsid w:val="006B0083"/>
    <w:rPr>
      <w:b/>
      <w:bCs/>
      <w:sz w:val="20"/>
      <w:szCs w:val="20"/>
    </w:rPr>
  </w:style>
  <w:style w:type="character" w:customStyle="1" w:styleId="CommentSubjectChar">
    <w:name w:val="Comment Subject Char"/>
    <w:basedOn w:val="CommentTextChar"/>
    <w:link w:val="CommentSubject"/>
    <w:uiPriority w:val="99"/>
    <w:semiHidden/>
    <w:rsid w:val="006B0083"/>
    <w:rPr>
      <w:rFonts w:eastAsiaTheme="minorHAnsi"/>
      <w:b/>
      <w:bCs/>
      <w:sz w:val="20"/>
      <w:szCs w:val="20"/>
    </w:rPr>
  </w:style>
  <w:style w:type="table" w:styleId="TableGrid">
    <w:name w:val="Table Grid"/>
    <w:basedOn w:val="TableNormal"/>
    <w:uiPriority w:val="99"/>
    <w:rsid w:val="006958F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958FD"/>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958FD"/>
    <w:rPr>
      <w:rFonts w:ascii="Calibri" w:eastAsia="Times New Roman" w:hAnsi="Calibri" w:cs="Calibri"/>
      <w:sz w:val="20"/>
      <w:szCs w:val="20"/>
    </w:rPr>
  </w:style>
  <w:style w:type="character" w:styleId="FootnoteReference">
    <w:name w:val="footnote reference"/>
    <w:basedOn w:val="DefaultParagraphFont"/>
    <w:uiPriority w:val="99"/>
    <w:semiHidden/>
    <w:rsid w:val="006958FD"/>
    <w:rPr>
      <w:rFonts w:cs="Times New Roman"/>
      <w:vertAlign w:val="superscript"/>
    </w:rPr>
  </w:style>
  <w:style w:type="paragraph" w:customStyle="1" w:styleId="Body">
    <w:name w:val="Body"/>
    <w:rsid w:val="009A74EE"/>
    <w:pPr>
      <w:spacing w:after="200" w:line="276" w:lineRule="auto"/>
    </w:pPr>
    <w:rPr>
      <w:rFonts w:ascii="Calibri" w:eastAsia="Arial Unicode MS" w:hAnsi="Arial Unicode MS" w:cs="Arial Unicode MS"/>
      <w:color w:val="000000"/>
      <w:sz w:val="22"/>
      <w:szCs w:val="22"/>
      <w:u w:color="000000"/>
    </w:rPr>
  </w:style>
  <w:style w:type="paragraph" w:styleId="Revision">
    <w:name w:val="Revision"/>
    <w:hidden/>
    <w:uiPriority w:val="99"/>
    <w:semiHidden/>
    <w:rsid w:val="00AC4702"/>
    <w:rPr>
      <w:rFonts w:eastAsiaTheme="minorHAnsi"/>
      <w:sz w:val="22"/>
      <w:szCs w:val="22"/>
    </w:rPr>
  </w:style>
  <w:style w:type="character" w:styleId="PlaceholderText">
    <w:name w:val="Placeholder Text"/>
    <w:basedOn w:val="DefaultParagraphFont"/>
    <w:uiPriority w:val="99"/>
    <w:semiHidden/>
    <w:rsid w:val="00DF1416"/>
    <w:rPr>
      <w:color w:val="808080"/>
    </w:rPr>
  </w:style>
  <w:style w:type="paragraph" w:styleId="ListParagraph">
    <w:name w:val="List Paragraph"/>
    <w:basedOn w:val="Normal"/>
    <w:uiPriority w:val="34"/>
    <w:qFormat/>
    <w:rsid w:val="00757D43"/>
    <w:pPr>
      <w:ind w:left="720"/>
      <w:contextualSpacing/>
    </w:pPr>
    <w:rPr>
      <w:lang w:val="en-GB"/>
    </w:rPr>
  </w:style>
  <w:style w:type="character" w:customStyle="1" w:styleId="Heading1Char">
    <w:name w:val="Heading 1 Char"/>
    <w:basedOn w:val="DefaultParagraphFont"/>
    <w:link w:val="Heading1"/>
    <w:uiPriority w:val="9"/>
    <w:rsid w:val="00C25F0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D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CD"/>
    <w:rPr>
      <w:rFonts w:eastAsiaTheme="minorHAnsi"/>
      <w:sz w:val="22"/>
      <w:szCs w:val="22"/>
    </w:rPr>
  </w:style>
  <w:style w:type="paragraph" w:styleId="EndnoteText">
    <w:name w:val="endnote text"/>
    <w:basedOn w:val="Normal"/>
    <w:link w:val="EndnoteTextChar"/>
    <w:uiPriority w:val="99"/>
    <w:unhideWhenUsed/>
    <w:rsid w:val="00A970CD"/>
    <w:pPr>
      <w:spacing w:after="0" w:line="240" w:lineRule="auto"/>
    </w:pPr>
    <w:rPr>
      <w:sz w:val="24"/>
      <w:szCs w:val="24"/>
    </w:rPr>
  </w:style>
  <w:style w:type="character" w:customStyle="1" w:styleId="EndnoteTextChar">
    <w:name w:val="Endnote Text Char"/>
    <w:basedOn w:val="DefaultParagraphFont"/>
    <w:link w:val="EndnoteText"/>
    <w:uiPriority w:val="99"/>
    <w:rsid w:val="00A970CD"/>
    <w:rPr>
      <w:rFonts w:eastAsiaTheme="minorHAnsi"/>
    </w:rPr>
  </w:style>
  <w:style w:type="character" w:styleId="EndnoteReference">
    <w:name w:val="endnote reference"/>
    <w:basedOn w:val="DefaultParagraphFont"/>
    <w:uiPriority w:val="99"/>
    <w:unhideWhenUsed/>
    <w:rsid w:val="00A970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1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25F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32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6B2DB1"/>
    <w:rPr>
      <w:rFonts w:ascii="Lucida Grande" w:hAnsi="Lucida Grande"/>
      <w:sz w:val="18"/>
      <w:szCs w:val="18"/>
    </w:rPr>
  </w:style>
  <w:style w:type="character" w:styleId="Hyperlink">
    <w:name w:val="Hyperlink"/>
    <w:uiPriority w:val="99"/>
    <w:rsid w:val="009E2D1A"/>
    <w:rPr>
      <w:rFonts w:cs="Times New Roman"/>
      <w:color w:val="0000FF"/>
      <w:u w:val="single"/>
    </w:rPr>
  </w:style>
  <w:style w:type="paragraph" w:styleId="Footer">
    <w:name w:val="footer"/>
    <w:basedOn w:val="Normal"/>
    <w:link w:val="FooterChar"/>
    <w:uiPriority w:val="99"/>
    <w:unhideWhenUsed/>
    <w:rsid w:val="009E2D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2D1A"/>
    <w:rPr>
      <w:rFonts w:eastAsiaTheme="minorHAnsi"/>
      <w:sz w:val="22"/>
      <w:szCs w:val="22"/>
    </w:rPr>
  </w:style>
  <w:style w:type="character" w:styleId="PageNumber">
    <w:name w:val="page number"/>
    <w:basedOn w:val="DefaultParagraphFont"/>
    <w:uiPriority w:val="99"/>
    <w:semiHidden/>
    <w:unhideWhenUsed/>
    <w:rsid w:val="009E2D1A"/>
  </w:style>
  <w:style w:type="character" w:customStyle="1" w:styleId="BalloonTextChar1">
    <w:name w:val="Balloon Text Char1"/>
    <w:basedOn w:val="DefaultParagraphFont"/>
    <w:link w:val="BalloonText"/>
    <w:uiPriority w:val="99"/>
    <w:semiHidden/>
    <w:rsid w:val="0088323D"/>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B0083"/>
    <w:rPr>
      <w:sz w:val="18"/>
      <w:szCs w:val="18"/>
    </w:rPr>
  </w:style>
  <w:style w:type="paragraph" w:styleId="CommentText">
    <w:name w:val="annotation text"/>
    <w:basedOn w:val="Normal"/>
    <w:link w:val="CommentTextChar"/>
    <w:uiPriority w:val="99"/>
    <w:semiHidden/>
    <w:unhideWhenUsed/>
    <w:rsid w:val="006B0083"/>
    <w:pPr>
      <w:spacing w:line="240" w:lineRule="auto"/>
    </w:pPr>
    <w:rPr>
      <w:sz w:val="24"/>
      <w:szCs w:val="24"/>
    </w:rPr>
  </w:style>
  <w:style w:type="character" w:customStyle="1" w:styleId="CommentTextChar">
    <w:name w:val="Comment Text Char"/>
    <w:basedOn w:val="DefaultParagraphFont"/>
    <w:link w:val="CommentText"/>
    <w:uiPriority w:val="99"/>
    <w:semiHidden/>
    <w:rsid w:val="006B0083"/>
    <w:rPr>
      <w:rFonts w:eastAsiaTheme="minorHAnsi"/>
    </w:rPr>
  </w:style>
  <w:style w:type="paragraph" w:styleId="CommentSubject">
    <w:name w:val="annotation subject"/>
    <w:basedOn w:val="CommentText"/>
    <w:next w:val="CommentText"/>
    <w:link w:val="CommentSubjectChar"/>
    <w:uiPriority w:val="99"/>
    <w:semiHidden/>
    <w:unhideWhenUsed/>
    <w:rsid w:val="006B0083"/>
    <w:rPr>
      <w:b/>
      <w:bCs/>
      <w:sz w:val="20"/>
      <w:szCs w:val="20"/>
    </w:rPr>
  </w:style>
  <w:style w:type="character" w:customStyle="1" w:styleId="CommentSubjectChar">
    <w:name w:val="Comment Subject Char"/>
    <w:basedOn w:val="CommentTextChar"/>
    <w:link w:val="CommentSubject"/>
    <w:uiPriority w:val="99"/>
    <w:semiHidden/>
    <w:rsid w:val="006B0083"/>
    <w:rPr>
      <w:rFonts w:eastAsiaTheme="minorHAnsi"/>
      <w:b/>
      <w:bCs/>
      <w:sz w:val="20"/>
      <w:szCs w:val="20"/>
    </w:rPr>
  </w:style>
  <w:style w:type="table" w:styleId="TableGrid">
    <w:name w:val="Table Grid"/>
    <w:basedOn w:val="TableNormal"/>
    <w:uiPriority w:val="99"/>
    <w:rsid w:val="006958F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958FD"/>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958FD"/>
    <w:rPr>
      <w:rFonts w:ascii="Calibri" w:eastAsia="Times New Roman" w:hAnsi="Calibri" w:cs="Calibri"/>
      <w:sz w:val="20"/>
      <w:szCs w:val="20"/>
    </w:rPr>
  </w:style>
  <w:style w:type="character" w:styleId="FootnoteReference">
    <w:name w:val="footnote reference"/>
    <w:basedOn w:val="DefaultParagraphFont"/>
    <w:uiPriority w:val="99"/>
    <w:semiHidden/>
    <w:rsid w:val="006958FD"/>
    <w:rPr>
      <w:rFonts w:cs="Times New Roman"/>
      <w:vertAlign w:val="superscript"/>
    </w:rPr>
  </w:style>
  <w:style w:type="paragraph" w:customStyle="1" w:styleId="Body">
    <w:name w:val="Body"/>
    <w:rsid w:val="009A74EE"/>
    <w:pPr>
      <w:spacing w:after="200" w:line="276" w:lineRule="auto"/>
    </w:pPr>
    <w:rPr>
      <w:rFonts w:ascii="Calibri" w:eastAsia="Arial Unicode MS" w:hAnsi="Arial Unicode MS" w:cs="Arial Unicode MS"/>
      <w:color w:val="000000"/>
      <w:sz w:val="22"/>
      <w:szCs w:val="22"/>
      <w:u w:color="000000"/>
    </w:rPr>
  </w:style>
  <w:style w:type="paragraph" w:styleId="Revision">
    <w:name w:val="Revision"/>
    <w:hidden/>
    <w:uiPriority w:val="99"/>
    <w:semiHidden/>
    <w:rsid w:val="00AC4702"/>
    <w:rPr>
      <w:rFonts w:eastAsiaTheme="minorHAnsi"/>
      <w:sz w:val="22"/>
      <w:szCs w:val="22"/>
    </w:rPr>
  </w:style>
  <w:style w:type="character" w:styleId="PlaceholderText">
    <w:name w:val="Placeholder Text"/>
    <w:basedOn w:val="DefaultParagraphFont"/>
    <w:uiPriority w:val="99"/>
    <w:semiHidden/>
    <w:rsid w:val="00DF1416"/>
    <w:rPr>
      <w:color w:val="808080"/>
    </w:rPr>
  </w:style>
  <w:style w:type="paragraph" w:styleId="ListParagraph">
    <w:name w:val="List Paragraph"/>
    <w:basedOn w:val="Normal"/>
    <w:uiPriority w:val="34"/>
    <w:qFormat/>
    <w:rsid w:val="00757D43"/>
    <w:pPr>
      <w:ind w:left="720"/>
      <w:contextualSpacing/>
    </w:pPr>
    <w:rPr>
      <w:lang w:val="en-GB"/>
    </w:rPr>
  </w:style>
  <w:style w:type="character" w:customStyle="1" w:styleId="Heading1Char">
    <w:name w:val="Heading 1 Char"/>
    <w:basedOn w:val="DefaultParagraphFont"/>
    <w:link w:val="Heading1"/>
    <w:uiPriority w:val="9"/>
    <w:rsid w:val="00C25F0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D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CD"/>
    <w:rPr>
      <w:rFonts w:eastAsiaTheme="minorHAnsi"/>
      <w:sz w:val="22"/>
      <w:szCs w:val="22"/>
    </w:rPr>
  </w:style>
  <w:style w:type="paragraph" w:styleId="EndnoteText">
    <w:name w:val="endnote text"/>
    <w:basedOn w:val="Normal"/>
    <w:link w:val="EndnoteTextChar"/>
    <w:uiPriority w:val="99"/>
    <w:unhideWhenUsed/>
    <w:rsid w:val="00A970CD"/>
    <w:pPr>
      <w:spacing w:after="0" w:line="240" w:lineRule="auto"/>
    </w:pPr>
    <w:rPr>
      <w:sz w:val="24"/>
      <w:szCs w:val="24"/>
    </w:rPr>
  </w:style>
  <w:style w:type="character" w:customStyle="1" w:styleId="EndnoteTextChar">
    <w:name w:val="Endnote Text Char"/>
    <w:basedOn w:val="DefaultParagraphFont"/>
    <w:link w:val="EndnoteText"/>
    <w:uiPriority w:val="99"/>
    <w:rsid w:val="00A970CD"/>
    <w:rPr>
      <w:rFonts w:eastAsiaTheme="minorHAnsi"/>
    </w:rPr>
  </w:style>
  <w:style w:type="character" w:styleId="EndnoteReference">
    <w:name w:val="endnote reference"/>
    <w:basedOn w:val="DefaultParagraphFont"/>
    <w:uiPriority w:val="99"/>
    <w:unhideWhenUsed/>
    <w:rsid w:val="00A97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427">
      <w:bodyDiv w:val="1"/>
      <w:marLeft w:val="0"/>
      <w:marRight w:val="0"/>
      <w:marTop w:val="0"/>
      <w:marBottom w:val="0"/>
      <w:divBdr>
        <w:top w:val="none" w:sz="0" w:space="0" w:color="auto"/>
        <w:left w:val="none" w:sz="0" w:space="0" w:color="auto"/>
        <w:bottom w:val="none" w:sz="0" w:space="0" w:color="auto"/>
        <w:right w:val="none" w:sz="0" w:space="0" w:color="auto"/>
      </w:divBdr>
    </w:div>
    <w:div w:id="198006418">
      <w:bodyDiv w:val="1"/>
      <w:marLeft w:val="0"/>
      <w:marRight w:val="0"/>
      <w:marTop w:val="0"/>
      <w:marBottom w:val="0"/>
      <w:divBdr>
        <w:top w:val="none" w:sz="0" w:space="0" w:color="auto"/>
        <w:left w:val="none" w:sz="0" w:space="0" w:color="auto"/>
        <w:bottom w:val="none" w:sz="0" w:space="0" w:color="auto"/>
        <w:right w:val="none" w:sz="0" w:space="0" w:color="auto"/>
      </w:divBdr>
    </w:div>
    <w:div w:id="292295593">
      <w:bodyDiv w:val="1"/>
      <w:marLeft w:val="0"/>
      <w:marRight w:val="0"/>
      <w:marTop w:val="0"/>
      <w:marBottom w:val="0"/>
      <w:divBdr>
        <w:top w:val="none" w:sz="0" w:space="0" w:color="auto"/>
        <w:left w:val="none" w:sz="0" w:space="0" w:color="auto"/>
        <w:bottom w:val="none" w:sz="0" w:space="0" w:color="auto"/>
        <w:right w:val="none" w:sz="0" w:space="0" w:color="auto"/>
      </w:divBdr>
      <w:divsChild>
        <w:div w:id="1458256477">
          <w:marLeft w:val="0"/>
          <w:marRight w:val="0"/>
          <w:marTop w:val="0"/>
          <w:marBottom w:val="0"/>
          <w:divBdr>
            <w:top w:val="none" w:sz="0" w:space="0" w:color="auto"/>
            <w:left w:val="none" w:sz="0" w:space="0" w:color="auto"/>
            <w:bottom w:val="none" w:sz="0" w:space="0" w:color="auto"/>
            <w:right w:val="none" w:sz="0" w:space="0" w:color="auto"/>
          </w:divBdr>
          <w:divsChild>
            <w:div w:id="1128548309">
              <w:marLeft w:val="0"/>
              <w:marRight w:val="0"/>
              <w:marTop w:val="0"/>
              <w:marBottom w:val="0"/>
              <w:divBdr>
                <w:top w:val="none" w:sz="0" w:space="0" w:color="auto"/>
                <w:left w:val="none" w:sz="0" w:space="0" w:color="auto"/>
                <w:bottom w:val="none" w:sz="0" w:space="0" w:color="auto"/>
                <w:right w:val="none" w:sz="0" w:space="0" w:color="auto"/>
              </w:divBdr>
              <w:divsChild>
                <w:div w:id="1894925629">
                  <w:marLeft w:val="0"/>
                  <w:marRight w:val="0"/>
                  <w:marTop w:val="0"/>
                  <w:marBottom w:val="0"/>
                  <w:divBdr>
                    <w:top w:val="none" w:sz="0" w:space="0" w:color="auto"/>
                    <w:left w:val="none" w:sz="0" w:space="0" w:color="auto"/>
                    <w:bottom w:val="none" w:sz="0" w:space="0" w:color="auto"/>
                    <w:right w:val="none" w:sz="0" w:space="0" w:color="auto"/>
                  </w:divBdr>
                  <w:divsChild>
                    <w:div w:id="1184442017">
                      <w:marLeft w:val="0"/>
                      <w:marRight w:val="0"/>
                      <w:marTop w:val="0"/>
                      <w:marBottom w:val="0"/>
                      <w:divBdr>
                        <w:top w:val="none" w:sz="0" w:space="0" w:color="auto"/>
                        <w:left w:val="none" w:sz="0" w:space="0" w:color="auto"/>
                        <w:bottom w:val="none" w:sz="0" w:space="0" w:color="auto"/>
                        <w:right w:val="none" w:sz="0" w:space="0" w:color="auto"/>
                      </w:divBdr>
                      <w:divsChild>
                        <w:div w:id="1635283818">
                          <w:marLeft w:val="0"/>
                          <w:marRight w:val="0"/>
                          <w:marTop w:val="0"/>
                          <w:marBottom w:val="0"/>
                          <w:divBdr>
                            <w:top w:val="none" w:sz="0" w:space="0" w:color="auto"/>
                            <w:left w:val="none" w:sz="0" w:space="0" w:color="auto"/>
                            <w:bottom w:val="none" w:sz="0" w:space="0" w:color="auto"/>
                            <w:right w:val="none" w:sz="0" w:space="0" w:color="auto"/>
                          </w:divBdr>
                          <w:divsChild>
                            <w:div w:id="20240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68681">
      <w:bodyDiv w:val="1"/>
      <w:marLeft w:val="0"/>
      <w:marRight w:val="0"/>
      <w:marTop w:val="0"/>
      <w:marBottom w:val="0"/>
      <w:divBdr>
        <w:top w:val="none" w:sz="0" w:space="0" w:color="auto"/>
        <w:left w:val="none" w:sz="0" w:space="0" w:color="auto"/>
        <w:bottom w:val="none" w:sz="0" w:space="0" w:color="auto"/>
        <w:right w:val="none" w:sz="0" w:space="0" w:color="auto"/>
      </w:divBdr>
      <w:divsChild>
        <w:div w:id="1301223745">
          <w:marLeft w:val="0"/>
          <w:marRight w:val="0"/>
          <w:marTop w:val="0"/>
          <w:marBottom w:val="0"/>
          <w:divBdr>
            <w:top w:val="none" w:sz="0" w:space="0" w:color="auto"/>
            <w:left w:val="none" w:sz="0" w:space="0" w:color="auto"/>
            <w:bottom w:val="none" w:sz="0" w:space="0" w:color="auto"/>
            <w:right w:val="none" w:sz="0" w:space="0" w:color="auto"/>
          </w:divBdr>
        </w:div>
        <w:div w:id="1678001968">
          <w:marLeft w:val="0"/>
          <w:marRight w:val="0"/>
          <w:marTop w:val="0"/>
          <w:marBottom w:val="0"/>
          <w:divBdr>
            <w:top w:val="none" w:sz="0" w:space="0" w:color="auto"/>
            <w:left w:val="none" w:sz="0" w:space="0" w:color="auto"/>
            <w:bottom w:val="none" w:sz="0" w:space="0" w:color="auto"/>
            <w:right w:val="none" w:sz="0" w:space="0" w:color="auto"/>
          </w:divBdr>
        </w:div>
        <w:div w:id="314339139">
          <w:marLeft w:val="0"/>
          <w:marRight w:val="0"/>
          <w:marTop w:val="0"/>
          <w:marBottom w:val="0"/>
          <w:divBdr>
            <w:top w:val="none" w:sz="0" w:space="0" w:color="auto"/>
            <w:left w:val="none" w:sz="0" w:space="0" w:color="auto"/>
            <w:bottom w:val="none" w:sz="0" w:space="0" w:color="auto"/>
            <w:right w:val="none" w:sz="0" w:space="0" w:color="auto"/>
          </w:divBdr>
        </w:div>
        <w:div w:id="147945851">
          <w:marLeft w:val="0"/>
          <w:marRight w:val="0"/>
          <w:marTop w:val="0"/>
          <w:marBottom w:val="0"/>
          <w:divBdr>
            <w:top w:val="none" w:sz="0" w:space="0" w:color="auto"/>
            <w:left w:val="none" w:sz="0" w:space="0" w:color="auto"/>
            <w:bottom w:val="none" w:sz="0" w:space="0" w:color="auto"/>
            <w:right w:val="none" w:sz="0" w:space="0" w:color="auto"/>
          </w:divBdr>
        </w:div>
      </w:divsChild>
    </w:div>
    <w:div w:id="496073475">
      <w:bodyDiv w:val="1"/>
      <w:marLeft w:val="0"/>
      <w:marRight w:val="0"/>
      <w:marTop w:val="0"/>
      <w:marBottom w:val="0"/>
      <w:divBdr>
        <w:top w:val="none" w:sz="0" w:space="0" w:color="auto"/>
        <w:left w:val="none" w:sz="0" w:space="0" w:color="auto"/>
        <w:bottom w:val="none" w:sz="0" w:space="0" w:color="auto"/>
        <w:right w:val="none" w:sz="0" w:space="0" w:color="auto"/>
      </w:divBdr>
      <w:divsChild>
        <w:div w:id="954292785">
          <w:marLeft w:val="0"/>
          <w:marRight w:val="0"/>
          <w:marTop w:val="0"/>
          <w:marBottom w:val="0"/>
          <w:divBdr>
            <w:top w:val="none" w:sz="0" w:space="0" w:color="auto"/>
            <w:left w:val="none" w:sz="0" w:space="0" w:color="auto"/>
            <w:bottom w:val="none" w:sz="0" w:space="0" w:color="auto"/>
            <w:right w:val="none" w:sz="0" w:space="0" w:color="auto"/>
          </w:divBdr>
          <w:divsChild>
            <w:div w:id="326399893">
              <w:marLeft w:val="0"/>
              <w:marRight w:val="0"/>
              <w:marTop w:val="0"/>
              <w:marBottom w:val="0"/>
              <w:divBdr>
                <w:top w:val="none" w:sz="0" w:space="0" w:color="auto"/>
                <w:left w:val="none" w:sz="0" w:space="0" w:color="auto"/>
                <w:bottom w:val="none" w:sz="0" w:space="0" w:color="auto"/>
                <w:right w:val="none" w:sz="0" w:space="0" w:color="auto"/>
              </w:divBdr>
              <w:divsChild>
                <w:div w:id="2036688173">
                  <w:marLeft w:val="0"/>
                  <w:marRight w:val="0"/>
                  <w:marTop w:val="0"/>
                  <w:marBottom w:val="0"/>
                  <w:divBdr>
                    <w:top w:val="none" w:sz="0" w:space="0" w:color="auto"/>
                    <w:left w:val="none" w:sz="0" w:space="0" w:color="auto"/>
                    <w:bottom w:val="none" w:sz="0" w:space="0" w:color="auto"/>
                    <w:right w:val="none" w:sz="0" w:space="0" w:color="auto"/>
                  </w:divBdr>
                  <w:divsChild>
                    <w:div w:id="392584418">
                      <w:marLeft w:val="0"/>
                      <w:marRight w:val="0"/>
                      <w:marTop w:val="0"/>
                      <w:marBottom w:val="0"/>
                      <w:divBdr>
                        <w:top w:val="none" w:sz="0" w:space="0" w:color="auto"/>
                        <w:left w:val="none" w:sz="0" w:space="0" w:color="auto"/>
                        <w:bottom w:val="none" w:sz="0" w:space="0" w:color="auto"/>
                        <w:right w:val="none" w:sz="0" w:space="0" w:color="auto"/>
                      </w:divBdr>
                      <w:divsChild>
                        <w:div w:id="1447114066">
                          <w:marLeft w:val="0"/>
                          <w:marRight w:val="0"/>
                          <w:marTop w:val="0"/>
                          <w:marBottom w:val="0"/>
                          <w:divBdr>
                            <w:top w:val="none" w:sz="0" w:space="0" w:color="auto"/>
                            <w:left w:val="none" w:sz="0" w:space="0" w:color="auto"/>
                            <w:bottom w:val="none" w:sz="0" w:space="0" w:color="auto"/>
                            <w:right w:val="none" w:sz="0" w:space="0" w:color="auto"/>
                          </w:divBdr>
                          <w:divsChild>
                            <w:div w:id="7844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5307">
      <w:bodyDiv w:val="1"/>
      <w:marLeft w:val="0"/>
      <w:marRight w:val="0"/>
      <w:marTop w:val="0"/>
      <w:marBottom w:val="0"/>
      <w:divBdr>
        <w:top w:val="none" w:sz="0" w:space="0" w:color="auto"/>
        <w:left w:val="none" w:sz="0" w:space="0" w:color="auto"/>
        <w:bottom w:val="none" w:sz="0" w:space="0" w:color="auto"/>
        <w:right w:val="none" w:sz="0" w:space="0" w:color="auto"/>
      </w:divBdr>
    </w:div>
    <w:div w:id="813185534">
      <w:bodyDiv w:val="1"/>
      <w:marLeft w:val="0"/>
      <w:marRight w:val="0"/>
      <w:marTop w:val="0"/>
      <w:marBottom w:val="0"/>
      <w:divBdr>
        <w:top w:val="none" w:sz="0" w:space="0" w:color="auto"/>
        <w:left w:val="none" w:sz="0" w:space="0" w:color="auto"/>
        <w:bottom w:val="none" w:sz="0" w:space="0" w:color="auto"/>
        <w:right w:val="none" w:sz="0" w:space="0" w:color="auto"/>
      </w:divBdr>
      <w:divsChild>
        <w:div w:id="348725078">
          <w:marLeft w:val="0"/>
          <w:marRight w:val="0"/>
          <w:marTop w:val="0"/>
          <w:marBottom w:val="0"/>
          <w:divBdr>
            <w:top w:val="none" w:sz="0" w:space="0" w:color="auto"/>
            <w:left w:val="none" w:sz="0" w:space="0" w:color="auto"/>
            <w:bottom w:val="none" w:sz="0" w:space="0" w:color="auto"/>
            <w:right w:val="none" w:sz="0" w:space="0" w:color="auto"/>
          </w:divBdr>
          <w:divsChild>
            <w:div w:id="206307702">
              <w:marLeft w:val="0"/>
              <w:marRight w:val="0"/>
              <w:marTop w:val="0"/>
              <w:marBottom w:val="0"/>
              <w:divBdr>
                <w:top w:val="none" w:sz="0" w:space="0" w:color="auto"/>
                <w:left w:val="none" w:sz="0" w:space="0" w:color="auto"/>
                <w:bottom w:val="none" w:sz="0" w:space="0" w:color="auto"/>
                <w:right w:val="none" w:sz="0" w:space="0" w:color="auto"/>
              </w:divBdr>
              <w:divsChild>
                <w:div w:id="1749308983">
                  <w:marLeft w:val="0"/>
                  <w:marRight w:val="0"/>
                  <w:marTop w:val="0"/>
                  <w:marBottom w:val="0"/>
                  <w:divBdr>
                    <w:top w:val="none" w:sz="0" w:space="0" w:color="auto"/>
                    <w:left w:val="none" w:sz="0" w:space="0" w:color="auto"/>
                    <w:bottom w:val="none" w:sz="0" w:space="0" w:color="auto"/>
                    <w:right w:val="none" w:sz="0" w:space="0" w:color="auto"/>
                  </w:divBdr>
                  <w:divsChild>
                    <w:div w:id="1750612485">
                      <w:marLeft w:val="0"/>
                      <w:marRight w:val="0"/>
                      <w:marTop w:val="0"/>
                      <w:marBottom w:val="0"/>
                      <w:divBdr>
                        <w:top w:val="none" w:sz="0" w:space="0" w:color="auto"/>
                        <w:left w:val="none" w:sz="0" w:space="0" w:color="auto"/>
                        <w:bottom w:val="none" w:sz="0" w:space="0" w:color="auto"/>
                        <w:right w:val="none" w:sz="0" w:space="0" w:color="auto"/>
                      </w:divBdr>
                      <w:divsChild>
                        <w:div w:id="524101237">
                          <w:marLeft w:val="0"/>
                          <w:marRight w:val="0"/>
                          <w:marTop w:val="0"/>
                          <w:marBottom w:val="0"/>
                          <w:divBdr>
                            <w:top w:val="none" w:sz="0" w:space="0" w:color="auto"/>
                            <w:left w:val="none" w:sz="0" w:space="0" w:color="auto"/>
                            <w:bottom w:val="none" w:sz="0" w:space="0" w:color="auto"/>
                            <w:right w:val="none" w:sz="0" w:space="0" w:color="auto"/>
                          </w:divBdr>
                          <w:divsChild>
                            <w:div w:id="777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4260">
      <w:bodyDiv w:val="1"/>
      <w:marLeft w:val="0"/>
      <w:marRight w:val="0"/>
      <w:marTop w:val="0"/>
      <w:marBottom w:val="0"/>
      <w:divBdr>
        <w:top w:val="none" w:sz="0" w:space="0" w:color="auto"/>
        <w:left w:val="none" w:sz="0" w:space="0" w:color="auto"/>
        <w:bottom w:val="none" w:sz="0" w:space="0" w:color="auto"/>
        <w:right w:val="none" w:sz="0" w:space="0" w:color="auto"/>
      </w:divBdr>
      <w:divsChild>
        <w:div w:id="1257666426">
          <w:marLeft w:val="0"/>
          <w:marRight w:val="0"/>
          <w:marTop w:val="0"/>
          <w:marBottom w:val="0"/>
          <w:divBdr>
            <w:top w:val="none" w:sz="0" w:space="0" w:color="auto"/>
            <w:left w:val="none" w:sz="0" w:space="0" w:color="auto"/>
            <w:bottom w:val="none" w:sz="0" w:space="0" w:color="auto"/>
            <w:right w:val="none" w:sz="0" w:space="0" w:color="auto"/>
          </w:divBdr>
          <w:divsChild>
            <w:div w:id="458495139">
              <w:marLeft w:val="0"/>
              <w:marRight w:val="0"/>
              <w:marTop w:val="0"/>
              <w:marBottom w:val="0"/>
              <w:divBdr>
                <w:top w:val="none" w:sz="0" w:space="0" w:color="auto"/>
                <w:left w:val="none" w:sz="0" w:space="0" w:color="auto"/>
                <w:bottom w:val="none" w:sz="0" w:space="0" w:color="auto"/>
                <w:right w:val="none" w:sz="0" w:space="0" w:color="auto"/>
              </w:divBdr>
              <w:divsChild>
                <w:div w:id="89468572">
                  <w:marLeft w:val="0"/>
                  <w:marRight w:val="0"/>
                  <w:marTop w:val="0"/>
                  <w:marBottom w:val="0"/>
                  <w:divBdr>
                    <w:top w:val="none" w:sz="0" w:space="0" w:color="auto"/>
                    <w:left w:val="none" w:sz="0" w:space="0" w:color="auto"/>
                    <w:bottom w:val="none" w:sz="0" w:space="0" w:color="auto"/>
                    <w:right w:val="none" w:sz="0" w:space="0" w:color="auto"/>
                  </w:divBdr>
                  <w:divsChild>
                    <w:div w:id="1307005921">
                      <w:marLeft w:val="0"/>
                      <w:marRight w:val="0"/>
                      <w:marTop w:val="0"/>
                      <w:marBottom w:val="0"/>
                      <w:divBdr>
                        <w:top w:val="none" w:sz="0" w:space="0" w:color="auto"/>
                        <w:left w:val="none" w:sz="0" w:space="0" w:color="auto"/>
                        <w:bottom w:val="none" w:sz="0" w:space="0" w:color="auto"/>
                        <w:right w:val="none" w:sz="0" w:space="0" w:color="auto"/>
                      </w:divBdr>
                      <w:divsChild>
                        <w:div w:id="991101143">
                          <w:marLeft w:val="0"/>
                          <w:marRight w:val="0"/>
                          <w:marTop w:val="0"/>
                          <w:marBottom w:val="0"/>
                          <w:divBdr>
                            <w:top w:val="none" w:sz="0" w:space="0" w:color="auto"/>
                            <w:left w:val="none" w:sz="0" w:space="0" w:color="auto"/>
                            <w:bottom w:val="none" w:sz="0" w:space="0" w:color="auto"/>
                            <w:right w:val="none" w:sz="0" w:space="0" w:color="auto"/>
                          </w:divBdr>
                          <w:divsChild>
                            <w:div w:id="1284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96">
      <w:bodyDiv w:val="1"/>
      <w:marLeft w:val="0"/>
      <w:marRight w:val="0"/>
      <w:marTop w:val="0"/>
      <w:marBottom w:val="0"/>
      <w:divBdr>
        <w:top w:val="none" w:sz="0" w:space="0" w:color="auto"/>
        <w:left w:val="none" w:sz="0" w:space="0" w:color="auto"/>
        <w:bottom w:val="none" w:sz="0" w:space="0" w:color="auto"/>
        <w:right w:val="none" w:sz="0" w:space="0" w:color="auto"/>
      </w:divBdr>
      <w:divsChild>
        <w:div w:id="415127893">
          <w:marLeft w:val="0"/>
          <w:marRight w:val="0"/>
          <w:marTop w:val="0"/>
          <w:marBottom w:val="0"/>
          <w:divBdr>
            <w:top w:val="none" w:sz="0" w:space="0" w:color="auto"/>
            <w:left w:val="none" w:sz="0" w:space="0" w:color="auto"/>
            <w:bottom w:val="none" w:sz="0" w:space="0" w:color="auto"/>
            <w:right w:val="none" w:sz="0" w:space="0" w:color="auto"/>
          </w:divBdr>
          <w:divsChild>
            <w:div w:id="1816528713">
              <w:marLeft w:val="0"/>
              <w:marRight w:val="0"/>
              <w:marTop w:val="0"/>
              <w:marBottom w:val="0"/>
              <w:divBdr>
                <w:top w:val="none" w:sz="0" w:space="0" w:color="auto"/>
                <w:left w:val="none" w:sz="0" w:space="0" w:color="auto"/>
                <w:bottom w:val="none" w:sz="0" w:space="0" w:color="auto"/>
                <w:right w:val="none" w:sz="0" w:space="0" w:color="auto"/>
              </w:divBdr>
              <w:divsChild>
                <w:div w:id="1792168725">
                  <w:marLeft w:val="0"/>
                  <w:marRight w:val="0"/>
                  <w:marTop w:val="0"/>
                  <w:marBottom w:val="0"/>
                  <w:divBdr>
                    <w:top w:val="none" w:sz="0" w:space="0" w:color="auto"/>
                    <w:left w:val="none" w:sz="0" w:space="0" w:color="auto"/>
                    <w:bottom w:val="none" w:sz="0" w:space="0" w:color="auto"/>
                    <w:right w:val="none" w:sz="0" w:space="0" w:color="auto"/>
                  </w:divBdr>
                  <w:divsChild>
                    <w:div w:id="2096196551">
                      <w:marLeft w:val="0"/>
                      <w:marRight w:val="0"/>
                      <w:marTop w:val="0"/>
                      <w:marBottom w:val="0"/>
                      <w:divBdr>
                        <w:top w:val="none" w:sz="0" w:space="0" w:color="auto"/>
                        <w:left w:val="none" w:sz="0" w:space="0" w:color="auto"/>
                        <w:bottom w:val="none" w:sz="0" w:space="0" w:color="auto"/>
                        <w:right w:val="none" w:sz="0" w:space="0" w:color="auto"/>
                      </w:divBdr>
                      <w:divsChild>
                        <w:div w:id="1528761208">
                          <w:marLeft w:val="0"/>
                          <w:marRight w:val="0"/>
                          <w:marTop w:val="0"/>
                          <w:marBottom w:val="0"/>
                          <w:divBdr>
                            <w:top w:val="none" w:sz="0" w:space="0" w:color="auto"/>
                            <w:left w:val="none" w:sz="0" w:space="0" w:color="auto"/>
                            <w:bottom w:val="none" w:sz="0" w:space="0" w:color="auto"/>
                            <w:right w:val="none" w:sz="0" w:space="0" w:color="auto"/>
                          </w:divBdr>
                          <w:divsChild>
                            <w:div w:id="940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72677">
      <w:bodyDiv w:val="1"/>
      <w:marLeft w:val="0"/>
      <w:marRight w:val="0"/>
      <w:marTop w:val="0"/>
      <w:marBottom w:val="0"/>
      <w:divBdr>
        <w:top w:val="none" w:sz="0" w:space="0" w:color="auto"/>
        <w:left w:val="none" w:sz="0" w:space="0" w:color="auto"/>
        <w:bottom w:val="none" w:sz="0" w:space="0" w:color="auto"/>
        <w:right w:val="none" w:sz="0" w:space="0" w:color="auto"/>
      </w:divBdr>
    </w:div>
    <w:div w:id="139566591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92">
          <w:marLeft w:val="0"/>
          <w:marRight w:val="0"/>
          <w:marTop w:val="0"/>
          <w:marBottom w:val="0"/>
          <w:divBdr>
            <w:top w:val="none" w:sz="0" w:space="0" w:color="auto"/>
            <w:left w:val="none" w:sz="0" w:space="0" w:color="auto"/>
            <w:bottom w:val="none" w:sz="0" w:space="0" w:color="auto"/>
            <w:right w:val="none" w:sz="0" w:space="0" w:color="auto"/>
          </w:divBdr>
          <w:divsChild>
            <w:div w:id="541984954">
              <w:marLeft w:val="0"/>
              <w:marRight w:val="0"/>
              <w:marTop w:val="0"/>
              <w:marBottom w:val="0"/>
              <w:divBdr>
                <w:top w:val="none" w:sz="0" w:space="0" w:color="auto"/>
                <w:left w:val="none" w:sz="0" w:space="0" w:color="auto"/>
                <w:bottom w:val="none" w:sz="0" w:space="0" w:color="auto"/>
                <w:right w:val="none" w:sz="0" w:space="0" w:color="auto"/>
              </w:divBdr>
              <w:divsChild>
                <w:div w:id="1831173917">
                  <w:marLeft w:val="0"/>
                  <w:marRight w:val="0"/>
                  <w:marTop w:val="0"/>
                  <w:marBottom w:val="0"/>
                  <w:divBdr>
                    <w:top w:val="none" w:sz="0" w:space="0" w:color="auto"/>
                    <w:left w:val="none" w:sz="0" w:space="0" w:color="auto"/>
                    <w:bottom w:val="none" w:sz="0" w:space="0" w:color="auto"/>
                    <w:right w:val="none" w:sz="0" w:space="0" w:color="auto"/>
                  </w:divBdr>
                  <w:divsChild>
                    <w:div w:id="1593660705">
                      <w:marLeft w:val="0"/>
                      <w:marRight w:val="0"/>
                      <w:marTop w:val="0"/>
                      <w:marBottom w:val="0"/>
                      <w:divBdr>
                        <w:top w:val="none" w:sz="0" w:space="0" w:color="auto"/>
                        <w:left w:val="none" w:sz="0" w:space="0" w:color="auto"/>
                        <w:bottom w:val="none" w:sz="0" w:space="0" w:color="auto"/>
                        <w:right w:val="none" w:sz="0" w:space="0" w:color="auto"/>
                      </w:divBdr>
                      <w:divsChild>
                        <w:div w:id="1027484194">
                          <w:marLeft w:val="0"/>
                          <w:marRight w:val="0"/>
                          <w:marTop w:val="0"/>
                          <w:marBottom w:val="0"/>
                          <w:divBdr>
                            <w:top w:val="none" w:sz="0" w:space="0" w:color="auto"/>
                            <w:left w:val="none" w:sz="0" w:space="0" w:color="auto"/>
                            <w:bottom w:val="none" w:sz="0" w:space="0" w:color="auto"/>
                            <w:right w:val="none" w:sz="0" w:space="0" w:color="auto"/>
                          </w:divBdr>
                          <w:divsChild>
                            <w:div w:id="14693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92122">
      <w:bodyDiv w:val="1"/>
      <w:marLeft w:val="0"/>
      <w:marRight w:val="0"/>
      <w:marTop w:val="0"/>
      <w:marBottom w:val="0"/>
      <w:divBdr>
        <w:top w:val="none" w:sz="0" w:space="0" w:color="auto"/>
        <w:left w:val="none" w:sz="0" w:space="0" w:color="auto"/>
        <w:bottom w:val="none" w:sz="0" w:space="0" w:color="auto"/>
        <w:right w:val="none" w:sz="0" w:space="0" w:color="auto"/>
      </w:divBdr>
      <w:divsChild>
        <w:div w:id="1900240565">
          <w:marLeft w:val="0"/>
          <w:marRight w:val="0"/>
          <w:marTop w:val="0"/>
          <w:marBottom w:val="0"/>
          <w:divBdr>
            <w:top w:val="none" w:sz="0" w:space="0" w:color="auto"/>
            <w:left w:val="none" w:sz="0" w:space="0" w:color="auto"/>
            <w:bottom w:val="none" w:sz="0" w:space="0" w:color="auto"/>
            <w:right w:val="none" w:sz="0" w:space="0" w:color="auto"/>
          </w:divBdr>
          <w:divsChild>
            <w:div w:id="263421613">
              <w:marLeft w:val="0"/>
              <w:marRight w:val="0"/>
              <w:marTop w:val="0"/>
              <w:marBottom w:val="0"/>
              <w:divBdr>
                <w:top w:val="none" w:sz="0" w:space="0" w:color="auto"/>
                <w:left w:val="none" w:sz="0" w:space="0" w:color="auto"/>
                <w:bottom w:val="none" w:sz="0" w:space="0" w:color="auto"/>
                <w:right w:val="none" w:sz="0" w:space="0" w:color="auto"/>
              </w:divBdr>
              <w:divsChild>
                <w:div w:id="620068123">
                  <w:marLeft w:val="0"/>
                  <w:marRight w:val="0"/>
                  <w:marTop w:val="0"/>
                  <w:marBottom w:val="0"/>
                  <w:divBdr>
                    <w:top w:val="none" w:sz="0" w:space="0" w:color="auto"/>
                    <w:left w:val="none" w:sz="0" w:space="0" w:color="auto"/>
                    <w:bottom w:val="none" w:sz="0" w:space="0" w:color="auto"/>
                    <w:right w:val="none" w:sz="0" w:space="0" w:color="auto"/>
                  </w:divBdr>
                  <w:divsChild>
                    <w:div w:id="1561406731">
                      <w:marLeft w:val="0"/>
                      <w:marRight w:val="0"/>
                      <w:marTop w:val="0"/>
                      <w:marBottom w:val="0"/>
                      <w:divBdr>
                        <w:top w:val="none" w:sz="0" w:space="0" w:color="auto"/>
                        <w:left w:val="none" w:sz="0" w:space="0" w:color="auto"/>
                        <w:bottom w:val="none" w:sz="0" w:space="0" w:color="auto"/>
                        <w:right w:val="none" w:sz="0" w:space="0" w:color="auto"/>
                      </w:divBdr>
                      <w:divsChild>
                        <w:div w:id="478114683">
                          <w:marLeft w:val="0"/>
                          <w:marRight w:val="0"/>
                          <w:marTop w:val="0"/>
                          <w:marBottom w:val="0"/>
                          <w:divBdr>
                            <w:top w:val="none" w:sz="0" w:space="0" w:color="auto"/>
                            <w:left w:val="none" w:sz="0" w:space="0" w:color="auto"/>
                            <w:bottom w:val="none" w:sz="0" w:space="0" w:color="auto"/>
                            <w:right w:val="none" w:sz="0" w:space="0" w:color="auto"/>
                          </w:divBdr>
                          <w:divsChild>
                            <w:div w:id="1515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18656">
      <w:bodyDiv w:val="1"/>
      <w:marLeft w:val="0"/>
      <w:marRight w:val="0"/>
      <w:marTop w:val="0"/>
      <w:marBottom w:val="0"/>
      <w:divBdr>
        <w:top w:val="none" w:sz="0" w:space="0" w:color="auto"/>
        <w:left w:val="none" w:sz="0" w:space="0" w:color="auto"/>
        <w:bottom w:val="none" w:sz="0" w:space="0" w:color="auto"/>
        <w:right w:val="none" w:sz="0" w:space="0" w:color="auto"/>
      </w:divBdr>
    </w:div>
    <w:div w:id="1628587866">
      <w:bodyDiv w:val="1"/>
      <w:marLeft w:val="0"/>
      <w:marRight w:val="0"/>
      <w:marTop w:val="0"/>
      <w:marBottom w:val="0"/>
      <w:divBdr>
        <w:top w:val="none" w:sz="0" w:space="0" w:color="auto"/>
        <w:left w:val="none" w:sz="0" w:space="0" w:color="auto"/>
        <w:bottom w:val="none" w:sz="0" w:space="0" w:color="auto"/>
        <w:right w:val="none" w:sz="0" w:space="0" w:color="auto"/>
      </w:divBdr>
      <w:divsChild>
        <w:div w:id="767510032">
          <w:marLeft w:val="0"/>
          <w:marRight w:val="0"/>
          <w:marTop w:val="0"/>
          <w:marBottom w:val="0"/>
          <w:divBdr>
            <w:top w:val="none" w:sz="0" w:space="0" w:color="auto"/>
            <w:left w:val="none" w:sz="0" w:space="0" w:color="auto"/>
            <w:bottom w:val="none" w:sz="0" w:space="0" w:color="auto"/>
            <w:right w:val="none" w:sz="0" w:space="0" w:color="auto"/>
          </w:divBdr>
          <w:divsChild>
            <w:div w:id="1604872317">
              <w:marLeft w:val="0"/>
              <w:marRight w:val="0"/>
              <w:marTop w:val="0"/>
              <w:marBottom w:val="0"/>
              <w:divBdr>
                <w:top w:val="none" w:sz="0" w:space="0" w:color="auto"/>
                <w:left w:val="none" w:sz="0" w:space="0" w:color="auto"/>
                <w:bottom w:val="none" w:sz="0" w:space="0" w:color="auto"/>
                <w:right w:val="none" w:sz="0" w:space="0" w:color="auto"/>
              </w:divBdr>
              <w:divsChild>
                <w:div w:id="24256693">
                  <w:marLeft w:val="0"/>
                  <w:marRight w:val="0"/>
                  <w:marTop w:val="0"/>
                  <w:marBottom w:val="0"/>
                  <w:divBdr>
                    <w:top w:val="none" w:sz="0" w:space="0" w:color="auto"/>
                    <w:left w:val="none" w:sz="0" w:space="0" w:color="auto"/>
                    <w:bottom w:val="none" w:sz="0" w:space="0" w:color="auto"/>
                    <w:right w:val="none" w:sz="0" w:space="0" w:color="auto"/>
                  </w:divBdr>
                  <w:divsChild>
                    <w:div w:id="2003242248">
                      <w:marLeft w:val="0"/>
                      <w:marRight w:val="0"/>
                      <w:marTop w:val="0"/>
                      <w:marBottom w:val="0"/>
                      <w:divBdr>
                        <w:top w:val="none" w:sz="0" w:space="0" w:color="auto"/>
                        <w:left w:val="none" w:sz="0" w:space="0" w:color="auto"/>
                        <w:bottom w:val="none" w:sz="0" w:space="0" w:color="auto"/>
                        <w:right w:val="none" w:sz="0" w:space="0" w:color="auto"/>
                      </w:divBdr>
                      <w:divsChild>
                        <w:div w:id="48577430">
                          <w:marLeft w:val="0"/>
                          <w:marRight w:val="0"/>
                          <w:marTop w:val="0"/>
                          <w:marBottom w:val="0"/>
                          <w:divBdr>
                            <w:top w:val="none" w:sz="0" w:space="0" w:color="auto"/>
                            <w:left w:val="none" w:sz="0" w:space="0" w:color="auto"/>
                            <w:bottom w:val="none" w:sz="0" w:space="0" w:color="auto"/>
                            <w:right w:val="none" w:sz="0" w:space="0" w:color="auto"/>
                          </w:divBdr>
                          <w:divsChild>
                            <w:div w:id="17540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069073">
      <w:bodyDiv w:val="1"/>
      <w:marLeft w:val="0"/>
      <w:marRight w:val="0"/>
      <w:marTop w:val="0"/>
      <w:marBottom w:val="0"/>
      <w:divBdr>
        <w:top w:val="none" w:sz="0" w:space="0" w:color="auto"/>
        <w:left w:val="none" w:sz="0" w:space="0" w:color="auto"/>
        <w:bottom w:val="none" w:sz="0" w:space="0" w:color="auto"/>
        <w:right w:val="none" w:sz="0" w:space="0" w:color="auto"/>
      </w:divBdr>
    </w:div>
    <w:div w:id="1957445900">
      <w:bodyDiv w:val="1"/>
      <w:marLeft w:val="0"/>
      <w:marRight w:val="0"/>
      <w:marTop w:val="0"/>
      <w:marBottom w:val="0"/>
      <w:divBdr>
        <w:top w:val="none" w:sz="0" w:space="0" w:color="auto"/>
        <w:left w:val="none" w:sz="0" w:space="0" w:color="auto"/>
        <w:bottom w:val="none" w:sz="0" w:space="0" w:color="auto"/>
        <w:right w:val="none" w:sz="0" w:space="0" w:color="auto"/>
      </w:divBdr>
      <w:divsChild>
        <w:div w:id="272177994">
          <w:marLeft w:val="0"/>
          <w:marRight w:val="0"/>
          <w:marTop w:val="0"/>
          <w:marBottom w:val="0"/>
          <w:divBdr>
            <w:top w:val="none" w:sz="0" w:space="0" w:color="auto"/>
            <w:left w:val="none" w:sz="0" w:space="0" w:color="auto"/>
            <w:bottom w:val="none" w:sz="0" w:space="0" w:color="auto"/>
            <w:right w:val="none" w:sz="0" w:space="0" w:color="auto"/>
          </w:divBdr>
          <w:divsChild>
            <w:div w:id="1262950352">
              <w:marLeft w:val="0"/>
              <w:marRight w:val="0"/>
              <w:marTop w:val="0"/>
              <w:marBottom w:val="0"/>
              <w:divBdr>
                <w:top w:val="none" w:sz="0" w:space="0" w:color="auto"/>
                <w:left w:val="none" w:sz="0" w:space="0" w:color="auto"/>
                <w:bottom w:val="none" w:sz="0" w:space="0" w:color="auto"/>
                <w:right w:val="none" w:sz="0" w:space="0" w:color="auto"/>
              </w:divBdr>
              <w:divsChild>
                <w:div w:id="434592710">
                  <w:marLeft w:val="0"/>
                  <w:marRight w:val="0"/>
                  <w:marTop w:val="0"/>
                  <w:marBottom w:val="0"/>
                  <w:divBdr>
                    <w:top w:val="none" w:sz="0" w:space="0" w:color="auto"/>
                    <w:left w:val="none" w:sz="0" w:space="0" w:color="auto"/>
                    <w:bottom w:val="none" w:sz="0" w:space="0" w:color="auto"/>
                    <w:right w:val="none" w:sz="0" w:space="0" w:color="auto"/>
                  </w:divBdr>
                  <w:divsChild>
                    <w:div w:id="394544974">
                      <w:marLeft w:val="0"/>
                      <w:marRight w:val="0"/>
                      <w:marTop w:val="0"/>
                      <w:marBottom w:val="0"/>
                      <w:divBdr>
                        <w:top w:val="none" w:sz="0" w:space="0" w:color="auto"/>
                        <w:left w:val="none" w:sz="0" w:space="0" w:color="auto"/>
                        <w:bottom w:val="none" w:sz="0" w:space="0" w:color="auto"/>
                        <w:right w:val="none" w:sz="0" w:space="0" w:color="auto"/>
                      </w:divBdr>
                      <w:divsChild>
                        <w:div w:id="523253924">
                          <w:marLeft w:val="0"/>
                          <w:marRight w:val="0"/>
                          <w:marTop w:val="0"/>
                          <w:marBottom w:val="0"/>
                          <w:divBdr>
                            <w:top w:val="none" w:sz="0" w:space="0" w:color="auto"/>
                            <w:left w:val="none" w:sz="0" w:space="0" w:color="auto"/>
                            <w:bottom w:val="none" w:sz="0" w:space="0" w:color="auto"/>
                            <w:right w:val="none" w:sz="0" w:space="0" w:color="auto"/>
                          </w:divBdr>
                          <w:divsChild>
                            <w:div w:id="2071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01878">
      <w:bodyDiv w:val="1"/>
      <w:marLeft w:val="0"/>
      <w:marRight w:val="0"/>
      <w:marTop w:val="0"/>
      <w:marBottom w:val="0"/>
      <w:divBdr>
        <w:top w:val="none" w:sz="0" w:space="0" w:color="auto"/>
        <w:left w:val="none" w:sz="0" w:space="0" w:color="auto"/>
        <w:bottom w:val="none" w:sz="0" w:space="0" w:color="auto"/>
        <w:right w:val="none" w:sz="0" w:space="0" w:color="auto"/>
      </w:divBdr>
    </w:div>
    <w:div w:id="2007124466">
      <w:bodyDiv w:val="1"/>
      <w:marLeft w:val="0"/>
      <w:marRight w:val="0"/>
      <w:marTop w:val="0"/>
      <w:marBottom w:val="0"/>
      <w:divBdr>
        <w:top w:val="none" w:sz="0" w:space="0" w:color="auto"/>
        <w:left w:val="none" w:sz="0" w:space="0" w:color="auto"/>
        <w:bottom w:val="none" w:sz="0" w:space="0" w:color="auto"/>
        <w:right w:val="none" w:sz="0" w:space="0" w:color="auto"/>
      </w:divBdr>
      <w:divsChild>
        <w:div w:id="106317291">
          <w:marLeft w:val="0"/>
          <w:marRight w:val="0"/>
          <w:marTop w:val="0"/>
          <w:marBottom w:val="0"/>
          <w:divBdr>
            <w:top w:val="none" w:sz="0" w:space="0" w:color="auto"/>
            <w:left w:val="none" w:sz="0" w:space="0" w:color="auto"/>
            <w:bottom w:val="none" w:sz="0" w:space="0" w:color="auto"/>
            <w:right w:val="none" w:sz="0" w:space="0" w:color="auto"/>
          </w:divBdr>
          <w:divsChild>
            <w:div w:id="907767482">
              <w:marLeft w:val="0"/>
              <w:marRight w:val="0"/>
              <w:marTop w:val="0"/>
              <w:marBottom w:val="0"/>
              <w:divBdr>
                <w:top w:val="none" w:sz="0" w:space="0" w:color="auto"/>
                <w:left w:val="none" w:sz="0" w:space="0" w:color="auto"/>
                <w:bottom w:val="none" w:sz="0" w:space="0" w:color="auto"/>
                <w:right w:val="none" w:sz="0" w:space="0" w:color="auto"/>
              </w:divBdr>
              <w:divsChild>
                <w:div w:id="673997282">
                  <w:marLeft w:val="0"/>
                  <w:marRight w:val="0"/>
                  <w:marTop w:val="0"/>
                  <w:marBottom w:val="0"/>
                  <w:divBdr>
                    <w:top w:val="none" w:sz="0" w:space="0" w:color="auto"/>
                    <w:left w:val="none" w:sz="0" w:space="0" w:color="auto"/>
                    <w:bottom w:val="none" w:sz="0" w:space="0" w:color="auto"/>
                    <w:right w:val="none" w:sz="0" w:space="0" w:color="auto"/>
                  </w:divBdr>
                  <w:divsChild>
                    <w:div w:id="1315797035">
                      <w:marLeft w:val="0"/>
                      <w:marRight w:val="0"/>
                      <w:marTop w:val="0"/>
                      <w:marBottom w:val="0"/>
                      <w:divBdr>
                        <w:top w:val="none" w:sz="0" w:space="0" w:color="auto"/>
                        <w:left w:val="none" w:sz="0" w:space="0" w:color="auto"/>
                        <w:bottom w:val="none" w:sz="0" w:space="0" w:color="auto"/>
                        <w:right w:val="none" w:sz="0" w:space="0" w:color="auto"/>
                      </w:divBdr>
                      <w:divsChild>
                        <w:div w:id="1787039206">
                          <w:marLeft w:val="0"/>
                          <w:marRight w:val="0"/>
                          <w:marTop w:val="0"/>
                          <w:marBottom w:val="0"/>
                          <w:divBdr>
                            <w:top w:val="none" w:sz="0" w:space="0" w:color="auto"/>
                            <w:left w:val="none" w:sz="0" w:space="0" w:color="auto"/>
                            <w:bottom w:val="none" w:sz="0" w:space="0" w:color="auto"/>
                            <w:right w:val="none" w:sz="0" w:space="0" w:color="auto"/>
                          </w:divBdr>
                          <w:divsChild>
                            <w:div w:id="17983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22339">
      <w:bodyDiv w:val="1"/>
      <w:marLeft w:val="0"/>
      <w:marRight w:val="0"/>
      <w:marTop w:val="0"/>
      <w:marBottom w:val="0"/>
      <w:divBdr>
        <w:top w:val="none" w:sz="0" w:space="0" w:color="auto"/>
        <w:left w:val="none" w:sz="0" w:space="0" w:color="auto"/>
        <w:bottom w:val="none" w:sz="0" w:space="0" w:color="auto"/>
        <w:right w:val="none" w:sz="0" w:space="0" w:color="auto"/>
      </w:divBdr>
      <w:divsChild>
        <w:div w:id="445127445">
          <w:marLeft w:val="0"/>
          <w:marRight w:val="0"/>
          <w:marTop w:val="0"/>
          <w:marBottom w:val="0"/>
          <w:divBdr>
            <w:top w:val="none" w:sz="0" w:space="0" w:color="auto"/>
            <w:left w:val="none" w:sz="0" w:space="0" w:color="auto"/>
            <w:bottom w:val="none" w:sz="0" w:space="0" w:color="auto"/>
            <w:right w:val="none" w:sz="0" w:space="0" w:color="auto"/>
          </w:divBdr>
          <w:divsChild>
            <w:div w:id="1447892157">
              <w:marLeft w:val="0"/>
              <w:marRight w:val="0"/>
              <w:marTop w:val="0"/>
              <w:marBottom w:val="0"/>
              <w:divBdr>
                <w:top w:val="none" w:sz="0" w:space="0" w:color="auto"/>
                <w:left w:val="none" w:sz="0" w:space="0" w:color="auto"/>
                <w:bottom w:val="none" w:sz="0" w:space="0" w:color="auto"/>
                <w:right w:val="none" w:sz="0" w:space="0" w:color="auto"/>
              </w:divBdr>
              <w:divsChild>
                <w:div w:id="391387016">
                  <w:marLeft w:val="0"/>
                  <w:marRight w:val="0"/>
                  <w:marTop w:val="0"/>
                  <w:marBottom w:val="0"/>
                  <w:divBdr>
                    <w:top w:val="none" w:sz="0" w:space="0" w:color="auto"/>
                    <w:left w:val="none" w:sz="0" w:space="0" w:color="auto"/>
                    <w:bottom w:val="none" w:sz="0" w:space="0" w:color="auto"/>
                    <w:right w:val="none" w:sz="0" w:space="0" w:color="auto"/>
                  </w:divBdr>
                  <w:divsChild>
                    <w:div w:id="381369425">
                      <w:marLeft w:val="0"/>
                      <w:marRight w:val="0"/>
                      <w:marTop w:val="0"/>
                      <w:marBottom w:val="0"/>
                      <w:divBdr>
                        <w:top w:val="none" w:sz="0" w:space="0" w:color="auto"/>
                        <w:left w:val="none" w:sz="0" w:space="0" w:color="auto"/>
                        <w:bottom w:val="none" w:sz="0" w:space="0" w:color="auto"/>
                        <w:right w:val="none" w:sz="0" w:space="0" w:color="auto"/>
                      </w:divBdr>
                      <w:divsChild>
                        <w:div w:id="277958198">
                          <w:marLeft w:val="0"/>
                          <w:marRight w:val="0"/>
                          <w:marTop w:val="0"/>
                          <w:marBottom w:val="0"/>
                          <w:divBdr>
                            <w:top w:val="none" w:sz="0" w:space="0" w:color="auto"/>
                            <w:left w:val="none" w:sz="0" w:space="0" w:color="auto"/>
                            <w:bottom w:val="none" w:sz="0" w:space="0" w:color="auto"/>
                            <w:right w:val="none" w:sz="0" w:space="0" w:color="auto"/>
                          </w:divBdr>
                          <w:divsChild>
                            <w:div w:id="1729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journal/0165410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servlet/linkout?suffix=cit0007&amp;dbid=20&amp;doi=10.1080%2F23322373.2015.1026761&amp;key=10.1080%2F09585192.2014.985330" TargetMode="External"/><Relationship Id="rId10" Type="http://schemas.openxmlformats.org/officeDocument/2006/relationships/hyperlink" Target="http://www.sciencedirect.com/science/article/pii/S016541011200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DCA9-6A28-5149-86D9-1792B863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9913</Words>
  <Characters>56507</Characters>
  <Application>Microsoft Macintosh Word</Application>
  <DocSecurity>4</DocSecurity>
  <Lines>470</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 Yakis-Douglas</dc:creator>
  <cp:lastModifiedBy>Duncan Angwin</cp:lastModifiedBy>
  <cp:revision>2</cp:revision>
  <cp:lastPrinted>2015-12-28T01:52:00Z</cp:lastPrinted>
  <dcterms:created xsi:type="dcterms:W3CDTF">2016-07-07T09:08:00Z</dcterms:created>
  <dcterms:modified xsi:type="dcterms:W3CDTF">2016-07-07T09:08:00Z</dcterms:modified>
</cp:coreProperties>
</file>