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24" w:rsidRPr="004156A9" w:rsidRDefault="00FF0088" w:rsidP="00BA40CB">
      <w:pPr>
        <w:pStyle w:val="Heading1"/>
        <w:rPr>
          <w:rFonts w:ascii="Times New Roman" w:hAnsi="Times New Roman" w:cs="Times New Roman"/>
          <w:sz w:val="24"/>
          <w:szCs w:val="24"/>
        </w:rPr>
      </w:pPr>
      <w:r w:rsidRPr="004156A9">
        <w:rPr>
          <w:rFonts w:ascii="Times New Roman" w:hAnsi="Times New Roman" w:cs="Times New Roman"/>
          <w:sz w:val="24"/>
          <w:szCs w:val="24"/>
        </w:rPr>
        <w:t>Theorising Learning to Teach: Insights</w:t>
      </w:r>
      <w:r w:rsidR="00BA40CB" w:rsidRPr="004156A9">
        <w:rPr>
          <w:rFonts w:ascii="Times New Roman" w:hAnsi="Times New Roman" w:cs="Times New Roman"/>
          <w:sz w:val="24"/>
          <w:szCs w:val="24"/>
        </w:rPr>
        <w:t>, A</w:t>
      </w:r>
      <w:r w:rsidRPr="004156A9">
        <w:rPr>
          <w:rFonts w:ascii="Times New Roman" w:hAnsi="Times New Roman" w:cs="Times New Roman"/>
          <w:sz w:val="24"/>
          <w:szCs w:val="24"/>
        </w:rPr>
        <w:t>bsences</w:t>
      </w:r>
      <w:r w:rsidR="00BA40CB" w:rsidRPr="004156A9">
        <w:rPr>
          <w:rFonts w:ascii="Times New Roman" w:hAnsi="Times New Roman" w:cs="Times New Roman"/>
          <w:sz w:val="24"/>
          <w:szCs w:val="24"/>
        </w:rPr>
        <w:t xml:space="preserve"> and Future </w:t>
      </w:r>
      <w:r w:rsidR="008A550D" w:rsidRPr="004156A9">
        <w:rPr>
          <w:rFonts w:ascii="Times New Roman" w:hAnsi="Times New Roman" w:cs="Times New Roman"/>
          <w:sz w:val="24"/>
          <w:szCs w:val="24"/>
        </w:rPr>
        <w:t>Possibilities</w:t>
      </w:r>
    </w:p>
    <w:p w:rsidR="0009558F" w:rsidRPr="004156A9" w:rsidRDefault="0009558F" w:rsidP="00BA40CB">
      <w:pPr>
        <w:pStyle w:val="Heading2"/>
        <w:rPr>
          <w:rFonts w:ascii="Times New Roman" w:hAnsi="Times New Roman"/>
          <w:sz w:val="24"/>
          <w:szCs w:val="24"/>
        </w:rPr>
      </w:pPr>
      <w:r w:rsidRPr="004156A9">
        <w:rPr>
          <w:rFonts w:ascii="Times New Roman" w:hAnsi="Times New Roman"/>
          <w:sz w:val="24"/>
          <w:szCs w:val="24"/>
        </w:rPr>
        <w:t>Paul Ashwin</w:t>
      </w:r>
    </w:p>
    <w:p w:rsidR="0009558F" w:rsidRPr="004156A9" w:rsidRDefault="0009558F" w:rsidP="00BA40CB">
      <w:pPr>
        <w:rPr>
          <w:rFonts w:ascii="Times New Roman" w:hAnsi="Times New Roman"/>
        </w:rPr>
      </w:pPr>
    </w:p>
    <w:p w:rsidR="00B210B9" w:rsidRPr="004156A9" w:rsidRDefault="00E55DDF" w:rsidP="00BA40CB">
      <w:pPr>
        <w:rPr>
          <w:rFonts w:ascii="Times New Roman" w:hAnsi="Times New Roman"/>
        </w:rPr>
      </w:pPr>
      <w:r w:rsidRPr="004156A9">
        <w:rPr>
          <w:rFonts w:ascii="Times New Roman" w:hAnsi="Times New Roman"/>
        </w:rPr>
        <w:t xml:space="preserve">In this concluding chapter of this book, I consider what </w:t>
      </w:r>
      <w:r w:rsidR="00731586" w:rsidRPr="004156A9">
        <w:rPr>
          <w:rFonts w:ascii="Times New Roman" w:hAnsi="Times New Roman"/>
        </w:rPr>
        <w:t xml:space="preserve">the </w:t>
      </w:r>
      <w:r w:rsidR="005B2D03" w:rsidRPr="004156A9">
        <w:rPr>
          <w:rFonts w:ascii="Times New Roman" w:hAnsi="Times New Roman"/>
        </w:rPr>
        <w:t xml:space="preserve">preceding </w:t>
      </w:r>
      <w:r w:rsidR="0009558F" w:rsidRPr="004156A9">
        <w:rPr>
          <w:rFonts w:ascii="Times New Roman" w:hAnsi="Times New Roman"/>
        </w:rPr>
        <w:t>contributions</w:t>
      </w:r>
      <w:r w:rsidR="005B2D03" w:rsidRPr="004156A9">
        <w:rPr>
          <w:rFonts w:ascii="Times New Roman" w:hAnsi="Times New Roman"/>
        </w:rPr>
        <w:t>,</w:t>
      </w:r>
      <w:r w:rsidR="0009558F" w:rsidRPr="004156A9">
        <w:rPr>
          <w:rFonts w:ascii="Times New Roman" w:hAnsi="Times New Roman"/>
        </w:rPr>
        <w:t xml:space="preserve"> as a collective whole</w:t>
      </w:r>
      <w:r w:rsidR="005B2D03" w:rsidRPr="004156A9">
        <w:rPr>
          <w:rFonts w:ascii="Times New Roman" w:hAnsi="Times New Roman"/>
        </w:rPr>
        <w:t>,</w:t>
      </w:r>
      <w:r w:rsidR="0009558F" w:rsidRPr="004156A9">
        <w:rPr>
          <w:rFonts w:ascii="Times New Roman" w:hAnsi="Times New Roman"/>
        </w:rPr>
        <w:t xml:space="preserve"> </w:t>
      </w:r>
      <w:r w:rsidRPr="004156A9">
        <w:rPr>
          <w:rFonts w:ascii="Times New Roman" w:hAnsi="Times New Roman"/>
        </w:rPr>
        <w:t xml:space="preserve">tell us about theorising learning to teach in higher education. </w:t>
      </w:r>
      <w:r w:rsidR="0009558F" w:rsidRPr="004156A9">
        <w:rPr>
          <w:rFonts w:ascii="Times New Roman" w:hAnsi="Times New Roman"/>
        </w:rPr>
        <w:t>This consideration is set within the context of th</w:t>
      </w:r>
      <w:r w:rsidR="005B2D03" w:rsidRPr="004156A9">
        <w:rPr>
          <w:rFonts w:ascii="Times New Roman" w:hAnsi="Times New Roman"/>
        </w:rPr>
        <w:t>is book’s</w:t>
      </w:r>
      <w:r w:rsidR="0009558F" w:rsidRPr="004156A9">
        <w:rPr>
          <w:rFonts w:ascii="Times New Roman" w:hAnsi="Times New Roman"/>
        </w:rPr>
        <w:t xml:space="preserve"> practical aims of</w:t>
      </w:r>
      <w:r w:rsidR="00731586" w:rsidRPr="004156A9">
        <w:rPr>
          <w:rFonts w:ascii="Times New Roman" w:hAnsi="Times New Roman"/>
        </w:rPr>
        <w:t xml:space="preserve"> support</w:t>
      </w:r>
      <w:r w:rsidR="005B2D03" w:rsidRPr="004156A9">
        <w:rPr>
          <w:rFonts w:ascii="Times New Roman" w:hAnsi="Times New Roman"/>
        </w:rPr>
        <w:t>ing</w:t>
      </w:r>
      <w:r w:rsidR="00731586" w:rsidRPr="004156A9">
        <w:rPr>
          <w:rFonts w:ascii="Times New Roman" w:hAnsi="Times New Roman"/>
        </w:rPr>
        <w:t xml:space="preserve"> those who are learning to teach </w:t>
      </w:r>
      <w:r w:rsidR="005B2D03" w:rsidRPr="004156A9">
        <w:rPr>
          <w:rFonts w:ascii="Times New Roman" w:hAnsi="Times New Roman"/>
        </w:rPr>
        <w:t>and</w:t>
      </w:r>
      <w:r w:rsidR="00731586" w:rsidRPr="004156A9">
        <w:rPr>
          <w:rFonts w:ascii="Times New Roman" w:hAnsi="Times New Roman"/>
        </w:rPr>
        <w:t xml:space="preserve"> reframing research into learning to teach so that it highlights the importance of educational and social theory and aids the pursuit of social justice.</w:t>
      </w:r>
    </w:p>
    <w:p w:rsidR="005B2D03" w:rsidRPr="004156A9" w:rsidRDefault="005B2D03" w:rsidP="00BA40CB">
      <w:pPr>
        <w:rPr>
          <w:rFonts w:ascii="Times New Roman" w:hAnsi="Times New Roman"/>
        </w:rPr>
      </w:pPr>
    </w:p>
    <w:p w:rsidR="00706AF6" w:rsidRPr="004156A9" w:rsidRDefault="00B210B9" w:rsidP="00BA40CB">
      <w:pPr>
        <w:rPr>
          <w:rFonts w:ascii="Times New Roman" w:hAnsi="Times New Roman"/>
        </w:rPr>
      </w:pPr>
      <w:r w:rsidRPr="004156A9">
        <w:rPr>
          <w:rFonts w:ascii="Times New Roman" w:hAnsi="Times New Roman"/>
        </w:rPr>
        <w:t xml:space="preserve">In doing this I want to move </w:t>
      </w:r>
      <w:r w:rsidR="00FF0088" w:rsidRPr="004156A9">
        <w:rPr>
          <w:rFonts w:ascii="Times New Roman" w:hAnsi="Times New Roman"/>
        </w:rPr>
        <w:t xml:space="preserve">beyond </w:t>
      </w:r>
      <w:r w:rsidRPr="004156A9">
        <w:rPr>
          <w:rFonts w:ascii="Times New Roman" w:hAnsi="Times New Roman"/>
        </w:rPr>
        <w:t>the details of the three approaches</w:t>
      </w:r>
      <w:r w:rsidR="005B2D03" w:rsidRPr="004156A9">
        <w:rPr>
          <w:rFonts w:ascii="Times New Roman" w:hAnsi="Times New Roman"/>
        </w:rPr>
        <w:t xml:space="preserve"> of</w:t>
      </w:r>
      <w:r w:rsidRPr="004156A9">
        <w:rPr>
          <w:rFonts w:ascii="Times New Roman" w:hAnsi="Times New Roman"/>
        </w:rPr>
        <w:t xml:space="preserve"> </w:t>
      </w:r>
      <w:r w:rsidR="004156A9" w:rsidRPr="004156A9">
        <w:rPr>
          <w:rFonts w:ascii="Times New Roman" w:hAnsi="Times New Roman"/>
        </w:rPr>
        <w:t>s</w:t>
      </w:r>
      <w:r w:rsidR="005B2D03" w:rsidRPr="004156A9">
        <w:rPr>
          <w:rFonts w:ascii="Times New Roman" w:hAnsi="Times New Roman"/>
        </w:rPr>
        <w:t xml:space="preserve">ociomaterialism, Social Practices, and </w:t>
      </w:r>
      <w:r w:rsidR="004156A9" w:rsidRPr="004156A9">
        <w:rPr>
          <w:rFonts w:ascii="Times New Roman" w:hAnsi="Times New Roman"/>
        </w:rPr>
        <w:t>c</w:t>
      </w:r>
      <w:r w:rsidR="005B2D03" w:rsidRPr="004156A9">
        <w:rPr>
          <w:rFonts w:ascii="Times New Roman" w:hAnsi="Times New Roman"/>
        </w:rPr>
        <w:t>ritical</w:t>
      </w:r>
      <w:r w:rsidR="00A1185C" w:rsidRPr="004156A9">
        <w:rPr>
          <w:rFonts w:ascii="Times New Roman" w:hAnsi="Times New Roman"/>
        </w:rPr>
        <w:t xml:space="preserve"> </w:t>
      </w:r>
      <w:r w:rsidR="005B2D03" w:rsidRPr="004156A9">
        <w:rPr>
          <w:rFonts w:ascii="Times New Roman" w:hAnsi="Times New Roman"/>
        </w:rPr>
        <w:t xml:space="preserve">and </w:t>
      </w:r>
      <w:r w:rsidR="004156A9" w:rsidRPr="004156A9">
        <w:rPr>
          <w:rFonts w:ascii="Times New Roman" w:hAnsi="Times New Roman"/>
        </w:rPr>
        <w:t>s</w:t>
      </w:r>
      <w:r w:rsidR="005B2D03" w:rsidRPr="004156A9">
        <w:rPr>
          <w:rFonts w:ascii="Times New Roman" w:hAnsi="Times New Roman"/>
        </w:rPr>
        <w:t xml:space="preserve">ocial </w:t>
      </w:r>
      <w:r w:rsidR="004156A9" w:rsidRPr="004156A9">
        <w:rPr>
          <w:rFonts w:ascii="Times New Roman" w:hAnsi="Times New Roman"/>
        </w:rPr>
        <w:t>r</w:t>
      </w:r>
      <w:r w:rsidR="005B2D03" w:rsidRPr="004156A9">
        <w:rPr>
          <w:rFonts w:ascii="Times New Roman" w:hAnsi="Times New Roman"/>
        </w:rPr>
        <w:t xml:space="preserve">ealism </w:t>
      </w:r>
      <w:r w:rsidRPr="004156A9">
        <w:rPr>
          <w:rFonts w:ascii="Times New Roman" w:hAnsi="Times New Roman"/>
        </w:rPr>
        <w:t xml:space="preserve">and particular examples of mixed approaches, to consider what they collectively highlight about learning to teach in higher education. I then consider what they might </w:t>
      </w:r>
      <w:r w:rsidR="00A1185C" w:rsidRPr="004156A9">
        <w:rPr>
          <w:rFonts w:ascii="Times New Roman" w:hAnsi="Times New Roman"/>
        </w:rPr>
        <w:t>leave</w:t>
      </w:r>
      <w:r w:rsidRPr="004156A9">
        <w:rPr>
          <w:rFonts w:ascii="Times New Roman" w:hAnsi="Times New Roman"/>
        </w:rPr>
        <w:t xml:space="preserve"> unsaid </w:t>
      </w:r>
      <w:r w:rsidR="00A1185C" w:rsidRPr="004156A9">
        <w:rPr>
          <w:rFonts w:ascii="Times New Roman" w:hAnsi="Times New Roman"/>
        </w:rPr>
        <w:t>and</w:t>
      </w:r>
      <w:r w:rsidR="00EE15DE" w:rsidRPr="004156A9">
        <w:rPr>
          <w:rFonts w:ascii="Times New Roman" w:hAnsi="Times New Roman"/>
        </w:rPr>
        <w:t xml:space="preserve">, finally, </w:t>
      </w:r>
      <w:r w:rsidR="00A1185C" w:rsidRPr="004156A9">
        <w:rPr>
          <w:rFonts w:ascii="Times New Roman" w:hAnsi="Times New Roman"/>
        </w:rPr>
        <w:t xml:space="preserve">the </w:t>
      </w:r>
      <w:r w:rsidR="00EE15DE" w:rsidRPr="004156A9">
        <w:rPr>
          <w:rFonts w:ascii="Times New Roman" w:hAnsi="Times New Roman"/>
        </w:rPr>
        <w:t xml:space="preserve">possibilities for future work that are opened up by the contributions to this book. </w:t>
      </w:r>
      <w:r w:rsidRPr="004156A9">
        <w:rPr>
          <w:rFonts w:ascii="Times New Roman" w:hAnsi="Times New Roman"/>
        </w:rPr>
        <w:t>However, I first want to set out how I understand the meaning of theorising learning to teach in higher education, as this will underpin my argument and analysis.</w:t>
      </w:r>
      <w:r w:rsidR="005B2D03" w:rsidRPr="004156A9">
        <w:rPr>
          <w:rFonts w:ascii="Times New Roman" w:hAnsi="Times New Roman"/>
        </w:rPr>
        <w:t xml:space="preserve"> This involves unpacking the meaning of both ‘theorising’ and </w:t>
      </w:r>
      <w:r w:rsidR="00A1185C" w:rsidRPr="004156A9">
        <w:rPr>
          <w:rFonts w:ascii="Times New Roman" w:hAnsi="Times New Roman"/>
        </w:rPr>
        <w:t xml:space="preserve">the meaning of </w:t>
      </w:r>
      <w:r w:rsidR="005B2D03" w:rsidRPr="004156A9">
        <w:rPr>
          <w:rFonts w:ascii="Times New Roman" w:hAnsi="Times New Roman"/>
        </w:rPr>
        <w:t>‘learning to teach’</w:t>
      </w:r>
      <w:r w:rsidR="00B33EA0" w:rsidRPr="004156A9">
        <w:rPr>
          <w:rFonts w:ascii="Times New Roman" w:hAnsi="Times New Roman"/>
        </w:rPr>
        <w:t>.</w:t>
      </w:r>
    </w:p>
    <w:p w:rsidR="003E26CC" w:rsidRPr="004156A9" w:rsidRDefault="003E26CC" w:rsidP="00BA40CB">
      <w:pPr>
        <w:pStyle w:val="Heading2"/>
        <w:rPr>
          <w:rFonts w:ascii="Times New Roman" w:hAnsi="Times New Roman"/>
          <w:i w:val="0"/>
          <w:sz w:val="24"/>
          <w:szCs w:val="24"/>
        </w:rPr>
      </w:pPr>
      <w:r w:rsidRPr="004156A9">
        <w:rPr>
          <w:rFonts w:ascii="Times New Roman" w:hAnsi="Times New Roman"/>
          <w:i w:val="0"/>
          <w:sz w:val="24"/>
          <w:szCs w:val="24"/>
        </w:rPr>
        <w:t xml:space="preserve">The meaning of </w:t>
      </w:r>
      <w:r w:rsidR="005B2D03" w:rsidRPr="004156A9">
        <w:rPr>
          <w:rFonts w:ascii="Times New Roman" w:hAnsi="Times New Roman"/>
          <w:i w:val="0"/>
          <w:sz w:val="24"/>
          <w:szCs w:val="24"/>
        </w:rPr>
        <w:t>‘</w:t>
      </w:r>
      <w:r w:rsidRPr="004156A9">
        <w:rPr>
          <w:rFonts w:ascii="Times New Roman" w:hAnsi="Times New Roman"/>
          <w:i w:val="0"/>
          <w:sz w:val="24"/>
          <w:szCs w:val="24"/>
        </w:rPr>
        <w:t>theorising</w:t>
      </w:r>
      <w:r w:rsidR="005B2D03" w:rsidRPr="004156A9">
        <w:rPr>
          <w:rFonts w:ascii="Times New Roman" w:hAnsi="Times New Roman"/>
          <w:i w:val="0"/>
          <w:sz w:val="24"/>
          <w:szCs w:val="24"/>
        </w:rPr>
        <w:t>’</w:t>
      </w:r>
      <w:r w:rsidRPr="004156A9">
        <w:rPr>
          <w:rFonts w:ascii="Times New Roman" w:hAnsi="Times New Roman"/>
          <w:i w:val="0"/>
          <w:sz w:val="24"/>
          <w:szCs w:val="24"/>
        </w:rPr>
        <w:t xml:space="preserve"> learning to teach</w:t>
      </w:r>
    </w:p>
    <w:p w:rsidR="003E26CC" w:rsidRPr="004156A9" w:rsidRDefault="003E26CC" w:rsidP="00BA40CB">
      <w:pPr>
        <w:rPr>
          <w:rFonts w:ascii="Times New Roman" w:hAnsi="Times New Roman"/>
        </w:rPr>
      </w:pPr>
      <w:r w:rsidRPr="004156A9">
        <w:rPr>
          <w:rFonts w:ascii="Times New Roman" w:hAnsi="Times New Roman"/>
        </w:rPr>
        <w:t>In theorising learning to teach, how one considers that nature and meaning of ‘theory’ is crucial. My position is that theories involve simplification.  This is based on a realist view of a complex and emergent social world that exceeds our capacity to know it and can only be accessed through simplifying concepts and</w:t>
      </w:r>
      <w:r w:rsidR="00B40DB1" w:rsidRPr="004156A9">
        <w:rPr>
          <w:rFonts w:ascii="Times New Roman" w:hAnsi="Times New Roman"/>
        </w:rPr>
        <w:t xml:space="preserve"> theories</w:t>
      </w:r>
      <w:r w:rsidRPr="004156A9">
        <w:rPr>
          <w:rFonts w:ascii="Times New Roman" w:hAnsi="Times New Roman"/>
        </w:rPr>
        <w:t xml:space="preserve"> </w:t>
      </w:r>
      <w:r w:rsidR="00A1185C" w:rsidRPr="004156A9">
        <w:rPr>
          <w:rFonts w:ascii="Times New Roman" w:hAnsi="Times New Roman"/>
        </w:rPr>
        <w:t xml:space="preserve">(Ashwin 2009). </w:t>
      </w:r>
      <w:r w:rsidRPr="004156A9">
        <w:rPr>
          <w:rFonts w:ascii="Times New Roman" w:hAnsi="Times New Roman"/>
        </w:rPr>
        <w:t xml:space="preserve">Thus theories simplify the social world we are engaging with and different theories simplify in different ways </w:t>
      </w:r>
      <w:r w:rsidR="00B40DB1" w:rsidRPr="004156A9">
        <w:rPr>
          <w:rFonts w:ascii="Times New Roman" w:hAnsi="Times New Roman"/>
        </w:rPr>
        <w:t>(see Sayer 1992, 2000; Law 2004; Mol and Law 2002).</w:t>
      </w:r>
      <w:r w:rsidRPr="004156A9">
        <w:rPr>
          <w:rFonts w:ascii="Times New Roman" w:hAnsi="Times New Roman"/>
        </w:rPr>
        <w:t xml:space="preserve"> So in this sense, theorising ‘learning to teach’ involves seeing ‘learning to teach’ in a particular way and not in other ways.  One implication of this view is that all particular ways of theorising ‘learning to teach’ are limited because they all involve a commitment to focus on particular aspects of the situation and not others. The conceptualisations that we use will be dependent on the types of questions that we are interested in asking. </w:t>
      </w:r>
    </w:p>
    <w:p w:rsidR="005B2D03" w:rsidRPr="004156A9" w:rsidRDefault="005B2D03" w:rsidP="00BA40CB">
      <w:pPr>
        <w:rPr>
          <w:rFonts w:ascii="Times New Roman" w:hAnsi="Times New Roman"/>
        </w:rPr>
      </w:pPr>
    </w:p>
    <w:p w:rsidR="005B2D03" w:rsidRPr="004156A9" w:rsidRDefault="003E26CC" w:rsidP="00BA40CB">
      <w:pPr>
        <w:rPr>
          <w:rFonts w:ascii="Times New Roman" w:hAnsi="Times New Roman"/>
        </w:rPr>
      </w:pPr>
      <w:r w:rsidRPr="004156A9">
        <w:rPr>
          <w:rFonts w:ascii="Times New Roman" w:hAnsi="Times New Roman"/>
        </w:rPr>
        <w:t xml:space="preserve">A key distinction here is about how we engage with theories-as-simplifications in research and in our </w:t>
      </w:r>
      <w:r w:rsidR="00FF0088" w:rsidRPr="004156A9">
        <w:rPr>
          <w:rFonts w:ascii="Times New Roman" w:hAnsi="Times New Roman"/>
        </w:rPr>
        <w:t xml:space="preserve">educational </w:t>
      </w:r>
      <w:r w:rsidRPr="004156A9">
        <w:rPr>
          <w:rFonts w:ascii="Times New Roman" w:hAnsi="Times New Roman"/>
        </w:rPr>
        <w:t>practices. In undertaking research we need to have a consistent way of simplifying ‘learning to teach’ in order to avoid contradictions within the research process. However, as practitioners we can move between different simplifications of ‘learning to teach’ in order to find the one that best suits the urgencies of our current situation. From this perspective, we need as many different ways of simplifying ‘learning to teach’ as possible, so that we have a range of choices about how we understand the challenges of practices. Thus in offering and further developing new ways of simplifying ‘learning to teach’ in higher education, this book offers important resources and alternatives for the development of practices.</w:t>
      </w:r>
    </w:p>
    <w:p w:rsidR="001C62FD" w:rsidRDefault="00BF4542" w:rsidP="00BA40CB">
      <w:pPr>
        <w:pStyle w:val="Heading2"/>
        <w:rPr>
          <w:rFonts w:ascii="Times New Roman" w:hAnsi="Times New Roman"/>
          <w:i w:val="0"/>
          <w:sz w:val="24"/>
          <w:szCs w:val="24"/>
        </w:rPr>
      </w:pPr>
      <w:r w:rsidRPr="004156A9">
        <w:rPr>
          <w:rFonts w:ascii="Times New Roman" w:hAnsi="Times New Roman"/>
          <w:i w:val="0"/>
          <w:sz w:val="24"/>
          <w:szCs w:val="24"/>
        </w:rPr>
        <w:t>The meaning of ‘learning to teach’</w:t>
      </w:r>
    </w:p>
    <w:p w:rsidR="004156A9" w:rsidRPr="004156A9" w:rsidRDefault="004156A9" w:rsidP="004156A9"/>
    <w:p w:rsidR="009239F6" w:rsidRPr="004156A9" w:rsidRDefault="006F71C9" w:rsidP="00BA40CB">
      <w:pPr>
        <w:rPr>
          <w:rFonts w:ascii="Times New Roman" w:hAnsi="Times New Roman"/>
        </w:rPr>
      </w:pPr>
      <w:r w:rsidRPr="004156A9">
        <w:rPr>
          <w:rFonts w:ascii="Times New Roman" w:hAnsi="Times New Roman"/>
        </w:rPr>
        <w:t>In order to understand the meaning of ‘learning to teach’ in higher education, one first needs to be clear what is meant by ‘teaching’.  This is tricky because, as I have argued before (Ashwin 2015</w:t>
      </w:r>
      <w:r w:rsidR="00D825FE" w:rsidRPr="004156A9">
        <w:rPr>
          <w:rFonts w:ascii="Times New Roman" w:hAnsi="Times New Roman"/>
        </w:rPr>
        <w:t>; Ashwin et al. 2015)</w:t>
      </w:r>
      <w:r w:rsidRPr="004156A9">
        <w:rPr>
          <w:rFonts w:ascii="Times New Roman" w:hAnsi="Times New Roman"/>
        </w:rPr>
        <w:t xml:space="preserve">, there are deeply entrenched, powerful and unhelpful myths about the nature of teaching. One of the most powerful and least helpful is that </w:t>
      </w:r>
      <w:r w:rsidRPr="004156A9">
        <w:rPr>
          <w:rFonts w:ascii="Times New Roman" w:hAnsi="Times New Roman"/>
        </w:rPr>
        <w:lastRenderedPageBreak/>
        <w:t xml:space="preserve">teaching is largely about inspirational individuals engaging in spontaneous performances. This is the view of teaching that is presented by most teaching awards:  the vision of the </w:t>
      </w:r>
      <w:r w:rsidR="004C29BD" w:rsidRPr="004156A9">
        <w:rPr>
          <w:rFonts w:ascii="Times New Roman" w:hAnsi="Times New Roman"/>
        </w:rPr>
        <w:t xml:space="preserve">dazzling </w:t>
      </w:r>
      <w:r w:rsidRPr="004156A9">
        <w:rPr>
          <w:rFonts w:ascii="Times New Roman" w:hAnsi="Times New Roman"/>
        </w:rPr>
        <w:t xml:space="preserve">individual who enchants their students with a </w:t>
      </w:r>
      <w:r w:rsidR="004C29BD" w:rsidRPr="004156A9">
        <w:rPr>
          <w:rFonts w:ascii="Times New Roman" w:hAnsi="Times New Roman"/>
        </w:rPr>
        <w:t xml:space="preserve">brilliant </w:t>
      </w:r>
      <w:r w:rsidRPr="004156A9">
        <w:rPr>
          <w:rFonts w:ascii="Times New Roman" w:hAnsi="Times New Roman"/>
        </w:rPr>
        <w:t>display of erudition</w:t>
      </w:r>
      <w:r w:rsidR="00FF0088" w:rsidRPr="004156A9">
        <w:rPr>
          <w:rFonts w:ascii="Times New Roman" w:hAnsi="Times New Roman"/>
        </w:rPr>
        <w:t xml:space="preserve">, which </w:t>
      </w:r>
      <w:r w:rsidRPr="004156A9">
        <w:rPr>
          <w:rFonts w:ascii="Times New Roman" w:hAnsi="Times New Roman"/>
        </w:rPr>
        <w:t>changes</w:t>
      </w:r>
      <w:r w:rsidR="00EE15DE" w:rsidRPr="004156A9">
        <w:rPr>
          <w:rFonts w:ascii="Times New Roman" w:hAnsi="Times New Roman"/>
        </w:rPr>
        <w:t xml:space="preserve"> the</w:t>
      </w:r>
      <w:r w:rsidRPr="004156A9">
        <w:rPr>
          <w:rFonts w:ascii="Times New Roman" w:hAnsi="Times New Roman"/>
        </w:rPr>
        <w:t xml:space="preserve"> </w:t>
      </w:r>
      <w:r w:rsidR="00FF0088" w:rsidRPr="004156A9">
        <w:rPr>
          <w:rFonts w:ascii="Times New Roman" w:hAnsi="Times New Roman"/>
        </w:rPr>
        <w:t>students’</w:t>
      </w:r>
      <w:r w:rsidRPr="004156A9">
        <w:rPr>
          <w:rFonts w:ascii="Times New Roman" w:hAnsi="Times New Roman"/>
        </w:rPr>
        <w:t xml:space="preserve"> lives forever. </w:t>
      </w:r>
      <w:r w:rsidR="009239F6" w:rsidRPr="004156A9">
        <w:rPr>
          <w:rFonts w:ascii="Times New Roman" w:hAnsi="Times New Roman"/>
        </w:rPr>
        <w:t>This view of teaching supports a view of learning to teach that is simply about developing the performance of individual teachers. The starting point of this book is to challenge this dominant approach to understanding learning to teach. The contributions explore what new insights</w:t>
      </w:r>
      <w:r w:rsidR="004C29BD" w:rsidRPr="004156A9">
        <w:rPr>
          <w:rFonts w:ascii="Times New Roman" w:hAnsi="Times New Roman"/>
        </w:rPr>
        <w:t xml:space="preserve"> three particular </w:t>
      </w:r>
      <w:r w:rsidR="004156A9">
        <w:rPr>
          <w:rFonts w:ascii="Times New Roman" w:hAnsi="Times New Roman"/>
        </w:rPr>
        <w:t>approaches,</w:t>
      </w:r>
      <w:r w:rsidR="009239F6" w:rsidRPr="004156A9">
        <w:rPr>
          <w:rFonts w:ascii="Times New Roman" w:hAnsi="Times New Roman"/>
        </w:rPr>
        <w:t xml:space="preserve"> sociomaterialism, practice-based approaches, and critical and social realism</w:t>
      </w:r>
      <w:r w:rsidR="00671C0B" w:rsidRPr="004156A9">
        <w:rPr>
          <w:rFonts w:ascii="Times New Roman" w:hAnsi="Times New Roman"/>
        </w:rPr>
        <w:t>,</w:t>
      </w:r>
      <w:r w:rsidR="009239F6" w:rsidRPr="004156A9">
        <w:rPr>
          <w:rFonts w:ascii="Times New Roman" w:hAnsi="Times New Roman"/>
        </w:rPr>
        <w:t xml:space="preserve"> can offer for research and practice in academic development. </w:t>
      </w:r>
    </w:p>
    <w:p w:rsidR="009239F6" w:rsidRPr="004156A9" w:rsidRDefault="009239F6" w:rsidP="00BA40CB">
      <w:pPr>
        <w:rPr>
          <w:rFonts w:ascii="Times New Roman" w:hAnsi="Times New Roman"/>
        </w:rPr>
      </w:pPr>
    </w:p>
    <w:p w:rsidR="006F71C9" w:rsidRPr="004156A9" w:rsidRDefault="009239F6" w:rsidP="00BA40CB">
      <w:pPr>
        <w:rPr>
          <w:rFonts w:ascii="Times New Roman" w:hAnsi="Times New Roman"/>
        </w:rPr>
      </w:pPr>
      <w:r w:rsidRPr="004156A9">
        <w:rPr>
          <w:rFonts w:ascii="Times New Roman" w:hAnsi="Times New Roman"/>
        </w:rPr>
        <w:t xml:space="preserve">These new ways of understanding learning to teach are important because the dominant view offers </w:t>
      </w:r>
      <w:r w:rsidR="006F71C9" w:rsidRPr="004156A9">
        <w:rPr>
          <w:rFonts w:ascii="Times New Roman" w:hAnsi="Times New Roman"/>
        </w:rPr>
        <w:t xml:space="preserve">a deeply flawed view of teaching that presents teaching as an individual, personality-driven activity rather than a </w:t>
      </w:r>
      <w:r w:rsidR="00671C0B" w:rsidRPr="004156A9">
        <w:rPr>
          <w:rFonts w:ascii="Times New Roman" w:hAnsi="Times New Roman"/>
        </w:rPr>
        <w:t xml:space="preserve">collective and </w:t>
      </w:r>
      <w:r w:rsidR="006F71C9" w:rsidRPr="004156A9">
        <w:rPr>
          <w:rFonts w:ascii="Times New Roman" w:hAnsi="Times New Roman"/>
        </w:rPr>
        <w:t xml:space="preserve">carefully planned intellectual activity. </w:t>
      </w:r>
      <w:r w:rsidR="00671C0B" w:rsidRPr="004156A9">
        <w:rPr>
          <w:rFonts w:ascii="Times New Roman" w:hAnsi="Times New Roman"/>
        </w:rPr>
        <w:t xml:space="preserve">Teaching </w:t>
      </w:r>
      <w:r w:rsidR="006F71C9" w:rsidRPr="004156A9">
        <w:rPr>
          <w:rFonts w:ascii="Times New Roman" w:hAnsi="Times New Roman"/>
        </w:rPr>
        <w:t xml:space="preserve">is a collective activity in many ways: teachers draw on collective bodies of knowledge to design curricula in discussion with colleagues, professional bodies and students and different aspects of degree programmes are taught by different academics. In order to help students gain access to this knowledge, academics need to design programmes </w:t>
      </w:r>
      <w:r w:rsidR="004156A9" w:rsidRPr="004156A9">
        <w:rPr>
          <w:rFonts w:ascii="Times New Roman" w:hAnsi="Times New Roman"/>
        </w:rPr>
        <w:t xml:space="preserve">carefully </w:t>
      </w:r>
      <w:r w:rsidR="006F71C9" w:rsidRPr="004156A9">
        <w:rPr>
          <w:rFonts w:ascii="Times New Roman" w:hAnsi="Times New Roman"/>
        </w:rPr>
        <w:t xml:space="preserve">so that students engage in a range of activities that help them to develop personal engagement with this knowledge. </w:t>
      </w:r>
    </w:p>
    <w:p w:rsidR="00CC2739" w:rsidRPr="004156A9" w:rsidRDefault="00CC2739" w:rsidP="00BA40CB">
      <w:pPr>
        <w:rPr>
          <w:rFonts w:ascii="Times New Roman" w:hAnsi="Times New Roman"/>
        </w:rPr>
      </w:pPr>
    </w:p>
    <w:p w:rsidR="006F71C9" w:rsidRPr="004156A9" w:rsidRDefault="009239F6" w:rsidP="00BA40CB">
      <w:pPr>
        <w:rPr>
          <w:rFonts w:ascii="Times New Roman" w:hAnsi="Times New Roman"/>
        </w:rPr>
      </w:pPr>
      <w:r w:rsidRPr="004156A9">
        <w:rPr>
          <w:rFonts w:ascii="Times New Roman" w:hAnsi="Times New Roman"/>
        </w:rPr>
        <w:t>The</w:t>
      </w:r>
      <w:r w:rsidR="00A1185C" w:rsidRPr="004156A9">
        <w:rPr>
          <w:rFonts w:ascii="Times New Roman" w:hAnsi="Times New Roman"/>
        </w:rPr>
        <w:t xml:space="preserve"> three</w:t>
      </w:r>
      <w:r w:rsidRPr="004156A9">
        <w:rPr>
          <w:rFonts w:ascii="Times New Roman" w:hAnsi="Times New Roman"/>
        </w:rPr>
        <w:t xml:space="preserve"> approaches</w:t>
      </w:r>
      <w:r w:rsidR="00A1185C" w:rsidRPr="004156A9">
        <w:rPr>
          <w:rFonts w:ascii="Times New Roman" w:hAnsi="Times New Roman"/>
        </w:rPr>
        <w:t xml:space="preserve"> explored in this book</w:t>
      </w:r>
      <w:r w:rsidRPr="004156A9">
        <w:rPr>
          <w:rFonts w:ascii="Times New Roman" w:hAnsi="Times New Roman"/>
        </w:rPr>
        <w:t xml:space="preserve">, despite a number of differences, </w:t>
      </w:r>
      <w:r w:rsidR="00CC2739" w:rsidRPr="004156A9">
        <w:rPr>
          <w:rFonts w:ascii="Times New Roman" w:hAnsi="Times New Roman"/>
        </w:rPr>
        <w:t xml:space="preserve">support such a view of teaching. </w:t>
      </w:r>
      <w:r w:rsidRPr="004156A9">
        <w:rPr>
          <w:rFonts w:ascii="Times New Roman" w:hAnsi="Times New Roman"/>
        </w:rPr>
        <w:t xml:space="preserve">First, they focus on the collective and material aspects of learning to teach. Whilst they tend to start with everyday interactions, this is with the intention of understanding how </w:t>
      </w:r>
      <w:r w:rsidR="00A1185C" w:rsidRPr="004156A9">
        <w:rPr>
          <w:rFonts w:ascii="Times New Roman" w:hAnsi="Times New Roman"/>
        </w:rPr>
        <w:t>i</w:t>
      </w:r>
      <w:r w:rsidRPr="004156A9">
        <w:rPr>
          <w:rFonts w:ascii="Times New Roman" w:hAnsi="Times New Roman"/>
        </w:rPr>
        <w:t>nteraction</w:t>
      </w:r>
      <w:r w:rsidR="00A1185C" w:rsidRPr="004156A9">
        <w:rPr>
          <w:rFonts w:ascii="Times New Roman" w:hAnsi="Times New Roman"/>
        </w:rPr>
        <w:t>s</w:t>
      </w:r>
      <w:r w:rsidRPr="004156A9">
        <w:rPr>
          <w:rFonts w:ascii="Times New Roman" w:hAnsi="Times New Roman"/>
        </w:rPr>
        <w:t xml:space="preserve"> </w:t>
      </w:r>
      <w:r w:rsidR="00A1185C" w:rsidRPr="004156A9">
        <w:rPr>
          <w:rFonts w:ascii="Times New Roman" w:hAnsi="Times New Roman"/>
        </w:rPr>
        <w:t>are</w:t>
      </w:r>
      <w:r w:rsidRPr="004156A9">
        <w:rPr>
          <w:rFonts w:ascii="Times New Roman" w:hAnsi="Times New Roman"/>
        </w:rPr>
        <w:t xml:space="preserve"> shaped by people, practices and technologies that are stretched way beyond the immediate setting of the interaction.</w:t>
      </w:r>
      <w:r w:rsidR="00CC2739" w:rsidRPr="004156A9">
        <w:rPr>
          <w:rFonts w:ascii="Times New Roman" w:hAnsi="Times New Roman"/>
        </w:rPr>
        <w:t xml:space="preserve"> </w:t>
      </w:r>
      <w:r w:rsidR="00FF0088" w:rsidRPr="004156A9">
        <w:rPr>
          <w:rFonts w:ascii="Times New Roman" w:hAnsi="Times New Roman"/>
        </w:rPr>
        <w:t xml:space="preserve">They emphasise how teachers and academic developers are entwined in networks of material, human and conceptual actors. </w:t>
      </w:r>
      <w:r w:rsidR="00CC2739" w:rsidRPr="004156A9">
        <w:rPr>
          <w:rFonts w:ascii="Times New Roman" w:hAnsi="Times New Roman"/>
        </w:rPr>
        <w:t xml:space="preserve">This </w:t>
      </w:r>
      <w:r w:rsidR="00A1185C" w:rsidRPr="004156A9">
        <w:rPr>
          <w:rFonts w:ascii="Times New Roman" w:hAnsi="Times New Roman"/>
        </w:rPr>
        <w:t xml:space="preserve">undoubtedly </w:t>
      </w:r>
      <w:r w:rsidR="00CC2739" w:rsidRPr="004156A9">
        <w:rPr>
          <w:rFonts w:ascii="Times New Roman" w:hAnsi="Times New Roman"/>
        </w:rPr>
        <w:t xml:space="preserve">offers a more complex view of </w:t>
      </w:r>
      <w:r w:rsidR="00385588" w:rsidRPr="004156A9">
        <w:rPr>
          <w:rFonts w:ascii="Times New Roman" w:hAnsi="Times New Roman"/>
        </w:rPr>
        <w:t xml:space="preserve">the processes involved in </w:t>
      </w:r>
      <w:r w:rsidR="00CC2739" w:rsidRPr="004156A9">
        <w:rPr>
          <w:rFonts w:ascii="Times New Roman" w:hAnsi="Times New Roman"/>
        </w:rPr>
        <w:t xml:space="preserve">learning to teach but </w:t>
      </w:r>
      <w:r w:rsidR="00385588" w:rsidRPr="004156A9">
        <w:rPr>
          <w:rFonts w:ascii="Times New Roman" w:hAnsi="Times New Roman"/>
        </w:rPr>
        <w:t xml:space="preserve">it does not offer a sense of what is meant by teaching. </w:t>
      </w:r>
      <w:r w:rsidR="00CC2739" w:rsidRPr="004156A9">
        <w:rPr>
          <w:rFonts w:ascii="Times New Roman" w:hAnsi="Times New Roman"/>
        </w:rPr>
        <w:t xml:space="preserve">One </w:t>
      </w:r>
      <w:r w:rsidR="00385588" w:rsidRPr="004156A9">
        <w:rPr>
          <w:rFonts w:ascii="Times New Roman" w:hAnsi="Times New Roman"/>
        </w:rPr>
        <w:t xml:space="preserve">way of defining teaching that is compatible with this account of these processes </w:t>
      </w:r>
      <w:r w:rsidR="00CC2739" w:rsidRPr="004156A9">
        <w:rPr>
          <w:rFonts w:ascii="Times New Roman" w:hAnsi="Times New Roman"/>
        </w:rPr>
        <w:t>is offered by</w:t>
      </w:r>
      <w:r w:rsidR="006F71C9" w:rsidRPr="004156A9">
        <w:rPr>
          <w:rFonts w:ascii="Times New Roman" w:hAnsi="Times New Roman"/>
        </w:rPr>
        <w:t xml:space="preserve"> Lee Shulman</w:t>
      </w:r>
      <w:r w:rsidR="00CC2739" w:rsidRPr="004156A9">
        <w:rPr>
          <w:rFonts w:ascii="Times New Roman" w:hAnsi="Times New Roman"/>
        </w:rPr>
        <w:t xml:space="preserve">’s </w:t>
      </w:r>
      <w:r w:rsidR="006F71C9" w:rsidRPr="004156A9">
        <w:rPr>
          <w:rFonts w:ascii="Times New Roman" w:hAnsi="Times New Roman"/>
        </w:rPr>
        <w:t>(1987)</w:t>
      </w:r>
      <w:r w:rsidR="00CC2739" w:rsidRPr="004156A9">
        <w:rPr>
          <w:rFonts w:ascii="Times New Roman" w:hAnsi="Times New Roman"/>
        </w:rPr>
        <w:t xml:space="preserve"> notion of </w:t>
      </w:r>
      <w:r w:rsidR="006F71C9" w:rsidRPr="004156A9">
        <w:rPr>
          <w:rFonts w:ascii="Times New Roman" w:hAnsi="Times New Roman"/>
        </w:rPr>
        <w:t>‘pedagogical content knowledge’</w:t>
      </w:r>
      <w:r w:rsidR="00CC2739" w:rsidRPr="004156A9">
        <w:rPr>
          <w:rFonts w:ascii="Times New Roman" w:hAnsi="Times New Roman"/>
        </w:rPr>
        <w:t>. This d</w:t>
      </w:r>
      <w:r w:rsidR="006F71C9" w:rsidRPr="004156A9">
        <w:rPr>
          <w:rFonts w:ascii="Times New Roman" w:hAnsi="Times New Roman"/>
        </w:rPr>
        <w:t>escribe</w:t>
      </w:r>
      <w:r w:rsidR="00CC2739" w:rsidRPr="004156A9">
        <w:rPr>
          <w:rFonts w:ascii="Times New Roman" w:hAnsi="Times New Roman"/>
        </w:rPr>
        <w:t>s</w:t>
      </w:r>
      <w:r w:rsidR="006F71C9" w:rsidRPr="004156A9">
        <w:rPr>
          <w:rFonts w:ascii="Times New Roman" w:hAnsi="Times New Roman"/>
        </w:rPr>
        <w:t xml:space="preserve"> the knowledge teachers have of how to make their subjects accessible to diverse groups of students</w:t>
      </w:r>
      <w:r w:rsidR="00CC2739" w:rsidRPr="004156A9">
        <w:rPr>
          <w:rFonts w:ascii="Times New Roman" w:hAnsi="Times New Roman"/>
        </w:rPr>
        <w:t xml:space="preserve"> and </w:t>
      </w:r>
      <w:r w:rsidR="006F71C9" w:rsidRPr="004156A9">
        <w:rPr>
          <w:rFonts w:ascii="Times New Roman" w:hAnsi="Times New Roman"/>
        </w:rPr>
        <w:t>emphasises that university teachers need to both understand the disciplinary knowledge they teach and to understand how to design their teaching so that all of their students can develop their understanding of this knowledge. This highlights</w:t>
      </w:r>
      <w:r w:rsidR="00A1185C" w:rsidRPr="004156A9">
        <w:rPr>
          <w:rFonts w:ascii="Times New Roman" w:hAnsi="Times New Roman"/>
        </w:rPr>
        <w:t xml:space="preserve"> the need for </w:t>
      </w:r>
      <w:r w:rsidR="006F71C9" w:rsidRPr="004156A9">
        <w:rPr>
          <w:rFonts w:ascii="Times New Roman" w:hAnsi="Times New Roman"/>
        </w:rPr>
        <w:t xml:space="preserve">teachers </w:t>
      </w:r>
      <w:r w:rsidR="00A1185C" w:rsidRPr="004156A9">
        <w:rPr>
          <w:rFonts w:ascii="Times New Roman" w:hAnsi="Times New Roman"/>
        </w:rPr>
        <w:t xml:space="preserve">to have </w:t>
      </w:r>
      <w:r w:rsidR="006F71C9" w:rsidRPr="004156A9">
        <w:rPr>
          <w:rFonts w:ascii="Times New Roman" w:hAnsi="Times New Roman"/>
        </w:rPr>
        <w:t>exp</w:t>
      </w:r>
      <w:r w:rsidR="00FF0088" w:rsidRPr="004156A9">
        <w:rPr>
          <w:rFonts w:ascii="Times New Roman" w:hAnsi="Times New Roman"/>
        </w:rPr>
        <w:t>ertise of both their discipline or professional field</w:t>
      </w:r>
      <w:r w:rsidR="004156A9">
        <w:rPr>
          <w:rFonts w:ascii="Times New Roman" w:hAnsi="Times New Roman"/>
        </w:rPr>
        <w:t>,</w:t>
      </w:r>
      <w:r w:rsidR="00FF0088" w:rsidRPr="004156A9">
        <w:rPr>
          <w:rFonts w:ascii="Times New Roman" w:hAnsi="Times New Roman"/>
        </w:rPr>
        <w:t xml:space="preserve"> but also the teaching of that </w:t>
      </w:r>
      <w:r w:rsidR="006F71C9" w:rsidRPr="004156A9">
        <w:rPr>
          <w:rFonts w:ascii="Times New Roman" w:hAnsi="Times New Roman"/>
        </w:rPr>
        <w:t>discipline</w:t>
      </w:r>
      <w:r w:rsidR="00FF0088" w:rsidRPr="004156A9">
        <w:rPr>
          <w:rFonts w:ascii="Times New Roman" w:hAnsi="Times New Roman"/>
        </w:rPr>
        <w:t xml:space="preserve"> or professional field</w:t>
      </w:r>
      <w:r w:rsidR="006F71C9" w:rsidRPr="004156A9">
        <w:rPr>
          <w:rFonts w:ascii="Times New Roman" w:hAnsi="Times New Roman"/>
        </w:rPr>
        <w:t xml:space="preserve">. It also highlights that teaching is both knowledge and student centred: it is about making particular aspects of knowledge accessible to particular groups of students. This makes good teaching particular rather than generic: what is suitable for certain forms of knowledge and particular groups of students will vary. </w:t>
      </w:r>
    </w:p>
    <w:p w:rsidR="00CC2739" w:rsidRPr="004156A9" w:rsidRDefault="00CC2739" w:rsidP="00BA40CB">
      <w:pPr>
        <w:rPr>
          <w:rFonts w:ascii="Times New Roman" w:hAnsi="Times New Roman"/>
        </w:rPr>
      </w:pPr>
    </w:p>
    <w:p w:rsidR="00F74245" w:rsidRPr="004156A9" w:rsidRDefault="00CC2739" w:rsidP="00BA40CB">
      <w:pPr>
        <w:rPr>
          <w:rFonts w:ascii="Times New Roman" w:hAnsi="Times New Roman"/>
        </w:rPr>
      </w:pPr>
      <w:r w:rsidRPr="004156A9">
        <w:rPr>
          <w:rFonts w:ascii="Times New Roman" w:hAnsi="Times New Roman"/>
        </w:rPr>
        <w:t>So if we apply the notion of pedagogical content knowledge to those who support academics who are learning to teach, what do we see? We see a need for academic developers to have a clear sense of the knowledge that they are attempting to give academics access to and a clear sense of how to arrange a set of experiences that give academics the best chance</w:t>
      </w:r>
      <w:r w:rsidR="00B71EEB" w:rsidRPr="004156A9">
        <w:rPr>
          <w:rFonts w:ascii="Times New Roman" w:hAnsi="Times New Roman"/>
        </w:rPr>
        <w:t xml:space="preserve"> to gain access to this knowledge. </w:t>
      </w:r>
      <w:r w:rsidRPr="004156A9">
        <w:rPr>
          <w:rFonts w:ascii="Times New Roman" w:hAnsi="Times New Roman"/>
        </w:rPr>
        <w:t xml:space="preserve">This raises </w:t>
      </w:r>
      <w:r w:rsidR="00B71EEB" w:rsidRPr="004156A9">
        <w:rPr>
          <w:rFonts w:ascii="Times New Roman" w:hAnsi="Times New Roman"/>
        </w:rPr>
        <w:t xml:space="preserve">three key questions about supporting academics who are </w:t>
      </w:r>
      <w:r w:rsidR="00F74245" w:rsidRPr="004156A9">
        <w:rPr>
          <w:rFonts w:ascii="Times New Roman" w:hAnsi="Times New Roman"/>
        </w:rPr>
        <w:t>learning to teach that th</w:t>
      </w:r>
      <w:r w:rsidR="00EE15DE" w:rsidRPr="004156A9">
        <w:rPr>
          <w:rFonts w:ascii="Times New Roman" w:hAnsi="Times New Roman"/>
        </w:rPr>
        <w:t>e earlier contributions in this</w:t>
      </w:r>
      <w:r w:rsidRPr="004156A9">
        <w:rPr>
          <w:rFonts w:ascii="Times New Roman" w:hAnsi="Times New Roman"/>
        </w:rPr>
        <w:t xml:space="preserve"> </w:t>
      </w:r>
      <w:r w:rsidR="00F74245" w:rsidRPr="004156A9">
        <w:rPr>
          <w:rFonts w:ascii="Times New Roman" w:hAnsi="Times New Roman"/>
        </w:rPr>
        <w:t xml:space="preserve">book help us to answer: </w:t>
      </w:r>
    </w:p>
    <w:p w:rsidR="003E26CC" w:rsidRPr="004156A9" w:rsidRDefault="003E26CC" w:rsidP="00BA40CB">
      <w:pPr>
        <w:pStyle w:val="ListParagraph"/>
        <w:numPr>
          <w:ilvl w:val="0"/>
          <w:numId w:val="7"/>
        </w:numPr>
        <w:rPr>
          <w:rFonts w:ascii="Times New Roman" w:hAnsi="Times New Roman"/>
        </w:rPr>
      </w:pPr>
      <w:r w:rsidRPr="004156A9">
        <w:rPr>
          <w:rFonts w:ascii="Times New Roman" w:hAnsi="Times New Roman"/>
        </w:rPr>
        <w:t xml:space="preserve">How do </w:t>
      </w:r>
      <w:r w:rsidR="004156A9">
        <w:rPr>
          <w:rFonts w:ascii="Times New Roman" w:hAnsi="Times New Roman"/>
        </w:rPr>
        <w:t xml:space="preserve">we </w:t>
      </w:r>
      <w:r w:rsidR="00B56FCD" w:rsidRPr="004156A9">
        <w:rPr>
          <w:rFonts w:ascii="Times New Roman" w:hAnsi="Times New Roman"/>
        </w:rPr>
        <w:t>maintain a focus on the</w:t>
      </w:r>
      <w:r w:rsidRPr="004156A9">
        <w:rPr>
          <w:rFonts w:ascii="Times New Roman" w:hAnsi="Times New Roman"/>
        </w:rPr>
        <w:t xml:space="preserve"> collective aspects of learning to teach?</w:t>
      </w:r>
    </w:p>
    <w:p w:rsidR="003E26CC" w:rsidRPr="004156A9" w:rsidRDefault="003E26CC" w:rsidP="00BA40CB">
      <w:pPr>
        <w:pStyle w:val="ListParagraph"/>
        <w:numPr>
          <w:ilvl w:val="0"/>
          <w:numId w:val="7"/>
        </w:numPr>
        <w:rPr>
          <w:rFonts w:ascii="Times New Roman" w:hAnsi="Times New Roman"/>
        </w:rPr>
      </w:pPr>
      <w:r w:rsidRPr="004156A9">
        <w:rPr>
          <w:rFonts w:ascii="Times New Roman" w:hAnsi="Times New Roman"/>
        </w:rPr>
        <w:t>How do we understand the impacts of settings on learning to teach?</w:t>
      </w:r>
    </w:p>
    <w:p w:rsidR="00B56FCD" w:rsidRPr="004156A9" w:rsidRDefault="00B56FCD" w:rsidP="00BA40CB">
      <w:pPr>
        <w:pStyle w:val="ListParagraph"/>
        <w:numPr>
          <w:ilvl w:val="0"/>
          <w:numId w:val="7"/>
        </w:numPr>
        <w:rPr>
          <w:rFonts w:ascii="Times New Roman" w:hAnsi="Times New Roman"/>
        </w:rPr>
      </w:pPr>
      <w:r w:rsidRPr="004156A9">
        <w:rPr>
          <w:rFonts w:ascii="Times New Roman" w:hAnsi="Times New Roman"/>
        </w:rPr>
        <w:t>What is the nature of expertise of academic development?</w:t>
      </w:r>
    </w:p>
    <w:p w:rsidR="00946062" w:rsidRPr="004156A9" w:rsidRDefault="00946062" w:rsidP="00BA40CB">
      <w:pPr>
        <w:rPr>
          <w:rFonts w:ascii="Times New Roman" w:hAnsi="Times New Roman"/>
        </w:rPr>
      </w:pPr>
    </w:p>
    <w:p w:rsidR="00A1185C" w:rsidRPr="004156A9" w:rsidRDefault="00A1185C" w:rsidP="00BA40CB">
      <w:pPr>
        <w:rPr>
          <w:rFonts w:ascii="Times New Roman" w:hAnsi="Times New Roman"/>
        </w:rPr>
      </w:pPr>
      <w:r w:rsidRPr="004156A9">
        <w:rPr>
          <w:rFonts w:ascii="Times New Roman" w:hAnsi="Times New Roman"/>
        </w:rPr>
        <w:lastRenderedPageBreak/>
        <w:t xml:space="preserve">I will consider how the contributions to this book provide answers to these questions before finally considering what is left unsaid about learning to teaching in higher education in this book. </w:t>
      </w:r>
    </w:p>
    <w:p w:rsidR="00B56FCD" w:rsidRPr="004156A9" w:rsidRDefault="00B56FCD" w:rsidP="00BA40CB">
      <w:pPr>
        <w:pStyle w:val="Heading2"/>
        <w:rPr>
          <w:rFonts w:ascii="Times New Roman" w:hAnsi="Times New Roman"/>
          <w:i w:val="0"/>
          <w:sz w:val="24"/>
          <w:szCs w:val="24"/>
        </w:rPr>
      </w:pPr>
      <w:r w:rsidRPr="004156A9">
        <w:rPr>
          <w:rFonts w:ascii="Times New Roman" w:hAnsi="Times New Roman"/>
          <w:i w:val="0"/>
          <w:sz w:val="24"/>
          <w:szCs w:val="24"/>
        </w:rPr>
        <w:t xml:space="preserve">1. How do we </w:t>
      </w:r>
      <w:r w:rsidR="00EE15DE" w:rsidRPr="004156A9">
        <w:rPr>
          <w:rFonts w:ascii="Times New Roman" w:hAnsi="Times New Roman"/>
          <w:i w:val="0"/>
          <w:sz w:val="24"/>
          <w:szCs w:val="24"/>
        </w:rPr>
        <w:t xml:space="preserve">maintain a focus on </w:t>
      </w:r>
      <w:r w:rsidRPr="004156A9">
        <w:rPr>
          <w:rFonts w:ascii="Times New Roman" w:hAnsi="Times New Roman"/>
          <w:i w:val="0"/>
          <w:sz w:val="24"/>
          <w:szCs w:val="24"/>
        </w:rPr>
        <w:t>the collective aspects of learning to teach?</w:t>
      </w:r>
    </w:p>
    <w:p w:rsidR="00036737" w:rsidRPr="004156A9" w:rsidRDefault="00036737" w:rsidP="00BA40CB">
      <w:pPr>
        <w:rPr>
          <w:rFonts w:ascii="Times New Roman" w:hAnsi="Times New Roman"/>
        </w:rPr>
      </w:pPr>
      <w:r w:rsidRPr="004156A9">
        <w:rPr>
          <w:rFonts w:ascii="Times New Roman" w:hAnsi="Times New Roman"/>
        </w:rPr>
        <w:t>T</w:t>
      </w:r>
      <w:r w:rsidR="00B56FCD" w:rsidRPr="004156A9">
        <w:rPr>
          <w:rFonts w:ascii="Times New Roman" w:hAnsi="Times New Roman"/>
        </w:rPr>
        <w:t>he contributions to this book</w:t>
      </w:r>
      <w:r w:rsidRPr="004156A9">
        <w:rPr>
          <w:rFonts w:ascii="Times New Roman" w:hAnsi="Times New Roman"/>
        </w:rPr>
        <w:t xml:space="preserve"> highlight</w:t>
      </w:r>
      <w:r w:rsidR="00B56FCD" w:rsidRPr="004156A9">
        <w:rPr>
          <w:rFonts w:ascii="Times New Roman" w:hAnsi="Times New Roman"/>
        </w:rPr>
        <w:t xml:space="preserve"> the need </w:t>
      </w:r>
      <w:r w:rsidR="00671C0B" w:rsidRPr="004156A9">
        <w:rPr>
          <w:rFonts w:ascii="Times New Roman" w:hAnsi="Times New Roman"/>
        </w:rPr>
        <w:t xml:space="preserve">for </w:t>
      </w:r>
      <w:r w:rsidRPr="004156A9">
        <w:rPr>
          <w:rFonts w:ascii="Times New Roman" w:hAnsi="Times New Roman"/>
        </w:rPr>
        <w:t xml:space="preserve">approaches </w:t>
      </w:r>
      <w:r w:rsidR="00671C0B" w:rsidRPr="004156A9">
        <w:rPr>
          <w:rFonts w:ascii="Times New Roman" w:hAnsi="Times New Roman"/>
        </w:rPr>
        <w:t xml:space="preserve">to understanding learning to teach </w:t>
      </w:r>
      <w:r w:rsidRPr="004156A9">
        <w:rPr>
          <w:rFonts w:ascii="Times New Roman" w:hAnsi="Times New Roman"/>
        </w:rPr>
        <w:t xml:space="preserve">that take account of </w:t>
      </w:r>
      <w:r w:rsidR="00671C0B" w:rsidRPr="004156A9">
        <w:rPr>
          <w:rFonts w:ascii="Times New Roman" w:hAnsi="Times New Roman"/>
        </w:rPr>
        <w:t xml:space="preserve">its </w:t>
      </w:r>
      <w:r w:rsidRPr="004156A9">
        <w:rPr>
          <w:rFonts w:ascii="Times New Roman" w:hAnsi="Times New Roman"/>
        </w:rPr>
        <w:t xml:space="preserve">collective aspects. In Chapter 10 </w:t>
      </w:r>
      <w:r w:rsidR="00F926B1" w:rsidRPr="004156A9">
        <w:rPr>
          <w:rFonts w:ascii="Times New Roman" w:hAnsi="Times New Roman"/>
        </w:rPr>
        <w:t>Peter K</w:t>
      </w:r>
      <w:r w:rsidR="00B56FCD" w:rsidRPr="004156A9">
        <w:rPr>
          <w:rFonts w:ascii="Times New Roman" w:hAnsi="Times New Roman"/>
        </w:rPr>
        <w:t>a</w:t>
      </w:r>
      <w:r w:rsidR="00F926B1" w:rsidRPr="004156A9">
        <w:rPr>
          <w:rFonts w:ascii="Times New Roman" w:hAnsi="Times New Roman"/>
        </w:rPr>
        <w:t>h</w:t>
      </w:r>
      <w:r w:rsidR="00B56FCD" w:rsidRPr="004156A9">
        <w:rPr>
          <w:rFonts w:ascii="Times New Roman" w:hAnsi="Times New Roman"/>
        </w:rPr>
        <w:t>n</w:t>
      </w:r>
      <w:r w:rsidRPr="004156A9">
        <w:rPr>
          <w:rFonts w:ascii="Times New Roman" w:hAnsi="Times New Roman"/>
        </w:rPr>
        <w:t xml:space="preserve"> argues that such collective approaches are </w:t>
      </w:r>
      <w:r w:rsidR="00B56FCD" w:rsidRPr="004156A9">
        <w:rPr>
          <w:rFonts w:ascii="Times New Roman" w:hAnsi="Times New Roman"/>
        </w:rPr>
        <w:t>essential for developing creative responses to pressures for change</w:t>
      </w:r>
      <w:r w:rsidRPr="004156A9">
        <w:rPr>
          <w:rFonts w:ascii="Times New Roman" w:hAnsi="Times New Roman"/>
        </w:rPr>
        <w:t xml:space="preserve">. </w:t>
      </w:r>
      <w:r w:rsidR="00A1185C" w:rsidRPr="004156A9">
        <w:rPr>
          <w:rFonts w:ascii="Times New Roman" w:hAnsi="Times New Roman"/>
        </w:rPr>
        <w:t xml:space="preserve">Given the huge amount of institutional change that teachers and academic developers face, they </w:t>
      </w:r>
      <w:r w:rsidRPr="004156A9">
        <w:rPr>
          <w:rFonts w:ascii="Times New Roman" w:hAnsi="Times New Roman"/>
        </w:rPr>
        <w:t xml:space="preserve">need to </w:t>
      </w:r>
      <w:r w:rsidR="00B56FCD" w:rsidRPr="004156A9">
        <w:rPr>
          <w:rFonts w:ascii="Times New Roman" w:hAnsi="Times New Roman"/>
        </w:rPr>
        <w:t xml:space="preserve">understand </w:t>
      </w:r>
      <w:r w:rsidRPr="004156A9">
        <w:rPr>
          <w:rFonts w:ascii="Times New Roman" w:hAnsi="Times New Roman"/>
        </w:rPr>
        <w:t xml:space="preserve">the </w:t>
      </w:r>
      <w:r w:rsidR="00B56FCD" w:rsidRPr="004156A9">
        <w:rPr>
          <w:rFonts w:ascii="Times New Roman" w:hAnsi="Times New Roman"/>
        </w:rPr>
        <w:t xml:space="preserve">basis on which </w:t>
      </w:r>
      <w:r w:rsidR="00A1185C" w:rsidRPr="004156A9">
        <w:rPr>
          <w:rFonts w:ascii="Times New Roman" w:hAnsi="Times New Roman"/>
        </w:rPr>
        <w:t>they c</w:t>
      </w:r>
      <w:r w:rsidR="00B56FCD" w:rsidRPr="004156A9">
        <w:rPr>
          <w:rFonts w:ascii="Times New Roman" w:hAnsi="Times New Roman"/>
        </w:rPr>
        <w:t xml:space="preserve">an act creatively together </w:t>
      </w:r>
      <w:r w:rsidR="00201002" w:rsidRPr="004156A9">
        <w:rPr>
          <w:rFonts w:ascii="Times New Roman" w:hAnsi="Times New Roman"/>
        </w:rPr>
        <w:t xml:space="preserve">in pursuit of sustainable ways of developing effective teaching in higher education. </w:t>
      </w:r>
    </w:p>
    <w:p w:rsidR="00036737" w:rsidRPr="004156A9" w:rsidRDefault="00036737" w:rsidP="00BA40CB">
      <w:pPr>
        <w:rPr>
          <w:rFonts w:ascii="Times New Roman" w:hAnsi="Times New Roman"/>
        </w:rPr>
      </w:pPr>
    </w:p>
    <w:p w:rsidR="003F41B2" w:rsidRPr="004156A9" w:rsidRDefault="00036737" w:rsidP="00BA40CB">
      <w:pPr>
        <w:rPr>
          <w:rFonts w:ascii="Times New Roman" w:hAnsi="Times New Roman"/>
        </w:rPr>
      </w:pPr>
      <w:r w:rsidRPr="004156A9">
        <w:rPr>
          <w:rFonts w:ascii="Times New Roman" w:hAnsi="Times New Roman"/>
        </w:rPr>
        <w:t>The challenge of developing collective approaches to understanding learning to teach is that</w:t>
      </w:r>
      <w:r w:rsidR="00EE15DE" w:rsidRPr="004156A9">
        <w:rPr>
          <w:rFonts w:ascii="Times New Roman" w:hAnsi="Times New Roman"/>
        </w:rPr>
        <w:t>, as I mentioned before,</w:t>
      </w:r>
      <w:r w:rsidRPr="004156A9">
        <w:rPr>
          <w:rFonts w:ascii="Times New Roman" w:hAnsi="Times New Roman"/>
        </w:rPr>
        <w:t xml:space="preserve"> teaching is always particular. This is because changes to the either the knowledge that is being focused upon or the students that are engaging with it mean that there will be a need to reconsider whether previous approaches remain the most effective way of developing student understanding. However, the students and the knowledge are not the only factors that shape teaching. In Chapter 5 David </w:t>
      </w:r>
      <w:r w:rsidR="00B56FCD" w:rsidRPr="004156A9">
        <w:rPr>
          <w:rFonts w:ascii="Times New Roman" w:hAnsi="Times New Roman"/>
        </w:rPr>
        <w:t xml:space="preserve">Boud and </w:t>
      </w:r>
      <w:r w:rsidRPr="004156A9">
        <w:rPr>
          <w:rFonts w:ascii="Times New Roman" w:hAnsi="Times New Roman"/>
        </w:rPr>
        <w:t xml:space="preserve">Angela </w:t>
      </w:r>
      <w:r w:rsidR="00B56FCD" w:rsidRPr="004156A9">
        <w:rPr>
          <w:rFonts w:ascii="Times New Roman" w:hAnsi="Times New Roman"/>
        </w:rPr>
        <w:t xml:space="preserve">Brew show how local </w:t>
      </w:r>
      <w:r w:rsidRPr="004156A9">
        <w:rPr>
          <w:rFonts w:ascii="Times New Roman" w:hAnsi="Times New Roman"/>
        </w:rPr>
        <w:t xml:space="preserve">teaching </w:t>
      </w:r>
      <w:r w:rsidR="00B56FCD" w:rsidRPr="004156A9">
        <w:rPr>
          <w:rFonts w:ascii="Times New Roman" w:hAnsi="Times New Roman"/>
        </w:rPr>
        <w:t>practices</w:t>
      </w:r>
      <w:r w:rsidRPr="004156A9">
        <w:rPr>
          <w:rFonts w:ascii="Times New Roman" w:hAnsi="Times New Roman"/>
        </w:rPr>
        <w:t xml:space="preserve"> are</w:t>
      </w:r>
      <w:r w:rsidR="00B56FCD" w:rsidRPr="004156A9">
        <w:rPr>
          <w:rFonts w:ascii="Times New Roman" w:hAnsi="Times New Roman"/>
        </w:rPr>
        <w:t xml:space="preserve"> always positioned in relation to a number of particular contexts including the spatial, the temporal, the personal, the social and the professional. </w:t>
      </w:r>
      <w:r w:rsidR="003F41B2" w:rsidRPr="004156A9">
        <w:rPr>
          <w:rFonts w:ascii="Times New Roman" w:hAnsi="Times New Roman"/>
        </w:rPr>
        <w:t xml:space="preserve">Similarly, Anne </w:t>
      </w:r>
      <w:r w:rsidR="00B56FCD" w:rsidRPr="004156A9">
        <w:rPr>
          <w:rFonts w:ascii="Times New Roman" w:hAnsi="Times New Roman"/>
        </w:rPr>
        <w:t xml:space="preserve">Edwards (Chapter </w:t>
      </w:r>
      <w:r w:rsidR="003F41B2" w:rsidRPr="004156A9">
        <w:rPr>
          <w:rFonts w:ascii="Times New Roman" w:hAnsi="Times New Roman"/>
        </w:rPr>
        <w:t>8</w:t>
      </w:r>
      <w:r w:rsidR="00B56FCD" w:rsidRPr="004156A9">
        <w:rPr>
          <w:rFonts w:ascii="Times New Roman" w:hAnsi="Times New Roman"/>
        </w:rPr>
        <w:t xml:space="preserve">) shows </w:t>
      </w:r>
      <w:r w:rsidR="003F41B2" w:rsidRPr="004156A9">
        <w:rPr>
          <w:rFonts w:ascii="Times New Roman" w:hAnsi="Times New Roman"/>
        </w:rPr>
        <w:t xml:space="preserve">how institutional practices help to shape teaching. </w:t>
      </w:r>
      <w:r w:rsidR="00EE15DE" w:rsidRPr="004156A9">
        <w:rPr>
          <w:rFonts w:ascii="Times New Roman" w:hAnsi="Times New Roman"/>
        </w:rPr>
        <w:t>Edwards</w:t>
      </w:r>
      <w:r w:rsidR="003F41B2" w:rsidRPr="004156A9">
        <w:rPr>
          <w:rFonts w:ascii="Times New Roman" w:hAnsi="Times New Roman"/>
        </w:rPr>
        <w:t xml:space="preserve"> also highlights the ways in which </w:t>
      </w:r>
      <w:r w:rsidR="00B56FCD" w:rsidRPr="004156A9">
        <w:rPr>
          <w:rFonts w:ascii="Times New Roman" w:hAnsi="Times New Roman"/>
        </w:rPr>
        <w:t xml:space="preserve">teaching </w:t>
      </w:r>
      <w:r w:rsidR="003F41B2" w:rsidRPr="004156A9">
        <w:rPr>
          <w:rFonts w:ascii="Times New Roman" w:hAnsi="Times New Roman"/>
        </w:rPr>
        <w:t xml:space="preserve">is nested </w:t>
      </w:r>
      <w:r w:rsidR="00B56FCD" w:rsidRPr="004156A9">
        <w:rPr>
          <w:rFonts w:ascii="Times New Roman" w:hAnsi="Times New Roman"/>
        </w:rPr>
        <w:t>within disciplinary and professional practices</w:t>
      </w:r>
      <w:r w:rsidR="003F41B2" w:rsidRPr="004156A9">
        <w:rPr>
          <w:rFonts w:ascii="Times New Roman" w:hAnsi="Times New Roman"/>
        </w:rPr>
        <w:t xml:space="preserve">, which </w:t>
      </w:r>
      <w:r w:rsidR="00B56FCD" w:rsidRPr="004156A9">
        <w:rPr>
          <w:rFonts w:ascii="Times New Roman" w:hAnsi="Times New Roman"/>
        </w:rPr>
        <w:t>students need to learn to recognise and respond to in an agentic manner</w:t>
      </w:r>
      <w:r w:rsidR="003F41B2" w:rsidRPr="004156A9">
        <w:rPr>
          <w:rFonts w:ascii="Times New Roman" w:hAnsi="Times New Roman"/>
        </w:rPr>
        <w:t>.</w:t>
      </w:r>
      <w:r w:rsidR="00FF0088" w:rsidRPr="004156A9">
        <w:rPr>
          <w:rFonts w:ascii="Times New Roman" w:hAnsi="Times New Roman"/>
        </w:rPr>
        <w:t xml:space="preserve"> </w:t>
      </w:r>
      <w:r w:rsidR="00B56FCD" w:rsidRPr="004156A9">
        <w:rPr>
          <w:rFonts w:ascii="Times New Roman" w:hAnsi="Times New Roman"/>
        </w:rPr>
        <w:t xml:space="preserve">Whilst Edwards foregrounds agency, </w:t>
      </w:r>
      <w:r w:rsidR="004053CC" w:rsidRPr="004156A9">
        <w:rPr>
          <w:rFonts w:ascii="Times New Roman" w:hAnsi="Times New Roman"/>
        </w:rPr>
        <w:t xml:space="preserve">Lesley </w:t>
      </w:r>
      <w:r w:rsidR="00B56FCD" w:rsidRPr="004156A9">
        <w:rPr>
          <w:rFonts w:ascii="Times New Roman" w:hAnsi="Times New Roman"/>
        </w:rPr>
        <w:t xml:space="preserve">Gourlay and </w:t>
      </w:r>
      <w:r w:rsidR="004053CC" w:rsidRPr="004156A9">
        <w:rPr>
          <w:rFonts w:ascii="Times New Roman" w:hAnsi="Times New Roman"/>
        </w:rPr>
        <w:t xml:space="preserve">Martin </w:t>
      </w:r>
      <w:r w:rsidR="00B56FCD" w:rsidRPr="004156A9">
        <w:rPr>
          <w:rFonts w:ascii="Times New Roman" w:hAnsi="Times New Roman"/>
        </w:rPr>
        <w:t>Oliver (Chapter</w:t>
      </w:r>
      <w:r w:rsidR="003F41B2" w:rsidRPr="004156A9">
        <w:rPr>
          <w:rFonts w:ascii="Times New Roman" w:hAnsi="Times New Roman"/>
        </w:rPr>
        <w:t xml:space="preserve"> 2</w:t>
      </w:r>
      <w:r w:rsidR="00B56FCD" w:rsidRPr="004156A9">
        <w:rPr>
          <w:rFonts w:ascii="Times New Roman" w:hAnsi="Times New Roman"/>
        </w:rPr>
        <w:t>) emphasise the ways in which students are entangled in networks of human and mat</w:t>
      </w:r>
      <w:r w:rsidR="00EE15DE" w:rsidRPr="004156A9">
        <w:rPr>
          <w:rFonts w:ascii="Times New Roman" w:hAnsi="Times New Roman"/>
        </w:rPr>
        <w:t>er</w:t>
      </w:r>
      <w:r w:rsidR="00B56FCD" w:rsidRPr="004156A9">
        <w:rPr>
          <w:rFonts w:ascii="Times New Roman" w:hAnsi="Times New Roman"/>
        </w:rPr>
        <w:t xml:space="preserve">ial actors. These </w:t>
      </w:r>
      <w:r w:rsidR="003F41B2" w:rsidRPr="004156A9">
        <w:rPr>
          <w:rFonts w:ascii="Times New Roman" w:hAnsi="Times New Roman"/>
        </w:rPr>
        <w:t>entanglements</w:t>
      </w:r>
      <w:r w:rsidR="00B56FCD" w:rsidRPr="004156A9">
        <w:rPr>
          <w:rFonts w:ascii="Times New Roman" w:hAnsi="Times New Roman"/>
        </w:rPr>
        <w:t xml:space="preserve"> help to actively create particular forms of agency for students.</w:t>
      </w:r>
    </w:p>
    <w:p w:rsidR="003F41B2" w:rsidRPr="004156A9" w:rsidRDefault="003F41B2" w:rsidP="00BA40CB">
      <w:pPr>
        <w:rPr>
          <w:rFonts w:ascii="Times New Roman" w:hAnsi="Times New Roman"/>
        </w:rPr>
      </w:pPr>
    </w:p>
    <w:p w:rsidR="00B56FCD" w:rsidRPr="004156A9" w:rsidRDefault="00201002" w:rsidP="00BA40CB">
      <w:pPr>
        <w:rPr>
          <w:rFonts w:ascii="Times New Roman" w:hAnsi="Times New Roman"/>
        </w:rPr>
      </w:pPr>
      <w:r w:rsidRPr="004156A9">
        <w:rPr>
          <w:rFonts w:ascii="Times New Roman" w:hAnsi="Times New Roman"/>
        </w:rPr>
        <w:t xml:space="preserve">In this way </w:t>
      </w:r>
      <w:r w:rsidR="003F41B2" w:rsidRPr="004156A9">
        <w:rPr>
          <w:rFonts w:ascii="Times New Roman" w:hAnsi="Times New Roman"/>
        </w:rPr>
        <w:t xml:space="preserve">the contributions </w:t>
      </w:r>
      <w:r w:rsidRPr="004156A9">
        <w:rPr>
          <w:rFonts w:ascii="Times New Roman" w:hAnsi="Times New Roman"/>
        </w:rPr>
        <w:t xml:space="preserve">to this book </w:t>
      </w:r>
      <w:r w:rsidR="003F41B2" w:rsidRPr="004156A9">
        <w:rPr>
          <w:rFonts w:ascii="Times New Roman" w:hAnsi="Times New Roman"/>
        </w:rPr>
        <w:t>highlight the importance of thinking beyond the individual when considering learning to teach in higher education. There is an urgent need to think about learning to teach in a collective manner</w:t>
      </w:r>
      <w:r w:rsidRPr="004156A9">
        <w:rPr>
          <w:rFonts w:ascii="Times New Roman" w:hAnsi="Times New Roman"/>
        </w:rPr>
        <w:t xml:space="preserve"> that draws strength from our shared commitment to improving the effectiveness of our teaching. This needs to recognise the ways in which teaching is always particular because of the changing configurations of the networks that teachers are engaged with</w:t>
      </w:r>
      <w:r w:rsidR="003F41B2" w:rsidRPr="004156A9">
        <w:rPr>
          <w:rFonts w:ascii="Times New Roman" w:hAnsi="Times New Roman"/>
        </w:rPr>
        <w:t xml:space="preserve">. </w:t>
      </w:r>
      <w:r w:rsidR="00B56FCD" w:rsidRPr="004156A9">
        <w:rPr>
          <w:rFonts w:ascii="Times New Roman" w:hAnsi="Times New Roman"/>
        </w:rPr>
        <w:t xml:space="preserve">  </w:t>
      </w:r>
    </w:p>
    <w:p w:rsidR="00B56FCD" w:rsidRPr="004156A9" w:rsidRDefault="00B56FCD" w:rsidP="00BA40CB">
      <w:pPr>
        <w:pStyle w:val="Heading2"/>
        <w:rPr>
          <w:rFonts w:ascii="Times New Roman" w:hAnsi="Times New Roman"/>
          <w:i w:val="0"/>
          <w:sz w:val="24"/>
          <w:szCs w:val="24"/>
        </w:rPr>
      </w:pPr>
      <w:r w:rsidRPr="004156A9">
        <w:rPr>
          <w:rFonts w:ascii="Times New Roman" w:hAnsi="Times New Roman"/>
          <w:i w:val="0"/>
          <w:sz w:val="24"/>
          <w:szCs w:val="24"/>
        </w:rPr>
        <w:t>2. How do we understand the impacts of settings on learning to teach?</w:t>
      </w:r>
    </w:p>
    <w:p w:rsidR="00B56FCD" w:rsidRPr="004156A9" w:rsidRDefault="003F41B2" w:rsidP="00BA40CB">
      <w:pPr>
        <w:rPr>
          <w:rFonts w:ascii="Times New Roman" w:hAnsi="Times New Roman"/>
        </w:rPr>
      </w:pPr>
      <w:r w:rsidRPr="004156A9">
        <w:rPr>
          <w:rFonts w:ascii="Times New Roman" w:hAnsi="Times New Roman"/>
        </w:rPr>
        <w:t xml:space="preserve">One of the elements that shapes teaching in particular ways is the setting in which teaching and learning to teach are located. The contributions to this book give a rich sense of the ways in which teaching settings actively shape the nature of teaching. </w:t>
      </w:r>
    </w:p>
    <w:p w:rsidR="004053CC" w:rsidRPr="004156A9" w:rsidRDefault="004053CC" w:rsidP="00BA40CB">
      <w:pPr>
        <w:rPr>
          <w:rFonts w:ascii="Times New Roman" w:hAnsi="Times New Roman"/>
        </w:rPr>
      </w:pPr>
    </w:p>
    <w:p w:rsidR="004053CC" w:rsidRPr="004156A9" w:rsidRDefault="004053CC" w:rsidP="00BA40CB">
      <w:pPr>
        <w:rPr>
          <w:rFonts w:ascii="Times New Roman" w:hAnsi="Times New Roman"/>
        </w:rPr>
      </w:pPr>
      <w:r w:rsidRPr="004156A9">
        <w:rPr>
          <w:rFonts w:ascii="Times New Roman" w:hAnsi="Times New Roman"/>
        </w:rPr>
        <w:t xml:space="preserve">Marie </w:t>
      </w:r>
      <w:r w:rsidR="00B56FCD" w:rsidRPr="004156A9">
        <w:rPr>
          <w:rFonts w:ascii="Times New Roman" w:hAnsi="Times New Roman"/>
        </w:rPr>
        <w:t xml:space="preserve">Manidis and </w:t>
      </w:r>
      <w:r w:rsidRPr="004156A9">
        <w:rPr>
          <w:rFonts w:ascii="Times New Roman" w:hAnsi="Times New Roman"/>
        </w:rPr>
        <w:t xml:space="preserve">Keiko </w:t>
      </w:r>
      <w:r w:rsidR="00B56FCD" w:rsidRPr="004156A9">
        <w:rPr>
          <w:rFonts w:ascii="Times New Roman" w:hAnsi="Times New Roman"/>
        </w:rPr>
        <w:t xml:space="preserve">Yasukawa (Chapter </w:t>
      </w:r>
      <w:r w:rsidRPr="004156A9">
        <w:rPr>
          <w:rFonts w:ascii="Times New Roman" w:hAnsi="Times New Roman"/>
        </w:rPr>
        <w:t>6</w:t>
      </w:r>
      <w:r w:rsidR="00B56FCD" w:rsidRPr="004156A9">
        <w:rPr>
          <w:rFonts w:ascii="Times New Roman" w:hAnsi="Times New Roman"/>
        </w:rPr>
        <w:t xml:space="preserve">) </w:t>
      </w:r>
      <w:r w:rsidRPr="004156A9">
        <w:rPr>
          <w:rFonts w:ascii="Times New Roman" w:hAnsi="Times New Roman"/>
        </w:rPr>
        <w:t xml:space="preserve">show how </w:t>
      </w:r>
      <w:r w:rsidR="00B56FCD" w:rsidRPr="004156A9">
        <w:rPr>
          <w:rFonts w:ascii="Times New Roman" w:hAnsi="Times New Roman"/>
        </w:rPr>
        <w:t>the material setting of the</w:t>
      </w:r>
      <w:r w:rsidRPr="004156A9">
        <w:rPr>
          <w:rFonts w:ascii="Times New Roman" w:hAnsi="Times New Roman"/>
        </w:rPr>
        <w:t xml:space="preserve"> physical </w:t>
      </w:r>
      <w:r w:rsidR="00B56FCD" w:rsidRPr="004156A9">
        <w:rPr>
          <w:rFonts w:ascii="Times New Roman" w:hAnsi="Times New Roman"/>
        </w:rPr>
        <w:t xml:space="preserve">classroom </w:t>
      </w:r>
      <w:r w:rsidRPr="004156A9">
        <w:rPr>
          <w:rFonts w:ascii="Times New Roman" w:hAnsi="Times New Roman"/>
        </w:rPr>
        <w:t>is a key element of teaching. Rather than being something that teachers respond to passively</w:t>
      </w:r>
      <w:r w:rsidR="00201002" w:rsidRPr="004156A9">
        <w:rPr>
          <w:rFonts w:ascii="Times New Roman" w:hAnsi="Times New Roman"/>
        </w:rPr>
        <w:t>,</w:t>
      </w:r>
      <w:r w:rsidRPr="004156A9">
        <w:rPr>
          <w:rFonts w:ascii="Times New Roman" w:hAnsi="Times New Roman"/>
        </w:rPr>
        <w:t xml:space="preserve"> they show how the material and the non-material elements of the setting can be actively woven together in order to support students to develop their understanding of knowledge. </w:t>
      </w:r>
    </w:p>
    <w:p w:rsidR="00201002" w:rsidRPr="004156A9" w:rsidRDefault="00201002" w:rsidP="00BA40CB">
      <w:pPr>
        <w:rPr>
          <w:rFonts w:ascii="Times New Roman" w:hAnsi="Times New Roman"/>
        </w:rPr>
      </w:pPr>
    </w:p>
    <w:p w:rsidR="00B56FCD" w:rsidRPr="004156A9" w:rsidRDefault="004053CC" w:rsidP="00BA40CB">
      <w:pPr>
        <w:rPr>
          <w:rFonts w:ascii="Times New Roman" w:hAnsi="Times New Roman"/>
        </w:rPr>
      </w:pPr>
      <w:r w:rsidRPr="004156A9">
        <w:rPr>
          <w:rFonts w:ascii="Times New Roman" w:hAnsi="Times New Roman"/>
        </w:rPr>
        <w:t xml:space="preserve">However, some elements of the settings may not be under the control of teachers or </w:t>
      </w:r>
      <w:r w:rsidR="0090527C" w:rsidRPr="004156A9">
        <w:rPr>
          <w:rFonts w:ascii="Times New Roman" w:hAnsi="Times New Roman"/>
        </w:rPr>
        <w:t xml:space="preserve">their </w:t>
      </w:r>
      <w:r w:rsidRPr="004156A9">
        <w:rPr>
          <w:rFonts w:ascii="Times New Roman" w:hAnsi="Times New Roman"/>
        </w:rPr>
        <w:t xml:space="preserve">impact may not even be fully understood. In </w:t>
      </w:r>
      <w:r w:rsidR="00457DAC" w:rsidRPr="004156A9">
        <w:rPr>
          <w:rFonts w:ascii="Times New Roman" w:hAnsi="Times New Roman"/>
        </w:rPr>
        <w:t xml:space="preserve">Chapter 4 </w:t>
      </w:r>
      <w:r w:rsidRPr="004156A9">
        <w:rPr>
          <w:rFonts w:ascii="Times New Roman" w:hAnsi="Times New Roman"/>
        </w:rPr>
        <w:t xml:space="preserve">Richard </w:t>
      </w:r>
      <w:r w:rsidR="00B56FCD" w:rsidRPr="004156A9">
        <w:rPr>
          <w:rFonts w:ascii="Times New Roman" w:hAnsi="Times New Roman"/>
        </w:rPr>
        <w:t xml:space="preserve">Edwards and </w:t>
      </w:r>
      <w:r w:rsidRPr="004156A9">
        <w:rPr>
          <w:rFonts w:ascii="Times New Roman" w:hAnsi="Times New Roman"/>
        </w:rPr>
        <w:t xml:space="preserve">Tara </w:t>
      </w:r>
      <w:r w:rsidR="00B56FCD" w:rsidRPr="004156A9">
        <w:rPr>
          <w:rFonts w:ascii="Times New Roman" w:hAnsi="Times New Roman"/>
        </w:rPr>
        <w:t>Fenwick show how in online settings the algorithms that underpin learning analytics play a</w:t>
      </w:r>
      <w:r w:rsidR="00201002" w:rsidRPr="004156A9">
        <w:rPr>
          <w:rFonts w:ascii="Times New Roman" w:hAnsi="Times New Roman"/>
        </w:rPr>
        <w:t>n active</w:t>
      </w:r>
      <w:r w:rsidR="00B56FCD" w:rsidRPr="004156A9">
        <w:rPr>
          <w:rFonts w:ascii="Times New Roman" w:hAnsi="Times New Roman"/>
        </w:rPr>
        <w:t xml:space="preserve"> role in shaping how students are positioned as particular kinds of ‘learners’. They show how these are more than neutral tools that apply the intentions of teachers</w:t>
      </w:r>
      <w:r w:rsidR="00201002" w:rsidRPr="004156A9">
        <w:rPr>
          <w:rFonts w:ascii="Times New Roman" w:hAnsi="Times New Roman"/>
        </w:rPr>
        <w:t xml:space="preserve">. Instead </w:t>
      </w:r>
      <w:r w:rsidR="000E0456" w:rsidRPr="004156A9">
        <w:rPr>
          <w:rFonts w:ascii="Times New Roman" w:hAnsi="Times New Roman"/>
        </w:rPr>
        <w:t xml:space="preserve">algorithms </w:t>
      </w:r>
      <w:r w:rsidR="00B56FCD" w:rsidRPr="004156A9">
        <w:rPr>
          <w:rFonts w:ascii="Times New Roman" w:hAnsi="Times New Roman"/>
        </w:rPr>
        <w:lastRenderedPageBreak/>
        <w:t>shape the</w:t>
      </w:r>
      <w:r w:rsidR="000E0456" w:rsidRPr="004156A9">
        <w:rPr>
          <w:rFonts w:ascii="Times New Roman" w:hAnsi="Times New Roman"/>
        </w:rPr>
        <w:t>se intentions</w:t>
      </w:r>
      <w:r w:rsidR="00B56FCD" w:rsidRPr="004156A9">
        <w:rPr>
          <w:rFonts w:ascii="Times New Roman" w:hAnsi="Times New Roman"/>
        </w:rPr>
        <w:t xml:space="preserve"> in particular ways and not others.</w:t>
      </w:r>
      <w:r w:rsidR="00457DAC" w:rsidRPr="004156A9">
        <w:rPr>
          <w:rFonts w:ascii="Times New Roman" w:hAnsi="Times New Roman"/>
        </w:rPr>
        <w:t xml:space="preserve"> Unless teachers understand the ways in which these algorithms work then the danger is that they passively accept them rather than question the ways in which they shape the teaching and learning process.</w:t>
      </w:r>
    </w:p>
    <w:p w:rsidR="00457DAC" w:rsidRPr="004156A9" w:rsidRDefault="00457DAC" w:rsidP="00BA40CB">
      <w:pPr>
        <w:rPr>
          <w:rFonts w:ascii="Times New Roman" w:hAnsi="Times New Roman"/>
        </w:rPr>
      </w:pPr>
    </w:p>
    <w:p w:rsidR="00457DAC" w:rsidRPr="004156A9" w:rsidRDefault="00457DAC" w:rsidP="00BA40CB">
      <w:pPr>
        <w:rPr>
          <w:rFonts w:ascii="Times New Roman" w:hAnsi="Times New Roman"/>
        </w:rPr>
      </w:pPr>
      <w:r w:rsidRPr="004156A9">
        <w:rPr>
          <w:rFonts w:ascii="Times New Roman" w:hAnsi="Times New Roman"/>
        </w:rPr>
        <w:t xml:space="preserve">The contributions in this book highlight that rather than simply acting as a container of teaching and learning interactions, the settings in which teaching and learning take place actively shape teachers and students engagement with each other and with knowledge. They show that knowledge of the ways in which these settings intertwine with teaching and learning is an essential element of the expertise of academic developers. </w:t>
      </w:r>
    </w:p>
    <w:p w:rsidR="00946062" w:rsidRPr="004156A9" w:rsidRDefault="00B56FCD" w:rsidP="00BA40CB">
      <w:pPr>
        <w:pStyle w:val="Heading2"/>
        <w:rPr>
          <w:rFonts w:ascii="Times New Roman" w:hAnsi="Times New Roman"/>
          <w:i w:val="0"/>
          <w:sz w:val="24"/>
          <w:szCs w:val="24"/>
        </w:rPr>
      </w:pPr>
      <w:r w:rsidRPr="004156A9">
        <w:rPr>
          <w:rFonts w:ascii="Times New Roman" w:hAnsi="Times New Roman"/>
          <w:i w:val="0"/>
          <w:sz w:val="24"/>
          <w:szCs w:val="24"/>
        </w:rPr>
        <w:t>3</w:t>
      </w:r>
      <w:r w:rsidR="00946062" w:rsidRPr="004156A9">
        <w:rPr>
          <w:rFonts w:ascii="Times New Roman" w:hAnsi="Times New Roman"/>
          <w:i w:val="0"/>
          <w:sz w:val="24"/>
          <w:szCs w:val="24"/>
        </w:rPr>
        <w:t>. What is the nature of expertise of academic development?</w:t>
      </w:r>
    </w:p>
    <w:p w:rsidR="00506068" w:rsidRPr="004156A9" w:rsidRDefault="00946062" w:rsidP="00BA40CB">
      <w:pPr>
        <w:rPr>
          <w:rFonts w:ascii="Times New Roman" w:hAnsi="Times New Roman"/>
        </w:rPr>
      </w:pPr>
      <w:r w:rsidRPr="004156A9">
        <w:rPr>
          <w:rFonts w:ascii="Times New Roman" w:hAnsi="Times New Roman"/>
        </w:rPr>
        <w:t xml:space="preserve">Thinking about academic development from the perspective of pedagogical content knowledge, </w:t>
      </w:r>
      <w:r w:rsidR="00E207C1" w:rsidRPr="004156A9">
        <w:rPr>
          <w:rFonts w:ascii="Times New Roman" w:hAnsi="Times New Roman"/>
        </w:rPr>
        <w:t xml:space="preserve">also </w:t>
      </w:r>
      <w:r w:rsidRPr="004156A9">
        <w:rPr>
          <w:rFonts w:ascii="Times New Roman" w:hAnsi="Times New Roman"/>
        </w:rPr>
        <w:t xml:space="preserve">raises questions about the aspects of knowledge that </w:t>
      </w:r>
      <w:r w:rsidR="000E0456" w:rsidRPr="004156A9">
        <w:rPr>
          <w:rFonts w:ascii="Times New Roman" w:hAnsi="Times New Roman"/>
        </w:rPr>
        <w:t xml:space="preserve">teachers in higher education are given access to by </w:t>
      </w:r>
      <w:r w:rsidRPr="004156A9">
        <w:rPr>
          <w:rFonts w:ascii="Times New Roman" w:hAnsi="Times New Roman"/>
        </w:rPr>
        <w:t>academic developers</w:t>
      </w:r>
      <w:r w:rsidR="000E0456" w:rsidRPr="004156A9">
        <w:rPr>
          <w:rFonts w:ascii="Times New Roman" w:hAnsi="Times New Roman"/>
        </w:rPr>
        <w:t>.</w:t>
      </w:r>
      <w:r w:rsidRPr="004156A9">
        <w:rPr>
          <w:rFonts w:ascii="Times New Roman" w:hAnsi="Times New Roman"/>
        </w:rPr>
        <w:t xml:space="preserve"> In other words what is the nature of expertise that is claimed by academic developers</w:t>
      </w:r>
      <w:r w:rsidR="00540359" w:rsidRPr="004156A9">
        <w:rPr>
          <w:rFonts w:ascii="Times New Roman" w:hAnsi="Times New Roman"/>
        </w:rPr>
        <w:t>?</w:t>
      </w:r>
      <w:r w:rsidRPr="004156A9">
        <w:rPr>
          <w:rFonts w:ascii="Times New Roman" w:hAnsi="Times New Roman"/>
        </w:rPr>
        <w:t xml:space="preserve"> </w:t>
      </w:r>
    </w:p>
    <w:p w:rsidR="00506068" w:rsidRPr="004156A9" w:rsidRDefault="00506068" w:rsidP="00BA40CB">
      <w:pPr>
        <w:rPr>
          <w:rFonts w:ascii="Times New Roman" w:hAnsi="Times New Roman"/>
        </w:rPr>
      </w:pPr>
    </w:p>
    <w:p w:rsidR="003A43F8" w:rsidRPr="004156A9" w:rsidRDefault="005705CF" w:rsidP="00BA40CB">
      <w:pPr>
        <w:rPr>
          <w:rFonts w:ascii="Times New Roman" w:hAnsi="Times New Roman"/>
        </w:rPr>
      </w:pPr>
      <w:r w:rsidRPr="004156A9">
        <w:rPr>
          <w:rFonts w:ascii="Times New Roman" w:hAnsi="Times New Roman"/>
        </w:rPr>
        <w:t>In Chapter 9, Sue Clegg outlines how academic development</w:t>
      </w:r>
      <w:r w:rsidR="004156A9">
        <w:rPr>
          <w:rFonts w:ascii="Times New Roman" w:hAnsi="Times New Roman"/>
        </w:rPr>
        <w:t xml:space="preserve"> emerged from the 1960s onwards, </w:t>
      </w:r>
      <w:r w:rsidRPr="004156A9">
        <w:rPr>
          <w:rFonts w:ascii="Times New Roman" w:hAnsi="Times New Roman"/>
        </w:rPr>
        <w:t>charged with supporting teacher learning and drawing greater attention to student learning. Clegg highlights how academic developers have been important supporters of research into student learning and the development of the knowledge base about the elements of effective teaching in higher education</w:t>
      </w:r>
      <w:r w:rsidR="00671C0B" w:rsidRPr="004156A9">
        <w:rPr>
          <w:rFonts w:ascii="Times New Roman" w:hAnsi="Times New Roman"/>
        </w:rPr>
        <w:t xml:space="preserve">. </w:t>
      </w:r>
      <w:r w:rsidR="003F27DC" w:rsidRPr="004156A9">
        <w:rPr>
          <w:rFonts w:ascii="Times New Roman" w:hAnsi="Times New Roman"/>
        </w:rPr>
        <w:t xml:space="preserve">She </w:t>
      </w:r>
      <w:r w:rsidR="00671C0B" w:rsidRPr="004156A9">
        <w:rPr>
          <w:rFonts w:ascii="Times New Roman" w:hAnsi="Times New Roman"/>
        </w:rPr>
        <w:t xml:space="preserve">argues strongly </w:t>
      </w:r>
      <w:r w:rsidR="003F27DC" w:rsidRPr="004156A9">
        <w:rPr>
          <w:rFonts w:ascii="Times New Roman" w:hAnsi="Times New Roman"/>
        </w:rPr>
        <w:t xml:space="preserve">that </w:t>
      </w:r>
      <w:r w:rsidR="004156A9">
        <w:rPr>
          <w:rFonts w:ascii="Times New Roman" w:hAnsi="Times New Roman"/>
        </w:rPr>
        <w:t>c</w:t>
      </w:r>
      <w:r w:rsidR="003F27DC" w:rsidRPr="004156A9">
        <w:rPr>
          <w:rFonts w:ascii="Times New Roman" w:hAnsi="Times New Roman"/>
        </w:rPr>
        <w:t xml:space="preserve">ritical </w:t>
      </w:r>
      <w:r w:rsidR="004156A9">
        <w:rPr>
          <w:rFonts w:ascii="Times New Roman" w:hAnsi="Times New Roman"/>
        </w:rPr>
        <w:t>r</w:t>
      </w:r>
      <w:r w:rsidR="003F27DC" w:rsidRPr="004156A9">
        <w:rPr>
          <w:rFonts w:ascii="Times New Roman" w:hAnsi="Times New Roman"/>
        </w:rPr>
        <w:t xml:space="preserve">ealism can provide a productive framework for theorising academic development and so contribute to the further development of expertise in learning to teach in higher education. </w:t>
      </w:r>
    </w:p>
    <w:p w:rsidR="003A43F8" w:rsidRPr="004156A9" w:rsidRDefault="003A43F8" w:rsidP="00BA40CB">
      <w:pPr>
        <w:rPr>
          <w:rFonts w:ascii="Times New Roman" w:hAnsi="Times New Roman"/>
        </w:rPr>
      </w:pPr>
    </w:p>
    <w:p w:rsidR="003A43F8" w:rsidRPr="004156A9" w:rsidRDefault="00036737" w:rsidP="00BA40CB">
      <w:pPr>
        <w:rPr>
          <w:rFonts w:ascii="Times New Roman" w:hAnsi="Times New Roman"/>
        </w:rPr>
      </w:pPr>
      <w:r w:rsidRPr="004156A9">
        <w:rPr>
          <w:rFonts w:ascii="Times New Roman" w:hAnsi="Times New Roman"/>
        </w:rPr>
        <w:t xml:space="preserve">Chris </w:t>
      </w:r>
      <w:r w:rsidR="005705CF" w:rsidRPr="004156A9">
        <w:rPr>
          <w:rFonts w:ascii="Times New Roman" w:hAnsi="Times New Roman"/>
        </w:rPr>
        <w:t xml:space="preserve">Winberg (Chapter </w:t>
      </w:r>
      <w:r w:rsidR="003A43F8" w:rsidRPr="004156A9">
        <w:rPr>
          <w:rFonts w:ascii="Times New Roman" w:hAnsi="Times New Roman"/>
        </w:rPr>
        <w:t>11</w:t>
      </w:r>
      <w:r w:rsidR="005705CF" w:rsidRPr="004156A9">
        <w:rPr>
          <w:rFonts w:ascii="Times New Roman" w:hAnsi="Times New Roman"/>
        </w:rPr>
        <w:t xml:space="preserve">) emphasises </w:t>
      </w:r>
      <w:r w:rsidR="003A43F8" w:rsidRPr="004156A9">
        <w:rPr>
          <w:rFonts w:ascii="Times New Roman" w:hAnsi="Times New Roman"/>
        </w:rPr>
        <w:t>the</w:t>
      </w:r>
      <w:r w:rsidR="005705CF" w:rsidRPr="004156A9">
        <w:rPr>
          <w:rFonts w:ascii="Times New Roman" w:hAnsi="Times New Roman"/>
        </w:rPr>
        <w:t xml:space="preserve"> distributed nature of teaching expertise</w:t>
      </w:r>
      <w:r w:rsidR="00FF0088" w:rsidRPr="004156A9">
        <w:rPr>
          <w:rFonts w:ascii="Times New Roman" w:hAnsi="Times New Roman"/>
        </w:rPr>
        <w:t xml:space="preserve"> and</w:t>
      </w:r>
      <w:r w:rsidR="005705CF" w:rsidRPr="004156A9">
        <w:rPr>
          <w:rFonts w:ascii="Times New Roman" w:hAnsi="Times New Roman"/>
        </w:rPr>
        <w:t xml:space="preserve"> shows how the apparent</w:t>
      </w:r>
      <w:r w:rsidR="000E0456" w:rsidRPr="004156A9">
        <w:rPr>
          <w:rFonts w:ascii="Times New Roman" w:hAnsi="Times New Roman"/>
        </w:rPr>
        <w:t xml:space="preserve"> individual </w:t>
      </w:r>
      <w:r w:rsidR="005705CF" w:rsidRPr="004156A9">
        <w:rPr>
          <w:rFonts w:ascii="Times New Roman" w:hAnsi="Times New Roman"/>
        </w:rPr>
        <w:t>expertise of teachers is actually part of collaborative</w:t>
      </w:r>
      <w:r w:rsidR="000E0456" w:rsidRPr="004156A9">
        <w:rPr>
          <w:rFonts w:ascii="Times New Roman" w:hAnsi="Times New Roman"/>
        </w:rPr>
        <w:t xml:space="preserve"> and collective</w:t>
      </w:r>
      <w:r w:rsidR="005705CF" w:rsidRPr="004156A9">
        <w:rPr>
          <w:rFonts w:ascii="Times New Roman" w:hAnsi="Times New Roman"/>
        </w:rPr>
        <w:t xml:space="preserve"> networks. The </w:t>
      </w:r>
      <w:r w:rsidR="003A43F8" w:rsidRPr="004156A9">
        <w:rPr>
          <w:rFonts w:ascii="Times New Roman" w:hAnsi="Times New Roman"/>
        </w:rPr>
        <w:t xml:space="preserve">participants in the </w:t>
      </w:r>
      <w:r w:rsidR="005705CF" w:rsidRPr="004156A9">
        <w:rPr>
          <w:rFonts w:ascii="Times New Roman" w:hAnsi="Times New Roman"/>
        </w:rPr>
        <w:t xml:space="preserve">interviews in Winberg’s chapter highlight the importance of </w:t>
      </w:r>
      <w:r w:rsidR="003A43F8" w:rsidRPr="004156A9">
        <w:rPr>
          <w:rFonts w:ascii="Times New Roman" w:hAnsi="Times New Roman"/>
        </w:rPr>
        <w:t>dialogue</w:t>
      </w:r>
      <w:r w:rsidR="005705CF" w:rsidRPr="004156A9">
        <w:rPr>
          <w:rFonts w:ascii="Times New Roman" w:hAnsi="Times New Roman"/>
        </w:rPr>
        <w:t xml:space="preserve"> with supportive peers </w:t>
      </w:r>
      <w:r w:rsidR="00FF0088" w:rsidRPr="004156A9">
        <w:rPr>
          <w:rFonts w:ascii="Times New Roman" w:hAnsi="Times New Roman"/>
        </w:rPr>
        <w:t xml:space="preserve">that support </w:t>
      </w:r>
      <w:r w:rsidR="005705CF" w:rsidRPr="004156A9">
        <w:rPr>
          <w:rFonts w:ascii="Times New Roman" w:hAnsi="Times New Roman"/>
        </w:rPr>
        <w:t xml:space="preserve">teachers </w:t>
      </w:r>
      <w:r w:rsidR="00FF0088" w:rsidRPr="004156A9">
        <w:rPr>
          <w:rFonts w:ascii="Times New Roman" w:hAnsi="Times New Roman"/>
        </w:rPr>
        <w:t xml:space="preserve">in </w:t>
      </w:r>
      <w:r w:rsidR="005705CF" w:rsidRPr="004156A9">
        <w:rPr>
          <w:rFonts w:ascii="Times New Roman" w:hAnsi="Times New Roman"/>
        </w:rPr>
        <w:t>ma</w:t>
      </w:r>
      <w:r w:rsidR="00FF0088" w:rsidRPr="004156A9">
        <w:rPr>
          <w:rFonts w:ascii="Times New Roman" w:hAnsi="Times New Roman"/>
        </w:rPr>
        <w:t>king</w:t>
      </w:r>
      <w:r w:rsidR="005705CF" w:rsidRPr="004156A9">
        <w:rPr>
          <w:rFonts w:ascii="Times New Roman" w:hAnsi="Times New Roman"/>
        </w:rPr>
        <w:t xml:space="preserve"> professional judgements that </w:t>
      </w:r>
      <w:r w:rsidR="00FF0088" w:rsidRPr="004156A9">
        <w:rPr>
          <w:rFonts w:ascii="Times New Roman" w:hAnsi="Times New Roman"/>
        </w:rPr>
        <w:t>go</w:t>
      </w:r>
      <w:r w:rsidR="005705CF" w:rsidRPr="004156A9">
        <w:rPr>
          <w:rFonts w:ascii="Times New Roman" w:hAnsi="Times New Roman"/>
        </w:rPr>
        <w:t xml:space="preserve"> against </w:t>
      </w:r>
      <w:r w:rsidR="0090527C" w:rsidRPr="004156A9">
        <w:rPr>
          <w:rFonts w:ascii="Times New Roman" w:hAnsi="Times New Roman"/>
        </w:rPr>
        <w:t xml:space="preserve">dominant </w:t>
      </w:r>
      <w:r w:rsidR="005705CF" w:rsidRPr="004156A9">
        <w:rPr>
          <w:rFonts w:ascii="Times New Roman" w:hAnsi="Times New Roman"/>
        </w:rPr>
        <w:t xml:space="preserve">discourses. </w:t>
      </w:r>
      <w:r w:rsidR="003A43F8" w:rsidRPr="004156A9">
        <w:rPr>
          <w:rFonts w:ascii="Times New Roman" w:hAnsi="Times New Roman"/>
        </w:rPr>
        <w:t xml:space="preserve">The importance of dialogue is also highlighted </w:t>
      </w:r>
      <w:r w:rsidR="004156A9">
        <w:rPr>
          <w:rFonts w:ascii="Times New Roman" w:hAnsi="Times New Roman"/>
        </w:rPr>
        <w:t>in</w:t>
      </w:r>
      <w:r w:rsidR="003A43F8" w:rsidRPr="004156A9">
        <w:rPr>
          <w:rFonts w:ascii="Times New Roman" w:hAnsi="Times New Roman"/>
        </w:rPr>
        <w:t xml:space="preserve"> </w:t>
      </w:r>
      <w:r w:rsidR="006165DE" w:rsidRPr="004156A9">
        <w:rPr>
          <w:rFonts w:ascii="Times New Roman" w:hAnsi="Times New Roman"/>
        </w:rPr>
        <w:t xml:space="preserve">the two chapters that examine crossover perspectives. </w:t>
      </w:r>
      <w:r w:rsidRPr="004156A9">
        <w:rPr>
          <w:rFonts w:ascii="Times New Roman" w:hAnsi="Times New Roman"/>
        </w:rPr>
        <w:t xml:space="preserve">Brenda </w:t>
      </w:r>
      <w:r w:rsidR="006165DE" w:rsidRPr="004156A9">
        <w:rPr>
          <w:rFonts w:ascii="Times New Roman" w:hAnsi="Times New Roman"/>
        </w:rPr>
        <w:t xml:space="preserve">Leibowitz (Chapter 12) and </w:t>
      </w:r>
      <w:r w:rsidRPr="004156A9">
        <w:rPr>
          <w:rFonts w:ascii="Times New Roman" w:hAnsi="Times New Roman"/>
        </w:rPr>
        <w:t xml:space="preserve">John </w:t>
      </w:r>
      <w:r w:rsidR="003A43F8" w:rsidRPr="004156A9">
        <w:rPr>
          <w:rFonts w:ascii="Times New Roman" w:hAnsi="Times New Roman"/>
        </w:rPr>
        <w:t xml:space="preserve">Hannon et al. (Chapter 13), </w:t>
      </w:r>
      <w:r w:rsidR="006165DE" w:rsidRPr="004156A9">
        <w:rPr>
          <w:rFonts w:ascii="Times New Roman" w:hAnsi="Times New Roman"/>
        </w:rPr>
        <w:t xml:space="preserve">both emphasise the power of </w:t>
      </w:r>
      <w:r w:rsidR="003A43F8" w:rsidRPr="004156A9">
        <w:rPr>
          <w:rFonts w:ascii="Times New Roman" w:hAnsi="Times New Roman"/>
        </w:rPr>
        <w:t xml:space="preserve">dialogue between different ways of analysing the same situation. </w:t>
      </w:r>
      <w:r w:rsidR="006165DE" w:rsidRPr="004156A9">
        <w:rPr>
          <w:rFonts w:ascii="Times New Roman" w:hAnsi="Times New Roman"/>
        </w:rPr>
        <w:t>B</w:t>
      </w:r>
      <w:r w:rsidR="003A43F8" w:rsidRPr="004156A9">
        <w:rPr>
          <w:rFonts w:ascii="Times New Roman" w:hAnsi="Times New Roman"/>
        </w:rPr>
        <w:t xml:space="preserve">eing able to see the same situation from multiple perspectives </w:t>
      </w:r>
      <w:r w:rsidR="006165DE" w:rsidRPr="004156A9">
        <w:rPr>
          <w:rFonts w:ascii="Times New Roman" w:hAnsi="Times New Roman"/>
        </w:rPr>
        <w:t xml:space="preserve">can strengthen the agency of </w:t>
      </w:r>
      <w:r w:rsidR="003A43F8" w:rsidRPr="004156A9">
        <w:rPr>
          <w:rFonts w:ascii="Times New Roman" w:hAnsi="Times New Roman"/>
        </w:rPr>
        <w:t xml:space="preserve">academics and </w:t>
      </w:r>
      <w:r w:rsidR="006165DE" w:rsidRPr="004156A9">
        <w:rPr>
          <w:rFonts w:ascii="Times New Roman" w:hAnsi="Times New Roman"/>
        </w:rPr>
        <w:t>support them in devel</w:t>
      </w:r>
      <w:r w:rsidR="003A43F8" w:rsidRPr="004156A9">
        <w:rPr>
          <w:rFonts w:ascii="Times New Roman" w:hAnsi="Times New Roman"/>
        </w:rPr>
        <w:t>o</w:t>
      </w:r>
      <w:r w:rsidR="006165DE" w:rsidRPr="004156A9">
        <w:rPr>
          <w:rFonts w:ascii="Times New Roman" w:hAnsi="Times New Roman"/>
        </w:rPr>
        <w:t xml:space="preserve">ping new </w:t>
      </w:r>
      <w:r w:rsidR="003A43F8" w:rsidRPr="004156A9">
        <w:rPr>
          <w:rFonts w:ascii="Times New Roman" w:hAnsi="Times New Roman"/>
        </w:rPr>
        <w:t>practic</w:t>
      </w:r>
      <w:r w:rsidR="006165DE" w:rsidRPr="004156A9">
        <w:rPr>
          <w:rFonts w:ascii="Times New Roman" w:hAnsi="Times New Roman"/>
        </w:rPr>
        <w:t>es</w:t>
      </w:r>
      <w:r w:rsidR="003A43F8" w:rsidRPr="004156A9">
        <w:rPr>
          <w:rFonts w:ascii="Times New Roman" w:hAnsi="Times New Roman"/>
        </w:rPr>
        <w:t xml:space="preserve">. </w:t>
      </w:r>
      <w:r w:rsidR="004053CC" w:rsidRPr="004156A9">
        <w:rPr>
          <w:rFonts w:ascii="Times New Roman" w:hAnsi="Times New Roman"/>
        </w:rPr>
        <w:t xml:space="preserve">Tara </w:t>
      </w:r>
      <w:r w:rsidR="006165DE" w:rsidRPr="004156A9">
        <w:rPr>
          <w:rFonts w:ascii="Times New Roman" w:hAnsi="Times New Roman"/>
        </w:rPr>
        <w:t xml:space="preserve">Fenwick and </w:t>
      </w:r>
      <w:r w:rsidR="004053CC" w:rsidRPr="004156A9">
        <w:rPr>
          <w:rFonts w:ascii="Times New Roman" w:hAnsi="Times New Roman"/>
        </w:rPr>
        <w:t xml:space="preserve">Richard </w:t>
      </w:r>
      <w:r w:rsidR="006165DE" w:rsidRPr="004156A9">
        <w:rPr>
          <w:rFonts w:ascii="Times New Roman" w:hAnsi="Times New Roman"/>
        </w:rPr>
        <w:t xml:space="preserve">Edwards (Chapter 1) persuasively argue that the development of new practices is crucial, that we need to go beyond critique in order to experiment with alternative arrangements </w:t>
      </w:r>
      <w:r w:rsidR="00B56FCD" w:rsidRPr="004156A9">
        <w:rPr>
          <w:rFonts w:ascii="Times New Roman" w:hAnsi="Times New Roman"/>
        </w:rPr>
        <w:t xml:space="preserve">and to disrupt dominant practices. </w:t>
      </w:r>
    </w:p>
    <w:p w:rsidR="00B56FCD" w:rsidRPr="004156A9" w:rsidRDefault="00B56FCD" w:rsidP="00BA40CB">
      <w:pPr>
        <w:rPr>
          <w:rFonts w:ascii="Times New Roman" w:hAnsi="Times New Roman"/>
        </w:rPr>
      </w:pPr>
    </w:p>
    <w:p w:rsidR="006165DE" w:rsidRPr="004156A9" w:rsidRDefault="006165DE" w:rsidP="00BA40CB">
      <w:pPr>
        <w:rPr>
          <w:rFonts w:ascii="Times New Roman" w:hAnsi="Times New Roman"/>
        </w:rPr>
      </w:pPr>
      <w:r w:rsidRPr="004156A9">
        <w:rPr>
          <w:rFonts w:ascii="Times New Roman" w:hAnsi="Times New Roman"/>
        </w:rPr>
        <w:t xml:space="preserve">The ways in which alternative ways of seeing can lead to new practices is powerfully illustrated by </w:t>
      </w:r>
      <w:r w:rsidR="00036737" w:rsidRPr="004156A9">
        <w:rPr>
          <w:rFonts w:ascii="Times New Roman" w:hAnsi="Times New Roman"/>
        </w:rPr>
        <w:t xml:space="preserve">Vivienne </w:t>
      </w:r>
      <w:r w:rsidRPr="004156A9">
        <w:rPr>
          <w:rFonts w:ascii="Times New Roman" w:hAnsi="Times New Roman"/>
        </w:rPr>
        <w:t xml:space="preserve">Bozalek and </w:t>
      </w:r>
      <w:r w:rsidR="00036737" w:rsidRPr="004156A9">
        <w:rPr>
          <w:rFonts w:ascii="Times New Roman" w:hAnsi="Times New Roman"/>
        </w:rPr>
        <w:t xml:space="preserve">Wendy </w:t>
      </w:r>
      <w:r w:rsidRPr="004156A9">
        <w:rPr>
          <w:rFonts w:ascii="Times New Roman" w:hAnsi="Times New Roman"/>
        </w:rPr>
        <w:t xml:space="preserve">McMillan (Chapter 3) in their consideration of senior managers’ entanglements with learning to teach. Through the analysis of a single interview in which the participant develops new categories in which to understand higher education institutions, they highlight how a critical aspect of the expertise of academic developers is to be able to provide contexts in which teachers can see alternative ways of understanding how to introduce students to powerful knowledge. </w:t>
      </w:r>
    </w:p>
    <w:p w:rsidR="006165DE" w:rsidRPr="004156A9" w:rsidRDefault="006165DE" w:rsidP="00BA40CB">
      <w:pPr>
        <w:rPr>
          <w:rFonts w:ascii="Times New Roman" w:hAnsi="Times New Roman"/>
          <w:i/>
        </w:rPr>
      </w:pPr>
    </w:p>
    <w:p w:rsidR="00506068" w:rsidRPr="004156A9" w:rsidRDefault="005705CF" w:rsidP="00BA40CB">
      <w:pPr>
        <w:rPr>
          <w:rFonts w:ascii="Times New Roman" w:hAnsi="Times New Roman"/>
        </w:rPr>
      </w:pPr>
      <w:r w:rsidRPr="004156A9">
        <w:rPr>
          <w:rFonts w:ascii="Times New Roman" w:hAnsi="Times New Roman"/>
        </w:rPr>
        <w:t xml:space="preserve">However, </w:t>
      </w:r>
      <w:r w:rsidR="00B56FCD" w:rsidRPr="004156A9">
        <w:rPr>
          <w:rFonts w:ascii="Times New Roman" w:hAnsi="Times New Roman"/>
        </w:rPr>
        <w:t>whilst these chapters give a rich sense of some of the elements of the expertise of academic developers, they do not focus on the sources of knowledge that underpin this expertise. I</w:t>
      </w:r>
      <w:r w:rsidR="00506068" w:rsidRPr="004156A9">
        <w:rPr>
          <w:rFonts w:ascii="Times New Roman" w:hAnsi="Times New Roman"/>
        </w:rPr>
        <w:t xml:space="preserve">n Chapter 7, </w:t>
      </w:r>
      <w:r w:rsidR="00036737" w:rsidRPr="004156A9">
        <w:rPr>
          <w:rFonts w:ascii="Times New Roman" w:hAnsi="Times New Roman"/>
        </w:rPr>
        <w:t xml:space="preserve">Tai </w:t>
      </w:r>
      <w:r w:rsidR="00506068" w:rsidRPr="004156A9">
        <w:rPr>
          <w:rFonts w:ascii="Times New Roman" w:hAnsi="Times New Roman"/>
        </w:rPr>
        <w:t xml:space="preserve">Peseta and </w:t>
      </w:r>
      <w:r w:rsidR="00036737" w:rsidRPr="004156A9">
        <w:rPr>
          <w:rFonts w:ascii="Times New Roman" w:hAnsi="Times New Roman"/>
        </w:rPr>
        <w:t xml:space="preserve">Simon </w:t>
      </w:r>
      <w:r w:rsidR="00506068" w:rsidRPr="004156A9">
        <w:rPr>
          <w:rFonts w:ascii="Times New Roman" w:hAnsi="Times New Roman"/>
        </w:rPr>
        <w:t xml:space="preserve">Barrie </w:t>
      </w:r>
      <w:r w:rsidRPr="004156A9">
        <w:rPr>
          <w:rFonts w:ascii="Times New Roman" w:hAnsi="Times New Roman"/>
        </w:rPr>
        <w:t xml:space="preserve">argue that the knowledge base we have about effective teaching in higher education needs to be distinguished from our knowledge of how to support teachers in developing their teaching. In other words they highlight the </w:t>
      </w:r>
      <w:r w:rsidRPr="004156A9">
        <w:rPr>
          <w:rFonts w:ascii="Times New Roman" w:hAnsi="Times New Roman"/>
        </w:rPr>
        <w:lastRenderedPageBreak/>
        <w:t xml:space="preserve">difference between knowledge about teaching and knowledge about how to support others to teach (academic development). They argue that there is far less </w:t>
      </w:r>
      <w:r w:rsidR="00506068" w:rsidRPr="004156A9">
        <w:rPr>
          <w:rFonts w:ascii="Times New Roman" w:hAnsi="Times New Roman"/>
        </w:rPr>
        <w:t>a</w:t>
      </w:r>
      <w:r w:rsidRPr="004156A9">
        <w:rPr>
          <w:rFonts w:ascii="Times New Roman" w:hAnsi="Times New Roman"/>
        </w:rPr>
        <w:t xml:space="preserve">n organised </w:t>
      </w:r>
      <w:r w:rsidR="00506068" w:rsidRPr="004156A9">
        <w:rPr>
          <w:rFonts w:ascii="Times New Roman" w:hAnsi="Times New Roman"/>
        </w:rPr>
        <w:t xml:space="preserve">body of knowledge that underpins academic development, suggesting that it is distributed </w:t>
      </w:r>
      <w:r w:rsidRPr="004156A9">
        <w:rPr>
          <w:rFonts w:ascii="Times New Roman" w:hAnsi="Times New Roman"/>
        </w:rPr>
        <w:t>across a range of sources and contexts. This, added to the v</w:t>
      </w:r>
      <w:r w:rsidR="00506068" w:rsidRPr="004156A9">
        <w:rPr>
          <w:rFonts w:ascii="Times New Roman" w:hAnsi="Times New Roman"/>
        </w:rPr>
        <w:t xml:space="preserve">ariety of paths to becoming an academic developer, leads newcomers to the field to have to learn on the job. They argue that newcomers to the field need to be inducted </w:t>
      </w:r>
      <w:r w:rsidR="0090527C" w:rsidRPr="004156A9">
        <w:rPr>
          <w:rFonts w:ascii="Times New Roman" w:hAnsi="Times New Roman"/>
        </w:rPr>
        <w:t>in</w:t>
      </w:r>
      <w:r w:rsidR="00506068" w:rsidRPr="004156A9">
        <w:rPr>
          <w:rFonts w:ascii="Times New Roman" w:hAnsi="Times New Roman"/>
        </w:rPr>
        <w:t xml:space="preserve">to an ethic of care for the field, which they argue is captured by the notion of ‘stewardship’. </w:t>
      </w:r>
    </w:p>
    <w:p w:rsidR="00506068" w:rsidRPr="004156A9" w:rsidRDefault="00506068" w:rsidP="00BA40CB">
      <w:pPr>
        <w:rPr>
          <w:rFonts w:ascii="Times New Roman" w:hAnsi="Times New Roman"/>
        </w:rPr>
      </w:pPr>
    </w:p>
    <w:p w:rsidR="00540359" w:rsidRPr="004156A9" w:rsidRDefault="00457DAC" w:rsidP="00BA40CB">
      <w:pPr>
        <w:rPr>
          <w:rFonts w:ascii="Times New Roman" w:hAnsi="Times New Roman"/>
        </w:rPr>
      </w:pPr>
      <w:r w:rsidRPr="004156A9">
        <w:rPr>
          <w:rFonts w:ascii="Times New Roman" w:hAnsi="Times New Roman"/>
        </w:rPr>
        <w:t>Together the contributions to this book highlight the importance of collective dialogue as an aspect of the expertise of academic development. However, they also highlight the fragmented sense of the sources of knowledge that underpin academic de</w:t>
      </w:r>
      <w:r w:rsidR="00B76EA0" w:rsidRPr="004156A9">
        <w:rPr>
          <w:rFonts w:ascii="Times New Roman" w:hAnsi="Times New Roman"/>
        </w:rPr>
        <w:t xml:space="preserve">velopment. </w:t>
      </w:r>
    </w:p>
    <w:p w:rsidR="00B76EA0" w:rsidRPr="00193631" w:rsidRDefault="00B76EA0" w:rsidP="00BA40CB">
      <w:pPr>
        <w:pStyle w:val="Heading2"/>
        <w:rPr>
          <w:rFonts w:ascii="Times New Roman" w:hAnsi="Times New Roman"/>
          <w:i w:val="0"/>
          <w:sz w:val="24"/>
          <w:szCs w:val="24"/>
        </w:rPr>
      </w:pPr>
      <w:r w:rsidRPr="00193631">
        <w:rPr>
          <w:rFonts w:ascii="Times New Roman" w:hAnsi="Times New Roman"/>
          <w:i w:val="0"/>
          <w:sz w:val="24"/>
          <w:szCs w:val="24"/>
        </w:rPr>
        <w:t>What is left unsaid about learning to teach to in higher education?</w:t>
      </w:r>
    </w:p>
    <w:p w:rsidR="007C7DE9" w:rsidRPr="004156A9" w:rsidRDefault="007C7DE9" w:rsidP="00BA40CB">
      <w:pPr>
        <w:rPr>
          <w:rFonts w:ascii="Times New Roman" w:hAnsi="Times New Roman"/>
        </w:rPr>
      </w:pPr>
      <w:r w:rsidRPr="004156A9">
        <w:rPr>
          <w:rFonts w:ascii="Times New Roman" w:hAnsi="Times New Roman"/>
        </w:rPr>
        <w:t>Clearly any single text can only offer a partial view of learning to teach in higher education. This means that inevitably there are aspects of learning to teach that are not fully considered</w:t>
      </w:r>
      <w:r w:rsidR="00E207C1" w:rsidRPr="004156A9">
        <w:rPr>
          <w:rFonts w:ascii="Times New Roman" w:hAnsi="Times New Roman"/>
        </w:rPr>
        <w:t xml:space="preserve"> by the contributions to this book</w:t>
      </w:r>
      <w:r w:rsidRPr="004156A9">
        <w:rPr>
          <w:rFonts w:ascii="Times New Roman" w:hAnsi="Times New Roman"/>
        </w:rPr>
        <w:t xml:space="preserve">. In this section I consider what is left unsaid about learning to teach </w:t>
      </w:r>
      <w:r w:rsidR="00726500" w:rsidRPr="004156A9">
        <w:rPr>
          <w:rFonts w:ascii="Times New Roman" w:hAnsi="Times New Roman"/>
        </w:rPr>
        <w:t xml:space="preserve">before concluding this chapter with a discussion of the possibilities the contributions to this book </w:t>
      </w:r>
      <w:r w:rsidRPr="004156A9">
        <w:rPr>
          <w:rFonts w:ascii="Times New Roman" w:hAnsi="Times New Roman"/>
        </w:rPr>
        <w:t>open up possibilities for future work.</w:t>
      </w:r>
    </w:p>
    <w:p w:rsidR="007C7DE9" w:rsidRPr="004156A9" w:rsidRDefault="007C7DE9" w:rsidP="00BA40CB">
      <w:pPr>
        <w:rPr>
          <w:rFonts w:ascii="Times New Roman" w:hAnsi="Times New Roman"/>
        </w:rPr>
      </w:pPr>
    </w:p>
    <w:p w:rsidR="00302A93" w:rsidRPr="004156A9" w:rsidRDefault="007C7DE9" w:rsidP="00BA40CB">
      <w:pPr>
        <w:rPr>
          <w:rFonts w:ascii="Times New Roman" w:hAnsi="Times New Roman"/>
        </w:rPr>
      </w:pPr>
      <w:r w:rsidRPr="004156A9">
        <w:rPr>
          <w:rFonts w:ascii="Times New Roman" w:hAnsi="Times New Roman"/>
        </w:rPr>
        <w:t xml:space="preserve"> The first element that I want to consider is the nature of the underpinning knowledge of the expertise of academic development. As I discussed in the previous section, whilst there </w:t>
      </w:r>
      <w:r w:rsidR="000E0456" w:rsidRPr="004156A9">
        <w:rPr>
          <w:rFonts w:ascii="Times New Roman" w:hAnsi="Times New Roman"/>
        </w:rPr>
        <w:t>i</w:t>
      </w:r>
      <w:r w:rsidRPr="004156A9">
        <w:rPr>
          <w:rFonts w:ascii="Times New Roman" w:hAnsi="Times New Roman"/>
        </w:rPr>
        <w:t xml:space="preserve">s a rich discussion of the knowledge that underpins our understanding of teaching in higher education, there </w:t>
      </w:r>
      <w:r w:rsidR="000E0456" w:rsidRPr="004156A9">
        <w:rPr>
          <w:rFonts w:ascii="Times New Roman" w:hAnsi="Times New Roman"/>
        </w:rPr>
        <w:t>i</w:t>
      </w:r>
      <w:r w:rsidRPr="004156A9">
        <w:rPr>
          <w:rFonts w:ascii="Times New Roman" w:hAnsi="Times New Roman"/>
        </w:rPr>
        <w:t xml:space="preserve">s less discussion of the underpinning knowledge of </w:t>
      </w:r>
      <w:r w:rsidR="007E10F9" w:rsidRPr="004156A9">
        <w:rPr>
          <w:rFonts w:ascii="Times New Roman" w:hAnsi="Times New Roman"/>
        </w:rPr>
        <w:t xml:space="preserve">learning to teach as well as </w:t>
      </w:r>
      <w:r w:rsidRPr="004156A9">
        <w:rPr>
          <w:rFonts w:ascii="Times New Roman" w:hAnsi="Times New Roman"/>
        </w:rPr>
        <w:t xml:space="preserve">academic development </w:t>
      </w:r>
      <w:r w:rsidR="007E10F9" w:rsidRPr="004156A9">
        <w:rPr>
          <w:rFonts w:ascii="Times New Roman" w:hAnsi="Times New Roman"/>
        </w:rPr>
        <w:t>more generally</w:t>
      </w:r>
      <w:r w:rsidRPr="004156A9">
        <w:rPr>
          <w:rFonts w:ascii="Times New Roman" w:hAnsi="Times New Roman"/>
        </w:rPr>
        <w:t xml:space="preserve">. </w:t>
      </w:r>
      <w:r w:rsidR="00FF0088" w:rsidRPr="004156A9">
        <w:rPr>
          <w:rFonts w:ascii="Times New Roman" w:hAnsi="Times New Roman"/>
        </w:rPr>
        <w:t xml:space="preserve">This is understandable because the </w:t>
      </w:r>
      <w:r w:rsidRPr="004156A9">
        <w:rPr>
          <w:rFonts w:ascii="Times New Roman" w:hAnsi="Times New Roman"/>
        </w:rPr>
        <w:t xml:space="preserve">focus </w:t>
      </w:r>
      <w:r w:rsidR="00FF0088" w:rsidRPr="004156A9">
        <w:rPr>
          <w:rFonts w:ascii="Times New Roman" w:hAnsi="Times New Roman"/>
        </w:rPr>
        <w:t xml:space="preserve">in many chapters is on how </w:t>
      </w:r>
      <w:r w:rsidRPr="004156A9">
        <w:rPr>
          <w:rFonts w:ascii="Times New Roman" w:hAnsi="Times New Roman"/>
        </w:rPr>
        <w:t xml:space="preserve">what we know about teaching </w:t>
      </w:r>
      <w:r w:rsidR="00FF0088" w:rsidRPr="004156A9">
        <w:rPr>
          <w:rFonts w:ascii="Times New Roman" w:hAnsi="Times New Roman"/>
        </w:rPr>
        <w:t xml:space="preserve">can inform how we support </w:t>
      </w:r>
      <w:r w:rsidRPr="004156A9">
        <w:rPr>
          <w:rFonts w:ascii="Times New Roman" w:hAnsi="Times New Roman"/>
        </w:rPr>
        <w:t>academics</w:t>
      </w:r>
      <w:r w:rsidR="00193631">
        <w:rPr>
          <w:rFonts w:ascii="Times New Roman" w:hAnsi="Times New Roman"/>
        </w:rPr>
        <w:t>,</w:t>
      </w:r>
      <w:r w:rsidRPr="004156A9">
        <w:rPr>
          <w:rFonts w:ascii="Times New Roman" w:hAnsi="Times New Roman"/>
        </w:rPr>
        <w:t xml:space="preserve"> </w:t>
      </w:r>
      <w:r w:rsidR="00FF0088" w:rsidRPr="004156A9">
        <w:rPr>
          <w:rFonts w:ascii="Times New Roman" w:hAnsi="Times New Roman"/>
        </w:rPr>
        <w:t xml:space="preserve">who are </w:t>
      </w:r>
      <w:r w:rsidRPr="004156A9">
        <w:rPr>
          <w:rFonts w:ascii="Times New Roman" w:hAnsi="Times New Roman"/>
        </w:rPr>
        <w:t>learn</w:t>
      </w:r>
      <w:r w:rsidR="00FF0088" w:rsidRPr="004156A9">
        <w:rPr>
          <w:rFonts w:ascii="Times New Roman" w:hAnsi="Times New Roman"/>
        </w:rPr>
        <w:t>ing</w:t>
      </w:r>
      <w:r w:rsidRPr="004156A9">
        <w:rPr>
          <w:rFonts w:ascii="Times New Roman" w:hAnsi="Times New Roman"/>
        </w:rPr>
        <w:t xml:space="preserve"> to teach. </w:t>
      </w:r>
      <w:r w:rsidR="00FF0088" w:rsidRPr="004156A9">
        <w:rPr>
          <w:rFonts w:ascii="Times New Roman" w:hAnsi="Times New Roman"/>
        </w:rPr>
        <w:t xml:space="preserve">Questions about the knowledge that underpins the expertise of academic developers are </w:t>
      </w:r>
      <w:r w:rsidRPr="004156A9">
        <w:rPr>
          <w:rFonts w:ascii="Times New Roman" w:hAnsi="Times New Roman"/>
        </w:rPr>
        <w:t xml:space="preserve">challenging </w:t>
      </w:r>
      <w:r w:rsidR="00FF0088" w:rsidRPr="004156A9">
        <w:rPr>
          <w:rFonts w:ascii="Times New Roman" w:hAnsi="Times New Roman"/>
        </w:rPr>
        <w:t xml:space="preserve">because </w:t>
      </w:r>
      <w:r w:rsidRPr="004156A9">
        <w:rPr>
          <w:rFonts w:ascii="Times New Roman" w:hAnsi="Times New Roman"/>
        </w:rPr>
        <w:t>academic develop</w:t>
      </w:r>
      <w:r w:rsidR="00FF0088" w:rsidRPr="004156A9">
        <w:rPr>
          <w:rFonts w:ascii="Times New Roman" w:hAnsi="Times New Roman"/>
        </w:rPr>
        <w:t>ers</w:t>
      </w:r>
      <w:r w:rsidRPr="004156A9">
        <w:rPr>
          <w:rFonts w:ascii="Times New Roman" w:hAnsi="Times New Roman"/>
        </w:rPr>
        <w:t xml:space="preserve"> often</w:t>
      </w:r>
      <w:r w:rsidR="000E0456" w:rsidRPr="004156A9">
        <w:rPr>
          <w:rFonts w:ascii="Times New Roman" w:hAnsi="Times New Roman"/>
        </w:rPr>
        <w:t xml:space="preserve"> work</w:t>
      </w:r>
      <w:r w:rsidRPr="004156A9">
        <w:rPr>
          <w:rFonts w:ascii="Times New Roman" w:hAnsi="Times New Roman"/>
        </w:rPr>
        <w:t xml:space="preserve"> with academics</w:t>
      </w:r>
      <w:r w:rsidR="00193631">
        <w:rPr>
          <w:rFonts w:ascii="Times New Roman" w:hAnsi="Times New Roman"/>
        </w:rPr>
        <w:t>,</w:t>
      </w:r>
      <w:r w:rsidRPr="004156A9">
        <w:rPr>
          <w:rFonts w:ascii="Times New Roman" w:hAnsi="Times New Roman"/>
        </w:rPr>
        <w:t xml:space="preserve"> who are doubtful of the rigour and legitimacy of the knowledge that </w:t>
      </w:r>
      <w:r w:rsidR="00FF0088" w:rsidRPr="004156A9">
        <w:rPr>
          <w:rFonts w:ascii="Times New Roman" w:hAnsi="Times New Roman"/>
        </w:rPr>
        <w:t>they</w:t>
      </w:r>
      <w:r w:rsidRPr="004156A9">
        <w:rPr>
          <w:rFonts w:ascii="Times New Roman" w:hAnsi="Times New Roman"/>
        </w:rPr>
        <w:t xml:space="preserve"> have to offer. What is highlighted in this book is that this needs to be more than just knowledge about effective teaching and learning in higher education. It also needs to be knowledge about how to </w:t>
      </w:r>
      <w:r w:rsidR="00EC5423" w:rsidRPr="004156A9">
        <w:rPr>
          <w:rFonts w:ascii="Times New Roman" w:hAnsi="Times New Roman"/>
        </w:rPr>
        <w:t xml:space="preserve">help academics to understand the nature of effective teaching. As Keith Trigwell and I </w:t>
      </w:r>
      <w:r w:rsidR="000E0456" w:rsidRPr="004156A9">
        <w:rPr>
          <w:rFonts w:ascii="Times New Roman" w:hAnsi="Times New Roman"/>
        </w:rPr>
        <w:t xml:space="preserve">have </w:t>
      </w:r>
      <w:r w:rsidR="00EC5423" w:rsidRPr="004156A9">
        <w:rPr>
          <w:rFonts w:ascii="Times New Roman" w:hAnsi="Times New Roman"/>
        </w:rPr>
        <w:t>argued (Ashwin and Trigwell 2004), this is about the scholarship of academic development rather than simply the scholarship of teaching.</w:t>
      </w:r>
    </w:p>
    <w:p w:rsidR="00EC5423" w:rsidRPr="004156A9" w:rsidRDefault="00EC5423" w:rsidP="00BA40CB">
      <w:pPr>
        <w:rPr>
          <w:rFonts w:ascii="Times New Roman" w:hAnsi="Times New Roman"/>
        </w:rPr>
      </w:pPr>
    </w:p>
    <w:p w:rsidR="00EC5423" w:rsidRPr="004156A9" w:rsidRDefault="00EC5423" w:rsidP="00BA40CB">
      <w:pPr>
        <w:rPr>
          <w:rFonts w:ascii="Times New Roman" w:hAnsi="Times New Roman"/>
        </w:rPr>
      </w:pPr>
      <w:r w:rsidRPr="004156A9">
        <w:rPr>
          <w:rFonts w:ascii="Times New Roman" w:hAnsi="Times New Roman"/>
        </w:rPr>
        <w:t xml:space="preserve">The second element is that whilst there is a rich consideration of the knowledge that underpins our understanding of teaching, there are interesting absences within the knowledge that is referred to. Particularly interesting is the way that </w:t>
      </w:r>
      <w:r w:rsidR="006A770F" w:rsidRPr="004156A9">
        <w:rPr>
          <w:rFonts w:ascii="Times New Roman" w:hAnsi="Times New Roman"/>
        </w:rPr>
        <w:t>previous</w:t>
      </w:r>
      <w:r w:rsidRPr="004156A9">
        <w:rPr>
          <w:rFonts w:ascii="Times New Roman" w:hAnsi="Times New Roman"/>
        </w:rPr>
        <w:t xml:space="preserve"> approaches to understanding learning to teach in higher education are </w:t>
      </w:r>
      <w:r w:rsidR="003F27DC" w:rsidRPr="004156A9">
        <w:rPr>
          <w:rFonts w:ascii="Times New Roman" w:hAnsi="Times New Roman"/>
        </w:rPr>
        <w:t xml:space="preserve">implicitly </w:t>
      </w:r>
      <w:r w:rsidR="006A770F" w:rsidRPr="004156A9">
        <w:rPr>
          <w:rFonts w:ascii="Times New Roman" w:hAnsi="Times New Roman"/>
        </w:rPr>
        <w:t xml:space="preserve">critiqued in their absence. It is important to be clear that I am referring to conceptualisations that informed previous research into teaching and learning in higher education rather than the dominant myths that I discussed earlier. </w:t>
      </w:r>
      <w:r w:rsidR="00D448A1">
        <w:rPr>
          <w:rFonts w:ascii="Times New Roman" w:hAnsi="Times New Roman"/>
        </w:rPr>
        <w:t xml:space="preserve">Outside of the introductory chapter, </w:t>
      </w:r>
      <w:bookmarkStart w:id="0" w:name="_GoBack"/>
      <w:bookmarkEnd w:id="0"/>
      <w:r w:rsidR="00D448A1">
        <w:rPr>
          <w:rFonts w:ascii="Times New Roman" w:hAnsi="Times New Roman"/>
        </w:rPr>
        <w:t>t</w:t>
      </w:r>
      <w:r w:rsidRPr="004156A9">
        <w:rPr>
          <w:rFonts w:ascii="Times New Roman" w:hAnsi="Times New Roman"/>
        </w:rPr>
        <w:t>here is little discussion of the</w:t>
      </w:r>
      <w:r w:rsidR="00D448A1">
        <w:rPr>
          <w:rFonts w:ascii="Times New Roman" w:hAnsi="Times New Roman"/>
        </w:rPr>
        <w:t xml:space="preserve"> previous research that chapters are contrasting their approaches with </w:t>
      </w:r>
      <w:r w:rsidR="006A770F" w:rsidRPr="004156A9">
        <w:rPr>
          <w:rFonts w:ascii="Times New Roman" w:hAnsi="Times New Roman"/>
        </w:rPr>
        <w:t>but my understanding is that it</w:t>
      </w:r>
      <w:r w:rsidRPr="004156A9">
        <w:rPr>
          <w:rFonts w:ascii="Times New Roman" w:hAnsi="Times New Roman"/>
        </w:rPr>
        <w:t xml:space="preserve"> is largely the </w:t>
      </w:r>
      <w:r w:rsidR="00F573E6" w:rsidRPr="004156A9">
        <w:rPr>
          <w:rFonts w:ascii="Times New Roman" w:hAnsi="Times New Roman"/>
        </w:rPr>
        <w:t>‘</w:t>
      </w:r>
      <w:r w:rsidRPr="004156A9">
        <w:rPr>
          <w:rFonts w:ascii="Times New Roman" w:hAnsi="Times New Roman"/>
        </w:rPr>
        <w:t xml:space="preserve">approaches to </w:t>
      </w:r>
      <w:r w:rsidR="00F573E6" w:rsidRPr="004156A9">
        <w:rPr>
          <w:rFonts w:ascii="Times New Roman" w:hAnsi="Times New Roman"/>
        </w:rPr>
        <w:t xml:space="preserve">teaching and </w:t>
      </w:r>
      <w:r w:rsidRPr="004156A9">
        <w:rPr>
          <w:rFonts w:ascii="Times New Roman" w:hAnsi="Times New Roman"/>
        </w:rPr>
        <w:t>learning</w:t>
      </w:r>
      <w:r w:rsidR="00F573E6" w:rsidRPr="004156A9">
        <w:rPr>
          <w:rFonts w:ascii="Times New Roman" w:hAnsi="Times New Roman"/>
        </w:rPr>
        <w:t>’</w:t>
      </w:r>
      <w:r w:rsidRPr="004156A9">
        <w:rPr>
          <w:rFonts w:ascii="Times New Roman" w:hAnsi="Times New Roman"/>
        </w:rPr>
        <w:t xml:space="preserve"> literature (see for example </w:t>
      </w:r>
      <w:r w:rsidR="00F573E6" w:rsidRPr="004156A9">
        <w:rPr>
          <w:rFonts w:ascii="Times New Roman" w:hAnsi="Times New Roman"/>
        </w:rPr>
        <w:t>Marton et al, 1997; Prosser and Trigwell 1999)</w:t>
      </w:r>
      <w:r w:rsidR="006A770F" w:rsidRPr="004156A9">
        <w:rPr>
          <w:rFonts w:ascii="Times New Roman" w:hAnsi="Times New Roman"/>
        </w:rPr>
        <w:t xml:space="preserve"> that contributors have in mind. This approach seeks</w:t>
      </w:r>
      <w:r w:rsidR="00F573E6" w:rsidRPr="004156A9">
        <w:rPr>
          <w:rFonts w:ascii="Times New Roman" w:hAnsi="Times New Roman"/>
        </w:rPr>
        <w:t xml:space="preserve"> to understand the ways in which students’ and academics’ perceptions of their teaching and learning environment lead to particular ways of approaching their learning and teaching and particular kinds of learning outcome. However, this is not the only established approach that does not appear. For example, the academic literacies </w:t>
      </w:r>
      <w:r w:rsidR="006A770F" w:rsidRPr="004156A9">
        <w:rPr>
          <w:rFonts w:ascii="Times New Roman" w:hAnsi="Times New Roman"/>
        </w:rPr>
        <w:t xml:space="preserve">approach </w:t>
      </w:r>
      <w:r w:rsidR="00F573E6" w:rsidRPr="004156A9">
        <w:rPr>
          <w:rFonts w:ascii="Times New Roman" w:hAnsi="Times New Roman"/>
        </w:rPr>
        <w:t>(for example, see Lea and Street</w:t>
      </w:r>
      <w:r w:rsidR="000E0456" w:rsidRPr="004156A9">
        <w:rPr>
          <w:rFonts w:ascii="Times New Roman" w:hAnsi="Times New Roman"/>
        </w:rPr>
        <w:t xml:space="preserve"> 1998</w:t>
      </w:r>
      <w:r w:rsidR="00F573E6" w:rsidRPr="004156A9">
        <w:rPr>
          <w:rFonts w:ascii="Times New Roman" w:hAnsi="Times New Roman"/>
        </w:rPr>
        <w:t xml:space="preserve">; Lillis </w:t>
      </w:r>
      <w:r w:rsidR="000E0456" w:rsidRPr="004156A9">
        <w:rPr>
          <w:rFonts w:ascii="Times New Roman" w:hAnsi="Times New Roman"/>
        </w:rPr>
        <w:t>2001</w:t>
      </w:r>
      <w:r w:rsidR="00F573E6" w:rsidRPr="004156A9">
        <w:rPr>
          <w:rFonts w:ascii="Times New Roman" w:hAnsi="Times New Roman"/>
        </w:rPr>
        <w:t>)</w:t>
      </w:r>
      <w:r w:rsidR="006A770F" w:rsidRPr="004156A9">
        <w:rPr>
          <w:rFonts w:ascii="Times New Roman" w:hAnsi="Times New Roman"/>
        </w:rPr>
        <w:t>, which is itself a social practice approach,</w:t>
      </w:r>
      <w:r w:rsidR="00F573E6" w:rsidRPr="004156A9">
        <w:rPr>
          <w:rFonts w:ascii="Times New Roman" w:hAnsi="Times New Roman"/>
        </w:rPr>
        <w:t xml:space="preserve"> is similarly absent.</w:t>
      </w:r>
      <w:r w:rsidR="000E0456" w:rsidRPr="004156A9">
        <w:rPr>
          <w:rFonts w:ascii="Times New Roman" w:hAnsi="Times New Roman"/>
        </w:rPr>
        <w:t xml:space="preserve"> Whilst this approach was initially focused on students’ writing, it offers important insights about the </w:t>
      </w:r>
      <w:r w:rsidR="000E0456" w:rsidRPr="004156A9">
        <w:rPr>
          <w:rFonts w:ascii="Times New Roman" w:hAnsi="Times New Roman"/>
        </w:rPr>
        <w:lastRenderedPageBreak/>
        <w:t xml:space="preserve">ways in which students are taught and assessed in higher education. </w:t>
      </w:r>
      <w:r w:rsidR="00F573E6" w:rsidRPr="004156A9">
        <w:rPr>
          <w:rFonts w:ascii="Times New Roman" w:hAnsi="Times New Roman"/>
        </w:rPr>
        <w:t>It is important to be clear that in many ways th</w:t>
      </w:r>
      <w:r w:rsidR="000E0456" w:rsidRPr="004156A9">
        <w:rPr>
          <w:rFonts w:ascii="Times New Roman" w:hAnsi="Times New Roman"/>
        </w:rPr>
        <w:t xml:space="preserve">e absence of these literatures </w:t>
      </w:r>
      <w:r w:rsidR="00F573E6" w:rsidRPr="004156A9">
        <w:rPr>
          <w:rFonts w:ascii="Times New Roman" w:hAnsi="Times New Roman"/>
        </w:rPr>
        <w:t xml:space="preserve">is to be expected. The purpose of this book is to explore what </w:t>
      </w:r>
      <w:r w:rsidR="003F27DC" w:rsidRPr="004156A9">
        <w:rPr>
          <w:rFonts w:ascii="Times New Roman" w:hAnsi="Times New Roman"/>
        </w:rPr>
        <w:t xml:space="preserve">these </w:t>
      </w:r>
      <w:r w:rsidR="00F573E6" w:rsidRPr="004156A9">
        <w:rPr>
          <w:rFonts w:ascii="Times New Roman" w:hAnsi="Times New Roman"/>
        </w:rPr>
        <w:t>new approaches offer to our understanding of learning to teach in higher education</w:t>
      </w:r>
      <w:r w:rsidR="003F27DC" w:rsidRPr="004156A9">
        <w:rPr>
          <w:rFonts w:ascii="Times New Roman" w:hAnsi="Times New Roman"/>
        </w:rPr>
        <w:t xml:space="preserve"> and to explore some of the challenges of how we draw on theories to support our work</w:t>
      </w:r>
      <w:r w:rsidR="00F573E6" w:rsidRPr="004156A9">
        <w:rPr>
          <w:rFonts w:ascii="Times New Roman" w:hAnsi="Times New Roman"/>
        </w:rPr>
        <w:t>. Thus the book can be seen as mounting an argument for the relevance of these approaches and seeking to show what they can bring to debates around learning to teach in higher education. However, there are a number of issues that are raised by these absences.</w:t>
      </w:r>
    </w:p>
    <w:p w:rsidR="00F573E6" w:rsidRPr="004156A9" w:rsidRDefault="00F573E6" w:rsidP="00BA40CB">
      <w:pPr>
        <w:rPr>
          <w:rFonts w:ascii="Times New Roman" w:hAnsi="Times New Roman"/>
        </w:rPr>
      </w:pPr>
    </w:p>
    <w:p w:rsidR="00F573E6" w:rsidRPr="004156A9" w:rsidRDefault="00F573E6" w:rsidP="00BA40CB">
      <w:pPr>
        <w:rPr>
          <w:rFonts w:ascii="Times New Roman" w:hAnsi="Times New Roman"/>
        </w:rPr>
      </w:pPr>
      <w:r w:rsidRPr="004156A9">
        <w:rPr>
          <w:rFonts w:ascii="Times New Roman" w:hAnsi="Times New Roman"/>
        </w:rPr>
        <w:t xml:space="preserve">First, as I argued earlier, all approaches simplify the social world in order to engage with it. Thus what these new simplifications offer are not more complex understandings of learning to teach in higher education but </w:t>
      </w:r>
      <w:r w:rsidRPr="004156A9">
        <w:rPr>
          <w:rFonts w:ascii="Times New Roman" w:hAnsi="Times New Roman"/>
          <w:i/>
        </w:rPr>
        <w:t>different</w:t>
      </w:r>
      <w:r w:rsidRPr="004156A9">
        <w:rPr>
          <w:rFonts w:ascii="Times New Roman" w:hAnsi="Times New Roman"/>
        </w:rPr>
        <w:t xml:space="preserve"> understandings.  If we are to </w:t>
      </w:r>
      <w:r w:rsidR="00EA2027" w:rsidRPr="004156A9">
        <w:rPr>
          <w:rFonts w:ascii="Times New Roman" w:hAnsi="Times New Roman"/>
        </w:rPr>
        <w:t>understand what these new simplifications offer then we need to be able to compare them with the previous simplifications that have been developed</w:t>
      </w:r>
      <w:r w:rsidR="003F27DC" w:rsidRPr="004156A9">
        <w:rPr>
          <w:rFonts w:ascii="Times New Roman" w:hAnsi="Times New Roman"/>
        </w:rPr>
        <w:t>, as, for example, Leibowitz (2016) does</w:t>
      </w:r>
      <w:r w:rsidR="00EA2027" w:rsidRPr="004156A9">
        <w:rPr>
          <w:rFonts w:ascii="Times New Roman" w:hAnsi="Times New Roman"/>
        </w:rPr>
        <w:t>. Otherwise the danger is that rather than building knowledge we move between different kinds of simplifications without understanding the relations between them</w:t>
      </w:r>
      <w:r w:rsidR="006A770F" w:rsidRPr="004156A9">
        <w:rPr>
          <w:rFonts w:ascii="Times New Roman" w:hAnsi="Times New Roman"/>
        </w:rPr>
        <w:t xml:space="preserve"> (Bernstein</w:t>
      </w:r>
      <w:r w:rsidR="001C6168" w:rsidRPr="004156A9">
        <w:rPr>
          <w:rFonts w:ascii="Times New Roman" w:hAnsi="Times New Roman"/>
        </w:rPr>
        <w:t xml:space="preserve"> 2000)</w:t>
      </w:r>
      <w:r w:rsidR="00EA2027" w:rsidRPr="004156A9">
        <w:rPr>
          <w:rFonts w:ascii="Times New Roman" w:hAnsi="Times New Roman"/>
        </w:rPr>
        <w:t xml:space="preserve">. </w:t>
      </w:r>
    </w:p>
    <w:p w:rsidR="00EA2027" w:rsidRPr="004156A9" w:rsidRDefault="00EA2027" w:rsidP="00BA40CB">
      <w:pPr>
        <w:rPr>
          <w:rFonts w:ascii="Times New Roman" w:hAnsi="Times New Roman"/>
        </w:rPr>
      </w:pPr>
    </w:p>
    <w:p w:rsidR="00FF005F" w:rsidRPr="004156A9" w:rsidRDefault="00EA2027" w:rsidP="00BA40CB">
      <w:pPr>
        <w:rPr>
          <w:rFonts w:ascii="Times New Roman" w:hAnsi="Times New Roman"/>
        </w:rPr>
      </w:pPr>
      <w:r w:rsidRPr="004156A9">
        <w:rPr>
          <w:rFonts w:ascii="Times New Roman" w:hAnsi="Times New Roman"/>
        </w:rPr>
        <w:t xml:space="preserve">Second, the danger is that </w:t>
      </w:r>
      <w:r w:rsidR="00A44A4A" w:rsidRPr="004156A9">
        <w:rPr>
          <w:rFonts w:ascii="Times New Roman" w:hAnsi="Times New Roman"/>
        </w:rPr>
        <w:t xml:space="preserve">in ignoring these previous approaches we can miss that they were trying to do something different from the approaches discussed in this book. </w:t>
      </w:r>
      <w:r w:rsidR="00084675" w:rsidRPr="004156A9">
        <w:rPr>
          <w:rFonts w:ascii="Times New Roman" w:hAnsi="Times New Roman"/>
        </w:rPr>
        <w:t xml:space="preserve">For example, there is no point in criticising the approaches to learning approach for not taking greater account of non-human actors, when the purpose of this approach is to understand the relations between intentions, perceptions, approaches and outcomes of human actors. </w:t>
      </w:r>
      <w:r w:rsidRPr="004156A9">
        <w:rPr>
          <w:rFonts w:ascii="Times New Roman" w:hAnsi="Times New Roman"/>
        </w:rPr>
        <w:t xml:space="preserve">If we are to build knowledge about learning to teach in higher education, then we need to engage with what the previous research was attempting to do. </w:t>
      </w:r>
      <w:r w:rsidR="00084675" w:rsidRPr="004156A9">
        <w:rPr>
          <w:rFonts w:ascii="Times New Roman" w:hAnsi="Times New Roman"/>
        </w:rPr>
        <w:t>Clearly if the previous research does not help us to ask the questions we are interested in then we need to find new approaches and the contributions to this book show how three approaches support the asking of such questions. However, we need to recognise that is driven by a new set of questions rather than because of the failure</w:t>
      </w:r>
      <w:r w:rsidR="00E207C1" w:rsidRPr="004156A9">
        <w:rPr>
          <w:rFonts w:ascii="Times New Roman" w:hAnsi="Times New Roman"/>
        </w:rPr>
        <w:t>s</w:t>
      </w:r>
      <w:r w:rsidR="00084675" w:rsidRPr="004156A9">
        <w:rPr>
          <w:rFonts w:ascii="Times New Roman" w:hAnsi="Times New Roman"/>
        </w:rPr>
        <w:t xml:space="preserve"> of previous approaches</w:t>
      </w:r>
      <w:r w:rsidRPr="004156A9">
        <w:rPr>
          <w:rFonts w:ascii="Times New Roman" w:hAnsi="Times New Roman"/>
        </w:rPr>
        <w:t xml:space="preserve">. </w:t>
      </w:r>
    </w:p>
    <w:p w:rsidR="00FF005F" w:rsidRPr="004156A9" w:rsidRDefault="00FF005F" w:rsidP="00BA40CB">
      <w:pPr>
        <w:rPr>
          <w:rFonts w:ascii="Times New Roman" w:hAnsi="Times New Roman"/>
        </w:rPr>
      </w:pPr>
    </w:p>
    <w:p w:rsidR="00084675" w:rsidRPr="004156A9" w:rsidRDefault="00FF005F" w:rsidP="00BA40CB">
      <w:pPr>
        <w:rPr>
          <w:rFonts w:ascii="Times New Roman" w:hAnsi="Times New Roman"/>
        </w:rPr>
      </w:pPr>
      <w:r w:rsidRPr="004156A9">
        <w:rPr>
          <w:rFonts w:ascii="Times New Roman" w:hAnsi="Times New Roman"/>
        </w:rPr>
        <w:t>Third, th</w:t>
      </w:r>
      <w:r w:rsidR="00084675" w:rsidRPr="004156A9">
        <w:rPr>
          <w:rFonts w:ascii="Times New Roman" w:hAnsi="Times New Roman"/>
        </w:rPr>
        <w:t xml:space="preserve">e absence of previous approaches </w:t>
      </w:r>
      <w:r w:rsidRPr="004156A9">
        <w:rPr>
          <w:rFonts w:ascii="Times New Roman" w:hAnsi="Times New Roman"/>
        </w:rPr>
        <w:t xml:space="preserve">is also a problem because it means </w:t>
      </w:r>
      <w:r w:rsidR="00084675" w:rsidRPr="004156A9">
        <w:rPr>
          <w:rFonts w:ascii="Times New Roman" w:hAnsi="Times New Roman"/>
        </w:rPr>
        <w:t xml:space="preserve">we </w:t>
      </w:r>
      <w:r w:rsidRPr="004156A9">
        <w:rPr>
          <w:rFonts w:ascii="Times New Roman" w:hAnsi="Times New Roman"/>
        </w:rPr>
        <w:t xml:space="preserve">can miss how </w:t>
      </w:r>
      <w:r w:rsidR="00EA2027" w:rsidRPr="004156A9">
        <w:rPr>
          <w:rFonts w:ascii="Times New Roman" w:hAnsi="Times New Roman"/>
        </w:rPr>
        <w:t xml:space="preserve">apparently </w:t>
      </w:r>
      <w:r w:rsidR="00467A16" w:rsidRPr="004156A9">
        <w:rPr>
          <w:rFonts w:ascii="Times New Roman" w:hAnsi="Times New Roman"/>
        </w:rPr>
        <w:t>original insights of n</w:t>
      </w:r>
      <w:r w:rsidR="00EA2027" w:rsidRPr="004156A9">
        <w:rPr>
          <w:rFonts w:ascii="Times New Roman" w:hAnsi="Times New Roman"/>
        </w:rPr>
        <w:t xml:space="preserve">ew ways of seeing are actually re-descriptions of implications that can equally be drawn from established approaches to learning to teach in higher education. </w:t>
      </w:r>
      <w:r w:rsidR="00084675" w:rsidRPr="004156A9">
        <w:rPr>
          <w:rFonts w:ascii="Times New Roman" w:hAnsi="Times New Roman"/>
        </w:rPr>
        <w:t xml:space="preserve">Many, but certainly not all, of the new ways of approaching learning to teach in higher education that are outlined in the </w:t>
      </w:r>
      <w:r w:rsidR="001B0546" w:rsidRPr="004156A9">
        <w:rPr>
          <w:rFonts w:ascii="Times New Roman" w:hAnsi="Times New Roman"/>
        </w:rPr>
        <w:t xml:space="preserve">earlier contributions are reminiscent of approaches to academic development that were supported by the approaches to learning literature. </w:t>
      </w:r>
      <w:r w:rsidR="00EA2027" w:rsidRPr="004156A9">
        <w:rPr>
          <w:rFonts w:ascii="Times New Roman" w:hAnsi="Times New Roman"/>
        </w:rPr>
        <w:t xml:space="preserve">This </w:t>
      </w:r>
      <w:r w:rsidR="001B0546" w:rsidRPr="004156A9">
        <w:rPr>
          <w:rFonts w:ascii="Times New Roman" w:hAnsi="Times New Roman"/>
        </w:rPr>
        <w:t xml:space="preserve">is, of course, not to deny that the approaches </w:t>
      </w:r>
      <w:r w:rsidR="00A44A4A" w:rsidRPr="004156A9">
        <w:rPr>
          <w:rFonts w:ascii="Times New Roman" w:hAnsi="Times New Roman"/>
        </w:rPr>
        <w:t xml:space="preserve">discussed in this book </w:t>
      </w:r>
      <w:r w:rsidR="001B0546" w:rsidRPr="004156A9">
        <w:rPr>
          <w:rFonts w:ascii="Times New Roman" w:hAnsi="Times New Roman"/>
        </w:rPr>
        <w:t xml:space="preserve">can help us to design important </w:t>
      </w:r>
      <w:r w:rsidR="00EA2027" w:rsidRPr="004156A9">
        <w:rPr>
          <w:rFonts w:ascii="Times New Roman" w:hAnsi="Times New Roman"/>
        </w:rPr>
        <w:t>experience</w:t>
      </w:r>
      <w:r w:rsidR="001B0546" w:rsidRPr="004156A9">
        <w:rPr>
          <w:rFonts w:ascii="Times New Roman" w:hAnsi="Times New Roman"/>
        </w:rPr>
        <w:t>s</w:t>
      </w:r>
      <w:r w:rsidR="00EA2027" w:rsidRPr="004156A9">
        <w:rPr>
          <w:rFonts w:ascii="Times New Roman" w:hAnsi="Times New Roman"/>
        </w:rPr>
        <w:t xml:space="preserve"> for academics </w:t>
      </w:r>
      <w:r w:rsidR="00467A16" w:rsidRPr="004156A9">
        <w:rPr>
          <w:rFonts w:ascii="Times New Roman" w:hAnsi="Times New Roman"/>
        </w:rPr>
        <w:t>and can provide powerful insights into the</w:t>
      </w:r>
      <w:r w:rsidR="001B0546" w:rsidRPr="004156A9">
        <w:rPr>
          <w:rFonts w:ascii="Times New Roman" w:hAnsi="Times New Roman"/>
        </w:rPr>
        <w:t>ir academic practices. However, we do need to be careful not to overplay the apparent newness of what is offered.</w:t>
      </w:r>
      <w:r w:rsidR="00E207C1" w:rsidRPr="004156A9">
        <w:rPr>
          <w:rFonts w:ascii="Times New Roman" w:hAnsi="Times New Roman"/>
        </w:rPr>
        <w:t xml:space="preserve"> We can only do this if we establish a productive dialogue between established and new ways of theorising learning to teach in higher education. </w:t>
      </w:r>
    </w:p>
    <w:p w:rsidR="00FF0088" w:rsidRPr="004156A9" w:rsidRDefault="00FF005F" w:rsidP="00BA40CB">
      <w:pPr>
        <w:rPr>
          <w:rFonts w:ascii="Times New Roman" w:hAnsi="Times New Roman"/>
        </w:rPr>
      </w:pPr>
      <w:r w:rsidRPr="004156A9">
        <w:rPr>
          <w:rFonts w:ascii="Times New Roman" w:hAnsi="Times New Roman"/>
        </w:rPr>
        <w:t xml:space="preserve"> </w:t>
      </w:r>
      <w:r w:rsidR="00EA2027" w:rsidRPr="004156A9">
        <w:rPr>
          <w:rFonts w:ascii="Times New Roman" w:hAnsi="Times New Roman"/>
        </w:rPr>
        <w:t xml:space="preserve"> </w:t>
      </w:r>
    </w:p>
    <w:p w:rsidR="00EA2027" w:rsidRPr="004156A9" w:rsidRDefault="00FF0088" w:rsidP="00BA40CB">
      <w:pPr>
        <w:rPr>
          <w:rFonts w:ascii="Times New Roman" w:hAnsi="Times New Roman"/>
        </w:rPr>
      </w:pPr>
      <w:r w:rsidRPr="004156A9">
        <w:rPr>
          <w:rFonts w:ascii="Times New Roman" w:hAnsi="Times New Roman"/>
        </w:rPr>
        <w:t>The challenge of how we relate old and new ways of understanding learning to teach in higher education is not simply a challenge for this book. It is a challenge about how we build knowledge about learning to teach in higher education. This challenge raises questions about how we can build on what we already know about learning to teach in higher education in order to enrich our research and practices in this area. We need to recognise that this is not an easy thing to do. Yet it is an incredibly important thing to do if we are to develop a richer understanding of learning to teach in higher education.</w:t>
      </w:r>
    </w:p>
    <w:p w:rsidR="0006450A" w:rsidRPr="004156A9" w:rsidRDefault="0006450A" w:rsidP="00BA40CB">
      <w:pPr>
        <w:pStyle w:val="Heading2"/>
        <w:rPr>
          <w:rFonts w:ascii="Times New Roman" w:hAnsi="Times New Roman"/>
          <w:sz w:val="24"/>
          <w:szCs w:val="24"/>
        </w:rPr>
      </w:pPr>
      <w:r w:rsidRPr="004156A9">
        <w:rPr>
          <w:rFonts w:ascii="Times New Roman" w:hAnsi="Times New Roman"/>
          <w:sz w:val="24"/>
          <w:szCs w:val="24"/>
        </w:rPr>
        <w:lastRenderedPageBreak/>
        <w:t>Conclusion</w:t>
      </w:r>
    </w:p>
    <w:p w:rsidR="00467A16" w:rsidRPr="004156A9" w:rsidRDefault="00726500" w:rsidP="00BA40CB">
      <w:pPr>
        <w:rPr>
          <w:rFonts w:ascii="Times New Roman" w:hAnsi="Times New Roman"/>
        </w:rPr>
      </w:pPr>
      <w:r w:rsidRPr="004156A9">
        <w:rPr>
          <w:rFonts w:ascii="Times New Roman" w:hAnsi="Times New Roman"/>
        </w:rPr>
        <w:t xml:space="preserve">In conclusion I want to consider the possibilities for future work that are opened up by the contributions to this book. </w:t>
      </w:r>
      <w:r w:rsidR="00467A16" w:rsidRPr="004156A9">
        <w:rPr>
          <w:rFonts w:ascii="Times New Roman" w:hAnsi="Times New Roman"/>
        </w:rPr>
        <w:t>The power of relating different ways of seeing learning to teach in higher education is demonstrated by the crossover perspective chapters in this book. The discipline of moving between different ways of understanding learning to teach can provide greater choice about how to engage with the demanding situations that face academic developers. As is argued in a number of places in this book, the key is not just to see the world in a variety of ways but to use these ways</w:t>
      </w:r>
      <w:r w:rsidR="0006450A" w:rsidRPr="004156A9">
        <w:rPr>
          <w:rFonts w:ascii="Times New Roman" w:hAnsi="Times New Roman"/>
        </w:rPr>
        <w:t xml:space="preserve"> of seeing to develop alternative ways of approaching our practices. It is not enough to simply critique existing practices, we need to use our collective understandings to work together to build alternative ways of learning to teach in higher education. </w:t>
      </w:r>
      <w:r w:rsidRPr="004156A9">
        <w:rPr>
          <w:rFonts w:ascii="Times New Roman" w:hAnsi="Times New Roman"/>
        </w:rPr>
        <w:t xml:space="preserve">The contributions to this book open up a number of possibilities for developing such alternatives. </w:t>
      </w:r>
      <w:r w:rsidR="0006450A" w:rsidRPr="004156A9">
        <w:rPr>
          <w:rFonts w:ascii="Times New Roman" w:hAnsi="Times New Roman"/>
        </w:rPr>
        <w:t xml:space="preserve">These will not always be successful and we need to reflect rigorously on our practices in order to understand the ways in which they have succeeded and failed. </w:t>
      </w:r>
      <w:r w:rsidRPr="004156A9">
        <w:rPr>
          <w:rFonts w:ascii="Times New Roman" w:hAnsi="Times New Roman"/>
        </w:rPr>
        <w:t xml:space="preserve">As the contributions to this book highlight, this will </w:t>
      </w:r>
      <w:r w:rsidR="0006450A" w:rsidRPr="004156A9">
        <w:rPr>
          <w:rFonts w:ascii="Times New Roman" w:hAnsi="Times New Roman"/>
        </w:rPr>
        <w:t>involve the careful consideration of evidence about our practices</w:t>
      </w:r>
      <w:r w:rsidR="00E207C1" w:rsidRPr="004156A9">
        <w:rPr>
          <w:rFonts w:ascii="Times New Roman" w:hAnsi="Times New Roman"/>
        </w:rPr>
        <w:t>, a thoughtful examination of theoretical resources and previous research that enable us to make sense of this evidence</w:t>
      </w:r>
      <w:r w:rsidR="00DA53F0" w:rsidRPr="004156A9">
        <w:rPr>
          <w:rFonts w:ascii="Times New Roman" w:hAnsi="Times New Roman"/>
        </w:rPr>
        <w:t>,</w:t>
      </w:r>
      <w:r w:rsidR="0006450A" w:rsidRPr="004156A9">
        <w:rPr>
          <w:rFonts w:ascii="Times New Roman" w:hAnsi="Times New Roman"/>
        </w:rPr>
        <w:t xml:space="preserve"> and</w:t>
      </w:r>
      <w:r w:rsidR="00DA53F0" w:rsidRPr="004156A9">
        <w:rPr>
          <w:rFonts w:ascii="Times New Roman" w:hAnsi="Times New Roman"/>
        </w:rPr>
        <w:t xml:space="preserve"> the discussion of the relations between this evidence, theories and research</w:t>
      </w:r>
      <w:r w:rsidR="0006450A" w:rsidRPr="004156A9">
        <w:rPr>
          <w:rFonts w:ascii="Times New Roman" w:hAnsi="Times New Roman"/>
        </w:rPr>
        <w:t xml:space="preserve"> with supportive </w:t>
      </w:r>
      <w:r w:rsidRPr="004156A9">
        <w:rPr>
          <w:rFonts w:ascii="Times New Roman" w:hAnsi="Times New Roman"/>
        </w:rPr>
        <w:t xml:space="preserve">and critical </w:t>
      </w:r>
      <w:r w:rsidR="0006450A" w:rsidRPr="004156A9">
        <w:rPr>
          <w:rFonts w:ascii="Times New Roman" w:hAnsi="Times New Roman"/>
        </w:rPr>
        <w:t>peers.</w:t>
      </w:r>
      <w:r w:rsidRPr="004156A9">
        <w:rPr>
          <w:rFonts w:ascii="Times New Roman" w:hAnsi="Times New Roman"/>
        </w:rPr>
        <w:t xml:space="preserve"> This is difficult work but </w:t>
      </w:r>
      <w:r w:rsidR="007307C0" w:rsidRPr="004156A9">
        <w:rPr>
          <w:rFonts w:ascii="Times New Roman" w:hAnsi="Times New Roman"/>
        </w:rPr>
        <w:t xml:space="preserve">it </w:t>
      </w:r>
      <w:r w:rsidRPr="004156A9">
        <w:rPr>
          <w:rFonts w:ascii="Times New Roman" w:hAnsi="Times New Roman"/>
        </w:rPr>
        <w:t xml:space="preserve">is vital if we are to </w:t>
      </w:r>
      <w:r w:rsidR="00DA53F0" w:rsidRPr="004156A9">
        <w:rPr>
          <w:rFonts w:ascii="Times New Roman" w:hAnsi="Times New Roman"/>
        </w:rPr>
        <w:t>find</w:t>
      </w:r>
      <w:r w:rsidRPr="004156A9">
        <w:rPr>
          <w:rFonts w:ascii="Times New Roman" w:hAnsi="Times New Roman"/>
        </w:rPr>
        <w:t xml:space="preserve"> ways of </w:t>
      </w:r>
      <w:r w:rsidR="00DA53F0" w:rsidRPr="004156A9">
        <w:rPr>
          <w:rFonts w:ascii="Times New Roman" w:hAnsi="Times New Roman"/>
        </w:rPr>
        <w:t xml:space="preserve">working with </w:t>
      </w:r>
      <w:r w:rsidRPr="004156A9">
        <w:rPr>
          <w:rFonts w:ascii="Times New Roman" w:hAnsi="Times New Roman"/>
        </w:rPr>
        <w:t xml:space="preserve">those who are learning to teach that </w:t>
      </w:r>
      <w:r w:rsidR="00DA53F0" w:rsidRPr="004156A9">
        <w:rPr>
          <w:rFonts w:ascii="Times New Roman" w:hAnsi="Times New Roman"/>
        </w:rPr>
        <w:t xml:space="preserve">can support the development of </w:t>
      </w:r>
      <w:r w:rsidRPr="004156A9">
        <w:rPr>
          <w:rFonts w:ascii="Times New Roman" w:hAnsi="Times New Roman"/>
        </w:rPr>
        <w:t>more effective and socially just teaching.</w:t>
      </w:r>
      <w:r w:rsidR="0006450A" w:rsidRPr="004156A9">
        <w:rPr>
          <w:rFonts w:ascii="Times New Roman" w:hAnsi="Times New Roman"/>
        </w:rPr>
        <w:t xml:space="preserve">   </w:t>
      </w:r>
    </w:p>
    <w:p w:rsidR="00F14301" w:rsidRPr="004156A9" w:rsidRDefault="00B40DB1" w:rsidP="00BA40CB">
      <w:pPr>
        <w:pStyle w:val="Heading2"/>
        <w:rPr>
          <w:rFonts w:ascii="Times New Roman" w:hAnsi="Times New Roman"/>
          <w:sz w:val="24"/>
          <w:szCs w:val="24"/>
        </w:rPr>
      </w:pPr>
      <w:r w:rsidRPr="004156A9">
        <w:rPr>
          <w:rFonts w:ascii="Times New Roman" w:hAnsi="Times New Roman"/>
          <w:sz w:val="24"/>
          <w:szCs w:val="24"/>
        </w:rPr>
        <w:t>References</w:t>
      </w:r>
    </w:p>
    <w:p w:rsidR="00B40DB1" w:rsidRPr="004156A9" w:rsidRDefault="00B40DB1" w:rsidP="00BA40CB">
      <w:pPr>
        <w:ind w:left="567" w:hanging="567"/>
        <w:rPr>
          <w:rFonts w:ascii="Times New Roman" w:hAnsi="Times New Roman"/>
        </w:rPr>
      </w:pPr>
      <w:r w:rsidRPr="004156A9">
        <w:rPr>
          <w:rFonts w:ascii="Times New Roman" w:hAnsi="Times New Roman"/>
        </w:rPr>
        <w:t>Ashwin, P</w:t>
      </w:r>
      <w:r w:rsidR="00A44A4A" w:rsidRPr="004156A9">
        <w:rPr>
          <w:rFonts w:ascii="Times New Roman" w:hAnsi="Times New Roman"/>
        </w:rPr>
        <w:t xml:space="preserve"> </w:t>
      </w:r>
      <w:r w:rsidRPr="004156A9">
        <w:rPr>
          <w:rFonts w:ascii="Times New Roman" w:hAnsi="Times New Roman"/>
        </w:rPr>
        <w:t>2009</w:t>
      </w:r>
      <w:r w:rsidR="00A44A4A" w:rsidRPr="004156A9">
        <w:rPr>
          <w:rFonts w:ascii="Times New Roman" w:hAnsi="Times New Roman"/>
        </w:rPr>
        <w:t>,</w:t>
      </w:r>
      <w:r w:rsidRPr="004156A9">
        <w:rPr>
          <w:rFonts w:ascii="Times New Roman" w:hAnsi="Times New Roman"/>
        </w:rPr>
        <w:t xml:space="preserve"> </w:t>
      </w:r>
      <w:r w:rsidRPr="004156A9">
        <w:rPr>
          <w:rFonts w:ascii="Times New Roman" w:hAnsi="Times New Roman"/>
          <w:i/>
        </w:rPr>
        <w:t>Analysing teaching-learning interactions in higher education: accounting for structure and agency</w:t>
      </w:r>
      <w:r w:rsidR="00AF73EE" w:rsidRPr="004156A9">
        <w:rPr>
          <w:rFonts w:ascii="Times New Roman" w:hAnsi="Times New Roman"/>
          <w:i/>
        </w:rPr>
        <w:t>,</w:t>
      </w:r>
      <w:r w:rsidR="00AF73EE" w:rsidRPr="004156A9">
        <w:rPr>
          <w:rFonts w:ascii="Times New Roman" w:hAnsi="Times New Roman"/>
        </w:rPr>
        <w:t xml:space="preserve"> </w:t>
      </w:r>
      <w:r w:rsidRPr="004156A9">
        <w:rPr>
          <w:rFonts w:ascii="Times New Roman" w:hAnsi="Times New Roman"/>
        </w:rPr>
        <w:t>Continuum</w:t>
      </w:r>
      <w:r w:rsidR="00AF73EE" w:rsidRPr="004156A9">
        <w:rPr>
          <w:rFonts w:ascii="Times New Roman" w:hAnsi="Times New Roman"/>
        </w:rPr>
        <w:t>, London</w:t>
      </w:r>
      <w:r w:rsidRPr="004156A9">
        <w:rPr>
          <w:rFonts w:ascii="Times New Roman" w:hAnsi="Times New Roman"/>
        </w:rPr>
        <w:t>.</w:t>
      </w:r>
    </w:p>
    <w:p w:rsidR="00B40DB1" w:rsidRPr="004156A9" w:rsidRDefault="00B40DB1" w:rsidP="00BA40CB">
      <w:pPr>
        <w:ind w:left="567" w:hanging="567"/>
        <w:rPr>
          <w:rFonts w:ascii="Times New Roman" w:hAnsi="Times New Roman"/>
        </w:rPr>
      </w:pPr>
      <w:r w:rsidRPr="004156A9">
        <w:rPr>
          <w:rFonts w:ascii="Times New Roman" w:hAnsi="Times New Roman"/>
        </w:rPr>
        <w:t>Ashwin, P 2015</w:t>
      </w:r>
      <w:r w:rsidR="004E10A7" w:rsidRPr="004156A9">
        <w:rPr>
          <w:rFonts w:ascii="Times New Roman" w:hAnsi="Times New Roman"/>
        </w:rPr>
        <w:t>,</w:t>
      </w:r>
      <w:r w:rsidRPr="004156A9">
        <w:rPr>
          <w:rFonts w:ascii="Times New Roman" w:hAnsi="Times New Roman"/>
        </w:rPr>
        <w:t xml:space="preserve"> </w:t>
      </w:r>
      <w:r w:rsidR="00AF73EE" w:rsidRPr="004156A9">
        <w:rPr>
          <w:rFonts w:ascii="Times New Roman" w:hAnsi="Times New Roman"/>
        </w:rPr>
        <w:t>‘</w:t>
      </w:r>
      <w:r w:rsidRPr="004156A9">
        <w:rPr>
          <w:rFonts w:ascii="Times New Roman" w:hAnsi="Times New Roman"/>
        </w:rPr>
        <w:t>Seven myths of university teaching</w:t>
      </w:r>
      <w:r w:rsidR="00AF73EE" w:rsidRPr="004156A9">
        <w:rPr>
          <w:rFonts w:ascii="Times New Roman" w:hAnsi="Times New Roman"/>
        </w:rPr>
        <w:t>’,</w:t>
      </w:r>
      <w:r w:rsidRPr="004156A9">
        <w:rPr>
          <w:rFonts w:ascii="Times New Roman" w:hAnsi="Times New Roman"/>
        </w:rPr>
        <w:t xml:space="preserve"> </w:t>
      </w:r>
      <w:r w:rsidRPr="004156A9">
        <w:rPr>
          <w:rFonts w:ascii="Times New Roman" w:hAnsi="Times New Roman"/>
          <w:i/>
        </w:rPr>
        <w:t>Times Higher Education</w:t>
      </w:r>
      <w:r w:rsidRPr="004156A9">
        <w:rPr>
          <w:rFonts w:ascii="Times New Roman" w:hAnsi="Times New Roman"/>
        </w:rPr>
        <w:t>, 25 February</w:t>
      </w:r>
      <w:r w:rsidR="00AF73EE" w:rsidRPr="004156A9">
        <w:rPr>
          <w:rFonts w:ascii="Times New Roman" w:hAnsi="Times New Roman"/>
        </w:rPr>
        <w:t>, https://www.timeshighereducation.com/comment/opinion/seven-myths-of-university-teaching/2018719.article</w:t>
      </w:r>
      <w:r w:rsidRPr="004156A9">
        <w:rPr>
          <w:rFonts w:ascii="Times New Roman" w:hAnsi="Times New Roman"/>
        </w:rPr>
        <w:t>.</w:t>
      </w:r>
    </w:p>
    <w:p w:rsidR="00D825FE" w:rsidRPr="004156A9" w:rsidRDefault="00E2611B" w:rsidP="00BA40CB">
      <w:pPr>
        <w:ind w:left="567" w:hanging="567"/>
        <w:rPr>
          <w:rFonts w:ascii="Times New Roman" w:hAnsi="Times New Roman"/>
        </w:rPr>
      </w:pPr>
      <w:hyperlink r:id="rId9" w:history="1">
        <w:r w:rsidR="00D825FE" w:rsidRPr="004156A9">
          <w:rPr>
            <w:rFonts w:ascii="Times New Roman" w:hAnsi="Times New Roman"/>
          </w:rPr>
          <w:t>Ashwin, P</w:t>
        </w:r>
      </w:hyperlink>
      <w:r w:rsidR="00FE27E0">
        <w:rPr>
          <w:rFonts w:ascii="Times New Roman" w:hAnsi="Times New Roman"/>
        </w:rPr>
        <w:t xml:space="preserve"> &amp; Trigwell, K</w:t>
      </w:r>
      <w:r w:rsidR="00AF73EE" w:rsidRPr="004156A9">
        <w:rPr>
          <w:rFonts w:ascii="Times New Roman" w:hAnsi="Times New Roman"/>
        </w:rPr>
        <w:t xml:space="preserve"> </w:t>
      </w:r>
      <w:r w:rsidR="00D825FE" w:rsidRPr="004156A9">
        <w:rPr>
          <w:rFonts w:ascii="Times New Roman" w:hAnsi="Times New Roman"/>
        </w:rPr>
        <w:t>2004</w:t>
      </w:r>
      <w:r w:rsidR="004E10A7" w:rsidRPr="004156A9">
        <w:rPr>
          <w:rFonts w:ascii="Times New Roman" w:hAnsi="Times New Roman"/>
        </w:rPr>
        <w:t>,</w:t>
      </w:r>
      <w:r w:rsidR="00D825FE" w:rsidRPr="004156A9">
        <w:rPr>
          <w:rFonts w:ascii="Times New Roman" w:hAnsi="Times New Roman"/>
        </w:rPr>
        <w:t xml:space="preserve"> </w:t>
      </w:r>
      <w:r w:rsidR="00AF73EE" w:rsidRPr="004156A9">
        <w:rPr>
          <w:rFonts w:ascii="Times New Roman" w:hAnsi="Times New Roman"/>
        </w:rPr>
        <w:t xml:space="preserve"> ‘</w:t>
      </w:r>
      <w:hyperlink r:id="rId10" w:history="1">
        <w:r w:rsidR="00D825FE" w:rsidRPr="004156A9">
          <w:rPr>
            <w:rFonts w:ascii="Times New Roman" w:hAnsi="Times New Roman"/>
          </w:rPr>
          <w:t>I</w:t>
        </w:r>
      </w:hyperlink>
      <w:r w:rsidR="00D825FE" w:rsidRPr="004156A9">
        <w:rPr>
          <w:rFonts w:ascii="Times New Roman" w:hAnsi="Times New Roman"/>
        </w:rPr>
        <w:t>nvestigating educational development</w:t>
      </w:r>
      <w:r w:rsidR="00AF73EE" w:rsidRPr="004156A9">
        <w:rPr>
          <w:rFonts w:ascii="Times New Roman" w:hAnsi="Times New Roman"/>
        </w:rPr>
        <w:t xml:space="preserve">’, in D Baume  &amp; P Kahn </w:t>
      </w:r>
      <w:r w:rsidR="00D825FE" w:rsidRPr="004156A9">
        <w:rPr>
          <w:rFonts w:ascii="Times New Roman" w:hAnsi="Times New Roman"/>
        </w:rPr>
        <w:t xml:space="preserve"> (eds)</w:t>
      </w:r>
      <w:r w:rsidR="00FE27E0">
        <w:rPr>
          <w:rFonts w:ascii="Times New Roman" w:hAnsi="Times New Roman"/>
        </w:rPr>
        <w:t>,</w:t>
      </w:r>
      <w:r w:rsidR="00D825FE" w:rsidRPr="004156A9">
        <w:rPr>
          <w:rFonts w:ascii="Times New Roman" w:hAnsi="Times New Roman"/>
        </w:rPr>
        <w:t xml:space="preserve"> </w:t>
      </w:r>
      <w:r w:rsidR="00D825FE" w:rsidRPr="004156A9">
        <w:rPr>
          <w:rFonts w:ascii="Times New Roman" w:hAnsi="Times New Roman"/>
          <w:i/>
          <w:iCs/>
        </w:rPr>
        <w:t>Enhancing staff and educational development</w:t>
      </w:r>
      <w:r w:rsidR="00AF73EE" w:rsidRPr="004156A9">
        <w:rPr>
          <w:rFonts w:ascii="Times New Roman" w:hAnsi="Times New Roman"/>
          <w:i/>
          <w:iCs/>
        </w:rPr>
        <w:t>,</w:t>
      </w:r>
      <w:r w:rsidR="00D825FE" w:rsidRPr="004156A9">
        <w:rPr>
          <w:rFonts w:ascii="Times New Roman" w:hAnsi="Times New Roman"/>
        </w:rPr>
        <w:t xml:space="preserve"> </w:t>
      </w:r>
      <w:r w:rsidR="00AF73EE" w:rsidRPr="004156A9">
        <w:rPr>
          <w:rFonts w:ascii="Times New Roman" w:hAnsi="Times New Roman"/>
        </w:rPr>
        <w:t xml:space="preserve">Kogan Page, </w:t>
      </w:r>
      <w:r w:rsidR="00D825FE" w:rsidRPr="004156A9">
        <w:rPr>
          <w:rFonts w:ascii="Times New Roman" w:hAnsi="Times New Roman"/>
        </w:rPr>
        <w:t>London.</w:t>
      </w:r>
    </w:p>
    <w:p w:rsidR="00D825FE" w:rsidRPr="004156A9" w:rsidRDefault="00E2611B" w:rsidP="00BA40CB">
      <w:pPr>
        <w:ind w:left="567" w:hanging="567"/>
        <w:rPr>
          <w:rFonts w:ascii="Times New Roman" w:hAnsi="Times New Roman"/>
        </w:rPr>
      </w:pPr>
      <w:hyperlink r:id="rId11" w:history="1">
        <w:r w:rsidR="00D825FE" w:rsidRPr="004156A9">
          <w:rPr>
            <w:rFonts w:ascii="Times New Roman" w:hAnsi="Times New Roman"/>
          </w:rPr>
          <w:t>Ashwin, P</w:t>
        </w:r>
      </w:hyperlink>
      <w:r w:rsidR="00D825FE" w:rsidRPr="004156A9">
        <w:rPr>
          <w:rFonts w:ascii="Times New Roman" w:hAnsi="Times New Roman"/>
        </w:rPr>
        <w:t>, Boud, D, Coate, K, Hallett, F, Keane, E, Krause, K-L, Leibowitz, B, MacLaren, I</w:t>
      </w:r>
      <w:hyperlink r:id="rId12" w:history="1">
        <w:r w:rsidR="00D825FE" w:rsidRPr="004156A9">
          <w:rPr>
            <w:rFonts w:ascii="Times New Roman" w:hAnsi="Times New Roman"/>
          </w:rPr>
          <w:t>, McArthur, J</w:t>
        </w:r>
      </w:hyperlink>
      <w:r w:rsidR="00D825FE" w:rsidRPr="004156A9">
        <w:rPr>
          <w:rFonts w:ascii="Times New Roman" w:hAnsi="Times New Roman"/>
        </w:rPr>
        <w:t>, McCune, V &amp; Tooher, M 2015</w:t>
      </w:r>
      <w:r w:rsidR="004E10A7" w:rsidRPr="004156A9">
        <w:rPr>
          <w:rFonts w:ascii="Times New Roman" w:hAnsi="Times New Roman"/>
        </w:rPr>
        <w:t>,</w:t>
      </w:r>
      <w:r w:rsidR="00D825FE" w:rsidRPr="004156A9">
        <w:rPr>
          <w:rFonts w:ascii="Times New Roman" w:hAnsi="Times New Roman"/>
        </w:rPr>
        <w:t xml:space="preserve"> </w:t>
      </w:r>
      <w:hyperlink r:id="rId13" w:history="1">
        <w:r w:rsidR="00D825FE" w:rsidRPr="004156A9">
          <w:rPr>
            <w:rFonts w:ascii="Times New Roman" w:hAnsi="Times New Roman"/>
            <w:i/>
          </w:rPr>
          <w:t>Reflective teaching in higher education</w:t>
        </w:r>
      </w:hyperlink>
      <w:r w:rsidR="00D825FE" w:rsidRPr="004156A9">
        <w:rPr>
          <w:rFonts w:ascii="Times New Roman" w:hAnsi="Times New Roman"/>
        </w:rPr>
        <w:t xml:space="preserve">. </w:t>
      </w:r>
      <w:r w:rsidR="00AF73EE" w:rsidRPr="004156A9">
        <w:rPr>
          <w:rFonts w:ascii="Times New Roman" w:hAnsi="Times New Roman"/>
        </w:rPr>
        <w:t xml:space="preserve">Bloomsbury Academic, </w:t>
      </w:r>
      <w:r w:rsidR="00D825FE" w:rsidRPr="004156A9">
        <w:rPr>
          <w:rFonts w:ascii="Times New Roman" w:hAnsi="Times New Roman"/>
        </w:rPr>
        <w:t>London.</w:t>
      </w:r>
    </w:p>
    <w:p w:rsidR="001B0546" w:rsidRPr="004156A9" w:rsidRDefault="001B0546" w:rsidP="00BA40CB">
      <w:pPr>
        <w:ind w:left="567" w:hanging="567"/>
        <w:rPr>
          <w:rFonts w:ascii="Times New Roman" w:hAnsi="Times New Roman"/>
        </w:rPr>
      </w:pPr>
      <w:r w:rsidRPr="004156A9">
        <w:rPr>
          <w:rFonts w:ascii="Times New Roman" w:hAnsi="Times New Roman"/>
        </w:rPr>
        <w:t>Bernstein, B 2000</w:t>
      </w:r>
      <w:r w:rsidR="004E10A7" w:rsidRPr="004156A9">
        <w:rPr>
          <w:rFonts w:ascii="Times New Roman" w:hAnsi="Times New Roman"/>
        </w:rPr>
        <w:t>,</w:t>
      </w:r>
      <w:r w:rsidRPr="004156A9">
        <w:rPr>
          <w:rFonts w:ascii="Times New Roman" w:hAnsi="Times New Roman"/>
        </w:rPr>
        <w:t xml:space="preserve"> </w:t>
      </w:r>
      <w:r w:rsidRPr="004156A9">
        <w:rPr>
          <w:rFonts w:ascii="Times New Roman" w:hAnsi="Times New Roman"/>
          <w:i/>
          <w:iCs/>
        </w:rPr>
        <w:t xml:space="preserve">Pedagogy, </w:t>
      </w:r>
      <w:r w:rsidR="00AF73EE" w:rsidRPr="004156A9">
        <w:rPr>
          <w:rFonts w:ascii="Times New Roman" w:hAnsi="Times New Roman"/>
          <w:i/>
          <w:iCs/>
        </w:rPr>
        <w:t>symbolic control and identity: theory, research and critique,</w:t>
      </w:r>
      <w:r w:rsidRPr="004156A9">
        <w:rPr>
          <w:rFonts w:ascii="Times New Roman" w:hAnsi="Times New Roman"/>
          <w:i/>
          <w:iCs/>
        </w:rPr>
        <w:t xml:space="preserve"> </w:t>
      </w:r>
      <w:r w:rsidRPr="004156A9">
        <w:rPr>
          <w:rFonts w:ascii="Times New Roman" w:hAnsi="Times New Roman"/>
        </w:rPr>
        <w:t>Revised Edition</w:t>
      </w:r>
      <w:r w:rsidR="00AF73EE" w:rsidRPr="004156A9">
        <w:rPr>
          <w:rFonts w:ascii="Times New Roman" w:hAnsi="Times New Roman"/>
        </w:rPr>
        <w:t xml:space="preserve">, </w:t>
      </w:r>
      <w:r w:rsidRPr="004156A9">
        <w:rPr>
          <w:rFonts w:ascii="Times New Roman" w:hAnsi="Times New Roman"/>
        </w:rPr>
        <w:t>Rowman and Littlefield Publishers</w:t>
      </w:r>
      <w:r w:rsidR="00AF73EE" w:rsidRPr="004156A9">
        <w:rPr>
          <w:rFonts w:ascii="Times New Roman" w:hAnsi="Times New Roman"/>
        </w:rPr>
        <w:t>, Oxford</w:t>
      </w:r>
      <w:r w:rsidRPr="004156A9">
        <w:rPr>
          <w:rFonts w:ascii="Times New Roman" w:hAnsi="Times New Roman"/>
        </w:rPr>
        <w:t>.</w:t>
      </w:r>
    </w:p>
    <w:p w:rsidR="00B40DB1" w:rsidRPr="004156A9" w:rsidRDefault="00B40DB1" w:rsidP="00BA40CB">
      <w:pPr>
        <w:ind w:left="567" w:hanging="567"/>
        <w:rPr>
          <w:rFonts w:ascii="Times New Roman" w:hAnsi="Times New Roman"/>
        </w:rPr>
      </w:pPr>
      <w:r w:rsidRPr="004156A9">
        <w:rPr>
          <w:rFonts w:ascii="Times New Roman" w:hAnsi="Times New Roman"/>
        </w:rPr>
        <w:t>Law, J 2004</w:t>
      </w:r>
      <w:r w:rsidR="004E10A7" w:rsidRPr="004156A9">
        <w:rPr>
          <w:rFonts w:ascii="Times New Roman" w:hAnsi="Times New Roman"/>
        </w:rPr>
        <w:t>,</w:t>
      </w:r>
      <w:r w:rsidRPr="004156A9">
        <w:rPr>
          <w:rFonts w:ascii="Times New Roman" w:hAnsi="Times New Roman"/>
        </w:rPr>
        <w:t xml:space="preserve"> </w:t>
      </w:r>
      <w:r w:rsidRPr="004156A9">
        <w:rPr>
          <w:rFonts w:ascii="Times New Roman" w:hAnsi="Times New Roman"/>
          <w:i/>
        </w:rPr>
        <w:t xml:space="preserve">After </w:t>
      </w:r>
      <w:r w:rsidR="004E10A7" w:rsidRPr="004156A9">
        <w:rPr>
          <w:rFonts w:ascii="Times New Roman" w:hAnsi="Times New Roman"/>
          <w:i/>
        </w:rPr>
        <w:t>method: mess in social science research,</w:t>
      </w:r>
      <w:r w:rsidRPr="004156A9">
        <w:rPr>
          <w:rFonts w:ascii="Times New Roman" w:hAnsi="Times New Roman"/>
        </w:rPr>
        <w:t xml:space="preserve"> Routledge</w:t>
      </w:r>
      <w:r w:rsidR="004E10A7" w:rsidRPr="004156A9">
        <w:rPr>
          <w:rFonts w:ascii="Times New Roman" w:hAnsi="Times New Roman"/>
        </w:rPr>
        <w:t>, London</w:t>
      </w:r>
      <w:r w:rsidRPr="004156A9">
        <w:rPr>
          <w:rFonts w:ascii="Times New Roman" w:hAnsi="Times New Roman"/>
        </w:rPr>
        <w:t>.</w:t>
      </w:r>
    </w:p>
    <w:p w:rsidR="00D825FE" w:rsidRPr="004156A9" w:rsidRDefault="00D825FE" w:rsidP="00BA40CB">
      <w:pPr>
        <w:autoSpaceDE w:val="0"/>
        <w:autoSpaceDN w:val="0"/>
        <w:adjustRightInd w:val="0"/>
        <w:ind w:left="567" w:hanging="567"/>
        <w:rPr>
          <w:rFonts w:ascii="Times New Roman" w:hAnsi="Times New Roman"/>
        </w:rPr>
      </w:pPr>
      <w:r w:rsidRPr="004156A9">
        <w:rPr>
          <w:rFonts w:ascii="Times New Roman" w:eastAsia="Times New Roman" w:hAnsi="Times New Roman"/>
        </w:rPr>
        <w:t>Lea, M</w:t>
      </w:r>
      <w:r w:rsidR="004E10A7" w:rsidRPr="004156A9">
        <w:rPr>
          <w:rFonts w:ascii="Times New Roman" w:eastAsia="Times New Roman" w:hAnsi="Times New Roman"/>
        </w:rPr>
        <w:t xml:space="preserve"> &amp;</w:t>
      </w:r>
      <w:r w:rsidRPr="004156A9">
        <w:rPr>
          <w:rFonts w:ascii="Times New Roman" w:eastAsia="Times New Roman" w:hAnsi="Times New Roman"/>
        </w:rPr>
        <w:t xml:space="preserve"> Street, B 1998</w:t>
      </w:r>
      <w:r w:rsidR="004E10A7" w:rsidRPr="004156A9">
        <w:rPr>
          <w:rFonts w:ascii="Times New Roman" w:eastAsia="Times New Roman" w:hAnsi="Times New Roman"/>
        </w:rPr>
        <w:t>,</w:t>
      </w:r>
      <w:r w:rsidRPr="004156A9">
        <w:rPr>
          <w:rFonts w:ascii="Times New Roman" w:eastAsia="Times New Roman" w:hAnsi="Times New Roman"/>
        </w:rPr>
        <w:t xml:space="preserve"> ‘Student writing in higher education: </w:t>
      </w:r>
      <w:r w:rsidR="004E10A7" w:rsidRPr="004156A9">
        <w:rPr>
          <w:rFonts w:ascii="Times New Roman" w:eastAsia="Times New Roman" w:hAnsi="Times New Roman"/>
        </w:rPr>
        <w:t>a</w:t>
      </w:r>
      <w:r w:rsidRPr="004156A9">
        <w:rPr>
          <w:rFonts w:ascii="Times New Roman" w:eastAsia="Times New Roman" w:hAnsi="Times New Roman"/>
        </w:rPr>
        <w:t>n academic literacies approach’</w:t>
      </w:r>
      <w:r w:rsidR="004E10A7" w:rsidRPr="004156A9">
        <w:rPr>
          <w:rFonts w:ascii="Times New Roman" w:eastAsia="Times New Roman" w:hAnsi="Times New Roman"/>
        </w:rPr>
        <w:t xml:space="preserve">, </w:t>
      </w:r>
      <w:r w:rsidRPr="004156A9">
        <w:rPr>
          <w:rFonts w:ascii="Times New Roman" w:eastAsia="Times New Roman" w:hAnsi="Times New Roman"/>
          <w:i/>
        </w:rPr>
        <w:t>Studies in Higher Education</w:t>
      </w:r>
      <w:r w:rsidRPr="004156A9">
        <w:rPr>
          <w:rFonts w:ascii="Times New Roman" w:eastAsia="Times New Roman" w:hAnsi="Times New Roman"/>
        </w:rPr>
        <w:t xml:space="preserve">, </w:t>
      </w:r>
      <w:r w:rsidR="004E10A7" w:rsidRPr="004156A9">
        <w:rPr>
          <w:rFonts w:ascii="Times New Roman" w:eastAsia="Times New Roman" w:hAnsi="Times New Roman"/>
        </w:rPr>
        <w:t>vol</w:t>
      </w:r>
      <w:r w:rsidR="00FE27E0">
        <w:rPr>
          <w:rFonts w:ascii="Times New Roman" w:eastAsia="Times New Roman" w:hAnsi="Times New Roman"/>
        </w:rPr>
        <w:t>.</w:t>
      </w:r>
      <w:r w:rsidR="004E10A7" w:rsidRPr="004156A9">
        <w:rPr>
          <w:rFonts w:ascii="Times New Roman" w:eastAsia="Times New Roman" w:hAnsi="Times New Roman"/>
        </w:rPr>
        <w:t xml:space="preserve"> </w:t>
      </w:r>
      <w:r w:rsidRPr="004156A9">
        <w:rPr>
          <w:rFonts w:ascii="Times New Roman" w:eastAsia="Times New Roman" w:hAnsi="Times New Roman"/>
        </w:rPr>
        <w:t xml:space="preserve">11, </w:t>
      </w:r>
      <w:r w:rsidR="004E10A7" w:rsidRPr="004156A9">
        <w:rPr>
          <w:rFonts w:ascii="Times New Roman" w:eastAsia="Times New Roman" w:hAnsi="Times New Roman"/>
        </w:rPr>
        <w:t>pp.</w:t>
      </w:r>
      <w:r w:rsidRPr="004156A9">
        <w:rPr>
          <w:rFonts w:ascii="Times New Roman" w:eastAsia="Times New Roman" w:hAnsi="Times New Roman"/>
        </w:rPr>
        <w:t>182-199.</w:t>
      </w:r>
    </w:p>
    <w:p w:rsidR="004C29BD" w:rsidRPr="004156A9" w:rsidRDefault="004C29BD" w:rsidP="000B4E79">
      <w:pPr>
        <w:ind w:left="567" w:hanging="567"/>
        <w:rPr>
          <w:rFonts w:ascii="Times New Roman" w:hAnsi="Times New Roman"/>
        </w:rPr>
      </w:pPr>
      <w:r w:rsidRPr="004156A9">
        <w:rPr>
          <w:rFonts w:ascii="Times New Roman" w:hAnsi="Times New Roman"/>
        </w:rPr>
        <w:t>Leibowitz, B 201</w:t>
      </w:r>
      <w:r w:rsidR="004E10A7" w:rsidRPr="004156A9">
        <w:rPr>
          <w:rFonts w:ascii="Times New Roman" w:hAnsi="Times New Roman"/>
        </w:rPr>
        <w:t>6,</w:t>
      </w:r>
      <w:r w:rsidRPr="004156A9">
        <w:rPr>
          <w:rFonts w:ascii="Times New Roman" w:hAnsi="Times New Roman"/>
        </w:rPr>
        <w:t xml:space="preserve"> The professional development of academics as teachers</w:t>
      </w:r>
      <w:r w:rsidR="004E10A7" w:rsidRPr="004156A9">
        <w:rPr>
          <w:rFonts w:ascii="Times New Roman" w:hAnsi="Times New Roman"/>
        </w:rPr>
        <w:t>, i</w:t>
      </w:r>
      <w:r w:rsidRPr="004156A9">
        <w:rPr>
          <w:rFonts w:ascii="Times New Roman" w:hAnsi="Times New Roman"/>
        </w:rPr>
        <w:t xml:space="preserve">n J Case </w:t>
      </w:r>
      <w:r w:rsidR="004E10A7" w:rsidRPr="004156A9">
        <w:rPr>
          <w:rFonts w:ascii="Times New Roman" w:hAnsi="Times New Roman"/>
        </w:rPr>
        <w:t>&amp;</w:t>
      </w:r>
      <w:r w:rsidRPr="004156A9">
        <w:rPr>
          <w:rFonts w:ascii="Times New Roman" w:hAnsi="Times New Roman"/>
        </w:rPr>
        <w:t xml:space="preserve"> J Huisman (eds) </w:t>
      </w:r>
      <w:r w:rsidRPr="004156A9">
        <w:rPr>
          <w:rFonts w:ascii="Times New Roman" w:hAnsi="Times New Roman"/>
          <w:i/>
        </w:rPr>
        <w:t xml:space="preserve">Researching </w:t>
      </w:r>
      <w:r w:rsidR="00FE27E0">
        <w:rPr>
          <w:rFonts w:ascii="Times New Roman" w:hAnsi="Times New Roman"/>
          <w:i/>
        </w:rPr>
        <w:t>h</w:t>
      </w:r>
      <w:r w:rsidRPr="004156A9">
        <w:rPr>
          <w:rFonts w:ascii="Times New Roman" w:hAnsi="Times New Roman"/>
          <w:i/>
        </w:rPr>
        <w:t xml:space="preserve">igher </w:t>
      </w:r>
      <w:r w:rsidR="00FE27E0">
        <w:rPr>
          <w:rFonts w:ascii="Times New Roman" w:hAnsi="Times New Roman"/>
          <w:i/>
        </w:rPr>
        <w:t>e</w:t>
      </w:r>
      <w:r w:rsidRPr="004156A9">
        <w:rPr>
          <w:rFonts w:ascii="Times New Roman" w:hAnsi="Times New Roman"/>
          <w:i/>
        </w:rPr>
        <w:t xml:space="preserve">ducation: </w:t>
      </w:r>
      <w:r w:rsidR="00FE27E0">
        <w:rPr>
          <w:rFonts w:ascii="Times New Roman" w:hAnsi="Times New Roman"/>
          <w:i/>
        </w:rPr>
        <w:t>i</w:t>
      </w:r>
      <w:r w:rsidRPr="004156A9">
        <w:rPr>
          <w:rFonts w:ascii="Times New Roman" w:hAnsi="Times New Roman"/>
          <w:i/>
        </w:rPr>
        <w:t xml:space="preserve">nternational </w:t>
      </w:r>
      <w:r w:rsidR="00FE27E0">
        <w:rPr>
          <w:rFonts w:ascii="Times New Roman" w:hAnsi="Times New Roman"/>
          <w:i/>
        </w:rPr>
        <w:t>p</w:t>
      </w:r>
      <w:r w:rsidRPr="004156A9">
        <w:rPr>
          <w:rFonts w:ascii="Times New Roman" w:hAnsi="Times New Roman"/>
          <w:i/>
        </w:rPr>
        <w:t xml:space="preserve">erspectives on </w:t>
      </w:r>
      <w:r w:rsidR="00FE27E0">
        <w:rPr>
          <w:rFonts w:ascii="Times New Roman" w:hAnsi="Times New Roman"/>
          <w:i/>
        </w:rPr>
        <w:t>t</w:t>
      </w:r>
      <w:r w:rsidRPr="004156A9">
        <w:rPr>
          <w:rFonts w:ascii="Times New Roman" w:hAnsi="Times New Roman"/>
          <w:i/>
        </w:rPr>
        <w:t xml:space="preserve">heory, </w:t>
      </w:r>
      <w:r w:rsidR="00FE27E0">
        <w:rPr>
          <w:rFonts w:ascii="Times New Roman" w:hAnsi="Times New Roman"/>
          <w:i/>
        </w:rPr>
        <w:t>p</w:t>
      </w:r>
      <w:r w:rsidRPr="004156A9">
        <w:rPr>
          <w:rFonts w:ascii="Times New Roman" w:hAnsi="Times New Roman"/>
          <w:i/>
        </w:rPr>
        <w:t xml:space="preserve">olicy and </w:t>
      </w:r>
      <w:r w:rsidR="00FE27E0">
        <w:rPr>
          <w:rFonts w:ascii="Times New Roman" w:hAnsi="Times New Roman"/>
          <w:i/>
        </w:rPr>
        <w:t>p</w:t>
      </w:r>
      <w:r w:rsidRPr="004156A9">
        <w:rPr>
          <w:rFonts w:ascii="Times New Roman" w:hAnsi="Times New Roman"/>
          <w:i/>
        </w:rPr>
        <w:t>ractice</w:t>
      </w:r>
      <w:r w:rsidR="00FE27E0">
        <w:rPr>
          <w:rFonts w:ascii="Times New Roman" w:hAnsi="Times New Roman"/>
        </w:rPr>
        <w:t>,</w:t>
      </w:r>
      <w:r w:rsidR="004E10A7" w:rsidRPr="004156A9">
        <w:rPr>
          <w:rFonts w:ascii="Times New Roman" w:hAnsi="Times New Roman"/>
        </w:rPr>
        <w:t xml:space="preserve"> Routledge, London.</w:t>
      </w:r>
    </w:p>
    <w:p w:rsidR="00D825FE" w:rsidRPr="004156A9" w:rsidRDefault="00D825FE" w:rsidP="00BA40CB">
      <w:pPr>
        <w:rPr>
          <w:rFonts w:ascii="Times New Roman" w:hAnsi="Times New Roman"/>
        </w:rPr>
      </w:pPr>
      <w:r w:rsidRPr="004156A9">
        <w:rPr>
          <w:rFonts w:ascii="Times New Roman" w:hAnsi="Times New Roman"/>
        </w:rPr>
        <w:t>Lillis, T 2001</w:t>
      </w:r>
      <w:r w:rsidR="004E10A7" w:rsidRPr="004156A9">
        <w:rPr>
          <w:rFonts w:ascii="Times New Roman" w:hAnsi="Times New Roman"/>
        </w:rPr>
        <w:t>,</w:t>
      </w:r>
      <w:r w:rsidRPr="004156A9">
        <w:rPr>
          <w:rFonts w:ascii="Times New Roman" w:hAnsi="Times New Roman"/>
        </w:rPr>
        <w:t xml:space="preserve"> </w:t>
      </w:r>
      <w:r w:rsidRPr="004156A9">
        <w:rPr>
          <w:rFonts w:ascii="Times New Roman" w:hAnsi="Times New Roman"/>
          <w:i/>
          <w:iCs/>
        </w:rPr>
        <w:t xml:space="preserve">Student </w:t>
      </w:r>
      <w:r w:rsidR="004E10A7" w:rsidRPr="004156A9">
        <w:rPr>
          <w:rFonts w:ascii="Times New Roman" w:hAnsi="Times New Roman"/>
          <w:i/>
          <w:iCs/>
        </w:rPr>
        <w:t xml:space="preserve">writing, access, regulation and desire, </w:t>
      </w:r>
      <w:r w:rsidRPr="004156A9">
        <w:rPr>
          <w:rFonts w:ascii="Times New Roman" w:hAnsi="Times New Roman"/>
        </w:rPr>
        <w:t>Routledge</w:t>
      </w:r>
      <w:r w:rsidR="004E10A7" w:rsidRPr="004156A9">
        <w:rPr>
          <w:rFonts w:ascii="Times New Roman" w:hAnsi="Times New Roman"/>
        </w:rPr>
        <w:t>, London</w:t>
      </w:r>
      <w:r w:rsidRPr="004156A9">
        <w:rPr>
          <w:rFonts w:ascii="Times New Roman" w:hAnsi="Times New Roman"/>
        </w:rPr>
        <w:t xml:space="preserve">. </w:t>
      </w:r>
    </w:p>
    <w:p w:rsidR="00B40DB1" w:rsidRPr="004156A9" w:rsidRDefault="00FE27E0" w:rsidP="00BA40CB">
      <w:pPr>
        <w:ind w:left="567" w:hanging="567"/>
        <w:rPr>
          <w:rFonts w:ascii="Times New Roman" w:hAnsi="Times New Roman"/>
        </w:rPr>
      </w:pPr>
      <w:r>
        <w:rPr>
          <w:rFonts w:ascii="Times New Roman" w:hAnsi="Times New Roman"/>
        </w:rPr>
        <w:t>Marton, F, Hounsell D</w:t>
      </w:r>
      <w:r w:rsidR="00B40DB1" w:rsidRPr="004156A9">
        <w:rPr>
          <w:rFonts w:ascii="Times New Roman" w:hAnsi="Times New Roman"/>
        </w:rPr>
        <w:t xml:space="preserve"> </w:t>
      </w:r>
      <w:r w:rsidR="00B215B7" w:rsidRPr="004156A9">
        <w:rPr>
          <w:rFonts w:ascii="Times New Roman" w:hAnsi="Times New Roman"/>
        </w:rPr>
        <w:t xml:space="preserve">&amp; </w:t>
      </w:r>
      <w:r w:rsidR="00B40DB1" w:rsidRPr="004156A9">
        <w:rPr>
          <w:rFonts w:ascii="Times New Roman" w:hAnsi="Times New Roman"/>
        </w:rPr>
        <w:t>Entwistle, N (eds)</w:t>
      </w:r>
      <w:r>
        <w:rPr>
          <w:rFonts w:ascii="Times New Roman" w:hAnsi="Times New Roman"/>
        </w:rPr>
        <w:t>,</w:t>
      </w:r>
      <w:r w:rsidR="00D825FE" w:rsidRPr="004156A9">
        <w:rPr>
          <w:rFonts w:ascii="Times New Roman" w:hAnsi="Times New Roman"/>
        </w:rPr>
        <w:t xml:space="preserve"> 1997</w:t>
      </w:r>
      <w:r w:rsidR="00B215B7" w:rsidRPr="004156A9">
        <w:rPr>
          <w:rFonts w:ascii="Times New Roman" w:hAnsi="Times New Roman"/>
        </w:rPr>
        <w:t>,</w:t>
      </w:r>
      <w:r w:rsidR="00D825FE" w:rsidRPr="004156A9">
        <w:rPr>
          <w:rFonts w:ascii="Times New Roman" w:hAnsi="Times New Roman"/>
        </w:rPr>
        <w:t xml:space="preserve"> </w:t>
      </w:r>
      <w:r w:rsidR="00B40DB1" w:rsidRPr="004156A9">
        <w:rPr>
          <w:rFonts w:ascii="Times New Roman" w:hAnsi="Times New Roman"/>
          <w:i/>
        </w:rPr>
        <w:t xml:space="preserve">The </w:t>
      </w:r>
      <w:r w:rsidR="00B215B7" w:rsidRPr="004156A9">
        <w:rPr>
          <w:rFonts w:ascii="Times New Roman" w:hAnsi="Times New Roman"/>
          <w:i/>
        </w:rPr>
        <w:t>e</w:t>
      </w:r>
      <w:r w:rsidR="00B40DB1" w:rsidRPr="004156A9">
        <w:rPr>
          <w:rFonts w:ascii="Times New Roman" w:hAnsi="Times New Roman"/>
          <w:i/>
        </w:rPr>
        <w:t xml:space="preserve">xperience of </w:t>
      </w:r>
      <w:r w:rsidR="00B215B7" w:rsidRPr="004156A9">
        <w:rPr>
          <w:rFonts w:ascii="Times New Roman" w:hAnsi="Times New Roman"/>
          <w:i/>
        </w:rPr>
        <w:t>learning: implications for teaching and studying in higher education</w:t>
      </w:r>
      <w:r w:rsidR="00B215B7" w:rsidRPr="004156A9">
        <w:rPr>
          <w:rFonts w:ascii="Times New Roman" w:hAnsi="Times New Roman"/>
        </w:rPr>
        <w:t xml:space="preserve">, second edition, Scottish Academic Press, </w:t>
      </w:r>
      <w:r w:rsidR="00B40DB1" w:rsidRPr="004156A9">
        <w:rPr>
          <w:rFonts w:ascii="Times New Roman" w:hAnsi="Times New Roman"/>
        </w:rPr>
        <w:t>Edinburgh</w:t>
      </w:r>
      <w:r w:rsidR="00B215B7" w:rsidRPr="004156A9">
        <w:rPr>
          <w:rFonts w:ascii="Times New Roman" w:hAnsi="Times New Roman"/>
        </w:rPr>
        <w:t xml:space="preserve">. </w:t>
      </w:r>
    </w:p>
    <w:p w:rsidR="00B40DB1" w:rsidRPr="004156A9" w:rsidRDefault="00FE27E0" w:rsidP="00BA40CB">
      <w:pPr>
        <w:ind w:left="567" w:hanging="567"/>
        <w:rPr>
          <w:rFonts w:ascii="Times New Roman" w:hAnsi="Times New Roman"/>
        </w:rPr>
      </w:pPr>
      <w:r>
        <w:rPr>
          <w:rFonts w:ascii="Times New Roman" w:hAnsi="Times New Roman"/>
        </w:rPr>
        <w:t>Mol, A</w:t>
      </w:r>
      <w:r w:rsidR="00B40DB1" w:rsidRPr="004156A9">
        <w:rPr>
          <w:rFonts w:ascii="Times New Roman" w:hAnsi="Times New Roman"/>
        </w:rPr>
        <w:t xml:space="preserve"> </w:t>
      </w:r>
      <w:r w:rsidR="00B215B7" w:rsidRPr="004156A9">
        <w:rPr>
          <w:rFonts w:ascii="Times New Roman" w:hAnsi="Times New Roman"/>
        </w:rPr>
        <w:t xml:space="preserve">&amp; </w:t>
      </w:r>
      <w:r>
        <w:rPr>
          <w:rFonts w:ascii="Times New Roman" w:hAnsi="Times New Roman"/>
        </w:rPr>
        <w:t>Law</w:t>
      </w:r>
      <w:r w:rsidR="00B40DB1" w:rsidRPr="004156A9">
        <w:rPr>
          <w:rFonts w:ascii="Times New Roman" w:hAnsi="Times New Roman"/>
        </w:rPr>
        <w:t xml:space="preserve"> J 2002</w:t>
      </w:r>
      <w:r w:rsidR="00B215B7" w:rsidRPr="004156A9">
        <w:rPr>
          <w:rFonts w:ascii="Times New Roman" w:hAnsi="Times New Roman"/>
        </w:rPr>
        <w:t>,</w:t>
      </w:r>
      <w:r w:rsidR="00B40DB1" w:rsidRPr="004156A9">
        <w:rPr>
          <w:rFonts w:ascii="Times New Roman" w:hAnsi="Times New Roman"/>
        </w:rPr>
        <w:t xml:space="preserve"> </w:t>
      </w:r>
      <w:r w:rsidR="00B215B7" w:rsidRPr="004156A9">
        <w:rPr>
          <w:rFonts w:ascii="Times New Roman" w:hAnsi="Times New Roman"/>
        </w:rPr>
        <w:t>‘</w:t>
      </w:r>
      <w:r w:rsidR="00B40DB1" w:rsidRPr="004156A9">
        <w:rPr>
          <w:rFonts w:ascii="Times New Roman" w:hAnsi="Times New Roman"/>
        </w:rPr>
        <w:t>Complexities: an introduction</w:t>
      </w:r>
      <w:r w:rsidR="00B215B7" w:rsidRPr="004156A9">
        <w:rPr>
          <w:rFonts w:ascii="Times New Roman" w:hAnsi="Times New Roman"/>
        </w:rPr>
        <w:t>’,</w:t>
      </w:r>
      <w:r w:rsidR="00B40DB1" w:rsidRPr="004156A9">
        <w:rPr>
          <w:rFonts w:ascii="Times New Roman" w:hAnsi="Times New Roman"/>
        </w:rPr>
        <w:t xml:space="preserve"> </w:t>
      </w:r>
      <w:r w:rsidR="00B215B7" w:rsidRPr="004156A9">
        <w:rPr>
          <w:rFonts w:ascii="Times New Roman" w:hAnsi="Times New Roman"/>
        </w:rPr>
        <w:t>i</w:t>
      </w:r>
      <w:r w:rsidR="00B40DB1" w:rsidRPr="004156A9">
        <w:rPr>
          <w:rFonts w:ascii="Times New Roman" w:hAnsi="Times New Roman"/>
        </w:rPr>
        <w:t>n J</w:t>
      </w:r>
      <w:r>
        <w:rPr>
          <w:rFonts w:ascii="Times New Roman" w:hAnsi="Times New Roman"/>
        </w:rPr>
        <w:t xml:space="preserve"> </w:t>
      </w:r>
      <w:r w:rsidR="00B40DB1" w:rsidRPr="004156A9">
        <w:rPr>
          <w:rFonts w:ascii="Times New Roman" w:hAnsi="Times New Roman"/>
        </w:rPr>
        <w:t xml:space="preserve">Law </w:t>
      </w:r>
      <w:r>
        <w:rPr>
          <w:rFonts w:ascii="Times New Roman" w:hAnsi="Times New Roman"/>
        </w:rPr>
        <w:t>&amp;</w:t>
      </w:r>
      <w:r w:rsidR="00B40DB1" w:rsidRPr="004156A9">
        <w:rPr>
          <w:rFonts w:ascii="Times New Roman" w:hAnsi="Times New Roman"/>
        </w:rPr>
        <w:t xml:space="preserve"> </w:t>
      </w:r>
      <w:r>
        <w:rPr>
          <w:rFonts w:ascii="Times New Roman" w:hAnsi="Times New Roman"/>
        </w:rPr>
        <w:t>A</w:t>
      </w:r>
      <w:r w:rsidR="00B215B7" w:rsidRPr="004156A9">
        <w:rPr>
          <w:rFonts w:ascii="Times New Roman" w:hAnsi="Times New Roman"/>
        </w:rPr>
        <w:t xml:space="preserve"> </w:t>
      </w:r>
      <w:r w:rsidR="00B40DB1" w:rsidRPr="004156A9">
        <w:rPr>
          <w:rFonts w:ascii="Times New Roman" w:hAnsi="Times New Roman"/>
        </w:rPr>
        <w:t>Mol (eds)</w:t>
      </w:r>
      <w:r>
        <w:rPr>
          <w:rFonts w:ascii="Times New Roman" w:hAnsi="Times New Roman"/>
        </w:rPr>
        <w:t>,</w:t>
      </w:r>
      <w:r w:rsidR="00B40DB1" w:rsidRPr="004156A9">
        <w:rPr>
          <w:rFonts w:ascii="Times New Roman" w:hAnsi="Times New Roman"/>
        </w:rPr>
        <w:t xml:space="preserve"> </w:t>
      </w:r>
      <w:r w:rsidR="00B40DB1" w:rsidRPr="004156A9">
        <w:rPr>
          <w:rFonts w:ascii="Times New Roman" w:hAnsi="Times New Roman"/>
          <w:i/>
        </w:rPr>
        <w:t>Complexities:</w:t>
      </w:r>
      <w:r w:rsidR="00B215B7" w:rsidRPr="004156A9">
        <w:rPr>
          <w:rFonts w:ascii="Times New Roman" w:hAnsi="Times New Roman"/>
          <w:i/>
        </w:rPr>
        <w:t xml:space="preserve"> social studies of knowledge practices,</w:t>
      </w:r>
      <w:r w:rsidR="00B215B7" w:rsidRPr="004156A9">
        <w:rPr>
          <w:rFonts w:ascii="Times New Roman" w:hAnsi="Times New Roman"/>
        </w:rPr>
        <w:t xml:space="preserve"> Duke University Press, </w:t>
      </w:r>
      <w:r w:rsidR="00B40DB1" w:rsidRPr="004156A9">
        <w:rPr>
          <w:rFonts w:ascii="Times New Roman" w:hAnsi="Times New Roman"/>
        </w:rPr>
        <w:t>Durham, North Carolina.</w:t>
      </w:r>
    </w:p>
    <w:p w:rsidR="00B40DB1" w:rsidRPr="004156A9" w:rsidRDefault="00B40DB1" w:rsidP="00BA40CB">
      <w:pPr>
        <w:ind w:left="567" w:hanging="567"/>
        <w:rPr>
          <w:rFonts w:ascii="Times New Roman" w:hAnsi="Times New Roman"/>
        </w:rPr>
      </w:pPr>
      <w:r w:rsidRPr="004156A9">
        <w:rPr>
          <w:rFonts w:ascii="Times New Roman" w:hAnsi="Times New Roman"/>
        </w:rPr>
        <w:t>Prosser, M</w:t>
      </w:r>
      <w:r w:rsidR="00B215B7" w:rsidRPr="004156A9">
        <w:rPr>
          <w:rFonts w:ascii="Times New Roman" w:hAnsi="Times New Roman"/>
        </w:rPr>
        <w:t xml:space="preserve"> &amp;</w:t>
      </w:r>
      <w:r w:rsidRPr="004156A9">
        <w:rPr>
          <w:rFonts w:ascii="Times New Roman" w:hAnsi="Times New Roman"/>
        </w:rPr>
        <w:t xml:space="preserve"> Trigwell, K 1999</w:t>
      </w:r>
      <w:r w:rsidR="00B215B7" w:rsidRPr="004156A9">
        <w:rPr>
          <w:rFonts w:ascii="Times New Roman" w:hAnsi="Times New Roman"/>
        </w:rPr>
        <w:t>,</w:t>
      </w:r>
      <w:r w:rsidRPr="004156A9">
        <w:rPr>
          <w:rFonts w:ascii="Times New Roman" w:hAnsi="Times New Roman"/>
        </w:rPr>
        <w:t xml:space="preserve"> </w:t>
      </w:r>
      <w:r w:rsidRPr="004156A9">
        <w:rPr>
          <w:rFonts w:ascii="Times New Roman" w:hAnsi="Times New Roman"/>
          <w:i/>
        </w:rPr>
        <w:t>Understanding</w:t>
      </w:r>
      <w:r w:rsidR="00B215B7" w:rsidRPr="004156A9">
        <w:rPr>
          <w:rFonts w:ascii="Times New Roman" w:hAnsi="Times New Roman"/>
          <w:i/>
        </w:rPr>
        <w:t xml:space="preserve"> learning and teaching: the experience in higher education</w:t>
      </w:r>
      <w:r w:rsidR="00B215B7" w:rsidRPr="004156A9">
        <w:rPr>
          <w:rFonts w:ascii="Times New Roman" w:hAnsi="Times New Roman"/>
        </w:rPr>
        <w:t xml:space="preserve">, Society for Research into Higher Education and Open University Press, </w:t>
      </w:r>
      <w:r w:rsidRPr="004156A9">
        <w:rPr>
          <w:rFonts w:ascii="Times New Roman" w:hAnsi="Times New Roman"/>
        </w:rPr>
        <w:t>Buckingham.</w:t>
      </w:r>
    </w:p>
    <w:p w:rsidR="00B40DB1" w:rsidRPr="004156A9" w:rsidRDefault="00B40DB1" w:rsidP="00BA40CB">
      <w:pPr>
        <w:ind w:left="567" w:hanging="567"/>
        <w:rPr>
          <w:rFonts w:ascii="Times New Roman" w:hAnsi="Times New Roman"/>
        </w:rPr>
      </w:pPr>
      <w:r w:rsidRPr="004156A9">
        <w:rPr>
          <w:rFonts w:ascii="Times New Roman" w:hAnsi="Times New Roman"/>
        </w:rPr>
        <w:lastRenderedPageBreak/>
        <w:t>Sayer, A 1992</w:t>
      </w:r>
      <w:r w:rsidR="00B215B7" w:rsidRPr="004156A9">
        <w:rPr>
          <w:rFonts w:ascii="Times New Roman" w:hAnsi="Times New Roman"/>
        </w:rPr>
        <w:t>,</w:t>
      </w:r>
      <w:r w:rsidRPr="004156A9">
        <w:rPr>
          <w:rFonts w:ascii="Times New Roman" w:hAnsi="Times New Roman"/>
        </w:rPr>
        <w:t xml:space="preserve"> </w:t>
      </w:r>
      <w:r w:rsidRPr="004156A9">
        <w:rPr>
          <w:rFonts w:ascii="Times New Roman" w:hAnsi="Times New Roman"/>
          <w:i/>
        </w:rPr>
        <w:t>Method in social science: a realist approach</w:t>
      </w:r>
      <w:r w:rsidRPr="004156A9">
        <w:rPr>
          <w:rFonts w:ascii="Times New Roman" w:hAnsi="Times New Roman"/>
        </w:rPr>
        <w:t xml:space="preserve">, </w:t>
      </w:r>
      <w:r w:rsidR="00B215B7" w:rsidRPr="004156A9">
        <w:rPr>
          <w:rFonts w:ascii="Times New Roman" w:hAnsi="Times New Roman"/>
        </w:rPr>
        <w:t xml:space="preserve">second </w:t>
      </w:r>
      <w:r w:rsidRPr="004156A9">
        <w:rPr>
          <w:rFonts w:ascii="Times New Roman" w:hAnsi="Times New Roman"/>
        </w:rPr>
        <w:t>edition</w:t>
      </w:r>
      <w:r w:rsidR="00B215B7" w:rsidRPr="004156A9">
        <w:rPr>
          <w:rFonts w:ascii="Times New Roman" w:hAnsi="Times New Roman"/>
        </w:rPr>
        <w:t xml:space="preserve">, Routledge, </w:t>
      </w:r>
      <w:r w:rsidRPr="004156A9">
        <w:rPr>
          <w:rFonts w:ascii="Times New Roman" w:hAnsi="Times New Roman"/>
        </w:rPr>
        <w:t>London.</w:t>
      </w:r>
    </w:p>
    <w:p w:rsidR="00B40DB1" w:rsidRPr="004156A9" w:rsidRDefault="00B40DB1" w:rsidP="00BA40CB">
      <w:pPr>
        <w:ind w:left="567" w:hanging="567"/>
        <w:rPr>
          <w:rFonts w:ascii="Times New Roman" w:hAnsi="Times New Roman"/>
        </w:rPr>
      </w:pPr>
      <w:r w:rsidRPr="004156A9">
        <w:rPr>
          <w:rFonts w:ascii="Times New Roman" w:hAnsi="Times New Roman"/>
        </w:rPr>
        <w:t>Sayer, A 2000</w:t>
      </w:r>
      <w:r w:rsidR="00B215B7" w:rsidRPr="004156A9">
        <w:rPr>
          <w:rFonts w:ascii="Times New Roman" w:hAnsi="Times New Roman"/>
        </w:rPr>
        <w:t>,</w:t>
      </w:r>
      <w:r w:rsidRPr="004156A9">
        <w:rPr>
          <w:rFonts w:ascii="Times New Roman" w:hAnsi="Times New Roman"/>
        </w:rPr>
        <w:t xml:space="preserve"> </w:t>
      </w:r>
      <w:r w:rsidRPr="004156A9">
        <w:rPr>
          <w:rFonts w:ascii="Times New Roman" w:hAnsi="Times New Roman"/>
          <w:i/>
        </w:rPr>
        <w:t>Realism and social science</w:t>
      </w:r>
      <w:r w:rsidR="00B215B7" w:rsidRPr="004156A9">
        <w:rPr>
          <w:rFonts w:ascii="Times New Roman" w:hAnsi="Times New Roman"/>
          <w:i/>
        </w:rPr>
        <w:t>,</w:t>
      </w:r>
      <w:r w:rsidRPr="004156A9">
        <w:rPr>
          <w:rFonts w:ascii="Times New Roman" w:hAnsi="Times New Roman"/>
        </w:rPr>
        <w:t xml:space="preserve"> Sage Publications</w:t>
      </w:r>
      <w:r w:rsidR="00B215B7" w:rsidRPr="004156A9">
        <w:rPr>
          <w:rFonts w:ascii="Times New Roman" w:hAnsi="Times New Roman"/>
        </w:rPr>
        <w:t>, London</w:t>
      </w:r>
      <w:r w:rsidR="001B0546" w:rsidRPr="004156A9">
        <w:rPr>
          <w:rFonts w:ascii="Times New Roman" w:hAnsi="Times New Roman"/>
        </w:rPr>
        <w:t>.</w:t>
      </w:r>
    </w:p>
    <w:p w:rsidR="00B40DB1" w:rsidRPr="004156A9" w:rsidRDefault="00FE27E0" w:rsidP="00BA40CB">
      <w:pPr>
        <w:ind w:left="567" w:hanging="567"/>
        <w:rPr>
          <w:rFonts w:ascii="Times New Roman" w:hAnsi="Times New Roman"/>
        </w:rPr>
      </w:pPr>
      <w:r>
        <w:rPr>
          <w:rFonts w:ascii="Times New Roman" w:hAnsi="Times New Roman"/>
        </w:rPr>
        <w:t>Shulman, L</w:t>
      </w:r>
      <w:r w:rsidR="00B40DB1" w:rsidRPr="004156A9">
        <w:rPr>
          <w:rFonts w:ascii="Times New Roman" w:hAnsi="Times New Roman"/>
        </w:rPr>
        <w:t xml:space="preserve"> 1987, ‘Knowledge and teaching: foundations of the new reform’</w:t>
      </w:r>
      <w:r w:rsidR="00B215B7" w:rsidRPr="004156A9">
        <w:rPr>
          <w:rFonts w:ascii="Times New Roman" w:hAnsi="Times New Roman"/>
        </w:rPr>
        <w:t xml:space="preserve">, </w:t>
      </w:r>
      <w:r w:rsidR="00B40DB1" w:rsidRPr="004156A9">
        <w:rPr>
          <w:rFonts w:ascii="Times New Roman" w:hAnsi="Times New Roman"/>
          <w:i/>
        </w:rPr>
        <w:t>Harvard Educational Review</w:t>
      </w:r>
      <w:r w:rsidR="00B40DB1" w:rsidRPr="004156A9">
        <w:rPr>
          <w:rFonts w:ascii="Times New Roman" w:hAnsi="Times New Roman"/>
        </w:rPr>
        <w:t xml:space="preserve"> </w:t>
      </w:r>
      <w:r w:rsidR="00B215B7" w:rsidRPr="004156A9">
        <w:rPr>
          <w:rFonts w:ascii="Times New Roman" w:hAnsi="Times New Roman"/>
        </w:rPr>
        <w:t xml:space="preserve">vol </w:t>
      </w:r>
      <w:r w:rsidR="00B40DB1" w:rsidRPr="004156A9">
        <w:rPr>
          <w:rFonts w:ascii="Times New Roman" w:hAnsi="Times New Roman"/>
        </w:rPr>
        <w:t xml:space="preserve">57, </w:t>
      </w:r>
      <w:r w:rsidR="00B215B7" w:rsidRPr="004156A9">
        <w:rPr>
          <w:rFonts w:ascii="Times New Roman" w:hAnsi="Times New Roman"/>
        </w:rPr>
        <w:t xml:space="preserve">pp. </w:t>
      </w:r>
      <w:r w:rsidR="00B40DB1" w:rsidRPr="004156A9">
        <w:rPr>
          <w:rFonts w:ascii="Times New Roman" w:hAnsi="Times New Roman"/>
        </w:rPr>
        <w:t>1-23</w:t>
      </w:r>
      <w:r w:rsidR="001B0546" w:rsidRPr="004156A9">
        <w:rPr>
          <w:rFonts w:ascii="Times New Roman" w:hAnsi="Times New Roman"/>
        </w:rPr>
        <w:t>.</w:t>
      </w:r>
    </w:p>
    <w:p w:rsidR="00B40DB1" w:rsidRPr="004156A9" w:rsidRDefault="00B40DB1" w:rsidP="00EE15DE">
      <w:pPr>
        <w:spacing w:line="480" w:lineRule="auto"/>
        <w:ind w:left="567" w:hanging="567"/>
        <w:rPr>
          <w:rFonts w:ascii="Times New Roman" w:hAnsi="Times New Roman"/>
          <w:kern w:val="32"/>
        </w:rPr>
      </w:pPr>
    </w:p>
    <w:p w:rsidR="00B40DB1" w:rsidRPr="004156A9" w:rsidRDefault="00B40DB1" w:rsidP="00EE15DE">
      <w:pPr>
        <w:spacing w:line="480" w:lineRule="auto"/>
        <w:ind w:left="567" w:hanging="567"/>
        <w:rPr>
          <w:rFonts w:ascii="Times New Roman" w:hAnsi="Times New Roman"/>
        </w:rPr>
      </w:pPr>
    </w:p>
    <w:p w:rsidR="00B40DB1" w:rsidRPr="004156A9" w:rsidRDefault="00B40DB1" w:rsidP="00EE15DE">
      <w:pPr>
        <w:spacing w:line="480" w:lineRule="auto"/>
        <w:rPr>
          <w:rFonts w:ascii="Times New Roman" w:hAnsi="Times New Roman"/>
        </w:rPr>
      </w:pPr>
    </w:p>
    <w:sectPr w:rsidR="00B40DB1" w:rsidRPr="004156A9">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D4501" w15:done="0"/>
  <w15:commentEx w15:paraId="2B3D2E0D" w15:done="0"/>
  <w15:commentEx w15:paraId="651C77C5" w15:done="0"/>
  <w15:commentEx w15:paraId="102BB29C" w15:done="0"/>
  <w15:commentEx w15:paraId="776FCFAE" w15:done="0"/>
  <w15:commentEx w15:paraId="177F2B38" w15:done="0"/>
  <w15:commentEx w15:paraId="04A9B121" w15:done="0"/>
  <w15:commentEx w15:paraId="7CFCF1C9" w15:done="0"/>
  <w15:commentEx w15:paraId="0ED4B2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56" w:rsidRDefault="00183456" w:rsidP="005B2D03">
      <w:r>
        <w:separator/>
      </w:r>
    </w:p>
  </w:endnote>
  <w:endnote w:type="continuationSeparator" w:id="0">
    <w:p w:rsidR="00183456" w:rsidRDefault="00183456" w:rsidP="005B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09239"/>
      <w:docPartObj>
        <w:docPartGallery w:val="Page Numbers (Bottom of Page)"/>
        <w:docPartUnique/>
      </w:docPartObj>
    </w:sdtPr>
    <w:sdtEndPr>
      <w:rPr>
        <w:noProof/>
      </w:rPr>
    </w:sdtEndPr>
    <w:sdtContent>
      <w:p w:rsidR="00193631" w:rsidRDefault="00193631">
        <w:pPr>
          <w:pStyle w:val="Footer"/>
          <w:jc w:val="right"/>
        </w:pPr>
        <w:r>
          <w:fldChar w:fldCharType="begin"/>
        </w:r>
        <w:r>
          <w:instrText xml:space="preserve"> PAGE   \* MERGEFORMAT </w:instrText>
        </w:r>
        <w:r>
          <w:fldChar w:fldCharType="separate"/>
        </w:r>
        <w:r w:rsidR="00E2611B">
          <w:rPr>
            <w:noProof/>
          </w:rPr>
          <w:t>8</w:t>
        </w:r>
        <w:r>
          <w:rPr>
            <w:noProof/>
          </w:rPr>
          <w:fldChar w:fldCharType="end"/>
        </w:r>
      </w:p>
    </w:sdtContent>
  </w:sdt>
  <w:p w:rsidR="00193631" w:rsidRDefault="0019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56" w:rsidRDefault="00183456" w:rsidP="005B2D03">
      <w:r>
        <w:separator/>
      </w:r>
    </w:p>
  </w:footnote>
  <w:footnote w:type="continuationSeparator" w:id="0">
    <w:p w:rsidR="00183456" w:rsidRDefault="00183456" w:rsidP="005B2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56B"/>
    <w:multiLevelType w:val="hybridMultilevel"/>
    <w:tmpl w:val="36384C5E"/>
    <w:lvl w:ilvl="0" w:tplc="6842307A">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D17E9"/>
    <w:multiLevelType w:val="hybridMultilevel"/>
    <w:tmpl w:val="86B45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204C8"/>
    <w:multiLevelType w:val="hybridMultilevel"/>
    <w:tmpl w:val="E61C3C9E"/>
    <w:lvl w:ilvl="0" w:tplc="C508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B66944"/>
    <w:multiLevelType w:val="hybridMultilevel"/>
    <w:tmpl w:val="48289C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7A6B34"/>
    <w:multiLevelType w:val="multilevel"/>
    <w:tmpl w:val="D84454E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nsid w:val="39B63011"/>
    <w:multiLevelType w:val="hybridMultilevel"/>
    <w:tmpl w:val="E61C3C9E"/>
    <w:lvl w:ilvl="0" w:tplc="C508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402734"/>
    <w:multiLevelType w:val="hybridMultilevel"/>
    <w:tmpl w:val="5AC0D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E1503E"/>
    <w:multiLevelType w:val="hybridMultilevel"/>
    <w:tmpl w:val="CEF29234"/>
    <w:lvl w:ilvl="0" w:tplc="858820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2"/>
  </w:num>
  <w:num w:numId="5">
    <w:abstractNumId w:val="5"/>
  </w:num>
  <w:num w:numId="6">
    <w:abstractNumId w:val="3"/>
  </w:num>
  <w:num w:numId="7">
    <w:abstractNumId w:val="6"/>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Kahn">
    <w15:presenceInfo w15:providerId="None" w15:userId="Peter K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E0"/>
    <w:rsid w:val="00007B4F"/>
    <w:rsid w:val="0001164F"/>
    <w:rsid w:val="00036737"/>
    <w:rsid w:val="0006450A"/>
    <w:rsid w:val="00084675"/>
    <w:rsid w:val="000946CA"/>
    <w:rsid w:val="0009558F"/>
    <w:rsid w:val="000A11D9"/>
    <w:rsid w:val="000B4E79"/>
    <w:rsid w:val="000E0456"/>
    <w:rsid w:val="00161444"/>
    <w:rsid w:val="00176048"/>
    <w:rsid w:val="00183456"/>
    <w:rsid w:val="00193631"/>
    <w:rsid w:val="001B0546"/>
    <w:rsid w:val="001C6168"/>
    <w:rsid w:val="001C62FD"/>
    <w:rsid w:val="001E3485"/>
    <w:rsid w:val="00201002"/>
    <w:rsid w:val="002652D2"/>
    <w:rsid w:val="00267D30"/>
    <w:rsid w:val="0028449E"/>
    <w:rsid w:val="002871FD"/>
    <w:rsid w:val="00292BEB"/>
    <w:rsid w:val="00302A93"/>
    <w:rsid w:val="003654E0"/>
    <w:rsid w:val="00366086"/>
    <w:rsid w:val="00385588"/>
    <w:rsid w:val="003A43F8"/>
    <w:rsid w:val="003E26CC"/>
    <w:rsid w:val="003F27DC"/>
    <w:rsid w:val="003F41B2"/>
    <w:rsid w:val="004053CC"/>
    <w:rsid w:val="004156A9"/>
    <w:rsid w:val="004325E8"/>
    <w:rsid w:val="00457DAC"/>
    <w:rsid w:val="00467A16"/>
    <w:rsid w:val="00471EBA"/>
    <w:rsid w:val="004C21D9"/>
    <w:rsid w:val="004C29BD"/>
    <w:rsid w:val="004E10A7"/>
    <w:rsid w:val="00506068"/>
    <w:rsid w:val="00540359"/>
    <w:rsid w:val="005705CF"/>
    <w:rsid w:val="0057787B"/>
    <w:rsid w:val="005928DC"/>
    <w:rsid w:val="005B2D03"/>
    <w:rsid w:val="006165DE"/>
    <w:rsid w:val="00671C0B"/>
    <w:rsid w:val="006A770F"/>
    <w:rsid w:val="006B2EE0"/>
    <w:rsid w:val="006C4712"/>
    <w:rsid w:val="006C47BE"/>
    <w:rsid w:val="006F396A"/>
    <w:rsid w:val="006F71C9"/>
    <w:rsid w:val="00706AF6"/>
    <w:rsid w:val="00723922"/>
    <w:rsid w:val="00726500"/>
    <w:rsid w:val="007307C0"/>
    <w:rsid w:val="00731586"/>
    <w:rsid w:val="007A5FE0"/>
    <w:rsid w:val="007B500B"/>
    <w:rsid w:val="007C7DE9"/>
    <w:rsid w:val="007E10F9"/>
    <w:rsid w:val="0081241A"/>
    <w:rsid w:val="00814ACC"/>
    <w:rsid w:val="00862290"/>
    <w:rsid w:val="00893007"/>
    <w:rsid w:val="00894A34"/>
    <w:rsid w:val="008A550D"/>
    <w:rsid w:val="0090527C"/>
    <w:rsid w:val="009239F6"/>
    <w:rsid w:val="009273F8"/>
    <w:rsid w:val="00946062"/>
    <w:rsid w:val="009543CD"/>
    <w:rsid w:val="009E35A7"/>
    <w:rsid w:val="00A07168"/>
    <w:rsid w:val="00A07B0B"/>
    <w:rsid w:val="00A10C19"/>
    <w:rsid w:val="00A1185C"/>
    <w:rsid w:val="00A136B6"/>
    <w:rsid w:val="00A44A4A"/>
    <w:rsid w:val="00A53288"/>
    <w:rsid w:val="00A65D35"/>
    <w:rsid w:val="00A8118C"/>
    <w:rsid w:val="00AB21DE"/>
    <w:rsid w:val="00AD0A3D"/>
    <w:rsid w:val="00AF73EE"/>
    <w:rsid w:val="00B210B9"/>
    <w:rsid w:val="00B215B7"/>
    <w:rsid w:val="00B22FA9"/>
    <w:rsid w:val="00B24E8B"/>
    <w:rsid w:val="00B33EA0"/>
    <w:rsid w:val="00B401E8"/>
    <w:rsid w:val="00B40DB1"/>
    <w:rsid w:val="00B56FCD"/>
    <w:rsid w:val="00B633F4"/>
    <w:rsid w:val="00B71EEB"/>
    <w:rsid w:val="00B76EA0"/>
    <w:rsid w:val="00B8680B"/>
    <w:rsid w:val="00B91585"/>
    <w:rsid w:val="00B91E24"/>
    <w:rsid w:val="00B97BB4"/>
    <w:rsid w:val="00BA1666"/>
    <w:rsid w:val="00BA40CB"/>
    <w:rsid w:val="00BB045A"/>
    <w:rsid w:val="00BD0B64"/>
    <w:rsid w:val="00BF4542"/>
    <w:rsid w:val="00C75D63"/>
    <w:rsid w:val="00CC2739"/>
    <w:rsid w:val="00CC4AA5"/>
    <w:rsid w:val="00CC55D5"/>
    <w:rsid w:val="00CD7D25"/>
    <w:rsid w:val="00CE4F2D"/>
    <w:rsid w:val="00D02E25"/>
    <w:rsid w:val="00D35D58"/>
    <w:rsid w:val="00D448A1"/>
    <w:rsid w:val="00D825FE"/>
    <w:rsid w:val="00DA53F0"/>
    <w:rsid w:val="00DB5470"/>
    <w:rsid w:val="00DF05D5"/>
    <w:rsid w:val="00DF05E7"/>
    <w:rsid w:val="00DF11E5"/>
    <w:rsid w:val="00E207C1"/>
    <w:rsid w:val="00E2611B"/>
    <w:rsid w:val="00E342D7"/>
    <w:rsid w:val="00E55DDF"/>
    <w:rsid w:val="00EA2027"/>
    <w:rsid w:val="00EA56E1"/>
    <w:rsid w:val="00EC5423"/>
    <w:rsid w:val="00EC5570"/>
    <w:rsid w:val="00EE15DE"/>
    <w:rsid w:val="00EF5080"/>
    <w:rsid w:val="00F14301"/>
    <w:rsid w:val="00F15B34"/>
    <w:rsid w:val="00F573E6"/>
    <w:rsid w:val="00F74245"/>
    <w:rsid w:val="00F907D8"/>
    <w:rsid w:val="00F926B1"/>
    <w:rsid w:val="00FE27E0"/>
    <w:rsid w:val="00FE6946"/>
    <w:rsid w:val="00FF005F"/>
    <w:rsid w:val="00FF00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8F"/>
    <w:rPr>
      <w:sz w:val="24"/>
      <w:szCs w:val="24"/>
    </w:rPr>
  </w:style>
  <w:style w:type="paragraph" w:styleId="Heading1">
    <w:name w:val="heading 1"/>
    <w:basedOn w:val="Normal"/>
    <w:next w:val="Normal"/>
    <w:link w:val="Heading1Char"/>
    <w:uiPriority w:val="9"/>
    <w:qFormat/>
    <w:rsid w:val="0009558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955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955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9558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9558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9558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9558F"/>
    <w:pPr>
      <w:spacing w:before="240" w:after="60"/>
      <w:outlineLvl w:val="6"/>
    </w:pPr>
  </w:style>
  <w:style w:type="paragraph" w:styleId="Heading8">
    <w:name w:val="heading 8"/>
    <w:basedOn w:val="Normal"/>
    <w:next w:val="Normal"/>
    <w:link w:val="Heading8Char"/>
    <w:uiPriority w:val="9"/>
    <w:semiHidden/>
    <w:unhideWhenUsed/>
    <w:qFormat/>
    <w:rsid w:val="0009558F"/>
    <w:pPr>
      <w:spacing w:before="240" w:after="60"/>
      <w:outlineLvl w:val="7"/>
    </w:pPr>
    <w:rPr>
      <w:i/>
      <w:iCs/>
    </w:rPr>
  </w:style>
  <w:style w:type="paragraph" w:styleId="Heading9">
    <w:name w:val="heading 9"/>
    <w:basedOn w:val="Normal"/>
    <w:next w:val="Normal"/>
    <w:link w:val="Heading9Char"/>
    <w:uiPriority w:val="9"/>
    <w:semiHidden/>
    <w:unhideWhenUsed/>
    <w:qFormat/>
    <w:rsid w:val="0009558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FE0"/>
    <w:rPr>
      <w:rFonts w:ascii="Cambria" w:eastAsia="Cambria" w:hAnsi="Cambria" w:cs="Cambria"/>
      <w:color w:val="000000"/>
      <w:sz w:val="24"/>
      <w:szCs w:val="24"/>
      <w:lang w:val="en-US"/>
    </w:rPr>
  </w:style>
  <w:style w:type="character" w:customStyle="1" w:styleId="hlfld-contribauthor">
    <w:name w:val="hlfld-contribauthor"/>
    <w:basedOn w:val="DefaultParagraphFont"/>
    <w:rsid w:val="00A53288"/>
  </w:style>
  <w:style w:type="character" w:customStyle="1" w:styleId="Heading1Char">
    <w:name w:val="Heading 1 Char"/>
    <w:basedOn w:val="DefaultParagraphFont"/>
    <w:link w:val="Heading1"/>
    <w:uiPriority w:val="9"/>
    <w:rsid w:val="0009558F"/>
    <w:rPr>
      <w:rFonts w:asciiTheme="majorHAnsi" w:eastAsiaTheme="majorEastAsia" w:hAnsiTheme="majorHAnsi" w:cstheme="majorBidi"/>
      <w:b/>
      <w:bCs/>
      <w:kern w:val="32"/>
      <w:sz w:val="32"/>
      <w:szCs w:val="32"/>
    </w:rPr>
  </w:style>
  <w:style w:type="table" w:styleId="TableGrid">
    <w:name w:val="Table Grid"/>
    <w:basedOn w:val="TableNormal"/>
    <w:uiPriority w:val="39"/>
    <w:rsid w:val="00BD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58F"/>
    <w:pPr>
      <w:ind w:left="720"/>
      <w:contextualSpacing/>
    </w:pPr>
  </w:style>
  <w:style w:type="paragraph" w:styleId="BalloonText">
    <w:name w:val="Balloon Text"/>
    <w:basedOn w:val="Normal"/>
    <w:link w:val="BalloonTextChar"/>
    <w:uiPriority w:val="99"/>
    <w:semiHidden/>
    <w:unhideWhenUsed/>
    <w:rsid w:val="0009558F"/>
    <w:rPr>
      <w:rFonts w:ascii="Tahoma" w:hAnsi="Tahoma" w:cs="Tahoma"/>
      <w:sz w:val="16"/>
      <w:szCs w:val="16"/>
    </w:rPr>
  </w:style>
  <w:style w:type="character" w:customStyle="1" w:styleId="BalloonTextChar">
    <w:name w:val="Balloon Text Char"/>
    <w:basedOn w:val="DefaultParagraphFont"/>
    <w:link w:val="BalloonText"/>
    <w:uiPriority w:val="99"/>
    <w:semiHidden/>
    <w:rsid w:val="0009558F"/>
    <w:rPr>
      <w:rFonts w:ascii="Tahoma" w:hAnsi="Tahoma" w:cs="Tahoma"/>
      <w:sz w:val="16"/>
      <w:szCs w:val="16"/>
    </w:rPr>
  </w:style>
  <w:style w:type="character" w:customStyle="1" w:styleId="Heading2Char">
    <w:name w:val="Heading 2 Char"/>
    <w:basedOn w:val="DefaultParagraphFont"/>
    <w:link w:val="Heading2"/>
    <w:uiPriority w:val="9"/>
    <w:rsid w:val="000955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9558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9558F"/>
    <w:rPr>
      <w:b/>
      <w:bCs/>
      <w:sz w:val="28"/>
      <w:szCs w:val="28"/>
    </w:rPr>
  </w:style>
  <w:style w:type="character" w:customStyle="1" w:styleId="Heading5Char">
    <w:name w:val="Heading 5 Char"/>
    <w:basedOn w:val="DefaultParagraphFont"/>
    <w:link w:val="Heading5"/>
    <w:uiPriority w:val="9"/>
    <w:semiHidden/>
    <w:rsid w:val="0009558F"/>
    <w:rPr>
      <w:b/>
      <w:bCs/>
      <w:i/>
      <w:iCs/>
      <w:sz w:val="26"/>
      <w:szCs w:val="26"/>
    </w:rPr>
  </w:style>
  <w:style w:type="character" w:customStyle="1" w:styleId="Heading6Char">
    <w:name w:val="Heading 6 Char"/>
    <w:basedOn w:val="DefaultParagraphFont"/>
    <w:link w:val="Heading6"/>
    <w:uiPriority w:val="9"/>
    <w:semiHidden/>
    <w:rsid w:val="0009558F"/>
    <w:rPr>
      <w:b/>
      <w:bCs/>
    </w:rPr>
  </w:style>
  <w:style w:type="character" w:customStyle="1" w:styleId="Heading7Char">
    <w:name w:val="Heading 7 Char"/>
    <w:basedOn w:val="DefaultParagraphFont"/>
    <w:link w:val="Heading7"/>
    <w:uiPriority w:val="9"/>
    <w:semiHidden/>
    <w:rsid w:val="0009558F"/>
    <w:rPr>
      <w:sz w:val="24"/>
      <w:szCs w:val="24"/>
    </w:rPr>
  </w:style>
  <w:style w:type="character" w:customStyle="1" w:styleId="Heading8Char">
    <w:name w:val="Heading 8 Char"/>
    <w:basedOn w:val="DefaultParagraphFont"/>
    <w:link w:val="Heading8"/>
    <w:uiPriority w:val="9"/>
    <w:semiHidden/>
    <w:rsid w:val="0009558F"/>
    <w:rPr>
      <w:i/>
      <w:iCs/>
      <w:sz w:val="24"/>
      <w:szCs w:val="24"/>
    </w:rPr>
  </w:style>
  <w:style w:type="character" w:customStyle="1" w:styleId="Heading9Char">
    <w:name w:val="Heading 9 Char"/>
    <w:basedOn w:val="DefaultParagraphFont"/>
    <w:link w:val="Heading9"/>
    <w:uiPriority w:val="9"/>
    <w:semiHidden/>
    <w:rsid w:val="0009558F"/>
    <w:rPr>
      <w:rFonts w:asciiTheme="majorHAnsi" w:eastAsiaTheme="majorEastAsia" w:hAnsiTheme="majorHAnsi"/>
    </w:rPr>
  </w:style>
  <w:style w:type="paragraph" w:styleId="Title">
    <w:name w:val="Title"/>
    <w:basedOn w:val="Normal"/>
    <w:next w:val="Normal"/>
    <w:link w:val="TitleChar"/>
    <w:uiPriority w:val="10"/>
    <w:qFormat/>
    <w:rsid w:val="000955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955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955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9558F"/>
    <w:rPr>
      <w:rFonts w:asciiTheme="majorHAnsi" w:eastAsiaTheme="majorEastAsia" w:hAnsiTheme="majorHAnsi"/>
      <w:sz w:val="24"/>
      <w:szCs w:val="24"/>
    </w:rPr>
  </w:style>
  <w:style w:type="character" w:styleId="Strong">
    <w:name w:val="Strong"/>
    <w:basedOn w:val="DefaultParagraphFont"/>
    <w:uiPriority w:val="22"/>
    <w:qFormat/>
    <w:rsid w:val="0009558F"/>
    <w:rPr>
      <w:b/>
      <w:bCs/>
    </w:rPr>
  </w:style>
  <w:style w:type="character" w:styleId="Emphasis">
    <w:name w:val="Emphasis"/>
    <w:basedOn w:val="DefaultParagraphFont"/>
    <w:uiPriority w:val="20"/>
    <w:qFormat/>
    <w:rsid w:val="0009558F"/>
    <w:rPr>
      <w:rFonts w:asciiTheme="minorHAnsi" w:hAnsiTheme="minorHAnsi"/>
      <w:b/>
      <w:i/>
      <w:iCs/>
    </w:rPr>
  </w:style>
  <w:style w:type="paragraph" w:styleId="NoSpacing">
    <w:name w:val="No Spacing"/>
    <w:basedOn w:val="Normal"/>
    <w:uiPriority w:val="1"/>
    <w:qFormat/>
    <w:rsid w:val="0009558F"/>
    <w:rPr>
      <w:szCs w:val="32"/>
    </w:rPr>
  </w:style>
  <w:style w:type="paragraph" w:styleId="Quote">
    <w:name w:val="Quote"/>
    <w:basedOn w:val="Normal"/>
    <w:next w:val="Normal"/>
    <w:link w:val="QuoteChar"/>
    <w:uiPriority w:val="29"/>
    <w:qFormat/>
    <w:rsid w:val="0009558F"/>
    <w:rPr>
      <w:i/>
    </w:rPr>
  </w:style>
  <w:style w:type="character" w:customStyle="1" w:styleId="QuoteChar">
    <w:name w:val="Quote Char"/>
    <w:basedOn w:val="DefaultParagraphFont"/>
    <w:link w:val="Quote"/>
    <w:uiPriority w:val="29"/>
    <w:rsid w:val="0009558F"/>
    <w:rPr>
      <w:i/>
      <w:sz w:val="24"/>
      <w:szCs w:val="24"/>
    </w:rPr>
  </w:style>
  <w:style w:type="paragraph" w:styleId="IntenseQuote">
    <w:name w:val="Intense Quote"/>
    <w:basedOn w:val="Normal"/>
    <w:next w:val="Normal"/>
    <w:link w:val="IntenseQuoteChar"/>
    <w:uiPriority w:val="30"/>
    <w:qFormat/>
    <w:rsid w:val="0009558F"/>
    <w:pPr>
      <w:ind w:left="720" w:right="720"/>
    </w:pPr>
    <w:rPr>
      <w:b/>
      <w:i/>
      <w:szCs w:val="22"/>
    </w:rPr>
  </w:style>
  <w:style w:type="character" w:customStyle="1" w:styleId="IntenseQuoteChar">
    <w:name w:val="Intense Quote Char"/>
    <w:basedOn w:val="DefaultParagraphFont"/>
    <w:link w:val="IntenseQuote"/>
    <w:uiPriority w:val="30"/>
    <w:rsid w:val="0009558F"/>
    <w:rPr>
      <w:b/>
      <w:i/>
      <w:sz w:val="24"/>
    </w:rPr>
  </w:style>
  <w:style w:type="character" w:styleId="SubtleEmphasis">
    <w:name w:val="Subtle Emphasis"/>
    <w:uiPriority w:val="19"/>
    <w:qFormat/>
    <w:rsid w:val="0009558F"/>
    <w:rPr>
      <w:i/>
      <w:color w:val="5A5A5A" w:themeColor="text1" w:themeTint="A5"/>
    </w:rPr>
  </w:style>
  <w:style w:type="character" w:styleId="IntenseEmphasis">
    <w:name w:val="Intense Emphasis"/>
    <w:basedOn w:val="DefaultParagraphFont"/>
    <w:uiPriority w:val="21"/>
    <w:qFormat/>
    <w:rsid w:val="0009558F"/>
    <w:rPr>
      <w:b/>
      <w:i/>
      <w:sz w:val="24"/>
      <w:szCs w:val="24"/>
      <w:u w:val="single"/>
    </w:rPr>
  </w:style>
  <w:style w:type="character" w:styleId="SubtleReference">
    <w:name w:val="Subtle Reference"/>
    <w:basedOn w:val="DefaultParagraphFont"/>
    <w:uiPriority w:val="31"/>
    <w:qFormat/>
    <w:rsid w:val="0009558F"/>
    <w:rPr>
      <w:sz w:val="24"/>
      <w:szCs w:val="24"/>
      <w:u w:val="single"/>
    </w:rPr>
  </w:style>
  <w:style w:type="character" w:styleId="IntenseReference">
    <w:name w:val="Intense Reference"/>
    <w:basedOn w:val="DefaultParagraphFont"/>
    <w:uiPriority w:val="32"/>
    <w:qFormat/>
    <w:rsid w:val="0009558F"/>
    <w:rPr>
      <w:b/>
      <w:sz w:val="24"/>
      <w:u w:val="single"/>
    </w:rPr>
  </w:style>
  <w:style w:type="character" w:styleId="BookTitle">
    <w:name w:val="Book Title"/>
    <w:basedOn w:val="DefaultParagraphFont"/>
    <w:uiPriority w:val="33"/>
    <w:qFormat/>
    <w:rsid w:val="0009558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9558F"/>
    <w:pPr>
      <w:outlineLvl w:val="9"/>
    </w:pPr>
    <w:rPr>
      <w:rFonts w:cs="Times New Roman"/>
    </w:rPr>
  </w:style>
  <w:style w:type="paragraph" w:styleId="Header">
    <w:name w:val="header"/>
    <w:basedOn w:val="Normal"/>
    <w:link w:val="HeaderChar"/>
    <w:uiPriority w:val="99"/>
    <w:unhideWhenUsed/>
    <w:rsid w:val="005B2D03"/>
    <w:pPr>
      <w:tabs>
        <w:tab w:val="center" w:pos="4513"/>
        <w:tab w:val="right" w:pos="9026"/>
      </w:tabs>
    </w:pPr>
  </w:style>
  <w:style w:type="character" w:customStyle="1" w:styleId="HeaderChar">
    <w:name w:val="Header Char"/>
    <w:basedOn w:val="DefaultParagraphFont"/>
    <w:link w:val="Header"/>
    <w:uiPriority w:val="99"/>
    <w:rsid w:val="005B2D03"/>
    <w:rPr>
      <w:sz w:val="24"/>
      <w:szCs w:val="24"/>
    </w:rPr>
  </w:style>
  <w:style w:type="paragraph" w:styleId="Footer">
    <w:name w:val="footer"/>
    <w:basedOn w:val="Normal"/>
    <w:link w:val="FooterChar"/>
    <w:uiPriority w:val="99"/>
    <w:unhideWhenUsed/>
    <w:rsid w:val="005B2D03"/>
    <w:pPr>
      <w:tabs>
        <w:tab w:val="center" w:pos="4513"/>
        <w:tab w:val="right" w:pos="9026"/>
      </w:tabs>
    </w:pPr>
  </w:style>
  <w:style w:type="character" w:customStyle="1" w:styleId="FooterChar">
    <w:name w:val="Footer Char"/>
    <w:basedOn w:val="DefaultParagraphFont"/>
    <w:link w:val="Footer"/>
    <w:uiPriority w:val="99"/>
    <w:rsid w:val="005B2D03"/>
    <w:rPr>
      <w:sz w:val="24"/>
      <w:szCs w:val="24"/>
    </w:rPr>
  </w:style>
  <w:style w:type="character" w:customStyle="1" w:styleId="date2">
    <w:name w:val="date2"/>
    <w:basedOn w:val="DefaultParagraphFont"/>
    <w:rsid w:val="00D825FE"/>
  </w:style>
  <w:style w:type="character" w:styleId="CommentReference">
    <w:name w:val="annotation reference"/>
    <w:basedOn w:val="DefaultParagraphFont"/>
    <w:uiPriority w:val="99"/>
    <w:semiHidden/>
    <w:unhideWhenUsed/>
    <w:rsid w:val="00F926B1"/>
    <w:rPr>
      <w:sz w:val="18"/>
      <w:szCs w:val="18"/>
    </w:rPr>
  </w:style>
  <w:style w:type="paragraph" w:styleId="CommentText">
    <w:name w:val="annotation text"/>
    <w:basedOn w:val="Normal"/>
    <w:link w:val="CommentTextChar"/>
    <w:uiPriority w:val="99"/>
    <w:semiHidden/>
    <w:unhideWhenUsed/>
    <w:rsid w:val="00F926B1"/>
  </w:style>
  <w:style w:type="character" w:customStyle="1" w:styleId="CommentTextChar">
    <w:name w:val="Comment Text Char"/>
    <w:basedOn w:val="DefaultParagraphFont"/>
    <w:link w:val="CommentText"/>
    <w:uiPriority w:val="99"/>
    <w:semiHidden/>
    <w:rsid w:val="00F926B1"/>
    <w:rPr>
      <w:sz w:val="24"/>
      <w:szCs w:val="24"/>
    </w:rPr>
  </w:style>
  <w:style w:type="paragraph" w:styleId="CommentSubject">
    <w:name w:val="annotation subject"/>
    <w:basedOn w:val="CommentText"/>
    <w:next w:val="CommentText"/>
    <w:link w:val="CommentSubjectChar"/>
    <w:uiPriority w:val="99"/>
    <w:semiHidden/>
    <w:unhideWhenUsed/>
    <w:rsid w:val="00F926B1"/>
    <w:rPr>
      <w:b/>
      <w:bCs/>
      <w:sz w:val="20"/>
      <w:szCs w:val="20"/>
    </w:rPr>
  </w:style>
  <w:style w:type="character" w:customStyle="1" w:styleId="CommentSubjectChar">
    <w:name w:val="Comment Subject Char"/>
    <w:basedOn w:val="CommentTextChar"/>
    <w:link w:val="CommentSubject"/>
    <w:uiPriority w:val="99"/>
    <w:semiHidden/>
    <w:rsid w:val="00F926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8F"/>
    <w:rPr>
      <w:sz w:val="24"/>
      <w:szCs w:val="24"/>
    </w:rPr>
  </w:style>
  <w:style w:type="paragraph" w:styleId="Heading1">
    <w:name w:val="heading 1"/>
    <w:basedOn w:val="Normal"/>
    <w:next w:val="Normal"/>
    <w:link w:val="Heading1Char"/>
    <w:uiPriority w:val="9"/>
    <w:qFormat/>
    <w:rsid w:val="0009558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955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955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9558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9558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9558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9558F"/>
    <w:pPr>
      <w:spacing w:before="240" w:after="60"/>
      <w:outlineLvl w:val="6"/>
    </w:pPr>
  </w:style>
  <w:style w:type="paragraph" w:styleId="Heading8">
    <w:name w:val="heading 8"/>
    <w:basedOn w:val="Normal"/>
    <w:next w:val="Normal"/>
    <w:link w:val="Heading8Char"/>
    <w:uiPriority w:val="9"/>
    <w:semiHidden/>
    <w:unhideWhenUsed/>
    <w:qFormat/>
    <w:rsid w:val="0009558F"/>
    <w:pPr>
      <w:spacing w:before="240" w:after="60"/>
      <w:outlineLvl w:val="7"/>
    </w:pPr>
    <w:rPr>
      <w:i/>
      <w:iCs/>
    </w:rPr>
  </w:style>
  <w:style w:type="paragraph" w:styleId="Heading9">
    <w:name w:val="heading 9"/>
    <w:basedOn w:val="Normal"/>
    <w:next w:val="Normal"/>
    <w:link w:val="Heading9Char"/>
    <w:uiPriority w:val="9"/>
    <w:semiHidden/>
    <w:unhideWhenUsed/>
    <w:qFormat/>
    <w:rsid w:val="0009558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FE0"/>
    <w:rPr>
      <w:rFonts w:ascii="Cambria" w:eastAsia="Cambria" w:hAnsi="Cambria" w:cs="Cambria"/>
      <w:color w:val="000000"/>
      <w:sz w:val="24"/>
      <w:szCs w:val="24"/>
      <w:lang w:val="en-US"/>
    </w:rPr>
  </w:style>
  <w:style w:type="character" w:customStyle="1" w:styleId="hlfld-contribauthor">
    <w:name w:val="hlfld-contribauthor"/>
    <w:basedOn w:val="DefaultParagraphFont"/>
    <w:rsid w:val="00A53288"/>
  </w:style>
  <w:style w:type="character" w:customStyle="1" w:styleId="Heading1Char">
    <w:name w:val="Heading 1 Char"/>
    <w:basedOn w:val="DefaultParagraphFont"/>
    <w:link w:val="Heading1"/>
    <w:uiPriority w:val="9"/>
    <w:rsid w:val="0009558F"/>
    <w:rPr>
      <w:rFonts w:asciiTheme="majorHAnsi" w:eastAsiaTheme="majorEastAsia" w:hAnsiTheme="majorHAnsi" w:cstheme="majorBidi"/>
      <w:b/>
      <w:bCs/>
      <w:kern w:val="32"/>
      <w:sz w:val="32"/>
      <w:szCs w:val="32"/>
    </w:rPr>
  </w:style>
  <w:style w:type="table" w:styleId="TableGrid">
    <w:name w:val="Table Grid"/>
    <w:basedOn w:val="TableNormal"/>
    <w:uiPriority w:val="39"/>
    <w:rsid w:val="00BD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58F"/>
    <w:pPr>
      <w:ind w:left="720"/>
      <w:contextualSpacing/>
    </w:pPr>
  </w:style>
  <w:style w:type="paragraph" w:styleId="BalloonText">
    <w:name w:val="Balloon Text"/>
    <w:basedOn w:val="Normal"/>
    <w:link w:val="BalloonTextChar"/>
    <w:uiPriority w:val="99"/>
    <w:semiHidden/>
    <w:unhideWhenUsed/>
    <w:rsid w:val="0009558F"/>
    <w:rPr>
      <w:rFonts w:ascii="Tahoma" w:hAnsi="Tahoma" w:cs="Tahoma"/>
      <w:sz w:val="16"/>
      <w:szCs w:val="16"/>
    </w:rPr>
  </w:style>
  <w:style w:type="character" w:customStyle="1" w:styleId="BalloonTextChar">
    <w:name w:val="Balloon Text Char"/>
    <w:basedOn w:val="DefaultParagraphFont"/>
    <w:link w:val="BalloonText"/>
    <w:uiPriority w:val="99"/>
    <w:semiHidden/>
    <w:rsid w:val="0009558F"/>
    <w:rPr>
      <w:rFonts w:ascii="Tahoma" w:hAnsi="Tahoma" w:cs="Tahoma"/>
      <w:sz w:val="16"/>
      <w:szCs w:val="16"/>
    </w:rPr>
  </w:style>
  <w:style w:type="character" w:customStyle="1" w:styleId="Heading2Char">
    <w:name w:val="Heading 2 Char"/>
    <w:basedOn w:val="DefaultParagraphFont"/>
    <w:link w:val="Heading2"/>
    <w:uiPriority w:val="9"/>
    <w:rsid w:val="000955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9558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9558F"/>
    <w:rPr>
      <w:b/>
      <w:bCs/>
      <w:sz w:val="28"/>
      <w:szCs w:val="28"/>
    </w:rPr>
  </w:style>
  <w:style w:type="character" w:customStyle="1" w:styleId="Heading5Char">
    <w:name w:val="Heading 5 Char"/>
    <w:basedOn w:val="DefaultParagraphFont"/>
    <w:link w:val="Heading5"/>
    <w:uiPriority w:val="9"/>
    <w:semiHidden/>
    <w:rsid w:val="0009558F"/>
    <w:rPr>
      <w:b/>
      <w:bCs/>
      <w:i/>
      <w:iCs/>
      <w:sz w:val="26"/>
      <w:szCs w:val="26"/>
    </w:rPr>
  </w:style>
  <w:style w:type="character" w:customStyle="1" w:styleId="Heading6Char">
    <w:name w:val="Heading 6 Char"/>
    <w:basedOn w:val="DefaultParagraphFont"/>
    <w:link w:val="Heading6"/>
    <w:uiPriority w:val="9"/>
    <w:semiHidden/>
    <w:rsid w:val="0009558F"/>
    <w:rPr>
      <w:b/>
      <w:bCs/>
    </w:rPr>
  </w:style>
  <w:style w:type="character" w:customStyle="1" w:styleId="Heading7Char">
    <w:name w:val="Heading 7 Char"/>
    <w:basedOn w:val="DefaultParagraphFont"/>
    <w:link w:val="Heading7"/>
    <w:uiPriority w:val="9"/>
    <w:semiHidden/>
    <w:rsid w:val="0009558F"/>
    <w:rPr>
      <w:sz w:val="24"/>
      <w:szCs w:val="24"/>
    </w:rPr>
  </w:style>
  <w:style w:type="character" w:customStyle="1" w:styleId="Heading8Char">
    <w:name w:val="Heading 8 Char"/>
    <w:basedOn w:val="DefaultParagraphFont"/>
    <w:link w:val="Heading8"/>
    <w:uiPriority w:val="9"/>
    <w:semiHidden/>
    <w:rsid w:val="0009558F"/>
    <w:rPr>
      <w:i/>
      <w:iCs/>
      <w:sz w:val="24"/>
      <w:szCs w:val="24"/>
    </w:rPr>
  </w:style>
  <w:style w:type="character" w:customStyle="1" w:styleId="Heading9Char">
    <w:name w:val="Heading 9 Char"/>
    <w:basedOn w:val="DefaultParagraphFont"/>
    <w:link w:val="Heading9"/>
    <w:uiPriority w:val="9"/>
    <w:semiHidden/>
    <w:rsid w:val="0009558F"/>
    <w:rPr>
      <w:rFonts w:asciiTheme="majorHAnsi" w:eastAsiaTheme="majorEastAsia" w:hAnsiTheme="majorHAnsi"/>
    </w:rPr>
  </w:style>
  <w:style w:type="paragraph" w:styleId="Title">
    <w:name w:val="Title"/>
    <w:basedOn w:val="Normal"/>
    <w:next w:val="Normal"/>
    <w:link w:val="TitleChar"/>
    <w:uiPriority w:val="10"/>
    <w:qFormat/>
    <w:rsid w:val="000955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955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955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9558F"/>
    <w:rPr>
      <w:rFonts w:asciiTheme="majorHAnsi" w:eastAsiaTheme="majorEastAsia" w:hAnsiTheme="majorHAnsi"/>
      <w:sz w:val="24"/>
      <w:szCs w:val="24"/>
    </w:rPr>
  </w:style>
  <w:style w:type="character" w:styleId="Strong">
    <w:name w:val="Strong"/>
    <w:basedOn w:val="DefaultParagraphFont"/>
    <w:uiPriority w:val="22"/>
    <w:qFormat/>
    <w:rsid w:val="0009558F"/>
    <w:rPr>
      <w:b/>
      <w:bCs/>
    </w:rPr>
  </w:style>
  <w:style w:type="character" w:styleId="Emphasis">
    <w:name w:val="Emphasis"/>
    <w:basedOn w:val="DefaultParagraphFont"/>
    <w:uiPriority w:val="20"/>
    <w:qFormat/>
    <w:rsid w:val="0009558F"/>
    <w:rPr>
      <w:rFonts w:asciiTheme="minorHAnsi" w:hAnsiTheme="minorHAnsi"/>
      <w:b/>
      <w:i/>
      <w:iCs/>
    </w:rPr>
  </w:style>
  <w:style w:type="paragraph" w:styleId="NoSpacing">
    <w:name w:val="No Spacing"/>
    <w:basedOn w:val="Normal"/>
    <w:uiPriority w:val="1"/>
    <w:qFormat/>
    <w:rsid w:val="0009558F"/>
    <w:rPr>
      <w:szCs w:val="32"/>
    </w:rPr>
  </w:style>
  <w:style w:type="paragraph" w:styleId="Quote">
    <w:name w:val="Quote"/>
    <w:basedOn w:val="Normal"/>
    <w:next w:val="Normal"/>
    <w:link w:val="QuoteChar"/>
    <w:uiPriority w:val="29"/>
    <w:qFormat/>
    <w:rsid w:val="0009558F"/>
    <w:rPr>
      <w:i/>
    </w:rPr>
  </w:style>
  <w:style w:type="character" w:customStyle="1" w:styleId="QuoteChar">
    <w:name w:val="Quote Char"/>
    <w:basedOn w:val="DefaultParagraphFont"/>
    <w:link w:val="Quote"/>
    <w:uiPriority w:val="29"/>
    <w:rsid w:val="0009558F"/>
    <w:rPr>
      <w:i/>
      <w:sz w:val="24"/>
      <w:szCs w:val="24"/>
    </w:rPr>
  </w:style>
  <w:style w:type="paragraph" w:styleId="IntenseQuote">
    <w:name w:val="Intense Quote"/>
    <w:basedOn w:val="Normal"/>
    <w:next w:val="Normal"/>
    <w:link w:val="IntenseQuoteChar"/>
    <w:uiPriority w:val="30"/>
    <w:qFormat/>
    <w:rsid w:val="0009558F"/>
    <w:pPr>
      <w:ind w:left="720" w:right="720"/>
    </w:pPr>
    <w:rPr>
      <w:b/>
      <w:i/>
      <w:szCs w:val="22"/>
    </w:rPr>
  </w:style>
  <w:style w:type="character" w:customStyle="1" w:styleId="IntenseQuoteChar">
    <w:name w:val="Intense Quote Char"/>
    <w:basedOn w:val="DefaultParagraphFont"/>
    <w:link w:val="IntenseQuote"/>
    <w:uiPriority w:val="30"/>
    <w:rsid w:val="0009558F"/>
    <w:rPr>
      <w:b/>
      <w:i/>
      <w:sz w:val="24"/>
    </w:rPr>
  </w:style>
  <w:style w:type="character" w:styleId="SubtleEmphasis">
    <w:name w:val="Subtle Emphasis"/>
    <w:uiPriority w:val="19"/>
    <w:qFormat/>
    <w:rsid w:val="0009558F"/>
    <w:rPr>
      <w:i/>
      <w:color w:val="5A5A5A" w:themeColor="text1" w:themeTint="A5"/>
    </w:rPr>
  </w:style>
  <w:style w:type="character" w:styleId="IntenseEmphasis">
    <w:name w:val="Intense Emphasis"/>
    <w:basedOn w:val="DefaultParagraphFont"/>
    <w:uiPriority w:val="21"/>
    <w:qFormat/>
    <w:rsid w:val="0009558F"/>
    <w:rPr>
      <w:b/>
      <w:i/>
      <w:sz w:val="24"/>
      <w:szCs w:val="24"/>
      <w:u w:val="single"/>
    </w:rPr>
  </w:style>
  <w:style w:type="character" w:styleId="SubtleReference">
    <w:name w:val="Subtle Reference"/>
    <w:basedOn w:val="DefaultParagraphFont"/>
    <w:uiPriority w:val="31"/>
    <w:qFormat/>
    <w:rsid w:val="0009558F"/>
    <w:rPr>
      <w:sz w:val="24"/>
      <w:szCs w:val="24"/>
      <w:u w:val="single"/>
    </w:rPr>
  </w:style>
  <w:style w:type="character" w:styleId="IntenseReference">
    <w:name w:val="Intense Reference"/>
    <w:basedOn w:val="DefaultParagraphFont"/>
    <w:uiPriority w:val="32"/>
    <w:qFormat/>
    <w:rsid w:val="0009558F"/>
    <w:rPr>
      <w:b/>
      <w:sz w:val="24"/>
      <w:u w:val="single"/>
    </w:rPr>
  </w:style>
  <w:style w:type="character" w:styleId="BookTitle">
    <w:name w:val="Book Title"/>
    <w:basedOn w:val="DefaultParagraphFont"/>
    <w:uiPriority w:val="33"/>
    <w:qFormat/>
    <w:rsid w:val="0009558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9558F"/>
    <w:pPr>
      <w:outlineLvl w:val="9"/>
    </w:pPr>
    <w:rPr>
      <w:rFonts w:cs="Times New Roman"/>
    </w:rPr>
  </w:style>
  <w:style w:type="paragraph" w:styleId="Header">
    <w:name w:val="header"/>
    <w:basedOn w:val="Normal"/>
    <w:link w:val="HeaderChar"/>
    <w:uiPriority w:val="99"/>
    <w:unhideWhenUsed/>
    <w:rsid w:val="005B2D03"/>
    <w:pPr>
      <w:tabs>
        <w:tab w:val="center" w:pos="4513"/>
        <w:tab w:val="right" w:pos="9026"/>
      </w:tabs>
    </w:pPr>
  </w:style>
  <w:style w:type="character" w:customStyle="1" w:styleId="HeaderChar">
    <w:name w:val="Header Char"/>
    <w:basedOn w:val="DefaultParagraphFont"/>
    <w:link w:val="Header"/>
    <w:uiPriority w:val="99"/>
    <w:rsid w:val="005B2D03"/>
    <w:rPr>
      <w:sz w:val="24"/>
      <w:szCs w:val="24"/>
    </w:rPr>
  </w:style>
  <w:style w:type="paragraph" w:styleId="Footer">
    <w:name w:val="footer"/>
    <w:basedOn w:val="Normal"/>
    <w:link w:val="FooterChar"/>
    <w:uiPriority w:val="99"/>
    <w:unhideWhenUsed/>
    <w:rsid w:val="005B2D03"/>
    <w:pPr>
      <w:tabs>
        <w:tab w:val="center" w:pos="4513"/>
        <w:tab w:val="right" w:pos="9026"/>
      </w:tabs>
    </w:pPr>
  </w:style>
  <w:style w:type="character" w:customStyle="1" w:styleId="FooterChar">
    <w:name w:val="Footer Char"/>
    <w:basedOn w:val="DefaultParagraphFont"/>
    <w:link w:val="Footer"/>
    <w:uiPriority w:val="99"/>
    <w:rsid w:val="005B2D03"/>
    <w:rPr>
      <w:sz w:val="24"/>
      <w:szCs w:val="24"/>
    </w:rPr>
  </w:style>
  <w:style w:type="character" w:customStyle="1" w:styleId="date2">
    <w:name w:val="date2"/>
    <w:basedOn w:val="DefaultParagraphFont"/>
    <w:rsid w:val="00D825FE"/>
  </w:style>
  <w:style w:type="character" w:styleId="CommentReference">
    <w:name w:val="annotation reference"/>
    <w:basedOn w:val="DefaultParagraphFont"/>
    <w:uiPriority w:val="99"/>
    <w:semiHidden/>
    <w:unhideWhenUsed/>
    <w:rsid w:val="00F926B1"/>
    <w:rPr>
      <w:sz w:val="18"/>
      <w:szCs w:val="18"/>
    </w:rPr>
  </w:style>
  <w:style w:type="paragraph" w:styleId="CommentText">
    <w:name w:val="annotation text"/>
    <w:basedOn w:val="Normal"/>
    <w:link w:val="CommentTextChar"/>
    <w:uiPriority w:val="99"/>
    <w:semiHidden/>
    <w:unhideWhenUsed/>
    <w:rsid w:val="00F926B1"/>
  </w:style>
  <w:style w:type="character" w:customStyle="1" w:styleId="CommentTextChar">
    <w:name w:val="Comment Text Char"/>
    <w:basedOn w:val="DefaultParagraphFont"/>
    <w:link w:val="CommentText"/>
    <w:uiPriority w:val="99"/>
    <w:semiHidden/>
    <w:rsid w:val="00F926B1"/>
    <w:rPr>
      <w:sz w:val="24"/>
      <w:szCs w:val="24"/>
    </w:rPr>
  </w:style>
  <w:style w:type="paragraph" w:styleId="CommentSubject">
    <w:name w:val="annotation subject"/>
    <w:basedOn w:val="CommentText"/>
    <w:next w:val="CommentText"/>
    <w:link w:val="CommentSubjectChar"/>
    <w:uiPriority w:val="99"/>
    <w:semiHidden/>
    <w:unhideWhenUsed/>
    <w:rsid w:val="00F926B1"/>
    <w:rPr>
      <w:b/>
      <w:bCs/>
      <w:sz w:val="20"/>
      <w:szCs w:val="20"/>
    </w:rPr>
  </w:style>
  <w:style w:type="character" w:customStyle="1" w:styleId="CommentSubjectChar">
    <w:name w:val="Comment Subject Char"/>
    <w:basedOn w:val="CommentTextChar"/>
    <w:link w:val="CommentSubject"/>
    <w:uiPriority w:val="99"/>
    <w:semiHidden/>
    <w:rsid w:val="00F9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374">
      <w:bodyDiv w:val="1"/>
      <w:marLeft w:val="0"/>
      <w:marRight w:val="0"/>
      <w:marTop w:val="0"/>
      <w:marBottom w:val="0"/>
      <w:divBdr>
        <w:top w:val="none" w:sz="0" w:space="0" w:color="auto"/>
        <w:left w:val="none" w:sz="0" w:space="0" w:color="auto"/>
        <w:bottom w:val="none" w:sz="0" w:space="0" w:color="auto"/>
        <w:right w:val="none" w:sz="0" w:space="0" w:color="auto"/>
      </w:divBdr>
      <w:divsChild>
        <w:div w:id="694959529">
          <w:marLeft w:val="0"/>
          <w:marRight w:val="0"/>
          <w:marTop w:val="0"/>
          <w:marBottom w:val="0"/>
          <w:divBdr>
            <w:top w:val="none" w:sz="0" w:space="0" w:color="auto"/>
            <w:left w:val="none" w:sz="0" w:space="0" w:color="auto"/>
            <w:bottom w:val="none" w:sz="0" w:space="0" w:color="auto"/>
            <w:right w:val="none" w:sz="0" w:space="0" w:color="auto"/>
          </w:divBdr>
          <w:divsChild>
            <w:div w:id="1306399343">
              <w:marLeft w:val="0"/>
              <w:marRight w:val="0"/>
              <w:marTop w:val="0"/>
              <w:marBottom w:val="0"/>
              <w:divBdr>
                <w:top w:val="none" w:sz="0" w:space="0" w:color="auto"/>
                <w:left w:val="none" w:sz="0" w:space="0" w:color="auto"/>
                <w:bottom w:val="none" w:sz="0" w:space="0" w:color="auto"/>
                <w:right w:val="none" w:sz="0" w:space="0" w:color="auto"/>
              </w:divBdr>
              <w:divsChild>
                <w:div w:id="579561027">
                  <w:marLeft w:val="0"/>
                  <w:marRight w:val="0"/>
                  <w:marTop w:val="0"/>
                  <w:marBottom w:val="0"/>
                  <w:divBdr>
                    <w:top w:val="none" w:sz="0" w:space="0" w:color="auto"/>
                    <w:left w:val="none" w:sz="0" w:space="0" w:color="auto"/>
                    <w:bottom w:val="none" w:sz="0" w:space="0" w:color="auto"/>
                    <w:right w:val="none" w:sz="0" w:space="0" w:color="auto"/>
                  </w:divBdr>
                  <w:divsChild>
                    <w:div w:id="2112358288">
                      <w:marLeft w:val="0"/>
                      <w:marRight w:val="0"/>
                      <w:marTop w:val="0"/>
                      <w:marBottom w:val="0"/>
                      <w:divBdr>
                        <w:top w:val="none" w:sz="0" w:space="0" w:color="auto"/>
                        <w:left w:val="none" w:sz="0" w:space="0" w:color="auto"/>
                        <w:bottom w:val="none" w:sz="0" w:space="0" w:color="auto"/>
                        <w:right w:val="none" w:sz="0" w:space="0" w:color="auto"/>
                      </w:divBdr>
                      <w:divsChild>
                        <w:div w:id="1573155157">
                          <w:marLeft w:val="0"/>
                          <w:marRight w:val="0"/>
                          <w:marTop w:val="0"/>
                          <w:marBottom w:val="0"/>
                          <w:divBdr>
                            <w:top w:val="none" w:sz="0" w:space="0" w:color="auto"/>
                            <w:left w:val="none" w:sz="0" w:space="0" w:color="auto"/>
                            <w:bottom w:val="none" w:sz="0" w:space="0" w:color="auto"/>
                            <w:right w:val="none" w:sz="0" w:space="0" w:color="auto"/>
                          </w:divBdr>
                          <w:divsChild>
                            <w:div w:id="2096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56300">
      <w:bodyDiv w:val="1"/>
      <w:marLeft w:val="0"/>
      <w:marRight w:val="0"/>
      <w:marTop w:val="0"/>
      <w:marBottom w:val="0"/>
      <w:divBdr>
        <w:top w:val="none" w:sz="0" w:space="0" w:color="auto"/>
        <w:left w:val="none" w:sz="0" w:space="0" w:color="auto"/>
        <w:bottom w:val="none" w:sz="0" w:space="0" w:color="auto"/>
        <w:right w:val="none" w:sz="0" w:space="0" w:color="auto"/>
      </w:divBdr>
    </w:div>
    <w:div w:id="692607509">
      <w:bodyDiv w:val="1"/>
      <w:marLeft w:val="0"/>
      <w:marRight w:val="0"/>
      <w:marTop w:val="0"/>
      <w:marBottom w:val="0"/>
      <w:divBdr>
        <w:top w:val="none" w:sz="0" w:space="0" w:color="auto"/>
        <w:left w:val="none" w:sz="0" w:space="0" w:color="auto"/>
        <w:bottom w:val="none" w:sz="0" w:space="0" w:color="auto"/>
        <w:right w:val="none" w:sz="0" w:space="0" w:color="auto"/>
      </w:divBdr>
    </w:div>
    <w:div w:id="704133086">
      <w:bodyDiv w:val="1"/>
      <w:marLeft w:val="0"/>
      <w:marRight w:val="0"/>
      <w:marTop w:val="0"/>
      <w:marBottom w:val="0"/>
      <w:divBdr>
        <w:top w:val="none" w:sz="0" w:space="0" w:color="auto"/>
        <w:left w:val="none" w:sz="0" w:space="0" w:color="auto"/>
        <w:bottom w:val="none" w:sz="0" w:space="0" w:color="auto"/>
        <w:right w:val="none" w:sz="0" w:space="0" w:color="auto"/>
      </w:divBdr>
    </w:div>
    <w:div w:id="740104317">
      <w:bodyDiv w:val="1"/>
      <w:marLeft w:val="0"/>
      <w:marRight w:val="0"/>
      <w:marTop w:val="0"/>
      <w:marBottom w:val="0"/>
      <w:divBdr>
        <w:top w:val="none" w:sz="0" w:space="0" w:color="auto"/>
        <w:left w:val="none" w:sz="0" w:space="0" w:color="auto"/>
        <w:bottom w:val="none" w:sz="0" w:space="0" w:color="auto"/>
        <w:right w:val="none" w:sz="0" w:space="0" w:color="auto"/>
      </w:divBdr>
    </w:div>
    <w:div w:id="884099024">
      <w:bodyDiv w:val="1"/>
      <w:marLeft w:val="0"/>
      <w:marRight w:val="0"/>
      <w:marTop w:val="0"/>
      <w:marBottom w:val="0"/>
      <w:divBdr>
        <w:top w:val="none" w:sz="0" w:space="0" w:color="auto"/>
        <w:left w:val="none" w:sz="0" w:space="0" w:color="auto"/>
        <w:bottom w:val="none" w:sz="0" w:space="0" w:color="auto"/>
        <w:right w:val="none" w:sz="0" w:space="0" w:color="auto"/>
      </w:divBdr>
    </w:div>
    <w:div w:id="919100926">
      <w:bodyDiv w:val="1"/>
      <w:marLeft w:val="0"/>
      <w:marRight w:val="0"/>
      <w:marTop w:val="0"/>
      <w:marBottom w:val="0"/>
      <w:divBdr>
        <w:top w:val="none" w:sz="0" w:space="0" w:color="auto"/>
        <w:left w:val="none" w:sz="0" w:space="0" w:color="auto"/>
        <w:bottom w:val="none" w:sz="0" w:space="0" w:color="auto"/>
        <w:right w:val="none" w:sz="0" w:space="0" w:color="auto"/>
      </w:divBdr>
    </w:div>
    <w:div w:id="937249556">
      <w:bodyDiv w:val="1"/>
      <w:marLeft w:val="0"/>
      <w:marRight w:val="0"/>
      <w:marTop w:val="0"/>
      <w:marBottom w:val="0"/>
      <w:divBdr>
        <w:top w:val="none" w:sz="0" w:space="0" w:color="auto"/>
        <w:left w:val="none" w:sz="0" w:space="0" w:color="auto"/>
        <w:bottom w:val="none" w:sz="0" w:space="0" w:color="auto"/>
        <w:right w:val="none" w:sz="0" w:space="0" w:color="auto"/>
      </w:divBdr>
    </w:div>
    <w:div w:id="1231305145">
      <w:bodyDiv w:val="1"/>
      <w:marLeft w:val="0"/>
      <w:marRight w:val="0"/>
      <w:marTop w:val="0"/>
      <w:marBottom w:val="0"/>
      <w:divBdr>
        <w:top w:val="none" w:sz="0" w:space="0" w:color="auto"/>
        <w:left w:val="none" w:sz="0" w:space="0" w:color="auto"/>
        <w:bottom w:val="none" w:sz="0" w:space="0" w:color="auto"/>
        <w:right w:val="none" w:sz="0" w:space="0" w:color="auto"/>
      </w:divBdr>
      <w:divsChild>
        <w:div w:id="1032925219">
          <w:marLeft w:val="0"/>
          <w:marRight w:val="0"/>
          <w:marTop w:val="0"/>
          <w:marBottom w:val="0"/>
          <w:divBdr>
            <w:top w:val="none" w:sz="0" w:space="0" w:color="auto"/>
            <w:left w:val="none" w:sz="0" w:space="0" w:color="auto"/>
            <w:bottom w:val="none" w:sz="0" w:space="0" w:color="auto"/>
            <w:right w:val="none" w:sz="0" w:space="0" w:color="auto"/>
          </w:divBdr>
          <w:divsChild>
            <w:div w:id="1517039561">
              <w:marLeft w:val="0"/>
              <w:marRight w:val="0"/>
              <w:marTop w:val="0"/>
              <w:marBottom w:val="0"/>
              <w:divBdr>
                <w:top w:val="none" w:sz="0" w:space="0" w:color="auto"/>
                <w:left w:val="none" w:sz="0" w:space="0" w:color="auto"/>
                <w:bottom w:val="none" w:sz="0" w:space="0" w:color="auto"/>
                <w:right w:val="none" w:sz="0" w:space="0" w:color="auto"/>
              </w:divBdr>
              <w:divsChild>
                <w:div w:id="193346610">
                  <w:marLeft w:val="0"/>
                  <w:marRight w:val="0"/>
                  <w:marTop w:val="0"/>
                  <w:marBottom w:val="0"/>
                  <w:divBdr>
                    <w:top w:val="none" w:sz="0" w:space="0" w:color="auto"/>
                    <w:left w:val="none" w:sz="0" w:space="0" w:color="auto"/>
                    <w:bottom w:val="none" w:sz="0" w:space="0" w:color="auto"/>
                    <w:right w:val="none" w:sz="0" w:space="0" w:color="auto"/>
                  </w:divBdr>
                  <w:divsChild>
                    <w:div w:id="1555659965">
                      <w:marLeft w:val="0"/>
                      <w:marRight w:val="0"/>
                      <w:marTop w:val="0"/>
                      <w:marBottom w:val="0"/>
                      <w:divBdr>
                        <w:top w:val="none" w:sz="0" w:space="0" w:color="auto"/>
                        <w:left w:val="none" w:sz="0" w:space="0" w:color="auto"/>
                        <w:bottom w:val="none" w:sz="0" w:space="0" w:color="auto"/>
                        <w:right w:val="none" w:sz="0" w:space="0" w:color="auto"/>
                      </w:divBdr>
                      <w:divsChild>
                        <w:div w:id="856115818">
                          <w:marLeft w:val="0"/>
                          <w:marRight w:val="0"/>
                          <w:marTop w:val="0"/>
                          <w:marBottom w:val="0"/>
                          <w:divBdr>
                            <w:top w:val="none" w:sz="0" w:space="0" w:color="auto"/>
                            <w:left w:val="none" w:sz="0" w:space="0" w:color="auto"/>
                            <w:bottom w:val="none" w:sz="0" w:space="0" w:color="auto"/>
                            <w:right w:val="none" w:sz="0" w:space="0" w:color="auto"/>
                          </w:divBdr>
                          <w:divsChild>
                            <w:div w:id="2529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29782">
      <w:bodyDiv w:val="1"/>
      <w:marLeft w:val="0"/>
      <w:marRight w:val="0"/>
      <w:marTop w:val="0"/>
      <w:marBottom w:val="0"/>
      <w:divBdr>
        <w:top w:val="none" w:sz="0" w:space="0" w:color="auto"/>
        <w:left w:val="none" w:sz="0" w:space="0" w:color="auto"/>
        <w:bottom w:val="none" w:sz="0" w:space="0" w:color="auto"/>
        <w:right w:val="none" w:sz="0" w:space="0" w:color="auto"/>
      </w:divBdr>
    </w:div>
    <w:div w:id="1593314392">
      <w:bodyDiv w:val="1"/>
      <w:marLeft w:val="0"/>
      <w:marRight w:val="0"/>
      <w:marTop w:val="0"/>
      <w:marBottom w:val="0"/>
      <w:divBdr>
        <w:top w:val="none" w:sz="0" w:space="0" w:color="auto"/>
        <w:left w:val="none" w:sz="0" w:space="0" w:color="auto"/>
        <w:bottom w:val="none" w:sz="0" w:space="0" w:color="auto"/>
        <w:right w:val="none" w:sz="0" w:space="0" w:color="auto"/>
      </w:divBdr>
    </w:div>
    <w:div w:id="1884561257">
      <w:bodyDiv w:val="1"/>
      <w:marLeft w:val="0"/>
      <w:marRight w:val="0"/>
      <w:marTop w:val="0"/>
      <w:marBottom w:val="0"/>
      <w:divBdr>
        <w:top w:val="none" w:sz="0" w:space="0" w:color="auto"/>
        <w:left w:val="none" w:sz="0" w:space="0" w:color="auto"/>
        <w:bottom w:val="none" w:sz="0" w:space="0" w:color="auto"/>
        <w:right w:val="none" w:sz="0" w:space="0" w:color="auto"/>
      </w:divBdr>
    </w:div>
    <w:div w:id="1949120100">
      <w:bodyDiv w:val="1"/>
      <w:marLeft w:val="0"/>
      <w:marRight w:val="0"/>
      <w:marTop w:val="0"/>
      <w:marBottom w:val="0"/>
      <w:divBdr>
        <w:top w:val="none" w:sz="0" w:space="0" w:color="auto"/>
        <w:left w:val="none" w:sz="0" w:space="0" w:color="auto"/>
        <w:bottom w:val="none" w:sz="0" w:space="0" w:color="auto"/>
        <w:right w:val="none" w:sz="0" w:space="0" w:color="auto"/>
      </w:divBdr>
    </w:div>
    <w:div w:id="20221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lancs.ac.uk/portal/en/publications/reflective-teaching-in-higher-education(2911d09d-6d89-4185-8a92-2e0fa27773aa).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search.lancs.ac.uk/portal/en/people/jan-mcarthur(0be8603b-3e94-4aaa-9759-4a5a09ac46b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lancs.ac.uk/portal/en/people/paul-ashwin(0ed574bb-9b78-486d-bb0f-b555cf7aafe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search.lancs.ac.uk/portal/en/publications/investigating-educational-development(e542244e-2565-4b6d-a857-9a1a142638d4).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research.lancs.ac.uk/portal/en/people/paul-ashwin(0ed574bb-9b78-486d-bb0f-b555cf7aafe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29A9-A59C-46D6-9BB3-E7701FEB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Paul</dc:creator>
  <cp:lastModifiedBy>Ashwin, Paul</cp:lastModifiedBy>
  <cp:revision>2</cp:revision>
  <cp:lastPrinted>2016-04-29T12:48:00Z</cp:lastPrinted>
  <dcterms:created xsi:type="dcterms:W3CDTF">2016-12-19T15:44:00Z</dcterms:created>
  <dcterms:modified xsi:type="dcterms:W3CDTF">2016-12-19T15:44:00Z</dcterms:modified>
</cp:coreProperties>
</file>