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D44" w14:textId="61B4FA37" w:rsidR="00EA6218" w:rsidRDefault="00704280">
      <w:pPr>
        <w:spacing w:line="240" w:lineRule="auto"/>
        <w:jc w:val="left"/>
        <w:rPr>
          <w:rFonts w:asciiTheme="minorHAnsi" w:hAnsiTheme="minorHAnsi" w:cstheme="minorHAnsi"/>
          <w:lang w:val="en-GB"/>
        </w:rPr>
      </w:pPr>
      <w:r>
        <w:rPr>
          <w:noProof/>
        </w:rPr>
        <mc:AlternateContent>
          <mc:Choice Requires="wps">
            <w:drawing>
              <wp:anchor distT="0" distB="0" distL="114300" distR="114300" simplePos="0" relativeHeight="251665409" behindDoc="0" locked="0" layoutInCell="1" allowOverlap="1" wp14:anchorId="4CA59090" wp14:editId="5E042754">
                <wp:simplePos x="0" y="0"/>
                <wp:positionH relativeFrom="column">
                  <wp:posOffset>-360520</wp:posOffset>
                </wp:positionH>
                <wp:positionV relativeFrom="paragraph">
                  <wp:posOffset>324752</wp:posOffset>
                </wp:positionV>
                <wp:extent cx="400050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w="6350">
                          <a:noFill/>
                        </a:ln>
                      </wps:spPr>
                      <wps:txbx>
                        <w:txbxContent>
                          <w:p w14:paraId="172C5827" w14:textId="77777777" w:rsidR="00704280" w:rsidRPr="00CC7D91" w:rsidRDefault="00704280" w:rsidP="00704280">
                            <w:pPr>
                              <w:spacing w:after="0" w:line="240" w:lineRule="auto"/>
                              <w:rPr>
                                <w:color w:val="5365C3"/>
                                <w:sz w:val="32"/>
                                <w:szCs w:val="32"/>
                              </w:rPr>
                            </w:pPr>
                            <w:r w:rsidRPr="00CC7D91">
                              <w:rPr>
                                <w:color w:val="5365C3"/>
                                <w:sz w:val="32"/>
                                <w:szCs w:val="32"/>
                              </w:rPr>
                              <w:t>Revisiting the Past, Anticipating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A59090" id="_x0000_t202" coordsize="21600,21600" o:spt="202" path="m,l,21600r21600,l21600,xe">
                <v:stroke joinstyle="miter"/>
                <v:path gradientshapeok="t" o:connecttype="rect"/>
              </v:shapetype>
              <v:shape id="Text Box 21" o:spid="_x0000_s1026" type="#_x0000_t202" style="position:absolute;margin-left:-28.4pt;margin-top:25.55pt;width:315pt;height:36pt;z-index:2516654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" filled="f" stroked="f" strokeweight=".5pt">
                <v:textbox>
                  <w:txbxContent>
                    <w:p w14:paraId="172C5827" w14:textId="77777777" w:rsidR="00704280" w:rsidRPr="00CC7D91" w:rsidRDefault="00704280" w:rsidP="00704280">
                      <w:pPr>
                        <w:spacing w:after="0" w:line="240" w:lineRule="auto"/>
                        <w:rPr>
                          <w:color w:val="5365C3"/>
                          <w:sz w:val="32"/>
                          <w:szCs w:val="32"/>
                        </w:rPr>
                      </w:pPr>
                      <w:r w:rsidRPr="00CC7D91">
                        <w:rPr>
                          <w:color w:val="5365C3"/>
                          <w:sz w:val="32"/>
                          <w:szCs w:val="32"/>
                        </w:rPr>
                        <w:t>Revisiting the Past, Anticipating the Future</w:t>
                      </w:r>
                    </w:p>
                  </w:txbxContent>
                </v:textbox>
              </v:shape>
            </w:pict>
          </mc:Fallback>
        </mc:AlternateContent>
      </w:r>
      <w:r w:rsidRPr="00704280">
        <w:rPr>
          <w:rFonts w:asciiTheme="minorHAnsi" w:hAnsiTheme="minorHAnsi" w:cstheme="minorHAnsi"/>
          <w:noProof/>
          <w:lang w:val="en-GB"/>
        </w:rPr>
        <mc:AlternateContent>
          <mc:Choice Requires="wps">
            <w:drawing>
              <wp:anchor distT="0" distB="0" distL="114300" distR="114300" simplePos="0" relativeHeight="251663361" behindDoc="0" locked="0" layoutInCell="1" allowOverlap="1" wp14:anchorId="5D154CEC" wp14:editId="4311C036">
                <wp:simplePos x="0" y="0"/>
                <wp:positionH relativeFrom="column">
                  <wp:posOffset>-361007</wp:posOffset>
                </wp:positionH>
                <wp:positionV relativeFrom="paragraph">
                  <wp:posOffset>-777614</wp:posOffset>
                </wp:positionV>
                <wp:extent cx="3275965" cy="1257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75965"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328CDF8D" w14:textId="77777777" w:rsidR="00704280" w:rsidRPr="00CC7D91" w:rsidRDefault="00704280" w:rsidP="00704280">
                            <w:pPr>
                              <w:widowControl w:val="0"/>
                              <w:autoSpaceDE w:val="0"/>
                              <w:autoSpaceDN w:val="0"/>
                              <w:adjustRightInd w:val="0"/>
                              <w:spacing w:after="240" w:line="320" w:lineRule="atLeast"/>
                              <w:jc w:val="left"/>
                              <w:rPr>
                                <w:rFonts w:cs="Times"/>
                                <w:color w:val="000080"/>
                                <w:sz w:val="40"/>
                                <w:szCs w:val="40"/>
                              </w:rPr>
                            </w:pPr>
                            <w:r w:rsidRPr="00CC7D91">
                              <w:rPr>
                                <w:color w:val="000080"/>
                                <w:sz w:val="40"/>
                                <w:szCs w:val="40"/>
                              </w:rPr>
                              <w:t xml:space="preserve">Strengthening European integration through the analysis of conflict discourses </w:t>
                            </w:r>
                          </w:p>
                          <w:p w14:paraId="6168E316" w14:textId="77777777" w:rsidR="00704280" w:rsidRPr="00CC7D91" w:rsidRDefault="00704280" w:rsidP="00704280">
                            <w:pPr>
                              <w:rPr>
                                <w:color w:val="0000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54CEC" id="Text Box 23" o:spid="_x0000_s1027" type="#_x0000_t202" style="position:absolute;margin-left:-28.45pt;margin-top:-61.25pt;width:257.95pt;height:99pt;z-index:2516633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" filled="f" stroked="f">
                <v:textbox>
                  <w:txbxContent>
                    <w:p w14:paraId="328CDF8D" w14:textId="77777777" w:rsidR="00704280" w:rsidRPr="00CC7D91" w:rsidRDefault="00704280" w:rsidP="00704280">
                      <w:pPr>
                        <w:widowControl w:val="0"/>
                        <w:autoSpaceDE w:val="0"/>
                        <w:autoSpaceDN w:val="0"/>
                        <w:adjustRightInd w:val="0"/>
                        <w:spacing w:after="240" w:line="320" w:lineRule="atLeast"/>
                        <w:jc w:val="left"/>
                        <w:rPr>
                          <w:rFonts w:cs="Times"/>
                          <w:color w:val="000080"/>
                          <w:sz w:val="40"/>
                          <w:szCs w:val="40"/>
                        </w:rPr>
                      </w:pPr>
                      <w:r w:rsidRPr="00CC7D91">
                        <w:rPr>
                          <w:color w:val="000080"/>
                          <w:sz w:val="40"/>
                          <w:szCs w:val="40"/>
                        </w:rPr>
                        <w:t xml:space="preserve">Strengthening European integration through the analysis of conflict discourses </w:t>
                      </w:r>
                    </w:p>
                    <w:p w14:paraId="6168E316" w14:textId="77777777" w:rsidR="00704280" w:rsidRPr="00CC7D91" w:rsidRDefault="00704280" w:rsidP="00704280">
                      <w:pPr>
                        <w:rPr>
                          <w:color w:val="000080"/>
                          <w:sz w:val="40"/>
                          <w:szCs w:val="40"/>
                        </w:rPr>
                      </w:pPr>
                    </w:p>
                  </w:txbxContent>
                </v:textbox>
              </v:shape>
            </w:pict>
          </mc:Fallback>
        </mc:AlternateContent>
      </w:r>
      <w:r w:rsidRPr="00704280">
        <w:rPr>
          <w:rFonts w:asciiTheme="minorHAnsi" w:hAnsiTheme="minorHAnsi" w:cstheme="minorHAnsi"/>
          <w:noProof/>
          <w:lang w:val="en-GB"/>
        </w:rPr>
        <w:drawing>
          <wp:anchor distT="0" distB="0" distL="114300" distR="114300" simplePos="0" relativeHeight="251662337" behindDoc="0" locked="0" layoutInCell="1" allowOverlap="1" wp14:anchorId="1FC0EECD" wp14:editId="1AF298DD">
            <wp:simplePos x="0" y="0"/>
            <wp:positionH relativeFrom="column">
              <wp:posOffset>4027757</wp:posOffset>
            </wp:positionH>
            <wp:positionV relativeFrom="paragraph">
              <wp:posOffset>-713662</wp:posOffset>
            </wp:positionV>
            <wp:extent cx="2773680" cy="89916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680" cy="899160"/>
                    </a:xfrm>
                    <a:prstGeom prst="rect">
                      <a:avLst/>
                    </a:prstGeom>
                    <a:noFill/>
                    <a:ln>
                      <a:noFill/>
                    </a:ln>
                  </pic:spPr>
                </pic:pic>
              </a:graphicData>
            </a:graphic>
          </wp:anchor>
        </w:drawing>
      </w:r>
      <w:r>
        <w:rPr>
          <w:noProof/>
        </w:rPr>
        <mc:AlternateContent>
          <mc:Choice Requires="wps">
            <w:drawing>
              <wp:anchor distT="0" distB="0" distL="114300" distR="114300" simplePos="0" relativeHeight="251660289" behindDoc="0" locked="0" layoutInCell="1" allowOverlap="1" wp14:anchorId="03ABC209" wp14:editId="56EBE852">
                <wp:simplePos x="0" y="0"/>
                <wp:positionH relativeFrom="column">
                  <wp:posOffset>-666572</wp:posOffset>
                </wp:positionH>
                <wp:positionV relativeFrom="paragraph">
                  <wp:posOffset>-896383</wp:posOffset>
                </wp:positionV>
                <wp:extent cx="7811135" cy="1836420"/>
                <wp:effectExtent l="0" t="0" r="0" b="0"/>
                <wp:wrapNone/>
                <wp:docPr id="20" name="Rectangle 20"/>
                <wp:cNvGraphicFramePr/>
                <a:graphic xmlns:a="http://schemas.openxmlformats.org/drawingml/2006/main">
                  <a:graphicData uri="http://schemas.microsoft.com/office/word/2010/wordprocessingShape">
                    <wps:wsp>
                      <wps:cNvSpPr/>
                      <wps:spPr>
                        <a:xfrm>
                          <a:off x="0" y="0"/>
                          <a:ext cx="7811135" cy="1836420"/>
                        </a:xfrm>
                        <a:prstGeom prst="rect">
                          <a:avLst/>
                        </a:prstGeom>
                        <a:solidFill>
                          <a:schemeClr val="accent1">
                            <a:lumMod val="60000"/>
                            <a:lumOff val="40000"/>
                          </a:schemeClr>
                        </a:solidFill>
                        <a:ln>
                          <a:solidFill>
                            <a:srgbClr val="8FAA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F5729" id="Rectangle 20" o:spid="_x0000_s1026" style="position:absolute;margin-left:-52.5pt;margin-top:-70.6pt;width:615.05pt;height:144.6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" fillcolor="#8eaadb [1940]" strokecolor="#8faadc" strokeweight="1pt"/>
            </w:pict>
          </mc:Fallback>
        </mc:AlternateContent>
      </w:r>
      <w:r w:rsidR="00F21B21">
        <w:rPr>
          <w:rFonts w:asciiTheme="minorHAnsi" w:hAnsiTheme="minorHAnsi" w:cstheme="minorHAnsi"/>
          <w:noProof/>
          <w:lang w:val="en-GB" w:eastAsia="en-GB"/>
        </w:rPr>
        <w:drawing>
          <wp:anchor distT="0" distB="0" distL="114300" distR="114300" simplePos="0" relativeHeight="251658240" behindDoc="1" locked="0" layoutInCell="1" allowOverlap="1" wp14:anchorId="0F90A9EF" wp14:editId="1EAFFC34">
            <wp:simplePos x="0" y="0"/>
            <wp:positionH relativeFrom="column">
              <wp:posOffset>4978400</wp:posOffset>
            </wp:positionH>
            <wp:positionV relativeFrom="paragraph">
              <wp:posOffset>935990</wp:posOffset>
            </wp:positionV>
            <wp:extent cx="2096135" cy="3070225"/>
            <wp:effectExtent l="0" t="0" r="12065" b="3175"/>
            <wp:wrapThrough wrapText="bothSides">
              <wp:wrapPolygon edited="1">
                <wp:start x="8114" y="0"/>
                <wp:lineTo x="5758" y="536"/>
                <wp:lineTo x="1570" y="2323"/>
                <wp:lineTo x="0" y="5361"/>
                <wp:lineTo x="0" y="9650"/>
                <wp:lineTo x="785" y="11615"/>
                <wp:lineTo x="4973" y="14474"/>
                <wp:lineTo x="16490" y="17155"/>
                <wp:lineTo x="17537" y="20014"/>
                <wp:lineTo x="20416" y="21444"/>
                <wp:lineTo x="20677" y="21444"/>
                <wp:lineTo x="21463" y="21444"/>
                <wp:lineTo x="21463" y="0"/>
                <wp:lineTo x="8114" y="0"/>
              </wp:wrapPolygon>
            </wp:wrapThrough>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12"/>
                    <a:stretch/>
                  </pic:blipFill>
                  <pic:spPr bwMode="auto">
                    <a:xfrm>
                      <a:off x="0" y="0"/>
                      <a:ext cx="2096135" cy="307022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3A90D7D6" w:rsidR="00EA6218" w:rsidRDefault="00EA6218">
      <w:pPr>
        <w:spacing w:line="240" w:lineRule="auto"/>
        <w:jc w:val="left"/>
        <w:rPr>
          <w:rFonts w:asciiTheme="minorHAnsi" w:hAnsiTheme="minorHAnsi" w:cstheme="minorHAnsi"/>
          <w:lang w:val="en-GB"/>
        </w:rPr>
      </w:pPr>
    </w:p>
    <w:p w14:paraId="02EB378F" w14:textId="2B7873F6" w:rsidR="00EA6218" w:rsidRDefault="00EA6218">
      <w:pPr>
        <w:spacing w:line="240" w:lineRule="auto"/>
        <w:jc w:val="left"/>
        <w:rPr>
          <w:rFonts w:asciiTheme="minorHAnsi" w:hAnsiTheme="minorHAnsi" w:cstheme="minorHAnsi"/>
          <w:color w:val="0000FF"/>
          <w:lang w:val="en-GB"/>
        </w:rPr>
      </w:pPr>
    </w:p>
    <w:p w14:paraId="246B7FF1" w14:textId="6ACF2C35" w:rsidR="00704280" w:rsidRDefault="00704280">
      <w:pPr>
        <w:spacing w:line="240" w:lineRule="auto"/>
        <w:jc w:val="left"/>
        <w:rPr>
          <w:rFonts w:asciiTheme="minorHAnsi" w:hAnsiTheme="minorHAnsi" w:cstheme="minorHAnsi"/>
          <w:bCs/>
          <w:lang w:val="en-GB"/>
        </w:rPr>
      </w:pPr>
    </w:p>
    <w:p w14:paraId="28DFD25F" w14:textId="5615E9E0" w:rsidR="00704280" w:rsidRDefault="00704280">
      <w:pPr>
        <w:spacing w:line="240" w:lineRule="auto"/>
        <w:jc w:val="left"/>
        <w:rPr>
          <w:rFonts w:asciiTheme="minorHAnsi" w:hAnsiTheme="minorHAnsi" w:cstheme="minorHAnsi"/>
          <w:bCs/>
          <w:lang w:val="en-GB"/>
        </w:rPr>
      </w:pPr>
      <w:r>
        <w:rPr>
          <w:rFonts w:asciiTheme="minorHAnsi" w:hAnsiTheme="minorHAnsi" w:cstheme="minorHAnsi"/>
          <w:bCs/>
          <w:lang w:val="en-GB"/>
        </w:rPr>
        <w:t>14 March 2022</w:t>
      </w:r>
    </w:p>
    <w:p w14:paraId="21BA0DAB" w14:textId="77777777" w:rsidR="00704280" w:rsidRPr="00704280" w:rsidRDefault="00704280">
      <w:pPr>
        <w:spacing w:line="240" w:lineRule="auto"/>
        <w:jc w:val="left"/>
        <w:rPr>
          <w:rFonts w:asciiTheme="minorHAnsi" w:hAnsiTheme="minorHAnsi" w:cstheme="minorHAnsi"/>
          <w:bCs/>
          <w:lang w:val="en-GB"/>
        </w:rPr>
      </w:pPr>
    </w:p>
    <w:p w14:paraId="66CFC771" w14:textId="0A859865" w:rsidR="00EA6218" w:rsidRPr="00372022" w:rsidRDefault="00F21B21">
      <w:pPr>
        <w:spacing w:line="240" w:lineRule="auto"/>
        <w:jc w:val="left"/>
        <w:rPr>
          <w:rFonts w:asciiTheme="minorHAnsi" w:hAnsiTheme="minorHAnsi" w:cstheme="minorHAnsi"/>
          <w:b/>
          <w:sz w:val="56"/>
          <w:szCs w:val="56"/>
          <w:lang w:val="en-GB"/>
        </w:rPr>
      </w:pPr>
      <w:proofErr w:type="spellStart"/>
      <w:r w:rsidRPr="00372022">
        <w:rPr>
          <w:rFonts w:asciiTheme="minorHAnsi" w:hAnsiTheme="minorHAnsi" w:cstheme="minorHAnsi"/>
          <w:b/>
          <w:sz w:val="56"/>
          <w:szCs w:val="56"/>
          <w:lang w:val="en-GB"/>
        </w:rPr>
        <w:t>RePAST</w:t>
      </w:r>
      <w:proofErr w:type="spellEnd"/>
      <w:r w:rsidRPr="00372022">
        <w:rPr>
          <w:rFonts w:asciiTheme="minorHAnsi" w:hAnsiTheme="minorHAnsi" w:cstheme="minorHAnsi"/>
          <w:b/>
          <w:sz w:val="56"/>
          <w:szCs w:val="56"/>
          <w:lang w:val="en-GB"/>
        </w:rPr>
        <w:t xml:space="preserve"> </w:t>
      </w:r>
      <w:r w:rsidR="00704280" w:rsidRPr="00372022">
        <w:rPr>
          <w:rFonts w:asciiTheme="minorHAnsi" w:hAnsiTheme="minorHAnsi" w:cstheme="minorHAnsi"/>
          <w:b/>
          <w:sz w:val="56"/>
          <w:szCs w:val="56"/>
          <w:lang w:val="en-GB"/>
        </w:rPr>
        <w:t xml:space="preserve">Deliverable </w:t>
      </w:r>
      <w:r w:rsidRPr="00372022">
        <w:rPr>
          <w:rFonts w:asciiTheme="minorHAnsi" w:hAnsiTheme="minorHAnsi" w:cstheme="minorHAnsi"/>
          <w:b/>
          <w:sz w:val="56"/>
          <w:szCs w:val="56"/>
          <w:lang w:val="en-GB"/>
        </w:rPr>
        <w:t>D5.3</w:t>
      </w:r>
    </w:p>
    <w:p w14:paraId="1B9FE809" w14:textId="42341C1B" w:rsidR="00EA6218" w:rsidRPr="00372022" w:rsidRDefault="00704280" w:rsidP="00704280">
      <w:pPr>
        <w:spacing w:line="240" w:lineRule="auto"/>
        <w:jc w:val="left"/>
        <w:rPr>
          <w:rFonts w:asciiTheme="minorHAnsi" w:hAnsiTheme="minorHAnsi" w:cstheme="minorHAnsi"/>
          <w:b/>
          <w:bCs/>
          <w:sz w:val="44"/>
          <w:szCs w:val="44"/>
          <w:lang w:val="en-GB"/>
        </w:rPr>
      </w:pPr>
      <w:r w:rsidRPr="00704280">
        <w:rPr>
          <w:rFonts w:asciiTheme="minorHAnsi" w:hAnsiTheme="minorHAnsi" w:cstheme="minorHAnsi"/>
          <w:b/>
          <w:bCs/>
          <w:sz w:val="44"/>
          <w:szCs w:val="44"/>
          <w:lang w:val="en-GB"/>
        </w:rPr>
        <w:t>Socio-legal analysis of</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EU transitional justice</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law and policy and</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recommendations for</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future EU policies</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on how to deal with</w:t>
      </w:r>
      <w:r>
        <w:rPr>
          <w:rFonts w:asciiTheme="minorHAnsi" w:hAnsiTheme="minorHAnsi" w:cstheme="minorHAnsi"/>
          <w:b/>
          <w:bCs/>
          <w:sz w:val="44"/>
          <w:szCs w:val="44"/>
          <w:lang w:val="en-GB"/>
        </w:rPr>
        <w:t xml:space="preserve"> </w:t>
      </w:r>
      <w:r w:rsidRPr="00704280">
        <w:rPr>
          <w:rFonts w:asciiTheme="minorHAnsi" w:hAnsiTheme="minorHAnsi" w:cstheme="minorHAnsi"/>
          <w:b/>
          <w:bCs/>
          <w:sz w:val="44"/>
          <w:szCs w:val="44"/>
          <w:lang w:val="en-GB"/>
        </w:rPr>
        <w:t xml:space="preserve">traumatic </w:t>
      </w:r>
      <w:proofErr w:type="gramStart"/>
      <w:r w:rsidRPr="00704280">
        <w:rPr>
          <w:rFonts w:asciiTheme="minorHAnsi" w:hAnsiTheme="minorHAnsi" w:cstheme="minorHAnsi"/>
          <w:b/>
          <w:bCs/>
          <w:sz w:val="44"/>
          <w:szCs w:val="44"/>
          <w:lang w:val="en-GB"/>
        </w:rPr>
        <w:t>pasts</w:t>
      </w:r>
      <w:proofErr w:type="gramEnd"/>
    </w:p>
    <w:p w14:paraId="314E63F8" w14:textId="77777777" w:rsidR="00EA6218" w:rsidRPr="00372022" w:rsidRDefault="00F21B21">
      <w:pPr>
        <w:spacing w:line="240" w:lineRule="auto"/>
        <w:jc w:val="left"/>
        <w:rPr>
          <w:rFonts w:asciiTheme="minorHAnsi" w:hAnsiTheme="minorHAnsi" w:cstheme="minorHAnsi"/>
          <w:b/>
          <w:sz w:val="28"/>
          <w:szCs w:val="28"/>
          <w:lang w:val="en-GB"/>
        </w:rPr>
      </w:pPr>
      <w:r w:rsidRPr="00372022">
        <w:rPr>
          <w:rFonts w:asciiTheme="minorHAnsi" w:hAnsiTheme="minorHAnsi" w:cstheme="minorHAnsi"/>
          <w:i/>
          <w:sz w:val="28"/>
          <w:szCs w:val="28"/>
          <w:lang w:val="en-GB"/>
        </w:rPr>
        <w:t>James A. Sweeney &amp; Claire Bradley (Lancaster University, UK)</w:t>
      </w:r>
    </w:p>
    <w:p w14:paraId="35390262" w14:textId="77777777" w:rsidR="00EA6218" w:rsidRDefault="00F21B21">
      <w:pPr>
        <w:spacing w:line="240" w:lineRule="auto"/>
        <w:rPr>
          <w:rFonts w:asciiTheme="minorHAnsi" w:hAnsiTheme="minorHAnsi" w:cstheme="minorHAnsi"/>
          <w:lang w:val="en-GB"/>
        </w:rPr>
      </w:pPr>
      <w:r>
        <w:rPr>
          <w:rFonts w:asciiTheme="minorHAnsi" w:hAnsiTheme="minorHAnsi" w:cstheme="minorHAnsi"/>
          <w:noProof/>
          <w:lang w:val="en-GB" w:eastAsia="en-GB"/>
        </w:rPr>
        <w:drawing>
          <wp:anchor distT="0" distB="0" distL="114300" distR="114300" simplePos="0" relativeHeight="251658241" behindDoc="1" locked="0" layoutInCell="1" allowOverlap="1" wp14:anchorId="394FA7E4" wp14:editId="07777777">
            <wp:simplePos x="0" y="0"/>
            <wp:positionH relativeFrom="column">
              <wp:posOffset>-666115</wp:posOffset>
            </wp:positionH>
            <wp:positionV relativeFrom="paragraph">
              <wp:posOffset>363855</wp:posOffset>
            </wp:positionV>
            <wp:extent cx="2096135" cy="3070225"/>
            <wp:effectExtent l="0" t="0" r="12065" b="3175"/>
            <wp:wrapThrough wrapText="bothSides">
              <wp:wrapPolygon edited="1">
                <wp:start x="0" y="0"/>
                <wp:lineTo x="0" y="21444"/>
                <wp:lineTo x="785" y="21444"/>
                <wp:lineTo x="1047" y="21444"/>
                <wp:lineTo x="3926" y="20014"/>
                <wp:lineTo x="4973" y="17155"/>
                <wp:lineTo x="16490" y="14474"/>
                <wp:lineTo x="20677" y="11615"/>
                <wp:lineTo x="21463" y="9650"/>
                <wp:lineTo x="21463" y="5361"/>
                <wp:lineTo x="20154" y="2502"/>
                <wp:lineTo x="15704" y="536"/>
                <wp:lineTo x="13349"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pic:cNvPicPr>
                  </pic:nvPicPr>
                  <pic:blipFill>
                    <a:blip r:embed="rId13"/>
                    <a:stretch/>
                  </pic:blipFill>
                  <pic:spPr bwMode="auto">
                    <a:xfrm>
                      <a:off x="0" y="0"/>
                      <a:ext cx="2096135" cy="3070225"/>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EA6218" w:rsidRDefault="00EA6218">
      <w:pPr>
        <w:spacing w:line="240" w:lineRule="auto"/>
        <w:jc w:val="center"/>
        <w:rPr>
          <w:rFonts w:asciiTheme="minorHAnsi" w:hAnsiTheme="minorHAnsi" w:cstheme="minorHAnsi"/>
          <w:i/>
          <w:lang w:val="en-GB"/>
        </w:rPr>
      </w:pPr>
    </w:p>
    <w:p w14:paraId="5A39BBE3" w14:textId="77777777" w:rsidR="00EA6218" w:rsidRDefault="00EA6218">
      <w:pPr>
        <w:spacing w:line="240" w:lineRule="auto"/>
        <w:jc w:val="left"/>
        <w:rPr>
          <w:rFonts w:asciiTheme="minorHAnsi" w:hAnsiTheme="minorHAnsi" w:cstheme="minorHAnsi"/>
          <w:lang w:val="en-GB"/>
        </w:rPr>
      </w:pPr>
    </w:p>
    <w:p w14:paraId="41C8F396" w14:textId="77777777" w:rsidR="00EA6218" w:rsidRDefault="00EA6218">
      <w:pPr>
        <w:spacing w:line="240" w:lineRule="auto"/>
        <w:jc w:val="left"/>
        <w:rPr>
          <w:rFonts w:asciiTheme="minorHAnsi" w:hAnsiTheme="minorHAnsi" w:cstheme="minorHAnsi"/>
          <w:lang w:val="en-GB"/>
        </w:rPr>
      </w:pPr>
    </w:p>
    <w:p w14:paraId="72A3D3EC" w14:textId="77777777" w:rsidR="00EA6218" w:rsidRDefault="00EA6218">
      <w:pPr>
        <w:spacing w:line="240" w:lineRule="auto"/>
        <w:jc w:val="left"/>
        <w:rPr>
          <w:rFonts w:asciiTheme="minorHAnsi" w:hAnsiTheme="minorHAnsi" w:cstheme="minorHAnsi"/>
          <w:lang w:val="en-GB"/>
        </w:rPr>
      </w:pPr>
    </w:p>
    <w:p w14:paraId="0D0B940D" w14:textId="77777777" w:rsidR="00EA6218" w:rsidRDefault="00EA6218">
      <w:pPr>
        <w:spacing w:line="240" w:lineRule="auto"/>
        <w:jc w:val="left"/>
        <w:rPr>
          <w:rFonts w:asciiTheme="minorHAnsi" w:hAnsiTheme="minorHAnsi" w:cstheme="minorHAnsi"/>
          <w:lang w:val="en-GB"/>
        </w:rPr>
      </w:pPr>
    </w:p>
    <w:p w14:paraId="0E27B00A" w14:textId="77777777" w:rsidR="00EA6218" w:rsidRDefault="00EA6218">
      <w:pPr>
        <w:spacing w:line="240" w:lineRule="auto"/>
        <w:jc w:val="left"/>
        <w:rPr>
          <w:rFonts w:asciiTheme="minorHAnsi" w:hAnsiTheme="minorHAnsi" w:cstheme="minorHAnsi"/>
          <w:lang w:val="en-GB"/>
        </w:rPr>
      </w:pPr>
    </w:p>
    <w:tbl>
      <w:tblPr>
        <w:tblpPr w:leftFromText="180" w:rightFromText="180" w:vertAnchor="text" w:horzAnchor="margin" w:tblpXSpec="center" w:tblpY="2710"/>
        <w:tblW w:w="0" w:type="auto"/>
        <w:tblLook w:val="00A0" w:firstRow="1" w:lastRow="0" w:firstColumn="1" w:lastColumn="0" w:noHBand="0" w:noVBand="0"/>
      </w:tblPr>
      <w:tblGrid>
        <w:gridCol w:w="1351"/>
        <w:gridCol w:w="7013"/>
      </w:tblGrid>
      <w:tr w:rsidR="00EA6218" w14:paraId="4F215638" w14:textId="77777777" w:rsidTr="00704280">
        <w:tc>
          <w:tcPr>
            <w:tcW w:w="1351" w:type="dxa"/>
            <w:vAlign w:val="center"/>
          </w:tcPr>
          <w:p w14:paraId="60061E4C" w14:textId="77777777" w:rsidR="00EA6218" w:rsidRDefault="00F21B21">
            <w:pPr>
              <w:keepNext/>
              <w:spacing w:line="240" w:lineRule="auto"/>
              <w:jc w:val="left"/>
              <w:rPr>
                <w:rFonts w:asciiTheme="minorHAnsi" w:eastAsia="Times New Roman" w:hAnsiTheme="minorHAnsi" w:cstheme="minorHAnsi"/>
                <w:b/>
                <w:lang w:val="en-GB"/>
              </w:rPr>
            </w:pPr>
            <w:r>
              <w:rPr>
                <w:rFonts w:asciiTheme="minorHAnsi" w:eastAsia="Times New Roman" w:hAnsiTheme="minorHAnsi" w:cstheme="minorHAnsi"/>
                <w:b/>
                <w:noProof/>
                <w:color w:val="0000FF"/>
                <w:lang w:val="en-GB" w:eastAsia="en-GB"/>
              </w:rPr>
              <w:drawing>
                <wp:inline distT="0" distB="0" distL="0" distR="0" wp14:anchorId="4AC1AB7A" wp14:editId="07777777">
                  <wp:extent cx="660400" cy="444500"/>
                  <wp:effectExtent l="0" t="0" r="0" b="1270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14"/>
                          <a:stretch/>
                        </pic:blipFill>
                        <pic:spPr bwMode="auto">
                          <a:xfrm>
                            <a:off x="0" y="0"/>
                            <a:ext cx="660400" cy="444500"/>
                          </a:xfrm>
                          <a:prstGeom prst="rect">
                            <a:avLst/>
                          </a:prstGeom>
                          <a:noFill/>
                          <a:ln>
                            <a:noFill/>
                          </a:ln>
                        </pic:spPr>
                      </pic:pic>
                    </a:graphicData>
                  </a:graphic>
                </wp:inline>
              </w:drawing>
            </w:r>
          </w:p>
        </w:tc>
        <w:tc>
          <w:tcPr>
            <w:tcW w:w="7013" w:type="dxa"/>
            <w:vAlign w:val="center"/>
          </w:tcPr>
          <w:p w14:paraId="7E743526" w14:textId="77777777" w:rsidR="00EA6218" w:rsidRPr="00704280" w:rsidRDefault="00F21B21">
            <w:pPr>
              <w:keepNext/>
              <w:spacing w:line="240" w:lineRule="auto"/>
              <w:jc w:val="left"/>
              <w:rPr>
                <w:rFonts w:asciiTheme="minorHAnsi" w:eastAsia="Times New Roman" w:hAnsiTheme="minorHAnsi" w:cstheme="minorHAnsi"/>
                <w:b/>
                <w:sz w:val="22"/>
                <w:szCs w:val="22"/>
                <w:lang w:val="en-GB"/>
              </w:rPr>
            </w:pPr>
            <w:r w:rsidRPr="00704280">
              <w:rPr>
                <w:rFonts w:asciiTheme="minorHAnsi" w:eastAsia="Times New Roman" w:hAnsiTheme="minorHAnsi" w:cstheme="minorHAnsi"/>
                <w:sz w:val="22"/>
                <w:szCs w:val="22"/>
                <w:lang w:val="en-GB"/>
              </w:rPr>
              <w:t>This project has received funding from the European Union’s Horizon 2020 research and innovation programme under grant agreement No 769252</w:t>
            </w:r>
          </w:p>
        </w:tc>
      </w:tr>
    </w:tbl>
    <w:p w14:paraId="44EAFD9C" w14:textId="77777777" w:rsidR="00EA6218" w:rsidRDefault="00F21B21">
      <w:pPr>
        <w:spacing w:line="240" w:lineRule="auto"/>
        <w:jc w:val="left"/>
        <w:rPr>
          <w:rFonts w:asciiTheme="minorHAnsi" w:hAnsiTheme="minorHAnsi" w:cstheme="minorHAnsi"/>
          <w:color w:val="0000FF"/>
          <w:lang w:val="en-GB"/>
        </w:rPr>
      </w:pPr>
      <w:r>
        <w:rPr>
          <w:rFonts w:asciiTheme="minorHAnsi" w:hAnsiTheme="minorHAnsi" w:cstheme="minorHAnsi"/>
          <w:lang w:val="en-GB"/>
        </w:rPr>
        <w:br w:type="page"/>
      </w:r>
    </w:p>
    <w:p w14:paraId="55F2D8D6" w14:textId="77777777" w:rsidR="00EA6218"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i/>
          <w:lang w:val="en-GB"/>
        </w:rPr>
      </w:pPr>
      <w:r>
        <w:rPr>
          <w:rFonts w:asciiTheme="minorHAnsi" w:hAnsiTheme="minorHAnsi" w:cstheme="minorHAnsi"/>
          <w:i/>
          <w:lang w:val="en-GB"/>
        </w:rPr>
        <w:lastRenderedPageBreak/>
        <w:t>Project information</w:t>
      </w:r>
    </w:p>
    <w:p w14:paraId="717584B5"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Grant agreement no</w:t>
      </w:r>
      <w:r w:rsidRPr="00137AAB">
        <w:rPr>
          <w:rFonts w:asciiTheme="minorHAnsi" w:hAnsiTheme="minorHAnsi" w:cstheme="minorHAnsi"/>
          <w:sz w:val="22"/>
          <w:szCs w:val="22"/>
          <w:lang w:val="en-GB"/>
        </w:rPr>
        <w:t>: 769252</w:t>
      </w:r>
    </w:p>
    <w:p w14:paraId="54635817"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Acronym</w:t>
      </w:r>
      <w:r w:rsidRPr="00137AAB">
        <w:rPr>
          <w:rFonts w:asciiTheme="minorHAnsi" w:hAnsiTheme="minorHAnsi" w:cstheme="minorHAnsi"/>
          <w:sz w:val="22"/>
          <w:szCs w:val="22"/>
          <w:lang w:val="en-GB"/>
        </w:rPr>
        <w:t xml:space="preserve">: </w:t>
      </w:r>
      <w:proofErr w:type="spellStart"/>
      <w:r w:rsidRPr="00137AAB">
        <w:rPr>
          <w:rFonts w:asciiTheme="minorHAnsi" w:hAnsiTheme="minorHAnsi" w:cstheme="minorHAnsi"/>
          <w:sz w:val="22"/>
          <w:szCs w:val="22"/>
          <w:lang w:val="en-GB"/>
        </w:rPr>
        <w:t>RePAST</w:t>
      </w:r>
      <w:proofErr w:type="spellEnd"/>
    </w:p>
    <w:p w14:paraId="7AE639FF"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Title</w:t>
      </w:r>
      <w:r w:rsidRPr="00137AAB">
        <w:rPr>
          <w:rFonts w:asciiTheme="minorHAnsi" w:hAnsiTheme="minorHAnsi" w:cstheme="minorHAnsi"/>
          <w:sz w:val="22"/>
          <w:szCs w:val="22"/>
          <w:lang w:val="en-GB"/>
        </w:rPr>
        <w:t>: Strengthening European integration through the analysis of conflict discourses: revisiting the past, anticipating the future</w:t>
      </w:r>
    </w:p>
    <w:p w14:paraId="3E2662DF"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Start date</w:t>
      </w:r>
      <w:r w:rsidRPr="00137AAB">
        <w:rPr>
          <w:rFonts w:asciiTheme="minorHAnsi" w:hAnsiTheme="minorHAnsi" w:cstheme="minorHAnsi"/>
          <w:sz w:val="22"/>
          <w:szCs w:val="22"/>
          <w:lang w:val="en-GB"/>
        </w:rPr>
        <w:t>: May 2018</w:t>
      </w:r>
    </w:p>
    <w:p w14:paraId="7DAF311F" w14:textId="7BAF7E7E"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Duration</w:t>
      </w:r>
      <w:r w:rsidRPr="00137AAB">
        <w:rPr>
          <w:rFonts w:asciiTheme="minorHAnsi" w:hAnsiTheme="minorHAnsi" w:cstheme="minorHAnsi"/>
          <w:sz w:val="22"/>
          <w:szCs w:val="22"/>
          <w:lang w:val="en-GB"/>
        </w:rPr>
        <w:t>: 36 months</w:t>
      </w:r>
      <w:r w:rsidR="00137AAB" w:rsidRPr="00137AAB">
        <w:rPr>
          <w:rFonts w:asciiTheme="minorHAnsi" w:hAnsiTheme="minorHAnsi" w:cstheme="minorHAnsi"/>
          <w:sz w:val="22"/>
          <w:szCs w:val="22"/>
          <w:lang w:val="en-GB"/>
        </w:rPr>
        <w:t xml:space="preserve"> </w:t>
      </w:r>
      <w:r w:rsidR="00137AAB" w:rsidRPr="00137AAB">
        <w:rPr>
          <w:rFonts w:cs="Arial"/>
          <w:sz w:val="22"/>
          <w:szCs w:val="22"/>
        </w:rPr>
        <w:t>(42 months, updated in last amendment because of COVID-19)</w:t>
      </w:r>
    </w:p>
    <w:p w14:paraId="3EA3D24D"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Website</w:t>
      </w:r>
      <w:r w:rsidRPr="00137AAB">
        <w:rPr>
          <w:rFonts w:asciiTheme="minorHAnsi" w:hAnsiTheme="minorHAnsi" w:cstheme="minorHAnsi"/>
          <w:sz w:val="22"/>
          <w:szCs w:val="22"/>
          <w:lang w:val="en-GB"/>
        </w:rPr>
        <w:t xml:space="preserve">: </w:t>
      </w:r>
      <w:hyperlink r:id="rId15" w:tooltip="http://www.repast.eu" w:history="1">
        <w:r w:rsidRPr="00137AAB">
          <w:rPr>
            <w:rStyle w:val="Hyperlink"/>
            <w:rFonts w:asciiTheme="minorHAnsi" w:hAnsiTheme="minorHAnsi" w:cstheme="minorHAnsi"/>
            <w:sz w:val="22"/>
            <w:szCs w:val="22"/>
            <w:lang w:val="en-GB"/>
          </w:rPr>
          <w:t>www.repast.eu</w:t>
        </w:r>
      </w:hyperlink>
      <w:r w:rsidRPr="00137AAB">
        <w:rPr>
          <w:rFonts w:asciiTheme="minorHAnsi" w:hAnsiTheme="minorHAnsi" w:cstheme="minorHAnsi"/>
          <w:sz w:val="22"/>
          <w:szCs w:val="22"/>
          <w:lang w:val="en-GB"/>
        </w:rPr>
        <w:t xml:space="preserve"> </w:t>
      </w:r>
    </w:p>
    <w:p w14:paraId="4B94D5A5" w14:textId="77777777" w:rsidR="00EA6218" w:rsidRDefault="00EA6218">
      <w:pPr>
        <w:spacing w:line="240" w:lineRule="auto"/>
        <w:jc w:val="left"/>
        <w:rPr>
          <w:rFonts w:asciiTheme="minorHAnsi" w:hAnsiTheme="minorHAnsi" w:cstheme="minorHAnsi"/>
          <w:lang w:val="en-GB"/>
        </w:rPr>
      </w:pPr>
    </w:p>
    <w:p w14:paraId="2D53DAC4" w14:textId="77777777" w:rsidR="00EA6218"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i/>
          <w:lang w:val="en-GB"/>
        </w:rPr>
      </w:pPr>
      <w:r>
        <w:rPr>
          <w:rFonts w:asciiTheme="minorHAnsi" w:hAnsiTheme="minorHAnsi" w:cstheme="minorHAnsi"/>
          <w:i/>
          <w:lang w:val="en-GB"/>
        </w:rPr>
        <w:t>Deliverable information</w:t>
      </w:r>
    </w:p>
    <w:p w14:paraId="4CF12392" w14:textId="0C5F694F" w:rsidR="00EA6218" w:rsidRPr="00137AAB" w:rsidRDefault="48E90B20" w:rsidP="04CD0FF8">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Bidi"/>
          <w:sz w:val="22"/>
          <w:szCs w:val="22"/>
          <w:lang w:val="en-GB"/>
        </w:rPr>
      </w:pPr>
      <w:r w:rsidRPr="04CD0FF8">
        <w:rPr>
          <w:rFonts w:asciiTheme="minorHAnsi" w:hAnsiTheme="minorHAnsi" w:cstheme="minorBidi"/>
          <w:b/>
          <w:bCs/>
          <w:sz w:val="22"/>
          <w:szCs w:val="22"/>
          <w:lang w:val="en-GB"/>
        </w:rPr>
        <w:t>Deliverable number and name</w:t>
      </w:r>
      <w:r w:rsidRPr="04CD0FF8">
        <w:rPr>
          <w:rFonts w:asciiTheme="minorHAnsi" w:hAnsiTheme="minorHAnsi" w:cstheme="minorBidi"/>
          <w:sz w:val="22"/>
          <w:szCs w:val="22"/>
          <w:lang w:val="en-GB"/>
        </w:rPr>
        <w:t xml:space="preserve">: D5.3 </w:t>
      </w:r>
      <w:r w:rsidR="55067B93" w:rsidRPr="04CD0FF8">
        <w:rPr>
          <w:rFonts w:asciiTheme="minorHAnsi" w:hAnsiTheme="minorHAnsi" w:cstheme="minorBidi"/>
          <w:sz w:val="22"/>
          <w:szCs w:val="22"/>
          <w:lang w:val="en-GB"/>
        </w:rPr>
        <w:t xml:space="preserve">Socio-legal analysis of EU transitional justice law and policy and recommendations for future EU policies on how to deal with traumatic </w:t>
      </w:r>
      <w:proofErr w:type="gramStart"/>
      <w:r w:rsidR="55067B93" w:rsidRPr="04CD0FF8">
        <w:rPr>
          <w:rFonts w:asciiTheme="minorHAnsi" w:hAnsiTheme="minorHAnsi" w:cstheme="minorBidi"/>
          <w:sz w:val="22"/>
          <w:szCs w:val="22"/>
          <w:lang w:val="en-GB"/>
        </w:rPr>
        <w:t>pasts</w:t>
      </w:r>
      <w:proofErr w:type="gramEnd"/>
    </w:p>
    <w:p w14:paraId="32589A3B"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Work Package</w:t>
      </w:r>
      <w:r w:rsidRPr="00137AAB">
        <w:rPr>
          <w:rFonts w:asciiTheme="minorHAnsi" w:hAnsiTheme="minorHAnsi" w:cstheme="minorHAnsi"/>
          <w:sz w:val="22"/>
          <w:szCs w:val="22"/>
          <w:lang w:val="en-GB"/>
        </w:rPr>
        <w:t>: WP5</w:t>
      </w:r>
    </w:p>
    <w:p w14:paraId="091DC3DA"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Lead Beneficiary</w:t>
      </w:r>
      <w:r w:rsidRPr="00137AAB">
        <w:rPr>
          <w:rFonts w:asciiTheme="minorHAnsi" w:hAnsiTheme="minorHAnsi" w:cstheme="minorHAnsi"/>
          <w:sz w:val="22"/>
          <w:szCs w:val="22"/>
          <w:lang w:val="en-GB"/>
        </w:rPr>
        <w:t>: LU</w:t>
      </w:r>
    </w:p>
    <w:p w14:paraId="228976F4"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Version</w:t>
      </w:r>
      <w:r w:rsidRPr="00137AAB">
        <w:rPr>
          <w:rFonts w:asciiTheme="minorHAnsi" w:hAnsiTheme="minorHAnsi" w:cstheme="minorHAnsi"/>
          <w:sz w:val="22"/>
          <w:szCs w:val="22"/>
          <w:lang w:val="en-GB"/>
        </w:rPr>
        <w:t>: 3</w:t>
      </w:r>
    </w:p>
    <w:p w14:paraId="6B990DD1"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Authors (alphabetically)</w:t>
      </w:r>
      <w:r w:rsidRPr="00137AAB">
        <w:rPr>
          <w:rFonts w:asciiTheme="minorHAnsi" w:hAnsiTheme="minorHAnsi" w:cstheme="minorHAnsi"/>
          <w:sz w:val="22"/>
          <w:szCs w:val="22"/>
          <w:lang w:val="en-GB"/>
        </w:rPr>
        <w:t>: Claire Bradley, James A. Sweeney</w:t>
      </w:r>
    </w:p>
    <w:p w14:paraId="303DE73E"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Submission due month</w:t>
      </w:r>
      <w:r w:rsidRPr="00137AAB">
        <w:rPr>
          <w:rFonts w:asciiTheme="minorHAnsi" w:hAnsiTheme="minorHAnsi" w:cstheme="minorHAnsi"/>
          <w:sz w:val="22"/>
          <w:szCs w:val="22"/>
          <w:lang w:val="en-GB"/>
        </w:rPr>
        <w:t>: March 2020</w:t>
      </w:r>
    </w:p>
    <w:p w14:paraId="0A8C6E6F" w14:textId="3C0BC898" w:rsidR="00EA6218" w:rsidRPr="00137AAB" w:rsidRDefault="48E90B20" w:rsidP="04CD0FF8">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Bidi"/>
          <w:sz w:val="22"/>
          <w:szCs w:val="22"/>
          <w:lang w:val="en-GB"/>
        </w:rPr>
      </w:pPr>
      <w:r w:rsidRPr="04CD0FF8">
        <w:rPr>
          <w:rFonts w:asciiTheme="minorHAnsi" w:hAnsiTheme="minorHAnsi" w:cstheme="minorBidi"/>
          <w:b/>
          <w:bCs/>
          <w:sz w:val="22"/>
          <w:szCs w:val="22"/>
          <w:lang w:val="en-GB"/>
        </w:rPr>
        <w:t>Actual submission date</w:t>
      </w:r>
      <w:r w:rsidRPr="04CD0FF8">
        <w:rPr>
          <w:rFonts w:asciiTheme="minorHAnsi" w:hAnsiTheme="minorHAnsi" w:cstheme="minorBidi"/>
          <w:sz w:val="22"/>
          <w:szCs w:val="22"/>
          <w:lang w:val="en-GB"/>
        </w:rPr>
        <w:t xml:space="preserve">: </w:t>
      </w:r>
      <w:r w:rsidR="55067B93" w:rsidRPr="04CD0FF8">
        <w:rPr>
          <w:rFonts w:asciiTheme="minorHAnsi" w:hAnsiTheme="minorHAnsi" w:cstheme="minorBidi"/>
          <w:sz w:val="22"/>
          <w:szCs w:val="22"/>
          <w:lang w:val="en-GB"/>
        </w:rPr>
        <w:t xml:space="preserve">14 March </w:t>
      </w:r>
      <w:r w:rsidRPr="04CD0FF8">
        <w:rPr>
          <w:rFonts w:asciiTheme="minorHAnsi" w:hAnsiTheme="minorHAnsi" w:cstheme="minorBidi"/>
          <w:sz w:val="22"/>
          <w:szCs w:val="22"/>
          <w:lang w:val="en-GB"/>
        </w:rPr>
        <w:t>202</w:t>
      </w:r>
      <w:r w:rsidR="55067B93" w:rsidRPr="04CD0FF8">
        <w:rPr>
          <w:rFonts w:asciiTheme="minorHAnsi" w:hAnsiTheme="minorHAnsi" w:cstheme="minorBidi"/>
          <w:sz w:val="22"/>
          <w:szCs w:val="22"/>
          <w:lang w:val="en-GB"/>
        </w:rPr>
        <w:t>2</w:t>
      </w:r>
    </w:p>
    <w:p w14:paraId="50437426"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Dissemination level</w:t>
      </w:r>
      <w:r w:rsidRPr="00137AAB">
        <w:rPr>
          <w:rFonts w:asciiTheme="minorHAnsi" w:hAnsiTheme="minorHAnsi" w:cstheme="minorHAnsi"/>
          <w:sz w:val="22"/>
          <w:szCs w:val="22"/>
          <w:lang w:val="en-GB"/>
        </w:rPr>
        <w:t>: Report</w:t>
      </w:r>
    </w:p>
    <w:p w14:paraId="1CFBD74D" w14:textId="77777777" w:rsidR="00EA6218" w:rsidRPr="00137AAB" w:rsidRDefault="00F21B21">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sz w:val="22"/>
          <w:szCs w:val="22"/>
          <w:lang w:val="en-GB"/>
        </w:rPr>
      </w:pPr>
      <w:r w:rsidRPr="00137AAB">
        <w:rPr>
          <w:rFonts w:asciiTheme="minorHAnsi" w:hAnsiTheme="minorHAnsi" w:cstheme="minorHAnsi"/>
          <w:b/>
          <w:sz w:val="22"/>
          <w:szCs w:val="22"/>
          <w:lang w:val="en-GB"/>
        </w:rPr>
        <w:t>Dissemination level</w:t>
      </w:r>
      <w:r w:rsidRPr="00137AAB">
        <w:rPr>
          <w:rFonts w:asciiTheme="minorHAnsi" w:hAnsiTheme="minorHAnsi" w:cstheme="minorHAnsi"/>
          <w:sz w:val="22"/>
          <w:szCs w:val="22"/>
          <w:lang w:val="en-GB"/>
        </w:rPr>
        <w:t>: Public</w:t>
      </w:r>
    </w:p>
    <w:p w14:paraId="56F3C8BA" w14:textId="1EFD274C" w:rsidR="00EA6218" w:rsidRPr="00137AAB" w:rsidRDefault="48E90B20" w:rsidP="04CD0FF8">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Bidi"/>
          <w:sz w:val="22"/>
          <w:szCs w:val="22"/>
          <w:lang w:val="en-GB"/>
        </w:rPr>
      </w:pPr>
      <w:r w:rsidRPr="04CD0FF8">
        <w:rPr>
          <w:rFonts w:asciiTheme="minorHAnsi" w:hAnsiTheme="minorHAnsi" w:cstheme="minorBidi"/>
          <w:b/>
          <w:bCs/>
          <w:sz w:val="22"/>
          <w:szCs w:val="22"/>
          <w:lang w:val="en-GB"/>
        </w:rPr>
        <w:t>Status</w:t>
      </w:r>
      <w:r w:rsidRPr="04CD0FF8">
        <w:rPr>
          <w:rFonts w:asciiTheme="minorHAnsi" w:hAnsiTheme="minorHAnsi" w:cstheme="minorBidi"/>
          <w:sz w:val="22"/>
          <w:szCs w:val="22"/>
          <w:lang w:val="en-GB"/>
        </w:rPr>
        <w:t xml:space="preserve">: </w:t>
      </w:r>
      <w:r w:rsidR="00FF0BEC" w:rsidRPr="04CD0FF8">
        <w:rPr>
          <w:rFonts w:asciiTheme="minorHAnsi" w:hAnsiTheme="minorHAnsi" w:cstheme="minorBidi"/>
          <w:sz w:val="22"/>
          <w:szCs w:val="22"/>
          <w:lang w:val="en-GB"/>
        </w:rPr>
        <w:t>Submitted</w:t>
      </w:r>
    </w:p>
    <w:p w14:paraId="3DEEC669" w14:textId="4A58612D" w:rsidR="00EA6218" w:rsidRDefault="00EA6218" w:rsidP="04CD0FF8">
      <w:pPr>
        <w:spacing w:line="240" w:lineRule="auto"/>
        <w:rPr>
          <w:rFonts w:asciiTheme="minorHAnsi" w:hAnsiTheme="minorHAnsi" w:cstheme="minorBidi"/>
          <w:lang w:val="en-GB"/>
        </w:rPr>
      </w:pPr>
    </w:p>
    <w:p w14:paraId="3B94DD48" w14:textId="5330E5C2" w:rsidR="001E1A40" w:rsidRDefault="001E1A40" w:rsidP="04CD0FF8">
      <w:pPr>
        <w:spacing w:line="240" w:lineRule="auto"/>
        <w:rPr>
          <w:rFonts w:asciiTheme="minorHAnsi" w:hAnsiTheme="minorHAnsi" w:cstheme="minorBidi"/>
          <w:lang w:val="en-GB"/>
        </w:rPr>
      </w:pPr>
    </w:p>
    <w:p w14:paraId="15EB378B" w14:textId="7BBE90D5" w:rsidR="001E1A40" w:rsidRDefault="001E1A40" w:rsidP="04CD0FF8">
      <w:pPr>
        <w:spacing w:line="240" w:lineRule="auto"/>
        <w:rPr>
          <w:rFonts w:asciiTheme="minorHAnsi" w:hAnsiTheme="minorHAnsi" w:cstheme="minorBidi"/>
          <w:lang w:val="en-GB"/>
        </w:rPr>
      </w:pPr>
    </w:p>
    <w:p w14:paraId="58C72434" w14:textId="6AC4BD39" w:rsidR="001E1A40" w:rsidRDefault="001E1A40" w:rsidP="04CD0FF8">
      <w:pPr>
        <w:spacing w:line="240" w:lineRule="auto"/>
        <w:rPr>
          <w:rFonts w:asciiTheme="minorHAnsi" w:hAnsiTheme="minorHAnsi" w:cstheme="minorBidi"/>
          <w:lang w:val="en-GB"/>
        </w:rPr>
      </w:pPr>
    </w:p>
    <w:p w14:paraId="189C27D9" w14:textId="39B17823" w:rsidR="001E1A40" w:rsidRDefault="001E1A40" w:rsidP="04CD0FF8">
      <w:pPr>
        <w:spacing w:line="240" w:lineRule="auto"/>
        <w:rPr>
          <w:rFonts w:asciiTheme="minorHAnsi" w:hAnsiTheme="minorHAnsi" w:cstheme="minorBidi"/>
          <w:lang w:val="en-GB"/>
        </w:rPr>
      </w:pPr>
    </w:p>
    <w:p w14:paraId="685ABB6B" w14:textId="7BD4D681" w:rsidR="001E1A40" w:rsidRDefault="001E1A40" w:rsidP="04CD0FF8">
      <w:pPr>
        <w:spacing w:line="240" w:lineRule="auto"/>
        <w:rPr>
          <w:rFonts w:asciiTheme="minorHAnsi" w:hAnsiTheme="minorHAnsi" w:cstheme="minorBidi"/>
          <w:lang w:val="en-GB"/>
        </w:rPr>
      </w:pPr>
    </w:p>
    <w:p w14:paraId="2F35FC83" w14:textId="45250BED" w:rsidR="001E1A40" w:rsidRDefault="001E1A40" w:rsidP="04CD0FF8">
      <w:pPr>
        <w:spacing w:line="240" w:lineRule="auto"/>
        <w:rPr>
          <w:rFonts w:asciiTheme="minorHAnsi" w:hAnsiTheme="minorHAnsi" w:cstheme="minorBidi"/>
          <w:lang w:val="en-GB"/>
        </w:rPr>
      </w:pPr>
    </w:p>
    <w:p w14:paraId="394750E0" w14:textId="3629BBC5" w:rsidR="001E1A40" w:rsidRDefault="001E1A40" w:rsidP="04CD0FF8">
      <w:pPr>
        <w:spacing w:line="240" w:lineRule="auto"/>
        <w:rPr>
          <w:rFonts w:asciiTheme="minorHAnsi" w:hAnsiTheme="minorHAnsi" w:cstheme="minorBidi"/>
          <w:lang w:val="en-GB"/>
        </w:rPr>
      </w:pPr>
    </w:p>
    <w:p w14:paraId="7A155239" w14:textId="1F0056DC" w:rsidR="001E1A40" w:rsidRDefault="001E1A40" w:rsidP="04CD0FF8">
      <w:pPr>
        <w:spacing w:line="240" w:lineRule="auto"/>
        <w:rPr>
          <w:rFonts w:asciiTheme="minorHAnsi" w:hAnsiTheme="minorHAnsi" w:cstheme="minorBidi"/>
          <w:lang w:val="en-GB"/>
        </w:rPr>
      </w:pPr>
    </w:p>
    <w:p w14:paraId="6B10FD07" w14:textId="264BB695" w:rsidR="001E1A40" w:rsidRDefault="001E1A40" w:rsidP="04CD0FF8">
      <w:pPr>
        <w:spacing w:line="240" w:lineRule="auto"/>
        <w:rPr>
          <w:rFonts w:asciiTheme="minorHAnsi" w:hAnsiTheme="minorHAnsi" w:cstheme="minorBidi"/>
          <w:lang w:val="en-GB"/>
        </w:rPr>
      </w:pPr>
    </w:p>
    <w:p w14:paraId="41A8303F" w14:textId="6C4FAA9D" w:rsidR="001E1A40" w:rsidRDefault="001E1A40" w:rsidP="04CD0FF8">
      <w:pPr>
        <w:spacing w:line="240" w:lineRule="auto"/>
        <w:rPr>
          <w:rFonts w:asciiTheme="minorHAnsi" w:hAnsiTheme="minorHAnsi" w:cstheme="minorBidi"/>
          <w:lang w:val="en-GB"/>
        </w:rPr>
      </w:pPr>
    </w:p>
    <w:p w14:paraId="47513F0C" w14:textId="2424526A" w:rsidR="001E1A40" w:rsidRDefault="001E1A40" w:rsidP="04CD0FF8">
      <w:pPr>
        <w:spacing w:line="240" w:lineRule="auto"/>
        <w:rPr>
          <w:rFonts w:asciiTheme="minorHAnsi" w:hAnsiTheme="minorHAnsi" w:cstheme="minorBidi"/>
          <w:lang w:val="en-GB"/>
        </w:rPr>
      </w:pPr>
    </w:p>
    <w:p w14:paraId="207A60E3" w14:textId="77777777" w:rsidR="001E1A40" w:rsidRDefault="001E1A40">
      <w:pPr>
        <w:spacing w:line="240" w:lineRule="auto"/>
        <w:rPr>
          <w:rFonts w:asciiTheme="minorHAnsi" w:hAnsiTheme="minorHAnsi" w:cstheme="minorHAnsi"/>
          <w:lang w:val="en-GB"/>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304"/>
        <w:gridCol w:w="2552"/>
        <w:gridCol w:w="850"/>
        <w:gridCol w:w="2552"/>
        <w:gridCol w:w="2131"/>
      </w:tblGrid>
      <w:tr w:rsidR="00EA6218" w:rsidRPr="004A36F6" w14:paraId="5BABBB04" w14:textId="77777777" w:rsidTr="04CD0FF8">
        <w:tc>
          <w:tcPr>
            <w:tcW w:w="1024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CB8E9"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Document history</w:t>
            </w:r>
          </w:p>
        </w:tc>
      </w:tr>
      <w:tr w:rsidR="00EA6218" w:rsidRPr="004A36F6" w14:paraId="383710D9" w14:textId="77777777" w:rsidTr="04CD0FF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14A1E" w14:textId="77777777" w:rsidR="00EA6218" w:rsidRPr="004A36F6" w:rsidRDefault="48E90B20" w:rsidP="04CD0FF8">
            <w:pPr>
              <w:keepNext/>
              <w:spacing w:line="240" w:lineRule="auto"/>
              <w:jc w:val="center"/>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Version</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072FA"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Date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8ACB6" w14:textId="77777777" w:rsidR="00EA6218" w:rsidRPr="004A36F6" w:rsidRDefault="48E90B20" w:rsidP="04CD0FF8">
            <w:pPr>
              <w:keepNext/>
              <w:spacing w:line="240" w:lineRule="auto"/>
              <w:jc w:val="left"/>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Author(s) / Organisation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FBFDD"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Status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F54C8"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1220"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Distribution</w:t>
            </w:r>
          </w:p>
        </w:tc>
      </w:tr>
      <w:tr w:rsidR="00EA6218" w:rsidRPr="004A36F6" w14:paraId="177F888C" w14:textId="77777777" w:rsidTr="04CD0FF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841BE" w14:textId="77777777" w:rsidR="00EA6218" w:rsidRPr="004A36F6" w:rsidRDefault="48E90B20" w:rsidP="04CD0FF8">
            <w:pPr>
              <w:keepNext/>
              <w:spacing w:line="240" w:lineRule="auto"/>
              <w:jc w:val="center"/>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1</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2637B"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6.10.2021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30B89"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James A. Sweeney, Claire Bradley.  Lancaster University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32B02"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draft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2700"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First draft for review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B1BF"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proofErr w:type="spellStart"/>
            <w:r w:rsidRPr="04CD0FF8">
              <w:rPr>
                <w:rFonts w:asciiTheme="minorHAnsi" w:eastAsia="Times New Roman" w:hAnsiTheme="minorHAnsi" w:cstheme="minorBidi"/>
                <w:sz w:val="20"/>
                <w:szCs w:val="20"/>
                <w:lang w:val="en-GB"/>
              </w:rPr>
              <w:t>RePAST</w:t>
            </w:r>
            <w:proofErr w:type="spellEnd"/>
            <w:r w:rsidRPr="04CD0FF8">
              <w:rPr>
                <w:rFonts w:asciiTheme="minorHAnsi" w:eastAsia="Times New Roman" w:hAnsiTheme="minorHAnsi" w:cstheme="minorBidi"/>
                <w:sz w:val="20"/>
                <w:szCs w:val="20"/>
                <w:lang w:val="en-GB"/>
              </w:rPr>
              <w:t xml:space="preserve"> cloud folder</w:t>
            </w:r>
          </w:p>
        </w:tc>
      </w:tr>
      <w:tr w:rsidR="00EA6218" w:rsidRPr="004A36F6" w14:paraId="50990F74" w14:textId="77777777" w:rsidTr="04CD0FF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99B5" w14:textId="77777777" w:rsidR="00EA6218" w:rsidRPr="004A36F6" w:rsidRDefault="48E90B20" w:rsidP="04CD0FF8">
            <w:pPr>
              <w:keepNext/>
              <w:spacing w:line="240" w:lineRule="auto"/>
              <w:jc w:val="center"/>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2</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2F631"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22.10.2021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A9BF"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James A. Sweeney, Claire Bradley.  Lancaster University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15D0"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draft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85AE"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Second draft for review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BD548"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proofErr w:type="spellStart"/>
            <w:r w:rsidRPr="04CD0FF8">
              <w:rPr>
                <w:rFonts w:asciiTheme="minorHAnsi" w:eastAsia="Times New Roman" w:hAnsiTheme="minorHAnsi" w:cstheme="minorBidi"/>
                <w:sz w:val="20"/>
                <w:szCs w:val="20"/>
                <w:lang w:val="en-GB"/>
              </w:rPr>
              <w:t>RePAST</w:t>
            </w:r>
            <w:proofErr w:type="spellEnd"/>
            <w:r w:rsidRPr="04CD0FF8">
              <w:rPr>
                <w:rFonts w:asciiTheme="minorHAnsi" w:eastAsia="Times New Roman" w:hAnsiTheme="minorHAnsi" w:cstheme="minorBidi"/>
                <w:sz w:val="20"/>
                <w:szCs w:val="20"/>
                <w:lang w:val="en-GB"/>
              </w:rPr>
              <w:t xml:space="preserve"> cloud folder</w:t>
            </w:r>
          </w:p>
        </w:tc>
      </w:tr>
      <w:tr w:rsidR="00EA6218" w:rsidRPr="004A36F6" w14:paraId="523F7FF5" w14:textId="77777777" w:rsidTr="04CD0FF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D5EC4" w14:textId="77777777" w:rsidR="00EA6218" w:rsidRPr="004A36F6" w:rsidRDefault="48E90B20" w:rsidP="04CD0FF8">
            <w:pPr>
              <w:keepNext/>
              <w:spacing w:line="240" w:lineRule="auto"/>
              <w:jc w:val="center"/>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3</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C94E7"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3.11.2021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32D2B"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James A. Sweeney, Claire Bradley.  Lancaster University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B9AB" w14:textId="77777777" w:rsidR="00EA6218" w:rsidRPr="004A36F6" w:rsidRDefault="00EA6218" w:rsidP="04CD0FF8">
            <w:pPr>
              <w:keepNext/>
              <w:spacing w:line="240" w:lineRule="auto"/>
              <w:jc w:val="left"/>
              <w:rPr>
                <w:rFonts w:asciiTheme="minorHAnsi" w:eastAsia="Times New Roman" w:hAnsiTheme="minorHAnsi" w:cstheme="minorBidi"/>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850F5"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 xml:space="preserve">Final draft for submission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211EA"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proofErr w:type="spellStart"/>
            <w:r w:rsidRPr="04CD0FF8">
              <w:rPr>
                <w:rFonts w:asciiTheme="minorHAnsi" w:eastAsia="Times New Roman" w:hAnsiTheme="minorHAnsi" w:cstheme="minorBidi"/>
                <w:sz w:val="20"/>
                <w:szCs w:val="20"/>
                <w:lang w:val="en-GB"/>
              </w:rPr>
              <w:t>RePAST</w:t>
            </w:r>
            <w:proofErr w:type="spellEnd"/>
            <w:r w:rsidRPr="04CD0FF8">
              <w:rPr>
                <w:rFonts w:asciiTheme="minorHAnsi" w:eastAsia="Times New Roman" w:hAnsiTheme="minorHAnsi" w:cstheme="minorBidi"/>
                <w:sz w:val="20"/>
                <w:szCs w:val="20"/>
                <w:lang w:val="en-GB"/>
              </w:rPr>
              <w:t xml:space="preserve"> cloud folder</w:t>
            </w:r>
          </w:p>
        </w:tc>
      </w:tr>
      <w:tr w:rsidR="00EA6218" w:rsidRPr="004A36F6" w14:paraId="7B915D4B" w14:textId="77777777" w:rsidTr="04CD0FF8">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DEE6" w14:textId="77777777" w:rsidR="00EA6218" w:rsidRPr="004A36F6" w:rsidRDefault="48E90B20" w:rsidP="04CD0FF8">
            <w:pPr>
              <w:keepNext/>
              <w:spacing w:line="240" w:lineRule="auto"/>
              <w:jc w:val="center"/>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4</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0818" w14:textId="3E7F8A0D" w:rsidR="00EA6218" w:rsidRPr="004A36F6" w:rsidRDefault="0C2B1A11"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color w:val="FF0000"/>
                <w:sz w:val="20"/>
                <w:szCs w:val="20"/>
                <w:lang w:val="en-GB"/>
              </w:rPr>
              <w:t>27.2.2022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1D226"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James A. Sweeney, Claire Bradley.  Lancaster University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F31CB" w14:textId="77777777" w:rsidR="00EA6218" w:rsidRPr="004A36F6" w:rsidRDefault="00EA6218" w:rsidP="04CD0FF8">
            <w:pPr>
              <w:keepNext/>
              <w:spacing w:line="240" w:lineRule="auto"/>
              <w:jc w:val="left"/>
              <w:rPr>
                <w:rFonts w:asciiTheme="minorHAnsi" w:eastAsia="Times New Roman" w:hAnsiTheme="minorHAnsi" w:cstheme="minorBidi"/>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568BF"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 xml:space="preserve">Resubmission </w:t>
            </w:r>
            <w:proofErr w:type="gramStart"/>
            <w:r w:rsidRPr="04CD0FF8">
              <w:rPr>
                <w:rFonts w:asciiTheme="minorHAnsi" w:eastAsia="Times New Roman" w:hAnsiTheme="minorHAnsi" w:cstheme="minorBidi"/>
                <w:sz w:val="20"/>
                <w:szCs w:val="20"/>
                <w:lang w:val="en-GB"/>
              </w:rPr>
              <w:t>subsequent to</w:t>
            </w:r>
            <w:proofErr w:type="gramEnd"/>
            <w:r w:rsidRPr="04CD0FF8">
              <w:rPr>
                <w:rFonts w:asciiTheme="minorHAnsi" w:eastAsia="Times New Roman" w:hAnsiTheme="minorHAnsi" w:cstheme="minorBidi"/>
                <w:sz w:val="20"/>
                <w:szCs w:val="20"/>
                <w:lang w:val="en-GB"/>
              </w:rPr>
              <w:t xml:space="preserve"> requests of independent expert reviewers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4CA03"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proofErr w:type="spellStart"/>
            <w:r w:rsidRPr="04CD0FF8">
              <w:rPr>
                <w:rFonts w:asciiTheme="minorHAnsi" w:eastAsia="Times New Roman" w:hAnsiTheme="minorHAnsi" w:cstheme="minorBidi"/>
                <w:sz w:val="20"/>
                <w:szCs w:val="20"/>
                <w:lang w:val="en-GB"/>
              </w:rPr>
              <w:t>RePAST</w:t>
            </w:r>
            <w:proofErr w:type="spellEnd"/>
            <w:r w:rsidRPr="04CD0FF8">
              <w:rPr>
                <w:rFonts w:asciiTheme="minorHAnsi" w:eastAsia="Times New Roman" w:hAnsiTheme="minorHAnsi" w:cstheme="minorBidi"/>
                <w:sz w:val="20"/>
                <w:szCs w:val="20"/>
                <w:lang w:val="en-GB"/>
              </w:rPr>
              <w:t xml:space="preserve"> cloud folder</w:t>
            </w:r>
          </w:p>
        </w:tc>
      </w:tr>
    </w:tbl>
    <w:p w14:paraId="2EDEDC66" w14:textId="77777777" w:rsidR="00EA6218" w:rsidRDefault="00F21B21">
      <w:pPr>
        <w:spacing w:line="240" w:lineRule="auto"/>
        <w:rPr>
          <w:rFonts w:asciiTheme="minorHAnsi" w:hAnsiTheme="minorHAnsi" w:cstheme="minorHAnsi"/>
          <w:lang w:val="en-GB"/>
        </w:rPr>
      </w:pPr>
      <w:r>
        <w:rPr>
          <w:rFonts w:asciiTheme="minorHAnsi" w:hAnsiTheme="minorHAnsi" w:cstheme="minorHAnsi"/>
          <w:lang w:val="en-GB"/>
        </w:rPr>
        <w:t>Peer reviewed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4677"/>
      </w:tblGrid>
      <w:tr w:rsidR="00EA6218" w14:paraId="5F682F47" w14:textId="77777777" w:rsidTr="04CD0FF8">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53D9F" w14:textId="77777777" w:rsidR="00EA6218" w:rsidRPr="004A36F6" w:rsidRDefault="48E90B20" w:rsidP="04CD0FF8">
            <w:pPr>
              <w:keepNext/>
              <w:spacing w:line="240" w:lineRule="auto"/>
              <w:jc w:val="left"/>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Partner/Body</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0B6AE" w14:textId="77777777" w:rsidR="00EA6218" w:rsidRPr="004A36F6" w:rsidRDefault="48E90B20" w:rsidP="04CD0FF8">
            <w:pPr>
              <w:keepNext/>
              <w:spacing w:line="240" w:lineRule="auto"/>
              <w:rPr>
                <w:rFonts w:asciiTheme="minorHAnsi" w:eastAsia="Times New Roman" w:hAnsiTheme="minorHAnsi" w:cstheme="minorBidi"/>
                <w:b/>
                <w:bCs/>
                <w:sz w:val="20"/>
                <w:szCs w:val="20"/>
                <w:lang w:val="en-GB"/>
              </w:rPr>
            </w:pPr>
            <w:r w:rsidRPr="04CD0FF8">
              <w:rPr>
                <w:rFonts w:asciiTheme="minorHAnsi" w:eastAsia="Times New Roman" w:hAnsiTheme="minorHAnsi" w:cstheme="minorBidi"/>
                <w:b/>
                <w:bCs/>
                <w:sz w:val="20"/>
                <w:szCs w:val="20"/>
                <w:lang w:val="en-GB"/>
              </w:rPr>
              <w:t>Reviewer</w:t>
            </w:r>
          </w:p>
        </w:tc>
      </w:tr>
      <w:tr w:rsidR="00EA6218" w14:paraId="4DBF1766" w14:textId="77777777" w:rsidTr="04CD0FF8">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F09F0"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University of Ljubljana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DCDE3"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rFonts w:asciiTheme="minorHAnsi" w:eastAsia="Times New Roman" w:hAnsiTheme="minorHAnsi" w:cstheme="minorBidi"/>
                <w:sz w:val="20"/>
                <w:szCs w:val="20"/>
                <w:lang w:val="en-GB"/>
              </w:rPr>
              <w:t xml:space="preserve">Faris </w:t>
            </w:r>
            <w:proofErr w:type="spellStart"/>
            <w:r w:rsidRPr="04CD0FF8">
              <w:rPr>
                <w:rFonts w:asciiTheme="minorHAnsi" w:eastAsia="Times New Roman" w:hAnsiTheme="minorHAnsi" w:cstheme="minorBidi"/>
                <w:sz w:val="20"/>
                <w:szCs w:val="20"/>
                <w:lang w:val="en-GB"/>
              </w:rPr>
              <w:t>Kočan</w:t>
            </w:r>
            <w:proofErr w:type="spellEnd"/>
            <w:r w:rsidRPr="04CD0FF8">
              <w:rPr>
                <w:rFonts w:asciiTheme="minorHAnsi" w:eastAsia="Times New Roman" w:hAnsiTheme="minorHAnsi" w:cstheme="minorBidi"/>
                <w:sz w:val="20"/>
                <w:szCs w:val="20"/>
                <w:lang w:val="en-GB"/>
              </w:rPr>
              <w:t xml:space="preserve"> &amp; </w:t>
            </w:r>
            <w:proofErr w:type="spellStart"/>
            <w:r w:rsidRPr="04CD0FF8">
              <w:rPr>
                <w:rFonts w:asciiTheme="minorHAnsi" w:eastAsia="Times New Roman" w:hAnsiTheme="minorHAnsi" w:cstheme="minorBidi"/>
                <w:sz w:val="20"/>
                <w:szCs w:val="20"/>
                <w:lang w:val="en-GB"/>
              </w:rPr>
              <w:t>Rok</w:t>
            </w:r>
            <w:proofErr w:type="spellEnd"/>
            <w:r w:rsidRPr="04CD0FF8">
              <w:rPr>
                <w:rFonts w:asciiTheme="minorHAnsi" w:eastAsia="Times New Roman" w:hAnsiTheme="minorHAnsi" w:cstheme="minorBidi"/>
                <w:sz w:val="20"/>
                <w:szCs w:val="20"/>
                <w:lang w:val="en-GB"/>
              </w:rPr>
              <w:t xml:space="preserve"> </w:t>
            </w:r>
            <w:proofErr w:type="spellStart"/>
            <w:r w:rsidRPr="04CD0FF8">
              <w:rPr>
                <w:rFonts w:asciiTheme="minorHAnsi" w:eastAsia="Times New Roman" w:hAnsiTheme="minorHAnsi" w:cstheme="minorBidi"/>
                <w:sz w:val="20"/>
                <w:szCs w:val="20"/>
                <w:lang w:val="en-GB"/>
              </w:rPr>
              <w:t>Zupančič</w:t>
            </w:r>
            <w:proofErr w:type="spellEnd"/>
          </w:p>
        </w:tc>
      </w:tr>
      <w:tr w:rsidR="00EA6218" w14:paraId="751A8543" w14:textId="77777777" w:rsidTr="04CD0FF8">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54D17"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sz w:val="20"/>
                <w:szCs w:val="20"/>
              </w:rPr>
              <w:t xml:space="preserve">Universidad </w:t>
            </w:r>
            <w:proofErr w:type="spellStart"/>
            <w:r w:rsidRPr="04CD0FF8">
              <w:rPr>
                <w:sz w:val="20"/>
                <w:szCs w:val="20"/>
              </w:rPr>
              <w:t>Autónoma</w:t>
            </w:r>
            <w:proofErr w:type="spellEnd"/>
            <w:r w:rsidRPr="04CD0FF8">
              <w:rPr>
                <w:sz w:val="20"/>
                <w:szCs w:val="20"/>
              </w:rPr>
              <w:t xml:space="preserve"> de Madrid</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8826F" w14:textId="77777777" w:rsidR="00EA6218" w:rsidRPr="004A36F6" w:rsidRDefault="48E90B20" w:rsidP="04CD0FF8">
            <w:pPr>
              <w:keepNext/>
              <w:spacing w:line="240" w:lineRule="auto"/>
              <w:jc w:val="left"/>
              <w:rPr>
                <w:rFonts w:asciiTheme="minorHAnsi" w:eastAsia="Times New Roman" w:hAnsiTheme="minorHAnsi" w:cstheme="minorBidi"/>
                <w:sz w:val="20"/>
                <w:szCs w:val="20"/>
                <w:lang w:val="en-GB"/>
              </w:rPr>
            </w:pPr>
            <w:r w:rsidRPr="04CD0FF8">
              <w:rPr>
                <w:sz w:val="20"/>
                <w:szCs w:val="20"/>
              </w:rPr>
              <w:t>María García Casas</w:t>
            </w:r>
          </w:p>
        </w:tc>
      </w:tr>
    </w:tbl>
    <w:p w14:paraId="53128261" w14:textId="77777777" w:rsidR="00EA6218" w:rsidRDefault="00F21B21">
      <w:pPr>
        <w:spacing w:line="240" w:lineRule="auto"/>
        <w:jc w:val="left"/>
        <w:rPr>
          <w:rFonts w:asciiTheme="minorHAnsi" w:hAnsiTheme="minorHAnsi" w:cstheme="minorHAnsi"/>
          <w:b/>
          <w:lang w:val="en-GB"/>
        </w:rPr>
        <w:sectPr w:rsidR="00EA6218">
          <w:headerReference w:type="default" r:id="rId16"/>
          <w:footerReference w:type="default" r:id="rId17"/>
          <w:headerReference w:type="first" r:id="rId18"/>
          <w:footerReference w:type="first" r:id="rId19"/>
          <w:pgSz w:w="11900" w:h="16840"/>
          <w:pgMar w:top="1440" w:right="1080" w:bottom="1440" w:left="1080" w:header="708" w:footer="708" w:gutter="0"/>
          <w:cols w:space="708"/>
          <w:titlePg/>
          <w:docGrid w:linePitch="360"/>
        </w:sectPr>
      </w:pPr>
      <w:r>
        <w:rPr>
          <w:rFonts w:asciiTheme="minorHAnsi" w:hAnsiTheme="minorHAnsi" w:cstheme="minorHAnsi"/>
          <w:b/>
          <w:lang w:val="en-GB"/>
        </w:rPr>
        <w:br w:type="page"/>
      </w:r>
    </w:p>
    <w:sdt>
      <w:sdtPr>
        <w:rPr>
          <w:rFonts w:asciiTheme="minorHAnsi" w:hAnsiTheme="minorHAnsi" w:cstheme="minorHAnsi"/>
          <w:color w:val="000000"/>
          <w:lang w:val="en-GB"/>
        </w:rPr>
        <w:id w:val="-370697099"/>
        <w:docPartObj>
          <w:docPartGallery w:val="Table of Contents"/>
          <w:docPartUnique/>
        </w:docPartObj>
      </w:sdtPr>
      <w:sdtEndPr/>
      <w:sdtContent>
        <w:p w14:paraId="025AD950" w14:textId="77777777" w:rsidR="00EF3743" w:rsidRDefault="00EF3743" w:rsidP="04CD0FF8">
          <w:pPr>
            <w:spacing w:line="240" w:lineRule="auto"/>
            <w:rPr>
              <w:rFonts w:asciiTheme="minorHAnsi" w:hAnsiTheme="minorHAnsi" w:cstheme="minorBidi"/>
              <w:color w:val="000000"/>
              <w:lang w:val="en-GB"/>
            </w:rPr>
          </w:pPr>
        </w:p>
        <w:p w14:paraId="406425CA" w14:textId="46A350AD" w:rsidR="00EA6218" w:rsidRDefault="00F21B21">
          <w:pPr>
            <w:spacing w:line="240" w:lineRule="auto"/>
            <w:rPr>
              <w:rFonts w:asciiTheme="minorHAnsi" w:hAnsiTheme="minorHAnsi" w:cstheme="minorHAnsi"/>
              <w:b/>
              <w:color w:val="000000"/>
              <w:lang w:val="en-GB"/>
            </w:rPr>
          </w:pPr>
          <w:r>
            <w:rPr>
              <w:rFonts w:asciiTheme="minorHAnsi" w:hAnsiTheme="minorHAnsi" w:cstheme="minorHAnsi"/>
              <w:b/>
              <w:color w:val="000000"/>
              <w:lang w:val="en-GB"/>
            </w:rPr>
            <w:t>Contents</w:t>
          </w:r>
        </w:p>
        <w:p w14:paraId="62486C05" w14:textId="77777777" w:rsidR="00EA6218" w:rsidRDefault="00EA6218">
          <w:pPr>
            <w:spacing w:line="240" w:lineRule="auto"/>
            <w:rPr>
              <w:rFonts w:asciiTheme="minorHAnsi" w:hAnsiTheme="minorHAnsi" w:cstheme="minorHAnsi"/>
              <w:lang w:val="en-GB"/>
            </w:rPr>
          </w:pPr>
        </w:p>
        <w:p w14:paraId="1EDD89DF" w14:textId="4213C823" w:rsidR="006B39B0" w:rsidRDefault="00F21B21">
          <w:pPr>
            <w:pStyle w:val="TOC1"/>
            <w:rPr>
              <w:rFonts w:asciiTheme="minorHAnsi" w:eastAsiaTheme="minorEastAsia" w:hAnsiTheme="minorHAnsi" w:cstheme="minorBidi"/>
              <w:b w:val="0"/>
              <w:noProof/>
              <w:lang w:val="en-GB" w:eastAsia="en-GB"/>
            </w:rPr>
          </w:pPr>
          <w:r>
            <w:rPr>
              <w:rFonts w:asciiTheme="minorHAnsi" w:hAnsiTheme="minorHAnsi" w:cstheme="minorHAnsi"/>
              <w:bCs/>
              <w:lang w:val="en-GB"/>
            </w:rPr>
            <w:fldChar w:fldCharType="begin"/>
          </w:r>
          <w:r>
            <w:rPr>
              <w:rFonts w:asciiTheme="minorHAnsi" w:hAnsiTheme="minorHAnsi" w:cstheme="minorHAnsi"/>
              <w:bCs/>
              <w:lang w:val="en-GB"/>
            </w:rPr>
            <w:instrText xml:space="preserve"> TOC \o "1-3" \h \z \u </w:instrText>
          </w:r>
          <w:r>
            <w:rPr>
              <w:rFonts w:asciiTheme="minorHAnsi" w:hAnsiTheme="minorHAnsi" w:cstheme="minorHAnsi"/>
              <w:bCs/>
              <w:lang w:val="en-GB"/>
            </w:rPr>
            <w:fldChar w:fldCharType="separate"/>
          </w:r>
          <w:hyperlink w:anchor="_Toc96862357" w:history="1">
            <w:r w:rsidR="006B39B0" w:rsidRPr="00AB2648">
              <w:rPr>
                <w:rStyle w:val="Hyperlink"/>
                <w:rFonts w:cstheme="minorHAnsi"/>
                <w:noProof/>
                <w:lang w:val="en-GB"/>
              </w:rPr>
              <w:t>Summary</w:t>
            </w:r>
            <w:r w:rsidR="006B39B0">
              <w:rPr>
                <w:noProof/>
                <w:webHidden/>
              </w:rPr>
              <w:tab/>
            </w:r>
            <w:r w:rsidR="006B39B0">
              <w:rPr>
                <w:noProof/>
                <w:webHidden/>
              </w:rPr>
              <w:fldChar w:fldCharType="begin"/>
            </w:r>
            <w:r w:rsidR="006B39B0">
              <w:rPr>
                <w:noProof/>
                <w:webHidden/>
              </w:rPr>
              <w:instrText xml:space="preserve"> PAGEREF _Toc96862357 \h </w:instrText>
            </w:r>
            <w:r w:rsidR="006B39B0">
              <w:rPr>
                <w:noProof/>
                <w:webHidden/>
              </w:rPr>
            </w:r>
            <w:r w:rsidR="006B39B0">
              <w:rPr>
                <w:noProof/>
                <w:webHidden/>
              </w:rPr>
              <w:fldChar w:fldCharType="separate"/>
            </w:r>
            <w:r w:rsidR="00DF209D">
              <w:rPr>
                <w:noProof/>
                <w:webHidden/>
              </w:rPr>
              <w:t>5</w:t>
            </w:r>
            <w:r w:rsidR="006B39B0">
              <w:rPr>
                <w:noProof/>
                <w:webHidden/>
              </w:rPr>
              <w:fldChar w:fldCharType="end"/>
            </w:r>
          </w:hyperlink>
        </w:p>
        <w:p w14:paraId="33FEFC37" w14:textId="742E604A" w:rsidR="006B39B0" w:rsidRDefault="00E80DDD">
          <w:pPr>
            <w:pStyle w:val="TOC1"/>
            <w:rPr>
              <w:rFonts w:asciiTheme="minorHAnsi" w:eastAsiaTheme="minorEastAsia" w:hAnsiTheme="minorHAnsi" w:cstheme="minorBidi"/>
              <w:b w:val="0"/>
              <w:noProof/>
              <w:lang w:val="en-GB" w:eastAsia="en-GB"/>
            </w:rPr>
          </w:pPr>
          <w:hyperlink w:anchor="_Toc96862358" w:history="1">
            <w:r w:rsidR="006B39B0" w:rsidRPr="00AB2648">
              <w:rPr>
                <w:rStyle w:val="Hyperlink"/>
                <w:rFonts w:cstheme="minorHAnsi"/>
                <w:noProof/>
                <w:lang w:val="en-GB"/>
              </w:rPr>
              <w:t>Introduction</w:t>
            </w:r>
            <w:r w:rsidR="006B39B0">
              <w:rPr>
                <w:noProof/>
                <w:webHidden/>
              </w:rPr>
              <w:tab/>
            </w:r>
            <w:r w:rsidR="006B39B0">
              <w:rPr>
                <w:noProof/>
                <w:webHidden/>
              </w:rPr>
              <w:fldChar w:fldCharType="begin"/>
            </w:r>
            <w:r w:rsidR="006B39B0">
              <w:rPr>
                <w:noProof/>
                <w:webHidden/>
              </w:rPr>
              <w:instrText xml:space="preserve"> PAGEREF _Toc96862358 \h </w:instrText>
            </w:r>
            <w:r w:rsidR="006B39B0">
              <w:rPr>
                <w:noProof/>
                <w:webHidden/>
              </w:rPr>
            </w:r>
            <w:r w:rsidR="006B39B0">
              <w:rPr>
                <w:noProof/>
                <w:webHidden/>
              </w:rPr>
              <w:fldChar w:fldCharType="separate"/>
            </w:r>
            <w:r w:rsidR="00DF209D">
              <w:rPr>
                <w:noProof/>
                <w:webHidden/>
              </w:rPr>
              <w:t>5</w:t>
            </w:r>
            <w:r w:rsidR="006B39B0">
              <w:rPr>
                <w:noProof/>
                <w:webHidden/>
              </w:rPr>
              <w:fldChar w:fldCharType="end"/>
            </w:r>
          </w:hyperlink>
        </w:p>
        <w:p w14:paraId="581E9967" w14:textId="76D2CB94" w:rsidR="006B39B0" w:rsidRDefault="00E80DDD">
          <w:pPr>
            <w:pStyle w:val="TOC1"/>
            <w:rPr>
              <w:rFonts w:asciiTheme="minorHAnsi" w:eastAsiaTheme="minorEastAsia" w:hAnsiTheme="minorHAnsi" w:cstheme="minorBidi"/>
              <w:b w:val="0"/>
              <w:noProof/>
              <w:lang w:val="en-GB" w:eastAsia="en-GB"/>
            </w:rPr>
          </w:pPr>
          <w:hyperlink w:anchor="_Toc96862359" w:history="1">
            <w:r w:rsidR="006B39B0" w:rsidRPr="00AB2648">
              <w:rPr>
                <w:rStyle w:val="Hyperlink"/>
                <w:rFonts w:cstheme="minorHAnsi"/>
                <w:noProof/>
                <w:lang w:val="en-GB"/>
              </w:rPr>
              <w:t>1.</w:t>
            </w:r>
            <w:r w:rsidR="006B39B0">
              <w:rPr>
                <w:rFonts w:asciiTheme="minorHAnsi" w:eastAsiaTheme="minorEastAsia" w:hAnsiTheme="minorHAnsi" w:cstheme="minorBidi"/>
                <w:b w:val="0"/>
                <w:noProof/>
                <w:lang w:val="en-GB" w:eastAsia="en-GB"/>
              </w:rPr>
              <w:tab/>
            </w:r>
            <w:r w:rsidR="006B39B0" w:rsidRPr="00AB2648">
              <w:rPr>
                <w:rStyle w:val="Hyperlink"/>
                <w:rFonts w:cstheme="minorHAnsi"/>
                <w:noProof/>
                <w:lang w:val="en-GB"/>
              </w:rPr>
              <w:t>The EU</w:t>
            </w:r>
            <w:r w:rsidR="006B39B0">
              <w:rPr>
                <w:noProof/>
                <w:webHidden/>
              </w:rPr>
              <w:tab/>
            </w:r>
            <w:r w:rsidR="006B39B0">
              <w:rPr>
                <w:noProof/>
                <w:webHidden/>
              </w:rPr>
              <w:fldChar w:fldCharType="begin"/>
            </w:r>
            <w:r w:rsidR="006B39B0">
              <w:rPr>
                <w:noProof/>
                <w:webHidden/>
              </w:rPr>
              <w:instrText xml:space="preserve"> PAGEREF _Toc96862359 \h </w:instrText>
            </w:r>
            <w:r w:rsidR="006B39B0">
              <w:rPr>
                <w:noProof/>
                <w:webHidden/>
              </w:rPr>
            </w:r>
            <w:r w:rsidR="006B39B0">
              <w:rPr>
                <w:noProof/>
                <w:webHidden/>
              </w:rPr>
              <w:fldChar w:fldCharType="separate"/>
            </w:r>
            <w:r w:rsidR="00DF209D">
              <w:rPr>
                <w:noProof/>
                <w:webHidden/>
              </w:rPr>
              <w:t>8</w:t>
            </w:r>
            <w:r w:rsidR="006B39B0">
              <w:rPr>
                <w:noProof/>
                <w:webHidden/>
              </w:rPr>
              <w:fldChar w:fldCharType="end"/>
            </w:r>
          </w:hyperlink>
        </w:p>
        <w:p w14:paraId="28EFF2F0" w14:textId="12E65941" w:rsidR="006B39B0" w:rsidRDefault="00E80DDD">
          <w:pPr>
            <w:pStyle w:val="TOC1"/>
            <w:rPr>
              <w:rFonts w:asciiTheme="minorHAnsi" w:eastAsiaTheme="minorEastAsia" w:hAnsiTheme="minorHAnsi" w:cstheme="minorBidi"/>
              <w:b w:val="0"/>
              <w:noProof/>
              <w:lang w:val="en-GB" w:eastAsia="en-GB"/>
            </w:rPr>
          </w:pPr>
          <w:hyperlink w:anchor="_Toc96862360" w:history="1">
            <w:r w:rsidR="006B39B0" w:rsidRPr="00AB2648">
              <w:rPr>
                <w:rStyle w:val="Hyperlink"/>
                <w:rFonts w:cstheme="minorHAnsi"/>
                <w:noProof/>
                <w:lang w:val="en-GB"/>
              </w:rPr>
              <w:t>2.</w:t>
            </w:r>
            <w:r w:rsidR="006B39B0">
              <w:rPr>
                <w:rFonts w:asciiTheme="minorHAnsi" w:eastAsiaTheme="minorEastAsia" w:hAnsiTheme="minorHAnsi" w:cstheme="minorBidi"/>
                <w:b w:val="0"/>
                <w:noProof/>
                <w:lang w:val="en-GB" w:eastAsia="en-GB"/>
              </w:rPr>
              <w:tab/>
            </w:r>
            <w:r w:rsidR="006B39B0" w:rsidRPr="00AB2648">
              <w:rPr>
                <w:rStyle w:val="Hyperlink"/>
                <w:rFonts w:cstheme="minorHAnsi"/>
                <w:noProof/>
                <w:lang w:val="en-GB"/>
              </w:rPr>
              <w:t>EU Citizenship and ‘Remembrance’</w:t>
            </w:r>
            <w:r w:rsidR="006B39B0">
              <w:rPr>
                <w:noProof/>
                <w:webHidden/>
              </w:rPr>
              <w:tab/>
            </w:r>
            <w:r w:rsidR="006B39B0">
              <w:rPr>
                <w:noProof/>
                <w:webHidden/>
              </w:rPr>
              <w:fldChar w:fldCharType="begin"/>
            </w:r>
            <w:r w:rsidR="006B39B0">
              <w:rPr>
                <w:noProof/>
                <w:webHidden/>
              </w:rPr>
              <w:instrText xml:space="preserve"> PAGEREF _Toc96862360 \h </w:instrText>
            </w:r>
            <w:r w:rsidR="006B39B0">
              <w:rPr>
                <w:noProof/>
                <w:webHidden/>
              </w:rPr>
            </w:r>
            <w:r w:rsidR="006B39B0">
              <w:rPr>
                <w:noProof/>
                <w:webHidden/>
              </w:rPr>
              <w:fldChar w:fldCharType="separate"/>
            </w:r>
            <w:r w:rsidR="00DF209D">
              <w:rPr>
                <w:noProof/>
                <w:webHidden/>
              </w:rPr>
              <w:t>12</w:t>
            </w:r>
            <w:r w:rsidR="006B39B0">
              <w:rPr>
                <w:noProof/>
                <w:webHidden/>
              </w:rPr>
              <w:fldChar w:fldCharType="end"/>
            </w:r>
          </w:hyperlink>
        </w:p>
        <w:p w14:paraId="1847B7F5" w14:textId="47675B4C" w:rsidR="006B39B0" w:rsidRDefault="00E80DDD">
          <w:pPr>
            <w:pStyle w:val="TOC1"/>
            <w:rPr>
              <w:rFonts w:asciiTheme="minorHAnsi" w:eastAsiaTheme="minorEastAsia" w:hAnsiTheme="minorHAnsi" w:cstheme="minorBidi"/>
              <w:b w:val="0"/>
              <w:noProof/>
              <w:lang w:val="en-GB" w:eastAsia="en-GB"/>
            </w:rPr>
          </w:pPr>
          <w:hyperlink w:anchor="_Toc96862361" w:history="1">
            <w:r w:rsidR="006B39B0" w:rsidRPr="00AB2648">
              <w:rPr>
                <w:rStyle w:val="Hyperlink"/>
                <w:rFonts w:cstheme="minorHAnsi"/>
                <w:noProof/>
                <w:lang w:val="en-GB"/>
              </w:rPr>
              <w:t>3.</w:t>
            </w:r>
            <w:r w:rsidR="006B39B0">
              <w:rPr>
                <w:rFonts w:asciiTheme="minorHAnsi" w:eastAsiaTheme="minorEastAsia" w:hAnsiTheme="minorHAnsi" w:cstheme="minorBidi"/>
                <w:b w:val="0"/>
                <w:noProof/>
                <w:lang w:val="en-GB" w:eastAsia="en-GB"/>
              </w:rPr>
              <w:tab/>
            </w:r>
            <w:r w:rsidR="006B39B0" w:rsidRPr="00AB2648">
              <w:rPr>
                <w:rStyle w:val="Hyperlink"/>
                <w:rFonts w:cstheme="minorHAnsi"/>
                <w:noProof/>
                <w:lang w:val="en-GB"/>
              </w:rPr>
              <w:t>Common Foreign and Security Policy</w:t>
            </w:r>
            <w:r w:rsidR="006B39B0">
              <w:rPr>
                <w:noProof/>
                <w:webHidden/>
              </w:rPr>
              <w:tab/>
            </w:r>
            <w:r w:rsidR="006B39B0">
              <w:rPr>
                <w:noProof/>
                <w:webHidden/>
              </w:rPr>
              <w:fldChar w:fldCharType="begin"/>
            </w:r>
            <w:r w:rsidR="006B39B0">
              <w:rPr>
                <w:noProof/>
                <w:webHidden/>
              </w:rPr>
              <w:instrText xml:space="preserve"> PAGEREF _Toc96862361 \h </w:instrText>
            </w:r>
            <w:r w:rsidR="006B39B0">
              <w:rPr>
                <w:noProof/>
                <w:webHidden/>
              </w:rPr>
            </w:r>
            <w:r w:rsidR="006B39B0">
              <w:rPr>
                <w:noProof/>
                <w:webHidden/>
              </w:rPr>
              <w:fldChar w:fldCharType="separate"/>
            </w:r>
            <w:r w:rsidR="00DF209D">
              <w:rPr>
                <w:noProof/>
                <w:webHidden/>
              </w:rPr>
              <w:t>22</w:t>
            </w:r>
            <w:r w:rsidR="006B39B0">
              <w:rPr>
                <w:noProof/>
                <w:webHidden/>
              </w:rPr>
              <w:fldChar w:fldCharType="end"/>
            </w:r>
          </w:hyperlink>
        </w:p>
        <w:p w14:paraId="1268F285" w14:textId="63266027" w:rsidR="006B39B0" w:rsidRDefault="00E80DDD">
          <w:pPr>
            <w:pStyle w:val="TOC2"/>
            <w:tabs>
              <w:tab w:val="right" w:leader="dot" w:pos="9739"/>
            </w:tabs>
            <w:rPr>
              <w:rFonts w:asciiTheme="minorHAnsi" w:eastAsiaTheme="minorEastAsia" w:hAnsiTheme="minorHAnsi" w:cstheme="minorBidi"/>
              <w:noProof/>
              <w:lang w:val="en-GB" w:eastAsia="en-GB"/>
            </w:rPr>
          </w:pPr>
          <w:hyperlink w:anchor="_Toc96862362" w:history="1">
            <w:r w:rsidR="006B39B0" w:rsidRPr="00AB2648">
              <w:rPr>
                <w:rStyle w:val="Hyperlink"/>
                <w:b/>
                <w:bCs/>
                <w:noProof/>
                <w:lang w:val="en-GB"/>
              </w:rPr>
              <w:t>3.1. Common Security and Defence Policy</w:t>
            </w:r>
            <w:r w:rsidR="006B39B0">
              <w:rPr>
                <w:noProof/>
                <w:webHidden/>
              </w:rPr>
              <w:tab/>
            </w:r>
            <w:r w:rsidR="006B39B0">
              <w:rPr>
                <w:noProof/>
                <w:webHidden/>
              </w:rPr>
              <w:fldChar w:fldCharType="begin"/>
            </w:r>
            <w:r w:rsidR="006B39B0">
              <w:rPr>
                <w:noProof/>
                <w:webHidden/>
              </w:rPr>
              <w:instrText xml:space="preserve"> PAGEREF _Toc96862362 \h </w:instrText>
            </w:r>
            <w:r w:rsidR="006B39B0">
              <w:rPr>
                <w:noProof/>
                <w:webHidden/>
              </w:rPr>
            </w:r>
            <w:r w:rsidR="006B39B0">
              <w:rPr>
                <w:noProof/>
                <w:webHidden/>
              </w:rPr>
              <w:fldChar w:fldCharType="separate"/>
            </w:r>
            <w:r w:rsidR="00DF209D">
              <w:rPr>
                <w:noProof/>
                <w:webHidden/>
              </w:rPr>
              <w:t>23</w:t>
            </w:r>
            <w:r w:rsidR="006B39B0">
              <w:rPr>
                <w:noProof/>
                <w:webHidden/>
              </w:rPr>
              <w:fldChar w:fldCharType="end"/>
            </w:r>
          </w:hyperlink>
        </w:p>
        <w:p w14:paraId="5F2C9ADA" w14:textId="5243A770" w:rsidR="006B39B0" w:rsidRDefault="00E80DDD">
          <w:pPr>
            <w:pStyle w:val="TOC2"/>
            <w:tabs>
              <w:tab w:val="right" w:leader="dot" w:pos="9739"/>
            </w:tabs>
            <w:rPr>
              <w:rFonts w:asciiTheme="minorHAnsi" w:eastAsiaTheme="minorEastAsia" w:hAnsiTheme="minorHAnsi" w:cstheme="minorBidi"/>
              <w:noProof/>
              <w:lang w:val="en-GB" w:eastAsia="en-GB"/>
            </w:rPr>
          </w:pPr>
          <w:hyperlink w:anchor="_Toc96862363" w:history="1">
            <w:r w:rsidR="006B39B0" w:rsidRPr="00AB2648">
              <w:rPr>
                <w:rStyle w:val="Hyperlink"/>
                <w:b/>
                <w:bCs/>
                <w:noProof/>
                <w:lang w:val="en-GB"/>
              </w:rPr>
              <w:t>3.2 The ‘EU Policy Framework on Support to Transitional Justice’</w:t>
            </w:r>
            <w:r w:rsidR="006B39B0">
              <w:rPr>
                <w:noProof/>
                <w:webHidden/>
              </w:rPr>
              <w:tab/>
            </w:r>
            <w:r w:rsidR="006B39B0">
              <w:rPr>
                <w:noProof/>
                <w:webHidden/>
              </w:rPr>
              <w:fldChar w:fldCharType="begin"/>
            </w:r>
            <w:r w:rsidR="006B39B0">
              <w:rPr>
                <w:noProof/>
                <w:webHidden/>
              </w:rPr>
              <w:instrText xml:space="preserve"> PAGEREF _Toc96862363 \h </w:instrText>
            </w:r>
            <w:r w:rsidR="006B39B0">
              <w:rPr>
                <w:noProof/>
                <w:webHidden/>
              </w:rPr>
            </w:r>
            <w:r w:rsidR="006B39B0">
              <w:rPr>
                <w:noProof/>
                <w:webHidden/>
              </w:rPr>
              <w:fldChar w:fldCharType="separate"/>
            </w:r>
            <w:r w:rsidR="00DF209D">
              <w:rPr>
                <w:noProof/>
                <w:webHidden/>
              </w:rPr>
              <w:t>25</w:t>
            </w:r>
            <w:r w:rsidR="006B39B0">
              <w:rPr>
                <w:noProof/>
                <w:webHidden/>
              </w:rPr>
              <w:fldChar w:fldCharType="end"/>
            </w:r>
          </w:hyperlink>
        </w:p>
        <w:p w14:paraId="4D3D826C" w14:textId="087B436A" w:rsidR="006B39B0" w:rsidRDefault="00E80DDD">
          <w:pPr>
            <w:pStyle w:val="TOC1"/>
            <w:rPr>
              <w:rFonts w:asciiTheme="minorHAnsi" w:eastAsiaTheme="minorEastAsia" w:hAnsiTheme="minorHAnsi" w:cstheme="minorBidi"/>
              <w:b w:val="0"/>
              <w:noProof/>
              <w:lang w:val="en-GB" w:eastAsia="en-GB"/>
            </w:rPr>
          </w:pPr>
          <w:hyperlink w:anchor="_Toc96862364" w:history="1">
            <w:r w:rsidR="006B39B0" w:rsidRPr="00AB2648">
              <w:rPr>
                <w:rStyle w:val="Hyperlink"/>
                <w:rFonts w:cstheme="minorHAnsi"/>
                <w:noProof/>
                <w:lang w:val="en-GB"/>
              </w:rPr>
              <w:t>4.</w:t>
            </w:r>
            <w:r w:rsidR="006B39B0">
              <w:rPr>
                <w:rFonts w:asciiTheme="minorHAnsi" w:eastAsiaTheme="minorEastAsia" w:hAnsiTheme="minorHAnsi" w:cstheme="minorBidi"/>
                <w:b w:val="0"/>
                <w:noProof/>
                <w:lang w:val="en-GB" w:eastAsia="en-GB"/>
              </w:rPr>
              <w:tab/>
            </w:r>
            <w:r w:rsidR="006B39B0" w:rsidRPr="00AB2648">
              <w:rPr>
                <w:rStyle w:val="Hyperlink"/>
                <w:rFonts w:cstheme="minorHAnsi"/>
                <w:noProof/>
                <w:lang w:val="en-GB"/>
              </w:rPr>
              <w:t xml:space="preserve">Development, </w:t>
            </w:r>
            <w:r w:rsidR="006B39B0" w:rsidRPr="00AB2648">
              <w:rPr>
                <w:rStyle w:val="Hyperlink"/>
                <w:noProof/>
                <w:lang w:val="en-GB"/>
              </w:rPr>
              <w:t>Conditionality, and Enlargement</w:t>
            </w:r>
            <w:r w:rsidR="006B39B0">
              <w:rPr>
                <w:noProof/>
                <w:webHidden/>
              </w:rPr>
              <w:tab/>
            </w:r>
            <w:r w:rsidR="006B39B0">
              <w:rPr>
                <w:noProof/>
                <w:webHidden/>
              </w:rPr>
              <w:fldChar w:fldCharType="begin"/>
            </w:r>
            <w:r w:rsidR="006B39B0">
              <w:rPr>
                <w:noProof/>
                <w:webHidden/>
              </w:rPr>
              <w:instrText xml:space="preserve"> PAGEREF _Toc96862364 \h </w:instrText>
            </w:r>
            <w:r w:rsidR="006B39B0">
              <w:rPr>
                <w:noProof/>
                <w:webHidden/>
              </w:rPr>
            </w:r>
            <w:r w:rsidR="006B39B0">
              <w:rPr>
                <w:noProof/>
                <w:webHidden/>
              </w:rPr>
              <w:fldChar w:fldCharType="separate"/>
            </w:r>
            <w:r w:rsidR="00DF209D">
              <w:rPr>
                <w:noProof/>
                <w:webHidden/>
              </w:rPr>
              <w:t>27</w:t>
            </w:r>
            <w:r w:rsidR="006B39B0">
              <w:rPr>
                <w:noProof/>
                <w:webHidden/>
              </w:rPr>
              <w:fldChar w:fldCharType="end"/>
            </w:r>
          </w:hyperlink>
        </w:p>
        <w:p w14:paraId="4BC15249" w14:textId="7BD5F72C" w:rsidR="006B39B0" w:rsidRDefault="00E80DDD">
          <w:pPr>
            <w:pStyle w:val="TOC2"/>
            <w:tabs>
              <w:tab w:val="right" w:leader="dot" w:pos="9739"/>
            </w:tabs>
            <w:rPr>
              <w:rFonts w:asciiTheme="minorHAnsi" w:eastAsiaTheme="minorEastAsia" w:hAnsiTheme="minorHAnsi" w:cstheme="minorBidi"/>
              <w:noProof/>
              <w:lang w:val="en-GB" w:eastAsia="en-GB"/>
            </w:rPr>
          </w:pPr>
          <w:hyperlink w:anchor="_Toc96862365" w:history="1">
            <w:r w:rsidR="006B39B0" w:rsidRPr="00AB2648">
              <w:rPr>
                <w:rStyle w:val="Hyperlink"/>
                <w:b/>
                <w:bCs/>
                <w:noProof/>
                <w:lang w:val="en-GB"/>
              </w:rPr>
              <w:t>4.1 Development within the EU</w:t>
            </w:r>
            <w:r w:rsidR="006B39B0">
              <w:rPr>
                <w:noProof/>
                <w:webHidden/>
              </w:rPr>
              <w:tab/>
            </w:r>
            <w:r w:rsidR="006B39B0">
              <w:rPr>
                <w:noProof/>
                <w:webHidden/>
              </w:rPr>
              <w:fldChar w:fldCharType="begin"/>
            </w:r>
            <w:r w:rsidR="006B39B0">
              <w:rPr>
                <w:noProof/>
                <w:webHidden/>
              </w:rPr>
              <w:instrText xml:space="preserve"> PAGEREF _Toc96862365 \h </w:instrText>
            </w:r>
            <w:r w:rsidR="006B39B0">
              <w:rPr>
                <w:noProof/>
                <w:webHidden/>
              </w:rPr>
            </w:r>
            <w:r w:rsidR="006B39B0">
              <w:rPr>
                <w:noProof/>
                <w:webHidden/>
              </w:rPr>
              <w:fldChar w:fldCharType="separate"/>
            </w:r>
            <w:r w:rsidR="00DF209D">
              <w:rPr>
                <w:noProof/>
                <w:webHidden/>
              </w:rPr>
              <w:t>28</w:t>
            </w:r>
            <w:r w:rsidR="006B39B0">
              <w:rPr>
                <w:noProof/>
                <w:webHidden/>
              </w:rPr>
              <w:fldChar w:fldCharType="end"/>
            </w:r>
          </w:hyperlink>
        </w:p>
        <w:p w14:paraId="527E8752" w14:textId="5A783FA1" w:rsidR="006B39B0" w:rsidRDefault="00E80DDD">
          <w:pPr>
            <w:pStyle w:val="TOC2"/>
            <w:tabs>
              <w:tab w:val="right" w:leader="dot" w:pos="9739"/>
            </w:tabs>
            <w:rPr>
              <w:rFonts w:asciiTheme="minorHAnsi" w:eastAsiaTheme="minorEastAsia" w:hAnsiTheme="minorHAnsi" w:cstheme="minorBidi"/>
              <w:noProof/>
              <w:lang w:val="en-GB" w:eastAsia="en-GB"/>
            </w:rPr>
          </w:pPr>
          <w:hyperlink w:anchor="_Toc96862366" w:history="1">
            <w:r w:rsidR="006B39B0" w:rsidRPr="00AB2648">
              <w:rPr>
                <w:rStyle w:val="Hyperlink"/>
                <w:b/>
                <w:bCs/>
                <w:noProof/>
                <w:lang w:val="en-GB"/>
              </w:rPr>
              <w:t>4.2 International Development Cooperation</w:t>
            </w:r>
            <w:r w:rsidR="006B39B0">
              <w:rPr>
                <w:noProof/>
                <w:webHidden/>
              </w:rPr>
              <w:tab/>
            </w:r>
            <w:r w:rsidR="006B39B0">
              <w:rPr>
                <w:noProof/>
                <w:webHidden/>
              </w:rPr>
              <w:fldChar w:fldCharType="begin"/>
            </w:r>
            <w:r w:rsidR="006B39B0">
              <w:rPr>
                <w:noProof/>
                <w:webHidden/>
              </w:rPr>
              <w:instrText xml:space="preserve"> PAGEREF _Toc96862366 \h </w:instrText>
            </w:r>
            <w:r w:rsidR="006B39B0">
              <w:rPr>
                <w:noProof/>
                <w:webHidden/>
              </w:rPr>
            </w:r>
            <w:r w:rsidR="006B39B0">
              <w:rPr>
                <w:noProof/>
                <w:webHidden/>
              </w:rPr>
              <w:fldChar w:fldCharType="separate"/>
            </w:r>
            <w:r w:rsidR="00DF209D">
              <w:rPr>
                <w:noProof/>
                <w:webHidden/>
              </w:rPr>
              <w:t>29</w:t>
            </w:r>
            <w:r w:rsidR="006B39B0">
              <w:rPr>
                <w:noProof/>
                <w:webHidden/>
              </w:rPr>
              <w:fldChar w:fldCharType="end"/>
            </w:r>
          </w:hyperlink>
        </w:p>
        <w:p w14:paraId="5B1A3598" w14:textId="522DEC03" w:rsidR="006B39B0" w:rsidRDefault="00E80DDD">
          <w:pPr>
            <w:pStyle w:val="TOC2"/>
            <w:tabs>
              <w:tab w:val="right" w:leader="dot" w:pos="9739"/>
            </w:tabs>
            <w:rPr>
              <w:rFonts w:asciiTheme="minorHAnsi" w:eastAsiaTheme="minorEastAsia" w:hAnsiTheme="minorHAnsi" w:cstheme="minorBidi"/>
              <w:noProof/>
              <w:lang w:val="en-GB" w:eastAsia="en-GB"/>
            </w:rPr>
          </w:pPr>
          <w:hyperlink w:anchor="_Toc96862367" w:history="1">
            <w:r w:rsidR="006B39B0" w:rsidRPr="00AB2648">
              <w:rPr>
                <w:rStyle w:val="Hyperlink"/>
                <w:b/>
                <w:bCs/>
                <w:noProof/>
                <w:lang w:val="en-GB"/>
              </w:rPr>
              <w:t>4.3 Conditionality and Enlargement</w:t>
            </w:r>
            <w:r w:rsidR="006B39B0">
              <w:rPr>
                <w:noProof/>
                <w:webHidden/>
              </w:rPr>
              <w:tab/>
            </w:r>
            <w:r w:rsidR="006B39B0">
              <w:rPr>
                <w:noProof/>
                <w:webHidden/>
              </w:rPr>
              <w:fldChar w:fldCharType="begin"/>
            </w:r>
            <w:r w:rsidR="006B39B0">
              <w:rPr>
                <w:noProof/>
                <w:webHidden/>
              </w:rPr>
              <w:instrText xml:space="preserve"> PAGEREF _Toc96862367 \h </w:instrText>
            </w:r>
            <w:r w:rsidR="006B39B0">
              <w:rPr>
                <w:noProof/>
                <w:webHidden/>
              </w:rPr>
            </w:r>
            <w:r w:rsidR="006B39B0">
              <w:rPr>
                <w:noProof/>
                <w:webHidden/>
              </w:rPr>
              <w:fldChar w:fldCharType="separate"/>
            </w:r>
            <w:r w:rsidR="00DF209D">
              <w:rPr>
                <w:noProof/>
                <w:webHidden/>
              </w:rPr>
              <w:t>31</w:t>
            </w:r>
            <w:r w:rsidR="006B39B0">
              <w:rPr>
                <w:noProof/>
                <w:webHidden/>
              </w:rPr>
              <w:fldChar w:fldCharType="end"/>
            </w:r>
          </w:hyperlink>
        </w:p>
        <w:p w14:paraId="1786FC23" w14:textId="46C417D7" w:rsidR="006B39B0" w:rsidRDefault="00E80DDD">
          <w:pPr>
            <w:pStyle w:val="TOC1"/>
            <w:rPr>
              <w:rFonts w:asciiTheme="minorHAnsi" w:eastAsiaTheme="minorEastAsia" w:hAnsiTheme="minorHAnsi" w:cstheme="minorBidi"/>
              <w:b w:val="0"/>
              <w:noProof/>
              <w:lang w:val="en-GB" w:eastAsia="en-GB"/>
            </w:rPr>
          </w:pPr>
          <w:hyperlink w:anchor="_Toc96862368" w:history="1">
            <w:r w:rsidR="006B39B0" w:rsidRPr="00AB2648">
              <w:rPr>
                <w:rStyle w:val="Hyperlink"/>
                <w:rFonts w:cstheme="minorHAnsi"/>
                <w:noProof/>
                <w:lang w:val="en-GB"/>
              </w:rPr>
              <w:t>5.</w:t>
            </w:r>
            <w:r w:rsidR="006B39B0">
              <w:rPr>
                <w:rFonts w:asciiTheme="minorHAnsi" w:eastAsiaTheme="minorEastAsia" w:hAnsiTheme="minorHAnsi" w:cstheme="minorBidi"/>
                <w:b w:val="0"/>
                <w:noProof/>
                <w:lang w:val="en-GB" w:eastAsia="en-GB"/>
              </w:rPr>
              <w:tab/>
            </w:r>
            <w:r w:rsidR="006B39B0" w:rsidRPr="00AB2648">
              <w:rPr>
                <w:rStyle w:val="Hyperlink"/>
                <w:rFonts w:cstheme="minorHAnsi"/>
                <w:noProof/>
                <w:lang w:val="en-GB"/>
              </w:rPr>
              <w:t>Attitudes to the EU’s Approaches to Transitional Justice and Troubled Pasts</w:t>
            </w:r>
            <w:r w:rsidR="006B39B0">
              <w:rPr>
                <w:noProof/>
                <w:webHidden/>
              </w:rPr>
              <w:tab/>
            </w:r>
            <w:r w:rsidR="006B39B0">
              <w:rPr>
                <w:noProof/>
                <w:webHidden/>
              </w:rPr>
              <w:fldChar w:fldCharType="begin"/>
            </w:r>
            <w:r w:rsidR="006B39B0">
              <w:rPr>
                <w:noProof/>
                <w:webHidden/>
              </w:rPr>
              <w:instrText xml:space="preserve"> PAGEREF _Toc96862368 \h </w:instrText>
            </w:r>
            <w:r w:rsidR="006B39B0">
              <w:rPr>
                <w:noProof/>
                <w:webHidden/>
              </w:rPr>
            </w:r>
            <w:r w:rsidR="006B39B0">
              <w:rPr>
                <w:noProof/>
                <w:webHidden/>
              </w:rPr>
              <w:fldChar w:fldCharType="separate"/>
            </w:r>
            <w:r w:rsidR="00DF209D">
              <w:rPr>
                <w:noProof/>
                <w:webHidden/>
              </w:rPr>
              <w:t>32</w:t>
            </w:r>
            <w:r w:rsidR="006B39B0">
              <w:rPr>
                <w:noProof/>
                <w:webHidden/>
              </w:rPr>
              <w:fldChar w:fldCharType="end"/>
            </w:r>
          </w:hyperlink>
        </w:p>
        <w:p w14:paraId="30837E1E" w14:textId="6BD36A65" w:rsidR="006B39B0" w:rsidRDefault="00E80DDD">
          <w:pPr>
            <w:pStyle w:val="TOC1"/>
            <w:rPr>
              <w:rFonts w:asciiTheme="minorHAnsi" w:eastAsiaTheme="minorEastAsia" w:hAnsiTheme="minorHAnsi" w:cstheme="minorBidi"/>
              <w:b w:val="0"/>
              <w:noProof/>
              <w:lang w:val="en-GB" w:eastAsia="en-GB"/>
            </w:rPr>
          </w:pPr>
          <w:hyperlink w:anchor="_Toc96862369" w:history="1">
            <w:r w:rsidR="006B39B0" w:rsidRPr="00AB2648">
              <w:rPr>
                <w:rStyle w:val="Hyperlink"/>
                <w:rFonts w:cstheme="minorHAnsi"/>
                <w:noProof/>
                <w:lang w:val="en-GB"/>
              </w:rPr>
              <w:t>Conclusions</w:t>
            </w:r>
            <w:r w:rsidR="006B39B0">
              <w:rPr>
                <w:noProof/>
                <w:webHidden/>
              </w:rPr>
              <w:tab/>
            </w:r>
            <w:r w:rsidR="006B39B0">
              <w:rPr>
                <w:noProof/>
                <w:webHidden/>
              </w:rPr>
              <w:fldChar w:fldCharType="begin"/>
            </w:r>
            <w:r w:rsidR="006B39B0">
              <w:rPr>
                <w:noProof/>
                <w:webHidden/>
              </w:rPr>
              <w:instrText xml:space="preserve"> PAGEREF _Toc96862369 \h </w:instrText>
            </w:r>
            <w:r w:rsidR="006B39B0">
              <w:rPr>
                <w:noProof/>
                <w:webHidden/>
              </w:rPr>
            </w:r>
            <w:r w:rsidR="006B39B0">
              <w:rPr>
                <w:noProof/>
                <w:webHidden/>
              </w:rPr>
              <w:fldChar w:fldCharType="separate"/>
            </w:r>
            <w:r w:rsidR="00DF209D">
              <w:rPr>
                <w:noProof/>
                <w:webHidden/>
              </w:rPr>
              <w:t>33</w:t>
            </w:r>
            <w:r w:rsidR="006B39B0">
              <w:rPr>
                <w:noProof/>
                <w:webHidden/>
              </w:rPr>
              <w:fldChar w:fldCharType="end"/>
            </w:r>
          </w:hyperlink>
        </w:p>
        <w:p w14:paraId="3F8A0F9A" w14:textId="28A595FC" w:rsidR="006B39B0" w:rsidRDefault="00E80DDD">
          <w:pPr>
            <w:pStyle w:val="TOC1"/>
            <w:rPr>
              <w:rFonts w:asciiTheme="minorHAnsi" w:eastAsiaTheme="minorEastAsia" w:hAnsiTheme="minorHAnsi" w:cstheme="minorBidi"/>
              <w:b w:val="0"/>
              <w:noProof/>
              <w:lang w:val="en-GB" w:eastAsia="en-GB"/>
            </w:rPr>
          </w:pPr>
          <w:hyperlink w:anchor="_Toc96862370" w:history="1">
            <w:r w:rsidR="006B39B0" w:rsidRPr="00AB2648">
              <w:rPr>
                <w:rStyle w:val="Hyperlink"/>
                <w:rFonts w:cstheme="minorHAnsi"/>
                <w:noProof/>
                <w:lang w:val="en-GB"/>
              </w:rPr>
              <w:t>References</w:t>
            </w:r>
            <w:r w:rsidR="006B39B0">
              <w:rPr>
                <w:noProof/>
                <w:webHidden/>
              </w:rPr>
              <w:tab/>
            </w:r>
            <w:r w:rsidR="006B39B0">
              <w:rPr>
                <w:noProof/>
                <w:webHidden/>
              </w:rPr>
              <w:fldChar w:fldCharType="begin"/>
            </w:r>
            <w:r w:rsidR="006B39B0">
              <w:rPr>
                <w:noProof/>
                <w:webHidden/>
              </w:rPr>
              <w:instrText xml:space="preserve"> PAGEREF _Toc96862370 \h </w:instrText>
            </w:r>
            <w:r w:rsidR="006B39B0">
              <w:rPr>
                <w:noProof/>
                <w:webHidden/>
              </w:rPr>
            </w:r>
            <w:r w:rsidR="006B39B0">
              <w:rPr>
                <w:noProof/>
                <w:webHidden/>
              </w:rPr>
              <w:fldChar w:fldCharType="separate"/>
            </w:r>
            <w:r w:rsidR="00DF209D">
              <w:rPr>
                <w:noProof/>
                <w:webHidden/>
              </w:rPr>
              <w:t>35</w:t>
            </w:r>
            <w:r w:rsidR="006B39B0">
              <w:rPr>
                <w:noProof/>
                <w:webHidden/>
              </w:rPr>
              <w:fldChar w:fldCharType="end"/>
            </w:r>
          </w:hyperlink>
        </w:p>
        <w:p w14:paraId="4101652C" w14:textId="2E856475" w:rsidR="00EA6218" w:rsidRDefault="00F21B21">
          <w:pPr>
            <w:spacing w:line="240" w:lineRule="auto"/>
            <w:rPr>
              <w:rFonts w:asciiTheme="minorHAnsi" w:hAnsiTheme="minorHAnsi" w:cstheme="minorHAnsi"/>
              <w:lang w:val="en-GB"/>
            </w:rPr>
          </w:pPr>
          <w:r>
            <w:rPr>
              <w:rFonts w:asciiTheme="minorHAnsi" w:hAnsiTheme="minorHAnsi" w:cstheme="minorHAnsi"/>
              <w:b/>
              <w:bCs/>
              <w:lang w:val="en-GB"/>
            </w:rPr>
            <w:fldChar w:fldCharType="end"/>
          </w:r>
        </w:p>
      </w:sdtContent>
    </w:sdt>
    <w:p w14:paraId="425920F3" w14:textId="77777777" w:rsidR="00EF3743" w:rsidRDefault="00EF3743">
      <w:pPr>
        <w:spacing w:before="0" w:after="0" w:line="240" w:lineRule="auto"/>
        <w:jc w:val="left"/>
        <w:rPr>
          <w:rFonts w:asciiTheme="minorHAnsi" w:eastAsia="MS Gothic" w:hAnsiTheme="minorHAnsi" w:cstheme="minorHAnsi"/>
          <w:b/>
          <w:bCs/>
          <w:color w:val="262626" w:themeColor="text1" w:themeTint="D9"/>
          <w:lang w:val="en-GB"/>
        </w:rPr>
      </w:pPr>
      <w:bookmarkStart w:id="0" w:name="_Toc96862357"/>
      <w:r>
        <w:rPr>
          <w:rFonts w:asciiTheme="minorHAnsi" w:hAnsiTheme="minorHAnsi" w:cstheme="minorHAnsi"/>
          <w:lang w:val="en-GB"/>
        </w:rPr>
        <w:br w:type="page"/>
      </w:r>
    </w:p>
    <w:p w14:paraId="08423271" w14:textId="0D2793AE" w:rsidR="00EA6218" w:rsidRDefault="00F21B21">
      <w:pPr>
        <w:pStyle w:val="Heading1"/>
        <w:spacing w:before="120" w:line="240"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Summary</w:t>
      </w:r>
      <w:bookmarkEnd w:id="0"/>
    </w:p>
    <w:p w14:paraId="4B99056E" w14:textId="77777777" w:rsidR="00EA6218" w:rsidRDefault="00EA6218">
      <w:pPr>
        <w:rPr>
          <w:lang w:val="en-GB"/>
        </w:rPr>
      </w:pPr>
    </w:p>
    <w:p w14:paraId="0687594C" w14:textId="550665F7" w:rsidR="00EA6218" w:rsidRDefault="00F21B21">
      <w:pPr>
        <w:rPr>
          <w:lang w:val="en-GB"/>
        </w:rPr>
      </w:pPr>
      <w:r>
        <w:rPr>
          <w:lang w:val="en-GB"/>
        </w:rPr>
        <w:t xml:space="preserve">This </w:t>
      </w:r>
      <w:r w:rsidR="00AD24FB">
        <w:rPr>
          <w:lang w:val="en-GB"/>
        </w:rPr>
        <w:t>Deliverable</w:t>
      </w:r>
      <w:r>
        <w:rPr>
          <w:lang w:val="en-GB"/>
        </w:rPr>
        <w:t xml:space="preserve"> </w:t>
      </w:r>
      <w:r w:rsidR="00D71F9D">
        <w:rPr>
          <w:lang w:val="en-GB"/>
        </w:rPr>
        <w:t xml:space="preserve">sets </w:t>
      </w:r>
      <w:r>
        <w:rPr>
          <w:lang w:val="en-GB"/>
        </w:rPr>
        <w:t xml:space="preserve">out a socio-legal analysis of the EU’s approaches to the </w:t>
      </w:r>
      <w:proofErr w:type="spellStart"/>
      <w:r>
        <w:rPr>
          <w:lang w:val="en-GB"/>
        </w:rPr>
        <w:t>RePAST</w:t>
      </w:r>
      <w:proofErr w:type="spellEnd"/>
      <w:r>
        <w:rPr>
          <w:lang w:val="en-GB"/>
        </w:rPr>
        <w:t xml:space="preserve"> states’ ‘troubled pasts’, employing insights from the interdisciplinary field of ‘transitional justice’</w:t>
      </w:r>
      <w:r w:rsidRPr="006B0DA6">
        <w:rPr>
          <w:lang w:val="en-GB"/>
        </w:rPr>
        <w:t xml:space="preserve">.  By viewing the EU’s approaches to troubled pasts through the lens of transitional justice, it </w:t>
      </w:r>
      <w:r w:rsidR="00002E8E" w:rsidRPr="006B0DA6">
        <w:rPr>
          <w:lang w:val="en-GB"/>
        </w:rPr>
        <w:t>is</w:t>
      </w:r>
      <w:r w:rsidRPr="006B0DA6">
        <w:rPr>
          <w:lang w:val="en-GB"/>
        </w:rPr>
        <w:t xml:space="preserve"> identified that three broad policy areas have been invoked: EU policy on citizenship and ‘remembrance’; the Common Foreign and Security Policy (CFSP); and development, conditionality and enlargement policy.  However, there are substantial differences between the EU’s legal ‘competence’ to act in respect of Member States and non-Member States; and, relatedly, there is, across the three policy areas identified, a marked lack of consistency in terminology </w:t>
      </w:r>
      <w:r w:rsidR="009A674B" w:rsidRPr="006B0DA6">
        <w:rPr>
          <w:lang w:val="en-GB"/>
        </w:rPr>
        <w:t xml:space="preserve">and policy emphases </w:t>
      </w:r>
      <w:r w:rsidRPr="006B0DA6">
        <w:rPr>
          <w:lang w:val="en-GB"/>
        </w:rPr>
        <w:t>(for example even as to whether or not particular EU actions are expressly labelled as ‘transitional justice’</w:t>
      </w:r>
      <w:r w:rsidR="009A674B" w:rsidRPr="006B0DA6">
        <w:rPr>
          <w:lang w:val="en-GB"/>
        </w:rPr>
        <w:t xml:space="preserve">; and </w:t>
      </w:r>
      <w:r w:rsidR="009D5DD6">
        <w:rPr>
          <w:lang w:val="en-GB"/>
        </w:rPr>
        <w:t xml:space="preserve">the </w:t>
      </w:r>
      <w:r w:rsidR="00462AC7" w:rsidRPr="006B0DA6">
        <w:rPr>
          <w:lang w:val="en-GB"/>
        </w:rPr>
        <w:t>extent to which criminal justice is seen as the principal re</w:t>
      </w:r>
      <w:r w:rsidR="000B0278" w:rsidRPr="006B0DA6">
        <w:rPr>
          <w:lang w:val="en-GB"/>
        </w:rPr>
        <w:t>action to troubled pasts</w:t>
      </w:r>
      <w:r w:rsidRPr="006B0DA6">
        <w:rPr>
          <w:lang w:val="en-GB"/>
        </w:rPr>
        <w:t>).</w:t>
      </w:r>
      <w:r>
        <w:rPr>
          <w:lang w:val="en-GB"/>
        </w:rPr>
        <w:t xml:space="preserve">  We also establish that, despite these significant transitional justice engagements with ‘troubled pasts’, the extent of the EU’s legal powers to act in this field, and the actions that it has in fact taken, seem poorly understood.</w:t>
      </w:r>
    </w:p>
    <w:p w14:paraId="1299C43A" w14:textId="77777777" w:rsidR="00EA6218" w:rsidRDefault="00EA6218">
      <w:pPr>
        <w:spacing w:line="240" w:lineRule="auto"/>
        <w:rPr>
          <w:rFonts w:asciiTheme="minorHAnsi" w:hAnsiTheme="minorHAnsi" w:cstheme="minorHAnsi"/>
          <w:lang w:val="en-GB"/>
        </w:rPr>
      </w:pPr>
    </w:p>
    <w:p w14:paraId="3E7A9F1C" w14:textId="77777777" w:rsidR="00EA6218" w:rsidRDefault="00F21B21">
      <w:pPr>
        <w:pStyle w:val="Heading1"/>
        <w:spacing w:before="120" w:line="240" w:lineRule="auto"/>
        <w:rPr>
          <w:rFonts w:asciiTheme="minorHAnsi" w:hAnsiTheme="minorHAnsi" w:cstheme="minorHAnsi"/>
          <w:sz w:val="24"/>
          <w:szCs w:val="24"/>
          <w:lang w:val="en-GB"/>
        </w:rPr>
      </w:pPr>
      <w:bookmarkStart w:id="1" w:name="_Toc96862358"/>
      <w:r>
        <w:rPr>
          <w:rFonts w:asciiTheme="minorHAnsi" w:hAnsiTheme="minorHAnsi" w:cstheme="minorHAnsi"/>
          <w:sz w:val="24"/>
          <w:szCs w:val="24"/>
          <w:lang w:val="en-GB"/>
        </w:rPr>
        <w:t>Introduction</w:t>
      </w:r>
      <w:bookmarkEnd w:id="1"/>
    </w:p>
    <w:p w14:paraId="3CF2D8B6" w14:textId="77777777" w:rsidR="00EA6218" w:rsidRDefault="00EA6218" w:rsidP="0DE8C684">
      <w:pPr>
        <w:spacing w:line="240" w:lineRule="auto"/>
        <w:rPr>
          <w:rFonts w:asciiTheme="minorHAnsi" w:hAnsiTheme="minorHAnsi" w:cstheme="minorBidi"/>
          <w:lang w:val="en-GB"/>
        </w:rPr>
      </w:pPr>
    </w:p>
    <w:p w14:paraId="0221B5AA" w14:textId="3A6A7447" w:rsidR="00EA6218" w:rsidRDefault="0DE8C684" w:rsidP="0DE8C684">
      <w:pPr>
        <w:rPr>
          <w:color w:val="000000" w:themeColor="text1"/>
          <w:lang w:val="en-GB"/>
        </w:rPr>
      </w:pPr>
      <w:r>
        <w:rPr>
          <w:lang w:val="en-GB"/>
        </w:rPr>
        <w:t xml:space="preserve">In accordance with the </w:t>
      </w:r>
      <w:proofErr w:type="spellStart"/>
      <w:r>
        <w:rPr>
          <w:lang w:val="en-GB"/>
        </w:rPr>
        <w:t>RePAST</w:t>
      </w:r>
      <w:proofErr w:type="spellEnd"/>
      <w:r>
        <w:rPr>
          <w:lang w:val="en-GB"/>
        </w:rPr>
        <w:t xml:space="preserve"> Grant Agreement, this </w:t>
      </w:r>
      <w:r w:rsidR="00191AD2">
        <w:rPr>
          <w:lang w:val="en-GB"/>
        </w:rPr>
        <w:t>Deliverable</w:t>
      </w:r>
      <w:r>
        <w:rPr>
          <w:lang w:val="en-GB"/>
        </w:rPr>
        <w:t xml:space="preserve"> sets out a socio-legal analysis of the EU’s approaches to the </w:t>
      </w:r>
      <w:proofErr w:type="spellStart"/>
      <w:r>
        <w:rPr>
          <w:lang w:val="en-GB"/>
        </w:rPr>
        <w:t>RePAST</w:t>
      </w:r>
      <w:proofErr w:type="spellEnd"/>
      <w:r>
        <w:rPr>
          <w:lang w:val="en-GB"/>
        </w:rPr>
        <w:t xml:space="preserve"> states’ ‘troubled pasts’</w:t>
      </w:r>
      <w:r w:rsidR="000B0278">
        <w:rPr>
          <w:lang w:val="en-GB"/>
        </w:rPr>
        <w:t xml:space="preserve">, employing insights from the interdisciplinary field of ‘transitional justice’.  </w:t>
      </w:r>
      <w:r>
        <w:rPr>
          <w:lang w:val="en-GB"/>
        </w:rPr>
        <w:t xml:space="preserve">The </w:t>
      </w:r>
      <w:proofErr w:type="spellStart"/>
      <w:r>
        <w:rPr>
          <w:lang w:val="en-GB"/>
        </w:rPr>
        <w:t>RePAST</w:t>
      </w:r>
      <w:proofErr w:type="spellEnd"/>
      <w:r>
        <w:rPr>
          <w:lang w:val="en-GB"/>
        </w:rPr>
        <w:t xml:space="preserve"> states are C</w:t>
      </w:r>
      <w:r w:rsidRPr="0DE8C684">
        <w:rPr>
          <w:rFonts w:eastAsia="Calibri" w:cs="Calibri"/>
          <w:color w:val="000000" w:themeColor="text1"/>
          <w:lang w:val="en-GB"/>
        </w:rPr>
        <w:t>yprus, Germany, Poland, Greece, Bosnia</w:t>
      </w:r>
      <w:r w:rsidR="00F26B85">
        <w:rPr>
          <w:rFonts w:eastAsia="Calibri" w:cs="Calibri"/>
          <w:color w:val="000000" w:themeColor="text1"/>
          <w:lang w:val="en-GB"/>
        </w:rPr>
        <w:t xml:space="preserve"> </w:t>
      </w:r>
      <w:r w:rsidR="00F26B85">
        <w:rPr>
          <w:lang w:val="en-GB"/>
        </w:rPr>
        <w:t>Herzegovina</w:t>
      </w:r>
      <w:r w:rsidRPr="0DE8C684">
        <w:rPr>
          <w:rFonts w:eastAsia="Calibri" w:cs="Calibri"/>
          <w:color w:val="000000" w:themeColor="text1"/>
          <w:lang w:val="en-GB"/>
        </w:rPr>
        <w:t>, Kosovo, Ireland</w:t>
      </w:r>
      <w:r w:rsidR="004039CA">
        <w:rPr>
          <w:rFonts w:eastAsia="Calibri" w:cs="Calibri"/>
          <w:color w:val="000000" w:themeColor="text1"/>
          <w:lang w:val="en-GB"/>
        </w:rPr>
        <w:t xml:space="preserve"> (including Northern Ireland)</w:t>
      </w:r>
      <w:r w:rsidRPr="0DE8C684">
        <w:rPr>
          <w:rFonts w:eastAsia="Calibri" w:cs="Calibri"/>
          <w:color w:val="000000" w:themeColor="text1"/>
          <w:lang w:val="en-GB"/>
        </w:rPr>
        <w:t>, and Spain.</w:t>
      </w:r>
    </w:p>
    <w:p w14:paraId="0FB78278" w14:textId="77777777" w:rsidR="00EA6218" w:rsidRDefault="00EA6218">
      <w:pPr>
        <w:rPr>
          <w:lang w:val="en-GB"/>
        </w:rPr>
      </w:pPr>
    </w:p>
    <w:p w14:paraId="42F02246" w14:textId="48843422" w:rsidR="00EA6218" w:rsidRDefault="0DE8C684" w:rsidP="0DE8C684">
      <w:pPr>
        <w:rPr>
          <w:lang w:val="en-GB"/>
        </w:rPr>
      </w:pPr>
      <w:r>
        <w:rPr>
          <w:lang w:val="en-GB"/>
        </w:rPr>
        <w:t>Socio-legal studies is a subdiscipline of legal studies, focused on ‘law and society’, or ‘law in context’.</w:t>
      </w:r>
      <w:r w:rsidR="00F21B21">
        <w:rPr>
          <w:rStyle w:val="FootnoteReference"/>
          <w:lang w:val="en-GB"/>
        </w:rPr>
        <w:footnoteReference w:id="2"/>
      </w:r>
      <w:r>
        <w:rPr>
          <w:lang w:val="en-GB"/>
        </w:rPr>
        <w:t xml:space="preserve">  It can be seen as the interdisciplinary study of legal phenomena, and a challenge to more traditional 'doctrinal' legal research.  </w:t>
      </w:r>
      <w:r w:rsidRPr="0DE8C684">
        <w:rPr>
          <w:lang w:val="en-GB"/>
        </w:rPr>
        <w:t xml:space="preserve">It is said in regard of ‘doctrinal’ research that it, </w:t>
      </w:r>
    </w:p>
    <w:p w14:paraId="797F5ADB" w14:textId="68173865" w:rsidR="00EA6218" w:rsidRDefault="0DE8C684" w:rsidP="0DE8C684">
      <w:pPr>
        <w:ind w:left="720"/>
        <w:rPr>
          <w:lang w:val="en-GB"/>
        </w:rPr>
      </w:pPr>
      <w:r w:rsidRPr="0DE8C684">
        <w:rPr>
          <w:lang w:val="en-GB"/>
        </w:rPr>
        <w:t>focuses heavily if not exclusively upon the law itself as an internal self-sustaining set of principles which can be accessed through reading court judgments and statutes with little or no reference to the world outside of the law.</w:t>
      </w:r>
      <w:r w:rsidR="00F21B21" w:rsidRPr="0DE8C684">
        <w:rPr>
          <w:rStyle w:val="FootnoteReference"/>
          <w:lang w:val="en-GB"/>
        </w:rPr>
        <w:footnoteReference w:id="3"/>
      </w:r>
      <w:r w:rsidRPr="0DE8C684">
        <w:rPr>
          <w:lang w:val="en-GB"/>
        </w:rPr>
        <w:t xml:space="preserve">  </w:t>
      </w:r>
    </w:p>
    <w:p w14:paraId="24F48A95" w14:textId="6CF374F3" w:rsidR="00EA6218" w:rsidRDefault="0DE8C684" w:rsidP="0DE8C684">
      <w:pPr>
        <w:rPr>
          <w:lang w:val="en-GB"/>
        </w:rPr>
      </w:pPr>
      <w:r w:rsidRPr="0DE8C684">
        <w:rPr>
          <w:lang w:val="en-GB"/>
        </w:rPr>
        <w:t xml:space="preserve">However, it can be argued that even doctrinal research is, in a sense, qualitative; </w:t>
      </w:r>
      <w:r w:rsidR="00DC4456">
        <w:rPr>
          <w:lang w:val="en-GB"/>
        </w:rPr>
        <w:t>and</w:t>
      </w:r>
      <w:r w:rsidRPr="0DE8C684">
        <w:rPr>
          <w:lang w:val="en-GB"/>
        </w:rPr>
        <w:t xml:space="preserve"> the process of screening, </w:t>
      </w:r>
      <w:proofErr w:type="gramStart"/>
      <w:r w:rsidRPr="0DE8C684">
        <w:rPr>
          <w:lang w:val="en-GB"/>
        </w:rPr>
        <w:t>selecting</w:t>
      </w:r>
      <w:proofErr w:type="gramEnd"/>
      <w:r w:rsidRPr="0DE8C684">
        <w:rPr>
          <w:lang w:val="en-GB"/>
        </w:rPr>
        <w:t xml:space="preserve"> and reviewing relevant laws and cases, in order to synthesise conclusions from them, is the product of inductive reasoning.</w:t>
      </w:r>
      <w:r w:rsidR="00F21B21" w:rsidRPr="0DE8C684">
        <w:rPr>
          <w:rStyle w:val="FootnoteReference"/>
          <w:lang w:val="en-GB"/>
        </w:rPr>
        <w:footnoteReference w:id="4"/>
      </w:r>
      <w:r w:rsidRPr="0DE8C684">
        <w:rPr>
          <w:lang w:val="en-GB"/>
        </w:rPr>
        <w:t xml:space="preserve"> </w:t>
      </w:r>
    </w:p>
    <w:p w14:paraId="6E92C611" w14:textId="28A9229D" w:rsidR="00EA6218" w:rsidRDefault="00EA6218" w:rsidP="0DE8C684">
      <w:pPr>
        <w:rPr>
          <w:lang w:val="en-GB"/>
        </w:rPr>
      </w:pPr>
    </w:p>
    <w:p w14:paraId="63106206" w14:textId="555BD7E5" w:rsidR="00EA6218" w:rsidRDefault="0DE8C684" w:rsidP="0DE8C684">
      <w:pPr>
        <w:rPr>
          <w:lang w:val="en-GB"/>
        </w:rPr>
      </w:pPr>
      <w:r>
        <w:rPr>
          <w:lang w:val="en-GB"/>
        </w:rPr>
        <w:t>Socio-legal studies, however, takes the qualitative analysis</w:t>
      </w:r>
      <w:r w:rsidR="005A3AD6">
        <w:rPr>
          <w:lang w:val="en-GB"/>
        </w:rPr>
        <w:t xml:space="preserve"> of legal phenomena</w:t>
      </w:r>
      <w:r>
        <w:rPr>
          <w:lang w:val="en-GB"/>
        </w:rPr>
        <w:t xml:space="preserve"> a step further and engages with policy and law reform.</w:t>
      </w:r>
      <w:r w:rsidR="00F21B21" w:rsidRPr="0DE8C684">
        <w:rPr>
          <w:rStyle w:val="FootnoteReference"/>
          <w:lang w:val="en-GB"/>
        </w:rPr>
        <w:footnoteReference w:id="5"/>
      </w:r>
      <w:r>
        <w:rPr>
          <w:lang w:val="en-GB"/>
        </w:rPr>
        <w:t xml:space="preserve">  It is about, '</w:t>
      </w:r>
      <w:r w:rsidRPr="0DE8C684">
        <w:rPr>
          <w:lang w:val="en-GB"/>
        </w:rPr>
        <w:t>examining the legal system in terms of whether legal reform brings about beneficial social effects and protects the interests of the public'.</w:t>
      </w:r>
      <w:r w:rsidR="00F21B21" w:rsidRPr="0DE8C684">
        <w:rPr>
          <w:rStyle w:val="FootnoteReference"/>
          <w:lang w:val="en-GB"/>
        </w:rPr>
        <w:footnoteReference w:id="6"/>
      </w:r>
      <w:r w:rsidRPr="0DE8C684">
        <w:rPr>
          <w:lang w:val="en-GB"/>
        </w:rPr>
        <w:t xml:space="preserve">  It should not be understood as </w:t>
      </w:r>
      <w:r w:rsidR="00767199">
        <w:rPr>
          <w:lang w:val="en-GB"/>
        </w:rPr>
        <w:t xml:space="preserve">a </w:t>
      </w:r>
      <w:r w:rsidRPr="0DE8C684">
        <w:rPr>
          <w:lang w:val="en-GB"/>
        </w:rPr>
        <w:t xml:space="preserve">simple, self-contained mode of study, though.  For the UK research funding-body the Economic and Social Research Council it, </w:t>
      </w:r>
    </w:p>
    <w:p w14:paraId="1F0B5856" w14:textId="7F4358B9" w:rsidR="00EA6218" w:rsidRDefault="0DE8C684" w:rsidP="0DE8C684">
      <w:pPr>
        <w:ind w:left="720"/>
        <w:rPr>
          <w:lang w:val="en-GB"/>
        </w:rPr>
      </w:pPr>
      <w:r w:rsidRPr="0DE8C684">
        <w:rPr>
          <w:lang w:val="en-GB"/>
        </w:rPr>
        <w:t>displays considerable eclecticism in subject-matter, theorising and methodology, ranging from macro-theoretical scholarship through empirical analyses designed to test and generate theoretical propositions, to experimental designs and small-scale case studies.</w:t>
      </w:r>
      <w:r w:rsidR="002D7640">
        <w:rPr>
          <w:rStyle w:val="FootnoteReference"/>
          <w:lang w:val="en-GB"/>
        </w:rPr>
        <w:footnoteReference w:id="7"/>
      </w:r>
    </w:p>
    <w:p w14:paraId="2EC1E55B" w14:textId="32E4D907" w:rsidR="00EA6218" w:rsidRDefault="00EA6218" w:rsidP="0DE8C684">
      <w:pPr>
        <w:ind w:left="720"/>
        <w:rPr>
          <w:lang w:val="en-GB"/>
        </w:rPr>
      </w:pPr>
    </w:p>
    <w:p w14:paraId="32C0870F" w14:textId="4EA79D63" w:rsidR="00EA6218" w:rsidRDefault="0DE8C684" w:rsidP="0DE8C684">
      <w:pPr>
        <w:rPr>
          <w:lang w:val="en-GB"/>
        </w:rPr>
      </w:pPr>
      <w:r w:rsidRPr="000B30B3">
        <w:rPr>
          <w:lang w:val="en-GB"/>
        </w:rPr>
        <w:t xml:space="preserve">It is for this reason that Cownie </w:t>
      </w:r>
      <w:r w:rsidR="000B30B3">
        <w:rPr>
          <w:lang w:val="en-GB"/>
        </w:rPr>
        <w:t>&amp; Bradney</w:t>
      </w:r>
      <w:r w:rsidRPr="000B30B3">
        <w:rPr>
          <w:lang w:val="en-GB"/>
        </w:rPr>
        <w:t xml:space="preserve"> have emphasised that ‘socio-legal’ </w:t>
      </w:r>
      <w:r w:rsidR="00577F2D">
        <w:rPr>
          <w:lang w:val="en-GB"/>
        </w:rPr>
        <w:t xml:space="preserve">research </w:t>
      </w:r>
      <w:r w:rsidRPr="000B30B3">
        <w:rPr>
          <w:lang w:val="en-GB"/>
        </w:rPr>
        <w:t>is not exclusively empirical</w:t>
      </w:r>
      <w:r w:rsidR="00577F2D">
        <w:rPr>
          <w:lang w:val="en-GB"/>
        </w:rPr>
        <w:t xml:space="preserve"> research</w:t>
      </w:r>
      <w:r w:rsidRPr="000B30B3">
        <w:rPr>
          <w:lang w:val="en-GB"/>
        </w:rPr>
        <w:t>.</w:t>
      </w:r>
      <w:r w:rsidR="007B75E3" w:rsidRPr="000B30B3">
        <w:rPr>
          <w:rStyle w:val="FootnoteReference"/>
          <w:lang w:val="en-GB"/>
        </w:rPr>
        <w:footnoteReference w:id="8"/>
      </w:r>
      <w:r w:rsidRPr="000B30B3">
        <w:rPr>
          <w:lang w:val="en-GB"/>
        </w:rPr>
        <w:t xml:space="preserve">  It is the focus on law in its social context that is its key characteristic.</w:t>
      </w:r>
    </w:p>
    <w:p w14:paraId="74ECDE8D" w14:textId="54850ED3" w:rsidR="00EA6218" w:rsidRDefault="00EA6218">
      <w:pPr>
        <w:rPr>
          <w:lang w:val="en-GB"/>
        </w:rPr>
      </w:pPr>
    </w:p>
    <w:p w14:paraId="52D68CB2" w14:textId="5ABF3872" w:rsidR="00EA6218" w:rsidRDefault="0DE8C684" w:rsidP="0DE8C684">
      <w:pPr>
        <w:rPr>
          <w:lang w:val="en-GB"/>
        </w:rPr>
      </w:pPr>
      <w:r>
        <w:rPr>
          <w:lang w:val="en-GB"/>
        </w:rPr>
        <w:t xml:space="preserve">Within the socio-legal approach adopted here, the theoretical frame of ‘transitional justice’ is employed in order </w:t>
      </w:r>
      <w:r w:rsidR="00CC145F">
        <w:rPr>
          <w:lang w:val="en-GB"/>
        </w:rPr>
        <w:t xml:space="preserve">first </w:t>
      </w:r>
      <w:r>
        <w:rPr>
          <w:lang w:val="en-GB"/>
        </w:rPr>
        <w:t xml:space="preserve">to identify and </w:t>
      </w:r>
      <w:r w:rsidR="00CC145F">
        <w:rPr>
          <w:lang w:val="en-GB"/>
        </w:rPr>
        <w:t xml:space="preserve">then </w:t>
      </w:r>
      <w:r>
        <w:rPr>
          <w:lang w:val="en-GB"/>
        </w:rPr>
        <w:t xml:space="preserve">to analyse the EU’s approaches to the </w:t>
      </w:r>
      <w:proofErr w:type="spellStart"/>
      <w:r>
        <w:rPr>
          <w:lang w:val="en-GB"/>
        </w:rPr>
        <w:t>RePAST</w:t>
      </w:r>
      <w:proofErr w:type="spellEnd"/>
      <w:r>
        <w:rPr>
          <w:lang w:val="en-GB"/>
        </w:rPr>
        <w:t xml:space="preserve"> states’ troubled pasts.  The UN has defined transitional justice </w:t>
      </w:r>
      <w:r w:rsidR="00CC145F">
        <w:rPr>
          <w:lang w:val="en-GB"/>
        </w:rPr>
        <w:t>as,</w:t>
      </w:r>
    </w:p>
    <w:p w14:paraId="18AD68C5" w14:textId="77777777" w:rsidR="00EA6218" w:rsidRDefault="0DE8C684">
      <w:pPr>
        <w:ind w:left="720"/>
        <w:rPr>
          <w:lang w:val="en-GB"/>
        </w:rPr>
      </w:pPr>
      <w:r>
        <w:rPr>
          <w:lang w:val="en-GB"/>
        </w:rPr>
        <w:t xml:space="preserve">the full range of processes and mechanisms associated with a society’s attempts to come to terms with a legacy of large-scale past abuses, </w:t>
      </w:r>
      <w:proofErr w:type="gramStart"/>
      <w:r>
        <w:rPr>
          <w:lang w:val="en-GB"/>
        </w:rPr>
        <w:t>in order to</w:t>
      </w:r>
      <w:proofErr w:type="gramEnd"/>
      <w:r>
        <w:rPr>
          <w:lang w:val="en-GB"/>
        </w:rPr>
        <w:t xml:space="preserve"> ensure accountability, serve justice and achieve reconciliation.</w:t>
      </w:r>
      <w:r w:rsidR="00F21B21">
        <w:rPr>
          <w:rStyle w:val="FootnoteReference"/>
          <w:lang w:val="en-GB"/>
        </w:rPr>
        <w:footnoteReference w:id="9"/>
      </w:r>
    </w:p>
    <w:p w14:paraId="5997CC1D" w14:textId="77777777" w:rsidR="00EA6218" w:rsidRDefault="00EA6218">
      <w:pPr>
        <w:rPr>
          <w:lang w:val="en-GB"/>
        </w:rPr>
      </w:pPr>
    </w:p>
    <w:p w14:paraId="3CB733D0" w14:textId="3395A627" w:rsidR="00EA6218" w:rsidRDefault="0DE8C684" w:rsidP="0DE8C684">
      <w:pPr>
        <w:rPr>
          <w:lang w:val="en-GB"/>
        </w:rPr>
      </w:pPr>
      <w:r>
        <w:rPr>
          <w:lang w:val="en-GB"/>
        </w:rPr>
        <w:t>Transitional justice ‘processes and mechanisms’ commonly include criminal prosecutions, truth commissions and other forms of historical accounting or memorialisation, reparations programs, and various kinds of institutional reforms.</w:t>
      </w:r>
      <w:r w:rsidR="00F21B21">
        <w:rPr>
          <w:rStyle w:val="FootnoteReference"/>
          <w:lang w:val="en-GB"/>
        </w:rPr>
        <w:footnoteReference w:id="10"/>
      </w:r>
      <w:r>
        <w:rPr>
          <w:lang w:val="en-GB"/>
        </w:rPr>
        <w:t xml:space="preserve">  Thus, in undertaking the </w:t>
      </w:r>
      <w:r w:rsidR="002658FB">
        <w:rPr>
          <w:lang w:val="en-GB"/>
        </w:rPr>
        <w:t xml:space="preserve">identification and </w:t>
      </w:r>
      <w:r>
        <w:rPr>
          <w:lang w:val="en-GB"/>
        </w:rPr>
        <w:t xml:space="preserve">analysis of extant EU law and policy on troubled pasts, </w:t>
      </w:r>
      <w:r w:rsidR="00D6525E">
        <w:rPr>
          <w:lang w:val="en-GB"/>
        </w:rPr>
        <w:t>WP 5.3</w:t>
      </w:r>
      <w:r>
        <w:rPr>
          <w:lang w:val="en-GB"/>
        </w:rPr>
        <w:t xml:space="preserve"> searched within</w:t>
      </w:r>
      <w:r w:rsidR="008D6459">
        <w:rPr>
          <w:lang w:val="en-GB"/>
        </w:rPr>
        <w:t xml:space="preserve"> </w:t>
      </w:r>
      <w:r>
        <w:rPr>
          <w:lang w:val="en-GB"/>
        </w:rPr>
        <w:t xml:space="preserve">documented </w:t>
      </w:r>
      <w:r w:rsidR="008D6459">
        <w:rPr>
          <w:lang w:val="en-GB"/>
        </w:rPr>
        <w:t xml:space="preserve">EU </w:t>
      </w:r>
      <w:r>
        <w:rPr>
          <w:lang w:val="en-GB"/>
        </w:rPr>
        <w:t xml:space="preserve">activities for the law, policies and practices that it has undertaken (or </w:t>
      </w:r>
      <w:r w:rsidR="008D6459">
        <w:rPr>
          <w:lang w:val="en-GB"/>
        </w:rPr>
        <w:t xml:space="preserve">has </w:t>
      </w:r>
      <w:r>
        <w:rPr>
          <w:lang w:val="en-GB"/>
        </w:rPr>
        <w:t>facilitated others so to do) for functional equivalents to common transitional justice ‘processes and mechanisms’, whether or not they were labelled as such.  This involved searching</w:t>
      </w:r>
      <w:r w:rsidR="009110FC">
        <w:rPr>
          <w:lang w:val="en-GB"/>
        </w:rPr>
        <w:t xml:space="preserve"> through</w:t>
      </w:r>
      <w:r>
        <w:rPr>
          <w:lang w:val="en-GB"/>
        </w:rPr>
        <w:t xml:space="preserve"> the copious databases of EU law</w:t>
      </w:r>
      <w:r w:rsidR="00806104">
        <w:rPr>
          <w:lang w:val="en-GB"/>
        </w:rPr>
        <w:t xml:space="preserve"> and policy</w:t>
      </w:r>
      <w:r w:rsidR="00856AD3">
        <w:rPr>
          <w:lang w:val="en-GB"/>
        </w:rPr>
        <w:t xml:space="preserve">, such </w:t>
      </w:r>
      <w:r w:rsidR="00856AD3">
        <w:rPr>
          <w:lang w:val="en-GB"/>
        </w:rPr>
        <w:lastRenderedPageBreak/>
        <w:t xml:space="preserve">as </w:t>
      </w:r>
      <w:proofErr w:type="spellStart"/>
      <w:r w:rsidR="00856AD3">
        <w:rPr>
          <w:lang w:val="en-GB"/>
        </w:rPr>
        <w:t>Eur</w:t>
      </w:r>
      <w:proofErr w:type="spellEnd"/>
      <w:r w:rsidR="00806104">
        <w:rPr>
          <w:lang w:val="en-GB"/>
        </w:rPr>
        <w:t xml:space="preserve">-Lex, </w:t>
      </w:r>
      <w:r w:rsidR="00E14376">
        <w:rPr>
          <w:lang w:val="en-GB"/>
        </w:rPr>
        <w:t>for evidence of relevant activities.</w:t>
      </w:r>
      <w:r w:rsidR="008606A9">
        <w:rPr>
          <w:lang w:val="en-GB"/>
        </w:rPr>
        <w:t xml:space="preserve">  WP 5.3 also </w:t>
      </w:r>
      <w:r w:rsidR="00BE7826">
        <w:rPr>
          <w:lang w:val="en-GB"/>
        </w:rPr>
        <w:t>scoured the EU institutions’ websites</w:t>
      </w:r>
      <w:r w:rsidR="00D6525E">
        <w:rPr>
          <w:lang w:val="en-GB"/>
        </w:rPr>
        <w:t xml:space="preserve"> for traces of relevant activities e.g. in announcements, press releases, and other publications.</w:t>
      </w:r>
    </w:p>
    <w:p w14:paraId="7D34715F" w14:textId="77777777" w:rsidR="006F37CA" w:rsidRDefault="006F37CA" w:rsidP="0DE8C684">
      <w:pPr>
        <w:rPr>
          <w:lang w:val="en-GB"/>
        </w:rPr>
      </w:pPr>
    </w:p>
    <w:p w14:paraId="25258DEB" w14:textId="77777777" w:rsidR="00514EE0" w:rsidRDefault="00F32C1F" w:rsidP="00D6525E">
      <w:pPr>
        <w:rPr>
          <w:lang w:val="en-GB"/>
        </w:rPr>
      </w:pPr>
      <w:r>
        <w:rPr>
          <w:lang w:val="en-GB"/>
        </w:rPr>
        <w:t>Next, w</w:t>
      </w:r>
      <w:r w:rsidR="00D6525E">
        <w:rPr>
          <w:lang w:val="en-GB"/>
        </w:rPr>
        <w:t xml:space="preserve">e cross-referenced our initial findings with </w:t>
      </w:r>
      <w:r w:rsidR="00D6525E" w:rsidRPr="0DE8C684">
        <w:rPr>
          <w:lang w:val="en-GB"/>
        </w:rPr>
        <w:t>pre-existing legal-academic analyses of the EU</w:t>
      </w:r>
      <w:r>
        <w:rPr>
          <w:lang w:val="en-GB"/>
        </w:rPr>
        <w:t xml:space="preserve"> </w:t>
      </w:r>
      <w:r w:rsidR="00D6525E" w:rsidRPr="0DE8C684">
        <w:rPr>
          <w:lang w:val="en-GB"/>
        </w:rPr>
        <w:t>and transitional justice (legal, socio-legal, or otherwise).  There is plenty of legal research into the separate national approaches to transitional justice, and likewise into the facilitating role of the Council of Europe.</w:t>
      </w:r>
      <w:r w:rsidR="00D6525E" w:rsidRPr="0DE8C684">
        <w:rPr>
          <w:rStyle w:val="FootnoteReference"/>
          <w:lang w:val="en-GB"/>
        </w:rPr>
        <w:footnoteReference w:id="11"/>
      </w:r>
      <w:r w:rsidR="00D6525E" w:rsidRPr="0DE8C684">
        <w:rPr>
          <w:lang w:val="en-GB"/>
        </w:rPr>
        <w:t xml:space="preserve">  However, by contrast, research into the EU and transitional justice </w:t>
      </w:r>
      <w:r w:rsidR="009B5FF1">
        <w:rPr>
          <w:lang w:val="en-GB"/>
        </w:rPr>
        <w:t>is</w:t>
      </w:r>
      <w:r w:rsidR="00E72B94">
        <w:rPr>
          <w:lang w:val="en-GB"/>
        </w:rPr>
        <w:t xml:space="preserve"> </w:t>
      </w:r>
      <w:r w:rsidR="00D6525E" w:rsidRPr="0DE8C684">
        <w:rPr>
          <w:lang w:val="en-GB"/>
        </w:rPr>
        <w:t>comparatively less developed.</w:t>
      </w:r>
      <w:r w:rsidR="00945202" w:rsidRPr="006165C0">
        <w:rPr>
          <w:rStyle w:val="FootnoteReference"/>
          <w:lang w:val="en-GB"/>
        </w:rPr>
        <w:footnoteReference w:id="12"/>
      </w:r>
      <w:r w:rsidR="00D6525E" w:rsidRPr="0DE8C684">
        <w:rPr>
          <w:lang w:val="en-GB"/>
        </w:rPr>
        <w:t xml:space="preserve">  </w:t>
      </w:r>
    </w:p>
    <w:p w14:paraId="30B1F8D0" w14:textId="77777777" w:rsidR="00514EE0" w:rsidRDefault="00514EE0" w:rsidP="00D6525E">
      <w:pPr>
        <w:rPr>
          <w:lang w:val="en-GB"/>
        </w:rPr>
      </w:pPr>
    </w:p>
    <w:p w14:paraId="1D00BFB8" w14:textId="77F2ADE9" w:rsidR="00107128" w:rsidRDefault="00107128" w:rsidP="00D6525E">
      <w:pPr>
        <w:rPr>
          <w:lang w:val="en-GB"/>
        </w:rPr>
      </w:pPr>
      <w:r w:rsidRPr="005A7DE5">
        <w:rPr>
          <w:lang w:val="en-GB"/>
        </w:rPr>
        <w:t>Ultimately, by viewing the EU’s approaches to troubled pasts through the lens of transitional justice, we identified that three broad policy areas have been invoked: EU policy on citizenship and ‘remembrance’; the Common Foreign and Security Policy (CFSP); and development, conditionality and enlargement policy.</w:t>
      </w:r>
      <w:r w:rsidR="00313CF8">
        <w:rPr>
          <w:lang w:val="en-GB"/>
        </w:rPr>
        <w:t xml:space="preserve">  These findings are set out in detail in what follows below.</w:t>
      </w:r>
    </w:p>
    <w:p w14:paraId="290A7752" w14:textId="77777777" w:rsidR="006F37CA" w:rsidRDefault="006F37CA" w:rsidP="006F37CA">
      <w:pPr>
        <w:rPr>
          <w:lang w:val="en-GB"/>
        </w:rPr>
      </w:pPr>
    </w:p>
    <w:p w14:paraId="012A202D" w14:textId="617C3F42" w:rsidR="00FF5EE6" w:rsidRDefault="00313CF8" w:rsidP="006F37CA">
      <w:pPr>
        <w:rPr>
          <w:lang w:val="en-GB"/>
        </w:rPr>
      </w:pPr>
      <w:r>
        <w:rPr>
          <w:lang w:val="en-GB"/>
        </w:rPr>
        <w:t>I</w:t>
      </w:r>
      <w:r w:rsidR="006F37CA" w:rsidRPr="0DE8C684">
        <w:rPr>
          <w:lang w:val="en-GB"/>
        </w:rPr>
        <w:t xml:space="preserve">dentifying ‘the law’, alone, is insufficient to provide a </w:t>
      </w:r>
      <w:r w:rsidR="00EC2ADF">
        <w:rPr>
          <w:lang w:val="en-GB"/>
        </w:rPr>
        <w:t>socio-legal analysis</w:t>
      </w:r>
      <w:r w:rsidR="006F37CA" w:rsidRPr="0DE8C684">
        <w:rPr>
          <w:lang w:val="en-GB"/>
        </w:rPr>
        <w:t xml:space="preserve"> of the EU’s role in addressing troubled pasts</w:t>
      </w:r>
      <w:r w:rsidR="006072B2">
        <w:rPr>
          <w:lang w:val="en-GB"/>
        </w:rPr>
        <w:t>, however</w:t>
      </w:r>
      <w:r w:rsidR="00FF5EE6">
        <w:rPr>
          <w:lang w:val="en-GB"/>
        </w:rPr>
        <w:t>.</w:t>
      </w:r>
      <w:r w:rsidR="00F90EB2">
        <w:rPr>
          <w:lang w:val="en-GB"/>
        </w:rPr>
        <w:t xml:space="preserve">  The next stage was to </w:t>
      </w:r>
      <w:r w:rsidR="00822D2D">
        <w:rPr>
          <w:lang w:val="en-GB"/>
        </w:rPr>
        <w:t>examine the</w:t>
      </w:r>
      <w:r w:rsidR="002D2BD3">
        <w:rPr>
          <w:lang w:val="en-GB"/>
        </w:rPr>
        <w:t xml:space="preserve"> extent to which the EU’s activities</w:t>
      </w:r>
      <w:r w:rsidR="00CE4779">
        <w:rPr>
          <w:lang w:val="en-GB"/>
        </w:rPr>
        <w:t xml:space="preserve"> have had, or have had the potential to have, ‘beneficial social </w:t>
      </w:r>
      <w:proofErr w:type="gramStart"/>
      <w:r w:rsidR="00CE4779">
        <w:rPr>
          <w:lang w:val="en-GB"/>
        </w:rPr>
        <w:t>effects</w:t>
      </w:r>
      <w:r w:rsidR="00A31B13">
        <w:rPr>
          <w:lang w:val="en-GB"/>
        </w:rPr>
        <w:t>’</w:t>
      </w:r>
      <w:proofErr w:type="gramEnd"/>
      <w:r w:rsidR="00A31B13">
        <w:rPr>
          <w:lang w:val="en-GB"/>
        </w:rPr>
        <w:t>.  Again, studies into the</w:t>
      </w:r>
      <w:r w:rsidR="00901A9A">
        <w:rPr>
          <w:lang w:val="en-GB"/>
        </w:rPr>
        <w:t xml:space="preserve"> design and evaluation of transitional justice ‘processes and practices’ provide</w:t>
      </w:r>
      <w:r w:rsidR="00AE3A4F">
        <w:rPr>
          <w:lang w:val="en-GB"/>
        </w:rPr>
        <w:t xml:space="preserve"> a critical perspective from which to</w:t>
      </w:r>
      <w:r w:rsidR="001A3FB5">
        <w:rPr>
          <w:lang w:val="en-GB"/>
        </w:rPr>
        <w:t xml:space="preserve"> submit the EU’s activities to qualitative </w:t>
      </w:r>
      <w:r w:rsidR="008F1AEB">
        <w:rPr>
          <w:lang w:val="en-GB"/>
        </w:rPr>
        <w:t xml:space="preserve">socio-legal </w:t>
      </w:r>
      <w:r w:rsidR="001A3FB5">
        <w:rPr>
          <w:lang w:val="en-GB"/>
        </w:rPr>
        <w:t>analysis.</w:t>
      </w:r>
      <w:r w:rsidR="008F1AEB">
        <w:rPr>
          <w:lang w:val="en-GB"/>
        </w:rPr>
        <w:t xml:space="preserve">  Moreover, to the extent that it was possible, </w:t>
      </w:r>
      <w:r w:rsidR="004B68B9">
        <w:rPr>
          <w:lang w:val="en-GB"/>
        </w:rPr>
        <w:t xml:space="preserve">WP 5.3 </w:t>
      </w:r>
      <w:r w:rsidR="00755300">
        <w:rPr>
          <w:lang w:val="en-GB"/>
        </w:rPr>
        <w:t xml:space="preserve">also </w:t>
      </w:r>
      <w:r w:rsidR="004B68B9">
        <w:rPr>
          <w:lang w:val="en-GB"/>
        </w:rPr>
        <w:t xml:space="preserve">incorporated the empirical findings of </w:t>
      </w:r>
      <w:r w:rsidR="008D0C79">
        <w:rPr>
          <w:lang w:val="en-GB"/>
        </w:rPr>
        <w:t xml:space="preserve">WP 5.2 on </w:t>
      </w:r>
      <w:r w:rsidR="005F25AC">
        <w:rPr>
          <w:lang w:val="en-GB"/>
        </w:rPr>
        <w:t xml:space="preserve">the citizens of the </w:t>
      </w:r>
      <w:proofErr w:type="spellStart"/>
      <w:r w:rsidR="005F25AC">
        <w:rPr>
          <w:lang w:val="en-GB"/>
        </w:rPr>
        <w:t>RePAST</w:t>
      </w:r>
      <w:proofErr w:type="spellEnd"/>
      <w:r w:rsidR="005F25AC">
        <w:rPr>
          <w:lang w:val="en-GB"/>
        </w:rPr>
        <w:t xml:space="preserve"> states’ </w:t>
      </w:r>
      <w:r w:rsidR="005F25AC" w:rsidRPr="0DE8C684">
        <w:rPr>
          <w:lang w:val="en-GB"/>
        </w:rPr>
        <w:t xml:space="preserve">attitudes regarding the conflicts of the past and </w:t>
      </w:r>
      <w:r w:rsidR="008C4841">
        <w:rPr>
          <w:lang w:val="en-GB"/>
        </w:rPr>
        <w:t>the EU’s approach to them.</w:t>
      </w:r>
      <w:r w:rsidR="00755300">
        <w:rPr>
          <w:lang w:val="en-GB"/>
        </w:rPr>
        <w:t xml:space="preserve">  However, </w:t>
      </w:r>
      <w:r w:rsidR="00F60C91">
        <w:rPr>
          <w:lang w:val="en-GB"/>
        </w:rPr>
        <w:t xml:space="preserve">and as discussed further below, </w:t>
      </w:r>
      <w:r w:rsidR="00755300">
        <w:rPr>
          <w:lang w:val="en-GB"/>
        </w:rPr>
        <w:t xml:space="preserve">much </w:t>
      </w:r>
      <w:r w:rsidR="00F60C91">
        <w:rPr>
          <w:lang w:val="en-GB"/>
        </w:rPr>
        <w:t>less</w:t>
      </w:r>
      <w:r w:rsidR="00755300">
        <w:rPr>
          <w:lang w:val="en-GB"/>
        </w:rPr>
        <w:t xml:space="preserve"> of the</w:t>
      </w:r>
      <w:r w:rsidR="00F60C91">
        <w:rPr>
          <w:lang w:val="en-GB"/>
        </w:rPr>
        <w:t xml:space="preserve"> WP 5.2 survey data was relevant to </w:t>
      </w:r>
      <w:r w:rsidR="00FF6DC0">
        <w:rPr>
          <w:lang w:val="en-GB"/>
        </w:rPr>
        <w:t xml:space="preserve">WP </w:t>
      </w:r>
      <w:r w:rsidR="00F60C91">
        <w:rPr>
          <w:lang w:val="en-GB"/>
        </w:rPr>
        <w:t>5.3 than</w:t>
      </w:r>
      <w:r w:rsidR="00FF6DC0">
        <w:rPr>
          <w:lang w:val="en-GB"/>
        </w:rPr>
        <w:t xml:space="preserve"> had been </w:t>
      </w:r>
      <w:r w:rsidR="009D7694">
        <w:rPr>
          <w:lang w:val="en-GB"/>
        </w:rPr>
        <w:t>envisioned</w:t>
      </w:r>
      <w:r w:rsidR="00FF6DC0">
        <w:rPr>
          <w:lang w:val="en-GB"/>
        </w:rPr>
        <w:t>.</w:t>
      </w:r>
      <w:r w:rsidR="00F60C91">
        <w:rPr>
          <w:lang w:val="en-GB"/>
        </w:rPr>
        <w:t xml:space="preserve"> </w:t>
      </w:r>
      <w:r w:rsidR="00AE3A4F">
        <w:rPr>
          <w:lang w:val="en-GB"/>
        </w:rPr>
        <w:t xml:space="preserve"> </w:t>
      </w:r>
    </w:p>
    <w:p w14:paraId="479CE87D" w14:textId="77777777" w:rsidR="002E4C57" w:rsidRDefault="002E4C57">
      <w:pPr>
        <w:rPr>
          <w:lang w:val="en-GB"/>
        </w:rPr>
      </w:pPr>
    </w:p>
    <w:p w14:paraId="3D20556D" w14:textId="1E8B8284" w:rsidR="00EA6218" w:rsidRDefault="00F21B21">
      <w:pPr>
        <w:rPr>
          <w:lang w:val="en-GB"/>
        </w:rPr>
      </w:pPr>
      <w:r w:rsidRPr="00C97DFE">
        <w:rPr>
          <w:lang w:val="en-GB"/>
        </w:rPr>
        <w:t xml:space="preserve">It should </w:t>
      </w:r>
      <w:r w:rsidR="005C4B28">
        <w:rPr>
          <w:lang w:val="en-GB"/>
        </w:rPr>
        <w:t xml:space="preserve">now </w:t>
      </w:r>
      <w:r w:rsidRPr="00C97DFE">
        <w:rPr>
          <w:lang w:val="en-GB"/>
        </w:rPr>
        <w:t xml:space="preserve">be </w:t>
      </w:r>
      <w:r w:rsidR="002E4C57" w:rsidRPr="00C97DFE">
        <w:rPr>
          <w:lang w:val="en-GB"/>
        </w:rPr>
        <w:t>emphasised</w:t>
      </w:r>
      <w:r w:rsidR="00A45690" w:rsidRPr="00C97DFE">
        <w:rPr>
          <w:lang w:val="en-GB"/>
        </w:rPr>
        <w:t>, first,</w:t>
      </w:r>
      <w:r w:rsidRPr="00C97DFE">
        <w:rPr>
          <w:lang w:val="en-GB"/>
        </w:rPr>
        <w:t xml:space="preserve"> that this Working Paper does not advocate for ‘doing’ transitional justice as a self-evident and uncritical plan of action that will inevitably lead to justice regarding </w:t>
      </w:r>
      <w:r w:rsidR="00BE7569" w:rsidRPr="00C97DFE">
        <w:rPr>
          <w:lang w:val="en-GB"/>
        </w:rPr>
        <w:t xml:space="preserve">the </w:t>
      </w:r>
      <w:proofErr w:type="spellStart"/>
      <w:r w:rsidR="00BE7569" w:rsidRPr="00C97DFE">
        <w:rPr>
          <w:lang w:val="en-GB"/>
        </w:rPr>
        <w:t>Re</w:t>
      </w:r>
      <w:r w:rsidR="00C83346" w:rsidRPr="00C97DFE">
        <w:rPr>
          <w:lang w:val="en-GB"/>
        </w:rPr>
        <w:t>PAST</w:t>
      </w:r>
      <w:proofErr w:type="spellEnd"/>
      <w:r w:rsidR="00C83346" w:rsidRPr="00C97DFE">
        <w:rPr>
          <w:lang w:val="en-GB"/>
        </w:rPr>
        <w:t xml:space="preserve"> states’ ‘troubled </w:t>
      </w:r>
      <w:proofErr w:type="gramStart"/>
      <w:r w:rsidR="00C83346" w:rsidRPr="00C97DFE">
        <w:rPr>
          <w:lang w:val="en-GB"/>
        </w:rPr>
        <w:t>pasts’</w:t>
      </w:r>
      <w:proofErr w:type="gramEnd"/>
      <w:r w:rsidR="00C83346" w:rsidRPr="00C97DFE">
        <w:rPr>
          <w:lang w:val="en-GB"/>
        </w:rPr>
        <w:t>.</w:t>
      </w:r>
      <w:r w:rsidRPr="00C97DFE">
        <w:rPr>
          <w:lang w:val="en-GB"/>
        </w:rPr>
        <w:t xml:space="preserve">  Instead, we invoke it as a contested concept and </w:t>
      </w:r>
      <w:r w:rsidR="004A2D0A">
        <w:rPr>
          <w:lang w:val="en-GB"/>
        </w:rPr>
        <w:t xml:space="preserve">an </w:t>
      </w:r>
      <w:r w:rsidRPr="00C97DFE">
        <w:rPr>
          <w:lang w:val="en-GB"/>
        </w:rPr>
        <w:t xml:space="preserve">area of </w:t>
      </w:r>
      <w:r w:rsidRPr="00C97DFE">
        <w:rPr>
          <w:lang w:val="en-GB"/>
        </w:rPr>
        <w:lastRenderedPageBreak/>
        <w:t xml:space="preserve">scholarship that can help first to identify and second to form a critical perspective upon the EU’s attempts to address the </w:t>
      </w:r>
      <w:proofErr w:type="spellStart"/>
      <w:r w:rsidRPr="00C97DFE">
        <w:rPr>
          <w:lang w:val="en-GB"/>
        </w:rPr>
        <w:t>RePAST</w:t>
      </w:r>
      <w:proofErr w:type="spellEnd"/>
      <w:r w:rsidRPr="00C97DFE">
        <w:rPr>
          <w:lang w:val="en-GB"/>
        </w:rPr>
        <w:t xml:space="preserve"> states’ troubled pasts.</w:t>
      </w:r>
      <w:r w:rsidR="00A45690" w:rsidRPr="00C97DFE">
        <w:rPr>
          <w:lang w:val="en-GB"/>
        </w:rPr>
        <w:t xml:space="preserve">  Second, we do not</w:t>
      </w:r>
      <w:r w:rsidR="003E5FEE" w:rsidRPr="00C97DFE">
        <w:rPr>
          <w:lang w:val="en-GB"/>
        </w:rPr>
        <w:t xml:space="preserve"> propose that </w:t>
      </w:r>
      <w:r w:rsidR="00DF5E32" w:rsidRPr="00C97DFE">
        <w:rPr>
          <w:lang w:val="en-GB"/>
        </w:rPr>
        <w:t xml:space="preserve">the </w:t>
      </w:r>
      <w:r w:rsidR="003E5FEE" w:rsidRPr="00C97DFE">
        <w:rPr>
          <w:lang w:val="en-GB"/>
        </w:rPr>
        <w:t>lens of transitional justice is the only</w:t>
      </w:r>
      <w:r w:rsidR="00A254D4" w:rsidRPr="00C97DFE">
        <w:rPr>
          <w:lang w:val="en-GB"/>
        </w:rPr>
        <w:t>, or even the best,</w:t>
      </w:r>
      <w:r w:rsidR="003E5FEE" w:rsidRPr="00C97DFE">
        <w:rPr>
          <w:lang w:val="en-GB"/>
        </w:rPr>
        <w:t xml:space="preserve"> </w:t>
      </w:r>
      <w:r w:rsidR="00100CC8" w:rsidRPr="00C97DFE">
        <w:rPr>
          <w:lang w:val="en-GB"/>
        </w:rPr>
        <w:t xml:space="preserve">perspective from which </w:t>
      </w:r>
      <w:r w:rsidR="003E5FEE" w:rsidRPr="00C97DFE">
        <w:rPr>
          <w:lang w:val="en-GB"/>
        </w:rPr>
        <w:t xml:space="preserve">the EU’s </w:t>
      </w:r>
      <w:r w:rsidR="007E6F8A" w:rsidRPr="00C97DFE">
        <w:rPr>
          <w:lang w:val="en-GB"/>
        </w:rPr>
        <w:t>approach to ‘troubled pasts’ can be examined</w:t>
      </w:r>
      <w:r w:rsidR="00EE2513" w:rsidRPr="00C97DFE">
        <w:rPr>
          <w:lang w:val="en-GB"/>
        </w:rPr>
        <w:t>;</w:t>
      </w:r>
      <w:r w:rsidR="007E6F8A" w:rsidRPr="00C97DFE">
        <w:rPr>
          <w:lang w:val="en-GB"/>
        </w:rPr>
        <w:t xml:space="preserve"> or that </w:t>
      </w:r>
      <w:r w:rsidR="00100CC8" w:rsidRPr="00C97DFE">
        <w:rPr>
          <w:lang w:val="en-GB"/>
        </w:rPr>
        <w:t>the</w:t>
      </w:r>
      <w:r w:rsidR="00EE2513" w:rsidRPr="00C97DFE">
        <w:rPr>
          <w:lang w:val="en-GB"/>
        </w:rPr>
        <w:t xml:space="preserve"> lens </w:t>
      </w:r>
      <w:r w:rsidR="00100CC8" w:rsidRPr="00C97DFE">
        <w:rPr>
          <w:lang w:val="en-GB"/>
        </w:rPr>
        <w:t xml:space="preserve">of transitional justice </w:t>
      </w:r>
      <w:r w:rsidR="007E6F8A" w:rsidRPr="00C97DFE">
        <w:rPr>
          <w:lang w:val="en-GB"/>
        </w:rPr>
        <w:t xml:space="preserve">should provide </w:t>
      </w:r>
      <w:r w:rsidR="00EE2513" w:rsidRPr="00C97DFE">
        <w:rPr>
          <w:lang w:val="en-GB"/>
        </w:rPr>
        <w:t xml:space="preserve">an </w:t>
      </w:r>
      <w:r w:rsidR="00100CC8" w:rsidRPr="00C97DFE">
        <w:rPr>
          <w:lang w:val="en-GB"/>
        </w:rPr>
        <w:t xml:space="preserve">overarching framework for the entire </w:t>
      </w:r>
      <w:proofErr w:type="spellStart"/>
      <w:r w:rsidR="00100CC8" w:rsidRPr="00C97DFE">
        <w:rPr>
          <w:lang w:val="en-GB"/>
        </w:rPr>
        <w:t>RePAST</w:t>
      </w:r>
      <w:proofErr w:type="spellEnd"/>
      <w:r w:rsidR="00100CC8" w:rsidRPr="00C97DFE">
        <w:rPr>
          <w:lang w:val="en-GB"/>
        </w:rPr>
        <w:t xml:space="preserve"> project.</w:t>
      </w:r>
      <w:r w:rsidR="00EE2513" w:rsidRPr="00C97DFE">
        <w:rPr>
          <w:lang w:val="en-GB"/>
        </w:rPr>
        <w:t xml:space="preserve">  It is, instead, invoked </w:t>
      </w:r>
      <w:proofErr w:type="gramStart"/>
      <w:r w:rsidR="00EE2513" w:rsidRPr="00C97DFE">
        <w:rPr>
          <w:lang w:val="en-GB"/>
        </w:rPr>
        <w:t>in order to</w:t>
      </w:r>
      <w:proofErr w:type="gramEnd"/>
      <w:r w:rsidR="00D247F1" w:rsidRPr="00C97DFE">
        <w:rPr>
          <w:lang w:val="en-GB"/>
        </w:rPr>
        <w:t xml:space="preserve"> develop additional insights complementary to those gained elsewhere in </w:t>
      </w:r>
      <w:proofErr w:type="spellStart"/>
      <w:r w:rsidR="00D247F1" w:rsidRPr="00C97DFE">
        <w:rPr>
          <w:lang w:val="en-GB"/>
        </w:rPr>
        <w:t>RePAST</w:t>
      </w:r>
      <w:proofErr w:type="spellEnd"/>
      <w:r w:rsidR="00D247F1" w:rsidRPr="00C97DFE">
        <w:rPr>
          <w:lang w:val="en-GB"/>
        </w:rPr>
        <w:t>.</w:t>
      </w:r>
      <w:r w:rsidR="00A45690" w:rsidRPr="00C97DFE">
        <w:rPr>
          <w:lang w:val="en-GB"/>
        </w:rPr>
        <w:t xml:space="preserve">  </w:t>
      </w:r>
      <w:r w:rsidRPr="00C97DFE">
        <w:rPr>
          <w:lang w:val="en-GB"/>
        </w:rPr>
        <w:t xml:space="preserve">  </w:t>
      </w:r>
    </w:p>
    <w:p w14:paraId="3F21DCF0" w14:textId="77777777" w:rsidR="00100CC8" w:rsidRPr="002E4C57" w:rsidRDefault="00100CC8">
      <w:pPr>
        <w:rPr>
          <w:lang w:val="en-GB"/>
        </w:rPr>
      </w:pPr>
    </w:p>
    <w:p w14:paraId="0F2FD640" w14:textId="08041B17" w:rsidR="00400550" w:rsidRDefault="00F21B21" w:rsidP="0DE8C684">
      <w:pPr>
        <w:rPr>
          <w:lang w:val="en-GB"/>
        </w:rPr>
      </w:pPr>
      <w:r>
        <w:rPr>
          <w:lang w:val="en-GB"/>
        </w:rPr>
        <w:t xml:space="preserve">Finally in this introduction, we </w:t>
      </w:r>
      <w:r w:rsidR="00C97DFE">
        <w:rPr>
          <w:lang w:val="en-GB"/>
        </w:rPr>
        <w:t xml:space="preserve">need to </w:t>
      </w:r>
      <w:r w:rsidR="00015B38">
        <w:rPr>
          <w:lang w:val="en-GB"/>
        </w:rPr>
        <w:t xml:space="preserve">foreground </w:t>
      </w:r>
      <w:r>
        <w:rPr>
          <w:lang w:val="en-GB"/>
        </w:rPr>
        <w:t xml:space="preserve">that the </w:t>
      </w:r>
      <w:proofErr w:type="spellStart"/>
      <w:r>
        <w:rPr>
          <w:lang w:val="en-GB"/>
        </w:rPr>
        <w:t>RePAST</w:t>
      </w:r>
      <w:proofErr w:type="spellEnd"/>
      <w:r>
        <w:rPr>
          <w:lang w:val="en-GB"/>
        </w:rPr>
        <w:t xml:space="preserve"> states include </w:t>
      </w:r>
      <w:r w:rsidR="00AD4802">
        <w:rPr>
          <w:lang w:val="en-GB"/>
        </w:rPr>
        <w:t xml:space="preserve">both </w:t>
      </w:r>
      <w:r>
        <w:rPr>
          <w:lang w:val="en-GB"/>
        </w:rPr>
        <w:t>Member States and non-Member States of the EU.  As we shall see, the EU’s authorisation to act (its ‘competences’) are completely different within and outside its borders.  There is also the thorny issue of what we mean when we say ‘the EU’: its three main legislative institutions are, by design, essentially in</w:t>
      </w:r>
      <w:r w:rsidR="00015B38">
        <w:rPr>
          <w:lang w:val="en-GB"/>
        </w:rPr>
        <w:t xml:space="preserve"> tension</w:t>
      </w:r>
      <w:r w:rsidR="00B8506E">
        <w:rPr>
          <w:lang w:val="en-GB"/>
        </w:rPr>
        <w:t xml:space="preserve"> with </w:t>
      </w:r>
      <w:r>
        <w:rPr>
          <w:lang w:val="en-GB"/>
        </w:rPr>
        <w:t>each other (namely the European Commission, Council of the European Union, and European Parliament).  Thus, this Working Paper begins by setting out, briefly, the nature of the EU and its institutions; the principle of ‘conferral’ of ‘competence’; and the legislative acts available to the EU in respect of its competences.</w:t>
      </w:r>
    </w:p>
    <w:p w14:paraId="08CE6F91" w14:textId="77777777" w:rsidR="00EA6218" w:rsidRDefault="00EA6218">
      <w:pPr>
        <w:spacing w:line="240" w:lineRule="auto"/>
        <w:jc w:val="center"/>
        <w:rPr>
          <w:rFonts w:asciiTheme="minorHAnsi" w:eastAsia="MS Gothic" w:hAnsiTheme="minorHAnsi" w:cstheme="minorHAnsi"/>
          <w:bCs/>
          <w:lang w:val="en-GB"/>
        </w:rPr>
      </w:pPr>
    </w:p>
    <w:p w14:paraId="4F6C0DF0" w14:textId="77777777" w:rsidR="00EA6218" w:rsidRDefault="00F21B21">
      <w:pPr>
        <w:pStyle w:val="Heading1"/>
        <w:numPr>
          <w:ilvl w:val="0"/>
          <w:numId w:val="32"/>
        </w:numPr>
        <w:spacing w:before="120" w:line="240" w:lineRule="auto"/>
        <w:rPr>
          <w:rFonts w:asciiTheme="minorHAnsi" w:hAnsiTheme="minorHAnsi" w:cstheme="minorHAnsi"/>
          <w:sz w:val="24"/>
          <w:szCs w:val="24"/>
          <w:lang w:val="en-GB"/>
        </w:rPr>
      </w:pPr>
      <w:bookmarkStart w:id="2" w:name="_Toc96862359"/>
      <w:r>
        <w:rPr>
          <w:rFonts w:asciiTheme="minorHAnsi" w:hAnsiTheme="minorHAnsi" w:cstheme="minorHAnsi"/>
          <w:sz w:val="24"/>
          <w:szCs w:val="24"/>
          <w:lang w:val="en-GB"/>
        </w:rPr>
        <w:t>The EU</w:t>
      </w:r>
      <w:bookmarkEnd w:id="2"/>
    </w:p>
    <w:p w14:paraId="61CDCEAD" w14:textId="77777777" w:rsidR="00EA6218" w:rsidRDefault="00EA6218">
      <w:pPr>
        <w:rPr>
          <w:lang w:val="en-GB"/>
        </w:rPr>
      </w:pPr>
    </w:p>
    <w:p w14:paraId="7B92C576" w14:textId="705E0C9A" w:rsidR="00EA6218" w:rsidRDefault="0DE8C684" w:rsidP="0001743B">
      <w:pPr>
        <w:rPr>
          <w:lang w:val="en-GB"/>
        </w:rPr>
      </w:pPr>
      <w:r>
        <w:rPr>
          <w:lang w:val="en-GB"/>
        </w:rPr>
        <w:t>The material in this section is</w:t>
      </w:r>
      <w:r w:rsidR="00837D01">
        <w:rPr>
          <w:lang w:val="en-GB"/>
        </w:rPr>
        <w:t xml:space="preserve"> a basic introduction to</w:t>
      </w:r>
      <w:r w:rsidR="0001743B">
        <w:rPr>
          <w:lang w:val="en-GB"/>
        </w:rPr>
        <w:t xml:space="preserve"> EU law.  </w:t>
      </w:r>
      <w:r>
        <w:rPr>
          <w:lang w:val="en-GB"/>
        </w:rPr>
        <w:t xml:space="preserve">The most notable </w:t>
      </w:r>
      <w:r w:rsidR="0001743B">
        <w:rPr>
          <w:lang w:val="en-GB"/>
        </w:rPr>
        <w:t xml:space="preserve">fully-fledged </w:t>
      </w:r>
      <w:r w:rsidR="005A6163">
        <w:rPr>
          <w:lang w:val="en-GB"/>
        </w:rPr>
        <w:t xml:space="preserve">introduction </w:t>
      </w:r>
      <w:r>
        <w:rPr>
          <w:lang w:val="en-GB"/>
        </w:rPr>
        <w:t xml:space="preserve">in English is by Paul Craig and </w:t>
      </w:r>
      <w:proofErr w:type="spellStart"/>
      <w:r>
        <w:rPr>
          <w:lang w:val="en-GB"/>
        </w:rPr>
        <w:t>Gráinne</w:t>
      </w:r>
      <w:proofErr w:type="spellEnd"/>
      <w:r>
        <w:rPr>
          <w:lang w:val="en-GB"/>
        </w:rPr>
        <w:t xml:space="preserve"> de </w:t>
      </w:r>
      <w:proofErr w:type="spellStart"/>
      <w:r>
        <w:rPr>
          <w:lang w:val="en-GB"/>
        </w:rPr>
        <w:t>Búrca</w:t>
      </w:r>
      <w:proofErr w:type="spellEnd"/>
      <w:r>
        <w:rPr>
          <w:lang w:val="en-GB"/>
        </w:rPr>
        <w:t>, now in its seventh edition.</w:t>
      </w:r>
      <w:r w:rsidR="00F21B21">
        <w:rPr>
          <w:rStyle w:val="FootnoteReference"/>
          <w:lang w:val="en-GB"/>
        </w:rPr>
        <w:footnoteReference w:id="13"/>
      </w:r>
      <w:r w:rsidR="005A6163">
        <w:rPr>
          <w:lang w:val="en-GB"/>
        </w:rPr>
        <w:t xml:space="preserve">  The purpose of this section is</w:t>
      </w:r>
      <w:r w:rsidR="00840932">
        <w:rPr>
          <w:lang w:val="en-GB"/>
        </w:rPr>
        <w:t xml:space="preserve"> to introduce some legal concepts and terms that are deployed in the main part of this Working Paper.</w:t>
      </w:r>
    </w:p>
    <w:p w14:paraId="6BB9E253" w14:textId="77777777" w:rsidR="00EA6218" w:rsidRDefault="00EA6218">
      <w:pPr>
        <w:rPr>
          <w:lang w:val="en-GB"/>
        </w:rPr>
      </w:pPr>
    </w:p>
    <w:p w14:paraId="32DFEB42" w14:textId="77777777" w:rsidR="00EA6218" w:rsidRDefault="0DE8C684">
      <w:pPr>
        <w:rPr>
          <w:lang w:val="en-GB"/>
        </w:rPr>
      </w:pPr>
      <w:r>
        <w:rPr>
          <w:lang w:val="en-GB"/>
        </w:rPr>
        <w:t>The EU is at present governed by two international agreements, or treaties, between its Member States.  Since the ‘Lisbon Treaty’</w:t>
      </w:r>
      <w:r w:rsidR="00F21B21">
        <w:rPr>
          <w:rStyle w:val="FootnoteReference"/>
          <w:lang w:val="en-GB"/>
        </w:rPr>
        <w:footnoteReference w:id="14"/>
      </w:r>
      <w:r>
        <w:rPr>
          <w:lang w:val="en-GB"/>
        </w:rPr>
        <w:t xml:space="preserve"> came into effect in 2009, these are the Treaty on the Functioning of the European Union (TFEU)</w:t>
      </w:r>
      <w:r w:rsidR="00F21B21">
        <w:rPr>
          <w:rStyle w:val="FootnoteReference"/>
          <w:lang w:val="en-GB"/>
        </w:rPr>
        <w:footnoteReference w:id="15"/>
      </w:r>
      <w:r>
        <w:rPr>
          <w:lang w:val="en-GB"/>
        </w:rPr>
        <w:t xml:space="preserve"> and the Treaty on European Union (TEU).</w:t>
      </w:r>
      <w:r w:rsidR="00F21B21">
        <w:rPr>
          <w:rStyle w:val="FootnoteReference"/>
          <w:lang w:val="en-GB"/>
        </w:rPr>
        <w:footnoteReference w:id="16"/>
      </w:r>
    </w:p>
    <w:p w14:paraId="23DE523C" w14:textId="77777777" w:rsidR="00EA6218" w:rsidRDefault="00EA6218">
      <w:pPr>
        <w:rPr>
          <w:lang w:val="en-GB"/>
        </w:rPr>
      </w:pPr>
    </w:p>
    <w:p w14:paraId="6A3E5D51" w14:textId="42691145" w:rsidR="00EA6218" w:rsidRDefault="0DE8C684">
      <w:pPr>
        <w:rPr>
          <w:lang w:val="en-GB"/>
        </w:rPr>
      </w:pPr>
      <w:r>
        <w:rPr>
          <w:lang w:val="en-GB"/>
        </w:rPr>
        <w:lastRenderedPageBreak/>
        <w:t>What is now the EU was established in 1957 by the ‘Treaty of Rome’, also known as the EEC Treaty.</w:t>
      </w:r>
      <w:r w:rsidR="00F21B21">
        <w:rPr>
          <w:rStyle w:val="FootnoteReference"/>
          <w:lang w:val="en-GB"/>
        </w:rPr>
        <w:footnoteReference w:id="17"/>
      </w:r>
      <w:r>
        <w:rPr>
          <w:lang w:val="en-GB"/>
        </w:rPr>
        <w:t xml:space="preserve">  That treaty was amended several times and the name of the organisation was shortened to the European Community (EC), reflecting an ambition for it not solely to be about economic integration.</w:t>
      </w:r>
      <w:r w:rsidR="00F21B21">
        <w:rPr>
          <w:rStyle w:val="FootnoteReference"/>
          <w:lang w:val="en-GB"/>
        </w:rPr>
        <w:footnoteReference w:id="18"/>
      </w:r>
      <w:r>
        <w:rPr>
          <w:lang w:val="en-GB"/>
        </w:rPr>
        <w:t xml:space="preserve">  In 1992 the ‘Maastricht Treaty’</w:t>
      </w:r>
      <w:r w:rsidR="00F21B21">
        <w:rPr>
          <w:rStyle w:val="FootnoteReference"/>
          <w:lang w:val="en-GB"/>
        </w:rPr>
        <w:footnoteReference w:id="19"/>
      </w:r>
      <w:r>
        <w:rPr>
          <w:lang w:val="en-GB"/>
        </w:rPr>
        <w:t xml:space="preserve"> added the Treaty on European (TEU) alongside the Treaty of Rome (</w:t>
      </w:r>
      <w:r w:rsidR="000F28C2">
        <w:rPr>
          <w:lang w:val="en-GB"/>
        </w:rPr>
        <w:t xml:space="preserve">the latter </w:t>
      </w:r>
      <w:r>
        <w:rPr>
          <w:lang w:val="en-GB"/>
        </w:rPr>
        <w:t>by now usually referred to as the ‘Treaty Establishing the European Community’ or TEC).  The present treaty arrangements, with the TFEU and TEU, still reflect to a certain degree the separation of ‘EC’ business from ‘EU’ business as established at Maastricht.  This is important because the Maastricht arrangements created an overarching ‘three-pillar’ structure for the EU, with the EC as its first pillar and two new pillars: one on Common Foreign and Security Policy (CFSP); and the other on Justice and Home Affairs (then JHA).  The third pillar was subsequently re-named ‘Polic</w:t>
      </w:r>
      <w:r w:rsidR="00263C52">
        <w:rPr>
          <w:lang w:val="en-GB"/>
        </w:rPr>
        <w:t>e</w:t>
      </w:r>
      <w:r>
        <w:rPr>
          <w:lang w:val="en-GB"/>
        </w:rPr>
        <w:t xml:space="preserve"> and Judicial Cooperation in Criminal Matters’ (PJCC).</w:t>
      </w:r>
    </w:p>
    <w:p w14:paraId="52E56223" w14:textId="77777777" w:rsidR="00EA6218" w:rsidRDefault="00EA6218">
      <w:pPr>
        <w:rPr>
          <w:lang w:val="en-GB"/>
        </w:rPr>
      </w:pPr>
    </w:p>
    <w:p w14:paraId="220C140E" w14:textId="11788795" w:rsidR="00EA6218" w:rsidRDefault="00F21B21">
      <w:pPr>
        <w:rPr>
          <w:lang w:val="en-GB"/>
        </w:rPr>
      </w:pPr>
      <w:r>
        <w:rPr>
          <w:lang w:val="en-GB"/>
        </w:rPr>
        <w:t>The decision to keep the three pillars of the EU separate was due to concerns about pooling sovereignty on the topics covered by the second and third pillar</w:t>
      </w:r>
      <w:r w:rsidR="00C8309E">
        <w:rPr>
          <w:lang w:val="en-GB"/>
        </w:rPr>
        <w:t>s</w:t>
      </w:r>
      <w:r>
        <w:rPr>
          <w:lang w:val="en-GB"/>
        </w:rPr>
        <w:t xml:space="preserve">.  European integration </w:t>
      </w:r>
      <w:r w:rsidR="00C8309E">
        <w:rPr>
          <w:lang w:val="en-GB"/>
        </w:rPr>
        <w:t>o</w:t>
      </w:r>
      <w:r>
        <w:rPr>
          <w:lang w:val="en-GB"/>
        </w:rPr>
        <w:t xml:space="preserve">n those topics was to be approached more cautiously, with fewer legal powers available to the EU in respect of them.  Formally speaking, the Lisbon Treaty abolished the pillar structure, but we shall see that its legacy is still clearly visible.  For example, the EU is still prohibited from adopting any legislative acts whatsoever in relation to the CFSP.  The Lisbon Treaty also renamed the former PJCC to ‘The Area of Freedom, Security and Justice’.  </w:t>
      </w:r>
    </w:p>
    <w:p w14:paraId="07547A01" w14:textId="77777777" w:rsidR="00EA6218" w:rsidRDefault="00EA6218">
      <w:pPr>
        <w:rPr>
          <w:lang w:val="en-GB"/>
        </w:rPr>
      </w:pPr>
    </w:p>
    <w:p w14:paraId="283DA7AE" w14:textId="77777777" w:rsidR="00EA6218" w:rsidRDefault="00F21B21">
      <w:pPr>
        <w:rPr>
          <w:lang w:val="en-GB"/>
        </w:rPr>
      </w:pPr>
      <w:r>
        <w:rPr>
          <w:lang w:val="en-GB"/>
        </w:rPr>
        <w:t xml:space="preserve">We now turn to the principle of ‘conferral’, the nature of the EU’s legislative acts, and the way that EU law is made.  This is necessary </w:t>
      </w:r>
      <w:proofErr w:type="gramStart"/>
      <w:r>
        <w:rPr>
          <w:lang w:val="en-GB"/>
        </w:rPr>
        <w:t>in order to</w:t>
      </w:r>
      <w:proofErr w:type="gramEnd"/>
      <w:r>
        <w:rPr>
          <w:lang w:val="en-GB"/>
        </w:rPr>
        <w:t xml:space="preserve"> understand what the EU can and </w:t>
      </w:r>
      <w:r>
        <w:rPr>
          <w:i/>
          <w:iCs/>
          <w:lang w:val="en-GB"/>
        </w:rPr>
        <w:t>cannot</w:t>
      </w:r>
      <w:r>
        <w:rPr>
          <w:lang w:val="en-GB"/>
        </w:rPr>
        <w:t xml:space="preserve"> do in relation to transitional justice and the </w:t>
      </w:r>
      <w:proofErr w:type="spellStart"/>
      <w:r>
        <w:rPr>
          <w:lang w:val="en-GB"/>
        </w:rPr>
        <w:t>RePAST</w:t>
      </w:r>
      <w:proofErr w:type="spellEnd"/>
      <w:r>
        <w:rPr>
          <w:lang w:val="en-GB"/>
        </w:rPr>
        <w:t xml:space="preserve"> states’ troubled past.</w:t>
      </w:r>
    </w:p>
    <w:p w14:paraId="5043CB0F" w14:textId="77777777" w:rsidR="00EA6218" w:rsidRDefault="00EA6218">
      <w:pPr>
        <w:rPr>
          <w:lang w:val="en-GB"/>
        </w:rPr>
      </w:pPr>
    </w:p>
    <w:p w14:paraId="5E37147C" w14:textId="070B57EE" w:rsidR="00EA6218" w:rsidRDefault="00F21B21">
      <w:pPr>
        <w:rPr>
          <w:lang w:val="en-GB"/>
        </w:rPr>
      </w:pPr>
      <w:r>
        <w:rPr>
          <w:lang w:val="en-GB"/>
        </w:rPr>
        <w:t>The principle of ‘conferral’ is simply the idea that the EU can only legislate or act on topics on which it has been specifically authorised to act.  The EU cannot autonomously extend its own authority.  Thus, it can be said that the TFEU and TEU ‘confer’ upon the EU the legal ‘competence’ to legislate or</w:t>
      </w:r>
      <w:r w:rsidR="00D44531">
        <w:rPr>
          <w:lang w:val="en-GB"/>
        </w:rPr>
        <w:t xml:space="preserve"> to</w:t>
      </w:r>
      <w:r>
        <w:rPr>
          <w:lang w:val="en-GB"/>
        </w:rPr>
        <w:t xml:space="preserve"> act on a finite range of </w:t>
      </w:r>
      <w:r w:rsidR="00D44531">
        <w:rPr>
          <w:lang w:val="en-GB"/>
        </w:rPr>
        <w:t>topics</w:t>
      </w:r>
      <w:r>
        <w:rPr>
          <w:lang w:val="en-GB"/>
        </w:rPr>
        <w:t xml:space="preserve">.  Every single EU legislative act must state within it the precise numbered article of the TFEU or TEU that provides the ‘legal </w:t>
      </w:r>
      <w:proofErr w:type="spellStart"/>
      <w:proofErr w:type="gramStart"/>
      <w:r>
        <w:rPr>
          <w:lang w:val="en-GB"/>
        </w:rPr>
        <w:t>basis’</w:t>
      </w:r>
      <w:proofErr w:type="spellEnd"/>
      <w:proofErr w:type="gramEnd"/>
      <w:r>
        <w:rPr>
          <w:lang w:val="en-GB"/>
        </w:rPr>
        <w:t xml:space="preserve"> to exercise the competence upon which it is claimed to be based.  If the EU overreaches, then the Court of Justice of the European Union (CJEU) may be called upon to annul the offending legislative act.  Crucially, the EU’s internal and external competences are totally separate and far from identical, </w:t>
      </w:r>
      <w:r w:rsidR="000D5835">
        <w:rPr>
          <w:lang w:val="en-GB"/>
        </w:rPr>
        <w:t xml:space="preserve">unfortunately </w:t>
      </w:r>
      <w:r>
        <w:rPr>
          <w:lang w:val="en-GB"/>
        </w:rPr>
        <w:t>thereby preventing anything like a universal EU approach to troubled pasts</w:t>
      </w:r>
      <w:r w:rsidR="000D5835">
        <w:rPr>
          <w:lang w:val="en-GB"/>
        </w:rPr>
        <w:t>, as we shall see further below</w:t>
      </w:r>
      <w:r>
        <w:rPr>
          <w:lang w:val="en-GB"/>
        </w:rPr>
        <w:t xml:space="preserve">.  </w:t>
      </w:r>
      <w:r>
        <w:rPr>
          <w:lang w:val="en-GB"/>
        </w:rPr>
        <w:lastRenderedPageBreak/>
        <w:t xml:space="preserve">Now we must clarify what we mean when we say ‘the EU’ </w:t>
      </w:r>
      <w:proofErr w:type="gramStart"/>
      <w:r>
        <w:rPr>
          <w:lang w:val="en-GB"/>
        </w:rPr>
        <w:t>in order to</w:t>
      </w:r>
      <w:proofErr w:type="gramEnd"/>
      <w:r>
        <w:rPr>
          <w:lang w:val="en-GB"/>
        </w:rPr>
        <w:t xml:space="preserve"> appreciate the complex process of making EU law.</w:t>
      </w:r>
    </w:p>
    <w:p w14:paraId="07459315" w14:textId="77777777" w:rsidR="00EA6218" w:rsidRDefault="00EA6218">
      <w:pPr>
        <w:rPr>
          <w:lang w:val="en-GB"/>
        </w:rPr>
      </w:pPr>
    </w:p>
    <w:p w14:paraId="5241A03A" w14:textId="77777777" w:rsidR="00EA6218" w:rsidRDefault="0DE8C684">
      <w:pPr>
        <w:rPr>
          <w:lang w:val="en-GB"/>
        </w:rPr>
      </w:pPr>
      <w:r>
        <w:rPr>
          <w:lang w:val="en-GB"/>
        </w:rPr>
        <w:t>The EU is comprised of several institutions, which each promote different, and indeed oppositional, perspectives.  The legislative process is designed with this in mind.  Legislation will usually begin with a proposal by the European Commission,</w:t>
      </w:r>
      <w:r w:rsidR="00F21B21">
        <w:rPr>
          <w:rStyle w:val="FootnoteReference"/>
          <w:lang w:val="en-GB"/>
        </w:rPr>
        <w:footnoteReference w:id="20"/>
      </w:r>
      <w:r>
        <w:rPr>
          <w:lang w:val="en-GB"/>
        </w:rPr>
        <w:t xml:space="preserve"> which is led by a ‘College of Commissioners’ appointed, not elected, to it.  The Commission essentially provides the EU’s day-to-day political leadership, with occasional summits of the European Council, comprised of Member States’ heads of government,</w:t>
      </w:r>
      <w:r w:rsidR="00F21B21">
        <w:rPr>
          <w:rStyle w:val="FootnoteReference"/>
          <w:lang w:val="en-GB"/>
        </w:rPr>
        <w:footnoteReference w:id="21"/>
      </w:r>
      <w:r>
        <w:rPr>
          <w:lang w:val="en-GB"/>
        </w:rPr>
        <w:t xml:space="preserve"> setting the ‘big picture’.  The Commission’s role is to promote and to facilitate European integration. Whilst the Commission can propose legislation, it must be approved elsewhere to become law.  In the early days of the EU (then EEC), the Council normally had the final say.</w:t>
      </w:r>
      <w:r w:rsidR="00F21B21">
        <w:rPr>
          <w:rStyle w:val="FootnoteReference"/>
          <w:lang w:val="en-GB"/>
        </w:rPr>
        <w:footnoteReference w:id="22"/>
      </w:r>
      <w:r>
        <w:rPr>
          <w:lang w:val="en-GB"/>
        </w:rPr>
        <w:t xml:space="preserve">  </w:t>
      </w:r>
    </w:p>
    <w:p w14:paraId="6537F28F" w14:textId="77777777" w:rsidR="00EA6218" w:rsidRDefault="00EA6218">
      <w:pPr>
        <w:rPr>
          <w:lang w:val="en-GB"/>
        </w:rPr>
      </w:pPr>
    </w:p>
    <w:p w14:paraId="4BF618A5" w14:textId="77777777" w:rsidR="00EA6218" w:rsidRDefault="00F21B21">
      <w:pPr>
        <w:rPr>
          <w:lang w:val="en-GB"/>
        </w:rPr>
      </w:pPr>
      <w:r>
        <w:rPr>
          <w:lang w:val="en-GB"/>
        </w:rPr>
        <w:t>The Council (which is not the same as the European Council), is comprised of national politicians at ministerial level.  The precise composition of the Council changes according to the topic on which legislation is proposed.  So, if the issue is transport, the Council will comprise the Member States’ transport ministers.  When the topic is the Common Foreign and Security Policy then it meets as the Foreign Affairs Council, comprised of all the Member States’ foreign ministers.  And so on.  The idea is that the Commission will promote European integration, but the Council safeguards national sovereignty.  This central tension forms the backbone of the legislative process.</w:t>
      </w:r>
    </w:p>
    <w:p w14:paraId="6DFB9E20" w14:textId="77777777" w:rsidR="00EA6218" w:rsidRDefault="00EA6218">
      <w:pPr>
        <w:rPr>
          <w:lang w:val="en-GB"/>
        </w:rPr>
      </w:pPr>
    </w:p>
    <w:p w14:paraId="4DD0642C" w14:textId="77777777" w:rsidR="00EA6218" w:rsidRDefault="0DE8C684">
      <w:pPr>
        <w:rPr>
          <w:lang w:val="en-GB"/>
        </w:rPr>
      </w:pPr>
      <w:r>
        <w:rPr>
          <w:lang w:val="en-GB"/>
        </w:rPr>
        <w:t>The so-called ‘ordinary legislative procedure’</w:t>
      </w:r>
      <w:r w:rsidR="00F21B21">
        <w:rPr>
          <w:rStyle w:val="FootnoteReference"/>
          <w:lang w:val="en-GB"/>
        </w:rPr>
        <w:footnoteReference w:id="23"/>
      </w:r>
      <w:r>
        <w:rPr>
          <w:lang w:val="en-GB"/>
        </w:rPr>
        <w:t xml:space="preserve"> today also requires that the European Parliament give its express approval to any legislation proposed.  When the EEC was created it had only a ‘European Assembly’ and not a Parliament, and its members were all also national members of parliament (MPs).  It first held direct elections in 1979, after an amendment to the TEC.  With its greater political legitimacy its power has increased with each successive reform of the EU.  However, the European Parliament is still not the exclusive, or even the main, player in the EU legislative process.  It can be said that it is part of a ‘legislative triangle’ where each of the three legislative actors represents a different, and as noted above, often oppositional, set of interests:  the Commission continues to promote European integration; the Council continues to represent the Member States’ interests </w:t>
      </w:r>
      <w:r>
        <w:rPr>
          <w:lang w:val="en-GB"/>
        </w:rPr>
        <w:lastRenderedPageBreak/>
        <w:t>(both collectively, and often separately); and the Parliament represents the people of Europe (albeit often on a very low electoral turnout).</w:t>
      </w:r>
      <w:r w:rsidR="00F21B21">
        <w:rPr>
          <w:rStyle w:val="FootnoteReference"/>
          <w:lang w:val="en-GB"/>
        </w:rPr>
        <w:footnoteReference w:id="24"/>
      </w:r>
      <w:r>
        <w:rPr>
          <w:lang w:val="en-GB"/>
        </w:rPr>
        <w:t xml:space="preserve"> </w:t>
      </w:r>
    </w:p>
    <w:p w14:paraId="70DF9E56" w14:textId="77777777" w:rsidR="00EA6218" w:rsidRDefault="00EA6218">
      <w:pPr>
        <w:rPr>
          <w:lang w:val="en-GB"/>
        </w:rPr>
      </w:pPr>
    </w:p>
    <w:p w14:paraId="2371C564" w14:textId="77777777" w:rsidR="00EA6218" w:rsidRDefault="0DE8C684">
      <w:pPr>
        <w:rPr>
          <w:lang w:val="en-GB"/>
        </w:rPr>
      </w:pPr>
      <w:r>
        <w:rPr>
          <w:lang w:val="en-GB"/>
        </w:rPr>
        <w:t>Finally in this section, we shall introduce different types of EU legislative acts.  This is so that in what follows we can understand what does or does not constitute ‘EU law’.  There are three types of legislative act: Regulations, Directives, and Decisions.</w:t>
      </w:r>
      <w:r w:rsidR="00F21B21">
        <w:rPr>
          <w:rStyle w:val="FootnoteReference"/>
          <w:lang w:val="en-GB"/>
        </w:rPr>
        <w:footnoteReference w:id="25"/>
      </w:r>
      <w:r>
        <w:rPr>
          <w:lang w:val="en-GB"/>
        </w:rPr>
        <w:t xml:space="preserve">  Different legal bases confer the power to adopt specific types of legislative act only.  If the institutions attempt to enact the wrong type of legislative act, or even use the wrong legislative process, then the resulting act can also be challenged at the CJEU.</w:t>
      </w:r>
      <w:r w:rsidR="00F21B21">
        <w:rPr>
          <w:rStyle w:val="FootnoteReference"/>
          <w:lang w:val="en-GB"/>
        </w:rPr>
        <w:footnoteReference w:id="26"/>
      </w:r>
      <w:r>
        <w:rPr>
          <w:lang w:val="en-GB"/>
        </w:rPr>
        <w:t xml:space="preserve">  </w:t>
      </w:r>
    </w:p>
    <w:p w14:paraId="44E871BC" w14:textId="77777777" w:rsidR="00EA6218" w:rsidRDefault="00EA6218">
      <w:pPr>
        <w:rPr>
          <w:lang w:val="en-GB"/>
        </w:rPr>
      </w:pPr>
    </w:p>
    <w:p w14:paraId="39CDE800" w14:textId="77777777" w:rsidR="00EA6218" w:rsidRDefault="0DE8C684">
      <w:pPr>
        <w:rPr>
          <w:lang w:val="en-GB"/>
        </w:rPr>
      </w:pPr>
      <w:r>
        <w:rPr>
          <w:lang w:val="en-GB"/>
        </w:rPr>
        <w:t>Regulations are straightforwardly binding upon Member States and represent the most powerful form of EU law.  They can be invoked in national legal proceedings without the further involvement of Member States’ own law-making institutions (they are ‘directly applicable’).</w:t>
      </w:r>
      <w:r w:rsidR="00F21B21">
        <w:rPr>
          <w:rStyle w:val="FootnoteReference"/>
          <w:lang w:val="en-GB"/>
        </w:rPr>
        <w:footnoteReference w:id="27"/>
      </w:r>
      <w:r>
        <w:rPr>
          <w:lang w:val="en-GB"/>
        </w:rPr>
        <w:t xml:space="preserve">  Many will be familiar, for example, with the dreaded ‘General Data Protection Regulation’ or GDPR.</w:t>
      </w:r>
      <w:r w:rsidR="00F21B21">
        <w:rPr>
          <w:rStyle w:val="FootnoteReference"/>
          <w:lang w:val="en-GB"/>
        </w:rPr>
        <w:footnoteReference w:id="28"/>
      </w:r>
      <w:r>
        <w:rPr>
          <w:lang w:val="en-GB"/>
        </w:rPr>
        <w:t xml:space="preserve">  Below we shall see various Regulations that have been adopted in order to establish financial instruments to disburse the EU’s budget in particular areas of policy, such as Regulation (EU) 2021/692 of the European Parliament and of the Council of 28 April 2021 establishing the Citizens, Equality, Rights and Values Programme.</w:t>
      </w:r>
      <w:r w:rsidR="00F21B21">
        <w:rPr>
          <w:rStyle w:val="FootnoteReference"/>
          <w:lang w:val="en-GB"/>
        </w:rPr>
        <w:footnoteReference w:id="29"/>
      </w:r>
      <w:r>
        <w:rPr>
          <w:lang w:val="en-GB"/>
        </w:rPr>
        <w:t xml:space="preserve"> </w:t>
      </w:r>
    </w:p>
    <w:p w14:paraId="144A5D23" w14:textId="77777777" w:rsidR="00EA6218" w:rsidRDefault="00EA6218">
      <w:pPr>
        <w:rPr>
          <w:lang w:val="en-GB"/>
        </w:rPr>
      </w:pPr>
    </w:p>
    <w:p w14:paraId="3146598C" w14:textId="42B981BC" w:rsidR="00EA6218" w:rsidRDefault="0DE8C684">
      <w:pPr>
        <w:rPr>
          <w:lang w:val="en-GB"/>
        </w:rPr>
      </w:pPr>
      <w:r>
        <w:rPr>
          <w:lang w:val="en-GB"/>
        </w:rPr>
        <w:t>Directives bind Member States as to a particular objective, but they leave some discretion as to the means of achieving it.</w:t>
      </w:r>
      <w:r w:rsidR="00F21B21">
        <w:rPr>
          <w:rStyle w:val="FootnoteReference"/>
          <w:lang w:val="en-GB"/>
        </w:rPr>
        <w:footnoteReference w:id="30"/>
      </w:r>
      <w:r>
        <w:rPr>
          <w:lang w:val="en-GB"/>
        </w:rPr>
        <w:t xml:space="preserve">  They set a deadline for being ‘transposed’ into national law, after the passing of which under certain conditions specific parts of them may be invoked in national legal proceedings </w:t>
      </w:r>
      <w:proofErr w:type="gramStart"/>
      <w:r>
        <w:rPr>
          <w:lang w:val="en-GB"/>
        </w:rPr>
        <w:lastRenderedPageBreak/>
        <w:t>whether or not</w:t>
      </w:r>
      <w:proofErr w:type="gramEnd"/>
      <w:r>
        <w:rPr>
          <w:lang w:val="en-GB"/>
        </w:rPr>
        <w:t xml:space="preserve"> they have been transposed.  This is the principle of ‘direct effect’, first established in the seminal </w:t>
      </w:r>
      <w:r w:rsidRPr="0DE8C684">
        <w:rPr>
          <w:i/>
          <w:iCs/>
          <w:lang w:val="en-GB"/>
        </w:rPr>
        <w:t xml:space="preserve">Van </w:t>
      </w:r>
      <w:proofErr w:type="spellStart"/>
      <w:r w:rsidRPr="0DE8C684">
        <w:rPr>
          <w:i/>
          <w:iCs/>
          <w:lang w:val="en-GB"/>
        </w:rPr>
        <w:t>Gend</w:t>
      </w:r>
      <w:proofErr w:type="spellEnd"/>
      <w:r w:rsidRPr="0DE8C684">
        <w:rPr>
          <w:i/>
          <w:iCs/>
          <w:lang w:val="en-GB"/>
        </w:rPr>
        <w:t xml:space="preserve"> </w:t>
      </w:r>
      <w:proofErr w:type="spellStart"/>
      <w:r w:rsidRPr="0DE8C684">
        <w:rPr>
          <w:i/>
          <w:iCs/>
          <w:lang w:val="en-GB"/>
        </w:rPr>
        <w:t>en</w:t>
      </w:r>
      <w:proofErr w:type="spellEnd"/>
      <w:r w:rsidRPr="0DE8C684">
        <w:rPr>
          <w:i/>
          <w:iCs/>
          <w:lang w:val="en-GB"/>
        </w:rPr>
        <w:t xml:space="preserve"> Loos</w:t>
      </w:r>
      <w:r>
        <w:rPr>
          <w:lang w:val="en-GB"/>
        </w:rPr>
        <w:t xml:space="preserve"> judgment of the CJEU.</w:t>
      </w:r>
      <w:r w:rsidR="00F21B21">
        <w:rPr>
          <w:rStyle w:val="FootnoteReference"/>
          <w:lang w:val="en-GB"/>
        </w:rPr>
        <w:footnoteReference w:id="31"/>
      </w:r>
      <w:r>
        <w:rPr>
          <w:lang w:val="en-GB"/>
        </w:rPr>
        <w:t xml:space="preserve">  </w:t>
      </w:r>
    </w:p>
    <w:p w14:paraId="738610EB" w14:textId="77777777" w:rsidR="00EA6218" w:rsidRDefault="00EA6218">
      <w:pPr>
        <w:rPr>
          <w:lang w:val="en-GB"/>
        </w:rPr>
      </w:pPr>
    </w:p>
    <w:p w14:paraId="6F31A1A5" w14:textId="77777777" w:rsidR="00EA6218" w:rsidRDefault="0DE8C684">
      <w:pPr>
        <w:rPr>
          <w:lang w:val="en-GB"/>
        </w:rPr>
      </w:pPr>
      <w:r>
        <w:rPr>
          <w:lang w:val="en-GB"/>
        </w:rPr>
        <w:t>Decisions issued by the EU institutions are binding upon to whomever they are addressed.</w:t>
      </w:r>
      <w:r w:rsidR="00F21B21">
        <w:rPr>
          <w:rStyle w:val="FootnoteReference"/>
          <w:lang w:val="en-GB"/>
        </w:rPr>
        <w:footnoteReference w:id="32"/>
      </w:r>
      <w:r>
        <w:rPr>
          <w:lang w:val="en-GB"/>
        </w:rPr>
        <w:t xml:space="preserve">  For example, the Commission is empowered to take Decisions as to whether companies have violated EU competition law.</w:t>
      </w:r>
    </w:p>
    <w:p w14:paraId="637805D2" w14:textId="77777777" w:rsidR="00EA6218" w:rsidRDefault="00EA6218">
      <w:pPr>
        <w:rPr>
          <w:lang w:val="en-GB"/>
        </w:rPr>
      </w:pPr>
    </w:p>
    <w:p w14:paraId="7F2FBBD8" w14:textId="77777777" w:rsidR="00EA6218" w:rsidRDefault="00F21B21">
      <w:pPr>
        <w:pStyle w:val="Heading1"/>
        <w:numPr>
          <w:ilvl w:val="0"/>
          <w:numId w:val="32"/>
        </w:numPr>
        <w:spacing w:before="120" w:line="240" w:lineRule="auto"/>
        <w:rPr>
          <w:rFonts w:asciiTheme="minorHAnsi" w:hAnsiTheme="minorHAnsi" w:cstheme="minorHAnsi"/>
          <w:sz w:val="24"/>
          <w:szCs w:val="24"/>
          <w:lang w:val="en-GB"/>
        </w:rPr>
      </w:pPr>
      <w:bookmarkStart w:id="3" w:name="_Toc96862360"/>
      <w:r>
        <w:rPr>
          <w:rFonts w:asciiTheme="minorHAnsi" w:hAnsiTheme="minorHAnsi" w:cstheme="minorHAnsi"/>
          <w:sz w:val="24"/>
          <w:szCs w:val="24"/>
          <w:lang w:val="en-GB"/>
        </w:rPr>
        <w:t>EU Citizenship and ‘Remembrance’</w:t>
      </w:r>
      <w:bookmarkEnd w:id="3"/>
    </w:p>
    <w:p w14:paraId="463F29E8" w14:textId="77777777" w:rsidR="00EA6218" w:rsidRDefault="00EA6218">
      <w:pPr>
        <w:spacing w:line="240" w:lineRule="auto"/>
        <w:jc w:val="left"/>
        <w:rPr>
          <w:rFonts w:asciiTheme="minorHAnsi" w:eastAsia="Arial" w:hAnsiTheme="minorHAnsi" w:cstheme="minorHAnsi"/>
          <w:lang w:val="en-GB" w:eastAsia="en-GB"/>
        </w:rPr>
      </w:pPr>
    </w:p>
    <w:p w14:paraId="7B929A7C" w14:textId="50E8A3FF" w:rsidR="00EA6218" w:rsidRDefault="0DE8C684" w:rsidP="0060551B">
      <w:pPr>
        <w:rPr>
          <w:lang w:val="en-GB"/>
        </w:rPr>
      </w:pPr>
      <w:r>
        <w:rPr>
          <w:lang w:val="en-GB"/>
        </w:rPr>
        <w:t xml:space="preserve">Within the field of transitional justice, historical accounting or ‘historical justice’ holds an especially important position.  </w:t>
      </w:r>
      <w:r w:rsidR="0060551B">
        <w:rPr>
          <w:lang w:val="en-GB"/>
        </w:rPr>
        <w:t>The claim, as Ruti Teitel observed, ‘</w:t>
      </w:r>
      <w:r w:rsidR="000F1704">
        <w:rPr>
          <w:lang w:val="en-GB"/>
        </w:rPr>
        <w:t>i</w:t>
      </w:r>
      <w:r w:rsidR="0060551B" w:rsidRPr="0060551B">
        <w:rPr>
          <w:lang w:val="en-GB"/>
        </w:rPr>
        <w:t>s that establishing the</w:t>
      </w:r>
      <w:r w:rsidR="0060551B">
        <w:rPr>
          <w:lang w:val="en-GB"/>
        </w:rPr>
        <w:t xml:space="preserve"> </w:t>
      </w:r>
      <w:r w:rsidR="0060551B" w:rsidRPr="0060551B">
        <w:rPr>
          <w:lang w:val="en-GB"/>
        </w:rPr>
        <w:t>“truth” about the state’s past wrongs, like successor constitutions or trials, can</w:t>
      </w:r>
      <w:r w:rsidR="00616F5E">
        <w:rPr>
          <w:lang w:val="en-GB"/>
        </w:rPr>
        <w:t xml:space="preserve"> </w:t>
      </w:r>
      <w:r w:rsidR="0060551B" w:rsidRPr="0060551B">
        <w:rPr>
          <w:lang w:val="en-GB"/>
        </w:rPr>
        <w:t>serve to lay the foundation of the new political order</w:t>
      </w:r>
      <w:r w:rsidR="00616F5E">
        <w:rPr>
          <w:lang w:val="en-GB"/>
        </w:rPr>
        <w:t>’.</w:t>
      </w:r>
      <w:r w:rsidR="000F1704">
        <w:rPr>
          <w:rStyle w:val="FootnoteReference"/>
          <w:lang w:val="en-GB"/>
        </w:rPr>
        <w:footnoteReference w:id="33"/>
      </w:r>
      <w:r w:rsidR="00616F5E">
        <w:rPr>
          <w:lang w:val="en-GB"/>
        </w:rPr>
        <w:t xml:space="preserve">  </w:t>
      </w:r>
      <w:r w:rsidR="00321902">
        <w:rPr>
          <w:lang w:val="en-GB"/>
        </w:rPr>
        <w:t xml:space="preserve">This </w:t>
      </w:r>
      <w:r w:rsidR="000F1704">
        <w:rPr>
          <w:lang w:val="en-GB"/>
        </w:rPr>
        <w:t xml:space="preserve">(albeit contested) </w:t>
      </w:r>
      <w:r w:rsidR="00321902">
        <w:rPr>
          <w:lang w:val="en-GB"/>
        </w:rPr>
        <w:t>observation allows us to identify E</w:t>
      </w:r>
      <w:r w:rsidR="006E3987">
        <w:rPr>
          <w:lang w:val="en-GB"/>
        </w:rPr>
        <w:t>U</w:t>
      </w:r>
      <w:r w:rsidR="00321902">
        <w:rPr>
          <w:lang w:val="en-GB"/>
        </w:rPr>
        <w:t xml:space="preserve"> </w:t>
      </w:r>
      <w:r w:rsidR="00764E65">
        <w:rPr>
          <w:lang w:val="en-GB"/>
        </w:rPr>
        <w:t>policy towards what it terms ‘remembrance’ as an element of</w:t>
      </w:r>
      <w:r w:rsidR="00F746BB">
        <w:rPr>
          <w:lang w:val="en-GB"/>
        </w:rPr>
        <w:t xml:space="preserve"> its approach to </w:t>
      </w:r>
      <w:r w:rsidR="008244CE">
        <w:rPr>
          <w:lang w:val="en-GB"/>
        </w:rPr>
        <w:t>‘</w:t>
      </w:r>
      <w:r w:rsidR="00F746BB">
        <w:rPr>
          <w:lang w:val="en-GB"/>
        </w:rPr>
        <w:t>troubled pasts</w:t>
      </w:r>
      <w:r w:rsidR="008244CE">
        <w:rPr>
          <w:lang w:val="en-GB"/>
        </w:rPr>
        <w:t>’</w:t>
      </w:r>
      <w:r w:rsidR="00E56D80">
        <w:rPr>
          <w:lang w:val="en-GB"/>
        </w:rPr>
        <w:t xml:space="preserve">, and opens the door to </w:t>
      </w:r>
      <w:r w:rsidR="002A23B1">
        <w:rPr>
          <w:lang w:val="en-GB"/>
        </w:rPr>
        <w:t xml:space="preserve">applying </w:t>
      </w:r>
      <w:r w:rsidR="00E56D80">
        <w:rPr>
          <w:lang w:val="en-GB"/>
        </w:rPr>
        <w:t xml:space="preserve">critical insights from the field of transitional justice.  </w:t>
      </w:r>
      <w:r w:rsidR="00C638D7" w:rsidRPr="00027FEC">
        <w:rPr>
          <w:lang w:val="en-GB"/>
        </w:rPr>
        <w:t>Relatedly, t</w:t>
      </w:r>
      <w:r w:rsidRPr="00027FEC">
        <w:rPr>
          <w:lang w:val="en-GB"/>
        </w:rPr>
        <w:t>he claim has been made that</w:t>
      </w:r>
      <w:r w:rsidR="0090156A" w:rsidRPr="00027FEC">
        <w:rPr>
          <w:lang w:val="en-GB"/>
        </w:rPr>
        <w:t xml:space="preserve"> promoting</w:t>
      </w:r>
      <w:r w:rsidR="00280B07" w:rsidRPr="00027FEC">
        <w:rPr>
          <w:lang w:val="en-GB"/>
        </w:rPr>
        <w:t xml:space="preserve"> </w:t>
      </w:r>
      <w:r w:rsidR="009A4E7C" w:rsidRPr="00027FEC">
        <w:rPr>
          <w:lang w:val="en-GB"/>
        </w:rPr>
        <w:t xml:space="preserve">a truly </w:t>
      </w:r>
      <w:r w:rsidR="009A4E7C" w:rsidRPr="00027FEC">
        <w:rPr>
          <w:i/>
          <w:iCs/>
          <w:lang w:val="en-GB"/>
        </w:rPr>
        <w:t>European</w:t>
      </w:r>
      <w:r w:rsidR="009A4E7C" w:rsidRPr="00027FEC">
        <w:rPr>
          <w:lang w:val="en-GB"/>
        </w:rPr>
        <w:t xml:space="preserve"> form of remembrance and a shared ‘European</w:t>
      </w:r>
      <w:r w:rsidR="009A4E7C" w:rsidRPr="00027FEC">
        <w:rPr>
          <w:i/>
          <w:iCs/>
          <w:lang w:val="en-GB"/>
        </w:rPr>
        <w:t xml:space="preserve"> </w:t>
      </w:r>
      <w:r w:rsidR="009A4E7C" w:rsidRPr="00027FEC">
        <w:rPr>
          <w:lang w:val="en-GB"/>
        </w:rPr>
        <w:t>memory</w:t>
      </w:r>
      <w:r w:rsidR="009A4E7C" w:rsidRPr="00027FEC">
        <w:rPr>
          <w:rStyle w:val="FootnoteReference"/>
          <w:lang w:val="en-GB"/>
        </w:rPr>
        <w:footnoteReference w:id="34"/>
      </w:r>
      <w:r w:rsidR="00280B07" w:rsidRPr="00027FEC">
        <w:rPr>
          <w:lang w:val="en-GB"/>
        </w:rPr>
        <w:t xml:space="preserve"> encompassing Member States’ troubled pasts</w:t>
      </w:r>
      <w:r w:rsidR="0076195D" w:rsidRPr="00027FEC">
        <w:rPr>
          <w:lang w:val="en-GB"/>
        </w:rPr>
        <w:t xml:space="preserve">, will </w:t>
      </w:r>
      <w:r w:rsidR="00027FEC" w:rsidRPr="00027FEC">
        <w:rPr>
          <w:lang w:val="en-GB"/>
        </w:rPr>
        <w:t xml:space="preserve">increase European citizens’ identification with the EU.  </w:t>
      </w:r>
      <w:r w:rsidR="00600864" w:rsidRPr="00027FEC">
        <w:rPr>
          <w:lang w:val="en-GB"/>
        </w:rPr>
        <w:t xml:space="preserve">This section </w:t>
      </w:r>
      <w:r w:rsidR="00A748F5" w:rsidRPr="00027FEC">
        <w:rPr>
          <w:lang w:val="en-GB"/>
        </w:rPr>
        <w:t>examines</w:t>
      </w:r>
      <w:r w:rsidR="006660A5" w:rsidRPr="00027FEC">
        <w:rPr>
          <w:lang w:val="en-GB"/>
        </w:rPr>
        <w:t xml:space="preserve"> EU ‘remembrance’ policies and practices, </w:t>
      </w:r>
      <w:r w:rsidR="00BB2C0C" w:rsidRPr="00027FEC">
        <w:rPr>
          <w:lang w:val="en-GB"/>
        </w:rPr>
        <w:t>their connection to</w:t>
      </w:r>
      <w:r w:rsidR="00BC1ACE" w:rsidRPr="00027FEC">
        <w:rPr>
          <w:lang w:val="en-GB"/>
        </w:rPr>
        <w:t xml:space="preserve"> the notion of European identity, </w:t>
      </w:r>
      <w:r w:rsidR="006660A5" w:rsidRPr="00027FEC">
        <w:rPr>
          <w:lang w:val="en-GB"/>
        </w:rPr>
        <w:t xml:space="preserve">and </w:t>
      </w:r>
      <w:r w:rsidR="002A20C9" w:rsidRPr="00027FEC">
        <w:rPr>
          <w:lang w:val="en-GB"/>
        </w:rPr>
        <w:t xml:space="preserve">their </w:t>
      </w:r>
      <w:r w:rsidR="006660A5" w:rsidRPr="00027FEC">
        <w:rPr>
          <w:lang w:val="en-GB"/>
        </w:rPr>
        <w:t>foundation upon the notion of EU citizenship.</w:t>
      </w:r>
    </w:p>
    <w:p w14:paraId="56D5AF02" w14:textId="77777777" w:rsidR="00752E65" w:rsidRDefault="00752E65" w:rsidP="0060551B">
      <w:pPr>
        <w:rPr>
          <w:lang w:val="en-GB"/>
        </w:rPr>
      </w:pPr>
    </w:p>
    <w:p w14:paraId="27BB4852" w14:textId="2A80F80D" w:rsidR="00EA6218" w:rsidRDefault="0DE8C684">
      <w:pPr>
        <w:rPr>
          <w:lang w:val="en-GB"/>
        </w:rPr>
      </w:pPr>
      <w:r>
        <w:rPr>
          <w:lang w:val="en-GB"/>
        </w:rPr>
        <w:t xml:space="preserve">The first major step </w:t>
      </w:r>
      <w:r w:rsidR="008A1C58">
        <w:rPr>
          <w:lang w:val="en-GB"/>
        </w:rPr>
        <w:t xml:space="preserve">towards </w:t>
      </w:r>
      <w:r w:rsidR="00E93DA1">
        <w:rPr>
          <w:lang w:val="en-GB"/>
        </w:rPr>
        <w:t>greater promotion of a European</w:t>
      </w:r>
      <w:r w:rsidR="00AF2FD9">
        <w:rPr>
          <w:lang w:val="en-GB"/>
        </w:rPr>
        <w:t xml:space="preserve"> identity through common approaches to heritage and history </w:t>
      </w:r>
      <w:r>
        <w:rPr>
          <w:lang w:val="en-GB"/>
        </w:rPr>
        <w:t>was the Copenhagen Declaration on European Identity of 1973.</w:t>
      </w:r>
      <w:r w:rsidR="00F21B21">
        <w:rPr>
          <w:rStyle w:val="FootnoteReference"/>
          <w:lang w:val="en-GB"/>
        </w:rPr>
        <w:footnoteReference w:id="35"/>
      </w:r>
      <w:r>
        <w:rPr>
          <w:lang w:val="en-GB"/>
        </w:rPr>
        <w:t xml:space="preserve">  The Declaration was promulgated by the Heads of State of the then nine Member States</w:t>
      </w:r>
      <w:r w:rsidR="00BB11A6">
        <w:rPr>
          <w:lang w:val="en-GB"/>
        </w:rPr>
        <w:t xml:space="preserve">. </w:t>
      </w:r>
      <w:r>
        <w:rPr>
          <w:lang w:val="en-GB"/>
        </w:rPr>
        <w:t xml:space="preserve"> In it the </w:t>
      </w:r>
      <w:r w:rsidR="0040655C">
        <w:rPr>
          <w:lang w:val="en-GB"/>
        </w:rPr>
        <w:t>Heads of State</w:t>
      </w:r>
      <w:r>
        <w:rPr>
          <w:lang w:val="en-GB"/>
        </w:rPr>
        <w:t xml:space="preserve"> proclaimed that defining ‘European identity’ involves,</w:t>
      </w:r>
    </w:p>
    <w:p w14:paraId="4F53273B" w14:textId="77777777" w:rsidR="00EA6218" w:rsidRDefault="00F21B21">
      <w:pPr>
        <w:ind w:left="720"/>
        <w:rPr>
          <w:lang w:val="en-GB"/>
        </w:rPr>
      </w:pPr>
      <w:r>
        <w:rPr>
          <w:lang w:val="en-GB"/>
        </w:rPr>
        <w:t>— reviewing the common heritage, interests and special obligations of the Nine, as well as the degree of unity so far achieved within the Community,</w:t>
      </w:r>
    </w:p>
    <w:p w14:paraId="6F129948" w14:textId="77777777" w:rsidR="00EA6218" w:rsidRDefault="00F21B21">
      <w:pPr>
        <w:ind w:left="720"/>
        <w:rPr>
          <w:lang w:val="en-GB"/>
        </w:rPr>
      </w:pPr>
      <w:r>
        <w:rPr>
          <w:lang w:val="en-GB"/>
        </w:rPr>
        <w:t>— assessing the extent to which the Nine are already acting together in relation to the rest of the world and the responsibilities which result from this,</w:t>
      </w:r>
    </w:p>
    <w:p w14:paraId="77CEAEB7" w14:textId="77777777" w:rsidR="00EA6218" w:rsidRDefault="00F21B21">
      <w:pPr>
        <w:ind w:left="720"/>
        <w:rPr>
          <w:lang w:val="en-GB"/>
        </w:rPr>
      </w:pPr>
      <w:r>
        <w:rPr>
          <w:lang w:val="en-GB"/>
        </w:rPr>
        <w:lastRenderedPageBreak/>
        <w:t>— taking into consideration the dynamic nature of European unification.</w:t>
      </w:r>
    </w:p>
    <w:p w14:paraId="17AD93B2" w14:textId="77777777" w:rsidR="00EA6218" w:rsidRDefault="00EA6218">
      <w:pPr>
        <w:ind w:left="720"/>
        <w:rPr>
          <w:lang w:val="en-GB"/>
        </w:rPr>
      </w:pPr>
    </w:p>
    <w:p w14:paraId="79CC4F3A" w14:textId="7E52C83F" w:rsidR="00EA6218" w:rsidRDefault="0DE8C684">
      <w:pPr>
        <w:rPr>
          <w:lang w:val="en-GB"/>
        </w:rPr>
      </w:pPr>
      <w:r>
        <w:rPr>
          <w:lang w:val="en-GB"/>
        </w:rPr>
        <w:t>The timing and motives of the Declaration are moot,</w:t>
      </w:r>
      <w:r w:rsidR="00F21B21">
        <w:rPr>
          <w:rStyle w:val="FootnoteReference"/>
          <w:lang w:val="en-GB"/>
        </w:rPr>
        <w:footnoteReference w:id="36"/>
      </w:r>
      <w:r>
        <w:rPr>
          <w:lang w:val="en-GB"/>
        </w:rPr>
        <w:t xml:space="preserve"> but of importance for this </w:t>
      </w:r>
      <w:r w:rsidR="00D7658A">
        <w:rPr>
          <w:lang w:val="en-GB"/>
        </w:rPr>
        <w:t xml:space="preserve">Working Paper </w:t>
      </w:r>
      <w:r>
        <w:rPr>
          <w:lang w:val="en-GB"/>
        </w:rPr>
        <w:t>is the purported connection between ‘</w:t>
      </w:r>
      <w:r w:rsidRPr="0DE8C684">
        <w:rPr>
          <w:i/>
          <w:iCs/>
          <w:lang w:val="en-GB"/>
        </w:rPr>
        <w:t>the</w:t>
      </w:r>
      <w:r>
        <w:rPr>
          <w:lang w:val="en-GB"/>
        </w:rPr>
        <w:t xml:space="preserve"> common heritage’ (singular) and ‘European identity’.  The linkage was implicit also in the subsequent 1975 Tindemans Report, which set out an ambitious possible future for European integration in the context of the economic malaise of the 1970s.</w:t>
      </w:r>
      <w:r w:rsidR="00F21B21">
        <w:rPr>
          <w:rStyle w:val="FootnoteReference"/>
          <w:lang w:val="en-GB"/>
        </w:rPr>
        <w:footnoteReference w:id="37"/>
      </w:r>
    </w:p>
    <w:p w14:paraId="0DE4B5B7" w14:textId="77777777" w:rsidR="00EA6218" w:rsidRDefault="00EA6218">
      <w:pPr>
        <w:rPr>
          <w:lang w:val="en-GB"/>
        </w:rPr>
      </w:pPr>
    </w:p>
    <w:p w14:paraId="0BE29018" w14:textId="04135C47" w:rsidR="00EA6218" w:rsidRDefault="0DE8C684">
      <w:pPr>
        <w:rPr>
          <w:lang w:val="en-GB"/>
        </w:rPr>
      </w:pPr>
      <w:proofErr w:type="spellStart"/>
      <w:r>
        <w:rPr>
          <w:lang w:val="en-GB"/>
        </w:rPr>
        <w:t>Littoz</w:t>
      </w:r>
      <w:proofErr w:type="spellEnd"/>
      <w:r>
        <w:rPr>
          <w:lang w:val="en-GB"/>
        </w:rPr>
        <w:t xml:space="preserve">-Monnet </w:t>
      </w:r>
      <w:r w:rsidR="000F49E0">
        <w:rPr>
          <w:lang w:val="en-GB"/>
        </w:rPr>
        <w:t>has observed that, just like in the Copenhagen Declaration,</w:t>
      </w:r>
      <w:r w:rsidR="00E15B78">
        <w:rPr>
          <w:lang w:val="en-GB"/>
        </w:rPr>
        <w:t xml:space="preserve"> </w:t>
      </w:r>
      <w:r>
        <w:rPr>
          <w:lang w:val="en-GB"/>
        </w:rPr>
        <w:t xml:space="preserve">the EU </w:t>
      </w:r>
      <w:r w:rsidR="00E15B78">
        <w:rPr>
          <w:lang w:val="en-GB"/>
        </w:rPr>
        <w:t xml:space="preserve">continues </w:t>
      </w:r>
      <w:r w:rsidR="00761E42">
        <w:rPr>
          <w:lang w:val="en-GB"/>
        </w:rPr>
        <w:t xml:space="preserve">to </w:t>
      </w:r>
      <w:r>
        <w:rPr>
          <w:lang w:val="en-GB"/>
        </w:rPr>
        <w:t>invoke remembrance as a ‘vector of identification’ with the EU.</w:t>
      </w:r>
      <w:r w:rsidR="00E15B78">
        <w:rPr>
          <w:rStyle w:val="FootnoteReference"/>
          <w:lang w:val="en-GB"/>
        </w:rPr>
        <w:footnoteReference w:id="38"/>
      </w:r>
      <w:r>
        <w:rPr>
          <w:lang w:val="en-GB"/>
        </w:rPr>
        <w:t xml:space="preserve">  She applies insights from agenda-setting and framing literature on the emergence and fluctuation of dominant ‘memory frames’</w:t>
      </w:r>
      <w:r w:rsidR="00E15B78">
        <w:rPr>
          <w:lang w:val="en-GB"/>
        </w:rPr>
        <w:t xml:space="preserve"> </w:t>
      </w:r>
      <w:r w:rsidR="0098494D">
        <w:rPr>
          <w:lang w:val="en-GB"/>
        </w:rPr>
        <w:t>to</w:t>
      </w:r>
      <w:r w:rsidR="00E15B78">
        <w:rPr>
          <w:lang w:val="en-GB"/>
        </w:rPr>
        <w:t xml:space="preserve"> the EU’s approach to</w:t>
      </w:r>
      <w:r w:rsidR="00A566E9">
        <w:rPr>
          <w:lang w:val="en-GB"/>
        </w:rPr>
        <w:t xml:space="preserve"> remembrance</w:t>
      </w:r>
      <w:r>
        <w:rPr>
          <w:lang w:val="en-GB"/>
        </w:rPr>
        <w:t>.</w:t>
      </w:r>
      <w:r w:rsidR="00F21B21">
        <w:rPr>
          <w:rStyle w:val="FootnoteReference"/>
          <w:lang w:val="en-GB"/>
        </w:rPr>
        <w:footnoteReference w:id="39"/>
      </w:r>
      <w:r>
        <w:rPr>
          <w:lang w:val="en-GB"/>
        </w:rPr>
        <w:t xml:space="preserve">  ‘Memory frames’ are defined by </w:t>
      </w:r>
      <w:proofErr w:type="spellStart"/>
      <w:r>
        <w:rPr>
          <w:lang w:val="en-GB"/>
        </w:rPr>
        <w:t>Littoz</w:t>
      </w:r>
      <w:proofErr w:type="spellEnd"/>
      <w:r>
        <w:rPr>
          <w:lang w:val="en-GB"/>
        </w:rPr>
        <w:t>-Monnet as, ‘interpretative lenses through which certain actors make sense of the past.’</w:t>
      </w:r>
      <w:r w:rsidR="00F21B21">
        <w:rPr>
          <w:rStyle w:val="FootnoteReference"/>
          <w:lang w:val="en-GB"/>
        </w:rPr>
        <w:footnoteReference w:id="40"/>
      </w:r>
      <w:r>
        <w:rPr>
          <w:lang w:val="en-GB"/>
        </w:rPr>
        <w:t xml:space="preserve">  </w:t>
      </w:r>
      <w:r w:rsidR="00956C0E">
        <w:rPr>
          <w:lang w:val="en-GB"/>
        </w:rPr>
        <w:t>She has observed that</w:t>
      </w:r>
      <w:r w:rsidR="007513C2">
        <w:rPr>
          <w:lang w:val="en-GB"/>
        </w:rPr>
        <w:t xml:space="preserve"> alongside the post-Cold War enlargement of the EU the </w:t>
      </w:r>
      <w:r w:rsidR="001F2C6D">
        <w:rPr>
          <w:lang w:val="en-GB"/>
        </w:rPr>
        <w:t xml:space="preserve">previously dominant ‘uniqueness of the Holocaust’ </w:t>
      </w:r>
      <w:r w:rsidR="001D4112">
        <w:rPr>
          <w:lang w:val="en-GB"/>
        </w:rPr>
        <w:t xml:space="preserve">memory frame has been challenged by a ‘Nazism and </w:t>
      </w:r>
      <w:r w:rsidR="00970252">
        <w:rPr>
          <w:lang w:val="en-GB"/>
        </w:rPr>
        <w:t xml:space="preserve">Stalinism as equally evil’ </w:t>
      </w:r>
      <w:r w:rsidR="00B173C1">
        <w:rPr>
          <w:lang w:val="en-GB"/>
        </w:rPr>
        <w:t xml:space="preserve">memory </w:t>
      </w:r>
      <w:r w:rsidR="00970252">
        <w:rPr>
          <w:lang w:val="en-GB"/>
        </w:rPr>
        <w:t>frame</w:t>
      </w:r>
      <w:r w:rsidR="001E1CEE">
        <w:rPr>
          <w:lang w:val="en-GB"/>
        </w:rPr>
        <w:t>, advocated by politicians from the newer Member States</w:t>
      </w:r>
      <w:r w:rsidR="008A0EEF">
        <w:rPr>
          <w:rStyle w:val="FootnoteReference"/>
          <w:lang w:val="en-GB"/>
        </w:rPr>
        <w:footnoteReference w:id="41"/>
      </w:r>
      <w:r w:rsidR="00970252">
        <w:rPr>
          <w:lang w:val="en-GB"/>
        </w:rPr>
        <w:t xml:space="preserve"> (on which more below).</w:t>
      </w:r>
      <w:r w:rsidR="00952C51">
        <w:rPr>
          <w:lang w:val="en-GB"/>
        </w:rPr>
        <w:t xml:space="preserve">  That the </w:t>
      </w:r>
      <w:r w:rsidR="001E1CEE">
        <w:rPr>
          <w:lang w:val="en-GB"/>
        </w:rPr>
        <w:t>former communist states’ transition to democracy has led to a re-evaluation of their history</w:t>
      </w:r>
      <w:r w:rsidR="008E6E00">
        <w:rPr>
          <w:lang w:val="en-GB"/>
        </w:rPr>
        <w:t xml:space="preserve">, and </w:t>
      </w:r>
      <w:r w:rsidR="00B173C1">
        <w:rPr>
          <w:lang w:val="en-GB"/>
        </w:rPr>
        <w:t xml:space="preserve">a desire </w:t>
      </w:r>
      <w:r w:rsidR="008E6E00">
        <w:rPr>
          <w:lang w:val="en-GB"/>
        </w:rPr>
        <w:t>to have it recognised supranationally, chimes with</w:t>
      </w:r>
      <w:r w:rsidR="000F1704">
        <w:rPr>
          <w:lang w:val="en-GB"/>
        </w:rPr>
        <w:t xml:space="preserve"> </w:t>
      </w:r>
      <w:r w:rsidR="008E6E00">
        <w:rPr>
          <w:lang w:val="en-GB"/>
        </w:rPr>
        <w:t xml:space="preserve">Teitel’s observation </w:t>
      </w:r>
      <w:r w:rsidR="00AC42AE">
        <w:rPr>
          <w:lang w:val="en-GB"/>
        </w:rPr>
        <w:t>that</w:t>
      </w:r>
      <w:r w:rsidR="008C302A">
        <w:rPr>
          <w:lang w:val="en-GB"/>
        </w:rPr>
        <w:t>,</w:t>
      </w:r>
      <w:r w:rsidR="00AC42AE">
        <w:rPr>
          <w:lang w:val="en-GB"/>
        </w:rPr>
        <w:t xml:space="preserve"> </w:t>
      </w:r>
      <w:r w:rsidR="008C302A">
        <w:rPr>
          <w:lang w:val="en-GB"/>
        </w:rPr>
        <w:t>‘transitions are vivid instances of conscious</w:t>
      </w:r>
      <w:r w:rsidR="00AB7E92">
        <w:rPr>
          <w:lang w:val="en-GB"/>
        </w:rPr>
        <w:t xml:space="preserve"> historical production’.</w:t>
      </w:r>
      <w:r w:rsidR="009E2841">
        <w:rPr>
          <w:rStyle w:val="FootnoteReference"/>
          <w:lang w:val="en-GB"/>
        </w:rPr>
        <w:footnoteReference w:id="42"/>
      </w:r>
      <w:r w:rsidR="00AB7E92">
        <w:rPr>
          <w:lang w:val="en-GB"/>
        </w:rPr>
        <w:t xml:space="preserve">  </w:t>
      </w:r>
      <w:r w:rsidR="00A21880">
        <w:rPr>
          <w:lang w:val="en-GB"/>
        </w:rPr>
        <w:t>They</w:t>
      </w:r>
      <w:r w:rsidR="008A0EEF">
        <w:rPr>
          <w:lang w:val="en-GB"/>
        </w:rPr>
        <w:t>, transitions,</w:t>
      </w:r>
      <w:r w:rsidR="00A21880">
        <w:rPr>
          <w:lang w:val="en-GB"/>
        </w:rPr>
        <w:t xml:space="preserve"> provide </w:t>
      </w:r>
      <w:r w:rsidR="000C44D2">
        <w:rPr>
          <w:lang w:val="en-GB"/>
        </w:rPr>
        <w:t>the opportunity for changes in</w:t>
      </w:r>
      <w:r w:rsidR="00F26037">
        <w:rPr>
          <w:lang w:val="en-GB"/>
        </w:rPr>
        <w:t xml:space="preserve"> what Teitel terms</w:t>
      </w:r>
      <w:r w:rsidR="000C44D2">
        <w:rPr>
          <w:lang w:val="en-GB"/>
        </w:rPr>
        <w:t xml:space="preserve"> ‘truth regimes’</w:t>
      </w:r>
      <w:r w:rsidR="008A0EEF">
        <w:rPr>
          <w:lang w:val="en-GB"/>
        </w:rPr>
        <w:t xml:space="preserve">, akin to </w:t>
      </w:r>
      <w:proofErr w:type="spellStart"/>
      <w:r w:rsidR="008A0EEF">
        <w:rPr>
          <w:lang w:val="en-GB"/>
        </w:rPr>
        <w:t>Littoz</w:t>
      </w:r>
      <w:proofErr w:type="spellEnd"/>
      <w:r w:rsidR="008F3C7E">
        <w:rPr>
          <w:lang w:val="en-GB"/>
        </w:rPr>
        <w:t>-Monnet’s ‘memory frames’</w:t>
      </w:r>
      <w:r w:rsidR="00E611A4">
        <w:rPr>
          <w:lang w:val="en-GB"/>
        </w:rPr>
        <w:t>.</w:t>
      </w:r>
      <w:r w:rsidR="00BC4DC9">
        <w:rPr>
          <w:lang w:val="en-GB"/>
        </w:rPr>
        <w:t xml:space="preserve">  </w:t>
      </w:r>
    </w:p>
    <w:p w14:paraId="66204FF1" w14:textId="77777777" w:rsidR="00EA6218" w:rsidRDefault="00EA6218">
      <w:pPr>
        <w:rPr>
          <w:lang w:val="en-GB"/>
        </w:rPr>
      </w:pPr>
    </w:p>
    <w:p w14:paraId="3FA0FB8B" w14:textId="77777777" w:rsidR="00D87D14" w:rsidRDefault="00C60D37" w:rsidP="00D87D14">
      <w:pPr>
        <w:rPr>
          <w:lang w:val="en-GB"/>
        </w:rPr>
      </w:pPr>
      <w:r>
        <w:rPr>
          <w:lang w:val="en-GB"/>
        </w:rPr>
        <w:t xml:space="preserve">The research for WP 5.3 found that </w:t>
      </w:r>
      <w:r w:rsidR="002A01DA">
        <w:rPr>
          <w:lang w:val="en-GB"/>
        </w:rPr>
        <w:t xml:space="preserve">one </w:t>
      </w:r>
      <w:r w:rsidR="0096085C">
        <w:rPr>
          <w:lang w:val="en-GB"/>
        </w:rPr>
        <w:t>of</w:t>
      </w:r>
      <w:r w:rsidR="002A01DA">
        <w:rPr>
          <w:lang w:val="en-GB"/>
        </w:rPr>
        <w:t xml:space="preserve"> the </w:t>
      </w:r>
      <w:proofErr w:type="gramStart"/>
      <w:r w:rsidR="002A01DA">
        <w:rPr>
          <w:lang w:val="en-GB"/>
        </w:rPr>
        <w:t>key ways</w:t>
      </w:r>
      <w:proofErr w:type="gramEnd"/>
      <w:r w:rsidR="002A01DA">
        <w:rPr>
          <w:lang w:val="en-GB"/>
        </w:rPr>
        <w:t xml:space="preserve"> in which the EU has attempted to promote a common history, or shared memory frame, as a vector of identification is through its policies on EU citizenship</w:t>
      </w:r>
      <w:r w:rsidR="00792DFC">
        <w:rPr>
          <w:lang w:val="en-GB"/>
        </w:rPr>
        <w:t xml:space="preserve">, a concept introduced by the </w:t>
      </w:r>
      <w:r w:rsidR="00102C2E">
        <w:rPr>
          <w:lang w:val="en-GB"/>
        </w:rPr>
        <w:t>Maastricht Treaty</w:t>
      </w:r>
      <w:r w:rsidR="00792DFC">
        <w:rPr>
          <w:lang w:val="en-GB"/>
        </w:rPr>
        <w:t>.</w:t>
      </w:r>
      <w:r w:rsidR="00D87D14">
        <w:rPr>
          <w:lang w:val="en-GB"/>
        </w:rPr>
        <w:t xml:space="preserve">  This has been because the Member States have simply not conferred upon the EU the competence more directly to address their troubled pasts (the situation regarding non-Member States is discussed in relation to CFSP and development assistance below).  As an illustration of the EU’s limited competence in action, on the </w:t>
      </w:r>
      <w:proofErr w:type="gramStart"/>
      <w:r w:rsidR="00D87D14">
        <w:rPr>
          <w:lang w:val="en-GB"/>
        </w:rPr>
        <w:t>25</w:t>
      </w:r>
      <w:r w:rsidR="00D87D14" w:rsidRPr="0046044D">
        <w:rPr>
          <w:vertAlign w:val="superscript"/>
          <w:lang w:val="en-GB"/>
        </w:rPr>
        <w:t>th</w:t>
      </w:r>
      <w:proofErr w:type="gramEnd"/>
      <w:r w:rsidR="00D87D14">
        <w:rPr>
          <w:lang w:val="en-GB"/>
        </w:rPr>
        <w:t xml:space="preserve"> May 2012, the Czech MEP </w:t>
      </w:r>
      <w:r w:rsidR="00D87D14" w:rsidRPr="0046044D">
        <w:rPr>
          <w:lang w:val="en-GB"/>
        </w:rPr>
        <w:t xml:space="preserve">Zuzana </w:t>
      </w:r>
      <w:proofErr w:type="spellStart"/>
      <w:r w:rsidR="00D87D14" w:rsidRPr="0046044D">
        <w:rPr>
          <w:lang w:val="en-GB"/>
        </w:rPr>
        <w:t>Roithová</w:t>
      </w:r>
      <w:proofErr w:type="spellEnd"/>
      <w:r w:rsidR="00D87D14">
        <w:rPr>
          <w:lang w:val="en-GB"/>
        </w:rPr>
        <w:t xml:space="preserve"> submitted the following written questions to the European Commission:</w:t>
      </w:r>
    </w:p>
    <w:p w14:paraId="1DDEDDA3" w14:textId="77777777" w:rsidR="00D87D14" w:rsidRPr="00622D44" w:rsidRDefault="00D87D14" w:rsidP="00D87D14">
      <w:pPr>
        <w:ind w:left="720"/>
        <w:rPr>
          <w:lang w:val="en-GB"/>
        </w:rPr>
      </w:pPr>
      <w:proofErr w:type="gramStart"/>
      <w:r w:rsidRPr="00622D44">
        <w:rPr>
          <w:lang w:val="en-GB"/>
        </w:rPr>
        <w:lastRenderedPageBreak/>
        <w:t>A number of</w:t>
      </w:r>
      <w:proofErr w:type="gramEnd"/>
      <w:r w:rsidRPr="00622D44">
        <w:rPr>
          <w:lang w:val="en-GB"/>
        </w:rPr>
        <w:t xml:space="preserve"> history teachers and lecturers feel the need for a general, common and unified textbook of European history.</w:t>
      </w:r>
    </w:p>
    <w:p w14:paraId="09E97D66" w14:textId="77777777" w:rsidR="00D87D14" w:rsidRPr="00622D44" w:rsidRDefault="00D87D14" w:rsidP="00D87D14">
      <w:pPr>
        <w:ind w:left="720"/>
        <w:rPr>
          <w:lang w:val="en-GB"/>
        </w:rPr>
      </w:pPr>
      <w:r w:rsidRPr="00622D44">
        <w:rPr>
          <w:lang w:val="en-GB"/>
        </w:rPr>
        <w:t>I wish to ask:</w:t>
      </w:r>
    </w:p>
    <w:p w14:paraId="5D7C7AF5" w14:textId="77777777" w:rsidR="00D87D14" w:rsidRPr="00622D44" w:rsidRDefault="00D87D14" w:rsidP="00D87D14">
      <w:pPr>
        <w:ind w:left="720"/>
        <w:rPr>
          <w:lang w:val="en-GB"/>
        </w:rPr>
      </w:pPr>
      <w:r w:rsidRPr="00622D44">
        <w:rPr>
          <w:lang w:val="en-GB"/>
        </w:rPr>
        <w:t>Does the Commission plan to support or coordinate the creation and introduction of a general, common textbook of European history?</w:t>
      </w:r>
    </w:p>
    <w:p w14:paraId="0B85FF18" w14:textId="77777777" w:rsidR="00D87D14" w:rsidRDefault="00D87D14" w:rsidP="00D87D14">
      <w:pPr>
        <w:ind w:left="720"/>
        <w:rPr>
          <w:lang w:val="en-GB"/>
        </w:rPr>
      </w:pPr>
      <w:r w:rsidRPr="00622D44">
        <w:rPr>
          <w:lang w:val="en-GB"/>
        </w:rPr>
        <w:t>Does it consider the creation and support of such a textbook to be a good way of introducing the idea of European unity and shared history as a positive idea?</w:t>
      </w:r>
      <w:r>
        <w:rPr>
          <w:rStyle w:val="FootnoteReference"/>
          <w:lang w:val="en-GB"/>
        </w:rPr>
        <w:footnoteReference w:id="43"/>
      </w:r>
    </w:p>
    <w:p w14:paraId="2E97F963" w14:textId="77777777" w:rsidR="00D87D14" w:rsidRDefault="00D87D14" w:rsidP="00D87D14">
      <w:pPr>
        <w:rPr>
          <w:lang w:val="en-GB"/>
        </w:rPr>
      </w:pPr>
    </w:p>
    <w:p w14:paraId="17471140" w14:textId="407AB534" w:rsidR="00D87D14" w:rsidRDefault="00D87D14" w:rsidP="00D87D14">
      <w:pPr>
        <w:rPr>
          <w:lang w:val="en-GB"/>
        </w:rPr>
      </w:pPr>
      <w:r>
        <w:rPr>
          <w:lang w:val="en-GB"/>
        </w:rPr>
        <w:t>An official of the Commission responded that, ‘</w:t>
      </w:r>
      <w:r w:rsidRPr="00370C1F">
        <w:rPr>
          <w:lang w:val="en-GB"/>
        </w:rPr>
        <w:t>in accordance with Article 165 of the Treaty on the Functioning of the European Union, the responsibility for the content and organisation of education and training systems rests entirely with Member States</w:t>
      </w:r>
      <w:r>
        <w:rPr>
          <w:lang w:val="en-GB"/>
        </w:rPr>
        <w:t>’.</w:t>
      </w:r>
      <w:r w:rsidR="00842E78">
        <w:rPr>
          <w:rStyle w:val="FootnoteReference"/>
          <w:lang w:val="en-GB"/>
        </w:rPr>
        <w:footnoteReference w:id="44"/>
      </w:r>
      <w:r>
        <w:rPr>
          <w:lang w:val="en-GB"/>
        </w:rPr>
        <w:t xml:space="preserve">  That is a clear indication that there is no legal basis in the TFEU for the EU, </w:t>
      </w:r>
      <w:r w:rsidRPr="00E302DB">
        <w:rPr>
          <w:i/>
          <w:iCs/>
          <w:lang w:val="en-GB"/>
        </w:rPr>
        <w:t>itself</w:t>
      </w:r>
      <w:r>
        <w:rPr>
          <w:lang w:val="en-GB"/>
        </w:rPr>
        <w:t xml:space="preserve">, to develop a common European historical textbook.  However, under legal bases connected to citizenship it </w:t>
      </w:r>
      <w:r w:rsidRPr="0011485A">
        <w:rPr>
          <w:i/>
          <w:iCs/>
          <w:lang w:val="en-GB"/>
        </w:rPr>
        <w:t>has</w:t>
      </w:r>
      <w:r>
        <w:rPr>
          <w:lang w:val="en-GB"/>
        </w:rPr>
        <w:t xml:space="preserve"> authorised the allocation of funding to </w:t>
      </w:r>
      <w:r w:rsidRPr="00E302DB">
        <w:rPr>
          <w:i/>
          <w:iCs/>
          <w:lang w:val="en-GB"/>
        </w:rPr>
        <w:t>third parties</w:t>
      </w:r>
      <w:r>
        <w:rPr>
          <w:lang w:val="en-GB"/>
        </w:rPr>
        <w:t xml:space="preserve"> to undertake precisely such work.  This has included funding the European Association of History Teachers to undertake an 18-month project on ‘</w:t>
      </w:r>
      <w:r w:rsidRPr="00153715">
        <w:rPr>
          <w:lang w:val="en-GB"/>
        </w:rPr>
        <w:t>Connecting Europe through History</w:t>
      </w:r>
      <w:r>
        <w:rPr>
          <w:lang w:val="en-GB"/>
        </w:rPr>
        <w:t>’, leading to the publication of a multi-authored textbook with that title.</w:t>
      </w:r>
      <w:r>
        <w:rPr>
          <w:rStyle w:val="FootnoteReference"/>
          <w:lang w:val="en-GB"/>
        </w:rPr>
        <w:footnoteReference w:id="45"/>
      </w:r>
      <w:r>
        <w:rPr>
          <w:lang w:val="en-GB"/>
        </w:rPr>
        <w:t xml:space="preserve">  The implications of the EU necessarily acting through the funding of third parties is a running theme in this Working Paper, and is also discussed again in its conclusion.</w:t>
      </w:r>
    </w:p>
    <w:p w14:paraId="64A2D9E1" w14:textId="1C6D8644" w:rsidR="00792DFC" w:rsidRDefault="00792DFC" w:rsidP="002A01DA">
      <w:pPr>
        <w:rPr>
          <w:lang w:val="en-GB"/>
        </w:rPr>
      </w:pPr>
    </w:p>
    <w:p w14:paraId="6DCC13E9" w14:textId="2D2CF0DE" w:rsidR="00EA6218" w:rsidRDefault="0DE8C684">
      <w:pPr>
        <w:rPr>
          <w:lang w:val="en-GB"/>
        </w:rPr>
      </w:pPr>
      <w:r w:rsidRPr="00A611ED">
        <w:rPr>
          <w:lang w:val="en-GB"/>
        </w:rPr>
        <w:t xml:space="preserve">The current most relevant EU legislative act </w:t>
      </w:r>
      <w:r w:rsidR="00B35EF4">
        <w:rPr>
          <w:lang w:val="en-GB"/>
        </w:rPr>
        <w:t>on remembrance</w:t>
      </w:r>
      <w:r w:rsidRPr="00A611ED">
        <w:rPr>
          <w:lang w:val="en-GB"/>
        </w:rPr>
        <w:t xml:space="preserve"> is Regulation (EU) 2021/692 of the European Parliament and of the Council of 28 April 2021 establishing the Citizens, Equality, Rights and Values Programme (CERV).</w:t>
      </w:r>
      <w:r w:rsidR="00F21B21" w:rsidRPr="00A611ED">
        <w:rPr>
          <w:rStyle w:val="FootnoteReference"/>
          <w:lang w:val="en-GB"/>
        </w:rPr>
        <w:footnoteReference w:id="46"/>
      </w:r>
      <w:r w:rsidRPr="00A611ED">
        <w:rPr>
          <w:lang w:val="en-GB"/>
        </w:rPr>
        <w:t xml:space="preserve">  The legal ba</w:t>
      </w:r>
      <w:r>
        <w:rPr>
          <w:lang w:val="en-GB"/>
        </w:rPr>
        <w:t>sis for the Regulation is principally Article 167 TFEU, which authorises the EU to, ‘contribute to the flowering of the cultures of the Member States, while respecting their national and regional diversity and at the same time bringing the common cultural heritage to the fore’.</w:t>
      </w:r>
      <w:r w:rsidR="00F21B21">
        <w:rPr>
          <w:rStyle w:val="FootnoteReference"/>
          <w:lang w:val="en-GB"/>
        </w:rPr>
        <w:footnoteReference w:id="47"/>
      </w:r>
    </w:p>
    <w:p w14:paraId="2DBF0D7D" w14:textId="77777777" w:rsidR="00EA6218" w:rsidRDefault="00EA6218">
      <w:pPr>
        <w:rPr>
          <w:lang w:val="en-GB"/>
        </w:rPr>
      </w:pPr>
    </w:p>
    <w:p w14:paraId="3E55EADC" w14:textId="77777777" w:rsidR="00EA6218" w:rsidRDefault="00F21B21">
      <w:pPr>
        <w:rPr>
          <w:lang w:val="en-GB"/>
        </w:rPr>
      </w:pPr>
      <w:r>
        <w:rPr>
          <w:lang w:val="en-GB"/>
        </w:rPr>
        <w:lastRenderedPageBreak/>
        <w:t xml:space="preserve">The preamble to the Regulation refers to fostering, ‘a sense of belonging to the Union and of a common citizenship under a European identity, based on a shared understanding of our common European values, culture, history and heritage.’  More specifically, it continues: </w:t>
      </w:r>
    </w:p>
    <w:p w14:paraId="0CB4B71F" w14:textId="1659E0C0" w:rsidR="00EA6218" w:rsidRDefault="00F21B21">
      <w:pPr>
        <w:ind w:left="720"/>
        <w:rPr>
          <w:lang w:val="en-GB"/>
        </w:rPr>
      </w:pPr>
      <w:r>
        <w:rPr>
          <w:lang w:val="en-GB"/>
        </w:rPr>
        <w:t xml:space="preserve">Remembrance activities should reflect on the causes of totalitarian regimes in Europe’s modern history, in particular Nazism, which led to the Holocaust; fascism; Stalinism and totalitarian communist </w:t>
      </w:r>
      <w:proofErr w:type="gramStart"/>
      <w:r>
        <w:rPr>
          <w:lang w:val="en-GB"/>
        </w:rPr>
        <w:t>regimes, and</w:t>
      </w:r>
      <w:proofErr w:type="gramEnd"/>
      <w:r>
        <w:rPr>
          <w:lang w:val="en-GB"/>
        </w:rPr>
        <w:t xml:space="preserve"> should commemorate the victims of their crimes. They should also encompass activities concerning other defining moments and reference points in recent European history. The relevance of historical, social, </w:t>
      </w:r>
      <w:proofErr w:type="gramStart"/>
      <w:r>
        <w:rPr>
          <w:lang w:val="en-GB"/>
        </w:rPr>
        <w:t>cultural</w:t>
      </w:r>
      <w:proofErr w:type="gramEnd"/>
      <w:r>
        <w:rPr>
          <w:lang w:val="en-GB"/>
        </w:rPr>
        <w:t xml:space="preserve"> and intercultural factors should also be taken into account </w:t>
      </w:r>
      <w:r>
        <w:rPr>
          <w:i/>
          <w:iCs/>
          <w:lang w:val="en-GB"/>
        </w:rPr>
        <w:t>in order to create a European identity</w:t>
      </w:r>
      <w:r>
        <w:rPr>
          <w:lang w:val="en-GB"/>
        </w:rPr>
        <w:t xml:space="preserve"> based on common values and a sense of common belonging.</w:t>
      </w:r>
      <w:r w:rsidR="00365F2E">
        <w:rPr>
          <w:lang w:val="en-GB"/>
        </w:rPr>
        <w:t xml:space="preserve"> </w:t>
      </w:r>
      <w:r>
        <w:rPr>
          <w:lang w:val="en-GB"/>
        </w:rPr>
        <w:t>[emphasis added]</w:t>
      </w:r>
    </w:p>
    <w:p w14:paraId="6B62F1B3" w14:textId="77777777" w:rsidR="00EA6218" w:rsidRDefault="00EA6218">
      <w:pPr>
        <w:rPr>
          <w:lang w:val="en-GB"/>
        </w:rPr>
      </w:pPr>
    </w:p>
    <w:p w14:paraId="09BA4B2C" w14:textId="77777777" w:rsidR="00EA6218" w:rsidRDefault="0DE8C684">
      <w:pPr>
        <w:rPr>
          <w:lang w:val="en-GB"/>
        </w:rPr>
      </w:pPr>
      <w:r>
        <w:rPr>
          <w:lang w:val="en-GB"/>
        </w:rPr>
        <w:t>In practical terms the CERV provides for the Commission to administer funding from an initial financial envelope of some EUR 641,705,000,</w:t>
      </w:r>
      <w:r w:rsidR="00F21B21">
        <w:rPr>
          <w:rStyle w:val="FootnoteReference"/>
          <w:lang w:val="en-GB"/>
        </w:rPr>
        <w:footnoteReference w:id="48"/>
      </w:r>
      <w:r>
        <w:rPr>
          <w:lang w:val="en-GB"/>
        </w:rPr>
        <w:t xml:space="preserve">  to which a further EUR 800,000,000 can be added </w:t>
      </w:r>
      <w:proofErr w:type="gramStart"/>
      <w:r>
        <w:rPr>
          <w:lang w:val="en-GB"/>
        </w:rPr>
        <w:t>at a later date</w:t>
      </w:r>
      <w:proofErr w:type="gramEnd"/>
      <w:r>
        <w:rPr>
          <w:lang w:val="en-GB"/>
        </w:rPr>
        <w:t>.</w:t>
      </w:r>
      <w:r w:rsidR="00F21B21">
        <w:rPr>
          <w:rStyle w:val="FootnoteReference"/>
          <w:lang w:val="en-GB"/>
        </w:rPr>
        <w:footnoteReference w:id="49"/>
      </w:r>
      <w:r>
        <w:rPr>
          <w:lang w:val="en-GB"/>
        </w:rPr>
        <w:t xml:space="preserve">  </w:t>
      </w:r>
    </w:p>
    <w:p w14:paraId="02F2C34E" w14:textId="77777777" w:rsidR="00EA6218" w:rsidRDefault="00EA6218">
      <w:pPr>
        <w:rPr>
          <w:lang w:val="en-GB"/>
        </w:rPr>
      </w:pPr>
    </w:p>
    <w:p w14:paraId="2144785C" w14:textId="3E41B347" w:rsidR="00EA6218" w:rsidRDefault="0DE8C684">
      <w:pPr>
        <w:rPr>
          <w:lang w:val="en-GB"/>
        </w:rPr>
      </w:pPr>
      <w:r>
        <w:rPr>
          <w:lang w:val="en-GB"/>
        </w:rPr>
        <w:t xml:space="preserve">The CERV is based upon four ‘strands’: the </w:t>
      </w:r>
      <w:r w:rsidR="00944CA6">
        <w:rPr>
          <w:lang w:val="en-GB"/>
        </w:rPr>
        <w:t>‘</w:t>
      </w:r>
      <w:r>
        <w:rPr>
          <w:lang w:val="en-GB"/>
        </w:rPr>
        <w:t>Union values</w:t>
      </w:r>
      <w:r w:rsidR="00944CA6">
        <w:rPr>
          <w:lang w:val="en-GB"/>
        </w:rPr>
        <w:t>’</w:t>
      </w:r>
      <w:r>
        <w:rPr>
          <w:lang w:val="en-GB"/>
        </w:rPr>
        <w:t xml:space="preserve"> strand; the </w:t>
      </w:r>
      <w:r w:rsidR="00944CA6">
        <w:rPr>
          <w:lang w:val="en-GB"/>
        </w:rPr>
        <w:t>‘</w:t>
      </w:r>
      <w:r>
        <w:rPr>
          <w:lang w:val="en-GB"/>
        </w:rPr>
        <w:t>equality, rights and gender equality</w:t>
      </w:r>
      <w:r w:rsidR="00944CA6">
        <w:rPr>
          <w:lang w:val="en-GB"/>
        </w:rPr>
        <w:t>’</w:t>
      </w:r>
      <w:r>
        <w:rPr>
          <w:lang w:val="en-GB"/>
        </w:rPr>
        <w:t xml:space="preserve"> strand; the </w:t>
      </w:r>
      <w:r w:rsidR="00944CA6">
        <w:rPr>
          <w:lang w:val="en-GB"/>
        </w:rPr>
        <w:t>‘</w:t>
      </w:r>
      <w:r>
        <w:rPr>
          <w:lang w:val="en-GB"/>
        </w:rPr>
        <w:t xml:space="preserve">citizens’ engagement and </w:t>
      </w:r>
      <w:r w:rsidRPr="00A10B23">
        <w:rPr>
          <w:lang w:val="en-GB"/>
        </w:rPr>
        <w:t>participation</w:t>
      </w:r>
      <w:r w:rsidR="00944CA6">
        <w:rPr>
          <w:lang w:val="en-GB"/>
        </w:rPr>
        <w:t>’</w:t>
      </w:r>
      <w:r w:rsidRPr="00A10B23">
        <w:rPr>
          <w:lang w:val="en-GB"/>
        </w:rPr>
        <w:t xml:space="preserve"> strand; and the so-called ‘Daphne strand’ on combatting violence, including gender-based violence.</w:t>
      </w:r>
      <w:r w:rsidR="00F21B21" w:rsidRPr="00A10B23">
        <w:rPr>
          <w:rStyle w:val="FootnoteReference"/>
          <w:lang w:val="en-GB"/>
        </w:rPr>
        <w:footnoteReference w:id="50"/>
      </w:r>
      <w:r w:rsidRPr="00A10B23">
        <w:rPr>
          <w:lang w:val="en-GB"/>
        </w:rPr>
        <w:t xml:space="preserve">  It is within the ‘citizens’ engagement and participation strand’ that we find a particula</w:t>
      </w:r>
      <w:r w:rsidR="00A10B23">
        <w:rPr>
          <w:lang w:val="en-GB"/>
        </w:rPr>
        <w:t>r</w:t>
      </w:r>
      <w:r w:rsidRPr="00A10B23">
        <w:rPr>
          <w:lang w:val="en-GB"/>
        </w:rPr>
        <w:t xml:space="preserve"> focus upon, ‘supporting projects aimed at remembering defining moments in modern European history, such as the coming to power of authoritarian and totalitarian regimes’.</w:t>
      </w:r>
      <w:r w:rsidR="00F21B21" w:rsidRPr="00A10B23">
        <w:rPr>
          <w:rStyle w:val="FootnoteReference"/>
          <w:lang w:val="en-GB"/>
        </w:rPr>
        <w:footnoteReference w:id="51"/>
      </w:r>
      <w:r w:rsidRPr="00A10B23">
        <w:rPr>
          <w:lang w:val="en-GB"/>
        </w:rPr>
        <w:t xml:space="preserve">  Significant as this is, it is disappointing</w:t>
      </w:r>
      <w:r>
        <w:rPr>
          <w:lang w:val="en-GB"/>
        </w:rPr>
        <w:t xml:space="preserve"> that just 27% of the initial overall budget is allocated to that strand; and that of </w:t>
      </w:r>
      <w:r w:rsidRPr="0DE8C684">
        <w:rPr>
          <w:i/>
          <w:iCs/>
          <w:lang w:val="en-GB"/>
        </w:rPr>
        <w:t>that</w:t>
      </w:r>
      <w:r>
        <w:rPr>
          <w:lang w:val="en-GB"/>
        </w:rPr>
        <w:t xml:space="preserve"> allocation only 15% is set aside for remembrance activities (EUR 25,989,052).</w:t>
      </w:r>
      <w:r w:rsidR="00F21B21">
        <w:rPr>
          <w:rStyle w:val="FootnoteReference"/>
          <w:lang w:val="en-GB"/>
        </w:rPr>
        <w:footnoteReference w:id="52"/>
      </w:r>
      <w:r>
        <w:rPr>
          <w:lang w:val="en-GB"/>
        </w:rPr>
        <w:t xml:space="preserve">  Thus, whilst remembrance activities may facilitate historical justice and, arguably, promote the elusive sense ’European identity‘, </w:t>
      </w:r>
      <w:r w:rsidR="009F4E1E">
        <w:rPr>
          <w:lang w:val="en-GB"/>
        </w:rPr>
        <w:t xml:space="preserve">remembrance is far from </w:t>
      </w:r>
      <w:r w:rsidR="007758BD">
        <w:rPr>
          <w:lang w:val="en-GB"/>
        </w:rPr>
        <w:t>the most significant issue for the</w:t>
      </w:r>
      <w:r>
        <w:rPr>
          <w:lang w:val="en-GB"/>
        </w:rPr>
        <w:t xml:space="preserve"> CERV.</w:t>
      </w:r>
    </w:p>
    <w:p w14:paraId="680A4E5D" w14:textId="77777777" w:rsidR="00EA6218" w:rsidRDefault="00EA6218">
      <w:pPr>
        <w:rPr>
          <w:lang w:val="en-GB"/>
        </w:rPr>
      </w:pPr>
    </w:p>
    <w:p w14:paraId="482CE3A3" w14:textId="77777777" w:rsidR="00DD0468" w:rsidRDefault="00DD0468" w:rsidP="00C107CC">
      <w:pPr>
        <w:rPr>
          <w:lang w:val="en-GB"/>
        </w:rPr>
      </w:pPr>
    </w:p>
    <w:p w14:paraId="6B0EB1BA" w14:textId="4A30DA0F" w:rsidR="00EA6218" w:rsidRDefault="00526855">
      <w:pPr>
        <w:rPr>
          <w:lang w:val="en-GB"/>
        </w:rPr>
      </w:pPr>
      <w:r>
        <w:rPr>
          <w:lang w:val="en-GB"/>
        </w:rPr>
        <w:t xml:space="preserve">It is significant that the </w:t>
      </w:r>
      <w:r w:rsidR="0DE8C684">
        <w:rPr>
          <w:lang w:val="en-GB"/>
        </w:rPr>
        <w:t xml:space="preserve">CERV Regulation, as we saw, refers to ‘Nazism, […]; fascism; Stalinism and totalitarian communist </w:t>
      </w:r>
      <w:proofErr w:type="gramStart"/>
      <w:r w:rsidR="0DE8C684">
        <w:rPr>
          <w:lang w:val="en-GB"/>
        </w:rPr>
        <w:t>regimes’</w:t>
      </w:r>
      <w:proofErr w:type="gramEnd"/>
      <w:r w:rsidR="00126AE2">
        <w:rPr>
          <w:lang w:val="en-GB"/>
        </w:rPr>
        <w:t>.  This is notable</w:t>
      </w:r>
      <w:r w:rsidR="0DE8C684">
        <w:rPr>
          <w:lang w:val="en-GB"/>
        </w:rPr>
        <w:t xml:space="preserve"> because earlier instances of EU remembrance focused more exclusively upon World War II as the inspiration for integration and the foundation of a European collective memory</w:t>
      </w:r>
      <w:r w:rsidR="000D2777">
        <w:rPr>
          <w:lang w:val="en-GB"/>
        </w:rPr>
        <w:t xml:space="preserve"> (and identity)</w:t>
      </w:r>
      <w:r w:rsidR="0DE8C684">
        <w:rPr>
          <w:lang w:val="en-GB"/>
        </w:rPr>
        <w:t xml:space="preserve">.  As </w:t>
      </w:r>
      <w:proofErr w:type="spellStart"/>
      <w:r w:rsidR="0DE8C684">
        <w:rPr>
          <w:lang w:val="en-GB"/>
        </w:rPr>
        <w:t>RePAST</w:t>
      </w:r>
      <w:proofErr w:type="spellEnd"/>
      <w:r w:rsidR="0DE8C684">
        <w:rPr>
          <w:lang w:val="en-GB"/>
        </w:rPr>
        <w:t xml:space="preserve"> Deliverable 6.16 P</w:t>
      </w:r>
      <w:r w:rsidR="000D2777">
        <w:rPr>
          <w:lang w:val="en-GB"/>
        </w:rPr>
        <w:t xml:space="preserve">olicy </w:t>
      </w:r>
      <w:r w:rsidR="0DE8C684">
        <w:rPr>
          <w:lang w:val="en-GB"/>
        </w:rPr>
        <w:t>R</w:t>
      </w:r>
      <w:r w:rsidR="000D2777">
        <w:rPr>
          <w:lang w:val="en-GB"/>
        </w:rPr>
        <w:t xml:space="preserve">ecommendations </w:t>
      </w:r>
      <w:r w:rsidR="000D2777">
        <w:rPr>
          <w:lang w:val="en-GB"/>
        </w:rPr>
        <w:lastRenderedPageBreak/>
        <w:t>for the EU (</w:t>
      </w:r>
      <w:proofErr w:type="spellStart"/>
      <w:r w:rsidR="000D2777">
        <w:rPr>
          <w:lang w:val="en-GB"/>
        </w:rPr>
        <w:t>P</w:t>
      </w:r>
      <w:r w:rsidR="0017193A">
        <w:rPr>
          <w:lang w:val="en-GB"/>
        </w:rPr>
        <w:t>Rf</w:t>
      </w:r>
      <w:r w:rsidR="000D2777">
        <w:rPr>
          <w:lang w:val="en-GB"/>
        </w:rPr>
        <w:t>EU</w:t>
      </w:r>
      <w:proofErr w:type="spellEnd"/>
      <w:r w:rsidR="000D2777">
        <w:rPr>
          <w:lang w:val="en-GB"/>
        </w:rPr>
        <w:t>)</w:t>
      </w:r>
      <w:r w:rsidR="0DE8C684">
        <w:rPr>
          <w:lang w:val="en-GB"/>
        </w:rPr>
        <w:t xml:space="preserve"> put it, t</w:t>
      </w:r>
      <w:r w:rsidR="0082239C">
        <w:rPr>
          <w:lang w:val="en-GB"/>
        </w:rPr>
        <w:t>his</w:t>
      </w:r>
      <w:r w:rsidR="0DE8C684">
        <w:rPr>
          <w:lang w:val="en-GB"/>
        </w:rPr>
        <w:t xml:space="preserve"> ‘peace narrative’,</w:t>
      </w:r>
      <w:r w:rsidR="00F21B21">
        <w:rPr>
          <w:rStyle w:val="FootnoteReference"/>
          <w:lang w:val="en-GB"/>
        </w:rPr>
        <w:footnoteReference w:id="53"/>
      </w:r>
      <w:r w:rsidR="0DE8C684">
        <w:rPr>
          <w:lang w:val="en-GB"/>
        </w:rPr>
        <w:t xml:space="preserve"> was the dominant early memory frame </w:t>
      </w:r>
      <w:r w:rsidR="007C08B2">
        <w:rPr>
          <w:lang w:val="en-GB"/>
        </w:rPr>
        <w:t xml:space="preserve">(or truth regime) </w:t>
      </w:r>
      <w:r w:rsidR="0DE8C684">
        <w:rPr>
          <w:lang w:val="en-GB"/>
        </w:rPr>
        <w:t>applied to European memory and identity.</w:t>
      </w:r>
      <w:r w:rsidR="0017193A">
        <w:rPr>
          <w:lang w:val="en-GB"/>
        </w:rPr>
        <w:t xml:space="preserve"> </w:t>
      </w:r>
      <w:r w:rsidR="0DE8C684">
        <w:rPr>
          <w:lang w:val="en-GB"/>
        </w:rPr>
        <w:t xml:space="preserve"> This continued, with varying degrees of visibility, well into the 1980s with the European Parliament adopting Resolutions in 1985 on ‘Commemorating the 40th Anniversary of the Cessation of Hostilities in Europe,’ and on the ‘Commemoration of 8 May 1945’.  This focus on WWII is also what </w:t>
      </w:r>
      <w:proofErr w:type="spellStart"/>
      <w:r w:rsidR="0DE8C684">
        <w:rPr>
          <w:lang w:val="en-GB"/>
        </w:rPr>
        <w:t>RePAST</w:t>
      </w:r>
      <w:proofErr w:type="spellEnd"/>
      <w:r w:rsidR="0DE8C684">
        <w:rPr>
          <w:lang w:val="en-GB"/>
        </w:rPr>
        <w:t xml:space="preserve"> Deliverable 6.16 </w:t>
      </w:r>
      <w:proofErr w:type="spellStart"/>
      <w:r w:rsidR="0DE8C684">
        <w:rPr>
          <w:lang w:val="en-GB"/>
        </w:rPr>
        <w:t>PRfEU</w:t>
      </w:r>
      <w:proofErr w:type="spellEnd"/>
      <w:r w:rsidR="0DE8C684">
        <w:rPr>
          <w:lang w:val="en-GB"/>
        </w:rPr>
        <w:t xml:space="preserve"> described as a ‘negative founding myth’, albeit one </w:t>
      </w:r>
      <w:r w:rsidR="0082239C">
        <w:rPr>
          <w:lang w:val="en-GB"/>
        </w:rPr>
        <w:t xml:space="preserve">that </w:t>
      </w:r>
      <w:r w:rsidR="0DE8C684">
        <w:rPr>
          <w:lang w:val="en-GB"/>
        </w:rPr>
        <w:t>it concluded did not receive especial attention or contestation by the existing Member States.</w:t>
      </w:r>
      <w:r w:rsidR="00F21B21">
        <w:rPr>
          <w:rStyle w:val="FootnoteReference"/>
          <w:lang w:val="en-GB"/>
        </w:rPr>
        <w:footnoteReference w:id="54"/>
      </w:r>
      <w:r w:rsidR="0DE8C684">
        <w:rPr>
          <w:lang w:val="en-GB"/>
        </w:rPr>
        <w:t xml:space="preserve">   </w:t>
      </w:r>
    </w:p>
    <w:p w14:paraId="19219836" w14:textId="77777777" w:rsidR="00EA6218" w:rsidRDefault="00EA6218">
      <w:pPr>
        <w:rPr>
          <w:lang w:val="en-GB"/>
        </w:rPr>
      </w:pPr>
    </w:p>
    <w:p w14:paraId="06226E34" w14:textId="44CB07F0" w:rsidR="00EA6218" w:rsidRDefault="0DE8C684">
      <w:pPr>
        <w:rPr>
          <w:lang w:val="en-GB"/>
        </w:rPr>
      </w:pPr>
      <w:proofErr w:type="spellStart"/>
      <w:r>
        <w:rPr>
          <w:lang w:val="en-GB"/>
        </w:rPr>
        <w:t>Littoz</w:t>
      </w:r>
      <w:proofErr w:type="spellEnd"/>
      <w:r>
        <w:rPr>
          <w:lang w:val="en-GB"/>
        </w:rPr>
        <w:t xml:space="preserve">-Monnet has made the important observation that, to the extent that the EU was becoming engaged in memory politics rooted in the events of WWII, its emphasis </w:t>
      </w:r>
      <w:r w:rsidR="007A492E">
        <w:rPr>
          <w:lang w:val="en-GB"/>
        </w:rPr>
        <w:t xml:space="preserve">subtly </w:t>
      </w:r>
      <w:r>
        <w:rPr>
          <w:lang w:val="en-GB"/>
        </w:rPr>
        <w:t>changed in the 1990s to focus more specifically upon the Holocaust, rather than the war more generally.</w:t>
      </w:r>
      <w:r w:rsidR="00F21B21">
        <w:rPr>
          <w:rStyle w:val="FootnoteReference"/>
          <w:lang w:val="en-GB"/>
        </w:rPr>
        <w:footnoteReference w:id="55"/>
      </w:r>
      <w:r>
        <w:rPr>
          <w:lang w:val="en-GB"/>
        </w:rPr>
        <w:t xml:space="preserve">  She points to the 1993 Resolution of the European Parliament on, ‘European and International Protection for Nazi Concentration Camps as Historical Monuments’ as part of her evidence.</w:t>
      </w:r>
      <w:r w:rsidR="00F21B21">
        <w:rPr>
          <w:rStyle w:val="FootnoteReference"/>
          <w:lang w:val="en-GB"/>
        </w:rPr>
        <w:footnoteReference w:id="56"/>
      </w:r>
      <w:r>
        <w:rPr>
          <w:lang w:val="en-GB"/>
        </w:rPr>
        <w:t xml:space="preserve">  Crucially, she identifies at this point the extent to which the </w:t>
      </w:r>
      <w:r w:rsidR="00686D58">
        <w:rPr>
          <w:lang w:val="en-GB"/>
        </w:rPr>
        <w:t>‘</w:t>
      </w:r>
      <w:r>
        <w:rPr>
          <w:lang w:val="en-GB"/>
        </w:rPr>
        <w:t>distinctiveness</w:t>
      </w:r>
      <w:r w:rsidR="00686D58">
        <w:rPr>
          <w:lang w:val="en-GB"/>
        </w:rPr>
        <w:t>’</w:t>
      </w:r>
      <w:r>
        <w:rPr>
          <w:lang w:val="en-GB"/>
        </w:rPr>
        <w:t xml:space="preserve"> of the Holocaust was </w:t>
      </w:r>
      <w:r w:rsidR="00686D58">
        <w:rPr>
          <w:lang w:val="en-GB"/>
        </w:rPr>
        <w:t xml:space="preserve">emphasised and </w:t>
      </w:r>
      <w:r>
        <w:rPr>
          <w:lang w:val="en-GB"/>
        </w:rPr>
        <w:t>preserved, for example by the rejection of a similar Resolution regarding sites related to Stalinist crimes.</w:t>
      </w:r>
      <w:r w:rsidR="00F21B21">
        <w:rPr>
          <w:rStyle w:val="FootnoteReference"/>
          <w:lang w:val="en-GB"/>
        </w:rPr>
        <w:footnoteReference w:id="57"/>
      </w:r>
      <w:r>
        <w:rPr>
          <w:lang w:val="en-GB"/>
        </w:rPr>
        <w:t xml:space="preserve">  She also cites the 1995 EP Resolution that proposed the establishment of a European Holocaust Remembrance Day.</w:t>
      </w:r>
      <w:r w:rsidR="00F21B21">
        <w:rPr>
          <w:rStyle w:val="FootnoteReference"/>
          <w:lang w:val="en-GB"/>
        </w:rPr>
        <w:footnoteReference w:id="58"/>
      </w:r>
      <w:r>
        <w:rPr>
          <w:lang w:val="en-GB"/>
        </w:rPr>
        <w:t xml:space="preserve">  Indeed she goes so far as to say that, ‘Defining the Holocaust as unique in its monstrosity became the only acceptable way of referring to the event’.</w:t>
      </w:r>
      <w:r w:rsidR="00F21B21">
        <w:rPr>
          <w:rStyle w:val="FootnoteReference"/>
          <w:lang w:val="en-GB"/>
        </w:rPr>
        <w:footnoteReference w:id="59"/>
      </w:r>
      <w:r>
        <w:rPr>
          <w:lang w:val="en-GB"/>
        </w:rPr>
        <w:t xml:space="preserve">  Th</w:t>
      </w:r>
      <w:r w:rsidR="00B154B4">
        <w:rPr>
          <w:lang w:val="en-GB"/>
        </w:rPr>
        <w:t xml:space="preserve">is </w:t>
      </w:r>
      <w:r w:rsidR="002976E1">
        <w:rPr>
          <w:lang w:val="en-GB"/>
        </w:rPr>
        <w:t xml:space="preserve">is the </w:t>
      </w:r>
      <w:r w:rsidR="00106F8E">
        <w:rPr>
          <w:lang w:val="en-GB"/>
        </w:rPr>
        <w:t xml:space="preserve">background against which the ‘Nazism and Stalinism as </w:t>
      </w:r>
      <w:r w:rsidR="007C5C48">
        <w:rPr>
          <w:lang w:val="en-GB"/>
        </w:rPr>
        <w:t xml:space="preserve">equally evil’ </w:t>
      </w:r>
      <w:r w:rsidR="002976E1">
        <w:rPr>
          <w:lang w:val="en-GB"/>
        </w:rPr>
        <w:t xml:space="preserve">memory frame </w:t>
      </w:r>
      <w:r w:rsidR="007C5C48">
        <w:rPr>
          <w:lang w:val="en-GB"/>
        </w:rPr>
        <w:t>has emerged</w:t>
      </w:r>
      <w:r>
        <w:rPr>
          <w:lang w:val="en-GB"/>
        </w:rPr>
        <w:t xml:space="preserve"> </w:t>
      </w:r>
      <w:r w:rsidR="002976E1">
        <w:rPr>
          <w:lang w:val="en-GB"/>
        </w:rPr>
        <w:t>as a challenge to</w:t>
      </w:r>
      <w:r>
        <w:rPr>
          <w:lang w:val="en-GB"/>
        </w:rPr>
        <w:t xml:space="preserve"> ‘the Holocaust as unique’</w:t>
      </w:r>
      <w:r w:rsidR="002976E1">
        <w:rPr>
          <w:lang w:val="en-GB"/>
        </w:rPr>
        <w:t xml:space="preserve"> memory frame</w:t>
      </w:r>
      <w:r>
        <w:rPr>
          <w:lang w:val="en-GB"/>
        </w:rPr>
        <w:t>.</w:t>
      </w:r>
    </w:p>
    <w:p w14:paraId="296FEF7D" w14:textId="77777777" w:rsidR="00EA6218" w:rsidRDefault="00EA6218">
      <w:pPr>
        <w:rPr>
          <w:lang w:val="en-GB"/>
        </w:rPr>
      </w:pPr>
    </w:p>
    <w:p w14:paraId="3D76CFFC" w14:textId="0280FEDB" w:rsidR="00EA6218" w:rsidRDefault="0DE8C684">
      <w:pPr>
        <w:rPr>
          <w:lang w:val="en-GB"/>
        </w:rPr>
      </w:pPr>
      <w:r>
        <w:rPr>
          <w:lang w:val="en-GB"/>
        </w:rPr>
        <w:t>The first sign of th</w:t>
      </w:r>
      <w:r w:rsidR="00CC715E">
        <w:rPr>
          <w:lang w:val="en-GB"/>
        </w:rPr>
        <w:t>e challenge</w:t>
      </w:r>
      <w:r>
        <w:rPr>
          <w:lang w:val="en-GB"/>
        </w:rPr>
        <w:t xml:space="preserve"> was the reaction to a proposal to ban, within the EU, </w:t>
      </w:r>
      <w:r w:rsidR="00CC715E">
        <w:rPr>
          <w:lang w:val="en-GB"/>
        </w:rPr>
        <w:t xml:space="preserve">the </w:t>
      </w:r>
      <w:r>
        <w:rPr>
          <w:lang w:val="en-GB"/>
        </w:rPr>
        <w:t>display of the swastika Nazi symbol.</w:t>
      </w:r>
      <w:r w:rsidR="00EE6C17">
        <w:rPr>
          <w:lang w:val="en-GB"/>
        </w:rPr>
        <w:t xml:space="preserve">  Using the law to ban certain symbols</w:t>
      </w:r>
      <w:r w:rsidR="00A22B2F">
        <w:rPr>
          <w:lang w:val="en-GB"/>
        </w:rPr>
        <w:t xml:space="preserve">, or to prohibit the denial of certain events, such as the Holocaust, </w:t>
      </w:r>
      <w:r w:rsidR="00B177FB">
        <w:rPr>
          <w:lang w:val="en-GB"/>
        </w:rPr>
        <w:t>is another manifestation of historical justice</w:t>
      </w:r>
      <w:r w:rsidR="00201AB2">
        <w:rPr>
          <w:lang w:val="en-GB"/>
        </w:rPr>
        <w:t xml:space="preserve"> frequently seen during or after a transition of regime</w:t>
      </w:r>
      <w:r w:rsidR="00B177FB">
        <w:rPr>
          <w:lang w:val="en-GB"/>
        </w:rPr>
        <w:t>.</w:t>
      </w:r>
      <w:r w:rsidR="00197049">
        <w:rPr>
          <w:rStyle w:val="FootnoteReference"/>
          <w:lang w:val="en-GB"/>
        </w:rPr>
        <w:footnoteReference w:id="60"/>
      </w:r>
      <w:r w:rsidR="00A7168F">
        <w:rPr>
          <w:lang w:val="en-GB"/>
        </w:rPr>
        <w:t xml:space="preserve">  </w:t>
      </w:r>
      <w:r>
        <w:rPr>
          <w:lang w:val="en-GB"/>
        </w:rPr>
        <w:t xml:space="preserve">Toth identified that a group of, ‘mostly conservative East European,’ MEPs sought to enlarge the </w:t>
      </w:r>
      <w:r w:rsidR="00E30EEE">
        <w:rPr>
          <w:lang w:val="en-GB"/>
        </w:rPr>
        <w:t xml:space="preserve">swastika </w:t>
      </w:r>
      <w:r>
        <w:rPr>
          <w:lang w:val="en-GB"/>
        </w:rPr>
        <w:t>ban to include display of the red star and the hammer and sickle</w:t>
      </w:r>
      <w:r w:rsidR="00E30EEE">
        <w:rPr>
          <w:lang w:val="en-GB"/>
        </w:rPr>
        <w:t xml:space="preserve"> </w:t>
      </w:r>
      <w:r w:rsidR="00E30EEE">
        <w:rPr>
          <w:lang w:val="en-GB"/>
        </w:rPr>
        <w:lastRenderedPageBreak/>
        <w:t>(i.e. key Soviet symbols)</w:t>
      </w:r>
      <w:r>
        <w:rPr>
          <w:lang w:val="en-GB"/>
        </w:rPr>
        <w:t>, lest there be an appearance of double standards.</w:t>
      </w:r>
      <w:r w:rsidR="00F21B21">
        <w:rPr>
          <w:rStyle w:val="FootnoteReference"/>
          <w:lang w:val="en-GB"/>
        </w:rPr>
        <w:footnoteReference w:id="61"/>
      </w:r>
      <w:r>
        <w:rPr>
          <w:lang w:val="en-GB"/>
        </w:rPr>
        <w:t xml:space="preserve">  No agreement was reached, and the proposal was eventually abandoned.</w:t>
      </w:r>
      <w:r w:rsidR="00F21B21">
        <w:rPr>
          <w:rStyle w:val="FootnoteReference"/>
          <w:lang w:val="en-GB"/>
        </w:rPr>
        <w:footnoteReference w:id="62"/>
      </w:r>
    </w:p>
    <w:p w14:paraId="7194DBDC" w14:textId="77777777" w:rsidR="00EA6218" w:rsidRDefault="00EA6218">
      <w:pPr>
        <w:rPr>
          <w:lang w:val="en-GB"/>
        </w:rPr>
      </w:pPr>
    </w:p>
    <w:p w14:paraId="1DDC252A" w14:textId="77777777" w:rsidR="00EA6218" w:rsidRDefault="0DE8C684">
      <w:pPr>
        <w:rPr>
          <w:lang w:val="en-GB"/>
        </w:rPr>
      </w:pPr>
      <w:r>
        <w:rPr>
          <w:lang w:val="en-GB"/>
        </w:rPr>
        <w:t>The 2006 Decision of the Council and European Parliament ‘establishing for the period 2007 to 2013 the programme “Europe for Citizens” to promote active European citizenship’ was the first successful attempt to achieve a shift in the EU’s perspective on a European memory frame.</w:t>
      </w:r>
      <w:r w:rsidR="00F21B21">
        <w:rPr>
          <w:rStyle w:val="FootnoteReference"/>
          <w:lang w:val="en-GB"/>
        </w:rPr>
        <w:footnoteReference w:id="63"/>
      </w:r>
      <w:r>
        <w:rPr>
          <w:lang w:val="en-GB"/>
        </w:rPr>
        <w:t xml:space="preserve">  It included an ‘Action’ on ‘Active European Remembrance’ that provided project funding:</w:t>
      </w:r>
    </w:p>
    <w:p w14:paraId="2745CEA5" w14:textId="77777777" w:rsidR="00EA6218" w:rsidRDefault="00F21B21">
      <w:pPr>
        <w:ind w:left="720"/>
        <w:rPr>
          <w:lang w:val="en-GB"/>
        </w:rPr>
      </w:pPr>
      <w:r>
        <w:rPr>
          <w:lang w:val="en-GB"/>
        </w:rPr>
        <w:t xml:space="preserve">- for the preservation of the main sites and memorials associated with the mass deportations, the former concentration camps and other large-scale martyrdom and extermination sites of Nazism, as well as the archives documenting these events and for keeping alive the memory of the victims, as well as the memory of those who, under extreme conditions, rescued people from the </w:t>
      </w:r>
      <w:proofErr w:type="gramStart"/>
      <w:r>
        <w:rPr>
          <w:lang w:val="en-GB"/>
        </w:rPr>
        <w:t>Holocaust;</w:t>
      </w:r>
      <w:proofErr w:type="gramEnd"/>
      <w:r>
        <w:rPr>
          <w:lang w:val="en-GB"/>
        </w:rPr>
        <w:t xml:space="preserve"> </w:t>
      </w:r>
    </w:p>
    <w:p w14:paraId="21A560CE" w14:textId="77777777" w:rsidR="00EA6218" w:rsidRDefault="0DE8C684">
      <w:pPr>
        <w:ind w:left="720"/>
        <w:rPr>
          <w:lang w:val="en-GB"/>
        </w:rPr>
      </w:pPr>
      <w:r>
        <w:rPr>
          <w:lang w:val="en-GB"/>
        </w:rPr>
        <w:t>- for the commemoration of the victims of mass exterminations and mass deportations associated with Stalinism, as well as the preservation of the memorials and archives documenting these events.</w:t>
      </w:r>
      <w:r w:rsidR="00F21B21">
        <w:rPr>
          <w:rStyle w:val="FootnoteReference"/>
          <w:lang w:val="en-GB"/>
        </w:rPr>
        <w:footnoteReference w:id="64"/>
      </w:r>
    </w:p>
    <w:p w14:paraId="769D0D3C" w14:textId="77777777" w:rsidR="00EA6218" w:rsidRDefault="00EA6218">
      <w:pPr>
        <w:rPr>
          <w:lang w:val="en-GB"/>
        </w:rPr>
      </w:pPr>
    </w:p>
    <w:p w14:paraId="7D115571" w14:textId="77777777" w:rsidR="00EA6218" w:rsidRDefault="00F21B21">
      <w:pPr>
        <w:rPr>
          <w:lang w:val="en-GB"/>
        </w:rPr>
      </w:pPr>
      <w:r>
        <w:rPr>
          <w:lang w:val="en-GB"/>
        </w:rPr>
        <w:t xml:space="preserve">This Decision is the precursor first to Council Regulation (EU) No 390/2014 of 14 April 2014 ‘establishing the “Europe for Citizens” programme for the period 2014-2020’, and now also to the currently operative 2021 CERV Regulation, introduced above.  </w:t>
      </w:r>
    </w:p>
    <w:p w14:paraId="54CD245A" w14:textId="77777777" w:rsidR="00EA6218" w:rsidRDefault="00EA6218">
      <w:pPr>
        <w:rPr>
          <w:lang w:val="en-GB"/>
        </w:rPr>
      </w:pPr>
    </w:p>
    <w:p w14:paraId="53989ACD" w14:textId="261A3DA5" w:rsidR="00EA6218" w:rsidRDefault="0DE8C684">
      <w:pPr>
        <w:rPr>
          <w:lang w:val="en-GB"/>
        </w:rPr>
      </w:pPr>
      <w:r>
        <w:rPr>
          <w:lang w:val="en-GB"/>
        </w:rPr>
        <w:t xml:space="preserve">It is too early to assess the activities of the CERV, but it is pertinent to note some observations about its forebears.  </w:t>
      </w:r>
      <w:proofErr w:type="spellStart"/>
      <w:r>
        <w:rPr>
          <w:lang w:val="en-GB"/>
        </w:rPr>
        <w:t>Littoz</w:t>
      </w:r>
      <w:proofErr w:type="spellEnd"/>
      <w:r>
        <w:rPr>
          <w:lang w:val="en-GB"/>
        </w:rPr>
        <w:t>-Monnet observed that in 2009 just 25% of the funding awarded under the ‘Active European Remembrance’ Action went to projects that examined the crimes of Stalinism (or both Stalinism and Nazism).</w:t>
      </w:r>
      <w:r w:rsidR="00F21B21">
        <w:rPr>
          <w:rStyle w:val="FootnoteReference"/>
          <w:lang w:val="en-GB"/>
        </w:rPr>
        <w:footnoteReference w:id="65"/>
      </w:r>
      <w:r>
        <w:rPr>
          <w:lang w:val="en-GB"/>
        </w:rPr>
        <w:t xml:space="preserve">  The most recent data, covering 2014-2021, shows a similar emphasis.</w:t>
      </w:r>
      <w:r w:rsidR="00F21B21">
        <w:rPr>
          <w:rStyle w:val="FootnoteReference"/>
          <w:lang w:val="en-GB"/>
        </w:rPr>
        <w:footnoteReference w:id="66"/>
      </w:r>
      <w:r>
        <w:rPr>
          <w:lang w:val="en-GB"/>
        </w:rPr>
        <w:t xml:space="preserve">  </w:t>
      </w:r>
      <w:r w:rsidR="00D724CB">
        <w:rPr>
          <w:lang w:val="en-GB"/>
        </w:rPr>
        <w:t xml:space="preserve">Research undertaken </w:t>
      </w:r>
      <w:r w:rsidR="00971A8D">
        <w:rPr>
          <w:lang w:val="en-GB"/>
        </w:rPr>
        <w:t>for this Working Paper identified that t</w:t>
      </w:r>
      <w:r>
        <w:rPr>
          <w:lang w:val="en-GB"/>
        </w:rPr>
        <w:t xml:space="preserve">he data list some 321 projects on </w:t>
      </w:r>
      <w:r>
        <w:rPr>
          <w:lang w:val="en-GB"/>
        </w:rPr>
        <w:lastRenderedPageBreak/>
        <w:t xml:space="preserve">‘European Remembrance’.  </w:t>
      </w:r>
      <w:r w:rsidR="00971A8D">
        <w:rPr>
          <w:lang w:val="en-GB"/>
        </w:rPr>
        <w:t>However, we also found that j</w:t>
      </w:r>
      <w:r>
        <w:rPr>
          <w:lang w:val="en-GB"/>
        </w:rPr>
        <w:t>ust 28 of them contain any reference at all to ‘Stalin’, ‘Stalinism, ‘communist’ or ‘communism’ in their descriptions.</w:t>
      </w:r>
      <w:r w:rsidR="00F21B21">
        <w:rPr>
          <w:rStyle w:val="FootnoteReference"/>
          <w:lang w:val="en-GB"/>
        </w:rPr>
        <w:footnoteReference w:id="67"/>
      </w:r>
    </w:p>
    <w:p w14:paraId="1231BE67" w14:textId="77777777" w:rsidR="00EA6218" w:rsidRDefault="00EA6218">
      <w:pPr>
        <w:rPr>
          <w:lang w:val="en-GB"/>
        </w:rPr>
      </w:pPr>
    </w:p>
    <w:p w14:paraId="43086C1D" w14:textId="2C63CA45" w:rsidR="00EA6218" w:rsidRDefault="0DE8C684">
      <w:pPr>
        <w:rPr>
          <w:lang w:val="en-GB"/>
        </w:rPr>
      </w:pPr>
      <w:r>
        <w:rPr>
          <w:lang w:val="en-GB"/>
        </w:rPr>
        <w:t xml:space="preserve">It is for our purposes also important to observe that Active European Remembrance has engaged directly with projects involving </w:t>
      </w:r>
      <w:r w:rsidRPr="00971A8D">
        <w:rPr>
          <w:i/>
          <w:iCs/>
          <w:lang w:val="en-GB"/>
        </w:rPr>
        <w:t>all</w:t>
      </w:r>
      <w:r>
        <w:rPr>
          <w:lang w:val="en-GB"/>
        </w:rPr>
        <w:t xml:space="preserve"> the </w:t>
      </w:r>
      <w:proofErr w:type="spellStart"/>
      <w:r>
        <w:rPr>
          <w:lang w:val="en-GB"/>
        </w:rPr>
        <w:t>RePAST</w:t>
      </w:r>
      <w:proofErr w:type="spellEnd"/>
      <w:r>
        <w:rPr>
          <w:lang w:val="en-GB"/>
        </w:rPr>
        <w:t xml:space="preserve"> states</w:t>
      </w:r>
      <w:r w:rsidR="00971A8D">
        <w:rPr>
          <w:lang w:val="en-GB"/>
        </w:rPr>
        <w:t>, and not just those that are EU Member States</w:t>
      </w:r>
      <w:r>
        <w:rPr>
          <w:lang w:val="en-GB"/>
        </w:rPr>
        <w:t>.  These projects have included, for example, the ‘Youth and memory activism’ project, which examined the legacy of Francoist Spain, the division of Cyprus, and transitional justice in Bosnia Herzegovina.</w:t>
      </w:r>
      <w:r w:rsidR="00F21B21">
        <w:rPr>
          <w:rStyle w:val="FootnoteReference"/>
          <w:lang w:val="en-GB"/>
        </w:rPr>
        <w:footnoteReference w:id="68"/>
      </w:r>
      <w:r>
        <w:rPr>
          <w:lang w:val="en-GB"/>
        </w:rPr>
        <w:t xml:space="preserve">  Another relevant example is the project '1989: Fall of Communism in Eastern Europe, Development of the strategic game for the young Europeans’, which involved Poland, Germany, Spain, and the UK, amongst others.</w:t>
      </w:r>
      <w:r w:rsidR="00F21B21">
        <w:rPr>
          <w:rStyle w:val="FootnoteReference"/>
          <w:lang w:val="en-GB"/>
        </w:rPr>
        <w:footnoteReference w:id="69"/>
      </w:r>
      <w:r>
        <w:rPr>
          <w:lang w:val="en-GB"/>
        </w:rPr>
        <w:t xml:space="preserve">  Space and sanity preclude presenting </w:t>
      </w:r>
      <w:r w:rsidRPr="00A80AE8">
        <w:rPr>
          <w:i/>
          <w:iCs/>
          <w:lang w:val="en-GB"/>
        </w:rPr>
        <w:t>all</w:t>
      </w:r>
      <w:r>
        <w:rPr>
          <w:lang w:val="en-GB"/>
        </w:rPr>
        <w:t xml:space="preserve"> the </w:t>
      </w:r>
      <w:r w:rsidR="00D2404F">
        <w:rPr>
          <w:lang w:val="en-GB"/>
        </w:rPr>
        <w:t xml:space="preserve">28 </w:t>
      </w:r>
      <w:r>
        <w:rPr>
          <w:lang w:val="en-GB"/>
        </w:rPr>
        <w:t>relevant projects of the 321 that have been funded from 2014-2021.</w:t>
      </w:r>
    </w:p>
    <w:p w14:paraId="36FEB5B0" w14:textId="77777777" w:rsidR="00EA6218" w:rsidRDefault="00EA6218">
      <w:pPr>
        <w:rPr>
          <w:highlight w:val="yellow"/>
          <w:lang w:val="en-GB"/>
        </w:rPr>
      </w:pPr>
    </w:p>
    <w:p w14:paraId="51A70D9F" w14:textId="1676DF92" w:rsidR="00EA6218" w:rsidRDefault="0DE8C684">
      <w:pPr>
        <w:rPr>
          <w:highlight w:val="yellow"/>
          <w:lang w:val="en-GB"/>
        </w:rPr>
      </w:pPr>
      <w:r>
        <w:rPr>
          <w:lang w:val="en-GB"/>
        </w:rPr>
        <w:t xml:space="preserve">If Active European Remembrance led to at least </w:t>
      </w:r>
      <w:r w:rsidRPr="0DE8C684">
        <w:rPr>
          <w:i/>
          <w:iCs/>
          <w:lang w:val="en-GB"/>
        </w:rPr>
        <w:t>some</w:t>
      </w:r>
      <w:r>
        <w:rPr>
          <w:lang w:val="en-GB"/>
        </w:rPr>
        <w:t xml:space="preserve"> funding to be allocated through a memory frame other than ‘the Holocaust as unique’, that does not mean that attempts to argue for the ‘equivalence’ of the experiences under communism and Stalinism have succeeded.  This is despite the best efforts of the ‘Reconciliation of European Histories Group’</w:t>
      </w:r>
      <w:r w:rsidR="00F21B21">
        <w:rPr>
          <w:rStyle w:val="FootnoteReference"/>
          <w:lang w:val="en-GB"/>
        </w:rPr>
        <w:footnoteReference w:id="70"/>
      </w:r>
      <w:r>
        <w:rPr>
          <w:lang w:val="en-GB"/>
        </w:rPr>
        <w:t xml:space="preserve"> of mostly right-of-centre, mostly East European, MEPs in the European Parliament</w:t>
      </w:r>
      <w:r w:rsidR="00F21B21">
        <w:rPr>
          <w:rStyle w:val="FootnoteReference"/>
          <w:lang w:val="en-GB"/>
        </w:rPr>
        <w:footnoteReference w:id="71"/>
      </w:r>
      <w:r>
        <w:rPr>
          <w:lang w:val="en-GB"/>
        </w:rPr>
        <w:t>(i.e. those identified by Toth) and non-EU initiatives such as the 2008 Prague Declaration on European Conscience and Communism (the result of a conference of European politicians, former political prisoners</w:t>
      </w:r>
      <w:r w:rsidR="007E60B5">
        <w:rPr>
          <w:lang w:val="en-GB"/>
        </w:rPr>
        <w:t>,</w:t>
      </w:r>
      <w:r>
        <w:rPr>
          <w:lang w:val="en-GB"/>
        </w:rPr>
        <w:t xml:space="preserve"> and historians</w:t>
      </w:r>
      <w:r w:rsidR="007E60B5">
        <w:rPr>
          <w:lang w:val="en-GB"/>
        </w:rPr>
        <w:t>;</w:t>
      </w:r>
      <w:r>
        <w:rPr>
          <w:lang w:val="en-GB"/>
        </w:rPr>
        <w:t xml:space="preserve"> organised by the government of the Czech Republic / Czechia).</w:t>
      </w:r>
      <w:r w:rsidR="00F21B21">
        <w:rPr>
          <w:rStyle w:val="FootnoteReference"/>
          <w:lang w:val="en-GB"/>
        </w:rPr>
        <w:footnoteReference w:id="72"/>
      </w:r>
      <w:r>
        <w:rPr>
          <w:lang w:val="en-GB"/>
        </w:rPr>
        <w:t xml:space="preserve">  On this point, the present Working Paper would therefore draw slightly different conclusions to Deliverable 6.16 </w:t>
      </w:r>
      <w:proofErr w:type="spellStart"/>
      <w:r>
        <w:rPr>
          <w:lang w:val="en-GB"/>
        </w:rPr>
        <w:t>PRfEU</w:t>
      </w:r>
      <w:proofErr w:type="spellEnd"/>
      <w:r>
        <w:rPr>
          <w:lang w:val="en-GB"/>
        </w:rPr>
        <w:t xml:space="preserve">.  </w:t>
      </w:r>
    </w:p>
    <w:p w14:paraId="30D7AA69" w14:textId="77777777" w:rsidR="00EA6218" w:rsidRDefault="00EA6218">
      <w:pPr>
        <w:rPr>
          <w:lang w:val="en-GB"/>
        </w:rPr>
      </w:pPr>
    </w:p>
    <w:p w14:paraId="4AAFA7D3" w14:textId="4A3C3311" w:rsidR="00EA6218" w:rsidRDefault="00F21B21">
      <w:pPr>
        <w:rPr>
          <w:lang w:val="en-GB"/>
        </w:rPr>
      </w:pPr>
      <w:r>
        <w:rPr>
          <w:lang w:val="en-GB"/>
        </w:rPr>
        <w:t xml:space="preserve">D6.16 </w:t>
      </w:r>
      <w:proofErr w:type="spellStart"/>
      <w:r>
        <w:rPr>
          <w:lang w:val="en-GB"/>
        </w:rPr>
        <w:t>PRfEU</w:t>
      </w:r>
      <w:proofErr w:type="spellEnd"/>
      <w:r>
        <w:rPr>
          <w:lang w:val="en-GB"/>
        </w:rPr>
        <w:t xml:space="preserve"> states that,  </w:t>
      </w:r>
    </w:p>
    <w:p w14:paraId="75A8FB5E" w14:textId="58CAF65E" w:rsidR="00EA6218" w:rsidRDefault="0DE8C684">
      <w:pPr>
        <w:ind w:left="720"/>
        <w:rPr>
          <w:lang w:val="en-GB"/>
        </w:rPr>
      </w:pPr>
      <w:r>
        <w:rPr>
          <w:lang w:val="en-GB"/>
        </w:rPr>
        <w:t xml:space="preserve">the creation of common EU mnemonic structures [in this paper, ‘memory frames’] intensified and reached its peak in 2009 when the EP Resolution on European conscience on totalitarianism was adopted. This resolution, for the first time in history, put the atrocities of </w:t>
      </w:r>
      <w:r>
        <w:rPr>
          <w:lang w:val="en-GB"/>
        </w:rPr>
        <w:lastRenderedPageBreak/>
        <w:t xml:space="preserve">Communism </w:t>
      </w:r>
      <w:r w:rsidRPr="00E8151F">
        <w:rPr>
          <w:i/>
          <w:iCs/>
          <w:lang w:val="en-GB"/>
        </w:rPr>
        <w:t>on the same level</w:t>
      </w:r>
      <w:r>
        <w:rPr>
          <w:lang w:val="en-GB"/>
        </w:rPr>
        <w:t xml:space="preserve"> as those committed by Nazism and Fascism; it also labelled Communism an </w:t>
      </w:r>
      <w:r w:rsidRPr="00E8151F">
        <w:rPr>
          <w:i/>
          <w:iCs/>
          <w:lang w:val="en-GB"/>
        </w:rPr>
        <w:t>equally brutal</w:t>
      </w:r>
      <w:r>
        <w:rPr>
          <w:lang w:val="en-GB"/>
        </w:rPr>
        <w:t xml:space="preserve"> totalitarian and authoritarian regime.</w:t>
      </w:r>
      <w:r w:rsidR="00F21B21">
        <w:rPr>
          <w:rStyle w:val="FootnoteReference"/>
          <w:lang w:val="en-GB"/>
        </w:rPr>
        <w:footnoteReference w:id="73"/>
      </w:r>
      <w:r w:rsidR="00E8151F">
        <w:rPr>
          <w:lang w:val="en-GB"/>
        </w:rPr>
        <w:t xml:space="preserve"> [emphasis added</w:t>
      </w:r>
      <w:r w:rsidR="004A2659">
        <w:rPr>
          <w:lang w:val="en-GB"/>
        </w:rPr>
        <w:t>]</w:t>
      </w:r>
    </w:p>
    <w:p w14:paraId="7196D064" w14:textId="77777777" w:rsidR="00EA6218" w:rsidRDefault="00EA6218">
      <w:pPr>
        <w:rPr>
          <w:lang w:val="en-GB"/>
        </w:rPr>
      </w:pPr>
    </w:p>
    <w:p w14:paraId="0C987BBD" w14:textId="52887153" w:rsidR="00EA6218" w:rsidRDefault="00F21B21">
      <w:pPr>
        <w:rPr>
          <w:lang w:val="en-GB"/>
        </w:rPr>
      </w:pPr>
      <w:r>
        <w:rPr>
          <w:lang w:val="en-GB"/>
        </w:rPr>
        <w:t xml:space="preserve">First, we must recall that Resolutions of the European Parliament do not represent the view of the </w:t>
      </w:r>
      <w:proofErr w:type="gramStart"/>
      <w:r>
        <w:rPr>
          <w:lang w:val="en-GB"/>
        </w:rPr>
        <w:t>EU as a whole</w:t>
      </w:r>
      <w:proofErr w:type="gramEnd"/>
      <w:r>
        <w:rPr>
          <w:lang w:val="en-GB"/>
        </w:rPr>
        <w:t xml:space="preserve">.  They are not legislative acts but rather, often </w:t>
      </w:r>
      <w:r w:rsidR="00DA6D68">
        <w:rPr>
          <w:lang w:val="en-GB"/>
        </w:rPr>
        <w:t>self-serving</w:t>
      </w:r>
      <w:r w:rsidR="00C6030A">
        <w:rPr>
          <w:lang w:val="en-GB"/>
        </w:rPr>
        <w:t>, political statements</w:t>
      </w:r>
      <w:r w:rsidR="00F54A01">
        <w:rPr>
          <w:lang w:val="en-GB"/>
        </w:rPr>
        <w:t xml:space="preserve"> adopted by a</w:t>
      </w:r>
      <w:r w:rsidR="000D5900">
        <w:rPr>
          <w:lang w:val="en-GB"/>
        </w:rPr>
        <w:t>n absolute majority</w:t>
      </w:r>
      <w:r w:rsidR="00F54A01">
        <w:rPr>
          <w:lang w:val="en-GB"/>
        </w:rPr>
        <w:t xml:space="preserve"> vote</w:t>
      </w:r>
      <w:r>
        <w:rPr>
          <w:lang w:val="en-GB"/>
        </w:rPr>
        <w:t xml:space="preserve">.  </w:t>
      </w:r>
      <w:r w:rsidR="002E2A1B">
        <w:rPr>
          <w:lang w:val="en-GB"/>
        </w:rPr>
        <w:t xml:space="preserve">Thus, they may not even represent the view of the </w:t>
      </w:r>
      <w:r w:rsidR="00FA0FB4">
        <w:rPr>
          <w:lang w:val="en-GB"/>
        </w:rPr>
        <w:t xml:space="preserve">Parliament as a whole.  </w:t>
      </w:r>
      <w:r>
        <w:rPr>
          <w:lang w:val="en-GB"/>
        </w:rPr>
        <w:t>We consider that the EU’s work in respect of Active European Remembrance discussed here and the Stockholm Programme, CFSP and development cooperation policies discussed below, to be much more significant.</w:t>
      </w:r>
    </w:p>
    <w:p w14:paraId="34FF1C98" w14:textId="77777777" w:rsidR="00EA6218" w:rsidRDefault="00EA6218">
      <w:pPr>
        <w:rPr>
          <w:lang w:val="en-GB"/>
        </w:rPr>
      </w:pPr>
    </w:p>
    <w:p w14:paraId="64395A93" w14:textId="189EC3E3" w:rsidR="00EA6218" w:rsidRDefault="0DE8C684">
      <w:pPr>
        <w:rPr>
          <w:lang w:val="en-GB"/>
        </w:rPr>
      </w:pPr>
      <w:r>
        <w:rPr>
          <w:lang w:val="en-GB"/>
        </w:rPr>
        <w:t xml:space="preserve">Second, </w:t>
      </w:r>
      <w:r w:rsidR="00F97E60">
        <w:rPr>
          <w:lang w:val="en-GB"/>
        </w:rPr>
        <w:t>and although the Resolution is not a ‘law’</w:t>
      </w:r>
      <w:r w:rsidR="006E0021">
        <w:rPr>
          <w:lang w:val="en-GB"/>
        </w:rPr>
        <w:t>,</w:t>
      </w:r>
      <w:r w:rsidR="00F97E60">
        <w:rPr>
          <w:lang w:val="en-GB"/>
        </w:rPr>
        <w:t xml:space="preserve"> </w:t>
      </w:r>
      <w:r w:rsidR="00F140C6">
        <w:rPr>
          <w:lang w:val="en-GB"/>
        </w:rPr>
        <w:t xml:space="preserve">it can be subject to the type of </w:t>
      </w:r>
      <w:r w:rsidR="0021362A">
        <w:rPr>
          <w:lang w:val="en-GB"/>
        </w:rPr>
        <w:t>close textual analysis</w:t>
      </w:r>
      <w:r w:rsidR="00F235CA">
        <w:rPr>
          <w:lang w:val="en-GB"/>
        </w:rPr>
        <w:t xml:space="preserve"> typically employed by lawyers.  </w:t>
      </w:r>
      <w:r>
        <w:rPr>
          <w:lang w:val="en-GB"/>
        </w:rPr>
        <w:t xml:space="preserve">The Resolution </w:t>
      </w:r>
      <w:r w:rsidRPr="0DE8C684">
        <w:rPr>
          <w:i/>
          <w:iCs/>
          <w:lang w:val="en-GB"/>
        </w:rPr>
        <w:t>does</w:t>
      </w:r>
      <w:r>
        <w:rPr>
          <w:lang w:val="en-GB"/>
        </w:rPr>
        <w:t xml:space="preserve"> state that, ‘Europe will not be united unless it is able to form a common view of its history, recognises Nazism, Stalinism and fascist and Communist regimes as a common legacy’,</w:t>
      </w:r>
      <w:r w:rsidR="00F21B21">
        <w:rPr>
          <w:rStyle w:val="FootnoteReference"/>
          <w:lang w:val="en-GB"/>
        </w:rPr>
        <w:footnoteReference w:id="74"/>
      </w:r>
      <w:r>
        <w:rPr>
          <w:lang w:val="en-GB"/>
        </w:rPr>
        <w:t xml:space="preserve"> but it pointedly does </w:t>
      </w:r>
      <w:r w:rsidRPr="0DE8C684">
        <w:rPr>
          <w:i/>
          <w:iCs/>
          <w:lang w:val="en-GB"/>
        </w:rPr>
        <w:t>not</w:t>
      </w:r>
      <w:r>
        <w:rPr>
          <w:lang w:val="en-GB"/>
        </w:rPr>
        <w:t xml:space="preserve"> make any </w:t>
      </w:r>
      <w:r w:rsidRPr="005654C7">
        <w:rPr>
          <w:i/>
          <w:iCs/>
          <w:lang w:val="en-GB"/>
        </w:rPr>
        <w:t>direct</w:t>
      </w:r>
      <w:r>
        <w:rPr>
          <w:lang w:val="en-GB"/>
        </w:rPr>
        <w:t xml:space="preserve"> comparison between the horrors of those regimes.  In fact, in the typically awkward </w:t>
      </w:r>
      <w:proofErr w:type="gramStart"/>
      <w:r>
        <w:rPr>
          <w:lang w:val="en-GB"/>
        </w:rPr>
        <w:t>legal-ese</w:t>
      </w:r>
      <w:proofErr w:type="gramEnd"/>
      <w:r>
        <w:rPr>
          <w:lang w:val="en-GB"/>
        </w:rPr>
        <w:t xml:space="preserve"> associated with the preambles to some legal texts, the preamble states that:</w:t>
      </w:r>
    </w:p>
    <w:p w14:paraId="6FEB6AB0" w14:textId="77777777" w:rsidR="00EA6218" w:rsidRDefault="0DE8C684">
      <w:pPr>
        <w:ind w:left="720"/>
        <w:rPr>
          <w:lang w:val="en-GB"/>
        </w:rPr>
      </w:pPr>
      <w:r>
        <w:rPr>
          <w:lang w:val="en-GB"/>
        </w:rPr>
        <w:t xml:space="preserve">whereas millions of victims were deported, imprisoned, tortured and murdered by totalitarian and authoritarian regimes during the 20th century in Europe; </w:t>
      </w:r>
      <w:r w:rsidRPr="0DE8C684">
        <w:rPr>
          <w:i/>
          <w:iCs/>
          <w:lang w:val="en-GB"/>
        </w:rPr>
        <w:t>whereas the uniqueness of the Holocaust must nevertheless be acknowledged</w:t>
      </w:r>
      <w:r>
        <w:rPr>
          <w:lang w:val="en-GB"/>
        </w:rPr>
        <w:t xml:space="preserve"> [emphasis added]</w:t>
      </w:r>
      <w:r w:rsidR="00F21B21">
        <w:rPr>
          <w:rStyle w:val="FootnoteReference"/>
          <w:lang w:val="en-GB"/>
        </w:rPr>
        <w:footnoteReference w:id="75"/>
      </w:r>
    </w:p>
    <w:p w14:paraId="6D072C0D" w14:textId="77777777" w:rsidR="00EA6218" w:rsidRDefault="00EA6218">
      <w:pPr>
        <w:rPr>
          <w:lang w:val="en-GB"/>
        </w:rPr>
      </w:pPr>
    </w:p>
    <w:p w14:paraId="0E45E552" w14:textId="77777777" w:rsidR="00EA6218" w:rsidRDefault="00F21B21">
      <w:pPr>
        <w:rPr>
          <w:lang w:val="en-GB"/>
        </w:rPr>
      </w:pPr>
      <w:r>
        <w:rPr>
          <w:lang w:val="en-GB"/>
        </w:rPr>
        <w:t xml:space="preserve">This would seem expressly to reaffirm the ‘Holocaust as unique’ memory frame and to reject that any other events have been equivalent to the Holocaust.  </w:t>
      </w:r>
    </w:p>
    <w:p w14:paraId="48A21919" w14:textId="77777777" w:rsidR="00EA6218" w:rsidRDefault="00EA6218">
      <w:pPr>
        <w:rPr>
          <w:lang w:val="en-GB"/>
        </w:rPr>
      </w:pPr>
    </w:p>
    <w:p w14:paraId="03F35D73" w14:textId="77777777" w:rsidR="00EA6218" w:rsidRDefault="0DE8C684">
      <w:pPr>
        <w:rPr>
          <w:lang w:val="en-GB"/>
        </w:rPr>
      </w:pPr>
      <w:r>
        <w:rPr>
          <w:lang w:val="en-GB"/>
        </w:rPr>
        <w:t xml:space="preserve">Likewise, in the operative part of the Resolution, as adopted, the European Parliament proclaimed 23 August as ‘a Europe-wide Day of Remembrance for the victims of all totalitarian and authoritarian regimes’, whereas the earlier non-EU Prague Declaration had proposed the same date as, ‘a day of remembrance of the victims of both Nazi and Communist totalitarian regimes, </w:t>
      </w:r>
      <w:r w:rsidRPr="0DE8C684">
        <w:rPr>
          <w:i/>
          <w:iCs/>
          <w:lang w:val="en-GB"/>
        </w:rPr>
        <w:t>in the same way</w:t>
      </w:r>
      <w:r>
        <w:rPr>
          <w:lang w:val="en-GB"/>
        </w:rPr>
        <w:t xml:space="preserve"> Europe remembers the victims of the Holocaust on January 27’ [emphasis added].</w:t>
      </w:r>
      <w:r w:rsidR="00F21B21">
        <w:rPr>
          <w:rStyle w:val="FootnoteReference"/>
          <w:lang w:val="en-GB"/>
        </w:rPr>
        <w:footnoteReference w:id="76"/>
      </w:r>
      <w:r>
        <w:rPr>
          <w:lang w:val="en-GB"/>
        </w:rPr>
        <w:t xml:space="preserve">  The latter formulation would have more clearly indicated the acceptance that the Holocaust was not unique, and its rejection by the Parliament simply cannot be accidental.  </w:t>
      </w:r>
    </w:p>
    <w:p w14:paraId="6BD18F9B" w14:textId="77777777" w:rsidR="00EA6218" w:rsidRDefault="00EA6218">
      <w:pPr>
        <w:rPr>
          <w:lang w:val="en-GB"/>
        </w:rPr>
      </w:pPr>
    </w:p>
    <w:p w14:paraId="1A002BD6" w14:textId="04F87443" w:rsidR="00EA6218" w:rsidRDefault="0DE8C684">
      <w:pPr>
        <w:rPr>
          <w:lang w:val="en-GB"/>
        </w:rPr>
      </w:pPr>
      <w:r>
        <w:rPr>
          <w:lang w:val="en-GB"/>
        </w:rPr>
        <w:lastRenderedPageBreak/>
        <w:t xml:space="preserve">Where the 2009 Resolution </w:t>
      </w:r>
      <w:r w:rsidRPr="0DE8C684">
        <w:rPr>
          <w:i/>
          <w:iCs/>
          <w:lang w:val="en-GB"/>
        </w:rPr>
        <w:t>does</w:t>
      </w:r>
      <w:r>
        <w:rPr>
          <w:lang w:val="en-GB"/>
        </w:rPr>
        <w:t xml:space="preserve"> both </w:t>
      </w:r>
      <w:r w:rsidRPr="00997A1F">
        <w:rPr>
          <w:lang w:val="en-GB"/>
        </w:rPr>
        <w:t>follow the Prague Declaration and achieve something tangible is by calling for the creation of a ‘Platform of European Memory and Conscience’ in order to coordinate pan-European research into all totalitarian regimes.</w:t>
      </w:r>
      <w:r w:rsidR="00F21B21" w:rsidRPr="00997A1F">
        <w:rPr>
          <w:rStyle w:val="FootnoteReference"/>
          <w:lang w:val="en-GB"/>
        </w:rPr>
        <w:footnoteReference w:id="77"/>
      </w:r>
      <w:r w:rsidR="00D15B10">
        <w:rPr>
          <w:lang w:val="en-GB"/>
        </w:rPr>
        <w:t xml:space="preserve">  </w:t>
      </w:r>
      <w:r>
        <w:rPr>
          <w:lang w:val="en-GB"/>
        </w:rPr>
        <w:t>The Platform was legally established in the Czech Republic</w:t>
      </w:r>
      <w:r w:rsidR="00804E47">
        <w:rPr>
          <w:lang w:val="en-GB"/>
        </w:rPr>
        <w:t xml:space="preserve"> / Czechia</w:t>
      </w:r>
      <w:r>
        <w:rPr>
          <w:lang w:val="en-GB"/>
        </w:rPr>
        <w:t xml:space="preserve"> in 2011 as a non-profit international NGO linking together currently 62 public and private organisations across 20 states, including 14 from the EU.</w:t>
      </w:r>
      <w:r w:rsidR="00F21B21">
        <w:rPr>
          <w:rStyle w:val="FootnoteReference"/>
          <w:lang w:val="en-GB"/>
        </w:rPr>
        <w:footnoteReference w:id="78"/>
      </w:r>
      <w:r>
        <w:rPr>
          <w:lang w:val="en-GB"/>
        </w:rPr>
        <w:t xml:space="preserve">  Its founding agreement stated that the organisations it will support will specialise in, ‘the subject of the history of totalitarian regimes, with special emphasis on National socialism, Communism and other totalitarian ideologies’.</w:t>
      </w:r>
      <w:r w:rsidR="00F21B21">
        <w:rPr>
          <w:rStyle w:val="FootnoteReference"/>
          <w:lang w:val="en-GB"/>
        </w:rPr>
        <w:footnoteReference w:id="79"/>
      </w:r>
      <w:r>
        <w:rPr>
          <w:lang w:val="en-GB"/>
        </w:rPr>
        <w:t xml:space="preserve">  It is, therefore, on the face of it, neutral as to its focus upon a particular form or era of totalitarianism.   </w:t>
      </w:r>
    </w:p>
    <w:p w14:paraId="0F3CABC7" w14:textId="77777777" w:rsidR="00EA6218" w:rsidRDefault="00EA6218">
      <w:pPr>
        <w:rPr>
          <w:lang w:val="en-GB"/>
        </w:rPr>
      </w:pPr>
    </w:p>
    <w:p w14:paraId="2702163D" w14:textId="77777777" w:rsidR="00EA6218" w:rsidRDefault="0DE8C684">
      <w:pPr>
        <w:rPr>
          <w:lang w:val="en-GB"/>
        </w:rPr>
      </w:pPr>
      <w:r>
        <w:rPr>
          <w:lang w:val="en-GB"/>
        </w:rPr>
        <w:t xml:space="preserve">In fulfilling its mandate, the Platform undertakes many innovative activities not unlike those recommended in D6.16 </w:t>
      </w:r>
      <w:proofErr w:type="spellStart"/>
      <w:r>
        <w:rPr>
          <w:lang w:val="en-GB"/>
        </w:rPr>
        <w:t>PRfEU</w:t>
      </w:r>
      <w:proofErr w:type="spellEnd"/>
      <w:r>
        <w:rPr>
          <w:lang w:val="en-GB"/>
        </w:rPr>
        <w:t>, including organising conferences and holding education and commemoration events.  Notably, it has prepared an international travelling exhibition entitled ‘Totalitarianism in Europe’ which has so far been presented in 22 cities in 19 countries in Europe and North America.</w:t>
      </w:r>
      <w:r w:rsidR="00F21B21">
        <w:rPr>
          <w:rStyle w:val="FootnoteReference"/>
          <w:lang w:val="en-GB"/>
        </w:rPr>
        <w:footnoteReference w:id="80"/>
      </w:r>
      <w:r>
        <w:rPr>
          <w:lang w:val="en-GB"/>
        </w:rPr>
        <w:t xml:space="preserve">  </w:t>
      </w:r>
    </w:p>
    <w:p w14:paraId="5B08B5D1" w14:textId="77777777" w:rsidR="00EA6218" w:rsidRDefault="00EA6218">
      <w:pPr>
        <w:rPr>
          <w:lang w:val="en-GB"/>
        </w:rPr>
      </w:pPr>
    </w:p>
    <w:p w14:paraId="28A71A2F" w14:textId="5F28E5FE" w:rsidR="00EA6218" w:rsidRDefault="0DE8C684">
      <w:pPr>
        <w:rPr>
          <w:lang w:val="en-GB"/>
        </w:rPr>
      </w:pPr>
      <w:r>
        <w:rPr>
          <w:lang w:val="en-GB"/>
        </w:rPr>
        <w:t xml:space="preserve">However neutral its founding agreement is, it becomes obvious, and quickly, from even a brief study of the Platform’s activities that the Platform is, in fact, much more concerned with the legacy of communism and Stalinism than any other form of totalitarianism.  Indeed, of the 14 participating EU Member States only Sweden, the Netherlands and France are not former communist or Stalinist states (we include Germany as a former communist state due to the pre-unification regime of the GDR).  At work here is the </w:t>
      </w:r>
      <w:r w:rsidR="008207D5">
        <w:rPr>
          <w:lang w:val="en-GB"/>
        </w:rPr>
        <w:t>so-called</w:t>
      </w:r>
      <w:r>
        <w:rPr>
          <w:lang w:val="en-GB"/>
        </w:rPr>
        <w:t xml:space="preserve"> ‘memory wars’ and some have, like D6.16 </w:t>
      </w:r>
      <w:proofErr w:type="spellStart"/>
      <w:r>
        <w:rPr>
          <w:lang w:val="en-GB"/>
        </w:rPr>
        <w:t>PRfEU</w:t>
      </w:r>
      <w:proofErr w:type="spellEnd"/>
      <w:r>
        <w:rPr>
          <w:lang w:val="en-GB"/>
        </w:rPr>
        <w:t>, linked their eventuation to the influx of new Member States to the EU with vastly different post-war experiences.</w:t>
      </w:r>
      <w:r w:rsidR="00F21B21">
        <w:rPr>
          <w:rStyle w:val="FootnoteReference"/>
          <w:lang w:val="en-GB"/>
        </w:rPr>
        <w:footnoteReference w:id="81"/>
      </w:r>
      <w:r>
        <w:rPr>
          <w:lang w:val="en-GB"/>
        </w:rPr>
        <w:t xml:space="preserve">  However, Toth makes the valuable point that the challenges to the ‘Holocaust as unique’ memory frame can be attributed to a small number of specific individuals whose participation in the Reconciliation of European Histories Group, role in the adoption of the Prague Declaration, promotion of the 2009 EP Resolution, and support for the Platform of European Memory and Conscience overlap to a very significant degree.  Thus, Toth cautions against equating, ‘the theme of a small but loud interest group with the collective memory of half a continent’.</w:t>
      </w:r>
      <w:r w:rsidR="00F21B21">
        <w:rPr>
          <w:rStyle w:val="FootnoteReference"/>
          <w:lang w:val="en-GB"/>
        </w:rPr>
        <w:footnoteReference w:id="82"/>
      </w:r>
    </w:p>
    <w:p w14:paraId="16DEB4AB" w14:textId="77777777" w:rsidR="00EA6218" w:rsidRDefault="00EA6218">
      <w:pPr>
        <w:rPr>
          <w:lang w:val="en-GB"/>
        </w:rPr>
      </w:pPr>
    </w:p>
    <w:p w14:paraId="04F50151" w14:textId="77777777" w:rsidR="00EA6218" w:rsidRDefault="0DE8C684">
      <w:pPr>
        <w:spacing w:line="240" w:lineRule="auto"/>
        <w:rPr>
          <w:lang w:val="en-GB"/>
        </w:rPr>
      </w:pPr>
      <w:r>
        <w:rPr>
          <w:lang w:val="en-GB"/>
        </w:rPr>
        <w:lastRenderedPageBreak/>
        <w:t xml:space="preserve">Perhaps of more significance than the 2009 EP Resolution was the adoption by the European Council, later the same year, of </w:t>
      </w:r>
      <w:r w:rsidRPr="00E176D9">
        <w:rPr>
          <w:lang w:val="en-GB"/>
        </w:rPr>
        <w:t>the ‘The Stockholm Programme – An open and secure</w:t>
      </w:r>
      <w:r>
        <w:rPr>
          <w:lang w:val="en-GB"/>
        </w:rPr>
        <w:t xml:space="preserve"> Europe serving and protecting the </w:t>
      </w:r>
      <w:proofErr w:type="gramStart"/>
      <w:r>
        <w:rPr>
          <w:lang w:val="en-GB"/>
        </w:rPr>
        <w:t>citizens’</w:t>
      </w:r>
      <w:proofErr w:type="gramEnd"/>
      <w:r>
        <w:rPr>
          <w:lang w:val="en-GB"/>
        </w:rPr>
        <w:t>.</w:t>
      </w:r>
      <w:r w:rsidR="00F21B21">
        <w:rPr>
          <w:rStyle w:val="FootnoteReference"/>
          <w:lang w:val="en-GB"/>
        </w:rPr>
        <w:footnoteReference w:id="83"/>
      </w:r>
      <w:r>
        <w:rPr>
          <w:lang w:val="en-GB"/>
        </w:rPr>
        <w:t xml:space="preserve">  The significance is that this was a formal statement of the Member States’ heads of government, sitting as the European Council.  The European Council is given by Article 15 TEU the task of providing, ‘the Union with the necessary impetus for its development and shall define the general political directions and priorities thereof’.  More specifically, Article 68 specifies that the European Council shall define, ‘the strategic guidelines for legislative and operational planning within the area of freedom, security and justice.’  When the European Council ‘defines’ the other institutions and the Member States are compelled to listen.  It is important, therefore, that the Programme contained the following passage:</w:t>
      </w:r>
    </w:p>
    <w:p w14:paraId="2D74D725" w14:textId="77777777" w:rsidR="00EA6218" w:rsidRDefault="0DE8C684">
      <w:pPr>
        <w:spacing w:line="240" w:lineRule="auto"/>
        <w:ind w:left="720"/>
        <w:rPr>
          <w:lang w:val="en-GB"/>
        </w:rPr>
      </w:pPr>
      <w:r>
        <w:rPr>
          <w:lang w:val="en-GB"/>
        </w:rPr>
        <w:t>The Union is an area of shared values, values which are incompatible with crimes against humanity, genocide and war crimes, including crimes committed by totalitarian regimes. Each Member State has its own approach to this issue but, in the interests of reconciliation, the memory of those crimes must be a collective memory, shared and promoted, where possible, by us all. The Union must play the role of facilitator.</w:t>
      </w:r>
      <w:r w:rsidR="00F21B21">
        <w:rPr>
          <w:rStyle w:val="FootnoteReference"/>
          <w:lang w:val="en-GB"/>
        </w:rPr>
        <w:footnoteReference w:id="84"/>
      </w:r>
    </w:p>
    <w:p w14:paraId="0AD9C6F4" w14:textId="77777777" w:rsidR="00EA6218" w:rsidRDefault="00EA6218">
      <w:pPr>
        <w:spacing w:line="240" w:lineRule="auto"/>
        <w:rPr>
          <w:lang w:val="en-GB"/>
        </w:rPr>
      </w:pPr>
    </w:p>
    <w:p w14:paraId="72BEE5F4" w14:textId="77777777" w:rsidR="00EA6218" w:rsidRDefault="00F21B21">
      <w:pPr>
        <w:spacing w:line="240" w:lineRule="auto"/>
        <w:rPr>
          <w:lang w:val="en-GB"/>
        </w:rPr>
      </w:pPr>
      <w:r>
        <w:rPr>
          <w:lang w:val="en-GB"/>
        </w:rPr>
        <w:t>The European Council continued by ‘inviting’ the Commission to,</w:t>
      </w:r>
    </w:p>
    <w:p w14:paraId="20EBE6B1" w14:textId="752B1F7D" w:rsidR="00EA6218" w:rsidRDefault="0DE8C684">
      <w:pPr>
        <w:spacing w:line="240" w:lineRule="auto"/>
        <w:ind w:left="720"/>
        <w:rPr>
          <w:lang w:val="en-GB"/>
        </w:rPr>
      </w:pPr>
      <w:r>
        <w:rPr>
          <w:lang w:val="en-GB"/>
        </w:rPr>
        <w:t xml:space="preserve">Examine […] whether there is a need for additional [legislative] proposals covering publicly condoning, denying or grossly trivializing crimes of genocide, crimes against humanity and war crimes directed against a group of persons defined by reference to criteria other than race, colour, religion, descent on national or ethnic origin, </w:t>
      </w:r>
      <w:r w:rsidRPr="00CB6A44">
        <w:rPr>
          <w:i/>
          <w:iCs/>
          <w:lang w:val="en-GB"/>
        </w:rPr>
        <w:t>such as social status or political convictions</w:t>
      </w:r>
      <w:r>
        <w:rPr>
          <w:lang w:val="en-GB"/>
        </w:rPr>
        <w:t>.</w:t>
      </w:r>
      <w:r w:rsidR="00F21B21">
        <w:rPr>
          <w:rStyle w:val="FootnoteReference"/>
          <w:lang w:val="en-GB"/>
        </w:rPr>
        <w:footnoteReference w:id="85"/>
      </w:r>
      <w:r>
        <w:rPr>
          <w:lang w:val="en-GB"/>
        </w:rPr>
        <w:t xml:space="preserve"> </w:t>
      </w:r>
      <w:r w:rsidR="00CB6A44">
        <w:rPr>
          <w:lang w:val="en-GB"/>
        </w:rPr>
        <w:t>[emphasis added</w:t>
      </w:r>
      <w:r w:rsidR="000421AC">
        <w:rPr>
          <w:lang w:val="en-GB"/>
        </w:rPr>
        <w:t>]</w:t>
      </w:r>
    </w:p>
    <w:p w14:paraId="4B1F511A" w14:textId="77777777" w:rsidR="00EA6218" w:rsidRDefault="00EA6218">
      <w:pPr>
        <w:rPr>
          <w:lang w:val="en-GB"/>
        </w:rPr>
      </w:pPr>
    </w:p>
    <w:p w14:paraId="7FB9B57A" w14:textId="17100D63" w:rsidR="00EA6218" w:rsidRDefault="000421AC">
      <w:pPr>
        <w:rPr>
          <w:lang w:val="en-GB"/>
        </w:rPr>
      </w:pPr>
      <w:r>
        <w:rPr>
          <w:lang w:val="en-GB"/>
        </w:rPr>
        <w:t xml:space="preserve">In other words, this was </w:t>
      </w:r>
      <w:r w:rsidR="00566E61">
        <w:rPr>
          <w:lang w:val="en-GB"/>
        </w:rPr>
        <w:t xml:space="preserve">an </w:t>
      </w:r>
      <w:r>
        <w:rPr>
          <w:lang w:val="en-GB"/>
        </w:rPr>
        <w:t xml:space="preserve">invitation to consider </w:t>
      </w:r>
      <w:r w:rsidR="00566E61">
        <w:rPr>
          <w:lang w:val="en-GB"/>
        </w:rPr>
        <w:t xml:space="preserve">legislative </w:t>
      </w:r>
      <w:r>
        <w:rPr>
          <w:lang w:val="en-GB"/>
        </w:rPr>
        <w:t>proposals regarding th</w:t>
      </w:r>
      <w:r w:rsidR="00830BC2">
        <w:rPr>
          <w:lang w:val="en-GB"/>
        </w:rPr>
        <w:t>ose victimised by communism and Stalinism on social or political grounds.  It is, therefore,</w:t>
      </w:r>
      <w:r w:rsidR="00F21B21">
        <w:rPr>
          <w:lang w:val="en-GB"/>
        </w:rPr>
        <w:t xml:space="preserve"> quite clearly a call to arms regarding a memory frame other than the ‘Holocaust as unique</w:t>
      </w:r>
      <w:proofErr w:type="gramStart"/>
      <w:r w:rsidR="00F21B21">
        <w:rPr>
          <w:lang w:val="en-GB"/>
        </w:rPr>
        <w:t>’,</w:t>
      </w:r>
      <w:r w:rsidR="003A5866">
        <w:rPr>
          <w:lang w:val="en-GB"/>
        </w:rPr>
        <w:t xml:space="preserve"> </w:t>
      </w:r>
      <w:r w:rsidR="00F21B21">
        <w:rPr>
          <w:lang w:val="en-GB"/>
        </w:rPr>
        <w:t>and</w:t>
      </w:r>
      <w:proofErr w:type="gramEnd"/>
      <w:r w:rsidR="00F21B21">
        <w:rPr>
          <w:lang w:val="en-GB"/>
        </w:rPr>
        <w:t xml:space="preserve"> is the progenitor of all contemporary EU remembrance policies.</w:t>
      </w:r>
    </w:p>
    <w:p w14:paraId="65F9C3DC" w14:textId="77777777" w:rsidR="00EA6218" w:rsidRDefault="00EA6218">
      <w:pPr>
        <w:rPr>
          <w:lang w:val="en-GB"/>
        </w:rPr>
      </w:pPr>
    </w:p>
    <w:p w14:paraId="355E26D8" w14:textId="63219835" w:rsidR="00F21B21" w:rsidRDefault="0DE8C684" w:rsidP="00BF73E1">
      <w:pPr>
        <w:rPr>
          <w:lang w:val="en-GB"/>
        </w:rPr>
      </w:pPr>
      <w:r>
        <w:rPr>
          <w:lang w:val="en-GB"/>
        </w:rPr>
        <w:t xml:space="preserve">In this section we have seen that through its </w:t>
      </w:r>
      <w:r w:rsidR="00EF6323">
        <w:rPr>
          <w:lang w:val="en-GB"/>
        </w:rPr>
        <w:t xml:space="preserve">innovative use of legal bases connected to </w:t>
      </w:r>
      <w:r>
        <w:rPr>
          <w:lang w:val="en-GB"/>
        </w:rPr>
        <w:t xml:space="preserve">citizenship, </w:t>
      </w:r>
      <w:r w:rsidR="006E0021">
        <w:rPr>
          <w:lang w:val="en-GB"/>
        </w:rPr>
        <w:t xml:space="preserve">and </w:t>
      </w:r>
      <w:proofErr w:type="gramStart"/>
      <w:r>
        <w:rPr>
          <w:lang w:val="en-GB"/>
        </w:rPr>
        <w:t>in particular</w:t>
      </w:r>
      <w:r w:rsidR="00EF6323">
        <w:rPr>
          <w:lang w:val="en-GB"/>
        </w:rPr>
        <w:t xml:space="preserve"> by</w:t>
      </w:r>
      <w:proofErr w:type="gramEnd"/>
      <w:r w:rsidR="00EF6323">
        <w:rPr>
          <w:lang w:val="en-GB"/>
        </w:rPr>
        <w:t xml:space="preserve"> developing</w:t>
      </w:r>
      <w:r>
        <w:rPr>
          <w:lang w:val="en-GB"/>
        </w:rPr>
        <w:t xml:space="preserve"> ‘Active European Remembrance’, the EU has spent hundreds of millions of Euros toward promoting historical justice projects that have engaged all the </w:t>
      </w:r>
      <w:proofErr w:type="spellStart"/>
      <w:r>
        <w:rPr>
          <w:lang w:val="en-GB"/>
        </w:rPr>
        <w:t>RePAST</w:t>
      </w:r>
      <w:proofErr w:type="spellEnd"/>
      <w:r>
        <w:rPr>
          <w:lang w:val="en-GB"/>
        </w:rPr>
        <w:t xml:space="preserve"> states’ troubled pasts.  From a transitional justice perspective, though, </w:t>
      </w:r>
      <w:r w:rsidR="003A5866">
        <w:rPr>
          <w:lang w:val="en-GB"/>
        </w:rPr>
        <w:t>i</w:t>
      </w:r>
      <w:r>
        <w:rPr>
          <w:lang w:val="en-GB"/>
        </w:rPr>
        <w:t xml:space="preserve">t is debatable whether this has been, ever could be, or even </w:t>
      </w:r>
      <w:r w:rsidRPr="0DE8C684">
        <w:rPr>
          <w:i/>
          <w:iCs/>
          <w:lang w:val="en-GB"/>
        </w:rPr>
        <w:t>should be</w:t>
      </w:r>
      <w:r>
        <w:rPr>
          <w:lang w:val="en-GB"/>
        </w:rPr>
        <w:t xml:space="preserve"> successful in creating a collective ‘European memory’ </w:t>
      </w:r>
      <w:r w:rsidR="004253B1">
        <w:rPr>
          <w:lang w:val="en-GB"/>
        </w:rPr>
        <w:t xml:space="preserve">as a foundation for </w:t>
      </w:r>
      <w:r>
        <w:rPr>
          <w:lang w:val="en-GB"/>
        </w:rPr>
        <w:t>a consolidated ‘European identity’.  Teitel</w:t>
      </w:r>
      <w:r w:rsidR="00611D0B">
        <w:rPr>
          <w:lang w:val="en-GB"/>
        </w:rPr>
        <w:t xml:space="preserve"> </w:t>
      </w:r>
      <w:r w:rsidR="00584B8D">
        <w:rPr>
          <w:lang w:val="en-GB"/>
        </w:rPr>
        <w:t>has</w:t>
      </w:r>
      <w:r w:rsidR="00611D0B">
        <w:rPr>
          <w:lang w:val="en-GB"/>
        </w:rPr>
        <w:t xml:space="preserve"> cautioned that </w:t>
      </w:r>
      <w:proofErr w:type="gramStart"/>
      <w:r w:rsidR="00C610C6">
        <w:rPr>
          <w:lang w:val="en-GB"/>
        </w:rPr>
        <w:t>the,</w:t>
      </w:r>
      <w:proofErr w:type="gramEnd"/>
      <w:r w:rsidR="00C610C6">
        <w:rPr>
          <w:lang w:val="en-GB"/>
        </w:rPr>
        <w:t xml:space="preserve"> </w:t>
      </w:r>
      <w:r>
        <w:rPr>
          <w:lang w:val="en-GB"/>
        </w:rPr>
        <w:t xml:space="preserve">‘attempt to </w:t>
      </w:r>
      <w:r>
        <w:rPr>
          <w:lang w:val="en-GB"/>
        </w:rPr>
        <w:lastRenderedPageBreak/>
        <w:t>entrench an identity based on a particular historical view for all time is […] an illiberal vision […]’.</w:t>
      </w:r>
      <w:r w:rsidR="00F21B21">
        <w:rPr>
          <w:rStyle w:val="FootnoteReference"/>
          <w:lang w:val="en-GB"/>
        </w:rPr>
        <w:footnoteReference w:id="86"/>
      </w:r>
      <w:r w:rsidR="006072B2">
        <w:rPr>
          <w:lang w:val="en-GB"/>
        </w:rPr>
        <w:t xml:space="preserve">  Thus, it is not</w:t>
      </w:r>
      <w:r w:rsidR="006B4B7B">
        <w:rPr>
          <w:lang w:val="en-GB"/>
        </w:rPr>
        <w:t xml:space="preserve"> self-evident that enshrining a particular view of the past will lead to ‘beneficial social effects’.  </w:t>
      </w:r>
      <w:r w:rsidR="00D54F01">
        <w:rPr>
          <w:lang w:val="en-GB"/>
        </w:rPr>
        <w:t>Likewise</w:t>
      </w:r>
      <w:r w:rsidR="0083502E">
        <w:rPr>
          <w:lang w:val="en-GB"/>
        </w:rPr>
        <w:t xml:space="preserve">, even if undertaken with the best of intentions, </w:t>
      </w:r>
      <w:proofErr w:type="spellStart"/>
      <w:r w:rsidR="0083502E">
        <w:rPr>
          <w:lang w:val="en-GB"/>
        </w:rPr>
        <w:t>Littoz</w:t>
      </w:r>
      <w:proofErr w:type="spellEnd"/>
      <w:r w:rsidR="0083502E">
        <w:rPr>
          <w:lang w:val="en-GB"/>
        </w:rPr>
        <w:t xml:space="preserve">-Monnet’s </w:t>
      </w:r>
      <w:r w:rsidR="00511F7D">
        <w:rPr>
          <w:lang w:val="en-GB"/>
        </w:rPr>
        <w:t>work on competing memory frames suggests that</w:t>
      </w:r>
      <w:r w:rsidR="00B13427">
        <w:rPr>
          <w:lang w:val="en-GB"/>
        </w:rPr>
        <w:t xml:space="preserve"> such an attempt</w:t>
      </w:r>
      <w:r w:rsidR="00847DD2">
        <w:rPr>
          <w:lang w:val="en-GB"/>
        </w:rPr>
        <w:t>ed entrenchment</w:t>
      </w:r>
      <w:r w:rsidR="00B13427">
        <w:rPr>
          <w:lang w:val="en-GB"/>
        </w:rPr>
        <w:t xml:space="preserve"> is significantly more</w:t>
      </w:r>
      <w:r w:rsidR="00847DD2">
        <w:rPr>
          <w:lang w:val="en-GB"/>
        </w:rPr>
        <w:t xml:space="preserve"> complex than</w:t>
      </w:r>
      <w:r w:rsidR="00BD6AD3">
        <w:rPr>
          <w:lang w:val="en-GB"/>
        </w:rPr>
        <w:t xml:space="preserve"> the assumptions underpinning ‘Active European Remembrance</w:t>
      </w:r>
      <w:r w:rsidR="004253B1">
        <w:rPr>
          <w:lang w:val="en-GB"/>
        </w:rPr>
        <w:t>’</w:t>
      </w:r>
      <w:r w:rsidR="00C135E1">
        <w:rPr>
          <w:lang w:val="en-GB"/>
        </w:rPr>
        <w:t xml:space="preserve"> (as we also saw in relation to </w:t>
      </w:r>
      <w:r w:rsidR="00224E62">
        <w:rPr>
          <w:lang w:val="en-GB"/>
        </w:rPr>
        <w:t xml:space="preserve">the </w:t>
      </w:r>
      <w:r w:rsidR="00C135E1">
        <w:rPr>
          <w:lang w:val="en-GB"/>
        </w:rPr>
        <w:t>EP Resolutions)</w:t>
      </w:r>
      <w:r w:rsidR="004253B1">
        <w:rPr>
          <w:lang w:val="en-GB"/>
        </w:rPr>
        <w:t xml:space="preserve">.  We </w:t>
      </w:r>
      <w:r w:rsidR="00C135E1">
        <w:rPr>
          <w:lang w:val="en-GB"/>
        </w:rPr>
        <w:t>saw</w:t>
      </w:r>
      <w:r w:rsidR="004253B1">
        <w:rPr>
          <w:lang w:val="en-GB"/>
        </w:rPr>
        <w:t xml:space="preserve"> that </w:t>
      </w:r>
      <w:r w:rsidR="00C135E1">
        <w:rPr>
          <w:lang w:val="en-GB"/>
        </w:rPr>
        <w:t xml:space="preserve">this </w:t>
      </w:r>
      <w:r w:rsidR="001224CA">
        <w:rPr>
          <w:lang w:val="en-GB"/>
        </w:rPr>
        <w:t xml:space="preserve">‘Active European Remembrance’ has manifested as the provision of EU funding to </w:t>
      </w:r>
      <w:proofErr w:type="gramStart"/>
      <w:r w:rsidR="001224CA">
        <w:rPr>
          <w:lang w:val="en-GB"/>
        </w:rPr>
        <w:t>third-parties</w:t>
      </w:r>
      <w:proofErr w:type="gramEnd"/>
      <w:r w:rsidR="00094FA6">
        <w:rPr>
          <w:lang w:val="en-GB"/>
        </w:rPr>
        <w:t xml:space="preserve"> to undertake activities of remembrance.</w:t>
      </w:r>
      <w:r w:rsidR="00BF73E1">
        <w:rPr>
          <w:lang w:val="en-GB"/>
        </w:rPr>
        <w:t xml:space="preserve">  </w:t>
      </w:r>
      <w:r w:rsidR="00BF73E1" w:rsidRPr="007B358E">
        <w:rPr>
          <w:lang w:val="en-GB"/>
        </w:rPr>
        <w:t xml:space="preserve">That, due to its legal competences, the EU is compelled to act mostly indirectly regarding troubled pasts is </w:t>
      </w:r>
      <w:r w:rsidR="00B41117" w:rsidRPr="007B358E">
        <w:rPr>
          <w:lang w:val="en-GB"/>
        </w:rPr>
        <w:t>a recurring theme of the paper</w:t>
      </w:r>
      <w:r w:rsidR="00E543C9" w:rsidRPr="007B358E">
        <w:rPr>
          <w:lang w:val="en-GB"/>
        </w:rPr>
        <w:t xml:space="preserve">, and in its </w:t>
      </w:r>
      <w:proofErr w:type="gramStart"/>
      <w:r w:rsidR="00E543C9" w:rsidRPr="007B358E">
        <w:rPr>
          <w:lang w:val="en-GB"/>
        </w:rPr>
        <w:t>conclusion</w:t>
      </w:r>
      <w:proofErr w:type="gramEnd"/>
      <w:r w:rsidR="00E543C9" w:rsidRPr="007B358E">
        <w:rPr>
          <w:lang w:val="en-GB"/>
        </w:rPr>
        <w:t xml:space="preserve"> we will return to </w:t>
      </w:r>
      <w:r w:rsidR="007B358E" w:rsidRPr="007B358E">
        <w:rPr>
          <w:lang w:val="en-GB"/>
        </w:rPr>
        <w:t xml:space="preserve">the </w:t>
      </w:r>
      <w:r w:rsidR="007B79B9" w:rsidRPr="007B358E">
        <w:rPr>
          <w:lang w:val="en-GB"/>
        </w:rPr>
        <w:t>cons</w:t>
      </w:r>
      <w:r w:rsidR="00F21B21" w:rsidRPr="007B358E">
        <w:rPr>
          <w:lang w:val="en-GB"/>
        </w:rPr>
        <w:t>e</w:t>
      </w:r>
      <w:r w:rsidR="007B79B9" w:rsidRPr="007B358E">
        <w:rPr>
          <w:lang w:val="en-GB"/>
        </w:rPr>
        <w:t>quences</w:t>
      </w:r>
      <w:r w:rsidR="007B358E">
        <w:rPr>
          <w:lang w:val="en-GB"/>
        </w:rPr>
        <w:t xml:space="preserve"> of this</w:t>
      </w:r>
      <w:r w:rsidR="00286B69">
        <w:rPr>
          <w:lang w:val="en-GB"/>
        </w:rPr>
        <w:t xml:space="preserve"> reality</w:t>
      </w:r>
      <w:r w:rsidR="007B358E" w:rsidRPr="007B358E">
        <w:rPr>
          <w:lang w:val="en-GB"/>
        </w:rPr>
        <w:t>.</w:t>
      </w:r>
    </w:p>
    <w:p w14:paraId="562C75D1" w14:textId="77777777" w:rsidR="00EA6218" w:rsidRDefault="00EA6218">
      <w:pPr>
        <w:rPr>
          <w:lang w:val="en-GB"/>
        </w:rPr>
      </w:pPr>
    </w:p>
    <w:p w14:paraId="7640C438" w14:textId="77777777" w:rsidR="00EA6218" w:rsidRDefault="00F21B21">
      <w:pPr>
        <w:pStyle w:val="Heading1"/>
        <w:numPr>
          <w:ilvl w:val="0"/>
          <w:numId w:val="32"/>
        </w:numPr>
        <w:spacing w:before="120" w:line="240" w:lineRule="auto"/>
        <w:rPr>
          <w:rFonts w:asciiTheme="minorHAnsi" w:hAnsiTheme="minorHAnsi" w:cstheme="minorHAnsi"/>
          <w:sz w:val="24"/>
          <w:szCs w:val="24"/>
          <w:lang w:val="en-GB"/>
        </w:rPr>
      </w:pPr>
      <w:bookmarkStart w:id="4" w:name="_Toc96862361"/>
      <w:r>
        <w:rPr>
          <w:rFonts w:asciiTheme="minorHAnsi" w:hAnsiTheme="minorHAnsi" w:cstheme="minorHAnsi"/>
          <w:sz w:val="24"/>
          <w:szCs w:val="24"/>
          <w:lang w:val="en-GB"/>
        </w:rPr>
        <w:t>Common Foreign and Security Policy</w:t>
      </w:r>
      <w:bookmarkEnd w:id="4"/>
    </w:p>
    <w:p w14:paraId="664355AD" w14:textId="77777777" w:rsidR="00EA6218" w:rsidRDefault="00EA6218">
      <w:pPr>
        <w:rPr>
          <w:lang w:val="en-GB"/>
        </w:rPr>
      </w:pPr>
    </w:p>
    <w:p w14:paraId="14FFB1A6" w14:textId="28C529E3" w:rsidR="00EA6218" w:rsidRDefault="0DE8C684">
      <w:pPr>
        <w:rPr>
          <w:lang w:val="en-GB"/>
        </w:rPr>
      </w:pPr>
      <w:r>
        <w:rPr>
          <w:lang w:val="en-GB"/>
        </w:rPr>
        <w:t xml:space="preserve">The second major policy area </w:t>
      </w:r>
      <w:r w:rsidR="00555FA5">
        <w:rPr>
          <w:lang w:val="en-GB"/>
        </w:rPr>
        <w:t xml:space="preserve">in </w:t>
      </w:r>
      <w:r>
        <w:rPr>
          <w:lang w:val="en-GB"/>
        </w:rPr>
        <w:t>which</w:t>
      </w:r>
      <w:r w:rsidR="00555FA5">
        <w:rPr>
          <w:lang w:val="en-GB"/>
        </w:rPr>
        <w:t>, by employing the lens of transitional justice,</w:t>
      </w:r>
      <w:r w:rsidR="00286B69">
        <w:rPr>
          <w:lang w:val="en-GB"/>
        </w:rPr>
        <w:t xml:space="preserve"> WP 5.3 identified</w:t>
      </w:r>
      <w:r>
        <w:rPr>
          <w:lang w:val="en-GB"/>
        </w:rPr>
        <w:t xml:space="preserve"> the EU</w:t>
      </w:r>
      <w:r w:rsidR="00555FA5">
        <w:rPr>
          <w:lang w:val="en-GB"/>
        </w:rPr>
        <w:t xml:space="preserve"> </w:t>
      </w:r>
      <w:r w:rsidR="00176316">
        <w:rPr>
          <w:lang w:val="en-GB"/>
        </w:rPr>
        <w:t xml:space="preserve">engaging </w:t>
      </w:r>
      <w:r>
        <w:rPr>
          <w:lang w:val="en-GB"/>
        </w:rPr>
        <w:t xml:space="preserve">with the troubled pasts of </w:t>
      </w:r>
      <w:proofErr w:type="spellStart"/>
      <w:r>
        <w:rPr>
          <w:lang w:val="en-GB"/>
        </w:rPr>
        <w:t>RePAST</w:t>
      </w:r>
      <w:proofErr w:type="spellEnd"/>
      <w:r>
        <w:rPr>
          <w:lang w:val="en-GB"/>
        </w:rPr>
        <w:t xml:space="preserve"> states is through its Common Foreign and Security Policy (CFSP).  Like the notion of ‘European citizenship’, the CFSP was part of the huge package of innovations established by the Maastricht Treaty of 1992.</w:t>
      </w:r>
      <w:r w:rsidR="00F21B21">
        <w:rPr>
          <w:rStyle w:val="FootnoteReference"/>
          <w:lang w:val="en-GB"/>
        </w:rPr>
        <w:footnoteReference w:id="87"/>
      </w:r>
      <w:r>
        <w:rPr>
          <w:lang w:val="en-GB"/>
        </w:rPr>
        <w:t xml:space="preserve">  It should be noted that actions via the CFSP can only have engaged with transitional justice and the troubled pasts of </w:t>
      </w:r>
      <w:proofErr w:type="spellStart"/>
      <w:r>
        <w:rPr>
          <w:lang w:val="en-GB"/>
        </w:rPr>
        <w:t>RePAST</w:t>
      </w:r>
      <w:proofErr w:type="spellEnd"/>
      <w:r>
        <w:rPr>
          <w:lang w:val="en-GB"/>
        </w:rPr>
        <w:t xml:space="preserve"> states that are not, or were not at the material time, Member States of the EU.</w:t>
      </w:r>
    </w:p>
    <w:p w14:paraId="1A965116" w14:textId="77777777" w:rsidR="00EA6218" w:rsidRDefault="00EA6218">
      <w:pPr>
        <w:rPr>
          <w:lang w:val="en-GB"/>
        </w:rPr>
      </w:pPr>
    </w:p>
    <w:p w14:paraId="55E91A14" w14:textId="77777777" w:rsidR="00EA6218" w:rsidRDefault="00F21B21">
      <w:pPr>
        <w:rPr>
          <w:lang w:val="en-GB"/>
        </w:rPr>
      </w:pPr>
      <w:r>
        <w:rPr>
          <w:lang w:val="en-GB"/>
        </w:rPr>
        <w:t>According to Article 21 TEU the CFSP shall seek,</w:t>
      </w:r>
    </w:p>
    <w:p w14:paraId="1CD8B6ED" w14:textId="77777777" w:rsidR="00EA6218" w:rsidRDefault="00F21B21">
      <w:pPr>
        <w:ind w:left="720"/>
        <w:rPr>
          <w:lang w:val="en-GB"/>
        </w:rPr>
      </w:pPr>
      <w:r>
        <w:rPr>
          <w:rFonts w:cs="eualbertina"/>
          <w:color w:val="19161A"/>
          <w:lang w:val="en-GB"/>
        </w:rPr>
        <w:t>to advance in the wider world: democracy, the rule of law, the universality and indivisibility of human rights and fundamental freedoms, respect for human dignity, the principles of equality and solidarity, and respect for the principles of the United Nations Charter and international law.</w:t>
      </w:r>
    </w:p>
    <w:p w14:paraId="7DF4E37C" w14:textId="77777777" w:rsidR="00EA6218" w:rsidRDefault="00EA6218">
      <w:pPr>
        <w:rPr>
          <w:lang w:val="en-GB"/>
        </w:rPr>
      </w:pPr>
    </w:p>
    <w:p w14:paraId="537C4A94" w14:textId="77777777" w:rsidR="00EA6218" w:rsidRDefault="00F21B21">
      <w:pPr>
        <w:rPr>
          <w:rFonts w:cstheme="minorHAnsi"/>
          <w:lang w:val="en-GB"/>
        </w:rPr>
      </w:pPr>
      <w:r>
        <w:rPr>
          <w:lang w:val="en-GB"/>
        </w:rPr>
        <w:t xml:space="preserve">As we saw above, the CFSP formed the ‘second pillar’ of the new three-pillar European Union.  We also saw above that whilst the pillar structure was dismantled by the Lisbon Treaty, its presence can still be felt in the relative </w:t>
      </w:r>
      <w:r>
        <w:rPr>
          <w:rFonts w:cstheme="minorHAnsi"/>
          <w:lang w:val="en-GB"/>
        </w:rPr>
        <w:t>lack of EU legal powers in this area: Article 24 TEU prohibits the EU from adopting any legislative acts whatsoever in relation to the CFSP (a point that is curiously repeated in Article 31 TEU).  Instead, Article 25 TEU specifies that the CFSP is to be conducted by,</w:t>
      </w:r>
    </w:p>
    <w:p w14:paraId="07AFFC74" w14:textId="77777777" w:rsidR="00EA6218" w:rsidRDefault="00F21B21">
      <w:pPr>
        <w:ind w:left="720"/>
        <w:rPr>
          <w:rFonts w:cstheme="minorHAnsi"/>
          <w:lang w:val="en-GB"/>
        </w:rPr>
      </w:pPr>
      <w:r>
        <w:rPr>
          <w:rFonts w:cstheme="minorHAnsi"/>
          <w:lang w:val="en-GB"/>
        </w:rPr>
        <w:t xml:space="preserve">(a) defining the general </w:t>
      </w:r>
      <w:proofErr w:type="gramStart"/>
      <w:r>
        <w:rPr>
          <w:rFonts w:cstheme="minorHAnsi"/>
          <w:i/>
          <w:iCs/>
          <w:lang w:val="en-GB"/>
        </w:rPr>
        <w:t>guidelines</w:t>
      </w:r>
      <w:r>
        <w:rPr>
          <w:rFonts w:cstheme="minorHAnsi"/>
          <w:lang w:val="en-GB"/>
        </w:rPr>
        <w:t>;</w:t>
      </w:r>
      <w:proofErr w:type="gramEnd"/>
    </w:p>
    <w:p w14:paraId="638C443C" w14:textId="77777777" w:rsidR="00EA6218" w:rsidRDefault="00F21B21">
      <w:pPr>
        <w:ind w:left="720"/>
        <w:rPr>
          <w:rFonts w:cstheme="minorHAnsi"/>
          <w:lang w:val="en-GB"/>
        </w:rPr>
      </w:pPr>
      <w:r>
        <w:rPr>
          <w:rFonts w:cstheme="minorHAnsi"/>
          <w:lang w:val="en-GB"/>
        </w:rPr>
        <w:t xml:space="preserve">(b) adopting </w:t>
      </w:r>
      <w:r>
        <w:rPr>
          <w:rFonts w:cstheme="minorHAnsi"/>
          <w:i/>
          <w:iCs/>
          <w:lang w:val="en-GB"/>
        </w:rPr>
        <w:t>decisions</w:t>
      </w:r>
      <w:r>
        <w:rPr>
          <w:rFonts w:cstheme="minorHAnsi"/>
          <w:lang w:val="en-GB"/>
        </w:rPr>
        <w:t xml:space="preserve"> defining:</w:t>
      </w:r>
    </w:p>
    <w:p w14:paraId="777E84C4" w14:textId="77777777" w:rsidR="00EA6218" w:rsidRDefault="00F21B21">
      <w:pPr>
        <w:ind w:left="1440"/>
        <w:rPr>
          <w:rFonts w:cstheme="minorHAnsi"/>
          <w:lang w:val="en-GB"/>
        </w:rPr>
      </w:pPr>
      <w:r>
        <w:rPr>
          <w:rFonts w:cstheme="minorHAnsi"/>
          <w:lang w:val="en-GB"/>
        </w:rPr>
        <w:t>(</w:t>
      </w:r>
      <w:proofErr w:type="spellStart"/>
      <w:r>
        <w:rPr>
          <w:rFonts w:cstheme="minorHAnsi"/>
          <w:lang w:val="en-GB"/>
        </w:rPr>
        <w:t>i</w:t>
      </w:r>
      <w:proofErr w:type="spellEnd"/>
      <w:r>
        <w:rPr>
          <w:rFonts w:cstheme="minorHAnsi"/>
          <w:lang w:val="en-GB"/>
        </w:rPr>
        <w:t xml:space="preserve">) </w:t>
      </w:r>
      <w:r>
        <w:rPr>
          <w:rFonts w:cstheme="minorHAnsi"/>
          <w:i/>
          <w:iCs/>
          <w:lang w:val="en-GB"/>
        </w:rPr>
        <w:t>actions</w:t>
      </w:r>
      <w:r>
        <w:rPr>
          <w:rFonts w:cstheme="minorHAnsi"/>
          <w:lang w:val="en-GB"/>
        </w:rPr>
        <w:t xml:space="preserve"> to be undertaken by the </w:t>
      </w:r>
      <w:proofErr w:type="gramStart"/>
      <w:r>
        <w:rPr>
          <w:rFonts w:cstheme="minorHAnsi"/>
          <w:lang w:val="en-GB"/>
        </w:rPr>
        <w:t>Union;</w:t>
      </w:r>
      <w:proofErr w:type="gramEnd"/>
    </w:p>
    <w:p w14:paraId="240AE1CB" w14:textId="77777777" w:rsidR="00EA6218" w:rsidRDefault="00F21B21">
      <w:pPr>
        <w:ind w:left="1440"/>
        <w:rPr>
          <w:rFonts w:cstheme="minorHAnsi"/>
          <w:lang w:val="en-GB"/>
        </w:rPr>
      </w:pPr>
      <w:r>
        <w:rPr>
          <w:rFonts w:cstheme="minorHAnsi"/>
          <w:lang w:val="en-GB"/>
        </w:rPr>
        <w:lastRenderedPageBreak/>
        <w:t xml:space="preserve">(ii) </w:t>
      </w:r>
      <w:r>
        <w:rPr>
          <w:rFonts w:cstheme="minorHAnsi"/>
          <w:i/>
          <w:iCs/>
          <w:lang w:val="en-GB"/>
        </w:rPr>
        <w:t>positions</w:t>
      </w:r>
      <w:r>
        <w:rPr>
          <w:rFonts w:cstheme="minorHAnsi"/>
          <w:lang w:val="en-GB"/>
        </w:rPr>
        <w:t xml:space="preserve"> to be taken by the </w:t>
      </w:r>
      <w:proofErr w:type="gramStart"/>
      <w:r>
        <w:rPr>
          <w:rFonts w:cstheme="minorHAnsi"/>
          <w:lang w:val="en-GB"/>
        </w:rPr>
        <w:t>Union;</w:t>
      </w:r>
      <w:proofErr w:type="gramEnd"/>
    </w:p>
    <w:p w14:paraId="06402AA1" w14:textId="77777777" w:rsidR="00EA6218" w:rsidRDefault="00F21B21">
      <w:pPr>
        <w:ind w:left="1440"/>
        <w:rPr>
          <w:rFonts w:cstheme="minorHAnsi"/>
          <w:lang w:val="en-GB"/>
        </w:rPr>
      </w:pPr>
      <w:r>
        <w:rPr>
          <w:rFonts w:cstheme="minorHAnsi"/>
          <w:lang w:val="en-GB"/>
        </w:rPr>
        <w:t xml:space="preserve">(iii) </w:t>
      </w:r>
      <w:r>
        <w:rPr>
          <w:rFonts w:cstheme="minorHAnsi"/>
          <w:i/>
          <w:iCs/>
          <w:lang w:val="en-GB"/>
        </w:rPr>
        <w:t>arrangements</w:t>
      </w:r>
      <w:r>
        <w:rPr>
          <w:rFonts w:cstheme="minorHAnsi"/>
          <w:lang w:val="en-GB"/>
        </w:rPr>
        <w:t xml:space="preserve"> for the implementation of the decisions referred to in points (</w:t>
      </w:r>
      <w:proofErr w:type="spellStart"/>
      <w:r>
        <w:rPr>
          <w:rFonts w:cstheme="minorHAnsi"/>
          <w:lang w:val="en-GB"/>
        </w:rPr>
        <w:t>i</w:t>
      </w:r>
      <w:proofErr w:type="spellEnd"/>
      <w:r>
        <w:rPr>
          <w:rFonts w:cstheme="minorHAnsi"/>
          <w:lang w:val="en-GB"/>
        </w:rPr>
        <w:t>) and (ii); and by</w:t>
      </w:r>
    </w:p>
    <w:p w14:paraId="3BACF2E8" w14:textId="77777777" w:rsidR="00EA6218" w:rsidRDefault="00F21B21">
      <w:pPr>
        <w:ind w:left="720"/>
        <w:rPr>
          <w:rFonts w:cstheme="minorHAnsi"/>
          <w:lang w:val="en-GB"/>
        </w:rPr>
      </w:pPr>
      <w:r>
        <w:rPr>
          <w:rFonts w:cstheme="minorHAnsi"/>
          <w:lang w:val="en-GB"/>
        </w:rPr>
        <w:t>(c) strengthening systematic cooperation between Member States in the conduct of policy.  [emphasis added]</w:t>
      </w:r>
    </w:p>
    <w:p w14:paraId="44FB30F8" w14:textId="77777777" w:rsidR="00EA6218" w:rsidRDefault="00EA6218">
      <w:pPr>
        <w:rPr>
          <w:rFonts w:cstheme="minorHAnsi"/>
          <w:lang w:val="en-GB"/>
        </w:rPr>
      </w:pPr>
    </w:p>
    <w:p w14:paraId="6432CD6D" w14:textId="5207B22C" w:rsidR="00EA6218" w:rsidRDefault="00F21B21">
      <w:pPr>
        <w:pStyle w:val="CM1"/>
        <w:spacing w:before="200" w:after="200"/>
        <w:jc w:val="both"/>
        <w:rPr>
          <w:rFonts w:asciiTheme="minorHAnsi" w:hAnsiTheme="minorHAnsi" w:cstheme="minorHAnsi"/>
        </w:rPr>
      </w:pPr>
      <w:r>
        <w:rPr>
          <w:rFonts w:asciiTheme="minorHAnsi" w:hAnsiTheme="minorHAnsi" w:cstheme="minorHAnsi"/>
        </w:rPr>
        <w:t xml:space="preserve">These rather vague forms of conduct are wholly political, in the sense that they can have no binding legal effect on the Member States.  </w:t>
      </w:r>
      <w:r w:rsidR="000D735E">
        <w:rPr>
          <w:rFonts w:asciiTheme="minorHAnsi" w:hAnsiTheme="minorHAnsi" w:cstheme="minorHAnsi"/>
        </w:rPr>
        <w:t>Thus</w:t>
      </w:r>
      <w:r>
        <w:rPr>
          <w:rFonts w:asciiTheme="minorHAnsi" w:hAnsiTheme="minorHAnsi" w:cstheme="minorHAnsi"/>
        </w:rPr>
        <w:t xml:space="preserve">, the ‘decisions’ mentioned here are not the legislative acts also known as ‘decisions’ as defined in Article 288 TFEU.  </w:t>
      </w:r>
    </w:p>
    <w:p w14:paraId="1DA6542E" w14:textId="77777777" w:rsidR="00EA6218" w:rsidRDefault="00EA6218">
      <w:pPr>
        <w:pStyle w:val="CM1"/>
        <w:spacing w:before="200" w:after="200"/>
        <w:jc w:val="both"/>
        <w:rPr>
          <w:rFonts w:asciiTheme="minorHAnsi" w:hAnsiTheme="minorHAnsi" w:cstheme="minorHAnsi"/>
        </w:rPr>
      </w:pPr>
    </w:p>
    <w:p w14:paraId="4EA93334" w14:textId="0F7A3CBA" w:rsidR="00EA6218" w:rsidRDefault="0DE8C684">
      <w:pPr>
        <w:pStyle w:val="CM1"/>
        <w:spacing w:before="200" w:after="200"/>
        <w:jc w:val="both"/>
        <w:rPr>
          <w:rFonts w:asciiTheme="minorHAnsi" w:hAnsiTheme="minorHAnsi" w:cstheme="minorHAnsi"/>
          <w:color w:val="19161A"/>
        </w:rPr>
      </w:pPr>
      <w:r w:rsidRPr="0DE8C684">
        <w:rPr>
          <w:rFonts w:asciiTheme="minorHAnsi" w:hAnsiTheme="minorHAnsi"/>
        </w:rPr>
        <w:t xml:space="preserve">It is additionally important that according to Article 24 TEU the CFSP must be, </w:t>
      </w:r>
      <w:r w:rsidRPr="0DE8C684">
        <w:rPr>
          <w:rFonts w:asciiTheme="minorHAnsi" w:hAnsiTheme="minorHAnsi"/>
          <w:color w:val="19161A"/>
        </w:rPr>
        <w:t xml:space="preserve">‘defined and implemented by the European Council and the Council acting unanimously’.  That is significant in two ways.  First, the European Council and Council (the latter sitting as ‘the Foreign Affairs Council’ again) are the most Member State-centric institutions of the EU: they are entirely comprised of national politicians and not EU appointees or electees (although the High Representative that chairs the Foreign Affairs Council is also a Vice-President of the Commission).  Second, the requirement of unanimity, of course, means that no state can be outvoted in respect of any CFSP conduct.  Both these characteristics are designed to protect national sovereignty in this most sensitive of areas of </w:t>
      </w:r>
      <w:r w:rsidR="00540D62">
        <w:rPr>
          <w:rFonts w:asciiTheme="minorHAnsi" w:hAnsiTheme="minorHAnsi"/>
          <w:color w:val="19161A"/>
        </w:rPr>
        <w:t>supranational</w:t>
      </w:r>
      <w:r w:rsidRPr="0DE8C684">
        <w:rPr>
          <w:rFonts w:asciiTheme="minorHAnsi" w:hAnsiTheme="minorHAnsi"/>
          <w:color w:val="19161A"/>
        </w:rPr>
        <w:t xml:space="preserve"> </w:t>
      </w:r>
      <w:proofErr w:type="gramStart"/>
      <w:r w:rsidRPr="0DE8C684">
        <w:rPr>
          <w:rFonts w:asciiTheme="minorHAnsi" w:hAnsiTheme="minorHAnsi"/>
          <w:color w:val="19161A"/>
        </w:rPr>
        <w:t>cooperation, and</w:t>
      </w:r>
      <w:proofErr w:type="gramEnd"/>
      <w:r w:rsidRPr="0DE8C684">
        <w:rPr>
          <w:rFonts w:asciiTheme="minorHAnsi" w:hAnsiTheme="minorHAnsi"/>
          <w:color w:val="19161A"/>
        </w:rPr>
        <w:t xml:space="preserve"> echo the functions of the former pillar structure of the EU.  It has also been observed that due to the prominence of the European Council and the Council in this policy area, the actions carried out pursuant to it are more prone to </w:t>
      </w:r>
      <w:r w:rsidR="0073009F">
        <w:rPr>
          <w:rFonts w:asciiTheme="minorHAnsi" w:hAnsiTheme="minorHAnsi"/>
          <w:color w:val="19161A"/>
        </w:rPr>
        <w:t xml:space="preserve">party and national </w:t>
      </w:r>
      <w:r w:rsidRPr="0DE8C684">
        <w:rPr>
          <w:rFonts w:asciiTheme="minorHAnsi" w:hAnsiTheme="minorHAnsi"/>
          <w:color w:val="19161A"/>
        </w:rPr>
        <w:t>politicisation than areas where the Commission is more dominant (such as development policy, discussed further below).</w:t>
      </w:r>
      <w:r w:rsidR="00F21B21" w:rsidRPr="0DE8C684">
        <w:rPr>
          <w:rStyle w:val="FootnoteReference"/>
          <w:rFonts w:asciiTheme="minorHAnsi" w:hAnsiTheme="minorHAnsi" w:cstheme="minorBidi"/>
          <w:color w:val="19161A"/>
        </w:rPr>
        <w:footnoteReference w:id="88"/>
      </w:r>
    </w:p>
    <w:p w14:paraId="3041E394" w14:textId="77777777" w:rsidR="00EA6218" w:rsidRDefault="00EA6218">
      <w:pPr>
        <w:rPr>
          <w:lang w:val="en-GB"/>
        </w:rPr>
      </w:pPr>
    </w:p>
    <w:p w14:paraId="148FAD26" w14:textId="43C6F123" w:rsidR="00EA6218" w:rsidRDefault="00F21B21">
      <w:pPr>
        <w:rPr>
          <w:lang w:val="en-GB"/>
        </w:rPr>
      </w:pPr>
      <w:r>
        <w:rPr>
          <w:lang w:val="en-GB"/>
        </w:rPr>
        <w:t xml:space="preserve">The only area where the EU is empowered to undertake any legally binding CFSP conduct is that, through Article 216 TFEU it, ‘may conclude an agreement with one or more third countries or international </w:t>
      </w:r>
      <w:proofErr w:type="gramStart"/>
      <w:r>
        <w:rPr>
          <w:lang w:val="en-GB"/>
        </w:rPr>
        <w:t>organisations’</w:t>
      </w:r>
      <w:proofErr w:type="gramEnd"/>
      <w:r>
        <w:rPr>
          <w:lang w:val="en-GB"/>
        </w:rPr>
        <w:t xml:space="preserve">.  This is the EU’s legal basis for entering into internationally legally binding treaties, such as the 2006 ‘Agreement between the International Criminal Court and the European Union on Cooperation and Assistance’.  There are separate provisions on </w:t>
      </w:r>
      <w:r w:rsidR="0073009F">
        <w:rPr>
          <w:lang w:val="en-GB"/>
        </w:rPr>
        <w:t xml:space="preserve">the </w:t>
      </w:r>
      <w:r>
        <w:rPr>
          <w:lang w:val="en-GB"/>
        </w:rPr>
        <w:t xml:space="preserve">enlargement of the EU, which are more connected to the development policies discussed in the subsequent section of this Working Paper. </w:t>
      </w:r>
    </w:p>
    <w:p w14:paraId="722B00AE" w14:textId="77777777" w:rsidR="00EA6218" w:rsidRDefault="00EA6218">
      <w:pPr>
        <w:rPr>
          <w:lang w:val="en-GB"/>
        </w:rPr>
      </w:pPr>
    </w:p>
    <w:p w14:paraId="09CFF845" w14:textId="77777777" w:rsidR="00EA6218" w:rsidRDefault="00F21B21">
      <w:pPr>
        <w:pStyle w:val="Heading2"/>
        <w:rPr>
          <w:b/>
          <w:bCs/>
          <w:sz w:val="24"/>
          <w:szCs w:val="24"/>
          <w:lang w:val="en-GB"/>
        </w:rPr>
      </w:pPr>
      <w:bookmarkStart w:id="5" w:name="_Toc96862362"/>
      <w:r>
        <w:rPr>
          <w:b/>
          <w:bCs/>
          <w:sz w:val="24"/>
          <w:szCs w:val="24"/>
          <w:lang w:val="en-GB"/>
        </w:rPr>
        <w:t>3.1. Common Security and Defence Policy</w:t>
      </w:r>
      <w:bookmarkEnd w:id="5"/>
    </w:p>
    <w:p w14:paraId="42C6D796" w14:textId="77777777" w:rsidR="00EA6218" w:rsidRDefault="00EA6218">
      <w:pPr>
        <w:rPr>
          <w:lang w:val="en-GB"/>
        </w:rPr>
      </w:pPr>
    </w:p>
    <w:p w14:paraId="256608F2" w14:textId="6E3F7B23" w:rsidR="00EA6218" w:rsidRDefault="0DE8C684">
      <w:pPr>
        <w:rPr>
          <w:lang w:val="en-GB"/>
        </w:rPr>
      </w:pPr>
      <w:r>
        <w:rPr>
          <w:lang w:val="en-GB"/>
        </w:rPr>
        <w:lastRenderedPageBreak/>
        <w:t xml:space="preserve">Transitional justice is becoming a more and more </w:t>
      </w:r>
      <w:r w:rsidR="00BE0809">
        <w:rPr>
          <w:lang w:val="en-GB"/>
        </w:rPr>
        <w:t xml:space="preserve">expressly </w:t>
      </w:r>
      <w:r>
        <w:rPr>
          <w:lang w:val="en-GB"/>
        </w:rPr>
        <w:t>important element within the EU’s foreign and security goals.</w:t>
      </w:r>
      <w:r w:rsidR="00F21B21">
        <w:rPr>
          <w:rStyle w:val="FootnoteReference"/>
          <w:lang w:val="en-GB"/>
        </w:rPr>
        <w:footnoteReference w:id="89"/>
      </w:r>
      <w:r>
        <w:rPr>
          <w:lang w:val="en-GB"/>
        </w:rPr>
        <w:t xml:space="preserve">  As part of the CFSP </w:t>
      </w:r>
      <w:r w:rsidRPr="00BE0809">
        <w:rPr>
          <w:lang w:val="en-GB"/>
        </w:rPr>
        <w:t>a Common Security and Defence Policy (CSDP) has been established which, according to Article 42 TEU,</w:t>
      </w:r>
      <w:r>
        <w:rPr>
          <w:lang w:val="en-GB"/>
        </w:rPr>
        <w:t xml:space="preserve"> </w:t>
      </w:r>
    </w:p>
    <w:p w14:paraId="29810C0C" w14:textId="77777777" w:rsidR="00EA6218" w:rsidRDefault="00F21B21">
      <w:pPr>
        <w:ind w:left="720"/>
        <w:rPr>
          <w:lang w:val="en-GB"/>
        </w:rPr>
      </w:pPr>
      <w:r>
        <w:rPr>
          <w:lang w:val="en-GB"/>
        </w:rPr>
        <w:t xml:space="preserve">[…] shall provide the Union with an operational capacity drawing on civilian and military assets.  The Union may use them on missions outside the Union for </w:t>
      </w:r>
      <w:proofErr w:type="gramStart"/>
      <w:r>
        <w:rPr>
          <w:lang w:val="en-GB"/>
        </w:rPr>
        <w:t>peace-keeping</w:t>
      </w:r>
      <w:proofErr w:type="gramEnd"/>
      <w:r>
        <w:rPr>
          <w:lang w:val="en-GB"/>
        </w:rPr>
        <w:t xml:space="preserve">, conflict prevention and strengthening international security in accordance with the principles of the United Nations Charter. </w:t>
      </w:r>
    </w:p>
    <w:p w14:paraId="6E1831B3" w14:textId="77777777" w:rsidR="00EA6218" w:rsidRDefault="00EA6218">
      <w:pPr>
        <w:rPr>
          <w:lang w:val="en-GB"/>
        </w:rPr>
      </w:pPr>
    </w:p>
    <w:p w14:paraId="49581C57" w14:textId="77777777" w:rsidR="00EA6218" w:rsidRDefault="00F21B21">
      <w:pPr>
        <w:rPr>
          <w:lang w:val="en-GB"/>
        </w:rPr>
      </w:pPr>
      <w:r>
        <w:rPr>
          <w:lang w:val="en-GB"/>
        </w:rPr>
        <w:t xml:space="preserve">Article 42(4) also reiterates that in relation CSDP any decisions of the Council must be adopted unanimously.  This includes the decision to launch a mission in the first place.  The significance of the requirement for unanimity should never be under-estimated. </w:t>
      </w:r>
    </w:p>
    <w:p w14:paraId="54E11D2A" w14:textId="77777777" w:rsidR="00EA6218" w:rsidRDefault="00F21B21">
      <w:pPr>
        <w:rPr>
          <w:lang w:val="en-GB"/>
        </w:rPr>
      </w:pPr>
      <w:r>
        <w:rPr>
          <w:lang w:val="en-GB"/>
        </w:rPr>
        <w:tab/>
      </w:r>
    </w:p>
    <w:p w14:paraId="7C4967E3" w14:textId="20601470" w:rsidR="00EA6218" w:rsidRDefault="0DE8C684">
      <w:pPr>
        <w:rPr>
          <w:lang w:val="en-GB"/>
        </w:rPr>
      </w:pPr>
      <w:r>
        <w:rPr>
          <w:lang w:val="en-GB"/>
        </w:rPr>
        <w:t xml:space="preserve">The </w:t>
      </w:r>
      <w:proofErr w:type="spellStart"/>
      <w:r>
        <w:rPr>
          <w:lang w:val="en-GB"/>
        </w:rPr>
        <w:t>RePAST</w:t>
      </w:r>
      <w:proofErr w:type="spellEnd"/>
      <w:r>
        <w:rPr>
          <w:lang w:val="en-GB"/>
        </w:rPr>
        <w:t xml:space="preserve"> states most clearly impacted by CSDP are Bosnia </w:t>
      </w:r>
      <w:r w:rsidR="00F26B85">
        <w:rPr>
          <w:lang w:val="en-GB"/>
        </w:rPr>
        <w:t xml:space="preserve">Herzegovina </w:t>
      </w:r>
      <w:r>
        <w:rPr>
          <w:lang w:val="en-GB"/>
        </w:rPr>
        <w:t>and Kosovo.  Three CSDP missions are significant in connection with these two states: the European Union Police Mission in Bosnia and Herzegovina (EUPM), from 2003 to 2012; the EU Military Operation in Bosnia and Herzegovina (EUFOR-Althea BiH), starting in 2004 and ongoing; and the European Union Rule of Law Mission in Kosovo (EULEX KOSOVO), from 2008 and ongoing.  Each was established, and periodically renewed, by a Decision of the Council pursuant to Article 42 TEU.  EUPM was the very first CSDP mission, and EULEX KOSOVO remains the largest.</w:t>
      </w:r>
      <w:r w:rsidR="00F21B21">
        <w:rPr>
          <w:rStyle w:val="FootnoteReference"/>
          <w:lang w:val="en-GB"/>
        </w:rPr>
        <w:footnoteReference w:id="90"/>
      </w:r>
      <w:r>
        <w:rPr>
          <w:lang w:val="en-GB"/>
        </w:rPr>
        <w:t xml:space="preserve">  </w:t>
      </w:r>
    </w:p>
    <w:p w14:paraId="31126E5D" w14:textId="77777777" w:rsidR="00EA6218" w:rsidRDefault="00EA6218">
      <w:pPr>
        <w:rPr>
          <w:lang w:val="en-GB"/>
        </w:rPr>
      </w:pPr>
    </w:p>
    <w:p w14:paraId="792CCEE2" w14:textId="77777777" w:rsidR="00EA6218" w:rsidRDefault="0DE8C684">
      <w:pPr>
        <w:rPr>
          <w:lang w:val="en-GB"/>
        </w:rPr>
      </w:pPr>
      <w:r>
        <w:rPr>
          <w:lang w:val="en-GB"/>
        </w:rPr>
        <w:t xml:space="preserve">EUPM was established </w:t>
      </w:r>
      <w:proofErr w:type="gramStart"/>
      <w:r>
        <w:rPr>
          <w:lang w:val="en-GB"/>
        </w:rPr>
        <w:t>in order to</w:t>
      </w:r>
      <w:proofErr w:type="gramEnd"/>
      <w:r>
        <w:rPr>
          <w:lang w:val="en-GB"/>
        </w:rPr>
        <w:t xml:space="preserve"> complete the work of the UN's International Police Task Force in establishing sustainable and multi-ethnic policing arrangements under Bosnian ownership.  This was, of course, one way in which the EU assisted Bosnia to address its troubled past.  However, it did not directly engage in transitional justice practices such as vetting or lustration, but it </w:t>
      </w:r>
      <w:r w:rsidRPr="0DE8C684">
        <w:rPr>
          <w:i/>
          <w:iCs/>
          <w:lang w:val="en-GB"/>
        </w:rPr>
        <w:t>is</w:t>
      </w:r>
      <w:r>
        <w:rPr>
          <w:lang w:val="en-GB"/>
        </w:rPr>
        <w:t xml:space="preserve"> recognised as having helped the police to gain the trust of much of the population.</w:t>
      </w:r>
      <w:r w:rsidR="00F21B21">
        <w:rPr>
          <w:rStyle w:val="FootnoteReference"/>
          <w:lang w:val="en-GB"/>
        </w:rPr>
        <w:footnoteReference w:id="91"/>
      </w:r>
      <w:r>
        <w:rPr>
          <w:lang w:val="en-GB"/>
        </w:rPr>
        <w:t xml:space="preserve">  It has not always been straightforward though.  For example, in 2015 the </w:t>
      </w:r>
      <w:proofErr w:type="spellStart"/>
      <w:r>
        <w:rPr>
          <w:lang w:val="en-GB"/>
        </w:rPr>
        <w:t>Republika</w:t>
      </w:r>
      <w:proofErr w:type="spellEnd"/>
      <w:r>
        <w:rPr>
          <w:lang w:val="en-GB"/>
        </w:rPr>
        <w:t xml:space="preserve"> Srpska (Bosnia’s autonomous Serb Republic) briefly broke all ties with the national police force after its officers ‘raided’ a police station in the </w:t>
      </w:r>
      <w:proofErr w:type="spellStart"/>
      <w:r>
        <w:rPr>
          <w:lang w:val="en-GB"/>
        </w:rPr>
        <w:t>Republika</w:t>
      </w:r>
      <w:proofErr w:type="spellEnd"/>
      <w:r>
        <w:rPr>
          <w:lang w:val="en-GB"/>
        </w:rPr>
        <w:t>.</w:t>
      </w:r>
      <w:r w:rsidR="00F21B21">
        <w:rPr>
          <w:rStyle w:val="FootnoteReference"/>
          <w:lang w:val="en-GB"/>
        </w:rPr>
        <w:footnoteReference w:id="92"/>
      </w:r>
    </w:p>
    <w:p w14:paraId="2DE403A5" w14:textId="77777777" w:rsidR="00EA6218" w:rsidRDefault="00EA6218">
      <w:pPr>
        <w:rPr>
          <w:lang w:val="en-GB"/>
        </w:rPr>
      </w:pPr>
    </w:p>
    <w:p w14:paraId="2F8F27C8" w14:textId="7FEBAE4F" w:rsidR="00EA6218" w:rsidRDefault="0DE8C684">
      <w:pPr>
        <w:rPr>
          <w:lang w:val="en-GB"/>
        </w:rPr>
      </w:pPr>
      <w:r>
        <w:rPr>
          <w:lang w:val="en-GB"/>
        </w:rPr>
        <w:lastRenderedPageBreak/>
        <w:t>EUFOR-Althea BiH is engaged in training the armed forces of Bosnia toward NATO standards.  It began with a force level of some 7000 troops, but that number has since decreased to around 600 from 2012.</w:t>
      </w:r>
      <w:r w:rsidR="00F21B21">
        <w:rPr>
          <w:rStyle w:val="FootnoteReference"/>
          <w:lang w:val="en-GB"/>
        </w:rPr>
        <w:footnoteReference w:id="93"/>
      </w:r>
      <w:r>
        <w:rPr>
          <w:lang w:val="en-GB"/>
        </w:rPr>
        <w:t xml:space="preserve">   Despite its </w:t>
      </w:r>
      <w:r w:rsidR="00A61AE3">
        <w:rPr>
          <w:lang w:val="en-GB"/>
        </w:rPr>
        <w:t xml:space="preserve">broad </w:t>
      </w:r>
      <w:r>
        <w:rPr>
          <w:lang w:val="en-GB"/>
        </w:rPr>
        <w:t>training mandate, it is recognised that its main focus was to support the I</w:t>
      </w:r>
      <w:r w:rsidR="00A8252E">
        <w:rPr>
          <w:lang w:val="en-GB"/>
        </w:rPr>
        <w:t xml:space="preserve">nternational </w:t>
      </w:r>
      <w:r>
        <w:rPr>
          <w:lang w:val="en-GB"/>
        </w:rPr>
        <w:t>C</w:t>
      </w:r>
      <w:r w:rsidR="00A8252E">
        <w:rPr>
          <w:lang w:val="en-GB"/>
        </w:rPr>
        <w:t xml:space="preserve">riminal </w:t>
      </w:r>
      <w:r>
        <w:rPr>
          <w:lang w:val="en-GB"/>
        </w:rPr>
        <w:t>T</w:t>
      </w:r>
      <w:r w:rsidR="00A8252E">
        <w:rPr>
          <w:lang w:val="en-GB"/>
        </w:rPr>
        <w:t xml:space="preserve">ribunal for the Former </w:t>
      </w:r>
      <w:r>
        <w:rPr>
          <w:lang w:val="en-GB"/>
        </w:rPr>
        <w:t>Y</w:t>
      </w:r>
      <w:r w:rsidR="00A8252E">
        <w:rPr>
          <w:lang w:val="en-GB"/>
        </w:rPr>
        <w:t xml:space="preserve">ugoslavia (ICTY), </w:t>
      </w:r>
      <w:r>
        <w:rPr>
          <w:lang w:val="en-GB"/>
        </w:rPr>
        <w:t>and Bosnian authorities to detain persons suspected of international crimes under the jurisdiction of the ICTY.</w:t>
      </w:r>
      <w:r w:rsidR="00F21B21">
        <w:rPr>
          <w:rStyle w:val="FootnoteReference"/>
          <w:lang w:val="en-GB"/>
        </w:rPr>
        <w:footnoteReference w:id="94"/>
      </w:r>
      <w:r>
        <w:rPr>
          <w:lang w:val="en-GB"/>
        </w:rPr>
        <w:t xml:space="preserve">  </w:t>
      </w:r>
      <w:r w:rsidR="0010261F">
        <w:rPr>
          <w:lang w:val="en-GB"/>
        </w:rPr>
        <w:t>The prosecution of</w:t>
      </w:r>
      <w:r w:rsidR="007C4B85">
        <w:rPr>
          <w:lang w:val="en-GB"/>
        </w:rPr>
        <w:t xml:space="preserve"> people for mass atrocities committed in a prior regime or </w:t>
      </w:r>
      <w:r w:rsidR="00D84BC5">
        <w:rPr>
          <w:lang w:val="en-GB"/>
        </w:rPr>
        <w:t xml:space="preserve">subsequent to </w:t>
      </w:r>
      <w:r w:rsidR="005218E8">
        <w:rPr>
          <w:lang w:val="en-GB"/>
        </w:rPr>
        <w:t xml:space="preserve">an armed conflict </w:t>
      </w:r>
      <w:r w:rsidR="00311EDB">
        <w:rPr>
          <w:lang w:val="en-GB"/>
        </w:rPr>
        <w:t>is</w:t>
      </w:r>
      <w:r w:rsidR="00D84BC5">
        <w:rPr>
          <w:lang w:val="en-GB"/>
        </w:rPr>
        <w:t xml:space="preserve"> archetypical</w:t>
      </w:r>
      <w:r w:rsidR="00311EDB">
        <w:rPr>
          <w:lang w:val="en-GB"/>
        </w:rPr>
        <w:t xml:space="preserve"> transitional justice practice.  Thus, </w:t>
      </w:r>
      <w:r w:rsidR="007A1B66">
        <w:rPr>
          <w:lang w:val="en-GB"/>
        </w:rPr>
        <w:t>EUFOR-Althea BiH</w:t>
      </w:r>
      <w:r w:rsidR="00D84BC5">
        <w:rPr>
          <w:lang w:val="en-GB"/>
        </w:rPr>
        <w:t xml:space="preserve"> </w:t>
      </w:r>
      <w:r>
        <w:rPr>
          <w:lang w:val="en-GB"/>
        </w:rPr>
        <w:t>may be deemed to have facilitated transitional criminal justice directed toward Bosnia’s troubled past.  However, broader and more creative policies and practices of transitional justice have been</w:t>
      </w:r>
      <w:r w:rsidR="00DA5C37">
        <w:rPr>
          <w:lang w:val="en-GB"/>
        </w:rPr>
        <w:t>,</w:t>
      </w:r>
      <w:r>
        <w:rPr>
          <w:lang w:val="en-GB"/>
        </w:rPr>
        <w:t xml:space="preserve"> </w:t>
      </w:r>
      <w:r w:rsidR="00DA5C37">
        <w:rPr>
          <w:lang w:val="en-GB"/>
        </w:rPr>
        <w:t xml:space="preserve">unfortunately, largely </w:t>
      </w:r>
      <w:r>
        <w:rPr>
          <w:lang w:val="en-GB"/>
        </w:rPr>
        <w:t>absent.  The same is true for EULEX KOSOVO, which has again put the focus on transitional criminal justice.  This has manifested through EULEX-led prosecutions in Kosovo, compulsion to cooperate with the ICTY, and most recently with the controversial establishment of the controversial Kosovo Specialist Chambers.</w:t>
      </w:r>
      <w:r w:rsidR="00F21B21">
        <w:rPr>
          <w:rStyle w:val="FootnoteReference"/>
          <w:lang w:val="en-GB"/>
        </w:rPr>
        <w:footnoteReference w:id="95"/>
      </w:r>
      <w:r>
        <w:rPr>
          <w:lang w:val="en-GB"/>
        </w:rPr>
        <w:t xml:space="preserve">  The strong emphasis of CFSP in the former Yugoslavia on transitional criminal justice is replicated in the EU’s development, conditionality, and enlargement policies discussed further below.</w:t>
      </w:r>
    </w:p>
    <w:p w14:paraId="62431CDC" w14:textId="77777777" w:rsidR="00EA6218" w:rsidRDefault="00EA6218">
      <w:pPr>
        <w:rPr>
          <w:lang w:val="en-GB"/>
        </w:rPr>
      </w:pPr>
    </w:p>
    <w:p w14:paraId="3073B473" w14:textId="4B0E3B67" w:rsidR="00211ECE" w:rsidRDefault="0DE8C684">
      <w:pPr>
        <w:rPr>
          <w:lang w:val="en-GB"/>
        </w:rPr>
      </w:pPr>
      <w:r>
        <w:rPr>
          <w:lang w:val="en-GB"/>
        </w:rPr>
        <w:t xml:space="preserve">The CFSP’s focus on transitional criminal justice, especially in respect of international courts and tribunals, has not been unequivocally accepted as </w:t>
      </w:r>
      <w:r w:rsidR="00981D08">
        <w:rPr>
          <w:lang w:val="en-GB"/>
        </w:rPr>
        <w:t xml:space="preserve">having ‘beneficial social </w:t>
      </w:r>
      <w:proofErr w:type="gramStart"/>
      <w:r w:rsidR="00981D08">
        <w:rPr>
          <w:lang w:val="en-GB"/>
        </w:rPr>
        <w:t>effects</w:t>
      </w:r>
      <w:r w:rsidR="00D07F9C">
        <w:rPr>
          <w:lang w:val="en-GB"/>
        </w:rPr>
        <w:t>’</w:t>
      </w:r>
      <w:proofErr w:type="gramEnd"/>
      <w:r>
        <w:rPr>
          <w:lang w:val="en-GB"/>
        </w:rPr>
        <w:t>.</w:t>
      </w:r>
      <w:r w:rsidR="00211ECE">
        <w:rPr>
          <w:lang w:val="en-GB"/>
        </w:rPr>
        <w:t xml:space="preserve">  This is tied to difficult questions in transitional justice scholarship as </w:t>
      </w:r>
      <w:r w:rsidR="008F18A7">
        <w:rPr>
          <w:lang w:val="en-GB"/>
        </w:rPr>
        <w:t xml:space="preserve">what the legacy of the ICTY </w:t>
      </w:r>
      <w:proofErr w:type="gramStart"/>
      <w:r w:rsidR="008F18A7">
        <w:rPr>
          <w:lang w:val="en-GB"/>
        </w:rPr>
        <w:t>actually is</w:t>
      </w:r>
      <w:proofErr w:type="gramEnd"/>
      <w:r w:rsidR="008F18A7">
        <w:rPr>
          <w:lang w:val="en-GB"/>
        </w:rPr>
        <w:t xml:space="preserve">, including as to </w:t>
      </w:r>
      <w:r w:rsidR="008F18A7" w:rsidRPr="008F18A7">
        <w:rPr>
          <w:i/>
          <w:iCs/>
          <w:lang w:val="en-GB"/>
        </w:rPr>
        <w:t>what</w:t>
      </w:r>
      <w:r w:rsidR="008F18A7">
        <w:rPr>
          <w:lang w:val="en-GB"/>
        </w:rPr>
        <w:t xml:space="preserve"> should be measured and </w:t>
      </w:r>
      <w:r w:rsidR="008F18A7" w:rsidRPr="008F18A7">
        <w:rPr>
          <w:i/>
          <w:iCs/>
          <w:lang w:val="en-GB"/>
        </w:rPr>
        <w:t>how</w:t>
      </w:r>
      <w:r w:rsidR="008F18A7">
        <w:rPr>
          <w:lang w:val="en-GB"/>
        </w:rPr>
        <w:t xml:space="preserve"> to measure it</w:t>
      </w:r>
      <w:r w:rsidR="00AD73A9">
        <w:rPr>
          <w:lang w:val="en-GB"/>
        </w:rPr>
        <w:t>.</w:t>
      </w:r>
      <w:r w:rsidR="00FE3BCC">
        <w:rPr>
          <w:lang w:val="en-GB"/>
        </w:rPr>
        <w:t xml:space="preserve">  There have been variegated impacts upon perpetrators, victims</w:t>
      </w:r>
      <w:r w:rsidR="00151904">
        <w:rPr>
          <w:lang w:val="en-GB"/>
        </w:rPr>
        <w:t>, and wider society in the former Yugoslavia.</w:t>
      </w:r>
      <w:r w:rsidR="00510E74">
        <w:rPr>
          <w:rStyle w:val="FootnoteReference"/>
          <w:lang w:val="en-GB"/>
        </w:rPr>
        <w:footnoteReference w:id="96"/>
      </w:r>
      <w:r w:rsidR="00151904">
        <w:rPr>
          <w:lang w:val="en-GB"/>
        </w:rPr>
        <w:t xml:space="preserve">  Before the EU continues to prioritise transitional criminal justice, it should consider</w:t>
      </w:r>
      <w:r w:rsidR="00510E74">
        <w:rPr>
          <w:lang w:val="en-GB"/>
        </w:rPr>
        <w:t xml:space="preserve"> its goals and whether they can be achieved.</w:t>
      </w:r>
      <w:r>
        <w:rPr>
          <w:lang w:val="en-GB"/>
        </w:rPr>
        <w:t xml:space="preserve">  </w:t>
      </w:r>
    </w:p>
    <w:p w14:paraId="49E398E2" w14:textId="77777777" w:rsidR="00EA6218" w:rsidRDefault="00EA6218">
      <w:pPr>
        <w:rPr>
          <w:lang w:val="en-GB"/>
        </w:rPr>
      </w:pPr>
    </w:p>
    <w:p w14:paraId="52038D4A" w14:textId="77777777" w:rsidR="00EA6218" w:rsidRDefault="00F21B21">
      <w:pPr>
        <w:pStyle w:val="Heading2"/>
        <w:rPr>
          <w:b/>
          <w:bCs/>
          <w:sz w:val="24"/>
          <w:szCs w:val="24"/>
          <w:lang w:val="en-GB"/>
        </w:rPr>
      </w:pPr>
      <w:bookmarkStart w:id="6" w:name="_Toc96862363"/>
      <w:r>
        <w:rPr>
          <w:b/>
          <w:bCs/>
          <w:sz w:val="24"/>
          <w:szCs w:val="24"/>
          <w:lang w:val="en-GB"/>
        </w:rPr>
        <w:t>3.2 The ‘EU Policy Framework on Support to Transitional Justice’</w:t>
      </w:r>
      <w:bookmarkEnd w:id="6"/>
      <w:r>
        <w:rPr>
          <w:b/>
          <w:bCs/>
          <w:sz w:val="24"/>
          <w:szCs w:val="24"/>
          <w:lang w:val="en-GB"/>
        </w:rPr>
        <w:t xml:space="preserve">   </w:t>
      </w:r>
    </w:p>
    <w:p w14:paraId="16287F21" w14:textId="77777777" w:rsidR="00EA6218" w:rsidRDefault="00EA6218">
      <w:pPr>
        <w:rPr>
          <w:lang w:val="en-GB"/>
        </w:rPr>
      </w:pPr>
    </w:p>
    <w:p w14:paraId="4D07E470" w14:textId="77777777" w:rsidR="00EA6218" w:rsidRDefault="0DE8C684">
      <w:pPr>
        <w:rPr>
          <w:lang w:val="en-GB"/>
        </w:rPr>
      </w:pPr>
      <w:r w:rsidRPr="008455E2">
        <w:rPr>
          <w:lang w:val="en-GB"/>
        </w:rPr>
        <w:t xml:space="preserve">In 2015 the Council of the EU, again sitting as the Foreign Affairs Council, went some way to broadening the EU’s potential role regarding transitional justice.  First, it adopted its ‘Conclusions on the Action Plan on Human Rights and Democracy 2015 – 2019’, which, by new Objective 22(b), </w:t>
      </w:r>
      <w:r w:rsidRPr="008455E2">
        <w:rPr>
          <w:lang w:val="en-GB"/>
        </w:rPr>
        <w:lastRenderedPageBreak/>
        <w:t>committed it to developing and implementing an EU policy on transitional justice.</w:t>
      </w:r>
      <w:r w:rsidR="00F21B21" w:rsidRPr="008455E2">
        <w:rPr>
          <w:rStyle w:val="FootnoteReference"/>
          <w:lang w:val="en-GB"/>
        </w:rPr>
        <w:footnoteReference w:id="97"/>
      </w:r>
      <w:r w:rsidRPr="008455E2">
        <w:rPr>
          <w:lang w:val="en-GB"/>
        </w:rPr>
        <w:t xml:space="preserve">  Second, and pursuant to the Conclusions, it adopted the ‘EU Policy Framework on Support to Transitional Justice’.</w:t>
      </w:r>
      <w:r w:rsidR="00F21B21" w:rsidRPr="008455E2">
        <w:rPr>
          <w:rStyle w:val="FootnoteReference"/>
          <w:lang w:val="en-GB"/>
        </w:rPr>
        <w:footnoteReference w:id="98"/>
      </w:r>
      <w:r w:rsidRPr="008455E2">
        <w:rPr>
          <w:lang w:val="en-GB"/>
        </w:rPr>
        <w:t xml:space="preserve">  This now underpins all areas of the CFSP that engage with transitional justice, including CSDP.  It should be apparent from the above that neither of these constitute legally binding ‘EU law’.  Yet they </w:t>
      </w:r>
      <w:r w:rsidRPr="008455E2">
        <w:rPr>
          <w:i/>
          <w:iCs/>
          <w:lang w:val="en-GB"/>
        </w:rPr>
        <w:t>do</w:t>
      </w:r>
      <w:r w:rsidRPr="008455E2">
        <w:rPr>
          <w:lang w:val="en-GB"/>
        </w:rPr>
        <w:t xml:space="preserve"> have some political significance.</w:t>
      </w:r>
      <w:r>
        <w:rPr>
          <w:lang w:val="en-GB"/>
        </w:rPr>
        <w:t xml:space="preserve"> </w:t>
      </w:r>
    </w:p>
    <w:p w14:paraId="5BE93A62" w14:textId="77777777" w:rsidR="00EA6218" w:rsidRDefault="00EA6218">
      <w:pPr>
        <w:rPr>
          <w:lang w:val="en-GB"/>
        </w:rPr>
      </w:pPr>
    </w:p>
    <w:p w14:paraId="18071D99" w14:textId="77777777" w:rsidR="00EA6218" w:rsidRDefault="0DE8C684">
      <w:pPr>
        <w:rPr>
          <w:lang w:val="en-GB"/>
        </w:rPr>
      </w:pPr>
      <w:r>
        <w:rPr>
          <w:lang w:val="en-GB"/>
        </w:rPr>
        <w:t>The Framework adopts the definition of transitional justice proposed in 2004 by the UN Secretary General, which was noted in the introduction above.</w:t>
      </w:r>
      <w:r w:rsidR="00F21B21">
        <w:rPr>
          <w:rStyle w:val="FootnoteReference"/>
          <w:lang w:val="en-GB"/>
        </w:rPr>
        <w:footnoteReference w:id="99"/>
      </w:r>
      <w:r>
        <w:rPr>
          <w:lang w:val="en-GB"/>
        </w:rPr>
        <w:t xml:space="preserve">  It then sets out the ‘four essential elements of transitional justice’ as:</w:t>
      </w:r>
    </w:p>
    <w:p w14:paraId="415591A3" w14:textId="77777777" w:rsidR="00EA6218" w:rsidRDefault="00F21B21">
      <w:pPr>
        <w:pStyle w:val="ListParagraph"/>
        <w:numPr>
          <w:ilvl w:val="0"/>
          <w:numId w:val="37"/>
        </w:numPr>
        <w:jc w:val="both"/>
        <w:rPr>
          <w:sz w:val="24"/>
          <w:szCs w:val="24"/>
          <w:lang w:val="en-GB"/>
        </w:rPr>
      </w:pPr>
      <w:r>
        <w:rPr>
          <w:sz w:val="24"/>
          <w:szCs w:val="24"/>
          <w:lang w:val="en-GB"/>
        </w:rPr>
        <w:t xml:space="preserve">criminal </w:t>
      </w:r>
      <w:proofErr w:type="gramStart"/>
      <w:r>
        <w:rPr>
          <w:sz w:val="24"/>
          <w:szCs w:val="24"/>
          <w:lang w:val="en-GB"/>
        </w:rPr>
        <w:t>justice;</w:t>
      </w:r>
      <w:proofErr w:type="gramEnd"/>
    </w:p>
    <w:p w14:paraId="25CE9E1B" w14:textId="77777777" w:rsidR="00EA6218" w:rsidRDefault="00F21B21">
      <w:pPr>
        <w:pStyle w:val="ListParagraph"/>
        <w:numPr>
          <w:ilvl w:val="0"/>
          <w:numId w:val="37"/>
        </w:numPr>
        <w:jc w:val="both"/>
        <w:rPr>
          <w:sz w:val="24"/>
          <w:szCs w:val="24"/>
          <w:lang w:val="en-GB"/>
        </w:rPr>
      </w:pPr>
      <w:proofErr w:type="gramStart"/>
      <w:r>
        <w:rPr>
          <w:sz w:val="24"/>
          <w:szCs w:val="24"/>
          <w:lang w:val="en-GB"/>
        </w:rPr>
        <w:t>truth;</w:t>
      </w:r>
      <w:proofErr w:type="gramEnd"/>
    </w:p>
    <w:p w14:paraId="01099F80" w14:textId="77777777" w:rsidR="00EA6218" w:rsidRDefault="00F21B21">
      <w:pPr>
        <w:pStyle w:val="ListParagraph"/>
        <w:numPr>
          <w:ilvl w:val="0"/>
          <w:numId w:val="37"/>
        </w:numPr>
        <w:jc w:val="both"/>
        <w:rPr>
          <w:sz w:val="24"/>
          <w:szCs w:val="24"/>
          <w:lang w:val="en-GB"/>
        </w:rPr>
      </w:pPr>
      <w:r>
        <w:rPr>
          <w:sz w:val="24"/>
          <w:szCs w:val="24"/>
          <w:lang w:val="en-GB"/>
        </w:rPr>
        <w:t>reparations; and</w:t>
      </w:r>
    </w:p>
    <w:p w14:paraId="59A1819F" w14:textId="77777777" w:rsidR="00EA6218" w:rsidRDefault="00F21B21">
      <w:pPr>
        <w:pStyle w:val="ListParagraph"/>
        <w:numPr>
          <w:ilvl w:val="0"/>
          <w:numId w:val="37"/>
        </w:numPr>
        <w:jc w:val="both"/>
        <w:rPr>
          <w:sz w:val="24"/>
          <w:szCs w:val="24"/>
          <w:lang w:val="en-GB"/>
        </w:rPr>
      </w:pPr>
      <w:r>
        <w:rPr>
          <w:sz w:val="24"/>
          <w:szCs w:val="24"/>
          <w:lang w:val="en-GB"/>
        </w:rPr>
        <w:t>guarantees of non-recurrence/institutional reform.</w:t>
      </w:r>
    </w:p>
    <w:p w14:paraId="384BA73E" w14:textId="77777777" w:rsidR="00EA6218" w:rsidRDefault="00EA6218">
      <w:pPr>
        <w:rPr>
          <w:lang w:val="en-GB"/>
        </w:rPr>
      </w:pPr>
    </w:p>
    <w:p w14:paraId="385D309D" w14:textId="0408EDAD" w:rsidR="00EA6218" w:rsidRDefault="00F21B21">
      <w:pPr>
        <w:pStyle w:val="Default"/>
        <w:jc w:val="both"/>
        <w:rPr>
          <w:rFonts w:asciiTheme="minorHAnsi" w:hAnsiTheme="minorHAnsi" w:cstheme="minorHAnsi"/>
          <w:lang w:val="en-GB"/>
        </w:rPr>
      </w:pPr>
      <w:r>
        <w:rPr>
          <w:rFonts w:asciiTheme="minorHAnsi" w:hAnsiTheme="minorHAnsi" w:cstheme="minorHAnsi"/>
          <w:lang w:val="en-GB"/>
        </w:rPr>
        <w:t xml:space="preserve">In this way it </w:t>
      </w:r>
      <w:r w:rsidRPr="005C291D">
        <w:rPr>
          <w:rFonts w:asciiTheme="minorHAnsi" w:hAnsiTheme="minorHAnsi" w:cstheme="minorHAnsi"/>
          <w:i/>
          <w:iCs/>
          <w:lang w:val="en-GB"/>
        </w:rPr>
        <w:t>has</w:t>
      </w:r>
      <w:r>
        <w:rPr>
          <w:rFonts w:asciiTheme="minorHAnsi" w:hAnsiTheme="minorHAnsi" w:cstheme="minorHAnsi"/>
          <w:lang w:val="en-GB"/>
        </w:rPr>
        <w:t xml:space="preserve"> accepted that there is more to transitional justice than merely </w:t>
      </w:r>
      <w:r w:rsidR="00297DE6">
        <w:rPr>
          <w:rFonts w:asciiTheme="minorHAnsi" w:hAnsiTheme="minorHAnsi" w:cstheme="minorHAnsi"/>
          <w:lang w:val="en-GB"/>
        </w:rPr>
        <w:t xml:space="preserve">transitional </w:t>
      </w:r>
      <w:r>
        <w:rPr>
          <w:rFonts w:asciiTheme="minorHAnsi" w:hAnsiTheme="minorHAnsi" w:cstheme="minorHAnsi"/>
          <w:lang w:val="en-GB"/>
        </w:rPr>
        <w:t xml:space="preserve">criminal justice.  </w:t>
      </w:r>
    </w:p>
    <w:p w14:paraId="34B3F2EB" w14:textId="77777777" w:rsidR="00EA6218" w:rsidRDefault="00EA6218">
      <w:pPr>
        <w:pStyle w:val="Default"/>
        <w:jc w:val="both"/>
        <w:rPr>
          <w:rFonts w:asciiTheme="minorHAnsi" w:hAnsiTheme="minorHAnsi" w:cstheme="minorHAnsi"/>
          <w:lang w:val="en-GB"/>
        </w:rPr>
      </w:pPr>
    </w:p>
    <w:p w14:paraId="1ED62768" w14:textId="6592BB1F" w:rsidR="00EA6218" w:rsidRDefault="0DE8C684">
      <w:pPr>
        <w:pStyle w:val="Default"/>
        <w:jc w:val="both"/>
        <w:rPr>
          <w:rFonts w:asciiTheme="minorHAnsi" w:hAnsiTheme="minorHAnsi" w:cstheme="minorHAnsi"/>
          <w:lang w:val="en-GB"/>
        </w:rPr>
      </w:pPr>
      <w:r w:rsidRPr="0DE8C684">
        <w:rPr>
          <w:rFonts w:asciiTheme="minorHAnsi" w:hAnsiTheme="minorHAnsi" w:cstheme="minorBidi"/>
          <w:lang w:val="en-GB"/>
        </w:rPr>
        <w:t>The Framework also makes the valuable point that EU Member States have</w:t>
      </w:r>
      <w:r w:rsidR="00297DE6">
        <w:rPr>
          <w:rFonts w:asciiTheme="minorHAnsi" w:hAnsiTheme="minorHAnsi" w:cstheme="minorBidi"/>
          <w:lang w:val="en-GB"/>
        </w:rPr>
        <w:t>,</w:t>
      </w:r>
      <w:r w:rsidRPr="0DE8C684">
        <w:rPr>
          <w:rFonts w:asciiTheme="minorHAnsi" w:hAnsiTheme="minorHAnsi" w:cstheme="minorBidi"/>
          <w:lang w:val="en-GB"/>
        </w:rPr>
        <w:t xml:space="preserve"> ‘a wealth of experience in dealing with the past’ and that in some transitional justice processes ‘remain ongoing’.</w:t>
      </w:r>
      <w:r w:rsidR="00F21B21" w:rsidRPr="0DE8C684">
        <w:rPr>
          <w:rStyle w:val="FootnoteReference"/>
          <w:rFonts w:asciiTheme="minorHAnsi" w:hAnsiTheme="minorHAnsi" w:cstheme="minorBidi"/>
          <w:lang w:val="en-GB"/>
        </w:rPr>
        <w:footnoteReference w:id="100"/>
      </w:r>
      <w:r w:rsidRPr="0DE8C684">
        <w:rPr>
          <w:rFonts w:asciiTheme="minorHAnsi" w:hAnsiTheme="minorHAnsi" w:cstheme="minorBidi"/>
          <w:lang w:val="en-GB"/>
        </w:rPr>
        <w:t xml:space="preserve">  There is also the observation that several, ‘European countries continue to deal with their own legacies in third countries.’</w:t>
      </w:r>
      <w:r w:rsidR="00F21B21" w:rsidRPr="0DE8C684">
        <w:rPr>
          <w:rStyle w:val="FootnoteReference"/>
          <w:rFonts w:asciiTheme="minorHAnsi" w:hAnsiTheme="minorHAnsi" w:cstheme="minorBidi"/>
          <w:lang w:val="en-GB"/>
        </w:rPr>
        <w:footnoteReference w:id="101"/>
      </w:r>
      <w:r w:rsidRPr="0DE8C684">
        <w:rPr>
          <w:rFonts w:asciiTheme="minorHAnsi" w:hAnsiTheme="minorHAnsi" w:cstheme="minorBidi"/>
          <w:lang w:val="en-GB"/>
        </w:rPr>
        <w:t xml:space="preserve">  That </w:t>
      </w:r>
      <w:r w:rsidRPr="0DE8C684">
        <w:rPr>
          <w:rFonts w:asciiTheme="minorHAnsi" w:hAnsiTheme="minorHAnsi" w:cstheme="minorBidi"/>
          <w:i/>
          <w:iCs/>
          <w:lang w:val="en-GB"/>
        </w:rPr>
        <w:t>must</w:t>
      </w:r>
      <w:r w:rsidRPr="0DE8C684">
        <w:rPr>
          <w:rFonts w:asciiTheme="minorHAnsi" w:hAnsiTheme="minorHAnsi" w:cstheme="minorBidi"/>
          <w:lang w:val="en-GB"/>
        </w:rPr>
        <w:t xml:space="preserve"> be taken as a reference to colonialism, and is interesting given the almost complete absence of colonialism as a memory frame in debates about European history at the EU.  In terms of monitoring, the Framework commits the EU to reporting on its implementation principally through the EU’s Annual Reports on Human Rights and Democracy.</w:t>
      </w:r>
    </w:p>
    <w:p w14:paraId="7D34F5C7" w14:textId="77777777" w:rsidR="00EA6218" w:rsidRDefault="00EA6218">
      <w:pPr>
        <w:rPr>
          <w:rFonts w:cstheme="minorHAnsi"/>
          <w:lang w:val="en-GB"/>
        </w:rPr>
      </w:pPr>
    </w:p>
    <w:p w14:paraId="48D79A51" w14:textId="21213F35" w:rsidR="00EA6218" w:rsidRDefault="0DE8C684">
      <w:pPr>
        <w:rPr>
          <w:rFonts w:cstheme="minorHAnsi"/>
          <w:lang w:val="en-GB"/>
        </w:rPr>
      </w:pPr>
      <w:r w:rsidRPr="0DE8C684">
        <w:rPr>
          <w:rFonts w:cstheme="minorBidi"/>
          <w:lang w:val="en-GB"/>
        </w:rPr>
        <w:t xml:space="preserve">The Annual Reports on Human Rights and Democracy have been a feature of CFSP since 1999.  Presently, the Annual Report is </w:t>
      </w:r>
      <w:proofErr w:type="gramStart"/>
      <w:r w:rsidRPr="0DE8C684">
        <w:rPr>
          <w:rFonts w:cstheme="minorBidi"/>
          <w:lang w:val="en-GB"/>
        </w:rPr>
        <w:t>actually comprised</w:t>
      </w:r>
      <w:proofErr w:type="gramEnd"/>
      <w:r w:rsidRPr="0DE8C684">
        <w:rPr>
          <w:rFonts w:cstheme="minorBidi"/>
          <w:lang w:val="en-GB"/>
        </w:rPr>
        <w:t xml:space="preserve"> of two documents: a thematic report about </w:t>
      </w:r>
      <w:r w:rsidRPr="0DE8C684">
        <w:rPr>
          <w:rFonts w:cstheme="minorBidi"/>
          <w:lang w:val="en-GB"/>
        </w:rPr>
        <w:lastRenderedPageBreak/>
        <w:t>human rights generally; and an ‘Annual Report (country report)’, which contains a short summary about the situation in each non-Member State that the EU is monitoring.</w:t>
      </w:r>
      <w:r w:rsidR="00F21B21">
        <w:rPr>
          <w:rStyle w:val="FootnoteReference"/>
          <w:lang w:val="en-GB"/>
        </w:rPr>
        <w:footnoteReference w:id="102"/>
      </w:r>
    </w:p>
    <w:p w14:paraId="0B4020A7" w14:textId="77777777" w:rsidR="00EA6218" w:rsidRDefault="00EA6218">
      <w:pPr>
        <w:rPr>
          <w:rFonts w:cstheme="minorHAnsi"/>
          <w:lang w:val="en-GB"/>
        </w:rPr>
      </w:pPr>
    </w:p>
    <w:p w14:paraId="2B6C8271" w14:textId="77777777" w:rsidR="00EA6218" w:rsidRDefault="00F21B21">
      <w:pPr>
        <w:rPr>
          <w:rFonts w:cstheme="minorHAnsi"/>
          <w:lang w:val="en-GB"/>
        </w:rPr>
      </w:pPr>
      <w:r>
        <w:rPr>
          <w:rFonts w:cstheme="minorHAnsi"/>
          <w:lang w:val="en-GB"/>
        </w:rPr>
        <w:t xml:space="preserve">The 2020 thematic Annual Report simply states, rather vaguely, that, </w:t>
      </w:r>
    </w:p>
    <w:p w14:paraId="027ED472" w14:textId="77777777" w:rsidR="00EA6218" w:rsidRDefault="0DE8C684">
      <w:pPr>
        <w:ind w:left="720"/>
        <w:rPr>
          <w:rFonts w:cstheme="minorHAnsi"/>
          <w:lang w:val="en-GB"/>
        </w:rPr>
      </w:pPr>
      <w:r w:rsidRPr="0DE8C684">
        <w:rPr>
          <w:rFonts w:cstheme="minorBidi"/>
          <w:lang w:val="en-GB"/>
        </w:rPr>
        <w:t>the EU continued to implement its policy framework on support to transitional justice.</w:t>
      </w:r>
      <w:r>
        <w:rPr>
          <w:lang w:val="en-GB"/>
        </w:rPr>
        <w:t xml:space="preserve"> </w:t>
      </w:r>
      <w:r w:rsidRPr="0DE8C684">
        <w:rPr>
          <w:rFonts w:cstheme="minorBidi"/>
          <w:lang w:val="en-GB"/>
        </w:rPr>
        <w:t>This included raising the topic with non-EU countries, such as Nepal, in bilateral dialogues as well as with regional organisations, such as the African Union.</w:t>
      </w:r>
      <w:r w:rsidR="00F21B21">
        <w:rPr>
          <w:rStyle w:val="FootnoteReference"/>
          <w:lang w:val="en-GB"/>
        </w:rPr>
        <w:footnoteReference w:id="103"/>
      </w:r>
    </w:p>
    <w:p w14:paraId="1D7B270A" w14:textId="77777777" w:rsidR="00EA6218" w:rsidRDefault="00EA6218">
      <w:pPr>
        <w:rPr>
          <w:rFonts w:cstheme="minorHAnsi"/>
          <w:lang w:val="en-GB"/>
        </w:rPr>
      </w:pPr>
    </w:p>
    <w:p w14:paraId="1E37859B" w14:textId="77777777" w:rsidR="00EA6218" w:rsidRDefault="00F21B21">
      <w:pPr>
        <w:rPr>
          <w:rFonts w:cstheme="minorHAnsi"/>
          <w:lang w:val="en-GB"/>
        </w:rPr>
      </w:pPr>
      <w:r>
        <w:rPr>
          <w:rFonts w:cstheme="minorHAnsi"/>
          <w:lang w:val="en-GB"/>
        </w:rPr>
        <w:t>It then gives an example of EU-African Union dialogue and an update on the EU Instrument Contributing to Stability and Peace (</w:t>
      </w:r>
      <w:proofErr w:type="spellStart"/>
      <w:r>
        <w:rPr>
          <w:rFonts w:cstheme="minorHAnsi"/>
          <w:lang w:val="en-GB"/>
        </w:rPr>
        <w:t>IcSP</w:t>
      </w:r>
      <w:proofErr w:type="spellEnd"/>
      <w:r>
        <w:rPr>
          <w:rFonts w:cstheme="minorHAnsi"/>
          <w:lang w:val="en-GB"/>
        </w:rPr>
        <w:t xml:space="preserve">).  </w:t>
      </w:r>
      <w:proofErr w:type="spellStart"/>
      <w:r>
        <w:rPr>
          <w:rFonts w:cstheme="minorHAnsi"/>
          <w:lang w:val="en-GB"/>
        </w:rPr>
        <w:t>IcSP</w:t>
      </w:r>
      <w:proofErr w:type="spellEnd"/>
      <w:r>
        <w:rPr>
          <w:rFonts w:cstheme="minorHAnsi"/>
          <w:lang w:val="en-GB"/>
        </w:rPr>
        <w:t xml:space="preserve"> was a financial instrument adopted through development </w:t>
      </w:r>
      <w:proofErr w:type="gramStart"/>
      <w:r>
        <w:rPr>
          <w:rFonts w:cstheme="minorHAnsi"/>
          <w:lang w:val="en-GB"/>
        </w:rPr>
        <w:t>policy, and</w:t>
      </w:r>
      <w:proofErr w:type="gramEnd"/>
      <w:r>
        <w:rPr>
          <w:rFonts w:cstheme="minorHAnsi"/>
          <w:lang w:val="en-GB"/>
        </w:rPr>
        <w:t xml:space="preserve"> is discussed further below.</w:t>
      </w:r>
    </w:p>
    <w:p w14:paraId="4F904CB7" w14:textId="77777777" w:rsidR="00EA6218" w:rsidRDefault="00EA6218">
      <w:pPr>
        <w:rPr>
          <w:rFonts w:cstheme="minorHAnsi"/>
          <w:lang w:val="en-GB"/>
        </w:rPr>
      </w:pPr>
    </w:p>
    <w:p w14:paraId="327A8114" w14:textId="6CCF3FB4" w:rsidR="00EA6218" w:rsidRPr="007E0411" w:rsidRDefault="0DE8C684">
      <w:pPr>
        <w:rPr>
          <w:rFonts w:cstheme="minorBidi"/>
          <w:lang w:val="en-GB"/>
        </w:rPr>
      </w:pPr>
      <w:r w:rsidRPr="0DE8C684">
        <w:rPr>
          <w:rFonts w:cstheme="minorBidi"/>
          <w:lang w:val="en-GB"/>
        </w:rPr>
        <w:t xml:space="preserve">Disappointingly, none of the relevant 2020 country reports on Human Rights and Democracy contains any express reference to transitional justice in general or the Framework in particular.  Or indeed any tangible reference to troubled pasts even most generously defined.  The 2020 country report on Bosnia </w:t>
      </w:r>
      <w:r w:rsidR="008253EA">
        <w:rPr>
          <w:rFonts w:cstheme="minorBidi"/>
          <w:lang w:val="en-GB"/>
        </w:rPr>
        <w:t>Herze</w:t>
      </w:r>
      <w:r w:rsidR="007E0411">
        <w:rPr>
          <w:rFonts w:cstheme="minorBidi"/>
          <w:lang w:val="en-GB"/>
        </w:rPr>
        <w:t xml:space="preserve">govina </w:t>
      </w:r>
      <w:r w:rsidRPr="0DE8C684">
        <w:rPr>
          <w:rFonts w:cstheme="minorBidi"/>
          <w:lang w:val="en-GB"/>
        </w:rPr>
        <w:t>does at least implicitly engage with transitional justice, though.  There is a reference to the need to, ‘</w:t>
      </w:r>
      <w:r>
        <w:rPr>
          <w:lang w:val="en-GB"/>
        </w:rPr>
        <w:t xml:space="preserve">overcome the practice of “two schools under one roof” </w:t>
      </w:r>
      <w:proofErr w:type="gramStart"/>
      <w:r>
        <w:rPr>
          <w:lang w:val="en-GB"/>
        </w:rPr>
        <w:t>so as to</w:t>
      </w:r>
      <w:proofErr w:type="gramEnd"/>
      <w:r>
        <w:rPr>
          <w:lang w:val="en-GB"/>
        </w:rPr>
        <w:t xml:space="preserve"> ensure inclusive and quality education for all children’.  This is a reference to the practice of segregating school children on ethnic grounds. </w:t>
      </w:r>
      <w:r w:rsidRPr="0DE8C684">
        <w:rPr>
          <w:rFonts w:cstheme="minorBidi"/>
          <w:lang w:val="en-GB"/>
        </w:rPr>
        <w:t xml:space="preserve"> There is also mention of the need to, ‘promote an environment conducive to reconciliation.’  Additionally, the adoption of a revised war crimes processing strategy is noted.  The 2020 Kosovo report mentions nothing specifically, other than a general need to ‘promote and ensure full implementation of human rights legislation and </w:t>
      </w:r>
      <w:proofErr w:type="gramStart"/>
      <w:r w:rsidRPr="0DE8C684">
        <w:rPr>
          <w:rFonts w:cstheme="minorBidi"/>
          <w:lang w:val="en-GB"/>
        </w:rPr>
        <w:t>policies’</w:t>
      </w:r>
      <w:proofErr w:type="gramEnd"/>
      <w:r w:rsidRPr="0DE8C684">
        <w:rPr>
          <w:rFonts w:cstheme="minorBidi"/>
          <w:lang w:val="en-GB"/>
        </w:rPr>
        <w:t>.</w:t>
      </w:r>
      <w:r w:rsidR="00F21B21" w:rsidRPr="0DE8C684">
        <w:rPr>
          <w:rStyle w:val="FootnoteReference"/>
          <w:rFonts w:cstheme="minorBidi"/>
          <w:lang w:val="en-GB"/>
        </w:rPr>
        <w:footnoteReference w:id="104"/>
      </w:r>
      <w:r w:rsidRPr="0DE8C684">
        <w:rPr>
          <w:rFonts w:cstheme="minorBidi"/>
          <w:lang w:val="en-GB"/>
        </w:rPr>
        <w:t xml:space="preserve">  The UK report does not discuss Northern Ireland.  All of this suggests that we are still some </w:t>
      </w:r>
      <w:proofErr w:type="gramStart"/>
      <w:r w:rsidRPr="0DE8C684">
        <w:rPr>
          <w:rFonts w:cstheme="minorBidi"/>
          <w:lang w:val="en-GB"/>
        </w:rPr>
        <w:t>way</w:t>
      </w:r>
      <w:proofErr w:type="gramEnd"/>
      <w:r w:rsidRPr="0DE8C684">
        <w:rPr>
          <w:rFonts w:cstheme="minorBidi"/>
          <w:lang w:val="en-GB"/>
        </w:rPr>
        <w:t xml:space="preserve"> from a coherent approach in the CFSP to transitional justice regarding the </w:t>
      </w:r>
      <w:proofErr w:type="spellStart"/>
      <w:r w:rsidRPr="0DE8C684">
        <w:rPr>
          <w:rFonts w:cstheme="minorBidi"/>
          <w:lang w:val="en-GB"/>
        </w:rPr>
        <w:t>RePAST</w:t>
      </w:r>
      <w:proofErr w:type="spellEnd"/>
      <w:r w:rsidRPr="0DE8C684">
        <w:rPr>
          <w:rFonts w:cstheme="minorBidi"/>
          <w:lang w:val="en-GB"/>
        </w:rPr>
        <w:t>, and indeed any, states</w:t>
      </w:r>
      <w:r w:rsidR="00924630">
        <w:rPr>
          <w:rFonts w:cstheme="minorBidi"/>
          <w:lang w:val="en-GB"/>
        </w:rPr>
        <w:t>, that would maximise any beneficial social effects</w:t>
      </w:r>
      <w:r w:rsidRPr="0DE8C684">
        <w:rPr>
          <w:rFonts w:cstheme="minorBidi"/>
          <w:lang w:val="en-GB"/>
        </w:rPr>
        <w:t>.</w:t>
      </w:r>
    </w:p>
    <w:p w14:paraId="06971CD3" w14:textId="77777777" w:rsidR="00EA6218" w:rsidRDefault="00EA6218">
      <w:pPr>
        <w:spacing w:line="240" w:lineRule="auto"/>
        <w:jc w:val="left"/>
        <w:rPr>
          <w:rFonts w:asciiTheme="minorHAnsi" w:hAnsiTheme="minorHAnsi" w:cstheme="minorHAnsi"/>
          <w:lang w:val="en-GB"/>
        </w:rPr>
      </w:pPr>
    </w:p>
    <w:p w14:paraId="3DFB8278" w14:textId="77777777" w:rsidR="00EA6218" w:rsidRDefault="00F21B21">
      <w:pPr>
        <w:pStyle w:val="Heading1"/>
        <w:numPr>
          <w:ilvl w:val="0"/>
          <w:numId w:val="32"/>
        </w:numPr>
        <w:spacing w:before="120" w:line="240" w:lineRule="auto"/>
        <w:rPr>
          <w:rFonts w:asciiTheme="minorHAnsi" w:hAnsiTheme="minorHAnsi" w:cstheme="minorHAnsi"/>
          <w:sz w:val="24"/>
          <w:szCs w:val="24"/>
          <w:lang w:val="en-GB"/>
        </w:rPr>
      </w:pPr>
      <w:bookmarkStart w:id="7" w:name="_Toc96862364"/>
      <w:r>
        <w:rPr>
          <w:rFonts w:asciiTheme="minorHAnsi" w:hAnsiTheme="minorHAnsi" w:cstheme="minorHAnsi"/>
          <w:sz w:val="24"/>
          <w:szCs w:val="24"/>
          <w:lang w:val="en-GB"/>
        </w:rPr>
        <w:t xml:space="preserve">Development, </w:t>
      </w:r>
      <w:r>
        <w:rPr>
          <w:sz w:val="24"/>
          <w:szCs w:val="24"/>
          <w:lang w:val="en-GB"/>
        </w:rPr>
        <w:t>Conditionality, and Enlargement</w:t>
      </w:r>
      <w:bookmarkEnd w:id="7"/>
    </w:p>
    <w:p w14:paraId="2A1F701D"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07862E27" w14:textId="451911B4" w:rsidR="00EA6218" w:rsidRDefault="0DE8C684">
      <w:pPr>
        <w:rPr>
          <w:lang w:val="en-GB"/>
        </w:rPr>
      </w:pPr>
      <w:r w:rsidRPr="0078573A">
        <w:rPr>
          <w:lang w:val="en-GB"/>
        </w:rPr>
        <w:t xml:space="preserve">We saw in the previous section that the EU’s legislative capacity is very limited in respect of the CFSP.  </w:t>
      </w:r>
      <w:proofErr w:type="gramStart"/>
      <w:r w:rsidRPr="0078573A">
        <w:rPr>
          <w:lang w:val="en-GB"/>
        </w:rPr>
        <w:t>In order to</w:t>
      </w:r>
      <w:proofErr w:type="gramEnd"/>
      <w:r w:rsidRPr="0078573A">
        <w:rPr>
          <w:lang w:val="en-GB"/>
        </w:rPr>
        <w:t xml:space="preserve"> achieve what might at first glance to be quintessential issues of ‘foreign policy’, </w:t>
      </w:r>
      <w:r w:rsidR="00596AED" w:rsidRPr="0078573A">
        <w:rPr>
          <w:lang w:val="en-GB"/>
        </w:rPr>
        <w:t xml:space="preserve">WP 5.3 has found that </w:t>
      </w:r>
      <w:r w:rsidRPr="0078573A">
        <w:rPr>
          <w:lang w:val="en-GB"/>
        </w:rPr>
        <w:t>the EU’s institutions have instead relied upon ‘competences’ and ‘legal bases’ in the field of development cooperation.</w:t>
      </w:r>
      <w:r>
        <w:rPr>
          <w:lang w:val="en-GB"/>
        </w:rPr>
        <w:t xml:space="preserve">  Like both citizenship and the CFSP, EU development cooperation </w:t>
      </w:r>
      <w:r>
        <w:rPr>
          <w:lang w:val="en-GB"/>
        </w:rPr>
        <w:lastRenderedPageBreak/>
        <w:t>policy is based on innovations first introduced by the Maastricht Treaty.</w:t>
      </w:r>
      <w:r w:rsidR="00F21B21">
        <w:rPr>
          <w:rStyle w:val="FootnoteReference"/>
          <w:lang w:val="en-GB"/>
        </w:rPr>
        <w:footnoteReference w:id="105"/>
      </w:r>
      <w:r>
        <w:rPr>
          <w:lang w:val="en-GB"/>
        </w:rPr>
        <w:t xml:space="preserve">  Indeed, development cooperation is particularly connected to CFSP: for example, the Annual Report on Human Rights and Democracy noted in the previous section actually </w:t>
      </w:r>
      <w:r w:rsidRPr="0DE8C684">
        <w:rPr>
          <w:i/>
          <w:iCs/>
          <w:lang w:val="en-GB"/>
        </w:rPr>
        <w:t>also</w:t>
      </w:r>
      <w:r>
        <w:rPr>
          <w:lang w:val="en-GB"/>
        </w:rPr>
        <w:t xml:space="preserve"> reports on relevant development funding that the EU has provided; and cross refers to the Commission’s annual reports on non-Member States’ progress towards accession (including Bosnia </w:t>
      </w:r>
      <w:r w:rsidR="0078573A">
        <w:rPr>
          <w:lang w:val="en-GB"/>
        </w:rPr>
        <w:t xml:space="preserve">Herzegovina </w:t>
      </w:r>
      <w:r>
        <w:rPr>
          <w:lang w:val="en-GB"/>
        </w:rPr>
        <w:t>and Kosovo; and, previously, the East European states that have now joined the EU, including Poland).</w:t>
      </w:r>
    </w:p>
    <w:p w14:paraId="03EFCA41" w14:textId="77777777" w:rsidR="00EA6218" w:rsidRDefault="00EA6218">
      <w:pPr>
        <w:rPr>
          <w:lang w:val="en-GB"/>
        </w:rPr>
      </w:pPr>
    </w:p>
    <w:p w14:paraId="69EA9D39" w14:textId="1A6529E1" w:rsidR="00EA6218" w:rsidRDefault="0DE8C684">
      <w:pPr>
        <w:rPr>
          <w:lang w:val="en-GB"/>
        </w:rPr>
      </w:pPr>
      <w:r>
        <w:rPr>
          <w:lang w:val="en-GB"/>
        </w:rPr>
        <w:t>Discussion of EU development cooperation in the literature is generally focused upon the various financial instruments on development cooperation adopted under TFEU Title III, ‘Cooperation with third countries and humanitarian aid’.</w:t>
      </w:r>
      <w:r w:rsidR="00F21B21">
        <w:rPr>
          <w:rStyle w:val="FootnoteReference"/>
          <w:lang w:val="en-GB"/>
        </w:rPr>
        <w:footnoteReference w:id="106"/>
      </w:r>
      <w:r>
        <w:rPr>
          <w:lang w:val="en-GB"/>
        </w:rPr>
        <w:t xml:space="preserve">  By ‘third countries’ the treaty means non-EU Member States.  However, before we continue with development cooperation in respect of non-EU Member States, we must briefly examine the EU’s development policies </w:t>
      </w:r>
      <w:r w:rsidRPr="0DE8C684">
        <w:rPr>
          <w:i/>
          <w:iCs/>
          <w:lang w:val="en-GB"/>
        </w:rPr>
        <w:t>within</w:t>
      </w:r>
      <w:r>
        <w:rPr>
          <w:lang w:val="en-GB"/>
        </w:rPr>
        <w:t xml:space="preserve"> its borders because, </w:t>
      </w:r>
      <w:r w:rsidR="00693265">
        <w:rPr>
          <w:lang w:val="en-GB"/>
        </w:rPr>
        <w:t xml:space="preserve">by applying the lens of transitional justice </w:t>
      </w:r>
      <w:proofErr w:type="gramStart"/>
      <w:r w:rsidR="00693265">
        <w:rPr>
          <w:lang w:val="en-GB"/>
        </w:rPr>
        <w:t>it</w:t>
      </w:r>
      <w:proofErr w:type="gramEnd"/>
      <w:r w:rsidR="00693265">
        <w:rPr>
          <w:lang w:val="en-GB"/>
        </w:rPr>
        <w:t xml:space="preserve"> </w:t>
      </w:r>
      <w:r w:rsidR="00847233">
        <w:rPr>
          <w:lang w:val="en-GB"/>
        </w:rPr>
        <w:t xml:space="preserve">WP 5.3 has identified the EU </w:t>
      </w:r>
      <w:r w:rsidR="009D0167">
        <w:rPr>
          <w:lang w:val="en-GB"/>
        </w:rPr>
        <w:t xml:space="preserve">has </w:t>
      </w:r>
      <w:r>
        <w:rPr>
          <w:lang w:val="en-GB"/>
        </w:rPr>
        <w:t xml:space="preserve">engaged to a </w:t>
      </w:r>
      <w:r w:rsidR="009D0167">
        <w:rPr>
          <w:lang w:val="en-GB"/>
        </w:rPr>
        <w:t>considerable</w:t>
      </w:r>
      <w:r>
        <w:rPr>
          <w:lang w:val="en-GB"/>
        </w:rPr>
        <w:t xml:space="preserve"> extent with </w:t>
      </w:r>
      <w:proofErr w:type="spellStart"/>
      <w:r>
        <w:rPr>
          <w:lang w:val="en-GB"/>
        </w:rPr>
        <w:t>RePAST</w:t>
      </w:r>
      <w:proofErr w:type="spellEnd"/>
      <w:r>
        <w:rPr>
          <w:lang w:val="en-GB"/>
        </w:rPr>
        <w:t xml:space="preserve"> states’ troubled pasts</w:t>
      </w:r>
      <w:r w:rsidR="009D0167">
        <w:rPr>
          <w:lang w:val="en-GB"/>
        </w:rPr>
        <w:t xml:space="preserve"> (even where it</w:t>
      </w:r>
      <w:r w:rsidR="00ED094C">
        <w:rPr>
          <w:lang w:val="en-GB"/>
        </w:rPr>
        <w:t xml:space="preserve"> does not expressly acknowledge that it is facilitating transitional justice)</w:t>
      </w:r>
      <w:r>
        <w:rPr>
          <w:lang w:val="en-GB"/>
        </w:rPr>
        <w:t>.</w:t>
      </w:r>
    </w:p>
    <w:p w14:paraId="5F96A722" w14:textId="77777777" w:rsidR="00EA6218" w:rsidRDefault="00EA6218">
      <w:pPr>
        <w:rPr>
          <w:lang w:val="en-GB"/>
        </w:rPr>
      </w:pPr>
    </w:p>
    <w:p w14:paraId="76DE9595" w14:textId="77777777" w:rsidR="00EA6218" w:rsidRDefault="00F21B21">
      <w:pPr>
        <w:pStyle w:val="Heading2"/>
        <w:rPr>
          <w:b/>
          <w:bCs/>
          <w:sz w:val="24"/>
          <w:szCs w:val="24"/>
          <w:lang w:val="en-GB"/>
        </w:rPr>
      </w:pPr>
      <w:bookmarkStart w:id="8" w:name="_Toc96862365"/>
      <w:r>
        <w:rPr>
          <w:b/>
          <w:bCs/>
          <w:sz w:val="24"/>
          <w:szCs w:val="24"/>
          <w:lang w:val="en-GB"/>
        </w:rPr>
        <w:t>4.1 Development within the EU</w:t>
      </w:r>
      <w:bookmarkEnd w:id="8"/>
    </w:p>
    <w:p w14:paraId="5B95CD12" w14:textId="77777777" w:rsidR="00EA6218" w:rsidRDefault="00EA6218">
      <w:pPr>
        <w:rPr>
          <w:lang w:val="en-GB"/>
        </w:rPr>
      </w:pPr>
    </w:p>
    <w:p w14:paraId="1FE1B339" w14:textId="1A6E4924" w:rsidR="003B33EF" w:rsidRDefault="0DE8C684" w:rsidP="00E63553">
      <w:pPr>
        <w:rPr>
          <w:lang w:val="en-GB"/>
        </w:rPr>
      </w:pPr>
      <w:r>
        <w:rPr>
          <w:lang w:val="en-GB"/>
        </w:rPr>
        <w:t>Amongst the aims of the EU, there is a commitment to promoting the well-being of its people and economic, social and territorial cohesion amongst its Member States.</w:t>
      </w:r>
      <w:r w:rsidR="00F21B21">
        <w:rPr>
          <w:rStyle w:val="FootnoteReference"/>
          <w:lang w:val="en-GB"/>
        </w:rPr>
        <w:footnoteReference w:id="107"/>
      </w:r>
      <w:r>
        <w:rPr>
          <w:lang w:val="en-GB"/>
        </w:rPr>
        <w:t xml:space="preserve">  </w:t>
      </w:r>
      <w:r w:rsidR="00455ADA">
        <w:rPr>
          <w:lang w:val="en-GB"/>
        </w:rPr>
        <w:t xml:space="preserve">The EU’s socio-economic development policies, broadly defined, encompass many areas of activity including agriculture, climate action, competition policy, communications networks and communications technologies, education and culture, energy, enterprise, environment, health and consumers, home affairs, justice, research and development, maritime affairs and fisheries, taxation and the customs union, transport, and regional and urban policy.  </w:t>
      </w:r>
      <w:r w:rsidR="00AA7415">
        <w:rPr>
          <w:lang w:val="en-GB"/>
        </w:rPr>
        <w:t xml:space="preserve">WP 5.3 found that the </w:t>
      </w:r>
      <w:r w:rsidR="003B33EF">
        <w:rPr>
          <w:lang w:val="en-GB"/>
        </w:rPr>
        <w:t xml:space="preserve">EU has </w:t>
      </w:r>
      <w:r w:rsidR="0072206B">
        <w:rPr>
          <w:lang w:val="en-GB"/>
        </w:rPr>
        <w:t xml:space="preserve">employed a complex combination of these policies </w:t>
      </w:r>
      <w:r w:rsidR="00E63553">
        <w:rPr>
          <w:lang w:val="en-GB"/>
        </w:rPr>
        <w:t>as the basis for allocating substantial</w:t>
      </w:r>
      <w:r w:rsidR="003B33EF">
        <w:rPr>
          <w:lang w:val="en-GB"/>
        </w:rPr>
        <w:t xml:space="preserve"> funding to those </w:t>
      </w:r>
      <w:proofErr w:type="spellStart"/>
      <w:r w:rsidR="003B33EF">
        <w:rPr>
          <w:lang w:val="en-GB"/>
        </w:rPr>
        <w:t>RePAST</w:t>
      </w:r>
      <w:proofErr w:type="spellEnd"/>
      <w:r w:rsidR="003B33EF">
        <w:rPr>
          <w:lang w:val="en-GB"/>
        </w:rPr>
        <w:t xml:space="preserve"> states recovering from the impact of authoritarianism or armed conflict, and thereby to address that element of their troubled pasts.</w:t>
      </w:r>
    </w:p>
    <w:p w14:paraId="53D6DA25" w14:textId="77777777" w:rsidR="003B33EF" w:rsidRDefault="003B33EF">
      <w:pPr>
        <w:rPr>
          <w:lang w:val="en-GB"/>
        </w:rPr>
      </w:pPr>
    </w:p>
    <w:p w14:paraId="03B89C92" w14:textId="77777777" w:rsidR="00AE0B12" w:rsidRDefault="00E96BBF">
      <w:pPr>
        <w:rPr>
          <w:lang w:val="en-GB"/>
        </w:rPr>
      </w:pPr>
      <w:r>
        <w:rPr>
          <w:lang w:val="en-GB"/>
        </w:rPr>
        <w:t>For example, t</w:t>
      </w:r>
      <w:r w:rsidR="00CD0B1D">
        <w:rPr>
          <w:lang w:val="en-GB"/>
        </w:rPr>
        <w:t>here is a treaty commitment to, ‘reducing disparities between the levels of development of the various regions.’</w:t>
      </w:r>
      <w:r w:rsidR="00CD0B1D">
        <w:rPr>
          <w:rStyle w:val="FootnoteReference"/>
          <w:lang w:val="en-GB"/>
        </w:rPr>
        <w:footnoteReference w:id="108"/>
      </w:r>
      <w:r w:rsidR="00CD0B1D">
        <w:rPr>
          <w:lang w:val="en-GB"/>
        </w:rPr>
        <w:t xml:space="preserve">  </w:t>
      </w:r>
      <w:r w:rsidR="0DE8C684">
        <w:rPr>
          <w:lang w:val="en-GB"/>
        </w:rPr>
        <w:t xml:space="preserve">In terms of </w:t>
      </w:r>
      <w:r>
        <w:rPr>
          <w:lang w:val="en-GB"/>
        </w:rPr>
        <w:t xml:space="preserve">the </w:t>
      </w:r>
      <w:proofErr w:type="spellStart"/>
      <w:r w:rsidR="0DE8C684">
        <w:rPr>
          <w:lang w:val="en-GB"/>
        </w:rPr>
        <w:t>RePAST</w:t>
      </w:r>
      <w:proofErr w:type="spellEnd"/>
      <w:r w:rsidR="0DE8C684">
        <w:rPr>
          <w:lang w:val="en-GB"/>
        </w:rPr>
        <w:t xml:space="preserve"> </w:t>
      </w:r>
      <w:r>
        <w:rPr>
          <w:lang w:val="en-GB"/>
        </w:rPr>
        <w:t xml:space="preserve">states </w:t>
      </w:r>
      <w:r w:rsidR="0DE8C684">
        <w:rPr>
          <w:lang w:val="en-GB"/>
        </w:rPr>
        <w:t>this has involved promoting</w:t>
      </w:r>
      <w:r w:rsidR="007D24BE">
        <w:rPr>
          <w:lang w:val="en-GB"/>
        </w:rPr>
        <w:t xml:space="preserve"> </w:t>
      </w:r>
      <w:r w:rsidR="007D24BE">
        <w:rPr>
          <w:lang w:val="en-GB"/>
        </w:rPr>
        <w:lastRenderedPageBreak/>
        <w:t xml:space="preserve">an increase in </w:t>
      </w:r>
      <w:r w:rsidR="0DE8C684">
        <w:rPr>
          <w:lang w:val="en-GB"/>
        </w:rPr>
        <w:t xml:space="preserve">living standards across the former East Germany, </w:t>
      </w:r>
      <w:proofErr w:type="gramStart"/>
      <w:r w:rsidR="0DE8C684">
        <w:rPr>
          <w:lang w:val="en-GB"/>
        </w:rPr>
        <w:t xml:space="preserve">and </w:t>
      </w:r>
      <w:r w:rsidR="00E311F6">
        <w:rPr>
          <w:lang w:val="en-GB"/>
        </w:rPr>
        <w:t>also</w:t>
      </w:r>
      <w:proofErr w:type="gramEnd"/>
      <w:r w:rsidR="00E311F6">
        <w:rPr>
          <w:lang w:val="en-GB"/>
        </w:rPr>
        <w:t xml:space="preserve"> </w:t>
      </w:r>
      <w:r w:rsidR="0DE8C684">
        <w:rPr>
          <w:lang w:val="en-GB"/>
        </w:rPr>
        <w:t>amongst the states that have joined it in the various waves of enlargement, such as Greece, Spain, Poland and Cyprus</w:t>
      </w:r>
      <w:r w:rsidR="004D4F15">
        <w:rPr>
          <w:lang w:val="en-GB"/>
        </w:rPr>
        <w:t>.</w:t>
      </w:r>
    </w:p>
    <w:p w14:paraId="30CA3C07" w14:textId="77777777" w:rsidR="00AE0B12" w:rsidRDefault="00AE0B12">
      <w:pPr>
        <w:rPr>
          <w:lang w:val="en-GB"/>
        </w:rPr>
      </w:pPr>
    </w:p>
    <w:p w14:paraId="697FC1F0" w14:textId="3244851B" w:rsidR="00EA6218" w:rsidRDefault="00967C7F">
      <w:pPr>
        <w:rPr>
          <w:lang w:val="en-GB"/>
        </w:rPr>
      </w:pPr>
      <w:r>
        <w:rPr>
          <w:lang w:val="en-GB"/>
        </w:rPr>
        <w:t>Socio-economic d</w:t>
      </w:r>
      <w:r w:rsidR="00350CA8">
        <w:rPr>
          <w:lang w:val="en-GB"/>
        </w:rPr>
        <w:t>evelopment policies have also underpinned</w:t>
      </w:r>
      <w:r w:rsidR="0DE8C684">
        <w:rPr>
          <w:lang w:val="en-GB"/>
        </w:rPr>
        <w:t xml:space="preserve"> attempt</w:t>
      </w:r>
      <w:r w:rsidR="00350CA8">
        <w:rPr>
          <w:lang w:val="en-GB"/>
        </w:rPr>
        <w:t xml:space="preserve">s by the EU </w:t>
      </w:r>
      <w:r w:rsidR="0DE8C684">
        <w:rPr>
          <w:lang w:val="en-GB"/>
        </w:rPr>
        <w:t>to promote the re-unification of Cyprus;</w:t>
      </w:r>
      <w:r w:rsidR="00F21B21">
        <w:rPr>
          <w:rStyle w:val="FootnoteReference"/>
          <w:lang w:val="en-GB"/>
        </w:rPr>
        <w:footnoteReference w:id="109"/>
      </w:r>
      <w:r w:rsidR="0DE8C684">
        <w:rPr>
          <w:lang w:val="en-GB"/>
        </w:rPr>
        <w:t xml:space="preserve"> and, perhaps most prominently, </w:t>
      </w:r>
      <w:r>
        <w:rPr>
          <w:lang w:val="en-GB"/>
        </w:rPr>
        <w:t xml:space="preserve">to assist in </w:t>
      </w:r>
      <w:r w:rsidR="0DE8C684">
        <w:rPr>
          <w:lang w:val="en-GB"/>
        </w:rPr>
        <w:t>the Northern Ireland peace process.</w:t>
      </w:r>
      <w:r w:rsidR="00F21B21">
        <w:rPr>
          <w:rStyle w:val="FootnoteReference"/>
          <w:lang w:val="en-GB"/>
        </w:rPr>
        <w:footnoteReference w:id="110"/>
      </w:r>
      <w:r w:rsidR="0DE8C684">
        <w:rPr>
          <w:lang w:val="en-GB"/>
        </w:rPr>
        <w:t xml:space="preserve">  It is therefore the EU’s socio-economic development policies for its Member States that provided the legal context for </w:t>
      </w:r>
      <w:r w:rsidR="0DE8C684" w:rsidRPr="007D5132">
        <w:rPr>
          <w:lang w:val="en-GB"/>
        </w:rPr>
        <w:t>the EU activities detailed in the D16.6 ‘Policy Recommendations’ for Germany, Greece, Spain, Poland, Cyprus, and Ireland.  We do not</w:t>
      </w:r>
      <w:r w:rsidR="0DE8C684">
        <w:rPr>
          <w:lang w:val="en-GB"/>
        </w:rPr>
        <w:t xml:space="preserve"> intend to repeat that detail here.  Instead, we shall turn to international development cooperation with non-Member States of the EU.</w:t>
      </w:r>
    </w:p>
    <w:p w14:paraId="6D9C8D39" w14:textId="77777777" w:rsidR="00EA6218" w:rsidRDefault="00EA6218">
      <w:pPr>
        <w:rPr>
          <w:lang w:val="en-GB"/>
        </w:rPr>
      </w:pPr>
    </w:p>
    <w:p w14:paraId="3E7F1A10" w14:textId="77777777" w:rsidR="00EA6218" w:rsidRDefault="00F21B21">
      <w:pPr>
        <w:pStyle w:val="Heading2"/>
        <w:rPr>
          <w:b/>
          <w:bCs/>
          <w:sz w:val="24"/>
          <w:szCs w:val="24"/>
          <w:lang w:val="en-GB"/>
        </w:rPr>
      </w:pPr>
      <w:bookmarkStart w:id="9" w:name="_Toc96862366"/>
      <w:r>
        <w:rPr>
          <w:b/>
          <w:bCs/>
          <w:sz w:val="24"/>
          <w:szCs w:val="24"/>
          <w:lang w:val="en-GB"/>
        </w:rPr>
        <w:t>4.2 International Development Cooperation</w:t>
      </w:r>
      <w:bookmarkEnd w:id="9"/>
    </w:p>
    <w:p w14:paraId="675E05EE" w14:textId="77777777" w:rsidR="00EA6218" w:rsidRDefault="00F21B21">
      <w:pPr>
        <w:rPr>
          <w:lang w:val="en-GB"/>
        </w:rPr>
      </w:pPr>
      <w:r>
        <w:rPr>
          <w:lang w:val="en-GB"/>
        </w:rPr>
        <w:tab/>
      </w:r>
    </w:p>
    <w:p w14:paraId="592748B6" w14:textId="1AF42621" w:rsidR="00EA6218" w:rsidRDefault="0DE8C684">
      <w:pPr>
        <w:rPr>
          <w:lang w:val="en-GB"/>
        </w:rPr>
      </w:pPr>
      <w:r>
        <w:rPr>
          <w:lang w:val="en-GB"/>
        </w:rPr>
        <w:t xml:space="preserve">The EU’s </w:t>
      </w:r>
      <w:r w:rsidR="00CD372F">
        <w:rPr>
          <w:lang w:val="en-GB"/>
        </w:rPr>
        <w:t xml:space="preserve">international </w:t>
      </w:r>
      <w:r>
        <w:rPr>
          <w:lang w:val="en-GB"/>
        </w:rPr>
        <w:t>development cooperation policy is said to be conducted within the framework of the principles and objectives of the Union's external action.</w:t>
      </w:r>
      <w:r w:rsidR="00F21B21">
        <w:rPr>
          <w:rStyle w:val="FootnoteReference"/>
          <w:lang w:val="en-GB"/>
        </w:rPr>
        <w:footnoteReference w:id="111"/>
      </w:r>
      <w:r>
        <w:rPr>
          <w:lang w:val="en-GB"/>
        </w:rPr>
        <w:t xml:space="preserve">  However, unlike in relation to CFSP, the TFEU confers upon the EU the power to adopt legislative acts in this field</w:t>
      </w:r>
      <w:r w:rsidR="00F21B21">
        <w:rPr>
          <w:rStyle w:val="FootnoteReference"/>
          <w:lang w:val="en-GB"/>
        </w:rPr>
        <w:footnoteReference w:id="112"/>
      </w:r>
      <w:r>
        <w:rPr>
          <w:lang w:val="en-GB"/>
        </w:rPr>
        <w:t xml:space="preserve"> (meaning Regulations, Directives and Decisions, as introduced above).</w:t>
      </w:r>
      <w:r w:rsidR="00C64771">
        <w:rPr>
          <w:lang w:val="en-GB"/>
        </w:rPr>
        <w:t xml:space="preserve">  The lens of transitional justice facilitated WP 5.3 to </w:t>
      </w:r>
      <w:r w:rsidR="00A03C6F">
        <w:rPr>
          <w:lang w:val="en-GB"/>
        </w:rPr>
        <w:t>identify a range of</w:t>
      </w:r>
      <w:r w:rsidR="00F90DF8">
        <w:rPr>
          <w:lang w:val="en-GB"/>
        </w:rPr>
        <w:t xml:space="preserve"> EU international development cooperation activity that addresses</w:t>
      </w:r>
      <w:r w:rsidR="00136992">
        <w:rPr>
          <w:lang w:val="en-GB"/>
        </w:rPr>
        <w:t xml:space="preserve"> the troubled pasts of </w:t>
      </w:r>
      <w:proofErr w:type="spellStart"/>
      <w:r w:rsidR="00B971FF">
        <w:rPr>
          <w:lang w:val="en-GB"/>
        </w:rPr>
        <w:t>RePAST’s</w:t>
      </w:r>
      <w:proofErr w:type="spellEnd"/>
      <w:r w:rsidR="00B971FF">
        <w:rPr>
          <w:lang w:val="en-GB"/>
        </w:rPr>
        <w:t xml:space="preserve"> </w:t>
      </w:r>
      <w:r w:rsidR="00136992">
        <w:rPr>
          <w:lang w:val="en-GB"/>
        </w:rPr>
        <w:t>non-EU Member States</w:t>
      </w:r>
    </w:p>
    <w:p w14:paraId="2FC17F8B" w14:textId="77777777" w:rsidR="00EA6218" w:rsidRDefault="00EA6218">
      <w:pPr>
        <w:rPr>
          <w:lang w:val="en-GB"/>
        </w:rPr>
      </w:pPr>
    </w:p>
    <w:p w14:paraId="45411528" w14:textId="5017FCF8" w:rsidR="00EA6218" w:rsidRDefault="0DE8C684">
      <w:pPr>
        <w:pStyle w:val="Default"/>
        <w:jc w:val="both"/>
        <w:rPr>
          <w:rFonts w:asciiTheme="minorHAnsi" w:hAnsiTheme="minorHAnsi" w:cstheme="minorHAnsi"/>
          <w:lang w:val="en-GB"/>
        </w:rPr>
      </w:pPr>
      <w:r w:rsidRPr="00B971FF">
        <w:rPr>
          <w:rFonts w:asciiTheme="minorHAnsi" w:hAnsiTheme="minorHAnsi" w:cstheme="minorBidi"/>
          <w:lang w:val="en-GB"/>
        </w:rPr>
        <w:t xml:space="preserve">The EU’s various policies on </w:t>
      </w:r>
      <w:r w:rsidR="00B971FF">
        <w:rPr>
          <w:rFonts w:asciiTheme="minorHAnsi" w:hAnsiTheme="minorHAnsi" w:cstheme="minorBidi"/>
          <w:lang w:val="en-GB"/>
        </w:rPr>
        <w:t xml:space="preserve">international </w:t>
      </w:r>
      <w:r w:rsidRPr="00B971FF">
        <w:rPr>
          <w:rFonts w:asciiTheme="minorHAnsi" w:hAnsiTheme="minorHAnsi" w:cstheme="minorBidi"/>
          <w:lang w:val="en-GB"/>
        </w:rPr>
        <w:t xml:space="preserve">development cooperation have recently been consolidated into one overarching Regulation: Regulation (EU) 2021/947 of the European Parliament and the Council ‘establishing the Neighbourhood, Development and International Cooperation Instrument – Global Europe’ (hereafter NDICI Regulation) </w:t>
      </w:r>
      <w:r w:rsidR="00F21B21" w:rsidRPr="00B971FF">
        <w:rPr>
          <w:rStyle w:val="FootnoteReference"/>
          <w:rFonts w:asciiTheme="minorHAnsi" w:hAnsiTheme="minorHAnsi" w:cstheme="minorBidi"/>
          <w:lang w:val="en-GB"/>
        </w:rPr>
        <w:footnoteReference w:id="113"/>
      </w:r>
      <w:r w:rsidRPr="00B971FF">
        <w:rPr>
          <w:rFonts w:asciiTheme="minorHAnsi" w:hAnsiTheme="minorHAnsi" w:cstheme="minorBidi"/>
          <w:lang w:val="en-GB"/>
        </w:rPr>
        <w:t xml:space="preserve">  Put simply, the NDICI Regulation entrusts the Commission with allocating an eyewatering EUR 79,462,000,000 of funding for development cooperation activities from its adoption and up to the year 2027.</w:t>
      </w:r>
    </w:p>
    <w:p w14:paraId="0A4F7224" w14:textId="77777777" w:rsidR="00EA6218" w:rsidRDefault="00EA6218">
      <w:pPr>
        <w:rPr>
          <w:lang w:val="en-GB"/>
        </w:rPr>
      </w:pPr>
    </w:p>
    <w:p w14:paraId="08131632" w14:textId="77777777" w:rsidR="00EA6218" w:rsidRDefault="00F21B21">
      <w:pPr>
        <w:rPr>
          <w:lang w:val="en-GB"/>
        </w:rPr>
      </w:pPr>
      <w:r>
        <w:rPr>
          <w:lang w:val="en-GB"/>
        </w:rPr>
        <w:lastRenderedPageBreak/>
        <w:t xml:space="preserve">The NDICI Regulation builds upon earlier legislation including Regulation </w:t>
      </w:r>
      <w:r>
        <w:rPr>
          <w:rFonts w:cstheme="minorHAnsi"/>
          <w:lang w:val="en-GB"/>
        </w:rPr>
        <w:t>(EC) No 1717/2006 which established the ‘Instrument for Stability’ (</w:t>
      </w:r>
      <w:proofErr w:type="spellStart"/>
      <w:r>
        <w:rPr>
          <w:rFonts w:cstheme="minorHAnsi"/>
          <w:lang w:val="en-GB"/>
        </w:rPr>
        <w:t>IfS</w:t>
      </w:r>
      <w:proofErr w:type="spellEnd"/>
      <w:r>
        <w:rPr>
          <w:rFonts w:cstheme="minorHAnsi"/>
          <w:lang w:val="en-GB"/>
        </w:rPr>
        <w:t xml:space="preserve">); and </w:t>
      </w:r>
      <w:r>
        <w:rPr>
          <w:lang w:val="en-GB"/>
        </w:rPr>
        <w:t xml:space="preserve">Regulation (EC) No 1889/2006 which established the ‘European Instrument for Democracy and Human Rights’ (EIDHR).  Before the 2021 consolidation these were updated or renewed more than once, and the </w:t>
      </w:r>
      <w:proofErr w:type="spellStart"/>
      <w:r>
        <w:rPr>
          <w:lang w:val="en-GB"/>
        </w:rPr>
        <w:t>IfS</w:t>
      </w:r>
      <w:proofErr w:type="spellEnd"/>
      <w:r>
        <w:rPr>
          <w:lang w:val="en-GB"/>
        </w:rPr>
        <w:t xml:space="preserve"> became instead the ‘Instrument Contributing to Peace and Security’ (</w:t>
      </w:r>
      <w:proofErr w:type="spellStart"/>
      <w:r>
        <w:rPr>
          <w:lang w:val="en-GB"/>
        </w:rPr>
        <w:t>IcPS</w:t>
      </w:r>
      <w:proofErr w:type="spellEnd"/>
      <w:r>
        <w:rPr>
          <w:lang w:val="en-GB"/>
        </w:rPr>
        <w:t>).</w:t>
      </w:r>
    </w:p>
    <w:p w14:paraId="5AE48A43" w14:textId="77777777" w:rsidR="00EA6218" w:rsidRDefault="00EA6218">
      <w:pPr>
        <w:rPr>
          <w:lang w:val="en-GB"/>
        </w:rPr>
      </w:pPr>
    </w:p>
    <w:p w14:paraId="6DF19BE3" w14:textId="77777777" w:rsidR="00EA6218" w:rsidRDefault="0DE8C684">
      <w:pPr>
        <w:rPr>
          <w:lang w:val="en-GB"/>
        </w:rPr>
      </w:pPr>
      <w:r>
        <w:rPr>
          <w:lang w:val="en-GB"/>
        </w:rPr>
        <w:t xml:space="preserve">Davis has characterised the </w:t>
      </w:r>
      <w:proofErr w:type="spellStart"/>
      <w:r>
        <w:rPr>
          <w:lang w:val="en-GB"/>
        </w:rPr>
        <w:t>IfS</w:t>
      </w:r>
      <w:proofErr w:type="spellEnd"/>
      <w:r>
        <w:rPr>
          <w:lang w:val="en-GB"/>
        </w:rPr>
        <w:t xml:space="preserve"> / </w:t>
      </w:r>
      <w:proofErr w:type="spellStart"/>
      <w:r>
        <w:rPr>
          <w:lang w:val="en-GB"/>
        </w:rPr>
        <w:t>IcPS</w:t>
      </w:r>
      <w:proofErr w:type="spellEnd"/>
      <w:r>
        <w:rPr>
          <w:lang w:val="en-GB"/>
        </w:rPr>
        <w:t xml:space="preserve"> as having been being more directed at rapid response actions, whereas EIDHR could engage or invest in longer-term interventions.</w:t>
      </w:r>
      <w:r w:rsidR="00F21B21">
        <w:rPr>
          <w:rStyle w:val="FootnoteReference"/>
          <w:lang w:val="en-GB"/>
        </w:rPr>
        <w:footnoteReference w:id="114"/>
      </w:r>
      <w:r>
        <w:rPr>
          <w:lang w:val="en-GB"/>
        </w:rPr>
        <w:t xml:space="preserve">  This type of distinction is maintained in the NDICI Regulation, in so far as it distinguishes between ‘geographical’ and ‘thematic’ programmes on the one hand (like EIDHR) and ‘rapid response actions’ on the other (like </w:t>
      </w:r>
      <w:proofErr w:type="spellStart"/>
      <w:r>
        <w:rPr>
          <w:lang w:val="en-GB"/>
        </w:rPr>
        <w:t>IfS</w:t>
      </w:r>
      <w:proofErr w:type="spellEnd"/>
      <w:r>
        <w:rPr>
          <w:lang w:val="en-GB"/>
        </w:rPr>
        <w:t xml:space="preserve"> / </w:t>
      </w:r>
      <w:proofErr w:type="spellStart"/>
      <w:r>
        <w:rPr>
          <w:lang w:val="en-GB"/>
        </w:rPr>
        <w:t>IcPS</w:t>
      </w:r>
      <w:proofErr w:type="spellEnd"/>
      <w:r>
        <w:rPr>
          <w:lang w:val="en-GB"/>
        </w:rPr>
        <w:t>).</w:t>
      </w:r>
    </w:p>
    <w:p w14:paraId="50F40DEB" w14:textId="77777777" w:rsidR="00EA6218" w:rsidRDefault="00EA6218">
      <w:pPr>
        <w:rPr>
          <w:lang w:val="en-GB"/>
        </w:rPr>
      </w:pPr>
    </w:p>
    <w:p w14:paraId="079699F9" w14:textId="52F7EB33" w:rsidR="00EA6218" w:rsidRDefault="00A850C3">
      <w:pPr>
        <w:rPr>
          <w:lang w:val="en-GB"/>
        </w:rPr>
      </w:pPr>
      <w:r>
        <w:rPr>
          <w:lang w:val="en-GB"/>
        </w:rPr>
        <w:t xml:space="preserve">Within </w:t>
      </w:r>
      <w:r w:rsidR="00B41A50">
        <w:rPr>
          <w:lang w:val="en-GB"/>
        </w:rPr>
        <w:t xml:space="preserve">the EU’s international development cooperation policies WP 5.3 found both </w:t>
      </w:r>
      <w:r w:rsidR="0DE8C684">
        <w:rPr>
          <w:lang w:val="en-GB"/>
        </w:rPr>
        <w:t>implicit</w:t>
      </w:r>
      <w:r w:rsidR="00B41A50">
        <w:rPr>
          <w:lang w:val="en-GB"/>
        </w:rPr>
        <w:t xml:space="preserve"> and explicit</w:t>
      </w:r>
      <w:r w:rsidR="00695897">
        <w:rPr>
          <w:lang w:val="en-GB"/>
        </w:rPr>
        <w:t xml:space="preserve"> references to transitional justice </w:t>
      </w:r>
      <w:r w:rsidR="002C43FD">
        <w:rPr>
          <w:lang w:val="en-GB"/>
        </w:rPr>
        <w:t xml:space="preserve">processes and mechanisms </w:t>
      </w:r>
      <w:r w:rsidR="00695897">
        <w:rPr>
          <w:lang w:val="en-GB"/>
        </w:rPr>
        <w:t xml:space="preserve">in respect of troubled pasts.  </w:t>
      </w:r>
      <w:r w:rsidR="0DE8C684">
        <w:rPr>
          <w:lang w:val="en-GB"/>
        </w:rPr>
        <w:t xml:space="preserve">Relevant ‘Areas of Cooperation’ for the ‘Geographic Programmes’ include, for example, ‘supporting ad hoc, local, national, regional and international tribunals, truth and reconciliation commissions and </w:t>
      </w:r>
      <w:proofErr w:type="gramStart"/>
      <w:r w:rsidR="0DE8C684">
        <w:rPr>
          <w:lang w:val="en-GB"/>
        </w:rPr>
        <w:t>mechanisms’</w:t>
      </w:r>
      <w:proofErr w:type="gramEnd"/>
      <w:r w:rsidR="0DE8C684">
        <w:rPr>
          <w:lang w:val="en-GB"/>
        </w:rPr>
        <w:t>.</w:t>
      </w:r>
      <w:r w:rsidR="00F21B21">
        <w:rPr>
          <w:rStyle w:val="FootnoteReference"/>
          <w:lang w:val="en-GB"/>
        </w:rPr>
        <w:footnoteReference w:id="115"/>
      </w:r>
      <w:r w:rsidR="0DE8C684">
        <w:rPr>
          <w:lang w:val="en-GB"/>
        </w:rPr>
        <w:t xml:space="preserve">  </w:t>
      </w:r>
      <w:r w:rsidR="00812D6A">
        <w:rPr>
          <w:lang w:val="en-GB"/>
        </w:rPr>
        <w:t xml:space="preserve">This is a pleasingly holistic </w:t>
      </w:r>
      <w:r w:rsidR="00255238">
        <w:rPr>
          <w:lang w:val="en-GB"/>
        </w:rPr>
        <w:t xml:space="preserve">range of transitional justice measures, which is for from limited exclusively to transitional criminal justice.  </w:t>
      </w:r>
      <w:r w:rsidR="0DE8C684">
        <w:rPr>
          <w:lang w:val="en-GB"/>
        </w:rPr>
        <w:t xml:space="preserve">It must be observed, however, that the geographic scope of the ‘Geographic Programmes’ does not cover either of the </w:t>
      </w:r>
      <w:proofErr w:type="spellStart"/>
      <w:r w:rsidR="0DE8C684">
        <w:rPr>
          <w:lang w:val="en-GB"/>
        </w:rPr>
        <w:t>RePAST</w:t>
      </w:r>
      <w:proofErr w:type="spellEnd"/>
      <w:r w:rsidR="0DE8C684">
        <w:rPr>
          <w:lang w:val="en-GB"/>
        </w:rPr>
        <w:t xml:space="preserve"> non-Member States (Bosnia</w:t>
      </w:r>
      <w:r w:rsidR="002C43FD">
        <w:rPr>
          <w:lang w:val="en-GB"/>
        </w:rPr>
        <w:t xml:space="preserve"> Herzegovina</w:t>
      </w:r>
      <w:r w:rsidR="0DE8C684">
        <w:rPr>
          <w:lang w:val="en-GB"/>
        </w:rPr>
        <w:t xml:space="preserve"> and Kosovo).</w:t>
      </w:r>
    </w:p>
    <w:p w14:paraId="77A52294" w14:textId="77777777" w:rsidR="00EA6218" w:rsidRDefault="00EA6218">
      <w:pPr>
        <w:rPr>
          <w:lang w:val="en-GB"/>
        </w:rPr>
      </w:pPr>
    </w:p>
    <w:p w14:paraId="5A29BC64" w14:textId="0E6656BC" w:rsidR="00EA6218" w:rsidRDefault="00255238">
      <w:pPr>
        <w:rPr>
          <w:lang w:val="en-GB"/>
        </w:rPr>
      </w:pPr>
      <w:r>
        <w:rPr>
          <w:lang w:val="en-GB"/>
        </w:rPr>
        <w:t xml:space="preserve">WP 5.3 also identified </w:t>
      </w:r>
      <w:r w:rsidR="00F21B21">
        <w:rPr>
          <w:lang w:val="en-GB"/>
        </w:rPr>
        <w:t xml:space="preserve">relevant ‘Areas of Intervention’ within ‘Thematic Programmes’ and ‘Rapid Response Actions’. These cover all non-EU Member States and therefore </w:t>
      </w:r>
      <w:r w:rsidR="00F21B21">
        <w:rPr>
          <w:i/>
          <w:iCs/>
          <w:lang w:val="en-GB"/>
        </w:rPr>
        <w:t>could</w:t>
      </w:r>
      <w:r w:rsidR="00F21B21">
        <w:rPr>
          <w:lang w:val="en-GB"/>
        </w:rPr>
        <w:t xml:space="preserve"> include Bosnia and Kosovo.  However, in practice, to the extent that the EU has addressed their troubled pasts at all it has tended to be through its enlargement policies</w:t>
      </w:r>
      <w:r w:rsidR="006E2864">
        <w:rPr>
          <w:lang w:val="en-GB"/>
        </w:rPr>
        <w:t xml:space="preserve"> (see below)</w:t>
      </w:r>
      <w:r w:rsidR="00F21B21">
        <w:rPr>
          <w:lang w:val="en-GB"/>
        </w:rPr>
        <w:t>.  Nevertheless</w:t>
      </w:r>
      <w:r w:rsidR="00A575E1">
        <w:rPr>
          <w:lang w:val="en-GB"/>
        </w:rPr>
        <w:t>,</w:t>
      </w:r>
      <w:r w:rsidR="00F21B21">
        <w:rPr>
          <w:lang w:val="en-GB"/>
        </w:rPr>
        <w:t xml:space="preserve"> the EU does have competence within its development policies </w:t>
      </w:r>
      <w:proofErr w:type="gramStart"/>
      <w:r w:rsidR="00F21B21">
        <w:rPr>
          <w:lang w:val="en-GB"/>
        </w:rPr>
        <w:t>in regard to</w:t>
      </w:r>
      <w:proofErr w:type="gramEnd"/>
      <w:r w:rsidR="00F21B21">
        <w:rPr>
          <w:lang w:val="en-GB"/>
        </w:rPr>
        <w:t>:</w:t>
      </w:r>
    </w:p>
    <w:p w14:paraId="2A6D843A" w14:textId="77777777" w:rsidR="00EA6218" w:rsidRDefault="00F21B21">
      <w:pPr>
        <w:pStyle w:val="ListParagraph"/>
        <w:numPr>
          <w:ilvl w:val="0"/>
          <w:numId w:val="39"/>
        </w:numPr>
        <w:jc w:val="both"/>
        <w:rPr>
          <w:sz w:val="24"/>
          <w:szCs w:val="24"/>
          <w:lang w:val="en-GB"/>
        </w:rPr>
      </w:pPr>
      <w:r>
        <w:rPr>
          <w:sz w:val="24"/>
          <w:szCs w:val="24"/>
          <w:lang w:val="en-GB"/>
        </w:rPr>
        <w:t xml:space="preserve">Improving post-conflict recovery as well as post-disaster recovery, with relevance to the political and security </w:t>
      </w:r>
      <w:proofErr w:type="gramStart"/>
      <w:r>
        <w:rPr>
          <w:sz w:val="24"/>
          <w:szCs w:val="24"/>
          <w:lang w:val="en-GB"/>
        </w:rPr>
        <w:t>situation;</w:t>
      </w:r>
      <w:proofErr w:type="gramEnd"/>
    </w:p>
    <w:p w14:paraId="5921816D" w14:textId="77777777" w:rsidR="00EA6218" w:rsidRDefault="00F21B21">
      <w:pPr>
        <w:pStyle w:val="ListParagraph"/>
        <w:numPr>
          <w:ilvl w:val="0"/>
          <w:numId w:val="39"/>
        </w:numPr>
        <w:jc w:val="both"/>
        <w:rPr>
          <w:sz w:val="24"/>
          <w:szCs w:val="24"/>
          <w:lang w:val="en-GB"/>
        </w:rPr>
      </w:pPr>
      <w:r>
        <w:rPr>
          <w:sz w:val="24"/>
          <w:szCs w:val="24"/>
          <w:lang w:val="en-GB"/>
        </w:rPr>
        <w:t xml:space="preserve">Supporting stabilisation, safety of individuals and human security restoration measures, including mine action, demining and transitional justice in line with relevant multilateral </w:t>
      </w:r>
      <w:proofErr w:type="gramStart"/>
      <w:r>
        <w:rPr>
          <w:sz w:val="24"/>
          <w:szCs w:val="24"/>
          <w:lang w:val="en-GB"/>
        </w:rPr>
        <w:t>agreements;</w:t>
      </w:r>
      <w:proofErr w:type="gramEnd"/>
    </w:p>
    <w:p w14:paraId="17BA3DAA" w14:textId="77777777" w:rsidR="00EA6218" w:rsidRDefault="00F21B21">
      <w:pPr>
        <w:pStyle w:val="ListParagraph"/>
        <w:numPr>
          <w:ilvl w:val="0"/>
          <w:numId w:val="39"/>
        </w:numPr>
        <w:jc w:val="both"/>
        <w:rPr>
          <w:sz w:val="24"/>
          <w:szCs w:val="24"/>
          <w:lang w:val="en-GB"/>
        </w:rPr>
      </w:pPr>
      <w:r>
        <w:rPr>
          <w:sz w:val="24"/>
          <w:szCs w:val="24"/>
          <w:lang w:val="en-GB"/>
        </w:rPr>
        <w:t xml:space="preserve">Supporting peacebuilding and state-building actions, involving, where appropriate, </w:t>
      </w:r>
      <w:proofErr w:type="gramStart"/>
      <w:r>
        <w:rPr>
          <w:sz w:val="24"/>
          <w:szCs w:val="24"/>
          <w:lang w:val="en-GB"/>
        </w:rPr>
        <w:t>civil;</w:t>
      </w:r>
      <w:proofErr w:type="gramEnd"/>
    </w:p>
    <w:p w14:paraId="413616A3" w14:textId="77777777" w:rsidR="00EA6218" w:rsidRDefault="0DE8C684">
      <w:pPr>
        <w:pStyle w:val="ListParagraph"/>
        <w:numPr>
          <w:ilvl w:val="0"/>
          <w:numId w:val="39"/>
        </w:numPr>
        <w:jc w:val="both"/>
        <w:rPr>
          <w:sz w:val="24"/>
          <w:szCs w:val="24"/>
          <w:lang w:val="en-GB"/>
        </w:rPr>
      </w:pPr>
      <w:r>
        <w:rPr>
          <w:sz w:val="24"/>
          <w:szCs w:val="24"/>
          <w:lang w:val="en-GB"/>
        </w:rPr>
        <w:t>Supporting international criminal tribunals and ad hoc national tribunals, truth and reconciliation commissions, transitional justice and other mechanisms for the legal settlement of human rights claims and the assertion and adjudication of property rights (this is also listed as an ‘Area of Intervention’ for ‘Rapid Response Actions’).</w:t>
      </w:r>
      <w:r w:rsidR="00F21B21">
        <w:rPr>
          <w:rStyle w:val="FootnoteReference"/>
          <w:sz w:val="24"/>
          <w:szCs w:val="24"/>
          <w:lang w:val="en-GB"/>
        </w:rPr>
        <w:footnoteReference w:id="116"/>
      </w:r>
    </w:p>
    <w:p w14:paraId="007DCDA8" w14:textId="77777777" w:rsidR="00EA6218" w:rsidRDefault="00EA6218">
      <w:pPr>
        <w:rPr>
          <w:lang w:val="en-GB"/>
        </w:rPr>
      </w:pPr>
    </w:p>
    <w:p w14:paraId="4695E386" w14:textId="77777777" w:rsidR="00EA6218" w:rsidRDefault="00F21B21">
      <w:pPr>
        <w:pStyle w:val="Heading2"/>
        <w:rPr>
          <w:b/>
          <w:bCs/>
          <w:sz w:val="24"/>
          <w:szCs w:val="24"/>
          <w:lang w:val="en-GB"/>
        </w:rPr>
      </w:pPr>
      <w:bookmarkStart w:id="10" w:name="_Toc96862367"/>
      <w:r>
        <w:rPr>
          <w:b/>
          <w:bCs/>
          <w:sz w:val="24"/>
          <w:szCs w:val="24"/>
          <w:lang w:val="en-GB"/>
        </w:rPr>
        <w:t>4.3 Conditionality and Enlargement</w:t>
      </w:r>
      <w:bookmarkEnd w:id="10"/>
      <w:r>
        <w:rPr>
          <w:b/>
          <w:bCs/>
          <w:sz w:val="24"/>
          <w:szCs w:val="24"/>
          <w:lang w:val="en-GB"/>
        </w:rPr>
        <w:t xml:space="preserve"> </w:t>
      </w:r>
    </w:p>
    <w:p w14:paraId="450EA2D7" w14:textId="77777777" w:rsidR="00EA6218" w:rsidRDefault="00EA6218">
      <w:pPr>
        <w:rPr>
          <w:lang w:val="en-GB"/>
        </w:rPr>
      </w:pPr>
    </w:p>
    <w:p w14:paraId="66AF39CC" w14:textId="68C1FCD4" w:rsidR="00EA6218" w:rsidRDefault="0DE8C684">
      <w:pPr>
        <w:rPr>
          <w:lang w:val="en-GB"/>
        </w:rPr>
      </w:pPr>
      <w:r>
        <w:rPr>
          <w:lang w:val="en-GB"/>
        </w:rPr>
        <w:t xml:space="preserve">In addition to </w:t>
      </w:r>
      <w:r w:rsidR="006E2864">
        <w:rPr>
          <w:lang w:val="en-GB"/>
        </w:rPr>
        <w:t xml:space="preserve">international </w:t>
      </w:r>
      <w:r>
        <w:rPr>
          <w:lang w:val="en-GB"/>
        </w:rPr>
        <w:t>development cooperation, the other main area where the EU can address states’ troubled pasts is through enlargement of the Union itself.  By this we mean less about Member States’ post-accession experiences (on that see above), but rather the conditions imposed on non-Member States in return for the prospect of potential membership of the EU.  To a lesser extent the EU has also sometimes</w:t>
      </w:r>
      <w:r w:rsidR="00522E2E">
        <w:rPr>
          <w:lang w:val="en-GB"/>
        </w:rPr>
        <w:t xml:space="preserve"> </w:t>
      </w:r>
      <w:r>
        <w:rPr>
          <w:lang w:val="en-GB"/>
        </w:rPr>
        <w:t xml:space="preserve">attempted to insist, in return for aid, </w:t>
      </w:r>
      <w:r w:rsidR="00522E2E">
        <w:rPr>
          <w:lang w:val="en-GB"/>
        </w:rPr>
        <w:t xml:space="preserve">upon </w:t>
      </w:r>
      <w:r>
        <w:rPr>
          <w:lang w:val="en-GB"/>
        </w:rPr>
        <w:t xml:space="preserve">the implementation of certain measures of transitional justice in respect of states that have no prospect of joining the EU.  However, that form of conditionality has not affected, nor does affect, any of the </w:t>
      </w:r>
      <w:proofErr w:type="spellStart"/>
      <w:r>
        <w:rPr>
          <w:lang w:val="en-GB"/>
        </w:rPr>
        <w:t>RePAST</w:t>
      </w:r>
      <w:proofErr w:type="spellEnd"/>
      <w:r>
        <w:rPr>
          <w:lang w:val="en-GB"/>
        </w:rPr>
        <w:t xml:space="preserve"> states and so shall not be discussed </w:t>
      </w:r>
      <w:r w:rsidR="00B2027F">
        <w:rPr>
          <w:lang w:val="en-GB"/>
        </w:rPr>
        <w:t xml:space="preserve">further </w:t>
      </w:r>
      <w:r>
        <w:rPr>
          <w:lang w:val="en-GB"/>
        </w:rPr>
        <w:t>here.</w:t>
      </w:r>
      <w:r w:rsidR="00F21B21">
        <w:rPr>
          <w:rStyle w:val="FootnoteReference"/>
          <w:lang w:val="en-GB"/>
        </w:rPr>
        <w:footnoteReference w:id="117"/>
      </w:r>
    </w:p>
    <w:p w14:paraId="3DD355C9" w14:textId="77777777" w:rsidR="00EA6218" w:rsidRDefault="00EA6218">
      <w:pPr>
        <w:rPr>
          <w:lang w:val="en-GB"/>
        </w:rPr>
      </w:pPr>
    </w:p>
    <w:p w14:paraId="32DB3719" w14:textId="63C4454F" w:rsidR="00EA6218" w:rsidRDefault="0DE8C684">
      <w:pPr>
        <w:rPr>
          <w:lang w:val="en-GB"/>
        </w:rPr>
      </w:pPr>
      <w:r>
        <w:rPr>
          <w:lang w:val="en-GB"/>
        </w:rPr>
        <w:t>The so-called, ‘Copenhagen Criteria’ for accession to the EU were adopted by the European Council in 1993.</w:t>
      </w:r>
      <w:r w:rsidR="00F21B21">
        <w:rPr>
          <w:rStyle w:val="FootnoteReference"/>
          <w:lang w:val="en-GB"/>
        </w:rPr>
        <w:footnoteReference w:id="118"/>
      </w:r>
      <w:r>
        <w:rPr>
          <w:lang w:val="en-GB"/>
        </w:rPr>
        <w:t xml:space="preserve">  Spain, Portugal, Greece, the UK and Ireland had already joined.  The EU was also already well into negotiations with Austria, Finland, Sweden and Norway – all consolidated democracies with functioning free-market economies.  Discussions were also under way with Cyprus and Malta.   However, looking to the East, the European Council envisioned the membership of the states, ‘weakened by 40 years of central planning’, but required </w:t>
      </w:r>
      <w:r w:rsidRPr="0DE8C684">
        <w:rPr>
          <w:i/>
          <w:iCs/>
          <w:lang w:val="en-GB"/>
        </w:rPr>
        <w:t xml:space="preserve">inter alia </w:t>
      </w:r>
      <w:r>
        <w:rPr>
          <w:lang w:val="en-GB"/>
        </w:rPr>
        <w:t>that they would have to demonstrate</w:t>
      </w:r>
      <w:r w:rsidR="00B6358D">
        <w:rPr>
          <w:lang w:val="en-GB"/>
        </w:rPr>
        <w:t xml:space="preserve"> </w:t>
      </w:r>
      <w:proofErr w:type="gramStart"/>
      <w:r w:rsidR="00B6358D">
        <w:rPr>
          <w:lang w:val="en-GB"/>
        </w:rPr>
        <w:t>the</w:t>
      </w:r>
      <w:r>
        <w:rPr>
          <w:lang w:val="en-GB"/>
        </w:rPr>
        <w:t>,</w:t>
      </w:r>
      <w:proofErr w:type="gramEnd"/>
      <w:r>
        <w:rPr>
          <w:lang w:val="en-GB"/>
        </w:rPr>
        <w:t xml:space="preserve"> ‘stability of institutions guaranteeing democracy, the rule of law, human rights and respect for and the protection of minorities’.</w:t>
      </w:r>
      <w:r w:rsidR="00F21B21">
        <w:rPr>
          <w:rStyle w:val="FootnoteReference"/>
          <w:lang w:val="en-GB"/>
        </w:rPr>
        <w:footnoteReference w:id="119"/>
      </w:r>
      <w:r>
        <w:rPr>
          <w:lang w:val="en-GB"/>
        </w:rPr>
        <w:t xml:space="preserve">  </w:t>
      </w:r>
      <w:r w:rsidR="00B6358D">
        <w:rPr>
          <w:lang w:val="en-GB"/>
        </w:rPr>
        <w:t>This is essential</w:t>
      </w:r>
      <w:r w:rsidR="0033568B">
        <w:rPr>
          <w:lang w:val="en-GB"/>
        </w:rPr>
        <w:t>ly</w:t>
      </w:r>
      <w:r w:rsidR="00B6358D">
        <w:rPr>
          <w:lang w:val="en-GB"/>
        </w:rPr>
        <w:t xml:space="preserve"> a requirement for the type of institutional reform</w:t>
      </w:r>
      <w:r w:rsidR="0033568B">
        <w:rPr>
          <w:lang w:val="en-GB"/>
        </w:rPr>
        <w:t xml:space="preserve"> typical in periods of transition.</w:t>
      </w:r>
    </w:p>
    <w:p w14:paraId="1A81F0B1" w14:textId="77777777" w:rsidR="00EA6218" w:rsidRDefault="00EA6218">
      <w:pPr>
        <w:rPr>
          <w:lang w:val="en-GB"/>
        </w:rPr>
      </w:pPr>
    </w:p>
    <w:p w14:paraId="7C86CFDB" w14:textId="4EC4E455" w:rsidR="00EA6218" w:rsidRDefault="0DE8C684">
      <w:pPr>
        <w:rPr>
          <w:lang w:val="en-GB"/>
        </w:rPr>
      </w:pPr>
      <w:r>
        <w:rPr>
          <w:lang w:val="en-GB"/>
        </w:rPr>
        <w:t>In 2003 the Council adopted the ‘Thessaloniki Agenda for the Western Balkans,’ in which it stated that, ‘full co-operation with ICTY, in particular with regard to the transfer to The Hague of all indictees and full access to documents and witnesses, is vital for further movement towards the EU’.</w:t>
      </w:r>
      <w:r w:rsidR="00F21B21">
        <w:rPr>
          <w:rStyle w:val="FootnoteReference"/>
          <w:lang w:val="en-GB"/>
        </w:rPr>
        <w:footnoteReference w:id="120"/>
      </w:r>
      <w:r>
        <w:rPr>
          <w:lang w:val="en-GB"/>
        </w:rPr>
        <w:t xml:space="preserve">  </w:t>
      </w:r>
      <w:r w:rsidR="008829AC">
        <w:rPr>
          <w:lang w:val="en-GB"/>
        </w:rPr>
        <w:t xml:space="preserve">In this way, it has unfortunately mirrored the </w:t>
      </w:r>
      <w:r w:rsidR="00A3056C">
        <w:rPr>
          <w:lang w:val="en-GB"/>
        </w:rPr>
        <w:t>CDSP’s focus on transitional criminal justice</w:t>
      </w:r>
      <w:r w:rsidR="00002EEF">
        <w:rPr>
          <w:lang w:val="en-GB"/>
        </w:rPr>
        <w:t xml:space="preserve"> in respect of </w:t>
      </w:r>
      <w:r>
        <w:rPr>
          <w:lang w:val="en-GB"/>
        </w:rPr>
        <w:t xml:space="preserve">Bosnia </w:t>
      </w:r>
      <w:r w:rsidR="0033568B">
        <w:rPr>
          <w:lang w:val="en-GB"/>
        </w:rPr>
        <w:t xml:space="preserve">Herzegovina </w:t>
      </w:r>
      <w:r>
        <w:rPr>
          <w:lang w:val="en-GB"/>
        </w:rPr>
        <w:t xml:space="preserve">and Kosovo.  By contrast, Davis has identified significant funding for non-judicial </w:t>
      </w:r>
      <w:r>
        <w:rPr>
          <w:lang w:val="en-GB"/>
        </w:rPr>
        <w:lastRenderedPageBreak/>
        <w:t xml:space="preserve">approaches to transitional justice through the </w:t>
      </w:r>
      <w:proofErr w:type="spellStart"/>
      <w:r>
        <w:rPr>
          <w:lang w:val="en-GB"/>
        </w:rPr>
        <w:t>IfS</w:t>
      </w:r>
      <w:proofErr w:type="spellEnd"/>
      <w:r>
        <w:rPr>
          <w:lang w:val="en-GB"/>
        </w:rPr>
        <w:t xml:space="preserve"> / </w:t>
      </w:r>
      <w:proofErr w:type="spellStart"/>
      <w:r>
        <w:rPr>
          <w:lang w:val="en-GB"/>
        </w:rPr>
        <w:t>IcPS</w:t>
      </w:r>
      <w:proofErr w:type="spellEnd"/>
      <w:r>
        <w:rPr>
          <w:lang w:val="en-GB"/>
        </w:rPr>
        <w:t xml:space="preserve"> and EIDHR – just not in relation to the </w:t>
      </w:r>
      <w:proofErr w:type="spellStart"/>
      <w:r>
        <w:rPr>
          <w:lang w:val="en-GB"/>
        </w:rPr>
        <w:t>RePAST</w:t>
      </w:r>
      <w:proofErr w:type="spellEnd"/>
      <w:r>
        <w:rPr>
          <w:lang w:val="en-GB"/>
        </w:rPr>
        <w:t xml:space="preserve"> states.</w:t>
      </w:r>
      <w:r w:rsidR="00F21B21">
        <w:rPr>
          <w:rStyle w:val="FootnoteReference"/>
          <w:lang w:val="en-GB"/>
        </w:rPr>
        <w:footnoteReference w:id="121"/>
      </w:r>
      <w:r>
        <w:rPr>
          <w:lang w:val="en-GB"/>
        </w:rPr>
        <w:t xml:space="preserve">  </w:t>
      </w:r>
    </w:p>
    <w:p w14:paraId="717AAFBA"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56EE48EE"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6D7B6057" w14:textId="77777777" w:rsidR="00EA6218" w:rsidRDefault="00F21B21">
      <w:pPr>
        <w:pStyle w:val="Heading1"/>
        <w:numPr>
          <w:ilvl w:val="0"/>
          <w:numId w:val="32"/>
        </w:numPr>
        <w:spacing w:before="120" w:line="240" w:lineRule="auto"/>
        <w:rPr>
          <w:rFonts w:asciiTheme="minorHAnsi" w:hAnsiTheme="minorHAnsi" w:cstheme="minorHAnsi"/>
          <w:sz w:val="24"/>
          <w:szCs w:val="24"/>
          <w:lang w:val="en-GB"/>
        </w:rPr>
      </w:pPr>
      <w:bookmarkStart w:id="11" w:name="_Toc96862368"/>
      <w:r>
        <w:rPr>
          <w:rFonts w:asciiTheme="minorHAnsi" w:hAnsiTheme="minorHAnsi" w:cstheme="minorHAnsi"/>
          <w:sz w:val="24"/>
          <w:szCs w:val="24"/>
          <w:lang w:val="en-GB"/>
        </w:rPr>
        <w:t>Attitudes to the EU’s Approaches to Transitional Justice and Troubled Pasts</w:t>
      </w:r>
      <w:bookmarkEnd w:id="11"/>
    </w:p>
    <w:p w14:paraId="2908EB2C"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121FD38A"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45137634" w14:textId="548B7D05" w:rsidR="00EA6218" w:rsidRDefault="00F21B21">
      <w:pPr>
        <w:rPr>
          <w:lang w:val="en-GB"/>
        </w:rPr>
      </w:pPr>
      <w:r>
        <w:rPr>
          <w:lang w:val="en-GB"/>
        </w:rPr>
        <w:t>Thus far</w:t>
      </w:r>
      <w:r w:rsidR="00494B50">
        <w:rPr>
          <w:lang w:val="en-GB"/>
        </w:rPr>
        <w:t>, by employing the lens of transitional justice,</w:t>
      </w:r>
      <w:r>
        <w:rPr>
          <w:lang w:val="en-GB"/>
        </w:rPr>
        <w:t xml:space="preserve"> we have seen several different ways in which the EU can address, and has in fact addressed, states’ troubled pasts in general and the </w:t>
      </w:r>
      <w:proofErr w:type="spellStart"/>
      <w:r>
        <w:rPr>
          <w:lang w:val="en-GB"/>
        </w:rPr>
        <w:t>RePAST</w:t>
      </w:r>
      <w:proofErr w:type="spellEnd"/>
      <w:r>
        <w:rPr>
          <w:lang w:val="en-GB"/>
        </w:rPr>
        <w:t xml:space="preserve"> states</w:t>
      </w:r>
      <w:r w:rsidR="000F0198">
        <w:rPr>
          <w:lang w:val="en-GB"/>
        </w:rPr>
        <w:t xml:space="preserve">’ troubled </w:t>
      </w:r>
      <w:r>
        <w:rPr>
          <w:lang w:val="en-GB"/>
        </w:rPr>
        <w:t>pasts in particular.  This has been through funding for citizenship policies aimed at remembrance; through aspects of the Common Foreign and Security Policy; and through its approach to</w:t>
      </w:r>
      <w:r w:rsidR="00173EC0">
        <w:rPr>
          <w:lang w:val="en-GB"/>
        </w:rPr>
        <w:t xml:space="preserve"> </w:t>
      </w:r>
      <w:r>
        <w:rPr>
          <w:lang w:val="en-GB"/>
        </w:rPr>
        <w:t xml:space="preserve">development cooperation, conditionality and enlargement.  </w:t>
      </w:r>
    </w:p>
    <w:p w14:paraId="1FE2DD96" w14:textId="77777777" w:rsidR="00EA6218" w:rsidRDefault="00EA6218">
      <w:pPr>
        <w:rPr>
          <w:lang w:val="en-GB"/>
        </w:rPr>
      </w:pPr>
    </w:p>
    <w:p w14:paraId="5263FCE8" w14:textId="56BC8B5A" w:rsidR="000B4F4D" w:rsidRPr="002D3D0A" w:rsidRDefault="000F0198">
      <w:pPr>
        <w:rPr>
          <w:lang w:val="en-GB"/>
        </w:rPr>
      </w:pPr>
      <w:r w:rsidRPr="002D3D0A">
        <w:rPr>
          <w:lang w:val="en-GB"/>
        </w:rPr>
        <w:t xml:space="preserve">The intent, as expressed in the </w:t>
      </w:r>
      <w:proofErr w:type="spellStart"/>
      <w:r w:rsidRPr="002D3D0A">
        <w:rPr>
          <w:lang w:val="en-GB"/>
        </w:rPr>
        <w:t>RePAST</w:t>
      </w:r>
      <w:proofErr w:type="spellEnd"/>
      <w:r w:rsidRPr="002D3D0A">
        <w:rPr>
          <w:lang w:val="en-GB"/>
        </w:rPr>
        <w:t xml:space="preserve"> grant agreement</w:t>
      </w:r>
      <w:r w:rsidR="0010795E" w:rsidRPr="002D3D0A">
        <w:rPr>
          <w:lang w:val="en-GB"/>
        </w:rPr>
        <w:t>,</w:t>
      </w:r>
      <w:r w:rsidRPr="002D3D0A">
        <w:rPr>
          <w:lang w:val="en-GB"/>
        </w:rPr>
        <w:t xml:space="preserve"> was </w:t>
      </w:r>
      <w:r w:rsidR="00AB6E0B" w:rsidRPr="002D3D0A">
        <w:rPr>
          <w:lang w:val="en-GB"/>
        </w:rPr>
        <w:t xml:space="preserve">to use </w:t>
      </w:r>
      <w:r w:rsidRPr="002D3D0A">
        <w:rPr>
          <w:lang w:val="en-GB"/>
        </w:rPr>
        <w:t>empirical data collected in other components of WP 5 to measure the impact of the EU’s approaches to troubled pasts as identified and critiqued above.</w:t>
      </w:r>
      <w:r w:rsidR="0010795E" w:rsidRPr="002D3D0A">
        <w:rPr>
          <w:lang w:val="en-GB"/>
        </w:rPr>
        <w:t xml:space="preserve">  However, whilst</w:t>
      </w:r>
      <w:r w:rsidR="00AB6E0B" w:rsidRPr="002D3D0A">
        <w:rPr>
          <w:lang w:val="en-GB"/>
        </w:rPr>
        <w:t xml:space="preserve"> the</w:t>
      </w:r>
      <w:r w:rsidR="0010795E" w:rsidRPr="002D3D0A">
        <w:rPr>
          <w:lang w:val="en-GB"/>
        </w:rPr>
        <w:t xml:space="preserve"> survey data is very valuable in its own right</w:t>
      </w:r>
      <w:r w:rsidR="000B4F4D" w:rsidRPr="002D3D0A">
        <w:rPr>
          <w:lang w:val="en-GB"/>
        </w:rPr>
        <w:t xml:space="preserve">, only one question really addressed the central concern of WP 5.3.  </w:t>
      </w:r>
    </w:p>
    <w:p w14:paraId="35072A53" w14:textId="77777777" w:rsidR="000B4F4D" w:rsidRDefault="000B4F4D">
      <w:pPr>
        <w:rPr>
          <w:highlight w:val="yellow"/>
          <w:lang w:val="en-GB"/>
        </w:rPr>
      </w:pPr>
    </w:p>
    <w:p w14:paraId="1CB32F82" w14:textId="383739CE" w:rsidR="000F0198" w:rsidRDefault="000B4F4D">
      <w:pPr>
        <w:rPr>
          <w:lang w:val="en-GB"/>
        </w:rPr>
      </w:pPr>
      <w:proofErr w:type="spellStart"/>
      <w:r>
        <w:rPr>
          <w:lang w:val="en-GB"/>
        </w:rPr>
        <w:t>RePAST</w:t>
      </w:r>
      <w:proofErr w:type="spellEnd"/>
      <w:r>
        <w:rPr>
          <w:lang w:val="en-GB"/>
        </w:rPr>
        <w:t xml:space="preserve"> WP5.2 had undertaken a ‘Representative Survey’ about attitudes of regular people to the events being studied by </w:t>
      </w:r>
      <w:proofErr w:type="spellStart"/>
      <w:r>
        <w:rPr>
          <w:lang w:val="en-GB"/>
        </w:rPr>
        <w:t>RePAST</w:t>
      </w:r>
      <w:proofErr w:type="spellEnd"/>
      <w:r>
        <w:rPr>
          <w:lang w:val="en-GB"/>
        </w:rPr>
        <w:t xml:space="preserve">, and the EU’s approach to them: see Deliverable D5.2 ‘Representative Survey Analysis’.  We do not intend here to replicate the explanation of the scope and methodology of WP5.2, but we will rather focus on </w:t>
      </w:r>
      <w:r w:rsidR="00D0421A">
        <w:rPr>
          <w:lang w:val="en-GB"/>
        </w:rPr>
        <w:t xml:space="preserve">answers to the question </w:t>
      </w:r>
      <w:r>
        <w:rPr>
          <w:lang w:val="en-GB"/>
        </w:rPr>
        <w:t>most relevant to WP5.3</w:t>
      </w:r>
      <w:r w:rsidR="00D0421A">
        <w:rPr>
          <w:lang w:val="en-GB"/>
        </w:rPr>
        <w:t>.</w:t>
      </w:r>
      <w:r w:rsidR="0092478D">
        <w:rPr>
          <w:lang w:val="en-GB"/>
        </w:rPr>
        <w:t xml:space="preserve">  This was where </w:t>
      </w:r>
      <w:r w:rsidR="0092478D" w:rsidRPr="0092478D">
        <w:rPr>
          <w:lang w:val="en-GB"/>
        </w:rPr>
        <w:t xml:space="preserve">the </w:t>
      </w:r>
      <w:r w:rsidR="000F0198" w:rsidRPr="0092478D">
        <w:rPr>
          <w:lang w:val="en-GB"/>
        </w:rPr>
        <w:t xml:space="preserve">survey asked, at Q30, for an opinion on whether the EU had </w:t>
      </w:r>
      <w:r w:rsidR="000F0198" w:rsidRPr="0092478D">
        <w:rPr>
          <w:rFonts w:eastAsia="Times New Roman" w:cstheme="minorHAnsi"/>
          <w:iCs/>
          <w:lang w:val="en-GB"/>
        </w:rPr>
        <w:t>helped to ‘overcome the divisions’ related to the focal event.</w:t>
      </w:r>
      <w:r w:rsidR="000F0198">
        <w:rPr>
          <w:rFonts w:eastAsia="Times New Roman" w:cstheme="minorHAnsi"/>
          <w:iCs/>
          <w:lang w:val="en-GB"/>
        </w:rPr>
        <w:t xml:space="preserve">  </w:t>
      </w:r>
    </w:p>
    <w:p w14:paraId="2142FA3A" w14:textId="77777777" w:rsidR="000F0198" w:rsidRDefault="000F0198">
      <w:pPr>
        <w:rPr>
          <w:lang w:val="en-GB"/>
        </w:rPr>
      </w:pPr>
    </w:p>
    <w:p w14:paraId="1D21E8B9" w14:textId="704640C0" w:rsidR="00EA6218" w:rsidRDefault="00F21B21">
      <w:pPr>
        <w:rPr>
          <w:rFonts w:eastAsia="Times New Roman" w:cstheme="minorHAnsi"/>
          <w:iCs/>
          <w:lang w:val="en-GB"/>
        </w:rPr>
      </w:pPr>
      <w:r>
        <w:rPr>
          <w:rFonts w:eastAsia="Times New Roman" w:cstheme="minorHAnsi"/>
          <w:iCs/>
          <w:lang w:val="en-GB"/>
        </w:rPr>
        <w:t>The results make for interesting reading</w:t>
      </w:r>
      <w:r w:rsidR="0092478D">
        <w:rPr>
          <w:rFonts w:eastAsia="Times New Roman" w:cstheme="minorHAnsi"/>
          <w:iCs/>
          <w:lang w:val="en-GB"/>
        </w:rPr>
        <w:t xml:space="preserve">.  </w:t>
      </w:r>
      <w:r>
        <w:rPr>
          <w:rFonts w:eastAsia="Times New Roman" w:cstheme="minorHAnsi"/>
          <w:iCs/>
          <w:lang w:val="en-GB"/>
        </w:rPr>
        <w:t xml:space="preserve">For Greece, Germany, Spain, the most popular response was ‘neither agree nor disagree’, which is hardly a ringing endorsement.  On the plus side, more than 30% of respondents from Kosovo, Poland and Ireland ‘agreed’ – with Kosovo having the most favourable view: 46% of the Kosovo respondents ‘completely agreed’ that the EU had helped to overcome divisions.  We shall return to Kosovo shortly.  </w:t>
      </w:r>
    </w:p>
    <w:p w14:paraId="07F023C8" w14:textId="77777777" w:rsidR="00EA6218" w:rsidRDefault="00EA6218">
      <w:pPr>
        <w:rPr>
          <w:rFonts w:eastAsia="Times New Roman" w:cstheme="minorHAnsi"/>
          <w:iCs/>
          <w:lang w:val="en-GB"/>
        </w:rPr>
      </w:pPr>
    </w:p>
    <w:p w14:paraId="05B847CE" w14:textId="77777777" w:rsidR="00EA6218" w:rsidRDefault="00F21B21">
      <w:pPr>
        <w:rPr>
          <w:lang w:val="en-GB"/>
        </w:rPr>
      </w:pPr>
      <w:r>
        <w:rPr>
          <w:rFonts w:eastAsia="Times New Roman" w:cstheme="minorHAnsi"/>
          <w:iCs/>
          <w:lang w:val="en-GB"/>
        </w:rPr>
        <w:t xml:space="preserve">The respondents from Cyprus were the most negative.  Only 12% ‘agreed’; 33% ‘disagreed’ and 28% ‘completely disagreed’.  </w:t>
      </w:r>
      <w:r>
        <w:rPr>
          <w:lang w:val="en-GB"/>
        </w:rPr>
        <w:t xml:space="preserve"> The closest competitor to Cyprus for negativity was Bosnia, which ‘disagreed’ at 38%.  However, the negativity reduces at the strongest levels, in that only 2% ‘completely disagreed’.</w:t>
      </w:r>
    </w:p>
    <w:p w14:paraId="4BDB5498" w14:textId="77777777" w:rsidR="00EA6218" w:rsidRDefault="00EA6218">
      <w:pPr>
        <w:rPr>
          <w:lang w:val="en-GB"/>
        </w:rPr>
      </w:pPr>
    </w:p>
    <w:p w14:paraId="440D5259" w14:textId="77777777" w:rsidR="00EA6218" w:rsidRDefault="0DE8C684">
      <w:pPr>
        <w:rPr>
          <w:lang w:val="en-GB"/>
        </w:rPr>
      </w:pPr>
      <w:r>
        <w:rPr>
          <w:lang w:val="en-GB"/>
        </w:rPr>
        <w:t xml:space="preserve">The Cypriot negativity is interesting because if ‘overcoming the divisions’ is taken as the reunification of Cyprus and an end to Turkish military occupation of the north, then the impact of the EU on the current sorry </w:t>
      </w:r>
      <w:proofErr w:type="gramStart"/>
      <w:r>
        <w:rPr>
          <w:lang w:val="en-GB"/>
        </w:rPr>
        <w:t>state of affairs</w:t>
      </w:r>
      <w:proofErr w:type="gramEnd"/>
      <w:r>
        <w:rPr>
          <w:lang w:val="en-GB"/>
        </w:rPr>
        <w:t>, or its potential in the future, must have been vastly over-estimated by the survey respondents.  As shown in D6.16 ‘Policy Recommendations for Cyprus’, the EU actually supported the Annan plan, but it was rejected in the 2004 Greek Cypriot referendum.</w:t>
      </w:r>
      <w:r w:rsidR="00F21B21">
        <w:rPr>
          <w:rStyle w:val="FootnoteReference"/>
          <w:lang w:val="en-GB"/>
        </w:rPr>
        <w:footnoteReference w:id="122"/>
      </w:r>
      <w:r>
        <w:rPr>
          <w:lang w:val="en-GB"/>
        </w:rPr>
        <w:t xml:space="preserve">  </w:t>
      </w:r>
      <w:r w:rsidRPr="004F7371">
        <w:rPr>
          <w:lang w:val="en-GB"/>
        </w:rPr>
        <w:t>This shows that the EU was, and remains, in fact relatively powerless to influence a solution to the problems of Cyprus.</w:t>
      </w:r>
      <w:r w:rsidR="00F21B21" w:rsidRPr="004F7371">
        <w:rPr>
          <w:rStyle w:val="FootnoteReference"/>
          <w:lang w:val="en-GB"/>
        </w:rPr>
        <w:footnoteReference w:id="123"/>
      </w:r>
      <w:r w:rsidRPr="004F7371">
        <w:rPr>
          <w:lang w:val="en-GB"/>
        </w:rPr>
        <w:t xml:space="preserve">  Of course, the</w:t>
      </w:r>
      <w:r>
        <w:rPr>
          <w:lang w:val="en-GB"/>
        </w:rPr>
        <w:t xml:space="preserve"> EU bears the responsibility for permitting the accession of Cyprus to the EU without first there being a solution to its partition; but that is not the same as having principal responsibility for failing to secure a </w:t>
      </w:r>
      <w:r w:rsidRPr="004F7371">
        <w:rPr>
          <w:i/>
          <w:iCs/>
          <w:lang w:val="en-GB"/>
        </w:rPr>
        <w:t>solution</w:t>
      </w:r>
      <w:r>
        <w:rPr>
          <w:lang w:val="en-GB"/>
        </w:rPr>
        <w:t xml:space="preserve"> to its partition.  Moreover, through the accession process and then the citizenship and socio-economic development policies discussed above, the EU has in fact invested in a great many projects that, if not aimed at ending partition, have nevertheless played a valuable role in addressing the troubled past (and present) of Cyprus.  This includes, for example, funding the work carried out by the International </w:t>
      </w:r>
      <w:proofErr w:type="spellStart"/>
      <w:r>
        <w:rPr>
          <w:lang w:val="en-GB"/>
        </w:rPr>
        <w:t>Center</w:t>
      </w:r>
      <w:proofErr w:type="spellEnd"/>
      <w:r>
        <w:rPr>
          <w:lang w:val="en-GB"/>
        </w:rPr>
        <w:t xml:space="preserve"> for Transitional Justice Cyprus program from 2009 to 2011.</w:t>
      </w:r>
      <w:r w:rsidR="00F21B21">
        <w:rPr>
          <w:rStyle w:val="FootnoteReference"/>
          <w:lang w:val="en-GB"/>
        </w:rPr>
        <w:footnoteReference w:id="124"/>
      </w:r>
      <w:r>
        <w:rPr>
          <w:lang w:val="en-GB"/>
        </w:rPr>
        <w:t xml:space="preserve"> </w:t>
      </w:r>
    </w:p>
    <w:p w14:paraId="2916C19D" w14:textId="77777777" w:rsidR="00EA6218" w:rsidRDefault="00EA6218">
      <w:pPr>
        <w:rPr>
          <w:lang w:val="en-GB"/>
        </w:rPr>
      </w:pPr>
    </w:p>
    <w:p w14:paraId="22F17150" w14:textId="1433CA4A" w:rsidR="00EA6218" w:rsidRDefault="00F21B21">
      <w:pPr>
        <w:rPr>
          <w:lang w:val="en-GB"/>
        </w:rPr>
      </w:pPr>
      <w:r>
        <w:rPr>
          <w:lang w:val="en-GB"/>
        </w:rPr>
        <w:t xml:space="preserve">In terms now of positivity, we have already noted that it is Kosovo that stands out, in that 46% of respondents ‘completely agreed’ that the EU had helped to ‘overcome’ its </w:t>
      </w:r>
      <w:r w:rsidR="00A51064">
        <w:rPr>
          <w:lang w:val="en-GB"/>
        </w:rPr>
        <w:t>‘</w:t>
      </w:r>
      <w:r>
        <w:rPr>
          <w:lang w:val="en-GB"/>
        </w:rPr>
        <w:t>divisions</w:t>
      </w:r>
      <w:r w:rsidR="00A51064">
        <w:rPr>
          <w:lang w:val="en-GB"/>
        </w:rPr>
        <w:t>’</w:t>
      </w:r>
      <w:r>
        <w:rPr>
          <w:lang w:val="en-GB"/>
        </w:rPr>
        <w:t xml:space="preserve">; with a further 30% also ‘agreeing’.  Of course, since the largely Milošević-instigated awfulness of the 1990s and Kosovo’s declaration of independence in 2008, there are far fewer ethnic Serbs present in Kosovo with which the majority ethnic Albanians could remain ‘divided’.  Where there </w:t>
      </w:r>
      <w:r w:rsidRPr="00F91C2F">
        <w:rPr>
          <w:i/>
          <w:iCs/>
          <w:lang w:val="en-GB"/>
        </w:rPr>
        <w:t>are</w:t>
      </w:r>
      <w:r>
        <w:rPr>
          <w:lang w:val="en-GB"/>
        </w:rPr>
        <w:t xml:space="preserve"> strong ethnic Serb communities, such as in Northern Mitrovica, there is little sign of divisions being comprehensively ‘overcome’ (although there are some positive projects such as the ‘Mitrovica Rock School’ noted in D6.16 ‘Policy Recommendations for Kosovo’, and which was in the past at least in part funded by the EU).</w:t>
      </w:r>
    </w:p>
    <w:p w14:paraId="74869460" w14:textId="77777777" w:rsidR="00EA6218" w:rsidRDefault="00EA6218">
      <w:pPr>
        <w:pStyle w:val="ListParagraph"/>
        <w:spacing w:before="120" w:after="120"/>
        <w:ind w:left="270"/>
        <w:contextualSpacing w:val="0"/>
        <w:rPr>
          <w:rFonts w:asciiTheme="minorHAnsi" w:hAnsiTheme="minorHAnsi" w:cstheme="minorHAnsi"/>
          <w:b/>
          <w:sz w:val="24"/>
          <w:szCs w:val="24"/>
          <w:lang w:val="en-GB"/>
        </w:rPr>
      </w:pPr>
    </w:p>
    <w:p w14:paraId="3CB7D8A9" w14:textId="77777777" w:rsidR="00EA6218" w:rsidRDefault="00F21B21">
      <w:pPr>
        <w:pStyle w:val="Heading1"/>
        <w:spacing w:before="120" w:line="240" w:lineRule="auto"/>
        <w:rPr>
          <w:rFonts w:asciiTheme="minorHAnsi" w:hAnsiTheme="minorHAnsi" w:cstheme="minorHAnsi"/>
          <w:sz w:val="24"/>
          <w:szCs w:val="24"/>
          <w:lang w:val="en-GB"/>
        </w:rPr>
      </w:pPr>
      <w:bookmarkStart w:id="12" w:name="_Toc96862369"/>
      <w:r>
        <w:rPr>
          <w:rFonts w:asciiTheme="minorHAnsi" w:hAnsiTheme="minorHAnsi" w:cstheme="minorHAnsi"/>
          <w:sz w:val="24"/>
          <w:szCs w:val="24"/>
          <w:lang w:val="en-GB"/>
        </w:rPr>
        <w:t>Conclusions</w:t>
      </w:r>
      <w:bookmarkEnd w:id="12"/>
    </w:p>
    <w:p w14:paraId="187F57B8" w14:textId="77777777" w:rsidR="00EA6218" w:rsidRDefault="00EA6218">
      <w:pPr>
        <w:rPr>
          <w:b/>
          <w:bCs/>
          <w:lang w:val="en-GB"/>
        </w:rPr>
      </w:pPr>
    </w:p>
    <w:p w14:paraId="40071B58" w14:textId="2A389ACE" w:rsidR="00EA6218" w:rsidRDefault="00F21B21">
      <w:pPr>
        <w:rPr>
          <w:lang w:val="en-GB"/>
        </w:rPr>
      </w:pPr>
      <w:r>
        <w:rPr>
          <w:lang w:val="en-GB"/>
        </w:rPr>
        <w:t xml:space="preserve">This Working Paper has identified, </w:t>
      </w:r>
      <w:r w:rsidR="00AF2404">
        <w:rPr>
          <w:lang w:val="en-GB"/>
        </w:rPr>
        <w:t>via employing the critical frame of transitional justice</w:t>
      </w:r>
      <w:r>
        <w:rPr>
          <w:lang w:val="en-GB"/>
        </w:rPr>
        <w:t xml:space="preserve">, three main foci of engagement between the EU and the </w:t>
      </w:r>
      <w:proofErr w:type="spellStart"/>
      <w:r>
        <w:rPr>
          <w:lang w:val="en-GB"/>
        </w:rPr>
        <w:t>RePAST</w:t>
      </w:r>
      <w:proofErr w:type="spellEnd"/>
      <w:r>
        <w:rPr>
          <w:lang w:val="en-GB"/>
        </w:rPr>
        <w:t xml:space="preserve"> </w:t>
      </w:r>
      <w:r w:rsidR="00EF4562">
        <w:rPr>
          <w:lang w:val="en-GB"/>
        </w:rPr>
        <w:t xml:space="preserve">(and other) </w:t>
      </w:r>
      <w:r>
        <w:rPr>
          <w:lang w:val="en-GB"/>
        </w:rPr>
        <w:t xml:space="preserve">states’ troubled pasts: citizenship and remembrance; CFSP; and development cooperation, conditionality, and enlargement.  </w:t>
      </w:r>
    </w:p>
    <w:p w14:paraId="54738AF4" w14:textId="77777777" w:rsidR="00EA6218" w:rsidRDefault="00EA6218">
      <w:pPr>
        <w:rPr>
          <w:b/>
          <w:bCs/>
          <w:lang w:val="en-GB"/>
        </w:rPr>
      </w:pPr>
    </w:p>
    <w:p w14:paraId="588ADC81" w14:textId="101C47B3" w:rsidR="00726E8A" w:rsidRDefault="00D21048">
      <w:pPr>
        <w:rPr>
          <w:lang w:val="en-GB"/>
        </w:rPr>
      </w:pPr>
      <w:r w:rsidRPr="004F2A9B">
        <w:rPr>
          <w:lang w:val="en-GB"/>
        </w:rPr>
        <w:lastRenderedPageBreak/>
        <w:t>Insights from the field of transitional justice</w:t>
      </w:r>
      <w:r w:rsidR="0048178D" w:rsidRPr="004F2A9B">
        <w:rPr>
          <w:lang w:val="en-GB"/>
        </w:rPr>
        <w:t xml:space="preserve"> have led us to question</w:t>
      </w:r>
      <w:r w:rsidR="00B66180">
        <w:rPr>
          <w:lang w:val="en-GB"/>
        </w:rPr>
        <w:t xml:space="preserve"> the extent to which </w:t>
      </w:r>
      <w:r w:rsidR="0093060C">
        <w:rPr>
          <w:lang w:val="en-GB"/>
        </w:rPr>
        <w:t>promoting a common history</w:t>
      </w:r>
      <w:r w:rsidR="00EF4562">
        <w:rPr>
          <w:lang w:val="en-GB"/>
        </w:rPr>
        <w:t>, as attempted through ‘Active European Remembrance’</w:t>
      </w:r>
      <w:r w:rsidR="0093060C">
        <w:rPr>
          <w:lang w:val="en-GB"/>
        </w:rPr>
        <w:t xml:space="preserve"> is a liberalising </w:t>
      </w:r>
      <w:r w:rsidR="00D94DBC">
        <w:rPr>
          <w:lang w:val="en-GB"/>
        </w:rPr>
        <w:t xml:space="preserve">process.  We also saw that the emergence of and competition between memory frames, or truth regimes, is far more complex than </w:t>
      </w:r>
      <w:r w:rsidR="00F11E2A">
        <w:rPr>
          <w:lang w:val="en-GB"/>
        </w:rPr>
        <w:t xml:space="preserve">the underpinning assumptions behind the instrumentalization of </w:t>
      </w:r>
      <w:r w:rsidR="004F2A9B">
        <w:rPr>
          <w:lang w:val="en-GB"/>
        </w:rPr>
        <w:t xml:space="preserve">a common history as a vector of identification with the EU.  </w:t>
      </w:r>
      <w:r w:rsidR="00EF4562">
        <w:rPr>
          <w:lang w:val="en-GB"/>
        </w:rPr>
        <w:t xml:space="preserve">The tension between the ‘Holocaust as unique’ and </w:t>
      </w:r>
      <w:r w:rsidR="00B642B5">
        <w:rPr>
          <w:lang w:val="en-GB"/>
        </w:rPr>
        <w:t xml:space="preserve">‘Nazism and Stalinism as equally evil’ is emblematic of this.  </w:t>
      </w:r>
      <w:r w:rsidR="000615AC">
        <w:rPr>
          <w:lang w:val="en-GB"/>
        </w:rPr>
        <w:t>Moreover, although the critical framework of transitional justice facilitated the identification of relevant</w:t>
      </w:r>
      <w:r w:rsidR="00654352">
        <w:rPr>
          <w:lang w:val="en-GB"/>
        </w:rPr>
        <w:t xml:space="preserve"> foreign and development policies, we saw a marked tendency to focus upon support for transitional criminal justice</w:t>
      </w:r>
      <w:r w:rsidR="00B642B5">
        <w:rPr>
          <w:lang w:val="en-GB"/>
        </w:rPr>
        <w:t xml:space="preserve"> within those policies</w:t>
      </w:r>
      <w:r w:rsidR="003759FA">
        <w:rPr>
          <w:lang w:val="en-GB"/>
        </w:rPr>
        <w:t xml:space="preserve">.  </w:t>
      </w:r>
      <w:r w:rsidR="008406B1">
        <w:rPr>
          <w:lang w:val="en-GB"/>
        </w:rPr>
        <w:t xml:space="preserve">We would recommend a </w:t>
      </w:r>
      <w:r w:rsidR="003759FA">
        <w:rPr>
          <w:lang w:val="en-GB"/>
        </w:rPr>
        <w:t>more holistic approach</w:t>
      </w:r>
      <w:r w:rsidR="008406B1">
        <w:rPr>
          <w:lang w:val="en-GB"/>
        </w:rPr>
        <w:t>, aligning more</w:t>
      </w:r>
      <w:r w:rsidR="003759FA">
        <w:rPr>
          <w:lang w:val="en-GB"/>
        </w:rPr>
        <w:t xml:space="preserve"> closely with</w:t>
      </w:r>
      <w:r w:rsidR="00B50A47">
        <w:rPr>
          <w:lang w:val="en-GB"/>
        </w:rPr>
        <w:t xml:space="preserve"> the received wisdom on transitional justice.</w:t>
      </w:r>
    </w:p>
    <w:p w14:paraId="5EBE6CFB" w14:textId="77777777" w:rsidR="00D21048" w:rsidRPr="00D21048" w:rsidRDefault="00D21048">
      <w:pPr>
        <w:rPr>
          <w:lang w:val="en-GB"/>
        </w:rPr>
      </w:pPr>
    </w:p>
    <w:p w14:paraId="2FA7C5F1" w14:textId="3DFC6960" w:rsidR="00EA6218" w:rsidRDefault="00B50A47">
      <w:pPr>
        <w:rPr>
          <w:lang w:val="en-GB"/>
        </w:rPr>
      </w:pPr>
      <w:r>
        <w:rPr>
          <w:lang w:val="en-GB"/>
        </w:rPr>
        <w:t>We also saw that perceptions of the EU’s</w:t>
      </w:r>
      <w:r w:rsidR="00193409">
        <w:rPr>
          <w:lang w:val="en-GB"/>
        </w:rPr>
        <w:t xml:space="preserve"> powers to act, and the acts that it has undertaken, are mixed.  </w:t>
      </w:r>
      <w:r w:rsidR="00F21B21">
        <w:rPr>
          <w:lang w:val="en-GB"/>
        </w:rPr>
        <w:t>A potential explanation for this is that in each of these areas, and despite several interesting statements of policy like the EU Framework for Transitional Justice or the Stockholm Programme, the EU’s activities have largely been limited to allocating (albeit quite substantial) pots of funding</w:t>
      </w:r>
      <w:r w:rsidR="00193409">
        <w:rPr>
          <w:lang w:val="en-GB"/>
        </w:rPr>
        <w:t xml:space="preserve"> to thir</w:t>
      </w:r>
      <w:r w:rsidR="008406B1">
        <w:rPr>
          <w:lang w:val="en-GB"/>
        </w:rPr>
        <w:t>d</w:t>
      </w:r>
      <w:r w:rsidR="00796594">
        <w:rPr>
          <w:lang w:val="en-GB"/>
        </w:rPr>
        <w:t>-</w:t>
      </w:r>
      <w:r w:rsidR="00193409">
        <w:rPr>
          <w:lang w:val="en-GB"/>
        </w:rPr>
        <w:t>parties</w:t>
      </w:r>
      <w:r w:rsidR="00F21B21">
        <w:rPr>
          <w:lang w:val="en-GB"/>
        </w:rPr>
        <w:t xml:space="preserve"> (</w:t>
      </w:r>
      <w:proofErr w:type="gramStart"/>
      <w:r w:rsidR="00F21B21">
        <w:rPr>
          <w:lang w:val="en-GB"/>
        </w:rPr>
        <w:t>with the exception of</w:t>
      </w:r>
      <w:proofErr w:type="gramEnd"/>
      <w:r w:rsidR="00F21B21">
        <w:rPr>
          <w:lang w:val="en-GB"/>
        </w:rPr>
        <w:t xml:space="preserve"> the very much boots-on-the-ground CSDP missions).  The work in </w:t>
      </w:r>
      <w:proofErr w:type="gramStart"/>
      <w:r w:rsidR="00F21B21">
        <w:rPr>
          <w:lang w:val="en-GB"/>
        </w:rPr>
        <w:t>actually addressing</w:t>
      </w:r>
      <w:proofErr w:type="gramEnd"/>
      <w:r w:rsidR="00F21B21">
        <w:rPr>
          <w:lang w:val="en-GB"/>
        </w:rPr>
        <w:t xml:space="preserve"> troubled pasts has thus largely been carried out by the recipients of EU funding rather than by the EU itself.  This has obscured the extent of the EU’s involvement.</w:t>
      </w:r>
      <w:r w:rsidR="00EB5FF5">
        <w:rPr>
          <w:lang w:val="en-GB"/>
        </w:rPr>
        <w:t xml:space="preserve">  We would recommend increasing the visibility of these efforts</w:t>
      </w:r>
      <w:r w:rsidR="00B93A7B">
        <w:rPr>
          <w:lang w:val="en-GB"/>
        </w:rPr>
        <w:t xml:space="preserve">, </w:t>
      </w:r>
      <w:proofErr w:type="gramStart"/>
      <w:r w:rsidR="00B93A7B">
        <w:rPr>
          <w:lang w:val="en-GB"/>
        </w:rPr>
        <w:t>in order to</w:t>
      </w:r>
      <w:proofErr w:type="gramEnd"/>
      <w:r w:rsidR="00B93A7B">
        <w:rPr>
          <w:lang w:val="en-GB"/>
        </w:rPr>
        <w:t xml:space="preserve"> ensure that it is not only those that </w:t>
      </w:r>
      <w:r w:rsidR="000A30A4">
        <w:rPr>
          <w:lang w:val="en-GB"/>
        </w:rPr>
        <w:t xml:space="preserve">regularly </w:t>
      </w:r>
      <w:r w:rsidR="00B93A7B">
        <w:rPr>
          <w:lang w:val="en-GB"/>
        </w:rPr>
        <w:t>seek EU funding</w:t>
      </w:r>
      <w:r w:rsidR="00D6282D">
        <w:rPr>
          <w:lang w:val="en-GB"/>
        </w:rPr>
        <w:t xml:space="preserve"> who understand the sheer amount of activity undertaken in respect of </w:t>
      </w:r>
      <w:r w:rsidR="00796594">
        <w:rPr>
          <w:lang w:val="en-GB"/>
        </w:rPr>
        <w:t>states’ troubled pasts.</w:t>
      </w:r>
    </w:p>
    <w:p w14:paraId="46ABBD8F" w14:textId="77777777" w:rsidR="00EA6218" w:rsidRDefault="00EA6218">
      <w:pPr>
        <w:rPr>
          <w:lang w:val="en-GB"/>
        </w:rPr>
      </w:pPr>
    </w:p>
    <w:p w14:paraId="2BA492EE" w14:textId="6E768F98" w:rsidR="00EA6218" w:rsidRDefault="00F21B21">
      <w:pPr>
        <w:rPr>
          <w:lang w:val="en-GB"/>
        </w:rPr>
      </w:pPr>
      <w:r>
        <w:rPr>
          <w:lang w:val="en-GB"/>
        </w:rPr>
        <w:t>Th</w:t>
      </w:r>
      <w:r w:rsidR="00796594">
        <w:rPr>
          <w:lang w:val="en-GB"/>
        </w:rPr>
        <w:t>e reliance on funding third-</w:t>
      </w:r>
      <w:proofErr w:type="gramStart"/>
      <w:r w:rsidR="00796594">
        <w:rPr>
          <w:lang w:val="en-GB"/>
        </w:rPr>
        <w:t xml:space="preserve">parties </w:t>
      </w:r>
      <w:r>
        <w:rPr>
          <w:lang w:val="en-GB"/>
        </w:rPr>
        <w:t xml:space="preserve"> is</w:t>
      </w:r>
      <w:proofErr w:type="gramEnd"/>
      <w:r>
        <w:rPr>
          <w:lang w:val="en-GB"/>
        </w:rPr>
        <w:t>, of course, due to the way the TFEU and TEU confer, or rather</w:t>
      </w:r>
      <w:r w:rsidR="004734A6">
        <w:rPr>
          <w:lang w:val="en-GB"/>
        </w:rPr>
        <w:t xml:space="preserve"> generally</w:t>
      </w:r>
      <w:r>
        <w:rPr>
          <w:lang w:val="en-GB"/>
        </w:rPr>
        <w:t xml:space="preserve"> do not confer, upon the EU the competence to legislate on transitional justice and troubled pasts.  This very substantial limitation needs to be considered when policy proposals are contemplated for what the EU should do in the future regarding troubled pasts.  More ambitious, coherent, and effective EU actions on transitional justice and troubled pasts might require further amendment of its founding treaties, for which it is doubted that there is any great appetite at present.</w:t>
      </w:r>
    </w:p>
    <w:p w14:paraId="06BBA33E" w14:textId="77777777" w:rsidR="00EA6218" w:rsidRDefault="00EA6218">
      <w:pPr>
        <w:rPr>
          <w:lang w:val="en-GB"/>
        </w:rPr>
      </w:pPr>
    </w:p>
    <w:p w14:paraId="559B1E3D" w14:textId="03E841E9" w:rsidR="00EA6218" w:rsidRDefault="00F21B21">
      <w:pPr>
        <w:rPr>
          <w:lang w:val="en-GB"/>
        </w:rPr>
      </w:pPr>
      <w:r>
        <w:rPr>
          <w:lang w:val="en-GB"/>
        </w:rPr>
        <w:t xml:space="preserve">Furthermore, in the treaties, legislation, and myriad policy documents as they are today, there is a notable lack of coherence in the way that transitional justice appears or is even labelled.  This observation is not new: both </w:t>
      </w:r>
      <w:proofErr w:type="spellStart"/>
      <w:r>
        <w:rPr>
          <w:lang w:val="en-GB"/>
        </w:rPr>
        <w:t>Avello</w:t>
      </w:r>
      <w:proofErr w:type="spellEnd"/>
      <w:r>
        <w:rPr>
          <w:lang w:val="en-GB"/>
        </w:rPr>
        <w:t xml:space="preserve"> and Crossley-</w:t>
      </w:r>
      <w:proofErr w:type="spellStart"/>
      <w:r>
        <w:rPr>
          <w:lang w:val="en-GB"/>
        </w:rPr>
        <w:t>Frolick</w:t>
      </w:r>
      <w:proofErr w:type="spellEnd"/>
      <w:r>
        <w:rPr>
          <w:lang w:val="en-GB"/>
        </w:rPr>
        <w:t xml:space="preserve"> arrived at the same conclusion.  Davis, likewise, sought to ‘piece together’ an implicit EU transitional justice policy from existing measures that did not necessarily refer to transitional justice explicitly.  Of course, since those studies were published the EU Council has at least adopted the 2014 ‘EU’s Framework on Support to Transitional Justice’ – but that document is not legislative in </w:t>
      </w:r>
      <w:proofErr w:type="gramStart"/>
      <w:r>
        <w:rPr>
          <w:lang w:val="en-GB"/>
        </w:rPr>
        <w:t>nature, and</w:t>
      </w:r>
      <w:proofErr w:type="gramEnd"/>
      <w:r>
        <w:rPr>
          <w:lang w:val="en-GB"/>
        </w:rPr>
        <w:t xml:space="preserve"> applies only in the context of CFSP.  This means that the EU remains without an overarching universal approach to understanding or facilitating transitional justice, which spans both its internal and external competences.  Until it does, the EU will not be able to unlock its full potential to address states’ troubled pasts.</w:t>
      </w:r>
      <w:r w:rsidR="008362BD">
        <w:rPr>
          <w:lang w:val="en-GB"/>
        </w:rPr>
        <w:t xml:space="preserve">  We thus </w:t>
      </w:r>
      <w:r w:rsidR="008362BD">
        <w:rPr>
          <w:lang w:val="en-GB"/>
        </w:rPr>
        <w:lastRenderedPageBreak/>
        <w:t>recommend bringing</w:t>
      </w:r>
      <w:r w:rsidR="00573C07">
        <w:rPr>
          <w:lang w:val="en-GB"/>
        </w:rPr>
        <w:t xml:space="preserve"> a greater level of coherence and cooperation in the EU’s approach to troubled pasts, right across its relevant competences.</w:t>
      </w:r>
    </w:p>
    <w:p w14:paraId="464FCBC1" w14:textId="77777777" w:rsidR="00EA6218" w:rsidRDefault="00EA6218">
      <w:pPr>
        <w:rPr>
          <w:lang w:val="en-GB"/>
        </w:rPr>
      </w:pPr>
    </w:p>
    <w:p w14:paraId="6C2512D0" w14:textId="77777777" w:rsidR="00EA6218" w:rsidRDefault="00F21B21">
      <w:pPr>
        <w:rPr>
          <w:lang w:val="en-GB"/>
        </w:rPr>
      </w:pPr>
      <w:r>
        <w:rPr>
          <w:lang w:val="en-GB"/>
        </w:rPr>
        <w:t>JAS</w:t>
      </w:r>
    </w:p>
    <w:p w14:paraId="4EE142A1" w14:textId="77777777" w:rsidR="00EA6218" w:rsidRDefault="00F21B21">
      <w:pPr>
        <w:rPr>
          <w:lang w:val="en-GB"/>
        </w:rPr>
      </w:pPr>
      <w:r>
        <w:rPr>
          <w:lang w:val="en-GB"/>
        </w:rPr>
        <w:t>CB</w:t>
      </w:r>
    </w:p>
    <w:p w14:paraId="5C8C6B09" w14:textId="77777777" w:rsidR="00EA6218" w:rsidRDefault="00EA6218">
      <w:pPr>
        <w:pStyle w:val="Heading1"/>
        <w:spacing w:before="120" w:line="240" w:lineRule="auto"/>
        <w:rPr>
          <w:rFonts w:asciiTheme="minorHAnsi" w:hAnsiTheme="minorHAnsi" w:cstheme="minorHAnsi"/>
          <w:sz w:val="24"/>
          <w:szCs w:val="24"/>
          <w:lang w:val="en-GB"/>
        </w:rPr>
      </w:pPr>
    </w:p>
    <w:p w14:paraId="071E4E01" w14:textId="77777777" w:rsidR="00EA6218" w:rsidRPr="00372022" w:rsidRDefault="00F21B21">
      <w:pPr>
        <w:pStyle w:val="Heading1"/>
        <w:spacing w:before="120" w:line="240" w:lineRule="auto"/>
        <w:rPr>
          <w:rFonts w:asciiTheme="minorHAnsi" w:hAnsiTheme="minorHAnsi" w:cstheme="minorHAnsi"/>
          <w:sz w:val="24"/>
          <w:szCs w:val="24"/>
          <w:lang w:val="en-GB"/>
        </w:rPr>
      </w:pPr>
      <w:bookmarkStart w:id="13" w:name="_Toc96862370"/>
      <w:r w:rsidRPr="00372022">
        <w:rPr>
          <w:rFonts w:asciiTheme="minorHAnsi" w:hAnsiTheme="minorHAnsi" w:cstheme="minorHAnsi"/>
          <w:sz w:val="24"/>
          <w:szCs w:val="24"/>
          <w:lang w:val="en-GB"/>
        </w:rPr>
        <w:t>References</w:t>
      </w:r>
      <w:bookmarkEnd w:id="13"/>
    </w:p>
    <w:p w14:paraId="3382A365" w14:textId="77777777" w:rsidR="00EA6218" w:rsidRDefault="00EA6218">
      <w:pPr>
        <w:pStyle w:val="FootnoteText"/>
        <w:jc w:val="left"/>
        <w:rPr>
          <w:rFonts w:asciiTheme="minorHAnsi" w:hAnsiTheme="minorHAnsi" w:cstheme="minorHAnsi"/>
          <w:szCs w:val="22"/>
          <w:lang w:val="en-GB"/>
        </w:rPr>
      </w:pPr>
    </w:p>
    <w:p w14:paraId="6C94D160" w14:textId="398F0510"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Avello, ‘European Efforts in Transitional Justice’ (2008) FRIDE Working Paper 58</w:t>
      </w:r>
      <w:r w:rsidR="00940DF6">
        <w:rPr>
          <w:rFonts w:asciiTheme="minorHAnsi" w:hAnsiTheme="minorHAnsi" w:cstheme="minorHAnsi"/>
          <w:szCs w:val="22"/>
          <w:lang w:val="en-GB"/>
        </w:rPr>
        <w:t>.</w:t>
      </w:r>
    </w:p>
    <w:p w14:paraId="50B95F71" w14:textId="3EC21AC4"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Brems, ‘Transitional justice in the case law of the European Court of Human Rights’ (2010) 5 International Journal of Transitional Justice 282</w:t>
      </w:r>
      <w:r w:rsidR="00940DF6">
        <w:rPr>
          <w:rFonts w:asciiTheme="minorHAnsi" w:hAnsiTheme="minorHAnsi" w:cstheme="minorHAnsi"/>
          <w:szCs w:val="22"/>
          <w:lang w:val="en-GB"/>
        </w:rPr>
        <w:t>.</w:t>
      </w:r>
    </w:p>
    <w:p w14:paraId="5B395705" w14:textId="3789B6E2"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Craig and De </w:t>
      </w:r>
      <w:proofErr w:type="spellStart"/>
      <w:r>
        <w:rPr>
          <w:rFonts w:asciiTheme="minorHAnsi" w:hAnsiTheme="minorHAnsi" w:cstheme="minorHAnsi"/>
          <w:szCs w:val="22"/>
          <w:lang w:val="en-GB"/>
        </w:rPr>
        <w:t>Búrca</w:t>
      </w:r>
      <w:proofErr w:type="spellEnd"/>
      <w:r>
        <w:rPr>
          <w:rFonts w:asciiTheme="minorHAnsi" w:hAnsiTheme="minorHAnsi" w:cstheme="minorHAnsi"/>
          <w:szCs w:val="22"/>
          <w:lang w:val="en-GB"/>
        </w:rPr>
        <w:t xml:space="preserve">, </w:t>
      </w:r>
      <w:r>
        <w:rPr>
          <w:rFonts w:asciiTheme="minorHAnsi" w:hAnsiTheme="minorHAnsi" w:cstheme="minorHAnsi"/>
          <w:i/>
          <w:iCs/>
          <w:szCs w:val="22"/>
          <w:lang w:val="en-GB"/>
        </w:rPr>
        <w:t>EU Law</w:t>
      </w:r>
      <w:r>
        <w:rPr>
          <w:rFonts w:asciiTheme="minorHAnsi" w:hAnsiTheme="minorHAnsi" w:cstheme="minorHAnsi"/>
          <w:szCs w:val="22"/>
          <w:lang w:val="en-GB"/>
        </w:rPr>
        <w:t xml:space="preserve"> (7</w:t>
      </w:r>
      <w:r>
        <w:rPr>
          <w:rFonts w:asciiTheme="minorHAnsi" w:hAnsiTheme="minorHAnsi" w:cstheme="minorHAnsi"/>
          <w:szCs w:val="22"/>
          <w:vertAlign w:val="superscript"/>
          <w:lang w:val="en-GB"/>
        </w:rPr>
        <w:t>th</w:t>
      </w:r>
      <w:r>
        <w:rPr>
          <w:rFonts w:asciiTheme="minorHAnsi" w:hAnsiTheme="minorHAnsi" w:cstheme="minorHAnsi"/>
          <w:szCs w:val="22"/>
          <w:lang w:val="en-GB"/>
        </w:rPr>
        <w:t xml:space="preserve"> </w:t>
      </w:r>
      <w:proofErr w:type="spellStart"/>
      <w:r>
        <w:rPr>
          <w:rFonts w:asciiTheme="minorHAnsi" w:hAnsiTheme="minorHAnsi" w:cstheme="minorHAnsi"/>
          <w:szCs w:val="22"/>
          <w:lang w:val="en-GB"/>
        </w:rPr>
        <w:t>edn</w:t>
      </w:r>
      <w:proofErr w:type="spellEnd"/>
      <w:r>
        <w:rPr>
          <w:rFonts w:asciiTheme="minorHAnsi" w:hAnsiTheme="minorHAnsi" w:cstheme="minorHAnsi"/>
          <w:szCs w:val="22"/>
          <w:lang w:val="en-GB"/>
        </w:rPr>
        <w:t>, OUP 2020)</w:t>
      </w:r>
      <w:r w:rsidR="00940DF6">
        <w:rPr>
          <w:rFonts w:asciiTheme="minorHAnsi" w:hAnsiTheme="minorHAnsi" w:cstheme="minorHAnsi"/>
          <w:szCs w:val="22"/>
          <w:lang w:val="en-GB"/>
        </w:rPr>
        <w:t>.</w:t>
      </w:r>
    </w:p>
    <w:p w14:paraId="225835A2" w14:textId="3939C23C"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Crossley-</w:t>
      </w:r>
      <w:proofErr w:type="spellStart"/>
      <w:r>
        <w:rPr>
          <w:rFonts w:asciiTheme="minorHAnsi" w:hAnsiTheme="minorHAnsi" w:cstheme="minorHAnsi"/>
          <w:szCs w:val="22"/>
          <w:lang w:val="en-GB"/>
        </w:rPr>
        <w:t>Frolick</w:t>
      </w:r>
      <w:proofErr w:type="spellEnd"/>
      <w:r>
        <w:rPr>
          <w:rFonts w:asciiTheme="minorHAnsi" w:hAnsiTheme="minorHAnsi" w:cstheme="minorHAnsi"/>
          <w:szCs w:val="22"/>
          <w:lang w:val="en-GB"/>
        </w:rPr>
        <w:t>, ‘The European Union and Transitional Justice: Human Rights and Post-Conflict Reconciliation in Europe and Beyond’ (2011) 3 Contemporary Readings in Law and Social Justice 33</w:t>
      </w:r>
      <w:r w:rsidR="00940DF6">
        <w:rPr>
          <w:rFonts w:asciiTheme="minorHAnsi" w:hAnsiTheme="minorHAnsi" w:cstheme="minorHAnsi"/>
          <w:szCs w:val="22"/>
          <w:lang w:val="en-GB"/>
        </w:rPr>
        <w:t>.</w:t>
      </w:r>
    </w:p>
    <w:p w14:paraId="35082002" w14:textId="77DD523B"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Davis, </w:t>
      </w:r>
      <w:r>
        <w:rPr>
          <w:rFonts w:asciiTheme="minorHAnsi" w:hAnsiTheme="minorHAnsi" w:cstheme="minorHAnsi"/>
          <w:i/>
          <w:iCs/>
          <w:szCs w:val="22"/>
          <w:lang w:val="en-GB"/>
        </w:rPr>
        <w:t>The European Union and Transitional Justice</w:t>
      </w:r>
      <w:r>
        <w:rPr>
          <w:rFonts w:asciiTheme="minorHAnsi" w:hAnsiTheme="minorHAnsi" w:cstheme="minorHAnsi"/>
          <w:szCs w:val="22"/>
          <w:lang w:val="en-GB"/>
        </w:rPr>
        <w:t xml:space="preserve"> (International Centre for Transitional Justice 2010)</w:t>
      </w:r>
      <w:r w:rsidR="00940DF6">
        <w:rPr>
          <w:rFonts w:asciiTheme="minorHAnsi" w:hAnsiTheme="minorHAnsi" w:cstheme="minorHAnsi"/>
          <w:szCs w:val="22"/>
          <w:lang w:val="en-GB"/>
        </w:rPr>
        <w:t>.</w:t>
      </w:r>
    </w:p>
    <w:p w14:paraId="53B3E70E" w14:textId="00A8AADB"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EUFOR, ‘About EUFOR’ (2021) available at &lt;</w:t>
      </w:r>
      <w:hyperlink r:id="rId20" w:tooltip="http://www.euforbih.org/index.php/about-eufor/background" w:history="1">
        <w:r>
          <w:rPr>
            <w:rStyle w:val="Hyperlink"/>
            <w:rFonts w:asciiTheme="minorHAnsi" w:hAnsiTheme="minorHAnsi" w:cstheme="minorHAnsi"/>
            <w:szCs w:val="22"/>
            <w:lang w:val="en-GB"/>
          </w:rPr>
          <w:t>http://www.euforbih.org/index.php/about-eufor/background</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p>
    <w:p w14:paraId="4894DCA7" w14:textId="61AF4C21"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European Union, ‘2019 European Election Results’ &lt;</w:t>
      </w:r>
      <w:hyperlink r:id="rId21" w:tooltip="https://www.europarl.europa.eu/election-results-2019/en/turnout/" w:history="1">
        <w:r>
          <w:rPr>
            <w:rStyle w:val="Hyperlink"/>
            <w:rFonts w:asciiTheme="minorHAnsi" w:hAnsiTheme="minorHAnsi" w:cstheme="minorHAnsi"/>
            <w:szCs w:val="22"/>
            <w:lang w:val="en-GB"/>
          </w:rPr>
          <w:t>https://www.europarl.europa.eu/election-results-2019/en/turnout/</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p>
    <w:p w14:paraId="2BEDF30F" w14:textId="1D086D27" w:rsidR="00B34801" w:rsidRDefault="00B34801">
      <w:pPr>
        <w:pStyle w:val="FootnoteText"/>
        <w:jc w:val="left"/>
        <w:rPr>
          <w:rFonts w:asciiTheme="minorHAnsi" w:hAnsiTheme="minorHAnsi" w:cstheme="minorHAnsi"/>
          <w:szCs w:val="22"/>
          <w:lang w:val="en-GB"/>
        </w:rPr>
      </w:pPr>
      <w:r w:rsidRPr="00704280">
        <w:rPr>
          <w:lang w:val="en-US"/>
        </w:rPr>
        <w:t xml:space="preserve">ESRC, ‘Review of </w:t>
      </w:r>
      <w:r w:rsidRPr="00805F60">
        <w:rPr>
          <w:lang w:val="en-GB"/>
        </w:rPr>
        <w:t>Socio</w:t>
      </w:r>
      <w:r w:rsidRPr="00704280">
        <w:rPr>
          <w:lang w:val="en-US"/>
        </w:rPr>
        <w:t xml:space="preserve">-Legal </w:t>
      </w:r>
      <w:r w:rsidRPr="00805F60">
        <w:rPr>
          <w:lang w:val="en-GB"/>
        </w:rPr>
        <w:t>Studies</w:t>
      </w:r>
      <w:r w:rsidRPr="00704280">
        <w:rPr>
          <w:lang w:val="en-US"/>
        </w:rPr>
        <w:t xml:space="preserve">: </w:t>
      </w:r>
      <w:r w:rsidRPr="00805F60">
        <w:rPr>
          <w:lang w:val="en-GB"/>
        </w:rPr>
        <w:t>Final</w:t>
      </w:r>
      <w:r w:rsidRPr="00704280">
        <w:rPr>
          <w:lang w:val="en-US"/>
        </w:rPr>
        <w:t xml:space="preserve"> </w:t>
      </w:r>
      <w:r w:rsidRPr="00805F60">
        <w:rPr>
          <w:lang w:val="en-GB"/>
        </w:rPr>
        <w:t>Report’</w:t>
      </w:r>
      <w:r>
        <w:rPr>
          <w:lang w:val="en-GB"/>
        </w:rPr>
        <w:t xml:space="preserve"> (1994)</w:t>
      </w:r>
      <w:r w:rsidR="00940DF6">
        <w:rPr>
          <w:lang w:val="en-GB"/>
        </w:rPr>
        <w:t>.</w:t>
      </w:r>
    </w:p>
    <w:p w14:paraId="3407A7A7" w14:textId="675023F8" w:rsidR="00EA6218" w:rsidRDefault="00F21B21">
      <w:pPr>
        <w:pStyle w:val="FootnoteText"/>
        <w:jc w:val="left"/>
        <w:rPr>
          <w:rFonts w:asciiTheme="minorHAnsi" w:hAnsiTheme="minorHAnsi" w:cstheme="minorHAnsi"/>
          <w:szCs w:val="22"/>
          <w:lang w:val="en-GB"/>
        </w:rPr>
      </w:pPr>
      <w:r>
        <w:rPr>
          <w:lang w:val="en-GB"/>
        </w:rPr>
        <w:t>International Centre for Transitional Justice, ‘Cyprus’ (</w:t>
      </w:r>
      <w:r>
        <w:rPr>
          <w:i/>
          <w:iCs/>
          <w:lang w:val="en-GB"/>
        </w:rPr>
        <w:t xml:space="preserve">ICTJ, </w:t>
      </w:r>
      <w:r>
        <w:rPr>
          <w:lang w:val="en-GB"/>
        </w:rPr>
        <w:t>April 2011) &lt;</w:t>
      </w:r>
      <w:hyperlink r:id="rId22" w:tooltip="https://www.ictj.org/our-work/regions-and-countries/cyprus" w:history="1">
        <w:r>
          <w:rPr>
            <w:rStyle w:val="Hyperlink"/>
            <w:rFonts w:eastAsia="MS Gothic"/>
            <w:lang w:val="en-GB"/>
          </w:rPr>
          <w:t>https://www.ictj.org/our-work/regions-and-countries/cyprus</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p>
    <w:p w14:paraId="2E9ED785" w14:textId="0880C0C8"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International Centre for Transitional Justice, ‘What is Transitional Justice?’ &lt;</w:t>
      </w:r>
      <w:hyperlink r:id="rId23" w:tooltip="https://www.ictj.org/about/transitional-justice" w:history="1">
        <w:r>
          <w:rPr>
            <w:rStyle w:val="Hyperlink"/>
            <w:rFonts w:asciiTheme="minorHAnsi" w:hAnsiTheme="minorHAnsi" w:cstheme="minorHAnsi"/>
            <w:szCs w:val="22"/>
            <w:lang w:val="en-GB"/>
          </w:rPr>
          <w:t>https://www.ictj.org/about/transitional-justice</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p>
    <w:p w14:paraId="5254A80C" w14:textId="4E706A68" w:rsidR="00EB7474" w:rsidRDefault="00EB7474">
      <w:pPr>
        <w:pStyle w:val="FootnoteText"/>
        <w:jc w:val="left"/>
        <w:rPr>
          <w:rFonts w:asciiTheme="minorHAnsi" w:hAnsiTheme="minorHAnsi" w:cstheme="minorHAnsi"/>
          <w:szCs w:val="22"/>
          <w:lang w:val="en-GB" w:eastAsia="en-GB"/>
        </w:rPr>
      </w:pPr>
      <w:proofErr w:type="spellStart"/>
      <w:r>
        <w:rPr>
          <w:rFonts w:asciiTheme="minorHAnsi" w:hAnsiTheme="minorHAnsi" w:cstheme="minorHAnsi"/>
          <w:szCs w:val="22"/>
          <w:lang w:val="en-GB"/>
        </w:rPr>
        <w:t>Kutnak</w:t>
      </w:r>
      <w:proofErr w:type="spellEnd"/>
      <w:r>
        <w:rPr>
          <w:rFonts w:asciiTheme="minorHAnsi" w:hAnsiTheme="minorHAnsi" w:cstheme="minorHAnsi"/>
          <w:szCs w:val="22"/>
          <w:lang w:val="en-GB"/>
        </w:rPr>
        <w:t xml:space="preserve"> &amp; Hagen, </w:t>
      </w:r>
      <w:r w:rsidRPr="006C62F7">
        <w:rPr>
          <w:rFonts w:asciiTheme="minorHAnsi" w:hAnsiTheme="minorHAnsi" w:cstheme="minorHAnsi"/>
          <w:i/>
          <w:iCs/>
          <w:szCs w:val="22"/>
          <w:lang w:val="en-GB"/>
        </w:rPr>
        <w:t>Reclaiming Justice: The International Tribunal for the Former Yugoslavia and Local Courts</w:t>
      </w:r>
      <w:r>
        <w:rPr>
          <w:rFonts w:asciiTheme="minorHAnsi" w:hAnsiTheme="minorHAnsi" w:cstheme="minorHAnsi"/>
          <w:szCs w:val="22"/>
          <w:lang w:val="en-GB"/>
        </w:rPr>
        <w:t xml:space="preserve"> (OUP 2011)</w:t>
      </w:r>
      <w:r w:rsidR="00940DF6">
        <w:rPr>
          <w:rFonts w:asciiTheme="minorHAnsi" w:hAnsiTheme="minorHAnsi" w:cstheme="minorHAnsi"/>
          <w:szCs w:val="22"/>
          <w:lang w:val="en-GB"/>
        </w:rPr>
        <w:t>.</w:t>
      </w:r>
    </w:p>
    <w:p w14:paraId="164C506B" w14:textId="49AF08FF" w:rsidR="00EA6218" w:rsidRDefault="00F21B21">
      <w:pPr>
        <w:pStyle w:val="FootnoteText"/>
        <w:jc w:val="left"/>
        <w:rPr>
          <w:rFonts w:asciiTheme="minorHAnsi" w:hAnsiTheme="minorHAnsi" w:cstheme="minorHAnsi"/>
          <w:szCs w:val="22"/>
          <w:lang w:val="en-GB" w:eastAsia="en-GB"/>
        </w:rPr>
      </w:pPr>
      <w:proofErr w:type="spellStart"/>
      <w:r>
        <w:rPr>
          <w:rFonts w:asciiTheme="minorHAnsi" w:hAnsiTheme="minorHAnsi" w:cstheme="minorHAnsi"/>
          <w:szCs w:val="22"/>
          <w:lang w:val="en-GB" w:eastAsia="en-GB"/>
        </w:rPr>
        <w:t>Littoz</w:t>
      </w:r>
      <w:proofErr w:type="spellEnd"/>
      <w:r>
        <w:rPr>
          <w:rFonts w:asciiTheme="minorHAnsi" w:hAnsiTheme="minorHAnsi" w:cstheme="minorHAnsi"/>
          <w:szCs w:val="22"/>
          <w:lang w:val="en-GB" w:eastAsia="en-GB"/>
        </w:rPr>
        <w:t>-Monnet, ‘The EU Politics of Remembrance: Can Europeans Remember Together?’ (2012) 35 West European Politics 1182</w:t>
      </w:r>
      <w:r w:rsidR="00940DF6">
        <w:rPr>
          <w:rFonts w:asciiTheme="minorHAnsi" w:hAnsiTheme="minorHAnsi" w:cstheme="minorHAnsi"/>
          <w:szCs w:val="22"/>
          <w:lang w:val="en-GB" w:eastAsia="en-GB"/>
        </w:rPr>
        <w:t>.</w:t>
      </w:r>
    </w:p>
    <w:p w14:paraId="6DB0BD99" w14:textId="5AF90A15" w:rsidR="00E444AD" w:rsidRDefault="00E444AD">
      <w:pPr>
        <w:pStyle w:val="FootnoteText"/>
        <w:jc w:val="left"/>
        <w:rPr>
          <w:rFonts w:asciiTheme="minorHAnsi" w:hAnsiTheme="minorHAnsi" w:cstheme="minorHAnsi"/>
          <w:szCs w:val="22"/>
          <w:lang w:val="en-GB"/>
        </w:rPr>
      </w:pPr>
      <w:r>
        <w:rPr>
          <w:szCs w:val="22"/>
          <w:lang w:val="en-GB"/>
        </w:rPr>
        <w:t xml:space="preserve">McConville &amp; Hong Chui (eds.), </w:t>
      </w:r>
      <w:r>
        <w:rPr>
          <w:i/>
          <w:iCs/>
          <w:szCs w:val="22"/>
          <w:lang w:val="en-GB"/>
        </w:rPr>
        <w:t>Research Methods for Law</w:t>
      </w:r>
      <w:r>
        <w:rPr>
          <w:szCs w:val="22"/>
          <w:lang w:val="en-GB"/>
        </w:rPr>
        <w:t xml:space="preserve"> 2</w:t>
      </w:r>
      <w:r w:rsidRPr="00D6762D">
        <w:rPr>
          <w:szCs w:val="22"/>
          <w:vertAlign w:val="superscript"/>
          <w:lang w:val="en-GB"/>
        </w:rPr>
        <w:t>nd</w:t>
      </w:r>
      <w:r>
        <w:rPr>
          <w:szCs w:val="22"/>
          <w:lang w:val="en-GB"/>
        </w:rPr>
        <w:t xml:space="preserve"> ed. (Edinburgh University Press 2017)</w:t>
      </w:r>
      <w:r w:rsidR="00940DF6">
        <w:rPr>
          <w:szCs w:val="22"/>
          <w:lang w:val="en-GB"/>
        </w:rPr>
        <w:t>.</w:t>
      </w:r>
    </w:p>
    <w:p w14:paraId="703E6FC8" w14:textId="1F04B39A"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Pridham, </w:t>
      </w:r>
      <w:r>
        <w:rPr>
          <w:rFonts w:asciiTheme="minorHAnsi" w:hAnsiTheme="minorHAnsi" w:cstheme="minorHAnsi"/>
          <w:i/>
          <w:iCs/>
          <w:szCs w:val="22"/>
          <w:lang w:val="en-GB"/>
        </w:rPr>
        <w:t>The EU’s Conditionality Strategy: its Development before and after the Fall of Communism</w:t>
      </w:r>
      <w:r>
        <w:rPr>
          <w:rFonts w:asciiTheme="minorHAnsi" w:hAnsiTheme="minorHAnsi" w:cstheme="minorHAnsi"/>
          <w:szCs w:val="22"/>
          <w:lang w:val="en-GB"/>
        </w:rPr>
        <w:t xml:space="preserve"> (Palgrave 2005)</w:t>
      </w:r>
      <w:r w:rsidR="00940DF6">
        <w:rPr>
          <w:rFonts w:asciiTheme="minorHAnsi" w:hAnsiTheme="minorHAnsi" w:cstheme="minorHAnsi"/>
          <w:szCs w:val="22"/>
          <w:lang w:val="en-GB"/>
        </w:rPr>
        <w:t>.</w:t>
      </w:r>
    </w:p>
    <w:p w14:paraId="2E2AA8B1" w14:textId="126AEAF9"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Rangelov et al, ‘</w:t>
      </w:r>
      <w:r>
        <w:rPr>
          <w:rFonts w:asciiTheme="minorHAnsi" w:hAnsiTheme="minorHAnsi" w:cstheme="minorHAnsi"/>
          <w:i/>
          <w:iCs/>
          <w:szCs w:val="22"/>
          <w:lang w:val="en-GB"/>
        </w:rPr>
        <w:t>EU Approaches to Justice in Conflict and Transition</w:t>
      </w:r>
      <w:r>
        <w:rPr>
          <w:rFonts w:asciiTheme="minorHAnsi" w:hAnsiTheme="minorHAnsi" w:cstheme="minorHAnsi"/>
          <w:szCs w:val="22"/>
          <w:lang w:val="en-GB"/>
        </w:rPr>
        <w:t xml:space="preserve"> (Human Security Study Group 2016)</w:t>
      </w:r>
      <w:r w:rsidR="00940DF6">
        <w:rPr>
          <w:rFonts w:asciiTheme="minorHAnsi" w:hAnsiTheme="minorHAnsi" w:cstheme="minorHAnsi"/>
          <w:szCs w:val="22"/>
          <w:lang w:val="en-GB"/>
        </w:rPr>
        <w:t>.</w:t>
      </w:r>
    </w:p>
    <w:p w14:paraId="074C5ED8" w14:textId="2AC505A2"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Reuters, ‘Bosnian Serbs reinstate ties with national police’ (2015) available at &lt;</w:t>
      </w:r>
      <w:hyperlink r:id="rId24" w:tooltip="https://news.trust.org/item/20151218192950-6vlly" w:history="1">
        <w:r>
          <w:rPr>
            <w:rStyle w:val="Hyperlink"/>
            <w:rFonts w:asciiTheme="minorHAnsi" w:hAnsiTheme="minorHAnsi" w:cstheme="minorHAnsi"/>
            <w:szCs w:val="22"/>
            <w:lang w:val="en-GB"/>
          </w:rPr>
          <w:t>https://news.trust.org/item/20151218192950-6vlly</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p>
    <w:p w14:paraId="765CC8B2" w14:textId="6375F403"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Saul and Sweeney (eds.), </w:t>
      </w:r>
      <w:r>
        <w:rPr>
          <w:rFonts w:asciiTheme="minorHAnsi" w:hAnsiTheme="minorHAnsi" w:cstheme="minorHAnsi"/>
          <w:i/>
          <w:iCs/>
          <w:szCs w:val="22"/>
          <w:lang w:val="en-GB"/>
        </w:rPr>
        <w:t>International Law and Post-Conflict Reconstruction Policy</w:t>
      </w:r>
      <w:r>
        <w:rPr>
          <w:rFonts w:asciiTheme="minorHAnsi" w:hAnsiTheme="minorHAnsi" w:cstheme="minorHAnsi"/>
          <w:szCs w:val="22"/>
          <w:lang w:val="en-GB"/>
        </w:rPr>
        <w:t xml:space="preserve"> (Routledge 2015)</w:t>
      </w:r>
      <w:r w:rsidR="00940DF6">
        <w:rPr>
          <w:rFonts w:asciiTheme="minorHAnsi" w:hAnsiTheme="minorHAnsi" w:cstheme="minorHAnsi"/>
          <w:szCs w:val="22"/>
          <w:lang w:val="en-GB"/>
        </w:rPr>
        <w:t>.</w:t>
      </w:r>
    </w:p>
    <w:p w14:paraId="3BCB988D" w14:textId="3F1F00F7"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Schiff, ‘Socio-Legal Theory: Social Structure and Law’ (1976) 39 Modern Law Review 287</w:t>
      </w:r>
      <w:r w:rsidR="00940DF6">
        <w:rPr>
          <w:rFonts w:asciiTheme="minorHAnsi" w:hAnsiTheme="minorHAnsi" w:cstheme="minorHAnsi"/>
          <w:szCs w:val="22"/>
          <w:lang w:val="en-GB"/>
        </w:rPr>
        <w:t>.</w:t>
      </w:r>
    </w:p>
    <w:p w14:paraId="6E2B5BB5" w14:textId="2374D076" w:rsidR="00E444AD" w:rsidRDefault="00E444AD">
      <w:pPr>
        <w:pStyle w:val="FootnoteText"/>
        <w:jc w:val="left"/>
        <w:rPr>
          <w:rFonts w:asciiTheme="minorHAnsi" w:hAnsiTheme="minorHAnsi" w:cstheme="minorHAnsi"/>
          <w:szCs w:val="22"/>
          <w:lang w:val="en-GB"/>
        </w:rPr>
      </w:pPr>
      <w:r>
        <w:rPr>
          <w:rFonts w:asciiTheme="minorHAnsi" w:hAnsiTheme="minorHAnsi" w:cstheme="minorHAnsi"/>
          <w:szCs w:val="22"/>
          <w:lang w:val="en-GB"/>
        </w:rPr>
        <w:lastRenderedPageBreak/>
        <w:t xml:space="preserve">Stahn et al, </w:t>
      </w:r>
      <w:r>
        <w:rPr>
          <w:rFonts w:asciiTheme="minorHAnsi" w:hAnsiTheme="minorHAnsi" w:cstheme="minorHAnsi"/>
          <w:i/>
          <w:iCs/>
          <w:szCs w:val="22"/>
          <w:lang w:val="en-GB"/>
        </w:rPr>
        <w:t>Legacies of the International Criminal Tribunal for the Former Yugoslavia</w:t>
      </w:r>
      <w:r>
        <w:rPr>
          <w:rFonts w:asciiTheme="minorHAnsi" w:hAnsiTheme="minorHAnsi" w:cstheme="minorHAnsi"/>
          <w:szCs w:val="22"/>
          <w:lang w:val="en-GB"/>
        </w:rPr>
        <w:t xml:space="preserve"> (OUP 2020</w:t>
      </w:r>
      <w:proofErr w:type="gramStart"/>
      <w:r>
        <w:rPr>
          <w:rFonts w:asciiTheme="minorHAnsi" w:hAnsiTheme="minorHAnsi" w:cstheme="minorHAnsi"/>
          <w:szCs w:val="22"/>
          <w:lang w:val="en-GB"/>
        </w:rPr>
        <w:t xml:space="preserve">) </w:t>
      </w:r>
      <w:r w:rsidR="00940DF6">
        <w:rPr>
          <w:rFonts w:asciiTheme="minorHAnsi" w:hAnsiTheme="minorHAnsi" w:cstheme="minorHAnsi"/>
          <w:szCs w:val="22"/>
          <w:lang w:val="en-GB"/>
        </w:rPr>
        <w:t>.</w:t>
      </w:r>
      <w:proofErr w:type="gramEnd"/>
    </w:p>
    <w:p w14:paraId="7D088A75" w14:textId="536DF258" w:rsidR="00E444AD" w:rsidRDefault="00E444AD">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Swart et al (eds.), </w:t>
      </w:r>
      <w:r w:rsidRPr="006C62F7">
        <w:rPr>
          <w:rFonts w:asciiTheme="minorHAnsi" w:hAnsiTheme="minorHAnsi" w:cstheme="minorHAnsi"/>
          <w:i/>
          <w:iCs/>
          <w:szCs w:val="22"/>
          <w:lang w:val="en-GB"/>
        </w:rPr>
        <w:t>The Legacy of the International Criminal Tribunal for the Former Yugoslavia</w:t>
      </w:r>
      <w:r>
        <w:rPr>
          <w:rFonts w:asciiTheme="minorHAnsi" w:hAnsiTheme="minorHAnsi" w:cstheme="minorHAnsi"/>
          <w:szCs w:val="22"/>
          <w:lang w:val="en-GB"/>
        </w:rPr>
        <w:t xml:space="preserve"> (OUP 2011)</w:t>
      </w:r>
      <w:r w:rsidR="00940DF6">
        <w:rPr>
          <w:rFonts w:asciiTheme="minorHAnsi" w:hAnsiTheme="minorHAnsi" w:cstheme="minorHAnsi"/>
          <w:szCs w:val="22"/>
          <w:lang w:val="en-GB"/>
        </w:rPr>
        <w:t>.</w:t>
      </w:r>
    </w:p>
    <w:p w14:paraId="46E5DA8D" w14:textId="3BF6EBA4"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Sweeney, </w:t>
      </w:r>
      <w:r>
        <w:rPr>
          <w:rFonts w:asciiTheme="minorHAnsi" w:hAnsiTheme="minorHAnsi" w:cstheme="minorHAnsi"/>
          <w:i/>
          <w:iCs/>
          <w:szCs w:val="22"/>
          <w:lang w:val="en-GB"/>
        </w:rPr>
        <w:t>The European Court of Human Rights in the Post-Cold War Era: Universality in Transition</w:t>
      </w:r>
      <w:r>
        <w:rPr>
          <w:rFonts w:asciiTheme="minorHAnsi" w:hAnsiTheme="minorHAnsi" w:cstheme="minorHAnsi"/>
          <w:szCs w:val="22"/>
          <w:lang w:val="en-GB"/>
        </w:rPr>
        <w:t xml:space="preserve"> (Routledge 2012)</w:t>
      </w:r>
      <w:r w:rsidR="00940DF6">
        <w:rPr>
          <w:rFonts w:asciiTheme="minorHAnsi" w:hAnsiTheme="minorHAnsi" w:cstheme="minorHAnsi"/>
          <w:szCs w:val="22"/>
          <w:lang w:val="en-GB"/>
        </w:rPr>
        <w:t>.</w:t>
      </w:r>
    </w:p>
    <w:p w14:paraId="70035F39" w14:textId="3B2FB752"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Sweeney, ‘Restorative Justice and Transitional Justice at the ECHR’ (2012) 12 International Criminal Law Review 313</w:t>
      </w:r>
      <w:r w:rsidR="00940DF6">
        <w:rPr>
          <w:rFonts w:asciiTheme="minorHAnsi" w:hAnsiTheme="minorHAnsi" w:cstheme="minorHAnsi"/>
          <w:szCs w:val="22"/>
          <w:lang w:val="en-GB"/>
        </w:rPr>
        <w:t>.</w:t>
      </w:r>
    </w:p>
    <w:p w14:paraId="338691DB" w14:textId="3098908B"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Sweeney, ‘The Elusive Right to Truth in Transitional Human Rights Jurisprudence’ (2018) 67 International and Comparative Law Quarterly 353</w:t>
      </w:r>
      <w:r w:rsidR="00940DF6">
        <w:rPr>
          <w:rFonts w:asciiTheme="minorHAnsi" w:hAnsiTheme="minorHAnsi" w:cstheme="minorHAnsi"/>
          <w:szCs w:val="22"/>
          <w:lang w:val="en-GB"/>
        </w:rPr>
        <w:t>.</w:t>
      </w:r>
    </w:p>
    <w:p w14:paraId="46DA5254" w14:textId="67EDF079"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Teitel, </w:t>
      </w:r>
      <w:r>
        <w:rPr>
          <w:rFonts w:asciiTheme="minorHAnsi" w:hAnsiTheme="minorHAnsi" w:cstheme="minorHAnsi"/>
          <w:i/>
          <w:iCs/>
          <w:szCs w:val="22"/>
          <w:lang w:val="en-GB"/>
        </w:rPr>
        <w:t>Transitional Justice</w:t>
      </w:r>
      <w:r>
        <w:rPr>
          <w:rFonts w:asciiTheme="minorHAnsi" w:hAnsiTheme="minorHAnsi" w:cstheme="minorHAnsi"/>
          <w:szCs w:val="22"/>
          <w:lang w:val="en-GB"/>
        </w:rPr>
        <w:t xml:space="preserve"> (OUP 2000)</w:t>
      </w:r>
      <w:r w:rsidR="00940DF6">
        <w:rPr>
          <w:rFonts w:asciiTheme="minorHAnsi" w:hAnsiTheme="minorHAnsi" w:cstheme="minorHAnsi"/>
          <w:szCs w:val="22"/>
          <w:lang w:val="en-GB"/>
        </w:rPr>
        <w:t>.</w:t>
      </w:r>
    </w:p>
    <w:p w14:paraId="58FCF84F" w14:textId="2E2F32D7"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Teitel, ‘Transitional Justice Genealogy’ (2003) 16 Harvard Human Rights Journal 69</w:t>
      </w:r>
      <w:r w:rsidR="00940DF6">
        <w:rPr>
          <w:rFonts w:asciiTheme="minorHAnsi" w:hAnsiTheme="minorHAnsi" w:cstheme="minorHAnsi"/>
          <w:szCs w:val="22"/>
          <w:lang w:val="en-GB"/>
        </w:rPr>
        <w:t>.</w:t>
      </w:r>
    </w:p>
    <w:p w14:paraId="0B0514D2" w14:textId="63BE369F" w:rsidR="00EA6218" w:rsidRDefault="00F21B21">
      <w:pPr>
        <w:pStyle w:val="FootnoteText"/>
        <w:jc w:val="left"/>
        <w:rPr>
          <w:rFonts w:asciiTheme="minorHAnsi" w:hAnsiTheme="minorHAnsi" w:cstheme="minorHAnsi"/>
          <w:szCs w:val="22"/>
          <w:lang w:val="en-GB"/>
        </w:rPr>
      </w:pPr>
      <w:proofErr w:type="spellStart"/>
      <w:r>
        <w:rPr>
          <w:rFonts w:asciiTheme="minorHAnsi" w:hAnsiTheme="minorHAnsi" w:cstheme="minorHAnsi"/>
          <w:szCs w:val="22"/>
          <w:lang w:val="en-GB"/>
        </w:rPr>
        <w:t>Tekiner</w:t>
      </w:r>
      <w:proofErr w:type="spellEnd"/>
      <w:r>
        <w:rPr>
          <w:rFonts w:asciiTheme="minorHAnsi" w:hAnsiTheme="minorHAnsi" w:cstheme="minorHAnsi"/>
          <w:szCs w:val="22"/>
          <w:lang w:val="en-GB"/>
        </w:rPr>
        <w:t>, ‘The ‘European (Union) Identity’: An Overview’ E-International Relations (2020) available at &lt;</w:t>
      </w:r>
      <w:hyperlink r:id="rId25" w:tooltip="https://www.e-ir.info/2020/04/15/the-european-union-identity-an-overview/" w:history="1">
        <w:r>
          <w:rPr>
            <w:rStyle w:val="Hyperlink"/>
            <w:rFonts w:asciiTheme="minorHAnsi" w:hAnsiTheme="minorHAnsi" w:cstheme="minorHAnsi"/>
            <w:szCs w:val="22"/>
            <w:lang w:val="en-GB"/>
          </w:rPr>
          <w:t>https://www.e-ir.info/2020/04/15/the-european-union-identity-an-overview/</w:t>
        </w:r>
      </w:hyperlink>
      <w:r>
        <w:rPr>
          <w:rFonts w:asciiTheme="minorHAnsi" w:hAnsiTheme="minorHAnsi" w:cstheme="minorHAnsi"/>
          <w:szCs w:val="22"/>
          <w:lang w:val="en-GB"/>
        </w:rPr>
        <w:t>&gt; (accessed 6 October 2021)</w:t>
      </w:r>
      <w:r w:rsidR="00940DF6">
        <w:rPr>
          <w:rFonts w:asciiTheme="minorHAnsi" w:hAnsiTheme="minorHAnsi" w:cstheme="minorHAnsi"/>
          <w:szCs w:val="22"/>
          <w:lang w:val="en-GB"/>
        </w:rPr>
        <w:t>.</w:t>
      </w:r>
      <w:r>
        <w:rPr>
          <w:rFonts w:asciiTheme="minorHAnsi" w:hAnsiTheme="minorHAnsi" w:cstheme="minorHAnsi"/>
          <w:szCs w:val="22"/>
          <w:lang w:val="en-GB"/>
        </w:rPr>
        <w:t xml:space="preserve"> </w:t>
      </w:r>
    </w:p>
    <w:p w14:paraId="26EAA69A" w14:textId="13426DC5"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Toth, ‘Challenging the Notion of the East-West Memory Divide’ (2019) 57 Journal of Common Market Studies 1031</w:t>
      </w:r>
      <w:r w:rsidR="00940DF6">
        <w:rPr>
          <w:rFonts w:asciiTheme="minorHAnsi" w:hAnsiTheme="minorHAnsi" w:cstheme="minorHAnsi"/>
          <w:szCs w:val="22"/>
          <w:lang w:val="en-GB"/>
        </w:rPr>
        <w:t>.</w:t>
      </w:r>
    </w:p>
    <w:p w14:paraId="054E229B" w14:textId="7679E9A4"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UN, Report of the Secretary General on the Rule of Law and Transitional Justice in Conflict and Post-Conflict Situations (2004) UN Doc S/2004/616</w:t>
      </w:r>
      <w:r w:rsidR="00940DF6">
        <w:rPr>
          <w:rFonts w:asciiTheme="minorHAnsi" w:hAnsiTheme="minorHAnsi" w:cstheme="minorHAnsi"/>
          <w:szCs w:val="22"/>
          <w:lang w:val="en-GB"/>
        </w:rPr>
        <w:t>.</w:t>
      </w:r>
      <w:r>
        <w:rPr>
          <w:rFonts w:asciiTheme="minorHAnsi" w:hAnsiTheme="minorHAnsi" w:cstheme="minorHAnsi"/>
          <w:szCs w:val="22"/>
          <w:lang w:val="en-GB"/>
        </w:rPr>
        <w:t xml:space="preserve"> </w:t>
      </w:r>
    </w:p>
    <w:p w14:paraId="6ABC1A72" w14:textId="3E0538EE" w:rsidR="00EA6218" w:rsidRDefault="00F21B21">
      <w:pPr>
        <w:pStyle w:val="FootnoteText"/>
        <w:jc w:val="left"/>
        <w:rPr>
          <w:rFonts w:asciiTheme="minorHAnsi" w:hAnsiTheme="minorHAnsi" w:cstheme="minorHAnsi"/>
          <w:szCs w:val="22"/>
          <w:lang w:val="en-GB"/>
        </w:rPr>
      </w:pPr>
      <w:r>
        <w:rPr>
          <w:rFonts w:asciiTheme="minorHAnsi" w:hAnsiTheme="minorHAnsi" w:cstheme="minorHAnsi"/>
          <w:szCs w:val="22"/>
          <w:lang w:val="en-GB"/>
        </w:rPr>
        <w:t xml:space="preserve">Unger, ‘The EU and Transitional Justice’ in </w:t>
      </w:r>
      <w:proofErr w:type="spellStart"/>
      <w:r>
        <w:rPr>
          <w:rFonts w:asciiTheme="minorHAnsi" w:hAnsiTheme="minorHAnsi" w:cstheme="minorHAnsi"/>
          <w:szCs w:val="22"/>
          <w:lang w:val="en-GB"/>
        </w:rPr>
        <w:t>Blockmans</w:t>
      </w:r>
      <w:proofErr w:type="spellEnd"/>
      <w:r>
        <w:rPr>
          <w:rFonts w:asciiTheme="minorHAnsi" w:hAnsiTheme="minorHAnsi" w:cstheme="minorHAnsi"/>
          <w:szCs w:val="22"/>
          <w:lang w:val="en-GB"/>
        </w:rPr>
        <w:t xml:space="preserve"> et al (eds.) </w:t>
      </w:r>
      <w:r>
        <w:rPr>
          <w:rFonts w:asciiTheme="minorHAnsi" w:hAnsiTheme="minorHAnsi" w:cstheme="minorHAnsi"/>
          <w:i/>
          <w:iCs/>
          <w:szCs w:val="22"/>
          <w:lang w:val="en-GB"/>
        </w:rPr>
        <w:t>The European Union and Peacebuilding</w:t>
      </w:r>
      <w:r>
        <w:rPr>
          <w:rFonts w:asciiTheme="minorHAnsi" w:hAnsiTheme="minorHAnsi" w:cstheme="minorHAnsi"/>
          <w:szCs w:val="22"/>
          <w:lang w:val="en-GB"/>
        </w:rPr>
        <w:t xml:space="preserve"> (Asser Press 2010)</w:t>
      </w:r>
      <w:r w:rsidR="00940DF6">
        <w:rPr>
          <w:rFonts w:asciiTheme="minorHAnsi" w:hAnsiTheme="minorHAnsi" w:cstheme="minorHAnsi"/>
          <w:szCs w:val="22"/>
          <w:lang w:val="en-GB"/>
        </w:rPr>
        <w:t>.</w:t>
      </w:r>
    </w:p>
    <w:p w14:paraId="0EBD824A" w14:textId="6965E224" w:rsidR="00B34801" w:rsidRDefault="00B34801">
      <w:pPr>
        <w:pStyle w:val="FootnoteText"/>
        <w:jc w:val="left"/>
        <w:rPr>
          <w:rFonts w:asciiTheme="minorHAnsi" w:hAnsiTheme="minorHAnsi" w:cstheme="minorHAnsi"/>
          <w:szCs w:val="22"/>
          <w:lang w:val="en-GB"/>
        </w:rPr>
      </w:pPr>
      <w:r>
        <w:rPr>
          <w:lang w:val="en-GB"/>
        </w:rPr>
        <w:t xml:space="preserve">Watkins &amp; Burton (eds) </w:t>
      </w:r>
      <w:r w:rsidRPr="00CF42CF">
        <w:rPr>
          <w:i/>
          <w:iCs/>
          <w:lang w:val="en-GB"/>
        </w:rPr>
        <w:t>Research Methods in Law</w:t>
      </w:r>
      <w:r>
        <w:rPr>
          <w:i/>
          <w:iCs/>
          <w:lang w:val="en-GB"/>
        </w:rPr>
        <w:t xml:space="preserve"> </w:t>
      </w:r>
      <w:r>
        <w:rPr>
          <w:lang w:val="en-GB"/>
        </w:rPr>
        <w:t>(Routledge 2017)</w:t>
      </w:r>
      <w:r w:rsidR="00940DF6">
        <w:rPr>
          <w:lang w:val="en-GB"/>
        </w:rPr>
        <w:t>.</w:t>
      </w:r>
    </w:p>
    <w:p w14:paraId="5C71F136" w14:textId="504BC84A" w:rsidR="00EA6218" w:rsidRDefault="00F21B21">
      <w:pPr>
        <w:pStyle w:val="FootnoteText"/>
        <w:jc w:val="left"/>
        <w:rPr>
          <w:rFonts w:asciiTheme="minorHAnsi" w:hAnsiTheme="minorHAnsi" w:cstheme="minorHAnsi"/>
          <w:szCs w:val="22"/>
          <w:lang w:val="en-GB"/>
        </w:rPr>
      </w:pPr>
      <w:proofErr w:type="spellStart"/>
      <w:r>
        <w:rPr>
          <w:rFonts w:asciiTheme="minorHAnsi" w:hAnsiTheme="minorHAnsi" w:cstheme="minorHAnsi"/>
          <w:szCs w:val="22"/>
          <w:lang w:val="en-GB"/>
        </w:rPr>
        <w:t>Verovšek</w:t>
      </w:r>
      <w:proofErr w:type="spellEnd"/>
      <w:r>
        <w:rPr>
          <w:rFonts w:asciiTheme="minorHAnsi" w:hAnsiTheme="minorHAnsi" w:cstheme="minorHAnsi"/>
          <w:szCs w:val="22"/>
          <w:lang w:val="en-GB"/>
        </w:rPr>
        <w:t xml:space="preserve">, ‘A Burgeoning Community of Justice? The European Union as a Promoter of Transitional Justice’ (2021) </w:t>
      </w:r>
      <w:r w:rsidR="00123D25">
        <w:rPr>
          <w:rFonts w:asciiTheme="minorHAnsi" w:hAnsiTheme="minorHAnsi" w:cstheme="minorHAnsi"/>
          <w:szCs w:val="22"/>
          <w:lang w:val="en-GB"/>
        </w:rPr>
        <w:t xml:space="preserve">(15(2) </w:t>
      </w:r>
      <w:r>
        <w:rPr>
          <w:rFonts w:asciiTheme="minorHAnsi" w:hAnsiTheme="minorHAnsi" w:cstheme="minorHAnsi"/>
          <w:szCs w:val="22"/>
          <w:lang w:val="en-GB"/>
        </w:rPr>
        <w:t>International Journal of Transitional Justice</w:t>
      </w:r>
      <w:r w:rsidR="00123D25">
        <w:rPr>
          <w:rFonts w:asciiTheme="minorHAnsi" w:hAnsiTheme="minorHAnsi" w:cstheme="minorHAnsi"/>
          <w:szCs w:val="22"/>
          <w:lang w:val="en-GB"/>
        </w:rPr>
        <w:t xml:space="preserve"> 351.</w:t>
      </w:r>
      <w:r>
        <w:rPr>
          <w:rFonts w:asciiTheme="minorHAnsi" w:hAnsiTheme="minorHAnsi" w:cstheme="minorHAnsi"/>
          <w:szCs w:val="22"/>
          <w:lang w:val="en-GB"/>
        </w:rPr>
        <w:t xml:space="preserve"> </w:t>
      </w:r>
    </w:p>
    <w:p w14:paraId="62199465" w14:textId="624ACD38" w:rsidR="00EA6218" w:rsidRDefault="00EA6218">
      <w:pPr>
        <w:rPr>
          <w:lang w:val="en-GB"/>
        </w:rPr>
      </w:pPr>
    </w:p>
    <w:p w14:paraId="4ECFD336" w14:textId="77777777" w:rsidR="00D03F2F" w:rsidRPr="003E1AC2" w:rsidRDefault="00D03F2F" w:rsidP="00D03F2F"/>
    <w:p w14:paraId="15E69AEF" w14:textId="77777777" w:rsidR="00D03F2F" w:rsidRDefault="00D03F2F" w:rsidP="00D03F2F">
      <w:pPr>
        <w:spacing w:before="0" w:after="0"/>
        <w:jc w:val="left"/>
        <w:rPr>
          <w:rFonts w:cs="Arial"/>
        </w:rPr>
        <w:sectPr w:rsidR="00D03F2F" w:rsidSect="00D03F2F">
          <w:headerReference w:type="even" r:id="rId26"/>
          <w:footerReference w:type="even" r:id="rId27"/>
          <w:footerReference w:type="default" r:id="rId28"/>
          <w:headerReference w:type="first" r:id="rId29"/>
          <w:footerReference w:type="first" r:id="rId30"/>
          <w:pgSz w:w="11900" w:h="16840"/>
          <w:pgMar w:top="1440" w:right="1080" w:bottom="1440" w:left="1080" w:header="708" w:footer="708" w:gutter="0"/>
          <w:cols w:space="708"/>
          <w:docGrid w:linePitch="360"/>
        </w:sectPr>
      </w:pPr>
    </w:p>
    <w:p w14:paraId="4AD26DE8" w14:textId="086511D7" w:rsidR="00D03F2F" w:rsidRDefault="00702C93" w:rsidP="00D03F2F">
      <w:pPr>
        <w:spacing w:before="0" w:after="0"/>
        <w:jc w:val="left"/>
        <w:rPr>
          <w:rFonts w:cs="Arial"/>
        </w:rPr>
      </w:pPr>
      <w:r>
        <w:rPr>
          <w:noProof/>
        </w:rPr>
        <w:lastRenderedPageBreak/>
        <mc:AlternateContent>
          <mc:Choice Requires="wps">
            <w:drawing>
              <wp:anchor distT="0" distB="0" distL="114300" distR="114300" simplePos="0" relativeHeight="251671553" behindDoc="0" locked="0" layoutInCell="1" allowOverlap="1" wp14:anchorId="77562D9B" wp14:editId="0DF73642">
                <wp:simplePos x="0" y="0"/>
                <wp:positionH relativeFrom="column">
                  <wp:posOffset>-666572</wp:posOffset>
                </wp:positionH>
                <wp:positionV relativeFrom="paragraph">
                  <wp:posOffset>-864383</wp:posOffset>
                </wp:positionV>
                <wp:extent cx="7811135" cy="1836420"/>
                <wp:effectExtent l="0" t="0" r="0" b="0"/>
                <wp:wrapNone/>
                <wp:docPr id="7" name="Rectangle 7"/>
                <wp:cNvGraphicFramePr/>
                <a:graphic xmlns:a="http://schemas.openxmlformats.org/drawingml/2006/main">
                  <a:graphicData uri="http://schemas.microsoft.com/office/word/2010/wordprocessingShape">
                    <wps:wsp>
                      <wps:cNvSpPr/>
                      <wps:spPr>
                        <a:xfrm>
                          <a:off x="0" y="0"/>
                          <a:ext cx="7811135" cy="1836420"/>
                        </a:xfrm>
                        <a:prstGeom prst="rect">
                          <a:avLst/>
                        </a:prstGeom>
                        <a:solidFill>
                          <a:schemeClr val="accent1">
                            <a:lumMod val="60000"/>
                            <a:lumOff val="40000"/>
                          </a:schemeClr>
                        </a:solidFill>
                        <a:ln>
                          <a:solidFill>
                            <a:srgbClr val="8FAA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A0509" id="Rectangle 7" o:spid="_x0000_s1026" style="position:absolute;margin-left:-52.5pt;margin-top:-68.05pt;width:615.05pt;height:144.6pt;z-index:2516715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" fillcolor="#8eaadb [1940]" strokecolor="#8faadc" strokeweight="1pt"/>
            </w:pict>
          </mc:Fallback>
        </mc:AlternateContent>
      </w:r>
    </w:p>
    <w:p w14:paraId="05CF4822" w14:textId="347D5363" w:rsidR="00D03F2F" w:rsidRDefault="00D03F2F" w:rsidP="00D03F2F">
      <w:pPr>
        <w:spacing w:before="0" w:after="0"/>
        <w:jc w:val="left"/>
        <w:rPr>
          <w:rFonts w:cs="Arial"/>
        </w:rPr>
      </w:pPr>
    </w:p>
    <w:p w14:paraId="7C0EF493" w14:textId="6A4DD34F" w:rsidR="00D03F2F" w:rsidRDefault="00D03F2F" w:rsidP="00D03F2F">
      <w:pPr>
        <w:spacing w:before="0" w:after="0"/>
        <w:jc w:val="left"/>
        <w:rPr>
          <w:rFonts w:cs="Arial"/>
        </w:rPr>
      </w:pPr>
    </w:p>
    <w:p w14:paraId="46B062B4" w14:textId="2BA42F47" w:rsidR="00702C93" w:rsidRDefault="00702C93" w:rsidP="00D03F2F">
      <w:pPr>
        <w:spacing w:before="0" w:after="0"/>
        <w:jc w:val="left"/>
        <w:rPr>
          <w:rFonts w:cs="Arial"/>
        </w:rPr>
      </w:pPr>
    </w:p>
    <w:p w14:paraId="54B677FB" w14:textId="7725B312" w:rsidR="00702C93" w:rsidRDefault="00702C93" w:rsidP="00D03F2F">
      <w:pPr>
        <w:spacing w:before="0" w:after="0"/>
        <w:jc w:val="left"/>
        <w:rPr>
          <w:rFonts w:cs="Arial"/>
        </w:rPr>
      </w:pPr>
    </w:p>
    <w:p w14:paraId="7C53A00A" w14:textId="41ADEEA8" w:rsidR="00702C93" w:rsidRDefault="00702C93" w:rsidP="00D03F2F">
      <w:pPr>
        <w:spacing w:before="0" w:after="0"/>
        <w:jc w:val="left"/>
        <w:rPr>
          <w:rFonts w:cs="Arial"/>
        </w:rPr>
      </w:pPr>
    </w:p>
    <w:p w14:paraId="48A98D94" w14:textId="1F5C7775" w:rsidR="00702C93" w:rsidRDefault="00702C93" w:rsidP="00D03F2F">
      <w:pPr>
        <w:spacing w:before="0" w:after="0"/>
        <w:jc w:val="left"/>
        <w:rPr>
          <w:rFonts w:cs="Arial"/>
        </w:rPr>
      </w:pPr>
    </w:p>
    <w:p w14:paraId="395F76E8" w14:textId="77777777" w:rsidR="00702C93" w:rsidRDefault="00702C93" w:rsidP="00D03F2F">
      <w:pPr>
        <w:spacing w:before="0" w:after="0"/>
        <w:jc w:val="left"/>
        <w:rPr>
          <w:rFonts w:cs="Arial"/>
        </w:rPr>
      </w:pPr>
    </w:p>
    <w:p w14:paraId="64C99C64" w14:textId="77777777" w:rsidR="00D03F2F" w:rsidRDefault="00D03F2F" w:rsidP="00D03F2F">
      <w:pPr>
        <w:spacing w:before="0" w:after="0"/>
        <w:jc w:val="left"/>
        <w:rPr>
          <w:rFonts w:cs="Arial"/>
        </w:rPr>
      </w:pPr>
      <w:r>
        <w:rPr>
          <w:noProof/>
        </w:rPr>
        <w:drawing>
          <wp:anchor distT="0" distB="0" distL="114300" distR="114300" simplePos="0" relativeHeight="251668481" behindDoc="1" locked="0" layoutInCell="1" allowOverlap="1" wp14:anchorId="590D2FEB" wp14:editId="69F421F6">
            <wp:simplePos x="0" y="0"/>
            <wp:positionH relativeFrom="column">
              <wp:posOffset>4914900</wp:posOffset>
            </wp:positionH>
            <wp:positionV relativeFrom="paragraph">
              <wp:posOffset>-455930</wp:posOffset>
            </wp:positionV>
            <wp:extent cx="2096135" cy="3070225"/>
            <wp:effectExtent l="0" t="0" r="12065" b="3175"/>
            <wp:wrapThrough wrapText="bothSides">
              <wp:wrapPolygon edited="0">
                <wp:start x="8114" y="0"/>
                <wp:lineTo x="5758" y="536"/>
                <wp:lineTo x="1570" y="2323"/>
                <wp:lineTo x="0" y="5361"/>
                <wp:lineTo x="0" y="9650"/>
                <wp:lineTo x="785" y="11615"/>
                <wp:lineTo x="4973" y="14474"/>
                <wp:lineTo x="16490" y="17155"/>
                <wp:lineTo x="17537" y="20014"/>
                <wp:lineTo x="20416" y="21444"/>
                <wp:lineTo x="20677" y="21444"/>
                <wp:lineTo x="21463" y="21444"/>
                <wp:lineTo x="21463" y="0"/>
                <wp:lineTo x="8114" y="0"/>
              </wp:wrapPolygon>
            </wp:wrapThrough>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a:picLocks noChangeAspect="1"/>
                    </pic:cNvPicPr>
                  </pic:nvPicPr>
                  <pic:blipFill>
                    <a:blip r:embed="rId13">
                      <a:alphaModFix/>
                      <a:extLst>
                        <a:ext uri="{28A0092B-C50C-407E-A947-70E740481C1C}">
                          <a14:useLocalDpi xmlns:a14="http://schemas.microsoft.com/office/drawing/2010/main" val="0"/>
                        </a:ext>
                      </a:extLst>
                    </a:blip>
                    <a:srcRect/>
                    <a:stretch>
                      <a:fillRect/>
                    </a:stretch>
                  </pic:blipFill>
                  <pic:spPr bwMode="auto">
                    <a:xfrm flipH="1">
                      <a:off x="0" y="0"/>
                      <a:ext cx="2096135" cy="3070225"/>
                    </a:xfrm>
                    <a:prstGeom prst="rect">
                      <a:avLst/>
                    </a:prstGeom>
                    <a:noFill/>
                    <a:ln>
                      <a:noFill/>
                    </a:ln>
                  </pic:spPr>
                </pic:pic>
              </a:graphicData>
            </a:graphic>
          </wp:anchor>
        </w:drawing>
      </w:r>
    </w:p>
    <w:p w14:paraId="2581A53C" w14:textId="0AA9F584" w:rsidR="00D03F2F" w:rsidRDefault="00D03F2F" w:rsidP="00D03F2F">
      <w:pPr>
        <w:spacing w:before="0" w:after="0"/>
        <w:jc w:val="left"/>
        <w:rPr>
          <w:rFonts w:cs="Arial"/>
        </w:rPr>
      </w:pPr>
    </w:p>
    <w:p w14:paraId="353C6F21" w14:textId="77777777" w:rsidR="00702C93" w:rsidRDefault="00702C93" w:rsidP="00D03F2F">
      <w:pPr>
        <w:spacing w:before="0" w:after="0"/>
        <w:jc w:val="left"/>
        <w:rPr>
          <w:rFonts w:cs="Arial"/>
        </w:rPr>
      </w:pPr>
    </w:p>
    <w:p w14:paraId="79ACC0C4" w14:textId="77777777" w:rsidR="00D03F2F" w:rsidRDefault="00D03F2F" w:rsidP="00D03F2F">
      <w:pPr>
        <w:spacing w:before="0" w:after="0"/>
        <w:jc w:val="left"/>
        <w:rPr>
          <w:rFonts w:cs="Arial"/>
        </w:rPr>
      </w:pPr>
    </w:p>
    <w:p w14:paraId="736C1477" w14:textId="77777777" w:rsidR="00D03F2F" w:rsidRDefault="00D03F2F" w:rsidP="00D03F2F">
      <w:pPr>
        <w:spacing w:before="0" w:after="0"/>
        <w:jc w:val="left"/>
        <w:rPr>
          <w:rFonts w:cs="Arial"/>
        </w:rPr>
      </w:pPr>
    </w:p>
    <w:p w14:paraId="1459FD6A" w14:textId="77777777" w:rsidR="00D03F2F" w:rsidRDefault="00D03F2F" w:rsidP="00D03F2F">
      <w:pPr>
        <w:spacing w:before="0" w:after="0"/>
        <w:jc w:val="left"/>
        <w:rPr>
          <w:rFonts w:cs="Arial"/>
        </w:rPr>
      </w:pPr>
    </w:p>
    <w:p w14:paraId="5B5B7970" w14:textId="77777777" w:rsidR="00D03F2F" w:rsidRDefault="00D03F2F" w:rsidP="00D03F2F">
      <w:pPr>
        <w:spacing w:before="0" w:after="0"/>
        <w:jc w:val="left"/>
        <w:rPr>
          <w:rFonts w:cs="Arial"/>
        </w:rPr>
      </w:pPr>
    </w:p>
    <w:p w14:paraId="5F4EA4CA" w14:textId="77777777" w:rsidR="00D03F2F" w:rsidRDefault="00D03F2F" w:rsidP="00D03F2F">
      <w:pPr>
        <w:spacing w:before="0" w:after="0"/>
        <w:jc w:val="left"/>
        <w:rPr>
          <w:rFonts w:cs="Arial"/>
        </w:rPr>
      </w:pPr>
    </w:p>
    <w:p w14:paraId="6714B0D2" w14:textId="77777777" w:rsidR="00D03F2F" w:rsidRDefault="00D03F2F" w:rsidP="00D03F2F">
      <w:pPr>
        <w:spacing w:before="0" w:after="0"/>
        <w:jc w:val="left"/>
        <w:rPr>
          <w:rFonts w:cs="Arial"/>
        </w:rPr>
      </w:pPr>
    </w:p>
    <w:p w14:paraId="1FD06785" w14:textId="77777777" w:rsidR="00D03F2F" w:rsidRDefault="00D03F2F" w:rsidP="00D03F2F">
      <w:pPr>
        <w:spacing w:before="0" w:after="0"/>
        <w:jc w:val="left"/>
        <w:rPr>
          <w:rFonts w:cs="Arial"/>
        </w:rPr>
      </w:pPr>
    </w:p>
    <w:p w14:paraId="19201D21" w14:textId="77777777" w:rsidR="00D03F2F" w:rsidRDefault="00D03F2F" w:rsidP="00D03F2F">
      <w:pPr>
        <w:spacing w:before="0" w:after="0"/>
        <w:jc w:val="left"/>
        <w:rPr>
          <w:rFonts w:cs="Arial"/>
        </w:rPr>
      </w:pPr>
    </w:p>
    <w:p w14:paraId="000A3D3B" w14:textId="77777777" w:rsidR="00D03F2F" w:rsidRDefault="00D03F2F" w:rsidP="00D03F2F">
      <w:pPr>
        <w:spacing w:before="0" w:after="0"/>
        <w:jc w:val="left"/>
        <w:rPr>
          <w:rFonts w:cs="Arial"/>
        </w:rPr>
      </w:pPr>
    </w:p>
    <w:p w14:paraId="23DBA36D" w14:textId="77777777" w:rsidR="00D03F2F" w:rsidRDefault="00D03F2F" w:rsidP="00D03F2F">
      <w:pPr>
        <w:spacing w:before="0" w:after="0"/>
        <w:jc w:val="left"/>
        <w:rPr>
          <w:rFonts w:cs="Arial"/>
        </w:rPr>
      </w:pPr>
    </w:p>
    <w:p w14:paraId="3C195FC5" w14:textId="77777777" w:rsidR="00D03F2F" w:rsidRPr="007D4822" w:rsidRDefault="00D03F2F" w:rsidP="00D03F2F">
      <w:pPr>
        <w:spacing w:before="0" w:after="0"/>
        <w:ind w:left="2835"/>
        <w:jc w:val="left"/>
        <w:rPr>
          <w:rFonts w:cs="Arial"/>
          <w:sz w:val="56"/>
          <w:szCs w:val="56"/>
        </w:rPr>
      </w:pPr>
      <w:r w:rsidRPr="007D4822">
        <w:rPr>
          <w:rFonts w:cs="Arial"/>
          <w:sz w:val="56"/>
          <w:szCs w:val="56"/>
        </w:rPr>
        <w:t>www.repast.eu</w:t>
      </w:r>
    </w:p>
    <w:p w14:paraId="347BE182" w14:textId="77777777" w:rsidR="00D03F2F" w:rsidRDefault="00D03F2F" w:rsidP="00D03F2F">
      <w:pPr>
        <w:spacing w:before="0" w:after="0"/>
        <w:jc w:val="left"/>
        <w:rPr>
          <w:rFonts w:cs="Arial"/>
        </w:rPr>
      </w:pPr>
    </w:p>
    <w:p w14:paraId="0F870302" w14:textId="77777777" w:rsidR="00D03F2F" w:rsidRDefault="00D03F2F" w:rsidP="00D03F2F">
      <w:pPr>
        <w:spacing w:before="0" w:after="0"/>
        <w:jc w:val="left"/>
        <w:rPr>
          <w:rFonts w:cs="Arial"/>
        </w:rPr>
      </w:pPr>
    </w:p>
    <w:p w14:paraId="498B21D8" w14:textId="77777777" w:rsidR="00D03F2F" w:rsidRDefault="00D03F2F" w:rsidP="00D03F2F">
      <w:pPr>
        <w:spacing w:before="0" w:after="0"/>
        <w:jc w:val="left"/>
        <w:rPr>
          <w:rFonts w:cs="Arial"/>
        </w:rPr>
      </w:pPr>
    </w:p>
    <w:p w14:paraId="799E2532" w14:textId="77777777" w:rsidR="00D03F2F" w:rsidRDefault="00D03F2F" w:rsidP="00D03F2F">
      <w:pPr>
        <w:spacing w:before="0" w:after="0"/>
        <w:jc w:val="left"/>
        <w:rPr>
          <w:rFonts w:cs="Arial"/>
        </w:rPr>
      </w:pPr>
    </w:p>
    <w:p w14:paraId="5435CC7C" w14:textId="77777777" w:rsidR="00D03F2F" w:rsidRDefault="00D03F2F" w:rsidP="00D03F2F">
      <w:pPr>
        <w:spacing w:before="0" w:after="0"/>
        <w:jc w:val="left"/>
        <w:rPr>
          <w:rFonts w:cs="Arial"/>
        </w:rPr>
      </w:pPr>
    </w:p>
    <w:p w14:paraId="2EF2826C" w14:textId="77777777" w:rsidR="00D03F2F" w:rsidRDefault="00D03F2F" w:rsidP="00D03F2F">
      <w:pPr>
        <w:spacing w:before="0" w:after="0"/>
        <w:jc w:val="left"/>
        <w:rPr>
          <w:rFonts w:cs="Arial"/>
        </w:rPr>
      </w:pPr>
      <w:r>
        <w:rPr>
          <w:noProof/>
        </w:rPr>
        <w:drawing>
          <wp:anchor distT="0" distB="0" distL="114300" distR="114300" simplePos="0" relativeHeight="251669505" behindDoc="1" locked="0" layoutInCell="1" allowOverlap="1" wp14:anchorId="55C7C12B" wp14:editId="6B4A708D">
            <wp:simplePos x="0" y="0"/>
            <wp:positionH relativeFrom="column">
              <wp:posOffset>-610235</wp:posOffset>
            </wp:positionH>
            <wp:positionV relativeFrom="paragraph">
              <wp:posOffset>19685</wp:posOffset>
            </wp:positionV>
            <wp:extent cx="2096135" cy="3070225"/>
            <wp:effectExtent l="0" t="0" r="12065" b="3175"/>
            <wp:wrapThrough wrapText="bothSides">
              <wp:wrapPolygon edited="0">
                <wp:start x="0" y="0"/>
                <wp:lineTo x="0" y="21444"/>
                <wp:lineTo x="785" y="21444"/>
                <wp:lineTo x="1047" y="21444"/>
                <wp:lineTo x="3926" y="20014"/>
                <wp:lineTo x="4973" y="17155"/>
                <wp:lineTo x="16751" y="14296"/>
                <wp:lineTo x="20677" y="11437"/>
                <wp:lineTo x="21463" y="9650"/>
                <wp:lineTo x="21463" y="5361"/>
                <wp:lineTo x="20154" y="2323"/>
                <wp:lineTo x="15181" y="357"/>
                <wp:lineTo x="13087" y="0"/>
                <wp:lineTo x="0" y="0"/>
              </wp:wrapPolygon>
            </wp:wrapThrough>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Icon&#10;&#10;Description automatically generated"/>
                    <pic:cNvPicPr>
                      <a:picLocks noChangeAspect="1"/>
                    </pic:cNvPicPr>
                  </pic:nvPicPr>
                  <pic:blipFill>
                    <a:blip r:embed="rId13">
                      <a:alphaModFix amt="45000"/>
                      <a:extLst>
                        <a:ext uri="{28A0092B-C50C-407E-A947-70E740481C1C}">
                          <a14:useLocalDpi xmlns:a14="http://schemas.microsoft.com/office/drawing/2010/main" val="0"/>
                        </a:ext>
                      </a:extLst>
                    </a:blip>
                    <a:srcRect/>
                    <a:stretch>
                      <a:fillRect/>
                    </a:stretch>
                  </pic:blipFill>
                  <pic:spPr bwMode="auto">
                    <a:xfrm>
                      <a:off x="0" y="0"/>
                      <a:ext cx="2096135" cy="3070225"/>
                    </a:xfrm>
                    <a:prstGeom prst="rect">
                      <a:avLst/>
                    </a:prstGeom>
                    <a:noFill/>
                    <a:ln>
                      <a:noFill/>
                    </a:ln>
                  </pic:spPr>
                </pic:pic>
              </a:graphicData>
            </a:graphic>
          </wp:anchor>
        </w:drawing>
      </w:r>
    </w:p>
    <w:p w14:paraId="288226C1" w14:textId="77777777" w:rsidR="00D03F2F" w:rsidRDefault="00D03F2F" w:rsidP="00D03F2F">
      <w:pPr>
        <w:spacing w:before="0" w:after="0"/>
        <w:jc w:val="left"/>
        <w:rPr>
          <w:rFonts w:cs="Arial"/>
        </w:rPr>
      </w:pPr>
    </w:p>
    <w:p w14:paraId="24157276" w14:textId="77777777" w:rsidR="00D03F2F" w:rsidRDefault="00D03F2F" w:rsidP="00D03F2F">
      <w:pPr>
        <w:spacing w:before="0" w:after="0"/>
        <w:jc w:val="left"/>
        <w:rPr>
          <w:rFonts w:cs="Arial"/>
        </w:rPr>
      </w:pPr>
    </w:p>
    <w:p w14:paraId="65D4E31F" w14:textId="77777777" w:rsidR="00D03F2F" w:rsidRDefault="00D03F2F" w:rsidP="00D03F2F">
      <w:pPr>
        <w:spacing w:before="0" w:after="0"/>
        <w:jc w:val="left"/>
        <w:rPr>
          <w:rFonts w:cs="Arial"/>
        </w:rPr>
      </w:pPr>
    </w:p>
    <w:p w14:paraId="3319F654" w14:textId="77777777" w:rsidR="00D03F2F" w:rsidRDefault="00D03F2F" w:rsidP="00D03F2F">
      <w:pPr>
        <w:spacing w:before="0" w:after="0"/>
        <w:jc w:val="left"/>
        <w:rPr>
          <w:rFonts w:cs="Arial"/>
        </w:rPr>
      </w:pPr>
    </w:p>
    <w:p w14:paraId="060BB4BC" w14:textId="77777777" w:rsidR="00D03F2F" w:rsidRDefault="00D03F2F" w:rsidP="00D03F2F">
      <w:pPr>
        <w:spacing w:before="0" w:after="0"/>
        <w:jc w:val="left"/>
        <w:rPr>
          <w:rFonts w:cs="Arial"/>
        </w:rPr>
      </w:pPr>
    </w:p>
    <w:p w14:paraId="0A2136F7" w14:textId="77777777" w:rsidR="00D03F2F" w:rsidRDefault="00D03F2F" w:rsidP="00D03F2F">
      <w:pPr>
        <w:spacing w:before="0" w:after="0"/>
        <w:jc w:val="left"/>
        <w:rPr>
          <w:rFonts w:cs="Arial"/>
        </w:rPr>
      </w:pPr>
    </w:p>
    <w:p w14:paraId="37464AB8" w14:textId="77777777" w:rsidR="00D03F2F" w:rsidRDefault="00D03F2F" w:rsidP="00D03F2F">
      <w:pPr>
        <w:spacing w:before="0" w:after="0"/>
        <w:jc w:val="left"/>
        <w:rPr>
          <w:rFonts w:cs="Arial"/>
        </w:rPr>
      </w:pPr>
    </w:p>
    <w:p w14:paraId="1EAD3609" w14:textId="77777777" w:rsidR="00D03F2F" w:rsidRDefault="00D03F2F" w:rsidP="00D03F2F">
      <w:pPr>
        <w:spacing w:before="0" w:after="0"/>
        <w:jc w:val="left"/>
        <w:rPr>
          <w:rFonts w:cs="Arial"/>
        </w:rPr>
      </w:pPr>
    </w:p>
    <w:p w14:paraId="75FEABCB" w14:textId="77777777" w:rsidR="00D03F2F" w:rsidRDefault="00D03F2F" w:rsidP="00D03F2F">
      <w:pPr>
        <w:spacing w:before="0" w:after="0"/>
        <w:jc w:val="left"/>
        <w:rPr>
          <w:rFonts w:cs="Arial"/>
        </w:rPr>
      </w:pPr>
    </w:p>
    <w:p w14:paraId="4611713F" w14:textId="77777777" w:rsidR="00D03F2F" w:rsidRDefault="00D03F2F" w:rsidP="00D03F2F">
      <w:pPr>
        <w:spacing w:before="0" w:after="0"/>
        <w:jc w:val="left"/>
        <w:rPr>
          <w:rFonts w:cs="Arial"/>
        </w:rPr>
      </w:pPr>
    </w:p>
    <w:p w14:paraId="26326A4F" w14:textId="77777777" w:rsidR="00D03F2F" w:rsidRDefault="00D03F2F" w:rsidP="00D03F2F">
      <w:pPr>
        <w:spacing w:before="0" w:after="0"/>
        <w:jc w:val="left"/>
        <w:rPr>
          <w:rFonts w:cs="Arial"/>
        </w:rPr>
      </w:pPr>
    </w:p>
    <w:p w14:paraId="77252C2B" w14:textId="77777777" w:rsidR="00D03F2F" w:rsidRDefault="00D03F2F" w:rsidP="00D03F2F">
      <w:pPr>
        <w:spacing w:before="0" w:after="0"/>
        <w:jc w:val="left"/>
        <w:rPr>
          <w:rFonts w:cs="Arial"/>
        </w:rPr>
      </w:pPr>
    </w:p>
    <w:p w14:paraId="6AAFD022" w14:textId="77777777" w:rsidR="00D03F2F" w:rsidRDefault="00D03F2F">
      <w:pPr>
        <w:rPr>
          <w:lang w:val="en-GB"/>
        </w:rPr>
      </w:pPr>
    </w:p>
    <w:sectPr w:rsidR="00D03F2F">
      <w:headerReference w:type="default" r:id="rId31"/>
      <w:pgSz w:w="11909" w:h="16834"/>
      <w:pgMar w:top="135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F6AE" w14:textId="77777777" w:rsidR="00F35BF9" w:rsidRDefault="00F35BF9">
      <w:r>
        <w:separator/>
      </w:r>
    </w:p>
  </w:endnote>
  <w:endnote w:type="continuationSeparator" w:id="0">
    <w:p w14:paraId="47A0409B" w14:textId="77777777" w:rsidR="00F35BF9" w:rsidRDefault="00F35BF9">
      <w:r>
        <w:continuationSeparator/>
      </w:r>
    </w:p>
  </w:endnote>
  <w:endnote w:type="continuationNotice" w:id="1">
    <w:p w14:paraId="1EBF2167" w14:textId="77777777" w:rsidR="00F35BF9" w:rsidRDefault="00F35B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F4BC" w14:textId="29347650" w:rsidR="00EA6218" w:rsidRPr="004A36F6" w:rsidRDefault="00F21B21" w:rsidP="04CD0FF8">
    <w:pPr>
      <w:pStyle w:val="H1"/>
      <w:pBdr>
        <w:top w:val="single" w:sz="4" w:space="1" w:color="auto"/>
      </w:pBdr>
      <w:jc w:val="right"/>
      <w:rPr>
        <w:b w:val="0"/>
        <w:bCs w:val="0"/>
        <w:sz w:val="20"/>
        <w:szCs w:val="20"/>
      </w:rPr>
    </w:pPr>
    <w:r w:rsidRPr="004A36F6">
      <w:rPr>
        <w:b w:val="0"/>
        <w:bCs w:val="0"/>
        <w:sz w:val="20"/>
        <w:szCs w:val="20"/>
        <w:lang w:eastAsia="de-DE"/>
      </w:rPr>
      <w:fldChar w:fldCharType="begin"/>
    </w:r>
    <w:r w:rsidRPr="004A36F6">
      <w:rPr>
        <w:b w:val="0"/>
        <w:bCs w:val="0"/>
        <w:sz w:val="20"/>
        <w:szCs w:val="20"/>
        <w:lang w:eastAsia="de-DE"/>
      </w:rPr>
      <w:instrText xml:space="preserve">PAGE  </w:instrText>
    </w:r>
    <w:r w:rsidRPr="004A36F6">
      <w:rPr>
        <w:b w:val="0"/>
        <w:bCs w:val="0"/>
        <w:sz w:val="20"/>
        <w:szCs w:val="20"/>
        <w:lang w:eastAsia="de-DE"/>
      </w:rPr>
      <w:fldChar w:fldCharType="separate"/>
    </w:r>
    <w:r w:rsidR="04CD0FF8" w:rsidRPr="004A36F6">
      <w:rPr>
        <w:b w:val="0"/>
        <w:bCs w:val="0"/>
        <w:sz w:val="20"/>
        <w:szCs w:val="20"/>
        <w:lang w:eastAsia="de-DE"/>
      </w:rPr>
      <w:t>34</w:t>
    </w:r>
    <w:r w:rsidRPr="004A36F6">
      <w:rPr>
        <w:b w:val="0"/>
        <w:bCs w:val="0"/>
        <w:sz w:val="20"/>
        <w:szCs w:val="20"/>
        <w:lang w:eastAsia="de-DE"/>
      </w:rPr>
      <w:fldChar w:fldCharType="end"/>
    </w:r>
    <w:r w:rsidR="04CD0FF8" w:rsidRPr="004A36F6">
      <w:rPr>
        <w:b w:val="0"/>
        <w:bCs w:val="0"/>
        <w:sz w:val="20"/>
        <w:szCs w:val="20"/>
        <w:lang w:eastAsia="de-DE"/>
      </w:rPr>
      <w:t xml:space="preserve"> / </w:t>
    </w:r>
    <w:r w:rsidRPr="004A36F6">
      <w:rPr>
        <w:b w:val="0"/>
        <w:bCs w:val="0"/>
        <w:sz w:val="20"/>
        <w:szCs w:val="20"/>
        <w:lang w:eastAsia="de-DE"/>
      </w:rPr>
      <w:fldChar w:fldCharType="begin"/>
    </w:r>
    <w:r w:rsidRPr="004A36F6">
      <w:rPr>
        <w:b w:val="0"/>
        <w:bCs w:val="0"/>
        <w:sz w:val="20"/>
        <w:szCs w:val="20"/>
        <w:lang w:eastAsia="de-DE"/>
      </w:rPr>
      <w:instrText xml:space="preserve"> NUMPAGES </w:instrText>
    </w:r>
    <w:r w:rsidRPr="004A36F6">
      <w:rPr>
        <w:b w:val="0"/>
        <w:bCs w:val="0"/>
        <w:sz w:val="20"/>
        <w:szCs w:val="20"/>
        <w:lang w:eastAsia="de-DE"/>
      </w:rPr>
      <w:fldChar w:fldCharType="separate"/>
    </w:r>
    <w:r w:rsidR="04CD0FF8" w:rsidRPr="004A36F6">
      <w:rPr>
        <w:b w:val="0"/>
        <w:bCs w:val="0"/>
        <w:sz w:val="20"/>
        <w:szCs w:val="20"/>
        <w:lang w:eastAsia="de-DE"/>
      </w:rPr>
      <w:t>34</w:t>
    </w:r>
    <w:r w:rsidRPr="004A36F6">
      <w:rPr>
        <w:b w:val="0"/>
        <w:bCs w:val="0"/>
        <w:sz w:val="20"/>
        <w:szCs w:val="20"/>
        <w:lang w:eastAsia="de-DE"/>
      </w:rPr>
      <w:fldChar w:fldCharType="end"/>
    </w:r>
  </w:p>
  <w:p w14:paraId="67C0C651" w14:textId="77777777" w:rsidR="00EA6218" w:rsidRDefault="00EA621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4CD0FF8" w14:paraId="5C1D55D5" w14:textId="77777777" w:rsidTr="04CD0FF8">
      <w:tc>
        <w:tcPr>
          <w:tcW w:w="3245" w:type="dxa"/>
        </w:tcPr>
        <w:p w14:paraId="15EB8C6B" w14:textId="3CB27DEB" w:rsidR="04CD0FF8" w:rsidRDefault="04CD0FF8" w:rsidP="04CD0FF8">
          <w:pPr>
            <w:pStyle w:val="Header"/>
            <w:ind w:left="-115"/>
            <w:jc w:val="left"/>
          </w:pPr>
        </w:p>
      </w:tc>
      <w:tc>
        <w:tcPr>
          <w:tcW w:w="3245" w:type="dxa"/>
        </w:tcPr>
        <w:p w14:paraId="4174BAE2" w14:textId="41CEE519" w:rsidR="04CD0FF8" w:rsidRDefault="04CD0FF8" w:rsidP="04CD0FF8">
          <w:pPr>
            <w:pStyle w:val="Header"/>
            <w:jc w:val="center"/>
          </w:pPr>
        </w:p>
      </w:tc>
      <w:tc>
        <w:tcPr>
          <w:tcW w:w="3245" w:type="dxa"/>
        </w:tcPr>
        <w:p w14:paraId="39A66C0E" w14:textId="1B5787BB" w:rsidR="04CD0FF8" w:rsidRDefault="04CD0FF8" w:rsidP="04CD0FF8">
          <w:pPr>
            <w:pStyle w:val="Header"/>
            <w:ind w:right="-115"/>
            <w:jc w:val="right"/>
          </w:pPr>
        </w:p>
      </w:tc>
    </w:tr>
  </w:tbl>
  <w:p w14:paraId="61A1E4CD" w14:textId="2C8014A3" w:rsidR="04CD0FF8" w:rsidRDefault="04CD0FF8" w:rsidP="04CD0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C8C" w14:textId="77777777" w:rsidR="00D03F2F" w:rsidRDefault="00D03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A297" w14:textId="77777777" w:rsidR="00D03F2F" w:rsidRDefault="00D03F2F" w:rsidP="001471F4">
    <w:pPr>
      <w:pStyle w:val="Footer"/>
      <w:pBdr>
        <w:top w:val="single" w:sz="4" w:space="1" w:color="auto"/>
      </w:pBdr>
      <w:jc w:val="right"/>
    </w:pPr>
    <w:r w:rsidRPr="004973E6">
      <w:rPr>
        <w:rFonts w:eastAsia="SimSun" w:cs="Arial"/>
        <w:noProof/>
        <w:spacing w:val="-3"/>
        <w:sz w:val="20"/>
        <w:lang w:eastAsia="de-DE"/>
      </w:rPr>
      <w:fldChar w:fldCharType="begin"/>
    </w:r>
    <w:r w:rsidRPr="004973E6">
      <w:rPr>
        <w:rFonts w:eastAsia="SimSun" w:cs="Arial"/>
        <w:noProof/>
        <w:spacing w:val="-3"/>
        <w:sz w:val="20"/>
        <w:lang w:eastAsia="de-DE"/>
      </w:rPr>
      <w:instrText xml:space="preserve">PAGE  </w:instrText>
    </w:r>
    <w:r w:rsidRPr="004973E6">
      <w:rPr>
        <w:rFonts w:eastAsia="SimSun" w:cs="Arial"/>
        <w:noProof/>
        <w:spacing w:val="-3"/>
        <w:sz w:val="20"/>
        <w:lang w:eastAsia="de-DE"/>
      </w:rPr>
      <w:fldChar w:fldCharType="separate"/>
    </w:r>
    <w:r>
      <w:rPr>
        <w:rFonts w:eastAsia="SimSun" w:cs="Arial"/>
        <w:noProof/>
        <w:spacing w:val="-3"/>
        <w:sz w:val="20"/>
        <w:lang w:eastAsia="de-DE"/>
      </w:rPr>
      <w:t>1</w:t>
    </w:r>
    <w:r w:rsidRPr="004973E6">
      <w:rPr>
        <w:rFonts w:eastAsia="SimSun" w:cs="Arial"/>
        <w:noProof/>
        <w:spacing w:val="-3"/>
        <w:sz w:val="20"/>
        <w:lang w:eastAsia="de-DE"/>
      </w:rPr>
      <w:fldChar w:fldCharType="end"/>
    </w:r>
    <w:r w:rsidRPr="004973E6">
      <w:rPr>
        <w:rFonts w:eastAsia="SimSun" w:cs="Arial"/>
        <w:noProof/>
        <w:spacing w:val="-3"/>
        <w:sz w:val="20"/>
        <w:lang w:eastAsia="de-DE"/>
      </w:rPr>
      <w:t xml:space="preserve"> / </w:t>
    </w:r>
    <w:r w:rsidRPr="004973E6">
      <w:rPr>
        <w:rFonts w:eastAsia="SimSun" w:cs="Arial"/>
        <w:noProof/>
        <w:spacing w:val="-3"/>
        <w:sz w:val="20"/>
        <w:lang w:eastAsia="de-DE"/>
      </w:rPr>
      <w:fldChar w:fldCharType="begin"/>
    </w:r>
    <w:r w:rsidRPr="004973E6">
      <w:rPr>
        <w:rFonts w:eastAsia="SimSun" w:cs="Arial"/>
        <w:noProof/>
        <w:spacing w:val="-3"/>
        <w:sz w:val="20"/>
        <w:lang w:eastAsia="de-DE"/>
      </w:rPr>
      <w:instrText xml:space="preserve"> NUMPAGES </w:instrText>
    </w:r>
    <w:r w:rsidRPr="004973E6">
      <w:rPr>
        <w:rFonts w:eastAsia="SimSun" w:cs="Arial"/>
        <w:noProof/>
        <w:spacing w:val="-3"/>
        <w:sz w:val="20"/>
        <w:lang w:eastAsia="de-DE"/>
      </w:rPr>
      <w:fldChar w:fldCharType="separate"/>
    </w:r>
    <w:r>
      <w:rPr>
        <w:rFonts w:eastAsia="SimSun" w:cs="Arial"/>
        <w:noProof/>
        <w:spacing w:val="-3"/>
        <w:sz w:val="20"/>
        <w:lang w:eastAsia="de-DE"/>
      </w:rPr>
      <w:t>1</w:t>
    </w:r>
    <w:r w:rsidRPr="004973E6">
      <w:rPr>
        <w:rFonts w:eastAsia="SimSun" w:cs="Arial"/>
        <w:noProof/>
        <w:spacing w:val="-3"/>
        <w:sz w:val="20"/>
        <w:lang w:eastAsia="de-D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F8F" w14:textId="77777777" w:rsidR="00D03F2F" w:rsidRDefault="00D0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7E5A" w14:textId="77777777" w:rsidR="00F35BF9" w:rsidRDefault="00F35BF9">
      <w:r>
        <w:separator/>
      </w:r>
    </w:p>
  </w:footnote>
  <w:footnote w:type="continuationSeparator" w:id="0">
    <w:p w14:paraId="1D2E6227" w14:textId="77777777" w:rsidR="00F35BF9" w:rsidRDefault="00F35BF9">
      <w:r>
        <w:continuationSeparator/>
      </w:r>
    </w:p>
  </w:footnote>
  <w:footnote w:type="continuationNotice" w:id="1">
    <w:p w14:paraId="7C174542" w14:textId="77777777" w:rsidR="00F35BF9" w:rsidRDefault="00F35BF9">
      <w:pPr>
        <w:spacing w:before="0" w:after="0" w:line="240" w:lineRule="auto"/>
      </w:pPr>
    </w:p>
  </w:footnote>
  <w:footnote w:id="2">
    <w:p w14:paraId="27D21959"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Schiff, ‘Socio-Legal Theory: Social Structure and Law’ (1976) 39 Modern Law Review 287.</w:t>
      </w:r>
    </w:p>
  </w:footnote>
  <w:footnote w:id="3">
    <w:p w14:paraId="16832BAF" w14:textId="160C54D8" w:rsidR="0DE8C684" w:rsidRPr="00212059" w:rsidRDefault="0DE8C684" w:rsidP="0DE8C684">
      <w:pPr>
        <w:pStyle w:val="FootnoteText"/>
        <w:rPr>
          <w:lang w:val="en-GB"/>
        </w:rPr>
      </w:pPr>
      <w:r w:rsidRPr="0DE8C684">
        <w:rPr>
          <w:rStyle w:val="FootnoteReference"/>
          <w:szCs w:val="22"/>
        </w:rPr>
        <w:footnoteRef/>
      </w:r>
      <w:r w:rsidRPr="00704280">
        <w:rPr>
          <w:szCs w:val="22"/>
          <w:lang w:val="en-US"/>
        </w:rPr>
        <w:t xml:space="preserve"> McConville</w:t>
      </w:r>
      <w:r w:rsidR="00174960">
        <w:rPr>
          <w:szCs w:val="22"/>
          <w:lang w:val="en-GB"/>
        </w:rPr>
        <w:t xml:space="preserve"> &amp; Hong Ch</w:t>
      </w:r>
      <w:r w:rsidR="00D6762D">
        <w:rPr>
          <w:szCs w:val="22"/>
          <w:lang w:val="en-GB"/>
        </w:rPr>
        <w:t>ui</w:t>
      </w:r>
      <w:r w:rsidR="009A6F17">
        <w:rPr>
          <w:szCs w:val="22"/>
          <w:lang w:val="en-GB"/>
        </w:rPr>
        <w:t xml:space="preserve">, ‘Introduction and Overview’ in </w:t>
      </w:r>
      <w:r w:rsidR="00BB67B8">
        <w:rPr>
          <w:szCs w:val="22"/>
          <w:lang w:val="en-GB"/>
        </w:rPr>
        <w:t>McConville &amp; Hong Chui</w:t>
      </w:r>
      <w:r w:rsidR="009A6F17">
        <w:rPr>
          <w:szCs w:val="22"/>
          <w:lang w:val="en-GB"/>
        </w:rPr>
        <w:t xml:space="preserve"> (eds.)</w:t>
      </w:r>
      <w:r w:rsidR="00D6762D">
        <w:rPr>
          <w:szCs w:val="22"/>
          <w:lang w:val="en-GB"/>
        </w:rPr>
        <w:t xml:space="preserve">, </w:t>
      </w:r>
      <w:r w:rsidR="00D6762D">
        <w:rPr>
          <w:i/>
          <w:iCs/>
          <w:szCs w:val="22"/>
          <w:lang w:val="en-GB"/>
        </w:rPr>
        <w:t>Research Methods for Law</w:t>
      </w:r>
      <w:r w:rsidR="00D6762D">
        <w:rPr>
          <w:szCs w:val="22"/>
          <w:lang w:val="en-GB"/>
        </w:rPr>
        <w:t xml:space="preserve"> 2</w:t>
      </w:r>
      <w:r w:rsidR="00D6762D" w:rsidRPr="00D6762D">
        <w:rPr>
          <w:szCs w:val="22"/>
          <w:vertAlign w:val="superscript"/>
          <w:lang w:val="en-GB"/>
        </w:rPr>
        <w:t>nd</w:t>
      </w:r>
      <w:r w:rsidR="00D6762D">
        <w:rPr>
          <w:szCs w:val="22"/>
          <w:lang w:val="en-GB"/>
        </w:rPr>
        <w:t xml:space="preserve"> ed. (</w:t>
      </w:r>
      <w:r w:rsidR="00212059">
        <w:rPr>
          <w:szCs w:val="22"/>
          <w:lang w:val="en-GB"/>
        </w:rPr>
        <w:t>Edinburgh University Press 2017),</w:t>
      </w:r>
      <w:r w:rsidRPr="00704280">
        <w:rPr>
          <w:szCs w:val="22"/>
          <w:lang w:val="en-US"/>
        </w:rPr>
        <w:t xml:space="preserve"> 1</w:t>
      </w:r>
      <w:r w:rsidR="00212059">
        <w:rPr>
          <w:szCs w:val="22"/>
          <w:lang w:val="en-GB"/>
        </w:rPr>
        <w:t>.</w:t>
      </w:r>
    </w:p>
  </w:footnote>
  <w:footnote w:id="4">
    <w:p w14:paraId="6275DA7C" w14:textId="12028D74" w:rsidR="0DE8C684" w:rsidRPr="00A35D61" w:rsidRDefault="0DE8C684" w:rsidP="0DE8C684">
      <w:pPr>
        <w:pStyle w:val="FootnoteText"/>
        <w:rPr>
          <w:lang w:val="en-GB"/>
        </w:rPr>
      </w:pPr>
      <w:r w:rsidRPr="0DE8C684">
        <w:rPr>
          <w:rStyle w:val="FootnoteReference"/>
          <w:szCs w:val="22"/>
        </w:rPr>
        <w:footnoteRef/>
      </w:r>
      <w:r w:rsidRPr="00704280">
        <w:rPr>
          <w:szCs w:val="22"/>
          <w:lang w:val="en-US"/>
        </w:rPr>
        <w:t xml:space="preserve"> </w:t>
      </w:r>
      <w:r w:rsidR="00A35D61">
        <w:rPr>
          <w:szCs w:val="22"/>
          <w:lang w:val="en-GB"/>
        </w:rPr>
        <w:t xml:space="preserve">See </w:t>
      </w:r>
      <w:r w:rsidR="003B0308">
        <w:rPr>
          <w:szCs w:val="22"/>
          <w:lang w:val="en-GB"/>
        </w:rPr>
        <w:t>Dobinson &amp; Johns</w:t>
      </w:r>
      <w:r w:rsidR="00BB67B8">
        <w:rPr>
          <w:szCs w:val="22"/>
          <w:lang w:val="en-GB"/>
        </w:rPr>
        <w:t xml:space="preserve">, ‘Legal research as qualitative research’ in </w:t>
      </w:r>
      <w:r w:rsidR="00726C97">
        <w:rPr>
          <w:szCs w:val="22"/>
          <w:lang w:val="en-GB"/>
        </w:rPr>
        <w:t xml:space="preserve">McConville &amp; Hong Chui (eds.), </w:t>
      </w:r>
      <w:r w:rsidR="00726C97">
        <w:rPr>
          <w:i/>
          <w:iCs/>
          <w:szCs w:val="22"/>
          <w:lang w:val="en-GB"/>
        </w:rPr>
        <w:t>Research Methods for Law</w:t>
      </w:r>
      <w:r w:rsidR="00726C97">
        <w:rPr>
          <w:szCs w:val="22"/>
          <w:lang w:val="en-GB"/>
        </w:rPr>
        <w:t xml:space="preserve"> 2</w:t>
      </w:r>
      <w:r w:rsidR="00726C97" w:rsidRPr="00D6762D">
        <w:rPr>
          <w:szCs w:val="22"/>
          <w:vertAlign w:val="superscript"/>
          <w:lang w:val="en-GB"/>
        </w:rPr>
        <w:t>nd</w:t>
      </w:r>
      <w:r w:rsidR="00726C97">
        <w:rPr>
          <w:szCs w:val="22"/>
          <w:lang w:val="en-GB"/>
        </w:rPr>
        <w:t xml:space="preserve"> ed. (Edinburgh University Press 2017).</w:t>
      </w:r>
    </w:p>
  </w:footnote>
  <w:footnote w:id="5">
    <w:p w14:paraId="4C046F3C" w14:textId="03088BA6" w:rsidR="0DE8C684" w:rsidRPr="00704280" w:rsidRDefault="0DE8C684" w:rsidP="0DE8C684">
      <w:pPr>
        <w:pStyle w:val="FootnoteText"/>
        <w:rPr>
          <w:lang w:val="en-US"/>
        </w:rPr>
      </w:pPr>
      <w:r w:rsidRPr="0DE8C684">
        <w:rPr>
          <w:rStyle w:val="FootnoteReference"/>
          <w:szCs w:val="22"/>
        </w:rPr>
        <w:footnoteRef/>
      </w:r>
      <w:r w:rsidRPr="00704280">
        <w:rPr>
          <w:szCs w:val="22"/>
          <w:lang w:val="en-US"/>
        </w:rPr>
        <w:t xml:space="preserve"> </w:t>
      </w:r>
      <w:r w:rsidR="005F474A" w:rsidRPr="00704280">
        <w:rPr>
          <w:szCs w:val="22"/>
          <w:lang w:val="en-US"/>
        </w:rPr>
        <w:t>McConville</w:t>
      </w:r>
      <w:r w:rsidR="005F474A">
        <w:rPr>
          <w:szCs w:val="22"/>
          <w:lang w:val="en-GB"/>
        </w:rPr>
        <w:t xml:space="preserve"> &amp; Hong Chui</w:t>
      </w:r>
      <w:r w:rsidR="00666653">
        <w:rPr>
          <w:szCs w:val="22"/>
          <w:lang w:val="en-GB"/>
        </w:rPr>
        <w:t xml:space="preserve">, n2, </w:t>
      </w:r>
      <w:r w:rsidR="00B41463">
        <w:rPr>
          <w:szCs w:val="22"/>
          <w:lang w:val="en-GB"/>
        </w:rPr>
        <w:t>6.</w:t>
      </w:r>
    </w:p>
  </w:footnote>
  <w:footnote w:id="6">
    <w:p w14:paraId="0000C090" w14:textId="4E8B4A64" w:rsidR="0DE8C684" w:rsidRPr="007E03B5" w:rsidRDefault="0DE8C684" w:rsidP="0DE8C684">
      <w:pPr>
        <w:pStyle w:val="FootnoteText"/>
        <w:rPr>
          <w:lang w:val="en-GB"/>
        </w:rPr>
      </w:pPr>
      <w:r w:rsidRPr="0DE8C684">
        <w:rPr>
          <w:rStyle w:val="FootnoteReference"/>
          <w:szCs w:val="22"/>
        </w:rPr>
        <w:footnoteRef/>
      </w:r>
      <w:r w:rsidRPr="00704280">
        <w:rPr>
          <w:szCs w:val="22"/>
          <w:lang w:val="en-US"/>
        </w:rPr>
        <w:t xml:space="preserve"> </w:t>
      </w:r>
      <w:r w:rsidR="007E03B5">
        <w:rPr>
          <w:szCs w:val="22"/>
          <w:lang w:val="en-GB"/>
        </w:rPr>
        <w:t>Ibid.</w:t>
      </w:r>
    </w:p>
  </w:footnote>
  <w:footnote w:id="7">
    <w:p w14:paraId="55AFBCF3" w14:textId="260EDC17" w:rsidR="002D7640" w:rsidRPr="00805F60" w:rsidRDefault="002D7640">
      <w:pPr>
        <w:pStyle w:val="FootnoteText"/>
        <w:rPr>
          <w:lang w:val="en-GB"/>
        </w:rPr>
      </w:pPr>
      <w:r>
        <w:rPr>
          <w:rStyle w:val="FootnoteReference"/>
        </w:rPr>
        <w:footnoteRef/>
      </w:r>
      <w:r w:rsidRPr="00704280">
        <w:rPr>
          <w:lang w:val="en-US"/>
        </w:rPr>
        <w:t xml:space="preserve"> </w:t>
      </w:r>
      <w:r w:rsidR="008C19AD" w:rsidRPr="00704280">
        <w:rPr>
          <w:lang w:val="en-US"/>
        </w:rPr>
        <w:t xml:space="preserve">ESRC, ‘Review of </w:t>
      </w:r>
      <w:r w:rsidR="008C19AD" w:rsidRPr="00805F60">
        <w:rPr>
          <w:lang w:val="en-GB"/>
        </w:rPr>
        <w:t>Socio</w:t>
      </w:r>
      <w:r w:rsidR="008C19AD" w:rsidRPr="00704280">
        <w:rPr>
          <w:lang w:val="en-US"/>
        </w:rPr>
        <w:t xml:space="preserve">-Legal </w:t>
      </w:r>
      <w:r w:rsidR="008C19AD" w:rsidRPr="00805F60">
        <w:rPr>
          <w:lang w:val="en-GB"/>
        </w:rPr>
        <w:t>Studies</w:t>
      </w:r>
      <w:r w:rsidR="008C19AD" w:rsidRPr="00704280">
        <w:rPr>
          <w:lang w:val="en-US"/>
        </w:rPr>
        <w:t xml:space="preserve">: </w:t>
      </w:r>
      <w:r w:rsidR="008C19AD" w:rsidRPr="00805F60">
        <w:rPr>
          <w:lang w:val="en-GB"/>
        </w:rPr>
        <w:t>Final</w:t>
      </w:r>
      <w:r w:rsidR="008C19AD" w:rsidRPr="00704280">
        <w:rPr>
          <w:lang w:val="en-US"/>
        </w:rPr>
        <w:t xml:space="preserve"> </w:t>
      </w:r>
      <w:r w:rsidR="008C19AD" w:rsidRPr="00805F60">
        <w:rPr>
          <w:lang w:val="en-GB"/>
        </w:rPr>
        <w:t>Report’</w:t>
      </w:r>
      <w:r w:rsidR="00805F60">
        <w:rPr>
          <w:lang w:val="en-GB"/>
        </w:rPr>
        <w:t xml:space="preserve"> (1994), 2.</w:t>
      </w:r>
    </w:p>
  </w:footnote>
  <w:footnote w:id="8">
    <w:p w14:paraId="13109A30" w14:textId="63661A35" w:rsidR="007B75E3" w:rsidRPr="00F54020" w:rsidRDefault="007B75E3" w:rsidP="00150943">
      <w:pPr>
        <w:pStyle w:val="FootnoteText"/>
        <w:rPr>
          <w:lang w:val="en-GB"/>
        </w:rPr>
      </w:pPr>
      <w:r>
        <w:rPr>
          <w:rStyle w:val="FootnoteReference"/>
        </w:rPr>
        <w:footnoteRef/>
      </w:r>
      <w:r w:rsidRPr="00704280">
        <w:rPr>
          <w:lang w:val="en-US"/>
        </w:rPr>
        <w:t xml:space="preserve"> </w:t>
      </w:r>
      <w:r w:rsidR="00F54020">
        <w:rPr>
          <w:lang w:val="en-GB"/>
        </w:rPr>
        <w:t xml:space="preserve">Cownie &amp; </w:t>
      </w:r>
      <w:r w:rsidR="00150943">
        <w:rPr>
          <w:lang w:val="en-GB"/>
        </w:rPr>
        <w:t>Bradney, ‘</w:t>
      </w:r>
      <w:r w:rsidR="00150943" w:rsidRPr="00150943">
        <w:rPr>
          <w:lang w:val="en-GB"/>
        </w:rPr>
        <w:t>Socio-legal studies</w:t>
      </w:r>
      <w:r w:rsidR="00150943">
        <w:rPr>
          <w:lang w:val="en-GB"/>
        </w:rPr>
        <w:t xml:space="preserve">: </w:t>
      </w:r>
      <w:r w:rsidR="00150943" w:rsidRPr="00150943">
        <w:rPr>
          <w:lang w:val="en-GB"/>
        </w:rPr>
        <w:t>A challenge to the doctrinal approach</w:t>
      </w:r>
      <w:r w:rsidR="0018799C">
        <w:rPr>
          <w:lang w:val="en-GB"/>
        </w:rPr>
        <w:t xml:space="preserve">’ in </w:t>
      </w:r>
      <w:r w:rsidR="00CF42CF">
        <w:rPr>
          <w:lang w:val="en-GB"/>
        </w:rPr>
        <w:t xml:space="preserve">Watkins &amp; Burton (eds) </w:t>
      </w:r>
      <w:r w:rsidR="00AE3E7F" w:rsidRPr="00CF42CF">
        <w:rPr>
          <w:i/>
          <w:iCs/>
          <w:lang w:val="en-GB"/>
        </w:rPr>
        <w:t>Research Methods in Law</w:t>
      </w:r>
      <w:r w:rsidR="00FE5C54">
        <w:rPr>
          <w:i/>
          <w:iCs/>
          <w:lang w:val="en-GB"/>
        </w:rPr>
        <w:t xml:space="preserve"> </w:t>
      </w:r>
      <w:r w:rsidR="00FE5C54">
        <w:rPr>
          <w:lang w:val="en-GB"/>
        </w:rPr>
        <w:t>(</w:t>
      </w:r>
      <w:r w:rsidR="006B5CA0">
        <w:rPr>
          <w:lang w:val="en-GB"/>
        </w:rPr>
        <w:t>Routledge 2017)</w:t>
      </w:r>
      <w:r w:rsidR="00AE3E7F" w:rsidRPr="00AE3E7F">
        <w:rPr>
          <w:lang w:val="en-GB"/>
        </w:rPr>
        <w:t xml:space="preserve">, </w:t>
      </w:r>
      <w:r w:rsidR="000B30B3">
        <w:rPr>
          <w:lang w:val="en-GB"/>
        </w:rPr>
        <w:t>56.</w:t>
      </w:r>
    </w:p>
  </w:footnote>
  <w:footnote w:id="9">
    <w:p w14:paraId="0664C296"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Report of the Secretary General on the Rule of Law and Transitional Justice in Conflict and Post-Conflict Situations (2004) UN Doc S/2004/616, 4.</w:t>
      </w:r>
    </w:p>
  </w:footnote>
  <w:footnote w:id="10">
    <w:p w14:paraId="4C3AD5DE" w14:textId="7C3765AA"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International Centre for Transitional Justice, ‘What is Transitional Justice?’ &lt;</w:t>
      </w:r>
      <w:hyperlink r:id="rId1" w:tooltip="https://www.ictj.org/about/transitional-justice" w:history="1">
        <w:r>
          <w:rPr>
            <w:rStyle w:val="Hyperlink"/>
            <w:rFonts w:asciiTheme="minorHAnsi" w:hAnsiTheme="minorHAnsi" w:cstheme="minorHAnsi"/>
            <w:szCs w:val="22"/>
            <w:lang w:val="en-GB"/>
          </w:rPr>
          <w:t>https://www.ictj.org/about/transitional-justice</w:t>
        </w:r>
      </w:hyperlink>
      <w:r>
        <w:rPr>
          <w:rFonts w:asciiTheme="minorHAnsi" w:hAnsiTheme="minorHAnsi" w:cstheme="minorHAnsi"/>
          <w:szCs w:val="22"/>
          <w:lang w:val="en-GB"/>
        </w:rPr>
        <w:t>&gt; (accessed 6 October 2021)</w:t>
      </w:r>
      <w:r w:rsidR="00544237">
        <w:rPr>
          <w:rFonts w:asciiTheme="minorHAnsi" w:hAnsiTheme="minorHAnsi" w:cstheme="minorHAnsi"/>
          <w:szCs w:val="22"/>
          <w:lang w:val="en-GB"/>
        </w:rPr>
        <w:t>.</w:t>
      </w:r>
    </w:p>
  </w:footnote>
  <w:footnote w:id="11">
    <w:p w14:paraId="4CEFC0E9" w14:textId="77777777" w:rsidR="00D6525E" w:rsidRDefault="00D6525E" w:rsidP="00D6525E">
      <w:pPr>
        <w:pStyle w:val="FootnoteText"/>
        <w:jc w:val="left"/>
        <w:rPr>
          <w:rFonts w:asciiTheme="minorHAnsi" w:hAnsiTheme="minorHAnsi" w:cstheme="minorBidi"/>
          <w:lang w:val="en-GB"/>
        </w:rPr>
      </w:pPr>
      <w:r w:rsidRPr="0DE8C684">
        <w:rPr>
          <w:rStyle w:val="FootnoteReference"/>
          <w:rFonts w:asciiTheme="minorHAnsi" w:hAnsiTheme="minorHAnsi" w:cstheme="minorBidi"/>
          <w:lang w:val="en-GB"/>
        </w:rPr>
        <w:footnoteRef/>
      </w:r>
      <w:r w:rsidRPr="0DE8C684">
        <w:rPr>
          <w:rFonts w:asciiTheme="minorHAnsi" w:hAnsiTheme="minorHAnsi" w:cstheme="minorBidi"/>
          <w:lang w:val="en-GB"/>
        </w:rPr>
        <w:t xml:space="preserve"> See e.g. Brems, ‘Transitional justice in the case law of the European Court of Human Rights’ (2010) 5 International Journal of Transitional Justice 282; Sweeney, </w:t>
      </w:r>
      <w:r w:rsidRPr="0DE8C684">
        <w:rPr>
          <w:rFonts w:asciiTheme="minorHAnsi" w:hAnsiTheme="minorHAnsi" w:cstheme="minorBidi"/>
          <w:i/>
          <w:iCs/>
          <w:lang w:val="en-GB"/>
        </w:rPr>
        <w:t>The European Court of Human Rights in the Post-Cold War Era: Universality in Transition</w:t>
      </w:r>
      <w:r w:rsidRPr="0DE8C684">
        <w:rPr>
          <w:rFonts w:asciiTheme="minorHAnsi" w:hAnsiTheme="minorHAnsi" w:cstheme="minorBidi"/>
          <w:lang w:val="en-GB"/>
        </w:rPr>
        <w:t xml:space="preserve"> (Routledge 2012).</w:t>
      </w:r>
    </w:p>
  </w:footnote>
  <w:footnote w:id="12">
    <w:p w14:paraId="5B2E5E2E" w14:textId="7AC453B0" w:rsidR="00945202" w:rsidRPr="00A81D26" w:rsidRDefault="00945202" w:rsidP="00945202">
      <w:pPr>
        <w:pStyle w:val="FootnoteText"/>
        <w:rPr>
          <w:rFonts w:cs="Calibri"/>
          <w:szCs w:val="22"/>
          <w:lang w:val="en-GB"/>
        </w:rPr>
      </w:pPr>
      <w:r w:rsidRPr="00A81D26">
        <w:rPr>
          <w:rStyle w:val="FootnoteReference"/>
          <w:rFonts w:cs="Calibri"/>
          <w:szCs w:val="22"/>
          <w:lang w:val="en-GB"/>
        </w:rPr>
        <w:footnoteRef/>
      </w:r>
      <w:r w:rsidRPr="00A81D26">
        <w:rPr>
          <w:rFonts w:cs="Calibri"/>
          <w:szCs w:val="22"/>
          <w:lang w:val="en-GB"/>
        </w:rPr>
        <w:t xml:space="preserve"> These include</w:t>
      </w:r>
      <w:r w:rsidR="000F63F0">
        <w:rPr>
          <w:rFonts w:cs="Calibri"/>
          <w:szCs w:val="22"/>
          <w:lang w:val="en-GB"/>
        </w:rPr>
        <w:t>,</w:t>
      </w:r>
      <w:r w:rsidRPr="00A81D26">
        <w:rPr>
          <w:rFonts w:cs="Calibri"/>
          <w:szCs w:val="22"/>
          <w:lang w:val="en-GB"/>
        </w:rPr>
        <w:t xml:space="preserve"> but are more or less limited to, Avello, ‘European Efforts in Transitional Justice’ (2008) FRIDE Working Paper 58; Crossley-Frolick, ‘The European Union and Transitional Justice: Human Rights and Post-Conflict Reconciliation in Europe and Beyond’ (2011) 3 Contemporary Readings in Law and Social Justice 33; Davis, </w:t>
      </w:r>
      <w:r w:rsidRPr="00A81D26">
        <w:rPr>
          <w:rFonts w:cs="Calibri"/>
          <w:i/>
          <w:iCs/>
          <w:szCs w:val="22"/>
          <w:lang w:val="en-GB"/>
        </w:rPr>
        <w:t>The European Union and Transitional Justice</w:t>
      </w:r>
      <w:r w:rsidRPr="00A81D26">
        <w:rPr>
          <w:rFonts w:cs="Calibri"/>
          <w:szCs w:val="22"/>
          <w:lang w:val="en-GB"/>
        </w:rPr>
        <w:t xml:space="preserve"> (International Centre for Transitional Justice 2010); Rangelov et al, ‘</w:t>
      </w:r>
      <w:r w:rsidRPr="00A81D26">
        <w:rPr>
          <w:rFonts w:cs="Calibri"/>
          <w:i/>
          <w:iCs/>
          <w:szCs w:val="22"/>
          <w:lang w:val="en-GB"/>
        </w:rPr>
        <w:t>EU Approaches to Justice in Conflict and Transition</w:t>
      </w:r>
      <w:r w:rsidRPr="00A81D26">
        <w:rPr>
          <w:rFonts w:cs="Calibri"/>
          <w:szCs w:val="22"/>
          <w:lang w:val="en-GB"/>
        </w:rPr>
        <w:t xml:space="preserve"> (Human Security Study Group 2016); Unger, ‘The EU and Transitional Justice’ in Blockmans et al (eds.) </w:t>
      </w:r>
      <w:r w:rsidRPr="00A81D26">
        <w:rPr>
          <w:rFonts w:cs="Calibri"/>
          <w:i/>
          <w:iCs/>
          <w:szCs w:val="22"/>
          <w:lang w:val="en-GB"/>
        </w:rPr>
        <w:t>The European Union and Peacebuilding</w:t>
      </w:r>
      <w:r w:rsidRPr="00A81D26">
        <w:rPr>
          <w:rFonts w:cs="Calibri"/>
          <w:szCs w:val="22"/>
          <w:lang w:val="en-GB"/>
        </w:rPr>
        <w:t xml:space="preserve"> (Asser Press 2010); Verovšek, ‘A Burgeoning Community of Justice? The European Union as a Promoter of Transitional Justice’ (2021) </w:t>
      </w:r>
      <w:r w:rsidR="00053E16">
        <w:rPr>
          <w:rFonts w:cs="Calibri"/>
          <w:szCs w:val="22"/>
          <w:lang w:val="en-GB"/>
        </w:rPr>
        <w:t xml:space="preserve">(15(2) </w:t>
      </w:r>
      <w:r w:rsidRPr="00A81D26">
        <w:rPr>
          <w:rFonts w:cs="Calibri"/>
          <w:szCs w:val="22"/>
          <w:lang w:val="en-GB"/>
        </w:rPr>
        <w:t xml:space="preserve">International Journal of Transitional Justice </w:t>
      </w:r>
      <w:r w:rsidR="007927E8">
        <w:rPr>
          <w:rFonts w:cs="Calibri"/>
          <w:szCs w:val="22"/>
          <w:lang w:val="en-GB"/>
        </w:rPr>
        <w:t>351</w:t>
      </w:r>
      <w:r w:rsidR="000F63F0">
        <w:rPr>
          <w:rFonts w:cs="Calibri"/>
          <w:szCs w:val="22"/>
          <w:lang w:val="en-GB"/>
        </w:rPr>
        <w:t>.</w:t>
      </w:r>
      <w:r w:rsidRPr="00A81D26">
        <w:rPr>
          <w:rFonts w:cs="Calibri"/>
          <w:szCs w:val="22"/>
          <w:lang w:val="en-GB"/>
        </w:rPr>
        <w:t xml:space="preserve"> </w:t>
      </w:r>
    </w:p>
  </w:footnote>
  <w:footnote w:id="13">
    <w:p w14:paraId="25D5CC72" w14:textId="67ED492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Craig and De Búrca, </w:t>
      </w:r>
      <w:r w:rsidR="00D85312">
        <w:rPr>
          <w:rFonts w:asciiTheme="minorHAnsi" w:hAnsiTheme="minorHAnsi" w:cstheme="minorHAnsi"/>
          <w:i/>
          <w:iCs/>
          <w:szCs w:val="22"/>
          <w:lang w:val="en-GB"/>
        </w:rPr>
        <w:t xml:space="preserve">EU Law: Text, Cases and </w:t>
      </w:r>
      <w:r w:rsidR="00D85312" w:rsidRPr="00D85312">
        <w:rPr>
          <w:rFonts w:asciiTheme="minorHAnsi" w:hAnsiTheme="minorHAnsi" w:cstheme="minorHAnsi"/>
          <w:i/>
          <w:iCs/>
          <w:szCs w:val="22"/>
          <w:lang w:val="en-GB"/>
        </w:rPr>
        <w:t>Materials</w:t>
      </w:r>
      <w:r w:rsidR="00D85312">
        <w:rPr>
          <w:rFonts w:asciiTheme="minorHAnsi" w:hAnsiTheme="minorHAnsi" w:cstheme="minorHAnsi"/>
          <w:i/>
          <w:iCs/>
          <w:szCs w:val="22"/>
          <w:lang w:val="en-GB"/>
        </w:rPr>
        <w:t xml:space="preserve"> </w:t>
      </w:r>
      <w:r w:rsidR="00884200">
        <w:rPr>
          <w:rFonts w:asciiTheme="minorHAnsi" w:hAnsiTheme="minorHAnsi" w:cstheme="minorHAnsi"/>
          <w:szCs w:val="22"/>
          <w:lang w:val="en-GB"/>
        </w:rPr>
        <w:t>7</w:t>
      </w:r>
      <w:r w:rsidR="00884200" w:rsidRPr="00884200">
        <w:rPr>
          <w:rFonts w:asciiTheme="minorHAnsi" w:hAnsiTheme="minorHAnsi" w:cstheme="minorHAnsi"/>
          <w:szCs w:val="22"/>
          <w:vertAlign w:val="superscript"/>
          <w:lang w:val="en-GB"/>
        </w:rPr>
        <w:t>th</w:t>
      </w:r>
      <w:r w:rsidR="00884200">
        <w:rPr>
          <w:rFonts w:asciiTheme="minorHAnsi" w:hAnsiTheme="minorHAnsi" w:cstheme="minorHAnsi"/>
          <w:szCs w:val="22"/>
          <w:lang w:val="en-GB"/>
        </w:rPr>
        <w:t xml:space="preserve"> ed (OUP 2020)</w:t>
      </w:r>
      <w:r>
        <w:rPr>
          <w:rFonts w:asciiTheme="minorHAnsi" w:hAnsiTheme="minorHAnsi" w:cstheme="minorHAnsi"/>
          <w:szCs w:val="22"/>
          <w:lang w:val="en-GB"/>
        </w:rPr>
        <w:t>.</w:t>
      </w:r>
    </w:p>
  </w:footnote>
  <w:footnote w:id="14">
    <w:p w14:paraId="21A690D1"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Treaty of Lisbon Amending the Treaty on European Union and the Treaty Establishing the European Community, 13 December 2007, OJ 2007/C 306/01.</w:t>
      </w:r>
    </w:p>
  </w:footnote>
  <w:footnote w:id="15">
    <w:p w14:paraId="4A8C4B07"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Consolidated version of the Treaty on the Functioning of the European Union, 13 December 2007, OJ 2008/C 115/01.</w:t>
      </w:r>
    </w:p>
  </w:footnote>
  <w:footnote w:id="16">
    <w:p w14:paraId="7436ABCF"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Consolidated version of the Treaty on European Union, 13 December 2007, OJ 2008/C 115/01.</w:t>
      </w:r>
    </w:p>
  </w:footnote>
  <w:footnote w:id="17">
    <w:p w14:paraId="05E97A5D"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Treaty Establishing the European Community (Consolidated Version), Rome Treaty, 25 March 1957.</w:t>
      </w:r>
    </w:p>
  </w:footnote>
  <w:footnote w:id="18">
    <w:p w14:paraId="7F545E72" w14:textId="1F8CE033"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Craig and De Búrca, n1</w:t>
      </w:r>
      <w:r w:rsidR="00884200">
        <w:rPr>
          <w:rFonts w:asciiTheme="minorHAnsi" w:hAnsiTheme="minorHAnsi" w:cstheme="minorHAnsi"/>
          <w:szCs w:val="22"/>
          <w:lang w:val="en-GB"/>
        </w:rPr>
        <w:t>2</w:t>
      </w:r>
      <w:r>
        <w:rPr>
          <w:rFonts w:asciiTheme="minorHAnsi" w:hAnsiTheme="minorHAnsi" w:cstheme="minorHAnsi"/>
          <w:szCs w:val="22"/>
          <w:lang w:val="en-GB"/>
        </w:rPr>
        <w:t>, pp1-25.</w:t>
      </w:r>
    </w:p>
  </w:footnote>
  <w:footnote w:id="19">
    <w:p w14:paraId="5477D826"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Treaty on European Union (Consolidated Version), Treaty of Maastricht, 7 February 1992, OJ C 325/5.</w:t>
      </w:r>
    </w:p>
  </w:footnote>
  <w:footnote w:id="20">
    <w:p w14:paraId="3AA50A1A" w14:textId="18953A96"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Commission’s constitution and powers are set out at Article 244 TFEU et seq, n1</w:t>
      </w:r>
      <w:r w:rsidR="00A83732">
        <w:rPr>
          <w:rFonts w:asciiTheme="minorHAnsi" w:hAnsiTheme="minorHAnsi" w:cstheme="minorHAnsi"/>
          <w:szCs w:val="22"/>
          <w:lang w:val="en-GB"/>
        </w:rPr>
        <w:t>4</w:t>
      </w:r>
      <w:r>
        <w:rPr>
          <w:rFonts w:asciiTheme="minorHAnsi" w:hAnsiTheme="minorHAnsi" w:cstheme="minorHAnsi"/>
          <w:szCs w:val="22"/>
          <w:lang w:val="en-GB"/>
        </w:rPr>
        <w:t>.</w:t>
      </w:r>
    </w:p>
  </w:footnote>
  <w:footnote w:id="21">
    <w:p w14:paraId="05B4D81D" w14:textId="3E8AF575"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European Council’s constitution and powers are set out at Article 235 TFEU et seq, ibid.</w:t>
      </w:r>
    </w:p>
  </w:footnote>
  <w:footnote w:id="22">
    <w:p w14:paraId="64814B79" w14:textId="73F76C42"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Council’s constitution and powers are set out at Article 237 TFEU et seq, ibid.</w:t>
      </w:r>
    </w:p>
  </w:footnote>
  <w:footnote w:id="23">
    <w:p w14:paraId="2E61769E" w14:textId="20CCBE09"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procedure is set out at Article 289 TFEU, ibid.  There are other ‘extraordinary’ legislative processes on especially sensitive topics, but space precludes discussion here: see Craig and De Búrca, n1</w:t>
      </w:r>
      <w:r w:rsidR="004F26C0">
        <w:rPr>
          <w:rFonts w:asciiTheme="minorHAnsi" w:hAnsiTheme="minorHAnsi" w:cstheme="minorHAnsi"/>
          <w:szCs w:val="22"/>
          <w:lang w:val="en-GB"/>
        </w:rPr>
        <w:t>2</w:t>
      </w:r>
      <w:r>
        <w:rPr>
          <w:rFonts w:asciiTheme="minorHAnsi" w:hAnsiTheme="minorHAnsi" w:cstheme="minorHAnsi"/>
          <w:szCs w:val="22"/>
          <w:lang w:val="en-GB"/>
        </w:rPr>
        <w:t>, 164.</w:t>
      </w:r>
    </w:p>
  </w:footnote>
  <w:footnote w:id="24">
    <w:p w14:paraId="7F8B8B2E"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51% in 2019: European Union, ‘2019 European Election Results’ &lt;</w:t>
      </w:r>
      <w:hyperlink r:id="rId2" w:tooltip="https://www.europarl.europa.eu/election-results-2019/en/turnout/" w:history="1">
        <w:r>
          <w:rPr>
            <w:rStyle w:val="Hyperlink"/>
            <w:rFonts w:asciiTheme="minorHAnsi" w:hAnsiTheme="minorHAnsi" w:cstheme="minorHAnsi"/>
            <w:szCs w:val="22"/>
            <w:lang w:val="en-GB"/>
          </w:rPr>
          <w:t>https://www.europarl.europa.eu/election-results-2019/en/turnout/</w:t>
        </w:r>
      </w:hyperlink>
      <w:r>
        <w:rPr>
          <w:rFonts w:asciiTheme="minorHAnsi" w:hAnsiTheme="minorHAnsi" w:cstheme="minorHAnsi"/>
          <w:szCs w:val="22"/>
          <w:lang w:val="en-GB"/>
        </w:rPr>
        <w:t>&gt; (accessed 6 October 2021).  It is worth noting that turnout varies quite radically from state to state: compare e.g. 88% in Belgium and 23% in Slovakia (ibid.).</w:t>
      </w:r>
    </w:p>
  </w:footnote>
  <w:footnote w:id="25">
    <w:p w14:paraId="7A8D861F" w14:textId="3052383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288 TFEU, n1</w:t>
      </w:r>
      <w:r w:rsidR="004F26C0">
        <w:rPr>
          <w:rFonts w:asciiTheme="minorHAnsi" w:hAnsiTheme="minorHAnsi" w:cstheme="minorHAnsi"/>
          <w:szCs w:val="22"/>
          <w:lang w:val="en-GB"/>
        </w:rPr>
        <w:t>4</w:t>
      </w:r>
      <w:r>
        <w:rPr>
          <w:rFonts w:asciiTheme="minorHAnsi" w:hAnsiTheme="minorHAnsi" w:cstheme="minorHAnsi"/>
          <w:szCs w:val="22"/>
          <w:lang w:val="en-GB"/>
        </w:rPr>
        <w:t>.</w:t>
      </w:r>
    </w:p>
  </w:footnote>
  <w:footnote w:id="26">
    <w:p w14:paraId="229F1FBA" w14:textId="7CFDB5CA"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Article 263 TFEU, n1</w:t>
      </w:r>
      <w:r w:rsidR="004F26C0">
        <w:rPr>
          <w:rFonts w:asciiTheme="minorHAnsi" w:hAnsiTheme="minorHAnsi" w:cstheme="minorHAnsi"/>
          <w:szCs w:val="22"/>
          <w:lang w:val="en-GB"/>
        </w:rPr>
        <w:t>4</w:t>
      </w:r>
      <w:r>
        <w:rPr>
          <w:rFonts w:asciiTheme="minorHAnsi" w:hAnsiTheme="minorHAnsi" w:cstheme="minorHAnsi"/>
          <w:szCs w:val="22"/>
          <w:lang w:val="en-GB"/>
        </w:rPr>
        <w:t>.</w:t>
      </w:r>
    </w:p>
  </w:footnote>
  <w:footnote w:id="27">
    <w:p w14:paraId="7F4A6F53" w14:textId="60B453D8"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288 TFEU, n1</w:t>
      </w:r>
      <w:r w:rsidR="004F26C0">
        <w:rPr>
          <w:rFonts w:asciiTheme="minorHAnsi" w:hAnsiTheme="minorHAnsi" w:cstheme="minorHAnsi"/>
          <w:szCs w:val="22"/>
          <w:lang w:val="en-GB"/>
        </w:rPr>
        <w:t>4</w:t>
      </w:r>
      <w:r>
        <w:rPr>
          <w:rFonts w:asciiTheme="minorHAnsi" w:hAnsiTheme="minorHAnsi" w:cstheme="minorHAnsi"/>
          <w:szCs w:val="22"/>
          <w:lang w:val="en-GB"/>
        </w:rPr>
        <w:t>.</w:t>
      </w:r>
    </w:p>
  </w:footnote>
  <w:footnote w:id="28">
    <w:p w14:paraId="1EFFB421"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w:t>
      </w:r>
    </w:p>
  </w:footnote>
  <w:footnote w:id="29">
    <w:p w14:paraId="1578904A" w14:textId="03E95233"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sidR="00EA2876">
        <w:rPr>
          <w:lang w:val="en-GB"/>
        </w:rPr>
        <w:t>Regulation (EU) 2021/692 of the European Parliament and of the Council of 28 April 2021 establishing the Citizens, Equality, Rights and Values Programme</w:t>
      </w:r>
      <w:r w:rsidR="00EA2876">
        <w:rPr>
          <w:rFonts w:asciiTheme="minorHAnsi" w:hAnsiTheme="minorHAnsi" w:cstheme="minorHAnsi"/>
          <w:szCs w:val="22"/>
          <w:lang w:val="en-GB"/>
        </w:rPr>
        <w:t xml:space="preserve"> </w:t>
      </w:r>
      <w:r>
        <w:rPr>
          <w:rFonts w:asciiTheme="minorHAnsi" w:hAnsiTheme="minorHAnsi" w:cstheme="minorHAnsi"/>
          <w:szCs w:val="22"/>
          <w:lang w:val="en-GB"/>
        </w:rPr>
        <w:t>OJ L 1.</w:t>
      </w:r>
    </w:p>
  </w:footnote>
  <w:footnote w:id="30">
    <w:p w14:paraId="3B6F167C" w14:textId="2097866F"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288 TFEU, n1</w:t>
      </w:r>
      <w:r w:rsidR="00E26D04">
        <w:rPr>
          <w:rFonts w:asciiTheme="minorHAnsi" w:hAnsiTheme="minorHAnsi" w:cstheme="minorHAnsi"/>
          <w:szCs w:val="22"/>
          <w:lang w:val="en-GB"/>
        </w:rPr>
        <w:t>4</w:t>
      </w:r>
      <w:r>
        <w:rPr>
          <w:rFonts w:asciiTheme="minorHAnsi" w:hAnsiTheme="minorHAnsi" w:cstheme="minorHAnsi"/>
          <w:szCs w:val="22"/>
          <w:lang w:val="en-GB"/>
        </w:rPr>
        <w:t>.</w:t>
      </w:r>
    </w:p>
  </w:footnote>
  <w:footnote w:id="31">
    <w:p w14:paraId="5A948B2C"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rFonts w:asciiTheme="minorHAnsi" w:hAnsiTheme="minorHAnsi" w:cstheme="minorHAnsi"/>
          <w:i/>
          <w:iCs/>
          <w:szCs w:val="22"/>
          <w:lang w:val="en-GB"/>
        </w:rPr>
        <w:t>Van Gend en Loos</w:t>
      </w:r>
      <w:r>
        <w:rPr>
          <w:rFonts w:asciiTheme="minorHAnsi" w:hAnsiTheme="minorHAnsi" w:cstheme="minorHAnsi"/>
          <w:szCs w:val="22"/>
          <w:lang w:val="en-GB"/>
        </w:rPr>
        <w:t xml:space="preserve"> (Case 26/62) [1963] ECR 13.</w:t>
      </w:r>
    </w:p>
  </w:footnote>
  <w:footnote w:id="32">
    <w:p w14:paraId="3C10FFA3" w14:textId="431D4A2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288 TFEU, n1</w:t>
      </w:r>
      <w:r w:rsidR="00E26D04">
        <w:rPr>
          <w:rFonts w:asciiTheme="minorHAnsi" w:hAnsiTheme="minorHAnsi" w:cstheme="minorHAnsi"/>
          <w:szCs w:val="22"/>
          <w:lang w:val="en-GB"/>
        </w:rPr>
        <w:t>4</w:t>
      </w:r>
      <w:r>
        <w:rPr>
          <w:rFonts w:asciiTheme="minorHAnsi" w:hAnsiTheme="minorHAnsi" w:cstheme="minorHAnsi"/>
          <w:szCs w:val="22"/>
          <w:lang w:val="en-GB"/>
        </w:rPr>
        <w:t>.</w:t>
      </w:r>
    </w:p>
  </w:footnote>
  <w:footnote w:id="33">
    <w:p w14:paraId="077749F0" w14:textId="1C80C5D3" w:rsidR="000F1704" w:rsidRPr="00362534" w:rsidRDefault="000F1704">
      <w:pPr>
        <w:pStyle w:val="FootnoteText"/>
        <w:rPr>
          <w:lang w:val="en-GB"/>
        </w:rPr>
      </w:pPr>
      <w:r>
        <w:rPr>
          <w:rStyle w:val="FootnoteReference"/>
        </w:rPr>
        <w:footnoteRef/>
      </w:r>
      <w:r w:rsidRPr="00704280">
        <w:rPr>
          <w:lang w:val="en-US"/>
        </w:rPr>
        <w:t xml:space="preserve"> </w:t>
      </w:r>
      <w:r w:rsidR="00E26D04">
        <w:rPr>
          <w:lang w:val="en-GB"/>
        </w:rPr>
        <w:t xml:space="preserve">Teitel, </w:t>
      </w:r>
      <w:r w:rsidR="00E26D04">
        <w:rPr>
          <w:i/>
          <w:iCs/>
          <w:lang w:val="en-GB"/>
        </w:rPr>
        <w:t xml:space="preserve">Transitional Justice </w:t>
      </w:r>
      <w:r w:rsidR="00362534">
        <w:rPr>
          <w:lang w:val="en-GB"/>
        </w:rPr>
        <w:t xml:space="preserve">(OUP 2000), </w:t>
      </w:r>
      <w:r w:rsidR="003C44A7">
        <w:rPr>
          <w:lang w:val="en-GB"/>
        </w:rPr>
        <w:t>69.</w:t>
      </w:r>
      <w:r w:rsidR="00362534">
        <w:rPr>
          <w:lang w:val="en-GB"/>
        </w:rPr>
        <w:t xml:space="preserve"> </w:t>
      </w:r>
    </w:p>
  </w:footnote>
  <w:footnote w:id="34">
    <w:p w14:paraId="719E59FF" w14:textId="77777777" w:rsidR="009A4E7C" w:rsidRDefault="009A4E7C" w:rsidP="009A4E7C">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European Parliament first expressly invoked the idea of a common ‘European memory’ in a Resolution marking the 60</w:t>
      </w:r>
      <w:r>
        <w:rPr>
          <w:rFonts w:asciiTheme="minorHAnsi" w:hAnsiTheme="minorHAnsi" w:cstheme="minorHAnsi"/>
          <w:szCs w:val="22"/>
          <w:vertAlign w:val="superscript"/>
          <w:lang w:val="en-GB"/>
        </w:rPr>
        <w:t>th</w:t>
      </w:r>
      <w:r>
        <w:rPr>
          <w:rFonts w:asciiTheme="minorHAnsi" w:hAnsiTheme="minorHAnsi" w:cstheme="minorHAnsi"/>
          <w:szCs w:val="22"/>
          <w:lang w:val="en-GB"/>
        </w:rPr>
        <w:t xml:space="preserve"> anniversary of end of World War II in Europe, which is discussed further below: The future of Europe 60 years after the Second World War: European Parliament Resolution on the 60th anniversary of the end of the Second World War in Europe on 8 May 1945 of 12 May 2005, OJ C92 E/392, para. 5.</w:t>
      </w:r>
    </w:p>
  </w:footnote>
  <w:footnote w:id="35">
    <w:p w14:paraId="31666CFA"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Declaration on European Identity (1973) 12 Bulletin of the European Communities 118</w:t>
      </w:r>
    </w:p>
  </w:footnote>
  <w:footnote w:id="36">
    <w:p w14:paraId="7752F693"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Tekiner, ‘The ‘European (Union) Identity’: An Overview’ E-International Relations (2020) available at &lt;</w:t>
      </w:r>
      <w:hyperlink r:id="rId3" w:tooltip="https://www.e-ir.info/2020/04/15/the-european-union-identity-an-overview/" w:history="1">
        <w:r>
          <w:rPr>
            <w:rStyle w:val="Hyperlink"/>
            <w:rFonts w:asciiTheme="minorHAnsi" w:hAnsiTheme="minorHAnsi" w:cstheme="minorHAnsi"/>
            <w:szCs w:val="22"/>
            <w:lang w:val="en-GB"/>
          </w:rPr>
          <w:t>https://www.e-ir.info/2020/04/15/the-european-union-identity-an-overview/</w:t>
        </w:r>
      </w:hyperlink>
      <w:r>
        <w:rPr>
          <w:rFonts w:asciiTheme="minorHAnsi" w:hAnsiTheme="minorHAnsi" w:cstheme="minorHAnsi"/>
          <w:szCs w:val="22"/>
          <w:lang w:val="en-GB"/>
        </w:rPr>
        <w:t xml:space="preserve">&gt; (accessed 6 October 2021). </w:t>
      </w:r>
    </w:p>
  </w:footnote>
  <w:footnote w:id="37">
    <w:p w14:paraId="3F0ED36D"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Tindemans, ‘Tindemans-report’ (1976) 11 Intereconomics 36.</w:t>
      </w:r>
    </w:p>
  </w:footnote>
  <w:footnote w:id="38">
    <w:p w14:paraId="793D048D" w14:textId="023FB7DC" w:rsidR="00E15B78" w:rsidRPr="00A17C72" w:rsidRDefault="00E15B78" w:rsidP="00066AB0">
      <w:pPr>
        <w:pStyle w:val="FootnoteText"/>
        <w:rPr>
          <w:lang w:val="en-GB"/>
        </w:rPr>
      </w:pPr>
      <w:r>
        <w:rPr>
          <w:rStyle w:val="FootnoteReference"/>
        </w:rPr>
        <w:footnoteRef/>
      </w:r>
      <w:r w:rsidRPr="00704280">
        <w:rPr>
          <w:lang w:val="en-US"/>
        </w:rPr>
        <w:t xml:space="preserve"> </w:t>
      </w:r>
      <w:r w:rsidR="00370EC6">
        <w:rPr>
          <w:lang w:val="en-GB"/>
        </w:rPr>
        <w:t>Littoz-Monnet</w:t>
      </w:r>
      <w:r w:rsidR="00066AB0">
        <w:rPr>
          <w:lang w:val="en-GB"/>
        </w:rPr>
        <w:t>, ‘</w:t>
      </w:r>
      <w:r w:rsidR="00066AB0" w:rsidRPr="00066AB0">
        <w:rPr>
          <w:lang w:val="en-GB"/>
        </w:rPr>
        <w:t>The EU Politics of Remembrance: Can Europeans</w:t>
      </w:r>
      <w:r w:rsidR="00066AB0">
        <w:rPr>
          <w:lang w:val="en-GB"/>
        </w:rPr>
        <w:t xml:space="preserve"> </w:t>
      </w:r>
      <w:r w:rsidR="00066AB0" w:rsidRPr="00066AB0">
        <w:rPr>
          <w:lang w:val="en-GB"/>
        </w:rPr>
        <w:t>Remember Together?</w:t>
      </w:r>
      <w:r w:rsidR="00066AB0">
        <w:rPr>
          <w:lang w:val="en-GB"/>
        </w:rPr>
        <w:t xml:space="preserve">’ </w:t>
      </w:r>
      <w:r w:rsidR="00A17C72">
        <w:rPr>
          <w:lang w:val="en-GB"/>
        </w:rPr>
        <w:t xml:space="preserve">35(5) </w:t>
      </w:r>
      <w:r w:rsidR="00A17C72">
        <w:rPr>
          <w:i/>
          <w:iCs/>
          <w:lang w:val="en-GB"/>
        </w:rPr>
        <w:t>West European Politics</w:t>
      </w:r>
      <w:r w:rsidR="00A17C72">
        <w:rPr>
          <w:lang w:val="en-GB"/>
        </w:rPr>
        <w:t xml:space="preserve"> 1182, </w:t>
      </w:r>
      <w:r w:rsidR="0048143F">
        <w:rPr>
          <w:lang w:val="en-GB"/>
        </w:rPr>
        <w:t>1182.</w:t>
      </w:r>
    </w:p>
  </w:footnote>
  <w:footnote w:id="39">
    <w:p w14:paraId="1BC9B7D7"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40">
    <w:p w14:paraId="067F3CFA"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 1183.</w:t>
      </w:r>
    </w:p>
  </w:footnote>
  <w:footnote w:id="41">
    <w:p w14:paraId="4C7270D5" w14:textId="6EB454D2" w:rsidR="008A0EEF" w:rsidRPr="00E00C4D" w:rsidRDefault="008A0EEF">
      <w:pPr>
        <w:pStyle w:val="FootnoteText"/>
        <w:rPr>
          <w:lang w:val="en-GB"/>
        </w:rPr>
      </w:pPr>
      <w:r>
        <w:rPr>
          <w:rStyle w:val="FootnoteReference"/>
        </w:rPr>
        <w:footnoteRef/>
      </w:r>
      <w:r w:rsidRPr="00704280">
        <w:rPr>
          <w:lang w:val="en-US"/>
        </w:rPr>
        <w:t xml:space="preserve"> </w:t>
      </w:r>
      <w:r w:rsidR="00E00C4D">
        <w:rPr>
          <w:lang w:val="en-GB"/>
        </w:rPr>
        <w:t>Ibid.</w:t>
      </w:r>
    </w:p>
  </w:footnote>
  <w:footnote w:id="42">
    <w:p w14:paraId="29704A5F" w14:textId="765CE39C" w:rsidR="009E2841" w:rsidRPr="009E2841" w:rsidRDefault="009E2841">
      <w:pPr>
        <w:pStyle w:val="FootnoteText"/>
        <w:rPr>
          <w:lang w:val="en-GB"/>
        </w:rPr>
      </w:pPr>
      <w:r>
        <w:rPr>
          <w:rStyle w:val="FootnoteReference"/>
        </w:rPr>
        <w:footnoteRef/>
      </w:r>
      <w:r w:rsidRPr="00704280">
        <w:rPr>
          <w:lang w:val="en-US"/>
        </w:rPr>
        <w:t xml:space="preserve"> </w:t>
      </w:r>
      <w:r w:rsidR="00ED7B81">
        <w:rPr>
          <w:lang w:val="en-GB"/>
        </w:rPr>
        <w:t xml:space="preserve">Teitel </w:t>
      </w:r>
      <w:r w:rsidR="00E00C4D">
        <w:rPr>
          <w:lang w:val="en-GB"/>
        </w:rPr>
        <w:t>n32,</w:t>
      </w:r>
      <w:r w:rsidR="00F26037">
        <w:rPr>
          <w:lang w:val="en-GB"/>
        </w:rPr>
        <w:t xml:space="preserve"> 70</w:t>
      </w:r>
      <w:r w:rsidR="00E00C4D">
        <w:rPr>
          <w:lang w:val="en-GB"/>
        </w:rPr>
        <w:t>.</w:t>
      </w:r>
    </w:p>
  </w:footnote>
  <w:footnote w:id="43">
    <w:p w14:paraId="30C49327" w14:textId="62611D06" w:rsidR="00D87D14" w:rsidRPr="00C85B89" w:rsidRDefault="00D87D14" w:rsidP="00D87D14">
      <w:pPr>
        <w:pStyle w:val="FootnoteText"/>
        <w:rPr>
          <w:lang w:val="en-GB"/>
        </w:rPr>
      </w:pPr>
      <w:r>
        <w:rPr>
          <w:rStyle w:val="FootnoteReference"/>
        </w:rPr>
        <w:footnoteRef/>
      </w:r>
      <w:r w:rsidRPr="00704280">
        <w:rPr>
          <w:lang w:val="en-US"/>
        </w:rPr>
        <w:t xml:space="preserve"> </w:t>
      </w:r>
      <w:r w:rsidR="00C85B89">
        <w:rPr>
          <w:lang w:val="en-GB"/>
        </w:rPr>
        <w:t xml:space="preserve">Available at </w:t>
      </w:r>
      <w:r w:rsidR="00BF1660">
        <w:rPr>
          <w:lang w:val="en-GB"/>
        </w:rPr>
        <w:t>&lt;</w:t>
      </w:r>
      <w:hyperlink r:id="rId4" w:history="1">
        <w:r w:rsidR="00BF1660" w:rsidRPr="00C01B66">
          <w:rPr>
            <w:rStyle w:val="Hyperlink"/>
            <w:lang w:val="en-GB"/>
          </w:rPr>
          <w:t>https://www.europarl.europa.eu/doceo/document/E-7-2012-005300_EN.html</w:t>
        </w:r>
      </w:hyperlink>
      <w:r w:rsidR="00BF1660">
        <w:rPr>
          <w:lang w:val="en-GB"/>
        </w:rPr>
        <w:t>&gt; (accessed 27 Feb 2022).</w:t>
      </w:r>
    </w:p>
  </w:footnote>
  <w:footnote w:id="44">
    <w:p w14:paraId="23F6D1E1" w14:textId="339D2461" w:rsidR="00842E78" w:rsidRPr="00842E78" w:rsidRDefault="00842E78" w:rsidP="00842E78">
      <w:pPr>
        <w:pStyle w:val="FootnoteText"/>
        <w:jc w:val="left"/>
        <w:rPr>
          <w:lang w:val="en-GB"/>
        </w:rPr>
      </w:pPr>
      <w:r>
        <w:rPr>
          <w:rStyle w:val="FootnoteReference"/>
        </w:rPr>
        <w:footnoteRef/>
      </w:r>
      <w:r>
        <w:rPr>
          <w:lang w:val="en-GB"/>
        </w:rPr>
        <w:t>Available at &lt;</w:t>
      </w:r>
      <w:hyperlink r:id="rId5" w:history="1">
        <w:r w:rsidRPr="00C01B66">
          <w:rPr>
            <w:rStyle w:val="Hyperlink"/>
            <w:lang w:val="en-GB"/>
          </w:rPr>
          <w:t>https://www.europarl.europa.eu/doceo/document/E-7-2012-005300-ASW_EN.html</w:t>
        </w:r>
      </w:hyperlink>
      <w:r>
        <w:rPr>
          <w:lang w:val="en-GB"/>
        </w:rPr>
        <w:t xml:space="preserve">&gt; (accessed 27 Feb 2022). </w:t>
      </w:r>
    </w:p>
  </w:footnote>
  <w:footnote w:id="45">
    <w:p w14:paraId="4FFCA992" w14:textId="0BCB1A52" w:rsidR="00D87D14" w:rsidRPr="00AA6925" w:rsidRDefault="00D87D14" w:rsidP="000E7D66">
      <w:pPr>
        <w:pStyle w:val="FootnoteText"/>
        <w:jc w:val="left"/>
        <w:rPr>
          <w:lang w:val="en-GB"/>
        </w:rPr>
      </w:pPr>
      <w:r>
        <w:rPr>
          <w:rStyle w:val="FootnoteReference"/>
        </w:rPr>
        <w:footnoteRef/>
      </w:r>
      <w:r w:rsidRPr="00704280">
        <w:rPr>
          <w:lang w:val="en-US"/>
        </w:rPr>
        <w:t xml:space="preserve"> </w:t>
      </w:r>
      <w:r w:rsidR="00AA6925">
        <w:rPr>
          <w:lang w:val="en-GB"/>
        </w:rPr>
        <w:t xml:space="preserve">Details available at </w:t>
      </w:r>
      <w:r w:rsidR="000E7D66">
        <w:rPr>
          <w:lang w:val="en-GB"/>
        </w:rPr>
        <w:t>&lt;</w:t>
      </w:r>
      <w:hyperlink r:id="rId6" w:history="1">
        <w:r w:rsidR="000E7D66" w:rsidRPr="00C01B66">
          <w:rPr>
            <w:rStyle w:val="Hyperlink"/>
            <w:lang w:val="en-GB"/>
          </w:rPr>
          <w:t>https://euroclio.eu/resource/connecting-europe-through-history-experiences-and-perceptions-of-migration-in-europe/</w:t>
        </w:r>
      </w:hyperlink>
      <w:r w:rsidR="000E7D66">
        <w:rPr>
          <w:lang w:val="en-GB"/>
        </w:rPr>
        <w:t xml:space="preserve">&gt; (accessed 27 Feb 2022). </w:t>
      </w:r>
    </w:p>
  </w:footnote>
  <w:footnote w:id="46">
    <w:p w14:paraId="62815723" w14:textId="235FDA9F"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Hereafter CERV Regulation.  See n</w:t>
      </w:r>
      <w:r w:rsidR="000E7D66">
        <w:rPr>
          <w:rFonts w:asciiTheme="minorHAnsi" w:hAnsiTheme="minorHAnsi" w:cstheme="minorHAnsi"/>
          <w:szCs w:val="22"/>
          <w:lang w:val="en-GB"/>
        </w:rPr>
        <w:t>28</w:t>
      </w:r>
      <w:r>
        <w:rPr>
          <w:rFonts w:asciiTheme="minorHAnsi" w:hAnsiTheme="minorHAnsi" w:cstheme="minorHAnsi"/>
          <w:szCs w:val="22"/>
          <w:lang w:val="en-GB"/>
        </w:rPr>
        <w:t>.</w:t>
      </w:r>
    </w:p>
  </w:footnote>
  <w:footnote w:id="47">
    <w:p w14:paraId="3D1F5E45" w14:textId="17873D92"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167 TFEU, n1</w:t>
      </w:r>
      <w:r w:rsidR="000E7D66">
        <w:rPr>
          <w:rFonts w:asciiTheme="minorHAnsi" w:hAnsiTheme="minorHAnsi" w:cstheme="minorHAnsi"/>
          <w:szCs w:val="22"/>
          <w:lang w:val="en-GB"/>
        </w:rPr>
        <w:t>4</w:t>
      </w:r>
      <w:r>
        <w:rPr>
          <w:rFonts w:asciiTheme="minorHAnsi" w:hAnsiTheme="minorHAnsi" w:cstheme="minorHAnsi"/>
          <w:szCs w:val="22"/>
          <w:lang w:val="en-GB"/>
        </w:rPr>
        <w:t>.</w:t>
      </w:r>
    </w:p>
  </w:footnote>
  <w:footnote w:id="48">
    <w:p w14:paraId="23F64975" w14:textId="4D3FB7C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7(1) CERV Regulation, n</w:t>
      </w:r>
      <w:r w:rsidR="000E7D66">
        <w:rPr>
          <w:rFonts w:asciiTheme="minorHAnsi" w:hAnsiTheme="minorHAnsi" w:cstheme="minorHAnsi"/>
          <w:szCs w:val="22"/>
          <w:lang w:val="en-GB"/>
        </w:rPr>
        <w:t>28</w:t>
      </w:r>
      <w:r>
        <w:rPr>
          <w:rFonts w:asciiTheme="minorHAnsi" w:hAnsiTheme="minorHAnsi" w:cstheme="minorHAnsi"/>
          <w:szCs w:val="22"/>
          <w:lang w:val="en-GB"/>
        </w:rPr>
        <w:t xml:space="preserve">.  </w:t>
      </w:r>
    </w:p>
  </w:footnote>
  <w:footnote w:id="49">
    <w:p w14:paraId="6DD8EC11"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7(2) CERV Regulation, ibid.</w:t>
      </w:r>
    </w:p>
  </w:footnote>
  <w:footnote w:id="50">
    <w:p w14:paraId="1DB4C570"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2(2) CERV Regulation, ibid.</w:t>
      </w:r>
    </w:p>
  </w:footnote>
  <w:footnote w:id="51">
    <w:p w14:paraId="70466887"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5(1) CERV Regulation, ibid.</w:t>
      </w:r>
    </w:p>
  </w:footnote>
  <w:footnote w:id="52">
    <w:p w14:paraId="02D5A31E"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7(7) CERV Regulation, ibid.</w:t>
      </w:r>
    </w:p>
  </w:footnote>
  <w:footnote w:id="53">
    <w:p w14:paraId="46D19B36"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lang w:val="en-GB"/>
        </w:rPr>
        <w:footnoteRef/>
      </w:r>
      <w:r>
        <w:rPr>
          <w:rFonts w:asciiTheme="minorHAnsi" w:hAnsiTheme="minorHAnsi" w:cstheme="minorHAnsi"/>
          <w:lang w:val="en-GB"/>
        </w:rPr>
        <w:t xml:space="preserve"> RePAST D6.16 PRfEU, 9.</w:t>
      </w:r>
    </w:p>
  </w:footnote>
  <w:footnote w:id="54">
    <w:p w14:paraId="1F67A20F"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rFonts w:asciiTheme="minorHAnsi" w:hAnsiTheme="minorHAnsi" w:cstheme="minorHAnsi"/>
          <w:lang w:val="en-GB"/>
        </w:rPr>
        <w:t>RePAST D6.16 PRfEU, 11.</w:t>
      </w:r>
    </w:p>
  </w:footnote>
  <w:footnote w:id="55">
    <w:p w14:paraId="4BB3182A" w14:textId="2FD50C48"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Littoz-Monnet n</w:t>
      </w:r>
      <w:r w:rsidR="00854937">
        <w:rPr>
          <w:rFonts w:asciiTheme="minorHAnsi" w:hAnsiTheme="minorHAnsi" w:cstheme="minorHAnsi"/>
          <w:szCs w:val="22"/>
          <w:lang w:val="en-GB"/>
        </w:rPr>
        <w:t>3</w:t>
      </w:r>
      <w:r w:rsidR="00BE45C7">
        <w:rPr>
          <w:rFonts w:asciiTheme="minorHAnsi" w:hAnsiTheme="minorHAnsi" w:cstheme="minorHAnsi"/>
          <w:szCs w:val="22"/>
          <w:lang w:val="en-GB"/>
        </w:rPr>
        <w:t>7</w:t>
      </w:r>
      <w:r>
        <w:rPr>
          <w:rFonts w:asciiTheme="minorHAnsi" w:hAnsiTheme="minorHAnsi" w:cstheme="minorHAnsi"/>
          <w:szCs w:val="22"/>
          <w:lang w:val="en-GB"/>
        </w:rPr>
        <w:t>, 1187-1188.</w:t>
      </w:r>
    </w:p>
  </w:footnote>
  <w:footnote w:id="56">
    <w:p w14:paraId="6F123D5C"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57">
    <w:p w14:paraId="20337552"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58">
    <w:p w14:paraId="26DFD313" w14:textId="40B6C2F6"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  See also Toth n</w:t>
      </w:r>
      <w:r w:rsidR="00BE45C7">
        <w:rPr>
          <w:rFonts w:asciiTheme="minorHAnsi" w:hAnsiTheme="minorHAnsi" w:cstheme="minorHAnsi"/>
          <w:szCs w:val="22"/>
          <w:lang w:val="en-GB"/>
        </w:rPr>
        <w:t>11</w:t>
      </w:r>
      <w:r>
        <w:rPr>
          <w:rFonts w:asciiTheme="minorHAnsi" w:hAnsiTheme="minorHAnsi" w:cstheme="minorHAnsi"/>
          <w:szCs w:val="22"/>
          <w:lang w:val="en-GB"/>
        </w:rPr>
        <w:t>.</w:t>
      </w:r>
      <w:r>
        <w:rPr>
          <w:rFonts w:asciiTheme="minorHAnsi" w:hAnsiTheme="minorHAnsi" w:cstheme="minorHAnsi"/>
          <w:szCs w:val="22"/>
          <w:lang w:val="en-GB"/>
        </w:rPr>
        <w:tab/>
      </w:r>
    </w:p>
  </w:footnote>
  <w:footnote w:id="59">
    <w:p w14:paraId="575901CD" w14:textId="209061C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Littoz-Monnet n</w:t>
      </w:r>
      <w:r w:rsidR="00BE45C7">
        <w:rPr>
          <w:rFonts w:asciiTheme="minorHAnsi" w:hAnsiTheme="minorHAnsi" w:cstheme="minorHAnsi"/>
          <w:szCs w:val="22"/>
          <w:lang w:val="en-GB"/>
        </w:rPr>
        <w:t>37</w:t>
      </w:r>
      <w:r>
        <w:rPr>
          <w:rFonts w:asciiTheme="minorHAnsi" w:hAnsiTheme="minorHAnsi" w:cstheme="minorHAnsi"/>
          <w:szCs w:val="22"/>
          <w:lang w:val="en-GB"/>
        </w:rPr>
        <w:t>, 1183.</w:t>
      </w:r>
    </w:p>
  </w:footnote>
  <w:footnote w:id="60">
    <w:p w14:paraId="29C0FD18" w14:textId="0C9913D2" w:rsidR="00197049" w:rsidRPr="00197049" w:rsidRDefault="00197049">
      <w:pPr>
        <w:pStyle w:val="FootnoteText"/>
        <w:rPr>
          <w:lang w:val="en-GB"/>
        </w:rPr>
      </w:pPr>
      <w:r>
        <w:rPr>
          <w:rStyle w:val="FootnoteReference"/>
        </w:rPr>
        <w:footnoteRef/>
      </w:r>
      <w:r w:rsidRPr="00704280">
        <w:rPr>
          <w:lang w:val="en-US"/>
        </w:rPr>
        <w:t xml:space="preserve"> </w:t>
      </w:r>
      <w:r w:rsidR="00A7168F">
        <w:rPr>
          <w:lang w:val="en-GB"/>
        </w:rPr>
        <w:t>Teitel</w:t>
      </w:r>
      <w:r w:rsidR="00033966">
        <w:rPr>
          <w:lang w:val="en-GB"/>
        </w:rPr>
        <w:t xml:space="preserve"> n32</w:t>
      </w:r>
      <w:r w:rsidR="00A7168F">
        <w:rPr>
          <w:lang w:val="en-GB"/>
        </w:rPr>
        <w:t>, 2000, 106.</w:t>
      </w:r>
    </w:p>
  </w:footnote>
  <w:footnote w:id="61">
    <w:p w14:paraId="67573E51" w14:textId="0B1DA578"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Toth n</w:t>
      </w:r>
      <w:r w:rsidR="00BE45C7">
        <w:rPr>
          <w:rFonts w:asciiTheme="minorHAnsi" w:hAnsiTheme="minorHAnsi" w:cstheme="minorHAnsi"/>
          <w:szCs w:val="22"/>
          <w:lang w:val="en-GB"/>
        </w:rPr>
        <w:t>11</w:t>
      </w:r>
      <w:r>
        <w:rPr>
          <w:rFonts w:asciiTheme="minorHAnsi" w:hAnsiTheme="minorHAnsi" w:cstheme="minorHAnsi"/>
          <w:szCs w:val="22"/>
          <w:lang w:val="en-GB"/>
        </w:rPr>
        <w:t>, 1036.</w:t>
      </w:r>
    </w:p>
  </w:footnote>
  <w:footnote w:id="62">
    <w:p w14:paraId="0F696225" w14:textId="2C846584"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Jurisprudence of the European Court of Human Rights (ECtHR), under the jurisdiction of which all EU Member States fall, would suggest that the ban would have been unlawful in any event.  See the discussion of the </w:t>
      </w:r>
      <w:r>
        <w:rPr>
          <w:rFonts w:asciiTheme="minorHAnsi" w:hAnsiTheme="minorHAnsi" w:cstheme="minorHAnsi"/>
          <w:i/>
          <w:iCs/>
          <w:szCs w:val="22"/>
          <w:lang w:val="en-GB"/>
        </w:rPr>
        <w:t>Vajnai</w:t>
      </w:r>
      <w:r>
        <w:rPr>
          <w:rFonts w:asciiTheme="minorHAnsi" w:hAnsiTheme="minorHAnsi" w:cstheme="minorHAnsi"/>
          <w:szCs w:val="22"/>
          <w:lang w:val="en-GB"/>
        </w:rPr>
        <w:t xml:space="preserve"> case in Sweeney n1</w:t>
      </w:r>
      <w:r w:rsidR="00CC4652">
        <w:rPr>
          <w:rFonts w:asciiTheme="minorHAnsi" w:hAnsiTheme="minorHAnsi" w:cstheme="minorHAnsi"/>
          <w:szCs w:val="22"/>
          <w:lang w:val="en-GB"/>
        </w:rPr>
        <w:t>0</w:t>
      </w:r>
      <w:r>
        <w:rPr>
          <w:rFonts w:asciiTheme="minorHAnsi" w:hAnsiTheme="minorHAnsi" w:cstheme="minorHAnsi"/>
          <w:szCs w:val="22"/>
          <w:lang w:val="en-GB"/>
        </w:rPr>
        <w:t>, in which the ECtHR ruled that a Hungarian ban on displaying on the five-pointed star violated freedom of expression.</w:t>
      </w:r>
    </w:p>
  </w:footnote>
  <w:footnote w:id="63">
    <w:p w14:paraId="3151DBE9"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lang w:val="en-GB"/>
        </w:rPr>
        <w:footnoteRef/>
      </w:r>
      <w:r>
        <w:rPr>
          <w:rFonts w:asciiTheme="minorHAnsi" w:hAnsiTheme="minorHAnsi" w:cstheme="minorHAnsi"/>
          <w:lang w:val="en-GB"/>
        </w:rPr>
        <w:t xml:space="preserve"> Decision No 1904/2006/EC of the European Parliament and of the Council of 12 December 2006 establishing for the period 2007 to 2013 the programme ‘Europe for Citizens’ to promote active European citizenship OJ L 378/32.</w:t>
      </w:r>
    </w:p>
  </w:footnote>
  <w:footnote w:id="64">
    <w:p w14:paraId="298574B5"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rPr>
        <w:footnoteRef/>
      </w:r>
      <w:r w:rsidRPr="00704280">
        <w:rPr>
          <w:rFonts w:asciiTheme="minorHAnsi" w:hAnsiTheme="minorHAnsi" w:cstheme="minorHAnsi"/>
          <w:lang w:val="en-US"/>
        </w:rPr>
        <w:t xml:space="preserve"> </w:t>
      </w:r>
      <w:r>
        <w:rPr>
          <w:rFonts w:asciiTheme="minorHAnsi" w:hAnsiTheme="minorHAnsi" w:cstheme="minorHAnsi"/>
          <w:lang w:val="en-GB"/>
        </w:rPr>
        <w:t>Ibid.</w:t>
      </w:r>
    </w:p>
  </w:footnote>
  <w:footnote w:id="65">
    <w:p w14:paraId="2C58B688" w14:textId="0F24BD02"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rPr>
        <w:footnoteRef/>
      </w:r>
      <w:r w:rsidRPr="00704280">
        <w:rPr>
          <w:rFonts w:asciiTheme="minorHAnsi" w:hAnsiTheme="minorHAnsi" w:cstheme="minorHAnsi"/>
          <w:lang w:val="en-US"/>
        </w:rPr>
        <w:t xml:space="preserve"> </w:t>
      </w:r>
      <w:r>
        <w:rPr>
          <w:rFonts w:asciiTheme="minorHAnsi" w:hAnsiTheme="minorHAnsi" w:cstheme="minorHAnsi"/>
          <w:lang w:val="en-GB"/>
        </w:rPr>
        <w:t>Littoz-Monnet n3</w:t>
      </w:r>
      <w:r w:rsidR="00ED5DAC">
        <w:rPr>
          <w:rFonts w:asciiTheme="minorHAnsi" w:hAnsiTheme="minorHAnsi" w:cstheme="minorHAnsi"/>
          <w:lang w:val="en-GB"/>
        </w:rPr>
        <w:t>7</w:t>
      </w:r>
      <w:r>
        <w:rPr>
          <w:rFonts w:asciiTheme="minorHAnsi" w:hAnsiTheme="minorHAnsi" w:cstheme="minorHAnsi"/>
          <w:lang w:val="en-GB"/>
        </w:rPr>
        <w:t>, 1195.</w:t>
      </w:r>
    </w:p>
  </w:footnote>
  <w:footnote w:id="66">
    <w:p w14:paraId="5B6A7414"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data are available at &lt;</w:t>
      </w:r>
      <w:hyperlink r:id="rId7" w:tooltip="https://ec.europa.eu/programmes/europe-for-citizens/projects/efc-projects-compendium/" w:history="1">
        <w:r>
          <w:rPr>
            <w:rStyle w:val="Hyperlink"/>
            <w:rFonts w:asciiTheme="minorHAnsi" w:hAnsiTheme="minorHAnsi" w:cstheme="minorHAnsi"/>
            <w:szCs w:val="22"/>
            <w:lang w:val="en-GB"/>
          </w:rPr>
          <w:t>https://ec.europa.eu/programmes/europe-for-citizens/projects/efc-projects-compendium/</w:t>
        </w:r>
      </w:hyperlink>
      <w:r>
        <w:rPr>
          <w:rFonts w:asciiTheme="minorHAnsi" w:hAnsiTheme="minorHAnsi" w:cstheme="minorHAnsi"/>
          <w:szCs w:val="22"/>
          <w:lang w:val="en-GB"/>
        </w:rPr>
        <w:t>&gt; (accessed 6 October 2021).</w:t>
      </w:r>
    </w:p>
  </w:footnote>
  <w:footnote w:id="67">
    <w:p w14:paraId="74C32458"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figure was established by using Microsoft Excel to calculate the number of times those words appeared in separate project descriptions as given in the spreadsheet available at ibid.</w:t>
      </w:r>
    </w:p>
  </w:footnote>
  <w:footnote w:id="68">
    <w:p w14:paraId="324DB4E0"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Details are available at &lt;</w:t>
      </w:r>
      <w:hyperlink r:id="rId8" w:tooltip="https://ec.europa.eu/programmes/europe-for-citizens/projects/efc-project-details-page/?nodeRef=workspace://SpacesStore/2c801b72-aa8f-4872-b6a6-92626b061de0" w:history="1">
        <w:r>
          <w:rPr>
            <w:rStyle w:val="Hyperlink"/>
            <w:rFonts w:asciiTheme="minorHAnsi" w:hAnsiTheme="minorHAnsi" w:cstheme="minorHAnsi"/>
            <w:szCs w:val="22"/>
            <w:lang w:val="en-GB"/>
          </w:rPr>
          <w:t>https://ec.europa.eu/programmes/europe-for-citizens/projects/efc-project-details-page/?nodeRef=workspace://SpacesStore/2c801b72-aa8f-4872-b6a6-92626b061de0</w:t>
        </w:r>
      </w:hyperlink>
      <w:r>
        <w:rPr>
          <w:rFonts w:asciiTheme="minorHAnsi" w:hAnsiTheme="minorHAnsi" w:cstheme="minorHAnsi"/>
          <w:szCs w:val="22"/>
          <w:lang w:val="en-GB"/>
        </w:rPr>
        <w:t xml:space="preserve">&gt; (accessed 6 October 2021). </w:t>
      </w:r>
    </w:p>
  </w:footnote>
  <w:footnote w:id="69">
    <w:p w14:paraId="543F6372"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Details are available at &lt;</w:t>
      </w:r>
      <w:hyperlink r:id="rId9" w:tooltip="https://ec.europa.eu/programmes/europe-for-citizens/projects/efc-project-details-page/?nodeRef=workspace://SpacesStore/51f89423-6712-49ca-a8fa-37454b13375b" w:history="1">
        <w:r>
          <w:rPr>
            <w:rStyle w:val="Hyperlink"/>
            <w:rFonts w:asciiTheme="minorHAnsi" w:hAnsiTheme="minorHAnsi" w:cstheme="minorHAnsi"/>
            <w:szCs w:val="22"/>
            <w:lang w:val="en-GB"/>
          </w:rPr>
          <w:t>https://ec.europa.eu/programmes/europe-for-citizens/projects/efc-project-details-page/?nodeRef=workspace://SpacesStore/51f89423-6712-49ca-a8fa-37454b13375b</w:t>
        </w:r>
      </w:hyperlink>
      <w:r>
        <w:rPr>
          <w:rFonts w:asciiTheme="minorHAnsi" w:hAnsiTheme="minorHAnsi" w:cstheme="minorHAnsi"/>
          <w:szCs w:val="22"/>
          <w:lang w:val="en-GB"/>
        </w:rPr>
        <w:t>&gt; (accessed 6 October 2021).</w:t>
      </w:r>
    </w:p>
  </w:footnote>
  <w:footnote w:id="70">
    <w:p w14:paraId="3CBC6D9A"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rPr>
        <w:footnoteRef/>
      </w:r>
      <w:r w:rsidRPr="00704280">
        <w:rPr>
          <w:rFonts w:asciiTheme="minorHAnsi" w:hAnsiTheme="minorHAnsi" w:cstheme="minorHAnsi"/>
          <w:lang w:val="en-US"/>
        </w:rPr>
        <w:t xml:space="preserve"> </w:t>
      </w:r>
      <w:r>
        <w:rPr>
          <w:rFonts w:asciiTheme="minorHAnsi" w:hAnsiTheme="minorHAnsi" w:cstheme="minorHAnsi"/>
          <w:lang w:val="en-GB"/>
        </w:rPr>
        <w:t>Details are available at &lt;</w:t>
      </w:r>
      <w:hyperlink r:id="rId10" w:tooltip="https://eureconciliation.wordpress.com/" w:history="1">
        <w:r>
          <w:rPr>
            <w:rStyle w:val="Hyperlink"/>
            <w:rFonts w:asciiTheme="minorHAnsi" w:hAnsiTheme="minorHAnsi" w:cstheme="minorHAnsi"/>
            <w:lang w:val="en-GB"/>
          </w:rPr>
          <w:t>https://eureconciliation.wordpress.com/</w:t>
        </w:r>
      </w:hyperlink>
      <w:r>
        <w:rPr>
          <w:rFonts w:asciiTheme="minorHAnsi" w:hAnsiTheme="minorHAnsi" w:cstheme="minorHAnsi"/>
          <w:lang w:val="en-GB"/>
        </w:rPr>
        <w:t>&gt; (accessed 6 October 2021).</w:t>
      </w:r>
    </w:p>
  </w:footnote>
  <w:footnote w:id="71">
    <w:p w14:paraId="61B3F56B" w14:textId="7D8005E2"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Toth n</w:t>
      </w:r>
      <w:r w:rsidR="00FC037B">
        <w:rPr>
          <w:rFonts w:asciiTheme="minorHAnsi" w:hAnsiTheme="minorHAnsi" w:cstheme="minorHAnsi"/>
          <w:szCs w:val="22"/>
          <w:lang w:val="en-GB"/>
        </w:rPr>
        <w:t>11</w:t>
      </w:r>
      <w:r>
        <w:rPr>
          <w:rFonts w:asciiTheme="minorHAnsi" w:hAnsiTheme="minorHAnsi" w:cstheme="minorHAnsi"/>
          <w:szCs w:val="22"/>
          <w:lang w:val="en-GB"/>
        </w:rPr>
        <w:t xml:space="preserve">. </w:t>
      </w:r>
      <w:r>
        <w:rPr>
          <w:rFonts w:asciiTheme="minorHAnsi" w:hAnsiTheme="minorHAnsi" w:cstheme="minorHAnsi"/>
          <w:szCs w:val="22"/>
          <w:lang w:val="en-GB"/>
        </w:rPr>
        <w:tab/>
      </w:r>
    </w:p>
  </w:footnote>
  <w:footnote w:id="72">
    <w:p w14:paraId="4FEC282A"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Details are available at &lt;</w:t>
      </w:r>
      <w:hyperlink r:id="rId11" w:tooltip="https://praguedeclaration.eu/" w:history="1">
        <w:r>
          <w:rPr>
            <w:rStyle w:val="Hyperlink"/>
            <w:rFonts w:asciiTheme="minorHAnsi" w:hAnsiTheme="minorHAnsi" w:cstheme="minorHAnsi"/>
            <w:szCs w:val="22"/>
            <w:lang w:val="en-GB"/>
          </w:rPr>
          <w:t>https://praguedeclaration.eu/</w:t>
        </w:r>
      </w:hyperlink>
      <w:r>
        <w:rPr>
          <w:rFonts w:asciiTheme="minorHAnsi" w:hAnsiTheme="minorHAnsi" w:cstheme="minorHAnsi"/>
          <w:szCs w:val="22"/>
          <w:lang w:val="en-GB"/>
        </w:rPr>
        <w:t>&gt; (accessed 6 October 2021).</w:t>
      </w:r>
    </w:p>
  </w:footnote>
  <w:footnote w:id="73">
    <w:p w14:paraId="020022A6"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GB"/>
        </w:rPr>
        <w:t>RePAST D6.16 PRfEU, 13.</w:t>
      </w:r>
    </w:p>
  </w:footnote>
  <w:footnote w:id="74">
    <w:p w14:paraId="56370CEB" w14:textId="77777777" w:rsidR="00EA6218" w:rsidRDefault="00F21B21">
      <w:pPr>
        <w:pStyle w:val="FootnoteText"/>
        <w:jc w:val="left"/>
        <w:rPr>
          <w:rFonts w:asciiTheme="minorHAnsi" w:hAnsiTheme="minorHAnsi" w:cstheme="minorHAnsi"/>
          <w:lang w:val="en-GB"/>
        </w:rPr>
      </w:pPr>
      <w:r>
        <w:rPr>
          <w:rStyle w:val="FootnoteReference"/>
          <w:rFonts w:asciiTheme="minorHAnsi" w:hAnsiTheme="minorHAnsi" w:cstheme="minorHAnsi"/>
        </w:rPr>
        <w:footnoteRef/>
      </w:r>
      <w:r w:rsidRPr="00704280">
        <w:rPr>
          <w:rFonts w:asciiTheme="minorHAnsi" w:hAnsiTheme="minorHAnsi" w:cstheme="minorHAnsi"/>
          <w:lang w:val="en-US"/>
        </w:rPr>
        <w:t xml:space="preserve"> </w:t>
      </w:r>
      <w:r>
        <w:rPr>
          <w:rFonts w:asciiTheme="minorHAnsi" w:hAnsiTheme="minorHAnsi" w:cstheme="minorHAnsi"/>
          <w:lang w:val="en-GB"/>
        </w:rPr>
        <w:t>European Parliament Resolution of 2 April 2009 on European conscience and totalitarianism, P6_TA(2009)0213, para. K.</w:t>
      </w:r>
    </w:p>
  </w:footnote>
  <w:footnote w:id="75">
    <w:p w14:paraId="1734B932"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preamble is not numbered therefore no pinpoint is available for this quotation.</w:t>
      </w:r>
    </w:p>
  </w:footnote>
  <w:footnote w:id="76">
    <w:p w14:paraId="73687436" w14:textId="4DA99CDF"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Prague Declaration n</w:t>
      </w:r>
      <w:r w:rsidR="00D47ECA">
        <w:rPr>
          <w:rFonts w:asciiTheme="minorHAnsi" w:hAnsiTheme="minorHAnsi" w:cstheme="minorHAnsi"/>
          <w:szCs w:val="22"/>
          <w:lang w:val="en-GB"/>
        </w:rPr>
        <w:t>71</w:t>
      </w:r>
      <w:r>
        <w:rPr>
          <w:rFonts w:asciiTheme="minorHAnsi" w:hAnsiTheme="minorHAnsi" w:cstheme="minorHAnsi"/>
          <w:szCs w:val="22"/>
          <w:lang w:val="en-GB"/>
        </w:rPr>
        <w:t>.</w:t>
      </w:r>
    </w:p>
  </w:footnote>
  <w:footnote w:id="77">
    <w:p w14:paraId="36E2F995" w14:textId="37E25139"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The Prague Declaration used the word ‘Institute’ rather than ‘Platform’.  See n</w:t>
      </w:r>
      <w:r w:rsidR="00D47ECA">
        <w:rPr>
          <w:rFonts w:asciiTheme="minorHAnsi" w:hAnsiTheme="minorHAnsi" w:cstheme="minorHAnsi"/>
          <w:szCs w:val="22"/>
          <w:lang w:val="en-GB"/>
        </w:rPr>
        <w:t>71</w:t>
      </w:r>
      <w:r>
        <w:rPr>
          <w:rFonts w:asciiTheme="minorHAnsi" w:hAnsiTheme="minorHAnsi" w:cstheme="minorHAnsi"/>
          <w:szCs w:val="22"/>
          <w:lang w:val="en-GB"/>
        </w:rPr>
        <w:t>.</w:t>
      </w:r>
    </w:p>
  </w:footnote>
  <w:footnote w:id="78">
    <w:p w14:paraId="77A536FA"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Details are available at &lt;</w:t>
      </w:r>
      <w:hyperlink r:id="rId12" w:tooltip="https://www.memoryandconscience.eu/" w:history="1">
        <w:r>
          <w:rPr>
            <w:rStyle w:val="Hyperlink"/>
            <w:rFonts w:asciiTheme="minorHAnsi" w:hAnsiTheme="minorHAnsi" w:cstheme="minorHAnsi"/>
            <w:szCs w:val="22"/>
            <w:lang w:val="en-GB"/>
          </w:rPr>
          <w:t>https://www.memoryandconscience.eu/</w:t>
        </w:r>
      </w:hyperlink>
      <w:r>
        <w:rPr>
          <w:rFonts w:asciiTheme="minorHAnsi" w:hAnsiTheme="minorHAnsi" w:cstheme="minorHAnsi"/>
          <w:szCs w:val="22"/>
          <w:lang w:val="en-GB"/>
        </w:rPr>
        <w:t xml:space="preserve">&gt; (accessed 6 October 2021). </w:t>
      </w:r>
    </w:p>
  </w:footnote>
  <w:footnote w:id="79">
    <w:p w14:paraId="3E8C6FD8"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Statute of the Platform, available at &lt;</w:t>
      </w:r>
      <w:hyperlink r:id="rId13" w:tooltip="https://www.memoryandconscience.eu/official-documents-of-the-european-parliament/statute-and-agreement/" w:history="1">
        <w:r>
          <w:rPr>
            <w:rStyle w:val="Hyperlink"/>
            <w:rFonts w:asciiTheme="minorHAnsi" w:hAnsiTheme="minorHAnsi" w:cstheme="minorHAnsi"/>
            <w:szCs w:val="22"/>
            <w:lang w:val="en-GB"/>
          </w:rPr>
          <w:t>https://www.memoryandconscience.eu/official-documents-of-the-european-parliament/statute-and-agreement/</w:t>
        </w:r>
      </w:hyperlink>
      <w:r>
        <w:rPr>
          <w:rFonts w:asciiTheme="minorHAnsi" w:hAnsiTheme="minorHAnsi" w:cstheme="minorHAnsi"/>
          <w:szCs w:val="22"/>
          <w:lang w:val="en-GB"/>
        </w:rPr>
        <w:t>&gt; (accessed 6 October 2021).</w:t>
      </w:r>
    </w:p>
  </w:footnote>
  <w:footnote w:id="80">
    <w:p w14:paraId="39C57F4B" w14:textId="74EB63E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Details are available at n7</w:t>
      </w:r>
      <w:r w:rsidR="00914DD9">
        <w:rPr>
          <w:rFonts w:asciiTheme="minorHAnsi" w:hAnsiTheme="minorHAnsi" w:cstheme="minorHAnsi"/>
          <w:szCs w:val="22"/>
          <w:lang w:val="en-GB"/>
        </w:rPr>
        <w:t>7</w:t>
      </w:r>
      <w:r>
        <w:rPr>
          <w:rFonts w:asciiTheme="minorHAnsi" w:hAnsiTheme="minorHAnsi" w:cstheme="minorHAnsi"/>
          <w:szCs w:val="22"/>
          <w:lang w:val="en-GB"/>
        </w:rPr>
        <w:t>.</w:t>
      </w:r>
    </w:p>
  </w:footnote>
  <w:footnote w:id="81">
    <w:p w14:paraId="463DFDF0" w14:textId="3845A24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Toth n</w:t>
      </w:r>
      <w:r w:rsidR="00FC037B">
        <w:rPr>
          <w:rFonts w:asciiTheme="minorHAnsi" w:hAnsiTheme="minorHAnsi" w:cstheme="minorHAnsi"/>
          <w:szCs w:val="22"/>
          <w:lang w:val="en-GB"/>
        </w:rPr>
        <w:t>11</w:t>
      </w:r>
      <w:r>
        <w:rPr>
          <w:rFonts w:asciiTheme="minorHAnsi" w:hAnsiTheme="minorHAnsi" w:cstheme="minorHAnsi"/>
          <w:szCs w:val="22"/>
          <w:lang w:val="en-GB"/>
        </w:rPr>
        <w:t xml:space="preserve"> – but note Toth’s caveat in this regard.</w:t>
      </w:r>
    </w:p>
  </w:footnote>
  <w:footnote w:id="82">
    <w:p w14:paraId="7963A399" w14:textId="0D8CB0BC"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Toth n</w:t>
      </w:r>
      <w:r w:rsidR="00FC037B">
        <w:rPr>
          <w:rFonts w:asciiTheme="minorHAnsi" w:hAnsiTheme="minorHAnsi" w:cstheme="minorHAnsi"/>
          <w:szCs w:val="22"/>
          <w:lang w:val="en-GB"/>
        </w:rPr>
        <w:t>11</w:t>
      </w:r>
      <w:r>
        <w:rPr>
          <w:rFonts w:asciiTheme="minorHAnsi" w:hAnsiTheme="minorHAnsi" w:cstheme="minorHAnsi"/>
          <w:szCs w:val="22"/>
          <w:lang w:val="en-GB"/>
        </w:rPr>
        <w:t xml:space="preserve">, 1032. </w:t>
      </w:r>
    </w:p>
  </w:footnote>
  <w:footnote w:id="83">
    <w:p w14:paraId="5B1F847F"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w:t>
      </w:r>
      <w:r>
        <w:rPr>
          <w:rFonts w:asciiTheme="minorHAnsi" w:hAnsiTheme="minorHAnsi" w:cstheme="minorHAnsi"/>
          <w:lang w:val="en-GB"/>
        </w:rPr>
        <w:t>The Stockholm Programme – An open and secure Europe serving and protecting the citizens’ OJ 2010/C 115/01.</w:t>
      </w:r>
    </w:p>
  </w:footnote>
  <w:footnote w:id="84">
    <w:p w14:paraId="54DD71E6"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 para. 2.1.</w:t>
      </w:r>
    </w:p>
  </w:footnote>
  <w:footnote w:id="85">
    <w:p w14:paraId="69AEADA3"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86">
    <w:p w14:paraId="3D9692A6" w14:textId="0CAC7F53" w:rsidR="00EA6218" w:rsidRDefault="00F21B21">
      <w:pPr>
        <w:pStyle w:val="FootnoteText"/>
        <w:rPr>
          <w:lang w:val="en-GB"/>
        </w:rPr>
      </w:pPr>
      <w:r w:rsidRPr="003E0C3A">
        <w:rPr>
          <w:rStyle w:val="FootnoteReference"/>
        </w:rPr>
        <w:footnoteRef/>
      </w:r>
      <w:r w:rsidRPr="00704280">
        <w:rPr>
          <w:lang w:val="en-US"/>
        </w:rPr>
        <w:t xml:space="preserve"> </w:t>
      </w:r>
      <w:r w:rsidR="00BF157D" w:rsidRPr="003E0C3A">
        <w:rPr>
          <w:lang w:val="en-GB"/>
        </w:rPr>
        <w:t>Teitel</w:t>
      </w:r>
      <w:r w:rsidR="003E0C3A" w:rsidRPr="003E0C3A">
        <w:rPr>
          <w:lang w:val="en-GB"/>
        </w:rPr>
        <w:t xml:space="preserve"> </w:t>
      </w:r>
      <w:r w:rsidR="00BF157D" w:rsidRPr="003E0C3A">
        <w:rPr>
          <w:lang w:val="en-GB"/>
        </w:rPr>
        <w:t>n32</w:t>
      </w:r>
      <w:r w:rsidR="003E0C3A" w:rsidRPr="003E0C3A">
        <w:rPr>
          <w:lang w:val="en-GB"/>
        </w:rPr>
        <w:t>,</w:t>
      </w:r>
      <w:r w:rsidR="00BF157D" w:rsidRPr="003E0C3A">
        <w:rPr>
          <w:lang w:val="en-GB"/>
        </w:rPr>
        <w:t xml:space="preserve"> </w:t>
      </w:r>
      <w:r w:rsidR="003E0C3A" w:rsidRPr="003E0C3A">
        <w:rPr>
          <w:lang w:val="en-GB"/>
        </w:rPr>
        <w:t>117.</w:t>
      </w:r>
    </w:p>
  </w:footnote>
  <w:footnote w:id="87">
    <w:p w14:paraId="17189BD6" w14:textId="37DC05B2"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Craig and De Búrca n1</w:t>
      </w:r>
      <w:r w:rsidR="00D86D2F">
        <w:rPr>
          <w:rFonts w:asciiTheme="minorHAnsi" w:hAnsiTheme="minorHAnsi" w:cstheme="minorHAnsi"/>
          <w:szCs w:val="22"/>
          <w:lang w:val="en-GB"/>
        </w:rPr>
        <w:t>2</w:t>
      </w:r>
      <w:r>
        <w:rPr>
          <w:rFonts w:asciiTheme="minorHAnsi" w:hAnsiTheme="minorHAnsi" w:cstheme="minorHAnsi"/>
          <w:szCs w:val="22"/>
          <w:lang w:val="en-GB"/>
        </w:rPr>
        <w:t>.</w:t>
      </w:r>
    </w:p>
  </w:footnote>
  <w:footnote w:id="88">
    <w:p w14:paraId="0D531FC3" w14:textId="7670CDBB"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Crossley-Frolick n1</w:t>
      </w:r>
      <w:r w:rsidR="00E67A43">
        <w:rPr>
          <w:rFonts w:asciiTheme="minorHAnsi" w:hAnsiTheme="minorHAnsi" w:cstheme="minorHAnsi"/>
          <w:szCs w:val="22"/>
          <w:lang w:val="en-GB"/>
        </w:rPr>
        <w:t>1</w:t>
      </w:r>
      <w:r>
        <w:rPr>
          <w:rFonts w:asciiTheme="minorHAnsi" w:hAnsiTheme="minorHAnsi" w:cstheme="minorHAnsi"/>
          <w:szCs w:val="22"/>
          <w:lang w:val="en-GB"/>
        </w:rPr>
        <w:t>, 48.</w:t>
      </w:r>
    </w:p>
  </w:footnote>
  <w:footnote w:id="89">
    <w:p w14:paraId="0C2FF275"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 43. </w:t>
      </w:r>
    </w:p>
  </w:footnote>
  <w:footnote w:id="90">
    <w:p w14:paraId="59EA0744"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Information about all past and current CSDP missions can be found at &lt;</w:t>
      </w:r>
      <w:hyperlink r:id="rId14" w:tooltip="https://eeas.europa.eu/headquarters/headquarters-homepage/83616/eu-csdp-missions-and-operations_en" w:history="1">
        <w:r>
          <w:rPr>
            <w:rStyle w:val="Hyperlink"/>
            <w:rFonts w:asciiTheme="minorHAnsi" w:hAnsiTheme="minorHAnsi" w:cstheme="minorHAnsi"/>
            <w:szCs w:val="22"/>
            <w:lang w:val="en-GB"/>
          </w:rPr>
          <w:t>https://eeas.europa.eu/headquarters/headquarters-homepage/83616/eu-csdp-missions-and-operations_en</w:t>
        </w:r>
      </w:hyperlink>
      <w:r>
        <w:rPr>
          <w:rFonts w:asciiTheme="minorHAnsi" w:hAnsiTheme="minorHAnsi" w:cstheme="minorHAnsi"/>
          <w:szCs w:val="22"/>
          <w:lang w:val="en-GB"/>
        </w:rPr>
        <w:t>&gt; (accessed 6 October 2021).</w:t>
      </w:r>
    </w:p>
  </w:footnote>
  <w:footnote w:id="91">
    <w:p w14:paraId="15F69311" w14:textId="48CFD326"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Crossley-Frolick n1</w:t>
      </w:r>
      <w:r w:rsidR="00E67A43">
        <w:rPr>
          <w:rFonts w:asciiTheme="minorHAnsi" w:hAnsiTheme="minorHAnsi" w:cstheme="minorHAnsi"/>
          <w:szCs w:val="22"/>
          <w:lang w:val="en-GB"/>
        </w:rPr>
        <w:t>1</w:t>
      </w:r>
      <w:r>
        <w:rPr>
          <w:rFonts w:asciiTheme="minorHAnsi" w:hAnsiTheme="minorHAnsi" w:cstheme="minorHAnsi"/>
          <w:szCs w:val="22"/>
          <w:lang w:val="en-GB"/>
        </w:rPr>
        <w:t>, 47.</w:t>
      </w:r>
    </w:p>
  </w:footnote>
  <w:footnote w:id="92">
    <w:p w14:paraId="5F500BC3"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Reuters, ‘Bosnian Serbs reinstate ties with national police’ (2015) available at &lt;</w:t>
      </w:r>
      <w:hyperlink r:id="rId15" w:tooltip="https://news.trust.org/item/20151218192950-6vlly" w:history="1">
        <w:r>
          <w:rPr>
            <w:rStyle w:val="Hyperlink"/>
            <w:rFonts w:asciiTheme="minorHAnsi" w:hAnsiTheme="minorHAnsi" w:cstheme="minorHAnsi"/>
            <w:szCs w:val="22"/>
            <w:lang w:val="en-GB"/>
          </w:rPr>
          <w:t>https://news.trust.org/item/20151218192950-6vlly</w:t>
        </w:r>
      </w:hyperlink>
      <w:r>
        <w:rPr>
          <w:rFonts w:asciiTheme="minorHAnsi" w:hAnsiTheme="minorHAnsi" w:cstheme="minorHAnsi"/>
          <w:szCs w:val="22"/>
          <w:lang w:val="en-GB"/>
        </w:rPr>
        <w:t xml:space="preserve">&gt; (accessed 6 October 2021). </w:t>
      </w:r>
    </w:p>
  </w:footnote>
  <w:footnote w:id="93">
    <w:p w14:paraId="5C98D15C"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EUFOR, ‘About EUFOR’ (2021) available at &lt;</w:t>
      </w:r>
      <w:hyperlink r:id="rId16" w:tooltip="http://www.euforbih.org/index.php/about-eufor/background" w:history="1">
        <w:r>
          <w:rPr>
            <w:rStyle w:val="Hyperlink"/>
            <w:rFonts w:asciiTheme="minorHAnsi" w:hAnsiTheme="minorHAnsi" w:cstheme="minorHAnsi"/>
            <w:szCs w:val="22"/>
            <w:lang w:val="en-GB"/>
          </w:rPr>
          <w:t>http://www.euforbih.org/index.php/about-eufor/background</w:t>
        </w:r>
      </w:hyperlink>
      <w:r>
        <w:rPr>
          <w:rFonts w:asciiTheme="minorHAnsi" w:hAnsiTheme="minorHAnsi" w:cstheme="minorHAnsi"/>
          <w:szCs w:val="22"/>
          <w:lang w:val="en-GB"/>
        </w:rPr>
        <w:t>&gt; (accessed 6 October 2021).</w:t>
      </w:r>
    </w:p>
  </w:footnote>
  <w:footnote w:id="94">
    <w:p w14:paraId="7103CBAF" w14:textId="38A2D3AD"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Crossley-Frolick n1</w:t>
      </w:r>
      <w:r w:rsidR="00E67A43">
        <w:rPr>
          <w:rFonts w:asciiTheme="minorHAnsi" w:hAnsiTheme="minorHAnsi" w:cstheme="minorHAnsi"/>
          <w:szCs w:val="22"/>
          <w:lang w:val="en-GB"/>
        </w:rPr>
        <w:t>1</w:t>
      </w:r>
      <w:r>
        <w:rPr>
          <w:rFonts w:asciiTheme="minorHAnsi" w:hAnsiTheme="minorHAnsi" w:cstheme="minorHAnsi"/>
          <w:szCs w:val="22"/>
          <w:lang w:val="en-GB"/>
        </w:rPr>
        <w:t>, 46.</w:t>
      </w:r>
    </w:p>
  </w:footnote>
  <w:footnote w:id="95">
    <w:p w14:paraId="5432C625"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RePAST D16.6 ‘Policy Recommendations for Kosovo’.</w:t>
      </w:r>
    </w:p>
  </w:footnote>
  <w:footnote w:id="96">
    <w:p w14:paraId="4696994B" w14:textId="5B7C48D8" w:rsidR="00510E74" w:rsidRPr="00327C44" w:rsidRDefault="00510E74" w:rsidP="00510E74">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See </w:t>
      </w:r>
      <w:r w:rsidR="006C62F7">
        <w:rPr>
          <w:rFonts w:asciiTheme="minorHAnsi" w:hAnsiTheme="minorHAnsi" w:cstheme="minorHAnsi"/>
          <w:szCs w:val="22"/>
          <w:lang w:val="en-GB"/>
        </w:rPr>
        <w:t xml:space="preserve">Kutnak &amp; Hagen, </w:t>
      </w:r>
      <w:r w:rsidR="00A561C7" w:rsidRPr="006C62F7">
        <w:rPr>
          <w:rFonts w:asciiTheme="minorHAnsi" w:hAnsiTheme="minorHAnsi" w:cstheme="minorHAnsi"/>
          <w:i/>
          <w:iCs/>
          <w:szCs w:val="22"/>
          <w:lang w:val="en-GB"/>
        </w:rPr>
        <w:t>Reclaiming Justice: The International Tribunal for the Former Yugoslavia and Local Courts</w:t>
      </w:r>
      <w:r w:rsidR="006C62F7">
        <w:rPr>
          <w:rFonts w:asciiTheme="minorHAnsi" w:hAnsiTheme="minorHAnsi" w:cstheme="minorHAnsi"/>
          <w:szCs w:val="22"/>
          <w:lang w:val="en-GB"/>
        </w:rPr>
        <w:t xml:space="preserve"> (OUP 2011); </w:t>
      </w:r>
      <w:r w:rsidR="00795853">
        <w:rPr>
          <w:rFonts w:asciiTheme="minorHAnsi" w:hAnsiTheme="minorHAnsi" w:cstheme="minorHAnsi"/>
          <w:szCs w:val="22"/>
          <w:lang w:val="en-GB"/>
        </w:rPr>
        <w:t>Stahn et al</w:t>
      </w:r>
      <w:r w:rsidR="00B514F5">
        <w:rPr>
          <w:rFonts w:asciiTheme="minorHAnsi" w:hAnsiTheme="minorHAnsi" w:cstheme="minorHAnsi"/>
          <w:szCs w:val="22"/>
          <w:lang w:val="en-GB"/>
        </w:rPr>
        <w:t xml:space="preserve">, </w:t>
      </w:r>
      <w:r w:rsidR="00B514F5">
        <w:rPr>
          <w:rFonts w:asciiTheme="minorHAnsi" w:hAnsiTheme="minorHAnsi" w:cstheme="minorHAnsi"/>
          <w:i/>
          <w:iCs/>
          <w:szCs w:val="22"/>
          <w:lang w:val="en-GB"/>
        </w:rPr>
        <w:t>Legacies of the International Criminal Tribunal for the Former Yugoslavia</w:t>
      </w:r>
      <w:r w:rsidR="00EB7474">
        <w:rPr>
          <w:rFonts w:asciiTheme="minorHAnsi" w:hAnsiTheme="minorHAnsi" w:cstheme="minorHAnsi"/>
          <w:szCs w:val="22"/>
          <w:lang w:val="en-GB"/>
        </w:rPr>
        <w:t xml:space="preserve"> (OUP 2020)</w:t>
      </w:r>
      <w:r w:rsidR="00795853">
        <w:rPr>
          <w:rFonts w:asciiTheme="minorHAnsi" w:hAnsiTheme="minorHAnsi" w:cstheme="minorHAnsi"/>
          <w:szCs w:val="22"/>
          <w:lang w:val="en-GB"/>
        </w:rPr>
        <w:t xml:space="preserve"> </w:t>
      </w:r>
      <w:r>
        <w:rPr>
          <w:rFonts w:asciiTheme="minorHAnsi" w:hAnsiTheme="minorHAnsi" w:cstheme="minorHAnsi"/>
          <w:szCs w:val="22"/>
          <w:lang w:val="en-GB"/>
        </w:rPr>
        <w:t>Swart et al</w:t>
      </w:r>
      <w:r w:rsidR="00D74A07">
        <w:rPr>
          <w:rFonts w:asciiTheme="minorHAnsi" w:hAnsiTheme="minorHAnsi" w:cstheme="minorHAnsi"/>
          <w:szCs w:val="22"/>
          <w:lang w:val="en-GB"/>
        </w:rPr>
        <w:t xml:space="preserve"> (eds.)</w:t>
      </w:r>
      <w:r>
        <w:rPr>
          <w:rFonts w:asciiTheme="minorHAnsi" w:hAnsiTheme="minorHAnsi" w:cstheme="minorHAnsi"/>
          <w:szCs w:val="22"/>
          <w:lang w:val="en-GB"/>
        </w:rPr>
        <w:t xml:space="preserve">, </w:t>
      </w:r>
      <w:r w:rsidR="006A1631" w:rsidRPr="006C62F7">
        <w:rPr>
          <w:rFonts w:asciiTheme="minorHAnsi" w:hAnsiTheme="minorHAnsi" w:cstheme="minorHAnsi"/>
          <w:i/>
          <w:iCs/>
          <w:szCs w:val="22"/>
          <w:lang w:val="en-GB"/>
        </w:rPr>
        <w:t xml:space="preserve">The Legacy of the International Criminal Tribunal </w:t>
      </w:r>
      <w:r w:rsidR="00D74A07" w:rsidRPr="006C62F7">
        <w:rPr>
          <w:rFonts w:asciiTheme="minorHAnsi" w:hAnsiTheme="minorHAnsi" w:cstheme="minorHAnsi"/>
          <w:i/>
          <w:iCs/>
          <w:szCs w:val="22"/>
          <w:lang w:val="en-GB"/>
        </w:rPr>
        <w:t>for the Former Yugoslavia</w:t>
      </w:r>
      <w:r w:rsidR="00D74A07">
        <w:rPr>
          <w:rFonts w:asciiTheme="minorHAnsi" w:hAnsiTheme="minorHAnsi" w:cstheme="minorHAnsi"/>
          <w:szCs w:val="22"/>
          <w:lang w:val="en-GB"/>
        </w:rPr>
        <w:t xml:space="preserve"> (OUP 2011); </w:t>
      </w:r>
      <w:r w:rsidRPr="00327C44">
        <w:rPr>
          <w:rFonts w:asciiTheme="minorHAnsi" w:hAnsiTheme="minorHAnsi" w:cstheme="minorHAnsi"/>
          <w:szCs w:val="22"/>
          <w:lang w:val="en-GB"/>
        </w:rPr>
        <w:t>Verovšek n1</w:t>
      </w:r>
      <w:r>
        <w:rPr>
          <w:rFonts w:asciiTheme="minorHAnsi" w:hAnsiTheme="minorHAnsi" w:cstheme="minorHAnsi"/>
          <w:szCs w:val="22"/>
          <w:lang w:val="en-GB"/>
        </w:rPr>
        <w:t>1</w:t>
      </w:r>
      <w:r w:rsidRPr="00327C44">
        <w:rPr>
          <w:rFonts w:asciiTheme="minorHAnsi" w:hAnsiTheme="minorHAnsi" w:cstheme="minorHAnsi"/>
          <w:szCs w:val="22"/>
          <w:lang w:val="en-GB"/>
        </w:rPr>
        <w:t xml:space="preserve">, 12. </w:t>
      </w:r>
    </w:p>
  </w:footnote>
  <w:footnote w:id="97">
    <w:p w14:paraId="635F9C47" w14:textId="77777777" w:rsidR="00EA6218" w:rsidRPr="00327C44" w:rsidRDefault="00F21B21">
      <w:pPr>
        <w:pStyle w:val="Default"/>
        <w:rPr>
          <w:rFonts w:asciiTheme="minorHAnsi" w:hAnsiTheme="minorHAnsi" w:cstheme="minorHAnsi"/>
          <w:sz w:val="22"/>
          <w:szCs w:val="22"/>
          <w:lang w:val="en-GB"/>
        </w:rPr>
      </w:pPr>
      <w:r w:rsidRPr="00327C44">
        <w:rPr>
          <w:rStyle w:val="FootnoteReference"/>
          <w:rFonts w:asciiTheme="minorHAnsi" w:hAnsiTheme="minorHAnsi" w:cstheme="minorHAnsi"/>
          <w:sz w:val="22"/>
          <w:szCs w:val="22"/>
          <w:lang w:val="en-GB"/>
        </w:rPr>
        <w:footnoteRef/>
      </w:r>
      <w:r w:rsidRPr="00327C44">
        <w:rPr>
          <w:rFonts w:asciiTheme="minorHAnsi" w:hAnsiTheme="minorHAnsi" w:cstheme="minorHAnsi"/>
          <w:sz w:val="22"/>
          <w:szCs w:val="22"/>
          <w:lang w:val="en-GB"/>
        </w:rPr>
        <w:t xml:space="preserve"> Council of the European Union, ‘Action plan on human rights and democracy 2015-2019’ (</w:t>
      </w:r>
      <w:r w:rsidRPr="00327C44">
        <w:rPr>
          <w:rFonts w:asciiTheme="minorHAnsi" w:hAnsiTheme="minorHAnsi" w:cstheme="minorHAnsi"/>
          <w:i/>
          <w:iCs/>
          <w:sz w:val="22"/>
          <w:szCs w:val="22"/>
          <w:lang w:val="en-GB"/>
        </w:rPr>
        <w:t>Europa</w:t>
      </w:r>
      <w:r w:rsidRPr="00327C44">
        <w:rPr>
          <w:rFonts w:asciiTheme="minorHAnsi" w:hAnsiTheme="minorHAnsi" w:cstheme="minorHAnsi"/>
          <w:sz w:val="22"/>
          <w:szCs w:val="22"/>
          <w:lang w:val="en-GB"/>
        </w:rPr>
        <w:t>, 20 July 2015) &lt;</w:t>
      </w:r>
      <w:hyperlink r:id="rId17" w:tooltip="https://ec.europa.eu/anti-trafficking/sites/default/files/action-plan-on-human-rights-and-democracy-2015-2019_en.pdf" w:history="1">
        <w:r w:rsidRPr="00327C44">
          <w:rPr>
            <w:rStyle w:val="Hyperlink"/>
            <w:rFonts w:asciiTheme="minorHAnsi" w:hAnsiTheme="minorHAnsi" w:cstheme="minorHAnsi"/>
            <w:sz w:val="22"/>
            <w:szCs w:val="22"/>
            <w:lang w:val="en-GB"/>
          </w:rPr>
          <w:t>https://ec.europa.eu/anti-trafficking/sites/default/files/action-plan-on-human-rights-and-democracy-2015-2019_en.pdf</w:t>
        </w:r>
      </w:hyperlink>
      <w:r w:rsidRPr="00327C44">
        <w:rPr>
          <w:rFonts w:asciiTheme="minorHAnsi" w:hAnsiTheme="minorHAnsi" w:cstheme="minorHAnsi"/>
          <w:sz w:val="22"/>
          <w:szCs w:val="22"/>
          <w:lang w:val="en-GB"/>
        </w:rPr>
        <w:t>&gt; (accessed 6 October 2021).</w:t>
      </w:r>
    </w:p>
  </w:footnote>
  <w:footnote w:id="98">
    <w:p w14:paraId="414F9AEB" w14:textId="77777777" w:rsidR="00EA6218" w:rsidRPr="00327C44" w:rsidRDefault="00F21B21">
      <w:pPr>
        <w:pStyle w:val="FootnoteText"/>
        <w:jc w:val="left"/>
        <w:rPr>
          <w:rFonts w:asciiTheme="minorHAnsi" w:hAnsiTheme="minorHAnsi" w:cstheme="minorHAnsi"/>
          <w:szCs w:val="22"/>
          <w:lang w:val="en-GB"/>
        </w:rPr>
      </w:pPr>
      <w:r w:rsidRPr="00327C44">
        <w:rPr>
          <w:rStyle w:val="FootnoteReference"/>
          <w:rFonts w:asciiTheme="minorHAnsi" w:hAnsiTheme="minorHAnsi" w:cstheme="minorHAnsi"/>
          <w:szCs w:val="22"/>
          <w:lang w:val="en-GB"/>
        </w:rPr>
        <w:footnoteRef/>
      </w:r>
      <w:r w:rsidRPr="00327C44">
        <w:rPr>
          <w:rFonts w:asciiTheme="minorHAnsi" w:hAnsiTheme="minorHAnsi" w:cstheme="minorHAnsi"/>
          <w:szCs w:val="22"/>
          <w:lang w:val="en-GB"/>
        </w:rPr>
        <w:t xml:space="preserve"> European Union, 'The EU's policy framework on support to transitional justice (</w:t>
      </w:r>
      <w:r w:rsidRPr="00327C44">
        <w:rPr>
          <w:rFonts w:asciiTheme="minorHAnsi" w:hAnsiTheme="minorHAnsi" w:cstheme="minorHAnsi"/>
          <w:i/>
          <w:iCs/>
          <w:szCs w:val="22"/>
          <w:lang w:val="en-GB"/>
        </w:rPr>
        <w:t>Europa</w:t>
      </w:r>
      <w:r w:rsidRPr="00327C44">
        <w:rPr>
          <w:rFonts w:asciiTheme="minorHAnsi" w:hAnsiTheme="minorHAnsi" w:cstheme="minorHAnsi"/>
          <w:szCs w:val="22"/>
          <w:lang w:val="en-GB"/>
        </w:rPr>
        <w:t>, 2015 ) &lt;</w:t>
      </w:r>
      <w:hyperlink r:id="rId18" w:tooltip="https://eeas.europa.eu/archives/docs/top_stories/pdf/the_eus_policy_framework_on_support_to_transitional_justice.pdf" w:history="1">
        <w:r w:rsidRPr="00327C44">
          <w:rPr>
            <w:rStyle w:val="Hyperlink"/>
            <w:rFonts w:asciiTheme="minorHAnsi" w:hAnsiTheme="minorHAnsi" w:cstheme="minorHAnsi"/>
            <w:szCs w:val="22"/>
            <w:lang w:val="en-GB"/>
          </w:rPr>
          <w:t>https://eeas.europa.eu/archives/docs/top_stories/pdf/the_eus_policy_framework_on_support_to_transitional_justice.pdf</w:t>
        </w:r>
      </w:hyperlink>
      <w:r w:rsidRPr="00327C44">
        <w:rPr>
          <w:rFonts w:asciiTheme="minorHAnsi" w:hAnsiTheme="minorHAnsi" w:cstheme="minorHAnsi"/>
          <w:szCs w:val="22"/>
          <w:lang w:val="en-GB"/>
        </w:rPr>
        <w:t>&gt; (accessed 6 October 2021).</w:t>
      </w:r>
    </w:p>
  </w:footnote>
  <w:footnote w:id="99">
    <w:p w14:paraId="6DA2047D" w14:textId="4E3CC670" w:rsidR="00EA6218" w:rsidRPr="00327C44" w:rsidRDefault="00F21B21">
      <w:pPr>
        <w:pStyle w:val="FootnoteText"/>
        <w:jc w:val="left"/>
        <w:rPr>
          <w:rFonts w:asciiTheme="minorHAnsi" w:hAnsiTheme="minorHAnsi" w:cstheme="minorHAnsi"/>
          <w:szCs w:val="22"/>
          <w:lang w:val="en-GB"/>
        </w:rPr>
      </w:pPr>
      <w:r w:rsidRPr="00327C44">
        <w:rPr>
          <w:rStyle w:val="FootnoteReference"/>
          <w:rFonts w:asciiTheme="minorHAnsi" w:hAnsiTheme="minorHAnsi" w:cstheme="minorHAnsi"/>
          <w:szCs w:val="22"/>
          <w:lang w:val="en-GB"/>
        </w:rPr>
        <w:footnoteRef/>
      </w:r>
      <w:r w:rsidRPr="00327C44">
        <w:rPr>
          <w:rFonts w:asciiTheme="minorHAnsi" w:hAnsiTheme="minorHAnsi" w:cstheme="minorHAnsi"/>
          <w:szCs w:val="22"/>
          <w:lang w:val="en-GB"/>
        </w:rPr>
        <w:t xml:space="preserve"> UN n</w:t>
      </w:r>
      <w:r w:rsidR="00F66839">
        <w:rPr>
          <w:rFonts w:asciiTheme="minorHAnsi" w:hAnsiTheme="minorHAnsi" w:cstheme="minorHAnsi"/>
          <w:szCs w:val="22"/>
          <w:lang w:val="en-GB"/>
        </w:rPr>
        <w:t>8</w:t>
      </w:r>
      <w:r w:rsidRPr="00327C44">
        <w:rPr>
          <w:rFonts w:asciiTheme="minorHAnsi" w:hAnsiTheme="minorHAnsi" w:cstheme="minorHAnsi"/>
          <w:szCs w:val="22"/>
          <w:lang w:val="en-GB"/>
        </w:rPr>
        <w:t>.</w:t>
      </w:r>
    </w:p>
  </w:footnote>
  <w:footnote w:id="100">
    <w:p w14:paraId="2C63B8C7" w14:textId="04F47ED0"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European Union n9</w:t>
      </w:r>
      <w:r w:rsidR="007E27E6">
        <w:rPr>
          <w:rFonts w:asciiTheme="minorHAnsi" w:hAnsiTheme="minorHAnsi" w:cstheme="minorHAnsi"/>
          <w:szCs w:val="22"/>
          <w:lang w:val="en-GB"/>
        </w:rPr>
        <w:t>7</w:t>
      </w:r>
      <w:r>
        <w:rPr>
          <w:rFonts w:asciiTheme="minorHAnsi" w:hAnsiTheme="minorHAnsi" w:cstheme="minorHAnsi"/>
          <w:szCs w:val="22"/>
          <w:lang w:val="en-GB"/>
        </w:rPr>
        <w:t xml:space="preserve">, at section II (5). </w:t>
      </w:r>
    </w:p>
  </w:footnote>
  <w:footnote w:id="101">
    <w:p w14:paraId="28F6ADB5"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102">
    <w:p w14:paraId="0AC33293" w14:textId="77777777" w:rsidR="00EA6218" w:rsidRDefault="00F21B21">
      <w:pPr>
        <w:pStyle w:val="FootnoteText"/>
        <w:jc w:val="left"/>
        <w:rPr>
          <w:lang w:val="en-GB"/>
        </w:rPr>
      </w:pPr>
      <w:r>
        <w:rPr>
          <w:rStyle w:val="FootnoteReference"/>
        </w:rPr>
        <w:footnoteRef/>
      </w:r>
      <w:r w:rsidRPr="00704280">
        <w:rPr>
          <w:lang w:val="en-US"/>
        </w:rPr>
        <w:t xml:space="preserve"> </w:t>
      </w:r>
      <w:r>
        <w:rPr>
          <w:lang w:val="en-GB"/>
        </w:rPr>
        <w:t>The Annual Reports are available at &lt;</w:t>
      </w:r>
      <w:hyperlink r:id="rId19" w:tooltip="https://eeas.europa.eu/headquarters/headquarters-homepage_en/8437/EU%20Annual%20Reports%20on%20Human%20Rights%20and%20Democracy" w:history="1">
        <w:r>
          <w:rPr>
            <w:rStyle w:val="Hyperlink"/>
            <w:lang w:val="en-GB"/>
          </w:rPr>
          <w:t>https://eeas.europa.eu/headquarters/headquarters-homepage_en/8437/EU%20Annual%20Reports%20on%20Human%20Rights%20and%20Democracy</w:t>
        </w:r>
      </w:hyperlink>
      <w:r>
        <w:rPr>
          <w:lang w:val="en-GB"/>
        </w:rPr>
        <w:t>&gt; (accessed 6 October 2021).</w:t>
      </w:r>
    </w:p>
  </w:footnote>
  <w:footnote w:id="103">
    <w:p w14:paraId="6C9D706E" w14:textId="77777777" w:rsidR="00EA6218" w:rsidRDefault="00F21B21">
      <w:pPr>
        <w:pStyle w:val="FootnoteText"/>
        <w:rPr>
          <w:lang w:val="en-GB"/>
        </w:rPr>
      </w:pPr>
      <w:r>
        <w:rPr>
          <w:rStyle w:val="FootnoteReference"/>
        </w:rPr>
        <w:footnoteRef/>
      </w:r>
      <w:r w:rsidRPr="00704280">
        <w:rPr>
          <w:lang w:val="en-US"/>
        </w:rPr>
        <w:t xml:space="preserve"> </w:t>
      </w:r>
      <w:r>
        <w:rPr>
          <w:lang w:val="en-GB"/>
        </w:rPr>
        <w:t>Available at ibid.</w:t>
      </w:r>
    </w:p>
  </w:footnote>
  <w:footnote w:id="104">
    <w:p w14:paraId="41E21275"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Also available at ibid.</w:t>
      </w:r>
    </w:p>
  </w:footnote>
  <w:footnote w:id="105">
    <w:p w14:paraId="6C14D762" w14:textId="595B695E"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On EU development policy more generally see Craig and De Búrca n1</w:t>
      </w:r>
      <w:r w:rsidR="00D86D2F">
        <w:rPr>
          <w:rFonts w:asciiTheme="minorHAnsi" w:hAnsiTheme="minorHAnsi" w:cstheme="minorHAnsi"/>
          <w:szCs w:val="22"/>
          <w:lang w:val="en-GB"/>
        </w:rPr>
        <w:t>2</w:t>
      </w:r>
      <w:r>
        <w:rPr>
          <w:rFonts w:asciiTheme="minorHAnsi" w:hAnsiTheme="minorHAnsi" w:cstheme="minorHAnsi"/>
          <w:szCs w:val="22"/>
          <w:lang w:val="en-GB"/>
        </w:rPr>
        <w:t>.</w:t>
      </w:r>
    </w:p>
  </w:footnote>
  <w:footnote w:id="106">
    <w:p w14:paraId="10413693" w14:textId="4E7D8C46"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TFEU n1</w:t>
      </w:r>
      <w:r w:rsidR="00ED5FD2">
        <w:rPr>
          <w:rFonts w:asciiTheme="minorHAnsi" w:hAnsiTheme="minorHAnsi" w:cstheme="minorHAnsi"/>
          <w:szCs w:val="22"/>
          <w:lang w:val="en-GB"/>
        </w:rPr>
        <w:t>4</w:t>
      </w:r>
      <w:r>
        <w:rPr>
          <w:rFonts w:asciiTheme="minorHAnsi" w:hAnsiTheme="minorHAnsi" w:cstheme="minorHAnsi"/>
          <w:szCs w:val="22"/>
          <w:lang w:val="en-GB"/>
        </w:rPr>
        <w:t>.</w:t>
      </w:r>
    </w:p>
  </w:footnote>
  <w:footnote w:id="107">
    <w:p w14:paraId="4B570847" w14:textId="31AF2A1B"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Articles 208-211 TFEU n1</w:t>
      </w:r>
      <w:r w:rsidR="00ED5FD2">
        <w:rPr>
          <w:rFonts w:asciiTheme="minorHAnsi" w:hAnsiTheme="minorHAnsi" w:cstheme="minorHAnsi"/>
          <w:szCs w:val="22"/>
          <w:lang w:val="en-GB"/>
        </w:rPr>
        <w:t>4</w:t>
      </w:r>
      <w:r>
        <w:rPr>
          <w:rFonts w:asciiTheme="minorHAnsi" w:hAnsiTheme="minorHAnsi" w:cstheme="minorHAnsi"/>
          <w:szCs w:val="22"/>
          <w:lang w:val="en-GB"/>
        </w:rPr>
        <w:t>.</w:t>
      </w:r>
    </w:p>
  </w:footnote>
  <w:footnote w:id="108">
    <w:p w14:paraId="7E0B7179" w14:textId="1B414EF5" w:rsidR="00CD0B1D" w:rsidRDefault="00CD0B1D" w:rsidP="00CD0B1D">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174 TFEU n1</w:t>
      </w:r>
      <w:r w:rsidR="00ED5FD2">
        <w:rPr>
          <w:rFonts w:asciiTheme="minorHAnsi" w:hAnsiTheme="minorHAnsi" w:cstheme="minorHAnsi"/>
          <w:szCs w:val="22"/>
          <w:lang w:val="en-GB"/>
        </w:rPr>
        <w:t>4</w:t>
      </w:r>
      <w:r>
        <w:rPr>
          <w:rFonts w:asciiTheme="minorHAnsi" w:hAnsiTheme="minorHAnsi" w:cstheme="minorHAnsi"/>
          <w:szCs w:val="22"/>
          <w:lang w:val="en-GB"/>
        </w:rPr>
        <w:t>.</w:t>
      </w:r>
    </w:p>
  </w:footnote>
  <w:footnote w:id="109">
    <w:p w14:paraId="5C0E64A2"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lang w:val="en-GB"/>
        </w:rPr>
        <w:t>European Commission, ‘Cyprus’ (</w:t>
      </w:r>
      <w:r>
        <w:rPr>
          <w:i/>
          <w:iCs/>
          <w:lang w:val="en-GB"/>
        </w:rPr>
        <w:t>European Commission</w:t>
      </w:r>
      <w:r>
        <w:rPr>
          <w:lang w:val="en-GB"/>
        </w:rPr>
        <w:t>, 2014-2020) &lt;</w:t>
      </w:r>
      <w:hyperlink r:id="rId20" w:tooltip="https://ec.europa.eu/regional_policy/en/atlas/cyprus" w:history="1">
        <w:r>
          <w:rPr>
            <w:rStyle w:val="Hyperlink"/>
            <w:rFonts w:eastAsia="MS Gothic"/>
            <w:lang w:val="en-GB"/>
          </w:rPr>
          <w:t>https://ec.europa.eu/regional_policy/en/atlas/cyprus</w:t>
        </w:r>
      </w:hyperlink>
      <w:r>
        <w:rPr>
          <w:lang w:val="en-GB"/>
        </w:rPr>
        <w:t>&gt; (accessed 6 October 2021).</w:t>
      </w:r>
    </w:p>
  </w:footnote>
  <w:footnote w:id="110">
    <w:p w14:paraId="04FC6987"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Full details are available at &lt;</w:t>
      </w:r>
      <w:hyperlink r:id="rId21" w:tooltip="https://ec.europa.eu/regional_policy/en/policy/themes/northern-ireland-peace-programme/" w:history="1">
        <w:r>
          <w:rPr>
            <w:rStyle w:val="Hyperlink"/>
            <w:rFonts w:asciiTheme="minorHAnsi" w:hAnsiTheme="minorHAnsi" w:cstheme="minorHAnsi"/>
            <w:szCs w:val="22"/>
            <w:lang w:val="en-GB"/>
          </w:rPr>
          <w:t>https://ec.europa.eu/regional_policy/en/policy/themes/northern-ireland-peace-programme/</w:t>
        </w:r>
      </w:hyperlink>
      <w:r>
        <w:rPr>
          <w:rFonts w:asciiTheme="minorHAnsi" w:hAnsiTheme="minorHAnsi" w:cstheme="minorHAnsi"/>
          <w:szCs w:val="22"/>
          <w:lang w:val="en-GB"/>
        </w:rPr>
        <w:t>&gt; (accessed 6 October 2021).</w:t>
      </w:r>
    </w:p>
  </w:footnote>
  <w:footnote w:id="111">
    <w:p w14:paraId="2374C418" w14:textId="203525A9"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208 TFEU n1</w:t>
      </w:r>
      <w:r w:rsidR="00ED5FD2">
        <w:rPr>
          <w:rFonts w:asciiTheme="minorHAnsi" w:hAnsiTheme="minorHAnsi" w:cstheme="minorHAnsi"/>
          <w:szCs w:val="22"/>
          <w:lang w:val="en-GB"/>
        </w:rPr>
        <w:t>4</w:t>
      </w:r>
      <w:r>
        <w:rPr>
          <w:rFonts w:asciiTheme="minorHAnsi" w:hAnsiTheme="minorHAnsi" w:cstheme="minorHAnsi"/>
          <w:szCs w:val="22"/>
          <w:lang w:val="en-GB"/>
        </w:rPr>
        <w:t>.</w:t>
      </w:r>
    </w:p>
  </w:footnote>
  <w:footnote w:id="112">
    <w:p w14:paraId="3B390630" w14:textId="402F3DB0"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Article 209 TFEU n1</w:t>
      </w:r>
      <w:r w:rsidR="00ED5FD2">
        <w:rPr>
          <w:rFonts w:asciiTheme="minorHAnsi" w:hAnsiTheme="minorHAnsi" w:cstheme="minorHAnsi"/>
          <w:szCs w:val="22"/>
          <w:lang w:val="en-GB"/>
        </w:rPr>
        <w:t>4</w:t>
      </w:r>
      <w:r>
        <w:rPr>
          <w:rFonts w:asciiTheme="minorHAnsi" w:hAnsiTheme="minorHAnsi" w:cstheme="minorHAnsi"/>
          <w:szCs w:val="22"/>
          <w:lang w:val="en-GB"/>
        </w:rPr>
        <w:t>.</w:t>
      </w:r>
    </w:p>
  </w:footnote>
  <w:footnote w:id="113">
    <w:p w14:paraId="164251C2"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lang w:val="en-GB"/>
        </w:rPr>
        <w:t>Regulation (EU) 2021/947 of the European Parliament and of the Council of 9 June 2021 establishing the Neighbourhood, Development and International Cooperation Instrument – Global Europe, amending and repealing Decision No 466/2014/EU and repealing Regulation (EU) 2017/1601 and Council Regulation (EC, Euratom) No 480/2009 [2021] OJ L209/21.</w:t>
      </w:r>
    </w:p>
  </w:footnote>
  <w:footnote w:id="114">
    <w:p w14:paraId="77E65050" w14:textId="61A7E1C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Davis n1</w:t>
      </w:r>
      <w:r w:rsidR="00382EC7">
        <w:rPr>
          <w:rFonts w:asciiTheme="minorHAnsi" w:hAnsiTheme="minorHAnsi" w:cstheme="minorHAnsi"/>
          <w:szCs w:val="22"/>
          <w:lang w:val="en-GB"/>
        </w:rPr>
        <w:t>1</w:t>
      </w:r>
      <w:r>
        <w:rPr>
          <w:rFonts w:asciiTheme="minorHAnsi" w:hAnsiTheme="minorHAnsi" w:cstheme="minorHAnsi"/>
          <w:szCs w:val="22"/>
          <w:lang w:val="en-GB"/>
        </w:rPr>
        <w:t>, 14.</w:t>
      </w:r>
    </w:p>
  </w:footnote>
  <w:footnote w:id="115">
    <w:p w14:paraId="5145762A" w14:textId="26E9CEE6" w:rsidR="00EA6218" w:rsidRDefault="00F21B21">
      <w:pPr>
        <w:pStyle w:val="FootnoteText"/>
        <w:rPr>
          <w:lang w:val="en-GB"/>
        </w:rPr>
      </w:pPr>
      <w:r>
        <w:rPr>
          <w:rStyle w:val="FootnoteReference"/>
        </w:rPr>
        <w:footnoteRef/>
      </w:r>
      <w:r w:rsidRPr="00704280">
        <w:rPr>
          <w:lang w:val="en-US"/>
        </w:rPr>
        <w:t xml:space="preserve"> </w:t>
      </w:r>
      <w:r>
        <w:rPr>
          <w:lang w:val="en-GB"/>
        </w:rPr>
        <w:t>These ‘Areas’ are to be found in Annex II to the NDICI Regulation n11</w:t>
      </w:r>
      <w:r w:rsidR="00D7255B">
        <w:rPr>
          <w:lang w:val="en-GB"/>
        </w:rPr>
        <w:t>2</w:t>
      </w:r>
      <w:r>
        <w:rPr>
          <w:lang w:val="en-GB"/>
        </w:rPr>
        <w:t>.</w:t>
      </w:r>
    </w:p>
  </w:footnote>
  <w:footnote w:id="116">
    <w:p w14:paraId="791BC3F6" w14:textId="5B65FD1B" w:rsidR="00EA6218" w:rsidRDefault="00F21B21">
      <w:pPr>
        <w:pStyle w:val="FootnoteText"/>
        <w:rPr>
          <w:lang w:val="en-GB"/>
        </w:rPr>
      </w:pPr>
      <w:r>
        <w:rPr>
          <w:rStyle w:val="FootnoteReference"/>
        </w:rPr>
        <w:footnoteRef/>
      </w:r>
      <w:r w:rsidRPr="00704280">
        <w:rPr>
          <w:lang w:val="en-US"/>
        </w:rPr>
        <w:t xml:space="preserve"> </w:t>
      </w:r>
      <w:r>
        <w:rPr>
          <w:lang w:val="en-GB"/>
        </w:rPr>
        <w:t>These ‘Areas’ are to be found in Annexes III and IV to the NDICI Regulation n11</w:t>
      </w:r>
      <w:r w:rsidR="00D7255B">
        <w:rPr>
          <w:lang w:val="en-GB"/>
        </w:rPr>
        <w:t>2</w:t>
      </w:r>
      <w:r>
        <w:rPr>
          <w:lang w:val="en-GB"/>
        </w:rPr>
        <w:t>.</w:t>
      </w:r>
    </w:p>
  </w:footnote>
  <w:footnote w:id="117">
    <w:p w14:paraId="3481E8A9" w14:textId="77777777" w:rsidR="00EA6218" w:rsidRDefault="00F21B21">
      <w:pPr>
        <w:pStyle w:val="FootnoteText"/>
        <w:rPr>
          <w:lang w:val="en-GB"/>
        </w:rPr>
      </w:pPr>
      <w:r>
        <w:rPr>
          <w:rStyle w:val="FootnoteReference"/>
        </w:rPr>
        <w:footnoteRef/>
      </w:r>
      <w:r w:rsidRPr="00704280">
        <w:rPr>
          <w:lang w:val="en-US"/>
        </w:rPr>
        <w:t xml:space="preserve"> </w:t>
      </w:r>
      <w:r>
        <w:rPr>
          <w:rFonts w:asciiTheme="minorHAnsi" w:hAnsiTheme="minorHAnsi" w:cstheme="minorHAnsi"/>
          <w:szCs w:val="22"/>
          <w:lang w:val="en-GB"/>
        </w:rPr>
        <w:t xml:space="preserve">See Craig and De Búrca n10 for more on non-enlargement conditionality.  See also Pridham, </w:t>
      </w:r>
      <w:r>
        <w:rPr>
          <w:rFonts w:asciiTheme="minorHAnsi" w:hAnsiTheme="minorHAnsi" w:cstheme="minorHAnsi"/>
          <w:i/>
          <w:iCs/>
          <w:szCs w:val="22"/>
          <w:lang w:val="en-GB"/>
        </w:rPr>
        <w:t>The EU’s Conditionality Strategy: its Development before and after the Fall of Communism</w:t>
      </w:r>
      <w:r>
        <w:rPr>
          <w:rFonts w:asciiTheme="minorHAnsi" w:hAnsiTheme="minorHAnsi" w:cstheme="minorHAnsi"/>
          <w:szCs w:val="22"/>
          <w:lang w:val="en-GB"/>
        </w:rPr>
        <w:t xml:space="preserve"> (Palgrave 2005).</w:t>
      </w:r>
    </w:p>
  </w:footnote>
  <w:footnote w:id="118">
    <w:p w14:paraId="0EAF5B33"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lang w:val="en-GB"/>
        </w:rPr>
        <w:t>European Council, ‘European Council in Copenhagen – Presidency Conclusions’ (</w:t>
      </w:r>
      <w:r>
        <w:rPr>
          <w:i/>
          <w:iCs/>
          <w:lang w:val="en-GB"/>
        </w:rPr>
        <w:t>Consilium</w:t>
      </w:r>
      <w:r>
        <w:rPr>
          <w:lang w:val="en-GB"/>
        </w:rPr>
        <w:t>, 21-22 June 2003) &lt;</w:t>
      </w:r>
      <w:hyperlink r:id="rId22" w:tooltip="https://www.consilium.europa.eu/media/21225/72921.pdf" w:history="1">
        <w:r>
          <w:rPr>
            <w:rStyle w:val="Hyperlink"/>
            <w:rFonts w:eastAsia="MS Gothic"/>
            <w:lang w:val="en-GB"/>
          </w:rPr>
          <w:t>https://www.consilium.europa.eu/media/21225/72921.pdf</w:t>
        </w:r>
      </w:hyperlink>
      <w:r>
        <w:rPr>
          <w:lang w:val="en-GB"/>
        </w:rPr>
        <w:t xml:space="preserve">&gt; (accessed 6 October 2021).  </w:t>
      </w:r>
    </w:p>
  </w:footnote>
  <w:footnote w:id="119">
    <w:p w14:paraId="4A493E66"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120">
    <w:p w14:paraId="6443A697"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lang w:val="en-GB"/>
        </w:rPr>
        <w:t>European Commission, 'EU-Western Balkans Summit Thessaloniki press release' (</w:t>
      </w:r>
      <w:r>
        <w:rPr>
          <w:i/>
          <w:iCs/>
          <w:lang w:val="en-GB"/>
        </w:rPr>
        <w:t>European Commission</w:t>
      </w:r>
      <w:r>
        <w:rPr>
          <w:lang w:val="en-GB"/>
        </w:rPr>
        <w:t>,21 June 2003) &lt;</w:t>
      </w:r>
      <w:hyperlink r:id="rId23" w:tooltip="https://ec.europa.eu/commission/presscorner/detail/en/PRES_03_163" w:history="1">
        <w:r>
          <w:rPr>
            <w:rStyle w:val="Hyperlink"/>
            <w:rFonts w:eastAsia="MS Gothic"/>
            <w:lang w:val="en-GB"/>
          </w:rPr>
          <w:t>https://ec.europa.eu/commission/presscorner/detail/en/PRES_03_163</w:t>
        </w:r>
      </w:hyperlink>
      <w:r>
        <w:rPr>
          <w:lang w:val="en-GB"/>
        </w:rPr>
        <w:t xml:space="preserve">&gt; (accessed 6 October 2021). </w:t>
      </w:r>
    </w:p>
  </w:footnote>
  <w:footnote w:id="121">
    <w:p w14:paraId="166542D1" w14:textId="4E5CF420"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Davis n1</w:t>
      </w:r>
      <w:r w:rsidR="00382EC7">
        <w:rPr>
          <w:rFonts w:asciiTheme="minorHAnsi" w:hAnsiTheme="minorHAnsi" w:cstheme="minorHAnsi"/>
          <w:szCs w:val="22"/>
          <w:lang w:val="en-GB"/>
        </w:rPr>
        <w:t>1</w:t>
      </w:r>
      <w:r>
        <w:rPr>
          <w:rFonts w:asciiTheme="minorHAnsi" w:hAnsiTheme="minorHAnsi" w:cstheme="minorHAnsi"/>
          <w:szCs w:val="22"/>
          <w:lang w:val="en-GB"/>
        </w:rPr>
        <w:t>, 14.</w:t>
      </w:r>
    </w:p>
  </w:footnote>
  <w:footnote w:id="122">
    <w:p w14:paraId="4AD81A73"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RePAST D6.16 ‘Policy Recommendations for Cyprus”.</w:t>
      </w:r>
    </w:p>
  </w:footnote>
  <w:footnote w:id="123">
    <w:p w14:paraId="247E6508"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Ibid.</w:t>
      </w:r>
    </w:p>
  </w:footnote>
  <w:footnote w:id="124">
    <w:p w14:paraId="78921034" w14:textId="77777777" w:rsidR="00EA6218" w:rsidRDefault="00F21B21">
      <w:pPr>
        <w:pStyle w:val="FootnoteText"/>
        <w:jc w:val="left"/>
        <w:rPr>
          <w:rFonts w:asciiTheme="minorHAnsi" w:hAnsiTheme="minorHAnsi" w:cstheme="minorHAnsi"/>
          <w:szCs w:val="22"/>
          <w:lang w:val="en-GB"/>
        </w:rPr>
      </w:pPr>
      <w:r>
        <w:rPr>
          <w:rStyle w:val="FootnoteReference"/>
          <w:rFonts w:asciiTheme="minorHAnsi" w:hAnsiTheme="minorHAnsi" w:cstheme="minorHAnsi"/>
          <w:szCs w:val="22"/>
          <w:lang w:val="en-GB"/>
        </w:rPr>
        <w:footnoteRef/>
      </w:r>
      <w:r>
        <w:rPr>
          <w:rFonts w:asciiTheme="minorHAnsi" w:hAnsiTheme="minorHAnsi" w:cstheme="minorHAnsi"/>
          <w:szCs w:val="22"/>
          <w:lang w:val="en-GB"/>
        </w:rPr>
        <w:t xml:space="preserve"> </w:t>
      </w:r>
      <w:r>
        <w:rPr>
          <w:lang w:val="en-GB"/>
        </w:rPr>
        <w:t>ICTJ, ‘Cyprus’ (</w:t>
      </w:r>
      <w:r>
        <w:rPr>
          <w:i/>
          <w:iCs/>
          <w:lang w:val="en-GB"/>
        </w:rPr>
        <w:t xml:space="preserve">ICTJ, </w:t>
      </w:r>
      <w:r>
        <w:rPr>
          <w:lang w:val="en-GB"/>
        </w:rPr>
        <w:t>April 2011) &lt;</w:t>
      </w:r>
      <w:hyperlink r:id="rId24" w:tooltip="https://www.ictj.org/our-work/regions-and-countries/cyprus" w:history="1">
        <w:r>
          <w:rPr>
            <w:rStyle w:val="Hyperlink"/>
            <w:rFonts w:eastAsia="MS Gothic"/>
            <w:lang w:val="en-GB"/>
          </w:rPr>
          <w:t>https://www.ictj.org/our-work/regions-and-countries/cyprus</w:t>
        </w:r>
      </w:hyperlink>
      <w:r>
        <w:rPr>
          <w:rFonts w:asciiTheme="minorHAnsi" w:hAnsiTheme="minorHAnsi" w:cstheme="minorHAnsi"/>
          <w:szCs w:val="22"/>
          <w:lang w:val="en-GB"/>
        </w:rPr>
        <w:t>&gt; (accessed 6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7E9C" w14:textId="21C550E2" w:rsidR="00EA6218" w:rsidRDefault="04CD0FF8">
    <w:pPr>
      <w:pBdr>
        <w:bottom w:val="single" w:sz="4" w:space="1" w:color="auto"/>
      </w:pBdr>
      <w:spacing w:before="0" w:after="0"/>
      <w:jc w:val="right"/>
      <w:rPr>
        <w:b/>
        <w:bCs/>
        <w:sz w:val="22"/>
        <w:szCs w:val="22"/>
      </w:rPr>
    </w:pPr>
    <w:r>
      <w:rPr>
        <w:noProof/>
      </w:rPr>
      <w:drawing>
        <wp:inline distT="0" distB="0" distL="0" distR="0" wp14:anchorId="3CD73710" wp14:editId="06DE33FD">
          <wp:extent cx="1072515" cy="369570"/>
          <wp:effectExtent l="0" t="0" r="0" b="0"/>
          <wp:docPr id="1" name="Imagen 233" descr="REPAST_logo_cmy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pic:nvPicPr>
                <pic:blipFill>
                  <a:blip r:embed="rId1">
                    <a:extLst>
                      <a:ext uri="{28A0092B-C50C-407E-A947-70E740481C1C}">
                        <a14:useLocalDpi xmlns:a14="http://schemas.microsoft.com/office/drawing/2010/main" val="0"/>
                      </a:ext>
                    </a:extLst>
                  </a:blip>
                  <a:stretch>
                    <a:fillRect/>
                  </a:stretch>
                </pic:blipFill>
                <pic:spPr>
                  <a:xfrm>
                    <a:off x="0" y="0"/>
                    <a:ext cx="1072515" cy="369570"/>
                  </a:xfrm>
                  <a:prstGeom prst="rect">
                    <a:avLst/>
                  </a:prstGeom>
                </pic:spPr>
              </pic:pic>
            </a:graphicData>
          </a:graphic>
        </wp:inline>
      </w:drawing>
    </w:r>
    <w:r w:rsidRPr="04CD0FF8">
      <w:rPr>
        <w:sz w:val="22"/>
        <w:szCs w:val="22"/>
      </w:rPr>
      <w:t xml:space="preserve">     D5.3 Socio-legal analysis of EU transitional justice law and policy and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4CD0FF8" w14:paraId="20C2E4D6" w14:textId="77777777" w:rsidTr="04CD0FF8">
      <w:tc>
        <w:tcPr>
          <w:tcW w:w="3245" w:type="dxa"/>
        </w:tcPr>
        <w:p w14:paraId="09E9BB37" w14:textId="7E11E9AE" w:rsidR="04CD0FF8" w:rsidRDefault="04CD0FF8" w:rsidP="04CD0FF8">
          <w:pPr>
            <w:pStyle w:val="Header"/>
            <w:ind w:left="-115"/>
            <w:jc w:val="left"/>
          </w:pPr>
        </w:p>
      </w:tc>
      <w:tc>
        <w:tcPr>
          <w:tcW w:w="3245" w:type="dxa"/>
        </w:tcPr>
        <w:p w14:paraId="0461AE2C" w14:textId="78FB5826" w:rsidR="04CD0FF8" w:rsidRDefault="04CD0FF8" w:rsidP="04CD0FF8">
          <w:pPr>
            <w:pStyle w:val="Header"/>
            <w:jc w:val="center"/>
          </w:pPr>
        </w:p>
      </w:tc>
      <w:tc>
        <w:tcPr>
          <w:tcW w:w="3245" w:type="dxa"/>
        </w:tcPr>
        <w:p w14:paraId="7940CFA9" w14:textId="6421E291" w:rsidR="04CD0FF8" w:rsidRDefault="04CD0FF8" w:rsidP="04CD0FF8">
          <w:pPr>
            <w:pStyle w:val="Header"/>
            <w:ind w:right="-115"/>
            <w:jc w:val="right"/>
          </w:pPr>
        </w:p>
      </w:tc>
    </w:tr>
  </w:tbl>
  <w:p w14:paraId="58DCECEA" w14:textId="0DAB3339" w:rsidR="04CD0FF8" w:rsidRDefault="04CD0FF8" w:rsidP="04CD0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BA93" w14:textId="77777777" w:rsidR="00D03F2F" w:rsidRDefault="00D03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0390" w14:textId="77777777" w:rsidR="00D03F2F" w:rsidRPr="00CE5CFF" w:rsidRDefault="00D03F2F" w:rsidP="000C11E4">
    <w:pPr>
      <w:pStyle w:val="Header"/>
      <w:pBdr>
        <w:bottom w:val="single" w:sz="4" w:space="1" w:color="auto"/>
      </w:pBdr>
      <w:rPr>
        <w:rFonts w:cs="Arial"/>
        <w:sz w:val="20"/>
        <w:szCs w:val="20"/>
      </w:rPr>
    </w:pPr>
    <w:r>
      <w:rPr>
        <w:rFonts w:eastAsia="SimSun" w:cs="Arial"/>
        <w:noProof/>
        <w:spacing w:val="-3"/>
        <w:sz w:val="20"/>
      </w:rPr>
      <w:drawing>
        <wp:inline distT="0" distB="0" distL="0" distR="0" wp14:anchorId="75109F55" wp14:editId="19BD70E0">
          <wp:extent cx="1083945" cy="372745"/>
          <wp:effectExtent l="0" t="0" r="8255" b="8255"/>
          <wp:docPr id="45" name="Picture 7" descr="REPAST_logo_cmy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AST_logo_cmyk-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72745"/>
                  </a:xfrm>
                  <a:prstGeom prst="rect">
                    <a:avLst/>
                  </a:prstGeom>
                  <a:noFill/>
                  <a:ln>
                    <a:noFill/>
                  </a:ln>
                </pic:spPr>
              </pic:pic>
            </a:graphicData>
          </a:graphic>
        </wp:inline>
      </w:drawing>
    </w:r>
    <w:r w:rsidRPr="009D4838">
      <w:rPr>
        <w:rFonts w:cs="Arial"/>
        <w:sz w:val="20"/>
        <w:szCs w:val="20"/>
      </w:rPr>
      <w:tab/>
    </w:r>
    <w:r>
      <w:rPr>
        <w:rFonts w:cs="Arial"/>
        <w:sz w:val="20"/>
        <w:szCs w:val="20"/>
      </w:rPr>
      <w:t xml:space="preserve">                                                                                                                         </w:t>
    </w:r>
    <w:r w:rsidRPr="001E2540">
      <w:rPr>
        <w:rFonts w:cs="Arial"/>
        <w:sz w:val="22"/>
        <w:szCs w:val="22"/>
      </w:rPr>
      <w:t>D1.2 Risk Management Plan</w:t>
    </w:r>
  </w:p>
  <w:p w14:paraId="19C65D5E" w14:textId="77777777" w:rsidR="00D03F2F" w:rsidRDefault="00D03F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032F" w14:textId="77AA591F" w:rsidR="00D03F2F" w:rsidRDefault="00D03F2F">
    <w:pPr>
      <w:pBdr>
        <w:bottom w:val="single" w:sz="4" w:space="1" w:color="auto"/>
      </w:pBdr>
      <w:spacing w:before="0" w:after="0"/>
      <w:jc w:val="right"/>
      <w:rPr>
        <w:b/>
        <w:bCs/>
        <w:sz w:val="22"/>
        <w:szCs w:val="22"/>
      </w:rPr>
    </w:pPr>
    <w:r w:rsidRPr="00D03F2F" w:rsidDel="004A36F6">
      <w:rPr>
        <w:sz w:val="22"/>
        <w:szCs w:val="22"/>
      </w:rPr>
      <w:t xml:space="preserve"> </w:t>
    </w:r>
  </w:p>
</w:hdr>
</file>

<file path=word/intelligence2.xml><?xml version="1.0" encoding="utf-8"?>
<int2:intelligence xmlns:int2="http://schemas.microsoft.com/office/intelligence/2020/intelligence" xmlns:oel="http://schemas.microsoft.com/office/2019/extlst">
  <int2:observations>
    <int2:textHash int2:hashCode="y6bx3n2b15ssdK" int2:id="ZgjDz0G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0B5"/>
    <w:multiLevelType w:val="multilevel"/>
    <w:tmpl w:val="34F642D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5525B3E"/>
    <w:multiLevelType w:val="multilevel"/>
    <w:tmpl w:val="489E2CE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1F0996"/>
    <w:multiLevelType w:val="multilevel"/>
    <w:tmpl w:val="DBCA6AA0"/>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AD82C57"/>
    <w:multiLevelType w:val="hybridMultilevel"/>
    <w:tmpl w:val="8CFAC45C"/>
    <w:lvl w:ilvl="0" w:tplc="B1080F8A">
      <w:start w:val="1"/>
      <w:numFmt w:val="bullet"/>
      <w:lvlText w:val=""/>
      <w:lvlJc w:val="left"/>
      <w:pPr>
        <w:ind w:left="360" w:hanging="360"/>
      </w:pPr>
      <w:rPr>
        <w:rFonts w:ascii="Symbol" w:hAnsi="Symbol" w:hint="default"/>
      </w:rPr>
    </w:lvl>
    <w:lvl w:ilvl="1" w:tplc="99221B00">
      <w:start w:val="1"/>
      <w:numFmt w:val="bullet"/>
      <w:lvlText w:val="o"/>
      <w:lvlJc w:val="left"/>
      <w:pPr>
        <w:ind w:left="1080" w:hanging="360"/>
      </w:pPr>
      <w:rPr>
        <w:rFonts w:ascii="Courier New" w:hAnsi="Courier New" w:cs="Courier New" w:hint="default"/>
      </w:rPr>
    </w:lvl>
    <w:lvl w:ilvl="2" w:tplc="3C2A8A88">
      <w:start w:val="1"/>
      <w:numFmt w:val="bullet"/>
      <w:lvlText w:val=""/>
      <w:lvlJc w:val="left"/>
      <w:pPr>
        <w:ind w:left="1800" w:hanging="360"/>
      </w:pPr>
      <w:rPr>
        <w:rFonts w:ascii="Wingdings" w:hAnsi="Wingdings" w:hint="default"/>
      </w:rPr>
    </w:lvl>
    <w:lvl w:ilvl="3" w:tplc="1CFC6574">
      <w:start w:val="1"/>
      <w:numFmt w:val="bullet"/>
      <w:lvlText w:val=""/>
      <w:lvlJc w:val="left"/>
      <w:pPr>
        <w:ind w:left="2520" w:hanging="360"/>
      </w:pPr>
      <w:rPr>
        <w:rFonts w:ascii="Symbol" w:hAnsi="Symbol" w:hint="default"/>
      </w:rPr>
    </w:lvl>
    <w:lvl w:ilvl="4" w:tplc="7F42857E">
      <w:start w:val="1"/>
      <w:numFmt w:val="bullet"/>
      <w:lvlText w:val="o"/>
      <w:lvlJc w:val="left"/>
      <w:pPr>
        <w:ind w:left="3240" w:hanging="360"/>
      </w:pPr>
      <w:rPr>
        <w:rFonts w:ascii="Courier New" w:hAnsi="Courier New" w:cs="Courier New" w:hint="default"/>
      </w:rPr>
    </w:lvl>
    <w:lvl w:ilvl="5" w:tplc="A85442B0">
      <w:start w:val="1"/>
      <w:numFmt w:val="bullet"/>
      <w:lvlText w:val=""/>
      <w:lvlJc w:val="left"/>
      <w:pPr>
        <w:ind w:left="3960" w:hanging="360"/>
      </w:pPr>
      <w:rPr>
        <w:rFonts w:ascii="Wingdings" w:hAnsi="Wingdings" w:hint="default"/>
      </w:rPr>
    </w:lvl>
    <w:lvl w:ilvl="6" w:tplc="C7DE16FC">
      <w:start w:val="1"/>
      <w:numFmt w:val="bullet"/>
      <w:lvlText w:val=""/>
      <w:lvlJc w:val="left"/>
      <w:pPr>
        <w:ind w:left="4680" w:hanging="360"/>
      </w:pPr>
      <w:rPr>
        <w:rFonts w:ascii="Symbol" w:hAnsi="Symbol" w:hint="default"/>
      </w:rPr>
    </w:lvl>
    <w:lvl w:ilvl="7" w:tplc="2D30E798">
      <w:start w:val="1"/>
      <w:numFmt w:val="bullet"/>
      <w:lvlText w:val="o"/>
      <w:lvlJc w:val="left"/>
      <w:pPr>
        <w:ind w:left="5400" w:hanging="360"/>
      </w:pPr>
      <w:rPr>
        <w:rFonts w:ascii="Courier New" w:hAnsi="Courier New" w:cs="Courier New" w:hint="default"/>
      </w:rPr>
    </w:lvl>
    <w:lvl w:ilvl="8" w:tplc="3DBA9A08">
      <w:start w:val="1"/>
      <w:numFmt w:val="bullet"/>
      <w:lvlText w:val=""/>
      <w:lvlJc w:val="left"/>
      <w:pPr>
        <w:ind w:left="6120" w:hanging="360"/>
      </w:pPr>
      <w:rPr>
        <w:rFonts w:ascii="Wingdings" w:hAnsi="Wingdings" w:hint="default"/>
      </w:rPr>
    </w:lvl>
  </w:abstractNum>
  <w:abstractNum w:abstractNumId="4" w15:restartNumberingAfterBreak="0">
    <w:nsid w:val="0D1E6B6A"/>
    <w:multiLevelType w:val="hybridMultilevel"/>
    <w:tmpl w:val="0E32F3B6"/>
    <w:lvl w:ilvl="0" w:tplc="0D5C084C">
      <w:start w:val="1"/>
      <w:numFmt w:val="bullet"/>
      <w:lvlText w:val=""/>
      <w:lvlJc w:val="left"/>
      <w:pPr>
        <w:ind w:left="720" w:hanging="360"/>
      </w:pPr>
      <w:rPr>
        <w:rFonts w:ascii="Symbol" w:hAnsi="Symbol" w:hint="default"/>
      </w:rPr>
    </w:lvl>
    <w:lvl w:ilvl="1" w:tplc="94C25CD6">
      <w:start w:val="1"/>
      <w:numFmt w:val="bullet"/>
      <w:lvlText w:val="o"/>
      <w:lvlJc w:val="left"/>
      <w:pPr>
        <w:ind w:left="1440" w:hanging="360"/>
      </w:pPr>
      <w:rPr>
        <w:rFonts w:ascii="Courier New" w:hAnsi="Courier New" w:cs="Courier New" w:hint="default"/>
      </w:rPr>
    </w:lvl>
    <w:lvl w:ilvl="2" w:tplc="D6CE405E">
      <w:start w:val="1"/>
      <w:numFmt w:val="bullet"/>
      <w:lvlText w:val=""/>
      <w:lvlJc w:val="left"/>
      <w:pPr>
        <w:ind w:left="2160" w:hanging="360"/>
      </w:pPr>
      <w:rPr>
        <w:rFonts w:ascii="Wingdings" w:hAnsi="Wingdings" w:hint="default"/>
      </w:rPr>
    </w:lvl>
    <w:lvl w:ilvl="3" w:tplc="C1BA773C">
      <w:start w:val="1"/>
      <w:numFmt w:val="bullet"/>
      <w:lvlText w:val=""/>
      <w:lvlJc w:val="left"/>
      <w:pPr>
        <w:ind w:left="2880" w:hanging="360"/>
      </w:pPr>
      <w:rPr>
        <w:rFonts w:ascii="Symbol" w:hAnsi="Symbol" w:hint="default"/>
      </w:rPr>
    </w:lvl>
    <w:lvl w:ilvl="4" w:tplc="9F6C6694">
      <w:start w:val="1"/>
      <w:numFmt w:val="bullet"/>
      <w:lvlText w:val="o"/>
      <w:lvlJc w:val="left"/>
      <w:pPr>
        <w:ind w:left="3600" w:hanging="360"/>
      </w:pPr>
      <w:rPr>
        <w:rFonts w:ascii="Courier New" w:hAnsi="Courier New" w:cs="Courier New" w:hint="default"/>
      </w:rPr>
    </w:lvl>
    <w:lvl w:ilvl="5" w:tplc="AFAC09C6">
      <w:start w:val="1"/>
      <w:numFmt w:val="bullet"/>
      <w:lvlText w:val=""/>
      <w:lvlJc w:val="left"/>
      <w:pPr>
        <w:ind w:left="4320" w:hanging="360"/>
      </w:pPr>
      <w:rPr>
        <w:rFonts w:ascii="Wingdings" w:hAnsi="Wingdings" w:hint="default"/>
      </w:rPr>
    </w:lvl>
    <w:lvl w:ilvl="6" w:tplc="74E88B42">
      <w:start w:val="1"/>
      <w:numFmt w:val="bullet"/>
      <w:lvlText w:val=""/>
      <w:lvlJc w:val="left"/>
      <w:pPr>
        <w:ind w:left="5040" w:hanging="360"/>
      </w:pPr>
      <w:rPr>
        <w:rFonts w:ascii="Symbol" w:hAnsi="Symbol" w:hint="default"/>
      </w:rPr>
    </w:lvl>
    <w:lvl w:ilvl="7" w:tplc="CE307CA0">
      <w:start w:val="1"/>
      <w:numFmt w:val="bullet"/>
      <w:lvlText w:val="o"/>
      <w:lvlJc w:val="left"/>
      <w:pPr>
        <w:ind w:left="5760" w:hanging="360"/>
      </w:pPr>
      <w:rPr>
        <w:rFonts w:ascii="Courier New" w:hAnsi="Courier New" w:cs="Courier New" w:hint="default"/>
      </w:rPr>
    </w:lvl>
    <w:lvl w:ilvl="8" w:tplc="7F8A6BD6">
      <w:start w:val="1"/>
      <w:numFmt w:val="bullet"/>
      <w:lvlText w:val=""/>
      <w:lvlJc w:val="left"/>
      <w:pPr>
        <w:ind w:left="6480" w:hanging="360"/>
      </w:pPr>
      <w:rPr>
        <w:rFonts w:ascii="Wingdings" w:hAnsi="Wingdings" w:hint="default"/>
      </w:rPr>
    </w:lvl>
  </w:abstractNum>
  <w:abstractNum w:abstractNumId="5" w15:restartNumberingAfterBreak="0">
    <w:nsid w:val="0DB87C8F"/>
    <w:multiLevelType w:val="hybridMultilevel"/>
    <w:tmpl w:val="98D23318"/>
    <w:lvl w:ilvl="0" w:tplc="7D9E9132">
      <w:start w:val="1"/>
      <w:numFmt w:val="decimal"/>
      <w:lvlText w:val="%1."/>
      <w:lvlJc w:val="left"/>
      <w:pPr>
        <w:ind w:left="720" w:hanging="360"/>
      </w:pPr>
    </w:lvl>
    <w:lvl w:ilvl="1" w:tplc="D236EF92">
      <w:start w:val="1"/>
      <w:numFmt w:val="bullet"/>
      <w:lvlText w:val=""/>
      <w:lvlJc w:val="left"/>
      <w:pPr>
        <w:ind w:left="1440" w:hanging="360"/>
      </w:pPr>
      <w:rPr>
        <w:rFonts w:ascii="Symbol" w:hAnsi="Symbol" w:hint="default"/>
      </w:rPr>
    </w:lvl>
    <w:lvl w:ilvl="2" w:tplc="4DA8AD34">
      <w:start w:val="1"/>
      <w:numFmt w:val="lowerRoman"/>
      <w:lvlText w:val="%3."/>
      <w:lvlJc w:val="right"/>
      <w:pPr>
        <w:ind w:left="2160" w:hanging="180"/>
      </w:pPr>
    </w:lvl>
    <w:lvl w:ilvl="3" w:tplc="3500BD12">
      <w:start w:val="1"/>
      <w:numFmt w:val="decimal"/>
      <w:lvlText w:val="%4."/>
      <w:lvlJc w:val="left"/>
      <w:pPr>
        <w:ind w:left="2880" w:hanging="360"/>
      </w:pPr>
    </w:lvl>
    <w:lvl w:ilvl="4" w:tplc="081ED170">
      <w:start w:val="1"/>
      <w:numFmt w:val="lowerLetter"/>
      <w:lvlText w:val="%5."/>
      <w:lvlJc w:val="left"/>
      <w:pPr>
        <w:ind w:left="3600" w:hanging="360"/>
      </w:pPr>
    </w:lvl>
    <w:lvl w:ilvl="5" w:tplc="3F5AB0D6">
      <w:start w:val="1"/>
      <w:numFmt w:val="lowerRoman"/>
      <w:lvlText w:val="%6."/>
      <w:lvlJc w:val="right"/>
      <w:pPr>
        <w:ind w:left="4320" w:hanging="180"/>
      </w:pPr>
    </w:lvl>
    <w:lvl w:ilvl="6" w:tplc="7BA25F34">
      <w:start w:val="1"/>
      <w:numFmt w:val="decimal"/>
      <w:lvlText w:val="%7."/>
      <w:lvlJc w:val="left"/>
      <w:pPr>
        <w:ind w:left="5040" w:hanging="360"/>
      </w:pPr>
    </w:lvl>
    <w:lvl w:ilvl="7" w:tplc="C700FA02">
      <w:start w:val="1"/>
      <w:numFmt w:val="lowerLetter"/>
      <w:lvlText w:val="%8."/>
      <w:lvlJc w:val="left"/>
      <w:pPr>
        <w:ind w:left="5760" w:hanging="360"/>
      </w:pPr>
    </w:lvl>
    <w:lvl w:ilvl="8" w:tplc="D3E0BB4A">
      <w:start w:val="1"/>
      <w:numFmt w:val="lowerRoman"/>
      <w:lvlText w:val="%9."/>
      <w:lvlJc w:val="right"/>
      <w:pPr>
        <w:ind w:left="6480" w:hanging="180"/>
      </w:pPr>
    </w:lvl>
  </w:abstractNum>
  <w:abstractNum w:abstractNumId="6" w15:restartNumberingAfterBreak="0">
    <w:nsid w:val="0E3C4D96"/>
    <w:multiLevelType w:val="multilevel"/>
    <w:tmpl w:val="5B02B73E"/>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68E033F"/>
    <w:multiLevelType w:val="hybridMultilevel"/>
    <w:tmpl w:val="50D2E86E"/>
    <w:lvl w:ilvl="0" w:tplc="7A625CEE">
      <w:start w:val="1"/>
      <w:numFmt w:val="bullet"/>
      <w:lvlText w:val=""/>
      <w:lvlJc w:val="left"/>
      <w:pPr>
        <w:ind w:left="720" w:hanging="360"/>
      </w:pPr>
      <w:rPr>
        <w:rFonts w:ascii="Symbol" w:hAnsi="Symbol" w:hint="default"/>
      </w:rPr>
    </w:lvl>
    <w:lvl w:ilvl="1" w:tplc="8A22B26E">
      <w:start w:val="1"/>
      <w:numFmt w:val="bullet"/>
      <w:lvlText w:val="o"/>
      <w:lvlJc w:val="left"/>
      <w:pPr>
        <w:ind w:left="1440" w:hanging="360"/>
      </w:pPr>
      <w:rPr>
        <w:rFonts w:ascii="Courier New" w:hAnsi="Courier New" w:cs="Courier New" w:hint="default"/>
      </w:rPr>
    </w:lvl>
    <w:lvl w:ilvl="2" w:tplc="B6EE6164">
      <w:start w:val="1"/>
      <w:numFmt w:val="bullet"/>
      <w:lvlText w:val=""/>
      <w:lvlJc w:val="left"/>
      <w:pPr>
        <w:ind w:left="2160" w:hanging="360"/>
      </w:pPr>
      <w:rPr>
        <w:rFonts w:ascii="Wingdings" w:hAnsi="Wingdings" w:hint="default"/>
      </w:rPr>
    </w:lvl>
    <w:lvl w:ilvl="3" w:tplc="A622EC58">
      <w:start w:val="1"/>
      <w:numFmt w:val="bullet"/>
      <w:lvlText w:val=""/>
      <w:lvlJc w:val="left"/>
      <w:pPr>
        <w:ind w:left="2880" w:hanging="360"/>
      </w:pPr>
      <w:rPr>
        <w:rFonts w:ascii="Symbol" w:hAnsi="Symbol" w:hint="default"/>
      </w:rPr>
    </w:lvl>
    <w:lvl w:ilvl="4" w:tplc="96C80986">
      <w:start w:val="1"/>
      <w:numFmt w:val="bullet"/>
      <w:lvlText w:val="o"/>
      <w:lvlJc w:val="left"/>
      <w:pPr>
        <w:ind w:left="3600" w:hanging="360"/>
      </w:pPr>
      <w:rPr>
        <w:rFonts w:ascii="Courier New" w:hAnsi="Courier New" w:cs="Courier New" w:hint="default"/>
      </w:rPr>
    </w:lvl>
    <w:lvl w:ilvl="5" w:tplc="C9DA2698">
      <w:start w:val="1"/>
      <w:numFmt w:val="bullet"/>
      <w:lvlText w:val=""/>
      <w:lvlJc w:val="left"/>
      <w:pPr>
        <w:ind w:left="4320" w:hanging="360"/>
      </w:pPr>
      <w:rPr>
        <w:rFonts w:ascii="Wingdings" w:hAnsi="Wingdings" w:hint="default"/>
      </w:rPr>
    </w:lvl>
    <w:lvl w:ilvl="6" w:tplc="EF3C82AC">
      <w:start w:val="1"/>
      <w:numFmt w:val="bullet"/>
      <w:lvlText w:val=""/>
      <w:lvlJc w:val="left"/>
      <w:pPr>
        <w:ind w:left="5040" w:hanging="360"/>
      </w:pPr>
      <w:rPr>
        <w:rFonts w:ascii="Symbol" w:hAnsi="Symbol" w:hint="default"/>
      </w:rPr>
    </w:lvl>
    <w:lvl w:ilvl="7" w:tplc="7430C7A6">
      <w:start w:val="1"/>
      <w:numFmt w:val="bullet"/>
      <w:lvlText w:val="o"/>
      <w:lvlJc w:val="left"/>
      <w:pPr>
        <w:ind w:left="5760" w:hanging="360"/>
      </w:pPr>
      <w:rPr>
        <w:rFonts w:ascii="Courier New" w:hAnsi="Courier New" w:cs="Courier New" w:hint="default"/>
      </w:rPr>
    </w:lvl>
    <w:lvl w:ilvl="8" w:tplc="9DD2098A">
      <w:start w:val="1"/>
      <w:numFmt w:val="bullet"/>
      <w:lvlText w:val=""/>
      <w:lvlJc w:val="left"/>
      <w:pPr>
        <w:ind w:left="6480" w:hanging="360"/>
      </w:pPr>
      <w:rPr>
        <w:rFonts w:ascii="Wingdings" w:hAnsi="Wingdings" w:hint="default"/>
      </w:rPr>
    </w:lvl>
  </w:abstractNum>
  <w:abstractNum w:abstractNumId="8" w15:restartNumberingAfterBreak="0">
    <w:nsid w:val="181E623D"/>
    <w:multiLevelType w:val="hybridMultilevel"/>
    <w:tmpl w:val="346C98F6"/>
    <w:lvl w:ilvl="0" w:tplc="7C262792">
      <w:start w:val="11"/>
      <w:numFmt w:val="bullet"/>
      <w:lvlText w:val="-"/>
      <w:lvlJc w:val="left"/>
      <w:pPr>
        <w:ind w:left="720" w:hanging="360"/>
      </w:pPr>
      <w:rPr>
        <w:rFonts w:ascii="Calibri" w:eastAsia="MS Mincho" w:hAnsi="Calibri" w:cs="Calibri" w:hint="default"/>
      </w:rPr>
    </w:lvl>
    <w:lvl w:ilvl="1" w:tplc="8716F130">
      <w:start w:val="1"/>
      <w:numFmt w:val="bullet"/>
      <w:lvlText w:val="o"/>
      <w:lvlJc w:val="left"/>
      <w:pPr>
        <w:ind w:left="1440" w:hanging="360"/>
      </w:pPr>
      <w:rPr>
        <w:rFonts w:ascii="Courier New" w:hAnsi="Courier New" w:cs="Courier New" w:hint="default"/>
      </w:rPr>
    </w:lvl>
    <w:lvl w:ilvl="2" w:tplc="5A608DB6">
      <w:start w:val="1"/>
      <w:numFmt w:val="bullet"/>
      <w:lvlText w:val=""/>
      <w:lvlJc w:val="left"/>
      <w:pPr>
        <w:ind w:left="2160" w:hanging="360"/>
      </w:pPr>
      <w:rPr>
        <w:rFonts w:ascii="Wingdings" w:hAnsi="Wingdings" w:hint="default"/>
      </w:rPr>
    </w:lvl>
    <w:lvl w:ilvl="3" w:tplc="1FB82048">
      <w:start w:val="1"/>
      <w:numFmt w:val="bullet"/>
      <w:lvlText w:val=""/>
      <w:lvlJc w:val="left"/>
      <w:pPr>
        <w:ind w:left="2880" w:hanging="360"/>
      </w:pPr>
      <w:rPr>
        <w:rFonts w:ascii="Symbol" w:hAnsi="Symbol" w:hint="default"/>
      </w:rPr>
    </w:lvl>
    <w:lvl w:ilvl="4" w:tplc="C78CD906">
      <w:start w:val="1"/>
      <w:numFmt w:val="bullet"/>
      <w:lvlText w:val="o"/>
      <w:lvlJc w:val="left"/>
      <w:pPr>
        <w:ind w:left="3600" w:hanging="360"/>
      </w:pPr>
      <w:rPr>
        <w:rFonts w:ascii="Courier New" w:hAnsi="Courier New" w:cs="Courier New" w:hint="default"/>
      </w:rPr>
    </w:lvl>
    <w:lvl w:ilvl="5" w:tplc="59E8ABAA">
      <w:start w:val="1"/>
      <w:numFmt w:val="bullet"/>
      <w:lvlText w:val=""/>
      <w:lvlJc w:val="left"/>
      <w:pPr>
        <w:ind w:left="4320" w:hanging="360"/>
      </w:pPr>
      <w:rPr>
        <w:rFonts w:ascii="Wingdings" w:hAnsi="Wingdings" w:hint="default"/>
      </w:rPr>
    </w:lvl>
    <w:lvl w:ilvl="6" w:tplc="4C26C42A">
      <w:start w:val="1"/>
      <w:numFmt w:val="bullet"/>
      <w:lvlText w:val=""/>
      <w:lvlJc w:val="left"/>
      <w:pPr>
        <w:ind w:left="5040" w:hanging="360"/>
      </w:pPr>
      <w:rPr>
        <w:rFonts w:ascii="Symbol" w:hAnsi="Symbol" w:hint="default"/>
      </w:rPr>
    </w:lvl>
    <w:lvl w:ilvl="7" w:tplc="28D865B6">
      <w:start w:val="1"/>
      <w:numFmt w:val="bullet"/>
      <w:lvlText w:val="o"/>
      <w:lvlJc w:val="left"/>
      <w:pPr>
        <w:ind w:left="5760" w:hanging="360"/>
      </w:pPr>
      <w:rPr>
        <w:rFonts w:ascii="Courier New" w:hAnsi="Courier New" w:cs="Courier New" w:hint="default"/>
      </w:rPr>
    </w:lvl>
    <w:lvl w:ilvl="8" w:tplc="87B811FE">
      <w:start w:val="1"/>
      <w:numFmt w:val="bullet"/>
      <w:lvlText w:val=""/>
      <w:lvlJc w:val="left"/>
      <w:pPr>
        <w:ind w:left="6480" w:hanging="360"/>
      </w:pPr>
      <w:rPr>
        <w:rFonts w:ascii="Wingdings" w:hAnsi="Wingdings" w:hint="default"/>
      </w:rPr>
    </w:lvl>
  </w:abstractNum>
  <w:abstractNum w:abstractNumId="9" w15:restartNumberingAfterBreak="0">
    <w:nsid w:val="1E834A19"/>
    <w:multiLevelType w:val="multilevel"/>
    <w:tmpl w:val="E76E03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ED75E30"/>
    <w:multiLevelType w:val="multilevel"/>
    <w:tmpl w:val="660422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10E4C2F"/>
    <w:multiLevelType w:val="hybridMultilevel"/>
    <w:tmpl w:val="BE9ABA30"/>
    <w:lvl w:ilvl="0" w:tplc="345040D8">
      <w:start w:val="1"/>
      <w:numFmt w:val="lowerLetter"/>
      <w:lvlText w:val="%1)"/>
      <w:lvlJc w:val="left"/>
      <w:pPr>
        <w:ind w:left="720" w:hanging="360"/>
      </w:pPr>
      <w:rPr>
        <w:rFonts w:hint="default"/>
      </w:rPr>
    </w:lvl>
    <w:lvl w:ilvl="1" w:tplc="0F103446">
      <w:start w:val="1"/>
      <w:numFmt w:val="lowerLetter"/>
      <w:lvlText w:val="%2."/>
      <w:lvlJc w:val="left"/>
      <w:pPr>
        <w:ind w:left="1440" w:hanging="360"/>
      </w:pPr>
    </w:lvl>
    <w:lvl w:ilvl="2" w:tplc="D0B691D8">
      <w:start w:val="1"/>
      <w:numFmt w:val="lowerRoman"/>
      <w:lvlText w:val="%3."/>
      <w:lvlJc w:val="right"/>
      <w:pPr>
        <w:ind w:left="2160" w:hanging="180"/>
      </w:pPr>
    </w:lvl>
    <w:lvl w:ilvl="3" w:tplc="A51465B0">
      <w:start w:val="1"/>
      <w:numFmt w:val="decimal"/>
      <w:lvlText w:val="%4."/>
      <w:lvlJc w:val="left"/>
      <w:pPr>
        <w:ind w:left="2880" w:hanging="360"/>
      </w:pPr>
    </w:lvl>
    <w:lvl w:ilvl="4" w:tplc="A20642EC">
      <w:start w:val="1"/>
      <w:numFmt w:val="lowerLetter"/>
      <w:lvlText w:val="%5."/>
      <w:lvlJc w:val="left"/>
      <w:pPr>
        <w:ind w:left="3600" w:hanging="360"/>
      </w:pPr>
    </w:lvl>
    <w:lvl w:ilvl="5" w:tplc="C354DEB8">
      <w:start w:val="1"/>
      <w:numFmt w:val="lowerRoman"/>
      <w:lvlText w:val="%6."/>
      <w:lvlJc w:val="right"/>
      <w:pPr>
        <w:ind w:left="4320" w:hanging="180"/>
      </w:pPr>
    </w:lvl>
    <w:lvl w:ilvl="6" w:tplc="B37AD552">
      <w:start w:val="1"/>
      <w:numFmt w:val="decimal"/>
      <w:lvlText w:val="%7."/>
      <w:lvlJc w:val="left"/>
      <w:pPr>
        <w:ind w:left="5040" w:hanging="360"/>
      </w:pPr>
    </w:lvl>
    <w:lvl w:ilvl="7" w:tplc="5E4E48D8">
      <w:start w:val="1"/>
      <w:numFmt w:val="lowerLetter"/>
      <w:lvlText w:val="%8."/>
      <w:lvlJc w:val="left"/>
      <w:pPr>
        <w:ind w:left="5760" w:hanging="360"/>
      </w:pPr>
    </w:lvl>
    <w:lvl w:ilvl="8" w:tplc="1AA21D10">
      <w:start w:val="1"/>
      <w:numFmt w:val="lowerRoman"/>
      <w:lvlText w:val="%9."/>
      <w:lvlJc w:val="right"/>
      <w:pPr>
        <w:ind w:left="6480" w:hanging="180"/>
      </w:pPr>
    </w:lvl>
  </w:abstractNum>
  <w:abstractNum w:abstractNumId="12" w15:restartNumberingAfterBreak="0">
    <w:nsid w:val="23B210B1"/>
    <w:multiLevelType w:val="hybridMultilevel"/>
    <w:tmpl w:val="2C82FDA6"/>
    <w:lvl w:ilvl="0" w:tplc="787A544A">
      <w:start w:val="1"/>
      <w:numFmt w:val="decimal"/>
      <w:lvlText w:val="%1."/>
      <w:lvlJc w:val="left"/>
      <w:pPr>
        <w:ind w:left="720" w:hanging="360"/>
      </w:pPr>
    </w:lvl>
    <w:lvl w:ilvl="1" w:tplc="F530C01A">
      <w:start w:val="1"/>
      <w:numFmt w:val="decimal"/>
      <w:lvlText w:val="%2."/>
      <w:lvlJc w:val="left"/>
      <w:pPr>
        <w:ind w:left="1440" w:hanging="360"/>
      </w:pPr>
    </w:lvl>
    <w:lvl w:ilvl="2" w:tplc="4F10669E">
      <w:start w:val="1"/>
      <w:numFmt w:val="lowerRoman"/>
      <w:lvlText w:val="%3."/>
      <w:lvlJc w:val="right"/>
      <w:pPr>
        <w:ind w:left="2160" w:hanging="180"/>
      </w:pPr>
    </w:lvl>
    <w:lvl w:ilvl="3" w:tplc="5260BA56">
      <w:start w:val="1"/>
      <w:numFmt w:val="decimal"/>
      <w:lvlText w:val="%4."/>
      <w:lvlJc w:val="left"/>
      <w:pPr>
        <w:ind w:left="2880" w:hanging="360"/>
      </w:pPr>
    </w:lvl>
    <w:lvl w:ilvl="4" w:tplc="E926EE2A">
      <w:start w:val="1"/>
      <w:numFmt w:val="lowerLetter"/>
      <w:lvlText w:val="%5."/>
      <w:lvlJc w:val="left"/>
      <w:pPr>
        <w:ind w:left="3600" w:hanging="360"/>
      </w:pPr>
    </w:lvl>
    <w:lvl w:ilvl="5" w:tplc="5D1460DC">
      <w:start w:val="1"/>
      <w:numFmt w:val="lowerRoman"/>
      <w:lvlText w:val="%6."/>
      <w:lvlJc w:val="right"/>
      <w:pPr>
        <w:ind w:left="4320" w:hanging="180"/>
      </w:pPr>
    </w:lvl>
    <w:lvl w:ilvl="6" w:tplc="56045052">
      <w:start w:val="1"/>
      <w:numFmt w:val="decimal"/>
      <w:lvlText w:val="%7."/>
      <w:lvlJc w:val="left"/>
      <w:pPr>
        <w:ind w:left="5040" w:hanging="360"/>
      </w:pPr>
    </w:lvl>
    <w:lvl w:ilvl="7" w:tplc="EB1AEA2A">
      <w:start w:val="1"/>
      <w:numFmt w:val="lowerLetter"/>
      <w:lvlText w:val="%8."/>
      <w:lvlJc w:val="left"/>
      <w:pPr>
        <w:ind w:left="5760" w:hanging="360"/>
      </w:pPr>
    </w:lvl>
    <w:lvl w:ilvl="8" w:tplc="CEA8B5BA">
      <w:start w:val="1"/>
      <w:numFmt w:val="lowerRoman"/>
      <w:lvlText w:val="%9."/>
      <w:lvlJc w:val="right"/>
      <w:pPr>
        <w:ind w:left="6480" w:hanging="180"/>
      </w:pPr>
    </w:lvl>
  </w:abstractNum>
  <w:abstractNum w:abstractNumId="13" w15:restartNumberingAfterBreak="0">
    <w:nsid w:val="24395969"/>
    <w:multiLevelType w:val="hybridMultilevel"/>
    <w:tmpl w:val="C4E415F6"/>
    <w:lvl w:ilvl="0" w:tplc="FE48B2B4">
      <w:start w:val="1"/>
      <w:numFmt w:val="lowerLetter"/>
      <w:lvlText w:val="%1)"/>
      <w:lvlJc w:val="left"/>
      <w:pPr>
        <w:ind w:left="720" w:hanging="360"/>
      </w:pPr>
      <w:rPr>
        <w:rFonts w:hint="default"/>
        <w:b w:val="0"/>
      </w:rPr>
    </w:lvl>
    <w:lvl w:ilvl="1" w:tplc="53D0DAC8">
      <w:start w:val="1"/>
      <w:numFmt w:val="lowerLetter"/>
      <w:lvlText w:val="%2."/>
      <w:lvlJc w:val="left"/>
      <w:pPr>
        <w:ind w:left="1440" w:hanging="360"/>
      </w:pPr>
    </w:lvl>
    <w:lvl w:ilvl="2" w:tplc="B5AAEEBE">
      <w:start w:val="1"/>
      <w:numFmt w:val="lowerRoman"/>
      <w:lvlText w:val="%3."/>
      <w:lvlJc w:val="right"/>
      <w:pPr>
        <w:ind w:left="2160" w:hanging="180"/>
      </w:pPr>
    </w:lvl>
    <w:lvl w:ilvl="3" w:tplc="A4CA718E">
      <w:start w:val="1"/>
      <w:numFmt w:val="decimal"/>
      <w:lvlText w:val="%4."/>
      <w:lvlJc w:val="left"/>
      <w:pPr>
        <w:ind w:left="2880" w:hanging="360"/>
      </w:pPr>
    </w:lvl>
    <w:lvl w:ilvl="4" w:tplc="DAAEE642">
      <w:start w:val="1"/>
      <w:numFmt w:val="lowerLetter"/>
      <w:lvlText w:val="%5."/>
      <w:lvlJc w:val="left"/>
      <w:pPr>
        <w:ind w:left="3600" w:hanging="360"/>
      </w:pPr>
    </w:lvl>
    <w:lvl w:ilvl="5" w:tplc="10DE8C6A">
      <w:start w:val="1"/>
      <w:numFmt w:val="lowerRoman"/>
      <w:lvlText w:val="%6."/>
      <w:lvlJc w:val="right"/>
      <w:pPr>
        <w:ind w:left="4320" w:hanging="180"/>
      </w:pPr>
    </w:lvl>
    <w:lvl w:ilvl="6" w:tplc="23780118">
      <w:start w:val="1"/>
      <w:numFmt w:val="decimal"/>
      <w:lvlText w:val="%7."/>
      <w:lvlJc w:val="left"/>
      <w:pPr>
        <w:ind w:left="5040" w:hanging="360"/>
      </w:pPr>
    </w:lvl>
    <w:lvl w:ilvl="7" w:tplc="72524948">
      <w:start w:val="1"/>
      <w:numFmt w:val="lowerLetter"/>
      <w:lvlText w:val="%8."/>
      <w:lvlJc w:val="left"/>
      <w:pPr>
        <w:ind w:left="5760" w:hanging="360"/>
      </w:pPr>
    </w:lvl>
    <w:lvl w:ilvl="8" w:tplc="E218557A">
      <w:start w:val="1"/>
      <w:numFmt w:val="lowerRoman"/>
      <w:lvlText w:val="%9."/>
      <w:lvlJc w:val="right"/>
      <w:pPr>
        <w:ind w:left="6480" w:hanging="180"/>
      </w:pPr>
    </w:lvl>
  </w:abstractNum>
  <w:abstractNum w:abstractNumId="14" w15:restartNumberingAfterBreak="0">
    <w:nsid w:val="2A65131C"/>
    <w:multiLevelType w:val="hybridMultilevel"/>
    <w:tmpl w:val="861C4334"/>
    <w:lvl w:ilvl="0" w:tplc="B7B89B0A">
      <w:start w:val="1"/>
      <w:numFmt w:val="lowerLetter"/>
      <w:lvlText w:val="%1)"/>
      <w:lvlJc w:val="left"/>
      <w:pPr>
        <w:ind w:left="720" w:hanging="360"/>
      </w:pPr>
      <w:rPr>
        <w:rFonts w:hint="default"/>
      </w:rPr>
    </w:lvl>
    <w:lvl w:ilvl="1" w:tplc="53FA2532">
      <w:start w:val="1"/>
      <w:numFmt w:val="lowerLetter"/>
      <w:lvlText w:val="%2."/>
      <w:lvlJc w:val="left"/>
      <w:pPr>
        <w:ind w:left="1440" w:hanging="360"/>
      </w:pPr>
    </w:lvl>
    <w:lvl w:ilvl="2" w:tplc="5FE0A1F0">
      <w:start w:val="1"/>
      <w:numFmt w:val="lowerRoman"/>
      <w:lvlText w:val="%3."/>
      <w:lvlJc w:val="right"/>
      <w:pPr>
        <w:ind w:left="2160" w:hanging="180"/>
      </w:pPr>
    </w:lvl>
    <w:lvl w:ilvl="3" w:tplc="E22C31F8">
      <w:start w:val="1"/>
      <w:numFmt w:val="decimal"/>
      <w:lvlText w:val="%4."/>
      <w:lvlJc w:val="left"/>
      <w:pPr>
        <w:ind w:left="2880" w:hanging="360"/>
      </w:pPr>
    </w:lvl>
    <w:lvl w:ilvl="4" w:tplc="85E6388E">
      <w:start w:val="1"/>
      <w:numFmt w:val="lowerLetter"/>
      <w:lvlText w:val="%5."/>
      <w:lvlJc w:val="left"/>
      <w:pPr>
        <w:ind w:left="3600" w:hanging="360"/>
      </w:pPr>
    </w:lvl>
    <w:lvl w:ilvl="5" w:tplc="F14454F0">
      <w:start w:val="1"/>
      <w:numFmt w:val="lowerRoman"/>
      <w:lvlText w:val="%6."/>
      <w:lvlJc w:val="right"/>
      <w:pPr>
        <w:ind w:left="4320" w:hanging="180"/>
      </w:pPr>
    </w:lvl>
    <w:lvl w:ilvl="6" w:tplc="D112204A">
      <w:start w:val="1"/>
      <w:numFmt w:val="decimal"/>
      <w:lvlText w:val="%7."/>
      <w:lvlJc w:val="left"/>
      <w:pPr>
        <w:ind w:left="5040" w:hanging="360"/>
      </w:pPr>
    </w:lvl>
    <w:lvl w:ilvl="7" w:tplc="4030F2C8">
      <w:start w:val="1"/>
      <w:numFmt w:val="lowerLetter"/>
      <w:lvlText w:val="%8."/>
      <w:lvlJc w:val="left"/>
      <w:pPr>
        <w:ind w:left="5760" w:hanging="360"/>
      </w:pPr>
    </w:lvl>
    <w:lvl w:ilvl="8" w:tplc="7E063A6C">
      <w:start w:val="1"/>
      <w:numFmt w:val="lowerRoman"/>
      <w:lvlText w:val="%9."/>
      <w:lvlJc w:val="right"/>
      <w:pPr>
        <w:ind w:left="6480" w:hanging="180"/>
      </w:pPr>
    </w:lvl>
  </w:abstractNum>
  <w:abstractNum w:abstractNumId="15" w15:restartNumberingAfterBreak="0">
    <w:nsid w:val="2A7E6F7A"/>
    <w:multiLevelType w:val="hybridMultilevel"/>
    <w:tmpl w:val="E550BAC2"/>
    <w:lvl w:ilvl="0" w:tplc="4E022C04">
      <w:start w:val="1"/>
      <w:numFmt w:val="bullet"/>
      <w:lvlText w:val=""/>
      <w:lvlJc w:val="left"/>
      <w:pPr>
        <w:ind w:left="720" w:hanging="360"/>
      </w:pPr>
      <w:rPr>
        <w:rFonts w:ascii="Symbol" w:hAnsi="Symbol" w:hint="default"/>
      </w:rPr>
    </w:lvl>
    <w:lvl w:ilvl="1" w:tplc="FE3CD5EC">
      <w:start w:val="1"/>
      <w:numFmt w:val="bullet"/>
      <w:lvlText w:val="o"/>
      <w:lvlJc w:val="left"/>
      <w:pPr>
        <w:ind w:left="1440" w:hanging="360"/>
      </w:pPr>
      <w:rPr>
        <w:rFonts w:ascii="Courier New" w:hAnsi="Courier New" w:cs="Courier New" w:hint="default"/>
      </w:rPr>
    </w:lvl>
    <w:lvl w:ilvl="2" w:tplc="55948336">
      <w:start w:val="1"/>
      <w:numFmt w:val="bullet"/>
      <w:lvlText w:val=""/>
      <w:lvlJc w:val="left"/>
      <w:pPr>
        <w:ind w:left="2160" w:hanging="360"/>
      </w:pPr>
      <w:rPr>
        <w:rFonts w:ascii="Wingdings" w:hAnsi="Wingdings" w:hint="default"/>
      </w:rPr>
    </w:lvl>
    <w:lvl w:ilvl="3" w:tplc="4198C6E2">
      <w:start w:val="1"/>
      <w:numFmt w:val="bullet"/>
      <w:lvlText w:val=""/>
      <w:lvlJc w:val="left"/>
      <w:pPr>
        <w:ind w:left="2880" w:hanging="360"/>
      </w:pPr>
      <w:rPr>
        <w:rFonts w:ascii="Symbol" w:hAnsi="Symbol" w:hint="default"/>
      </w:rPr>
    </w:lvl>
    <w:lvl w:ilvl="4" w:tplc="56D2300E">
      <w:start w:val="1"/>
      <w:numFmt w:val="bullet"/>
      <w:lvlText w:val="o"/>
      <w:lvlJc w:val="left"/>
      <w:pPr>
        <w:ind w:left="3600" w:hanging="360"/>
      </w:pPr>
      <w:rPr>
        <w:rFonts w:ascii="Courier New" w:hAnsi="Courier New" w:cs="Courier New" w:hint="default"/>
      </w:rPr>
    </w:lvl>
    <w:lvl w:ilvl="5" w:tplc="F5AEC092">
      <w:start w:val="1"/>
      <w:numFmt w:val="bullet"/>
      <w:lvlText w:val=""/>
      <w:lvlJc w:val="left"/>
      <w:pPr>
        <w:ind w:left="4320" w:hanging="360"/>
      </w:pPr>
      <w:rPr>
        <w:rFonts w:ascii="Wingdings" w:hAnsi="Wingdings" w:hint="default"/>
      </w:rPr>
    </w:lvl>
    <w:lvl w:ilvl="6" w:tplc="1176449A">
      <w:start w:val="1"/>
      <w:numFmt w:val="bullet"/>
      <w:lvlText w:val=""/>
      <w:lvlJc w:val="left"/>
      <w:pPr>
        <w:ind w:left="5040" w:hanging="360"/>
      </w:pPr>
      <w:rPr>
        <w:rFonts w:ascii="Symbol" w:hAnsi="Symbol" w:hint="default"/>
      </w:rPr>
    </w:lvl>
    <w:lvl w:ilvl="7" w:tplc="57B42DDC">
      <w:start w:val="1"/>
      <w:numFmt w:val="bullet"/>
      <w:lvlText w:val="o"/>
      <w:lvlJc w:val="left"/>
      <w:pPr>
        <w:ind w:left="5760" w:hanging="360"/>
      </w:pPr>
      <w:rPr>
        <w:rFonts w:ascii="Courier New" w:hAnsi="Courier New" w:cs="Courier New" w:hint="default"/>
      </w:rPr>
    </w:lvl>
    <w:lvl w:ilvl="8" w:tplc="C8A2646E">
      <w:start w:val="1"/>
      <w:numFmt w:val="bullet"/>
      <w:lvlText w:val=""/>
      <w:lvlJc w:val="left"/>
      <w:pPr>
        <w:ind w:left="6480" w:hanging="360"/>
      </w:pPr>
      <w:rPr>
        <w:rFonts w:ascii="Wingdings" w:hAnsi="Wingdings" w:hint="default"/>
      </w:rPr>
    </w:lvl>
  </w:abstractNum>
  <w:abstractNum w:abstractNumId="16" w15:restartNumberingAfterBreak="0">
    <w:nsid w:val="2AFC4F43"/>
    <w:multiLevelType w:val="hybridMultilevel"/>
    <w:tmpl w:val="0A4A1422"/>
    <w:lvl w:ilvl="0" w:tplc="CFBABBDE">
      <w:start w:val="1"/>
      <w:numFmt w:val="lowerLetter"/>
      <w:lvlText w:val="%1)"/>
      <w:lvlJc w:val="left"/>
      <w:pPr>
        <w:ind w:left="720" w:hanging="360"/>
      </w:pPr>
      <w:rPr>
        <w:rFonts w:hint="default"/>
      </w:rPr>
    </w:lvl>
    <w:lvl w:ilvl="1" w:tplc="DFE612C8">
      <w:start w:val="1"/>
      <w:numFmt w:val="lowerLetter"/>
      <w:lvlText w:val="%2."/>
      <w:lvlJc w:val="left"/>
      <w:pPr>
        <w:ind w:left="1440" w:hanging="360"/>
      </w:pPr>
    </w:lvl>
    <w:lvl w:ilvl="2" w:tplc="D99CCB7A">
      <w:start w:val="1"/>
      <w:numFmt w:val="lowerRoman"/>
      <w:lvlText w:val="%3."/>
      <w:lvlJc w:val="right"/>
      <w:pPr>
        <w:ind w:left="2160" w:hanging="180"/>
      </w:pPr>
    </w:lvl>
    <w:lvl w:ilvl="3" w:tplc="BBF89800">
      <w:start w:val="1"/>
      <w:numFmt w:val="decimal"/>
      <w:lvlText w:val="%4."/>
      <w:lvlJc w:val="left"/>
      <w:pPr>
        <w:ind w:left="2880" w:hanging="360"/>
      </w:pPr>
    </w:lvl>
    <w:lvl w:ilvl="4" w:tplc="ABB23F48">
      <w:start w:val="1"/>
      <w:numFmt w:val="lowerLetter"/>
      <w:lvlText w:val="%5."/>
      <w:lvlJc w:val="left"/>
      <w:pPr>
        <w:ind w:left="3600" w:hanging="360"/>
      </w:pPr>
    </w:lvl>
    <w:lvl w:ilvl="5" w:tplc="1B68D376">
      <w:start w:val="1"/>
      <w:numFmt w:val="lowerRoman"/>
      <w:lvlText w:val="%6."/>
      <w:lvlJc w:val="right"/>
      <w:pPr>
        <w:ind w:left="4320" w:hanging="180"/>
      </w:pPr>
    </w:lvl>
    <w:lvl w:ilvl="6" w:tplc="079C5F06">
      <w:start w:val="1"/>
      <w:numFmt w:val="decimal"/>
      <w:lvlText w:val="%7."/>
      <w:lvlJc w:val="left"/>
      <w:pPr>
        <w:ind w:left="5040" w:hanging="360"/>
      </w:pPr>
    </w:lvl>
    <w:lvl w:ilvl="7" w:tplc="BCAA70BC">
      <w:start w:val="1"/>
      <w:numFmt w:val="lowerLetter"/>
      <w:lvlText w:val="%8."/>
      <w:lvlJc w:val="left"/>
      <w:pPr>
        <w:ind w:left="5760" w:hanging="360"/>
      </w:pPr>
    </w:lvl>
    <w:lvl w:ilvl="8" w:tplc="60483454">
      <w:start w:val="1"/>
      <w:numFmt w:val="lowerRoman"/>
      <w:lvlText w:val="%9."/>
      <w:lvlJc w:val="right"/>
      <w:pPr>
        <w:ind w:left="6480" w:hanging="180"/>
      </w:pPr>
    </w:lvl>
  </w:abstractNum>
  <w:abstractNum w:abstractNumId="17" w15:restartNumberingAfterBreak="0">
    <w:nsid w:val="2C9170FC"/>
    <w:multiLevelType w:val="hybridMultilevel"/>
    <w:tmpl w:val="9586DE32"/>
    <w:lvl w:ilvl="0" w:tplc="9E221EAE">
      <w:start w:val="1"/>
      <w:numFmt w:val="lowerLetter"/>
      <w:lvlText w:val="%1)"/>
      <w:lvlJc w:val="left"/>
      <w:pPr>
        <w:ind w:left="720" w:hanging="360"/>
      </w:pPr>
      <w:rPr>
        <w:rFonts w:hint="default"/>
      </w:rPr>
    </w:lvl>
    <w:lvl w:ilvl="1" w:tplc="5F722868">
      <w:start w:val="1"/>
      <w:numFmt w:val="lowerLetter"/>
      <w:lvlText w:val="%2."/>
      <w:lvlJc w:val="left"/>
      <w:pPr>
        <w:ind w:left="1440" w:hanging="360"/>
      </w:pPr>
    </w:lvl>
    <w:lvl w:ilvl="2" w:tplc="6F64A754">
      <w:start w:val="1"/>
      <w:numFmt w:val="lowerRoman"/>
      <w:lvlText w:val="%3."/>
      <w:lvlJc w:val="right"/>
      <w:pPr>
        <w:ind w:left="2160" w:hanging="180"/>
      </w:pPr>
    </w:lvl>
    <w:lvl w:ilvl="3" w:tplc="C400CDE4">
      <w:start w:val="1"/>
      <w:numFmt w:val="decimal"/>
      <w:lvlText w:val="%4."/>
      <w:lvlJc w:val="left"/>
      <w:pPr>
        <w:ind w:left="2880" w:hanging="360"/>
      </w:pPr>
    </w:lvl>
    <w:lvl w:ilvl="4" w:tplc="48266F6E">
      <w:start w:val="1"/>
      <w:numFmt w:val="lowerLetter"/>
      <w:lvlText w:val="%5."/>
      <w:lvlJc w:val="left"/>
      <w:pPr>
        <w:ind w:left="3600" w:hanging="360"/>
      </w:pPr>
    </w:lvl>
    <w:lvl w:ilvl="5" w:tplc="518CF5FC">
      <w:start w:val="1"/>
      <w:numFmt w:val="lowerRoman"/>
      <w:lvlText w:val="%6."/>
      <w:lvlJc w:val="right"/>
      <w:pPr>
        <w:ind w:left="4320" w:hanging="180"/>
      </w:pPr>
    </w:lvl>
    <w:lvl w:ilvl="6" w:tplc="81F032F6">
      <w:start w:val="1"/>
      <w:numFmt w:val="decimal"/>
      <w:lvlText w:val="%7."/>
      <w:lvlJc w:val="left"/>
      <w:pPr>
        <w:ind w:left="5040" w:hanging="360"/>
      </w:pPr>
    </w:lvl>
    <w:lvl w:ilvl="7" w:tplc="8B1ADA96">
      <w:start w:val="1"/>
      <w:numFmt w:val="lowerLetter"/>
      <w:lvlText w:val="%8."/>
      <w:lvlJc w:val="left"/>
      <w:pPr>
        <w:ind w:left="5760" w:hanging="360"/>
      </w:pPr>
    </w:lvl>
    <w:lvl w:ilvl="8" w:tplc="3594F288">
      <w:start w:val="1"/>
      <w:numFmt w:val="lowerRoman"/>
      <w:lvlText w:val="%9."/>
      <w:lvlJc w:val="right"/>
      <w:pPr>
        <w:ind w:left="6480" w:hanging="180"/>
      </w:pPr>
    </w:lvl>
  </w:abstractNum>
  <w:abstractNum w:abstractNumId="18" w15:restartNumberingAfterBreak="0">
    <w:nsid w:val="2DF549C9"/>
    <w:multiLevelType w:val="hybridMultilevel"/>
    <w:tmpl w:val="D2629464"/>
    <w:lvl w:ilvl="0" w:tplc="6E82F6A4">
      <w:start w:val="1"/>
      <w:numFmt w:val="lowerRoman"/>
      <w:lvlText w:val="%1."/>
      <w:lvlJc w:val="right"/>
      <w:pPr>
        <w:ind w:left="720" w:hanging="360"/>
      </w:pPr>
    </w:lvl>
    <w:lvl w:ilvl="1" w:tplc="A6B02D04">
      <w:start w:val="1"/>
      <w:numFmt w:val="lowerLetter"/>
      <w:lvlText w:val="%2."/>
      <w:lvlJc w:val="left"/>
      <w:pPr>
        <w:ind w:left="1440" w:hanging="360"/>
      </w:pPr>
    </w:lvl>
    <w:lvl w:ilvl="2" w:tplc="55E2475A">
      <w:start w:val="1"/>
      <w:numFmt w:val="lowerRoman"/>
      <w:lvlText w:val="%3."/>
      <w:lvlJc w:val="right"/>
      <w:pPr>
        <w:ind w:left="2160" w:hanging="180"/>
      </w:pPr>
    </w:lvl>
    <w:lvl w:ilvl="3" w:tplc="D72A1054">
      <w:start w:val="1"/>
      <w:numFmt w:val="decimal"/>
      <w:lvlText w:val="%4."/>
      <w:lvlJc w:val="left"/>
      <w:pPr>
        <w:ind w:left="2880" w:hanging="360"/>
      </w:pPr>
    </w:lvl>
    <w:lvl w:ilvl="4" w:tplc="D3BEB212">
      <w:start w:val="1"/>
      <w:numFmt w:val="lowerLetter"/>
      <w:lvlText w:val="%5."/>
      <w:lvlJc w:val="left"/>
      <w:pPr>
        <w:ind w:left="3600" w:hanging="360"/>
      </w:pPr>
    </w:lvl>
    <w:lvl w:ilvl="5" w:tplc="D9540DB2">
      <w:start w:val="1"/>
      <w:numFmt w:val="lowerRoman"/>
      <w:lvlText w:val="%6."/>
      <w:lvlJc w:val="right"/>
      <w:pPr>
        <w:ind w:left="4320" w:hanging="180"/>
      </w:pPr>
    </w:lvl>
    <w:lvl w:ilvl="6" w:tplc="A56CBE00">
      <w:start w:val="1"/>
      <w:numFmt w:val="decimal"/>
      <w:lvlText w:val="%7."/>
      <w:lvlJc w:val="left"/>
      <w:pPr>
        <w:ind w:left="5040" w:hanging="360"/>
      </w:pPr>
    </w:lvl>
    <w:lvl w:ilvl="7" w:tplc="AB62519E">
      <w:start w:val="1"/>
      <w:numFmt w:val="lowerLetter"/>
      <w:lvlText w:val="%8."/>
      <w:lvlJc w:val="left"/>
      <w:pPr>
        <w:ind w:left="5760" w:hanging="360"/>
      </w:pPr>
    </w:lvl>
    <w:lvl w:ilvl="8" w:tplc="A1747496">
      <w:start w:val="1"/>
      <w:numFmt w:val="lowerRoman"/>
      <w:lvlText w:val="%9."/>
      <w:lvlJc w:val="right"/>
      <w:pPr>
        <w:ind w:left="6480" w:hanging="180"/>
      </w:pPr>
    </w:lvl>
  </w:abstractNum>
  <w:abstractNum w:abstractNumId="19" w15:restartNumberingAfterBreak="0">
    <w:nsid w:val="32245392"/>
    <w:multiLevelType w:val="hybridMultilevel"/>
    <w:tmpl w:val="813AF9E2"/>
    <w:lvl w:ilvl="0" w:tplc="F8F8CEF0">
      <w:start w:val="1"/>
      <w:numFmt w:val="decimal"/>
      <w:lvlText w:val="%1."/>
      <w:lvlJc w:val="left"/>
      <w:pPr>
        <w:ind w:left="720" w:hanging="360"/>
      </w:pPr>
      <w:rPr>
        <w:rFonts w:hint="default"/>
      </w:rPr>
    </w:lvl>
    <w:lvl w:ilvl="1" w:tplc="7254A130">
      <w:start w:val="1"/>
      <w:numFmt w:val="lowerLetter"/>
      <w:lvlText w:val="%2."/>
      <w:lvlJc w:val="left"/>
      <w:pPr>
        <w:ind w:left="1440" w:hanging="360"/>
      </w:pPr>
    </w:lvl>
    <w:lvl w:ilvl="2" w:tplc="3C4ED5D4">
      <w:start w:val="1"/>
      <w:numFmt w:val="lowerRoman"/>
      <w:lvlText w:val="%3."/>
      <w:lvlJc w:val="right"/>
      <w:pPr>
        <w:ind w:left="2160" w:hanging="180"/>
      </w:pPr>
    </w:lvl>
    <w:lvl w:ilvl="3" w:tplc="BAE0D404">
      <w:start w:val="1"/>
      <w:numFmt w:val="decimal"/>
      <w:lvlText w:val="%4."/>
      <w:lvlJc w:val="left"/>
      <w:pPr>
        <w:ind w:left="2880" w:hanging="360"/>
      </w:pPr>
    </w:lvl>
    <w:lvl w:ilvl="4" w:tplc="342A9B4A">
      <w:start w:val="1"/>
      <w:numFmt w:val="lowerLetter"/>
      <w:lvlText w:val="%5."/>
      <w:lvlJc w:val="left"/>
      <w:pPr>
        <w:ind w:left="3600" w:hanging="360"/>
      </w:pPr>
    </w:lvl>
    <w:lvl w:ilvl="5" w:tplc="DE74CA00">
      <w:start w:val="1"/>
      <w:numFmt w:val="lowerRoman"/>
      <w:lvlText w:val="%6."/>
      <w:lvlJc w:val="right"/>
      <w:pPr>
        <w:ind w:left="4320" w:hanging="180"/>
      </w:pPr>
    </w:lvl>
    <w:lvl w:ilvl="6" w:tplc="10FCF4E0">
      <w:start w:val="1"/>
      <w:numFmt w:val="decimal"/>
      <w:lvlText w:val="%7."/>
      <w:lvlJc w:val="left"/>
      <w:pPr>
        <w:ind w:left="5040" w:hanging="360"/>
      </w:pPr>
    </w:lvl>
    <w:lvl w:ilvl="7" w:tplc="F6B2C12C">
      <w:start w:val="1"/>
      <w:numFmt w:val="lowerLetter"/>
      <w:lvlText w:val="%8."/>
      <w:lvlJc w:val="left"/>
      <w:pPr>
        <w:ind w:left="5760" w:hanging="360"/>
      </w:pPr>
    </w:lvl>
    <w:lvl w:ilvl="8" w:tplc="706A0E06">
      <w:start w:val="1"/>
      <w:numFmt w:val="lowerRoman"/>
      <w:lvlText w:val="%9."/>
      <w:lvlJc w:val="right"/>
      <w:pPr>
        <w:ind w:left="6480" w:hanging="180"/>
      </w:pPr>
    </w:lvl>
  </w:abstractNum>
  <w:abstractNum w:abstractNumId="20" w15:restartNumberingAfterBreak="0">
    <w:nsid w:val="32837FBF"/>
    <w:multiLevelType w:val="hybridMultilevel"/>
    <w:tmpl w:val="1584A6DE"/>
    <w:lvl w:ilvl="0" w:tplc="40CE9B44">
      <w:start w:val="1"/>
      <w:numFmt w:val="decimal"/>
      <w:lvlText w:val="%1."/>
      <w:lvlJc w:val="left"/>
      <w:pPr>
        <w:ind w:left="720" w:hanging="360"/>
      </w:pPr>
      <w:rPr>
        <w:rFonts w:hint="default"/>
      </w:rPr>
    </w:lvl>
    <w:lvl w:ilvl="1" w:tplc="1870EF1C">
      <w:start w:val="1"/>
      <w:numFmt w:val="lowerLetter"/>
      <w:lvlText w:val="%2."/>
      <w:lvlJc w:val="left"/>
      <w:pPr>
        <w:ind w:left="1440" w:hanging="360"/>
      </w:pPr>
    </w:lvl>
    <w:lvl w:ilvl="2" w:tplc="8A4A9FB4">
      <w:start w:val="1"/>
      <w:numFmt w:val="lowerRoman"/>
      <w:lvlText w:val="%3."/>
      <w:lvlJc w:val="right"/>
      <w:pPr>
        <w:ind w:left="2160" w:hanging="180"/>
      </w:pPr>
    </w:lvl>
    <w:lvl w:ilvl="3" w:tplc="3984E964">
      <w:start w:val="1"/>
      <w:numFmt w:val="decimal"/>
      <w:lvlText w:val="%4."/>
      <w:lvlJc w:val="left"/>
      <w:pPr>
        <w:ind w:left="2880" w:hanging="360"/>
      </w:pPr>
    </w:lvl>
    <w:lvl w:ilvl="4" w:tplc="238AB656">
      <w:start w:val="1"/>
      <w:numFmt w:val="lowerLetter"/>
      <w:lvlText w:val="%5."/>
      <w:lvlJc w:val="left"/>
      <w:pPr>
        <w:ind w:left="3600" w:hanging="360"/>
      </w:pPr>
    </w:lvl>
    <w:lvl w:ilvl="5" w:tplc="6F7A3AB2">
      <w:start w:val="1"/>
      <w:numFmt w:val="lowerRoman"/>
      <w:lvlText w:val="%6."/>
      <w:lvlJc w:val="right"/>
      <w:pPr>
        <w:ind w:left="4320" w:hanging="180"/>
      </w:pPr>
    </w:lvl>
    <w:lvl w:ilvl="6" w:tplc="48A20030">
      <w:start w:val="1"/>
      <w:numFmt w:val="decimal"/>
      <w:lvlText w:val="%7."/>
      <w:lvlJc w:val="left"/>
      <w:pPr>
        <w:ind w:left="5040" w:hanging="360"/>
      </w:pPr>
    </w:lvl>
    <w:lvl w:ilvl="7" w:tplc="AAB8D226">
      <w:start w:val="1"/>
      <w:numFmt w:val="lowerLetter"/>
      <w:lvlText w:val="%8."/>
      <w:lvlJc w:val="left"/>
      <w:pPr>
        <w:ind w:left="5760" w:hanging="360"/>
      </w:pPr>
    </w:lvl>
    <w:lvl w:ilvl="8" w:tplc="BC2A46EC">
      <w:start w:val="1"/>
      <w:numFmt w:val="lowerRoman"/>
      <w:lvlText w:val="%9."/>
      <w:lvlJc w:val="right"/>
      <w:pPr>
        <w:ind w:left="6480" w:hanging="180"/>
      </w:pPr>
    </w:lvl>
  </w:abstractNum>
  <w:abstractNum w:abstractNumId="21" w15:restartNumberingAfterBreak="0">
    <w:nsid w:val="334067E4"/>
    <w:multiLevelType w:val="hybridMultilevel"/>
    <w:tmpl w:val="A96AEB48"/>
    <w:lvl w:ilvl="0" w:tplc="EA9E3866">
      <w:start w:val="1"/>
      <w:numFmt w:val="bullet"/>
      <w:lvlText w:val=""/>
      <w:lvlJc w:val="left"/>
      <w:pPr>
        <w:ind w:left="720" w:hanging="360"/>
      </w:pPr>
      <w:rPr>
        <w:rFonts w:ascii="Symbol" w:hAnsi="Symbol" w:hint="default"/>
      </w:rPr>
    </w:lvl>
    <w:lvl w:ilvl="1" w:tplc="0C6271FE">
      <w:start w:val="1"/>
      <w:numFmt w:val="bullet"/>
      <w:lvlText w:val="o"/>
      <w:lvlJc w:val="left"/>
      <w:pPr>
        <w:ind w:left="1440" w:hanging="360"/>
      </w:pPr>
      <w:rPr>
        <w:rFonts w:ascii="Courier New" w:hAnsi="Courier New" w:cs="Courier New" w:hint="default"/>
      </w:rPr>
    </w:lvl>
    <w:lvl w:ilvl="2" w:tplc="7F22C7DC">
      <w:start w:val="1"/>
      <w:numFmt w:val="bullet"/>
      <w:lvlText w:val=""/>
      <w:lvlJc w:val="left"/>
      <w:pPr>
        <w:ind w:left="2160" w:hanging="360"/>
      </w:pPr>
      <w:rPr>
        <w:rFonts w:ascii="Wingdings" w:hAnsi="Wingdings" w:hint="default"/>
      </w:rPr>
    </w:lvl>
    <w:lvl w:ilvl="3" w:tplc="E2101EC2">
      <w:start w:val="1"/>
      <w:numFmt w:val="bullet"/>
      <w:lvlText w:val=""/>
      <w:lvlJc w:val="left"/>
      <w:pPr>
        <w:ind w:left="2880" w:hanging="360"/>
      </w:pPr>
      <w:rPr>
        <w:rFonts w:ascii="Symbol" w:hAnsi="Symbol" w:hint="default"/>
      </w:rPr>
    </w:lvl>
    <w:lvl w:ilvl="4" w:tplc="7B145084">
      <w:start w:val="1"/>
      <w:numFmt w:val="bullet"/>
      <w:lvlText w:val="o"/>
      <w:lvlJc w:val="left"/>
      <w:pPr>
        <w:ind w:left="3600" w:hanging="360"/>
      </w:pPr>
      <w:rPr>
        <w:rFonts w:ascii="Courier New" w:hAnsi="Courier New" w:cs="Courier New" w:hint="default"/>
      </w:rPr>
    </w:lvl>
    <w:lvl w:ilvl="5" w:tplc="465A488E">
      <w:start w:val="1"/>
      <w:numFmt w:val="bullet"/>
      <w:lvlText w:val=""/>
      <w:lvlJc w:val="left"/>
      <w:pPr>
        <w:ind w:left="4320" w:hanging="360"/>
      </w:pPr>
      <w:rPr>
        <w:rFonts w:ascii="Wingdings" w:hAnsi="Wingdings" w:hint="default"/>
      </w:rPr>
    </w:lvl>
    <w:lvl w:ilvl="6" w:tplc="C7EAE89E">
      <w:start w:val="1"/>
      <w:numFmt w:val="bullet"/>
      <w:lvlText w:val=""/>
      <w:lvlJc w:val="left"/>
      <w:pPr>
        <w:ind w:left="5040" w:hanging="360"/>
      </w:pPr>
      <w:rPr>
        <w:rFonts w:ascii="Symbol" w:hAnsi="Symbol" w:hint="default"/>
      </w:rPr>
    </w:lvl>
    <w:lvl w:ilvl="7" w:tplc="7E727EE4">
      <w:start w:val="1"/>
      <w:numFmt w:val="bullet"/>
      <w:lvlText w:val="o"/>
      <w:lvlJc w:val="left"/>
      <w:pPr>
        <w:ind w:left="5760" w:hanging="360"/>
      </w:pPr>
      <w:rPr>
        <w:rFonts w:ascii="Courier New" w:hAnsi="Courier New" w:cs="Courier New" w:hint="default"/>
      </w:rPr>
    </w:lvl>
    <w:lvl w:ilvl="8" w:tplc="74707DAE">
      <w:start w:val="1"/>
      <w:numFmt w:val="bullet"/>
      <w:lvlText w:val=""/>
      <w:lvlJc w:val="left"/>
      <w:pPr>
        <w:ind w:left="6480" w:hanging="360"/>
      </w:pPr>
      <w:rPr>
        <w:rFonts w:ascii="Wingdings" w:hAnsi="Wingdings" w:hint="default"/>
      </w:rPr>
    </w:lvl>
  </w:abstractNum>
  <w:abstractNum w:abstractNumId="22" w15:restartNumberingAfterBreak="0">
    <w:nsid w:val="36DE1A85"/>
    <w:multiLevelType w:val="multilevel"/>
    <w:tmpl w:val="4DC84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0C44D0"/>
    <w:multiLevelType w:val="hybridMultilevel"/>
    <w:tmpl w:val="461041BC"/>
    <w:lvl w:ilvl="0" w:tplc="2E166448">
      <w:start w:val="1"/>
      <w:numFmt w:val="lowerLetter"/>
      <w:lvlText w:val="%1)"/>
      <w:lvlJc w:val="left"/>
      <w:pPr>
        <w:ind w:left="720" w:hanging="360"/>
      </w:pPr>
      <w:rPr>
        <w:rFonts w:hint="default"/>
      </w:rPr>
    </w:lvl>
    <w:lvl w:ilvl="1" w:tplc="9CD0474A">
      <w:start w:val="1"/>
      <w:numFmt w:val="lowerLetter"/>
      <w:lvlText w:val="%2."/>
      <w:lvlJc w:val="left"/>
      <w:pPr>
        <w:ind w:left="1440" w:hanging="360"/>
      </w:pPr>
    </w:lvl>
    <w:lvl w:ilvl="2" w:tplc="47C81450">
      <w:start w:val="1"/>
      <w:numFmt w:val="lowerRoman"/>
      <w:lvlText w:val="%3."/>
      <w:lvlJc w:val="right"/>
      <w:pPr>
        <w:ind w:left="2160" w:hanging="180"/>
      </w:pPr>
    </w:lvl>
    <w:lvl w:ilvl="3" w:tplc="B0C877A4">
      <w:start w:val="1"/>
      <w:numFmt w:val="decimal"/>
      <w:lvlText w:val="%4."/>
      <w:lvlJc w:val="left"/>
      <w:pPr>
        <w:ind w:left="2880" w:hanging="360"/>
      </w:pPr>
    </w:lvl>
    <w:lvl w:ilvl="4" w:tplc="2CCCDC1E">
      <w:start w:val="1"/>
      <w:numFmt w:val="lowerLetter"/>
      <w:lvlText w:val="%5."/>
      <w:lvlJc w:val="left"/>
      <w:pPr>
        <w:ind w:left="3600" w:hanging="360"/>
      </w:pPr>
    </w:lvl>
    <w:lvl w:ilvl="5" w:tplc="EAF4346A">
      <w:start w:val="1"/>
      <w:numFmt w:val="lowerRoman"/>
      <w:lvlText w:val="%6."/>
      <w:lvlJc w:val="right"/>
      <w:pPr>
        <w:ind w:left="4320" w:hanging="180"/>
      </w:pPr>
    </w:lvl>
    <w:lvl w:ilvl="6" w:tplc="2664273A">
      <w:start w:val="1"/>
      <w:numFmt w:val="decimal"/>
      <w:lvlText w:val="%7."/>
      <w:lvlJc w:val="left"/>
      <w:pPr>
        <w:ind w:left="5040" w:hanging="360"/>
      </w:pPr>
    </w:lvl>
    <w:lvl w:ilvl="7" w:tplc="67DE33CA">
      <w:start w:val="1"/>
      <w:numFmt w:val="lowerLetter"/>
      <w:lvlText w:val="%8."/>
      <w:lvlJc w:val="left"/>
      <w:pPr>
        <w:ind w:left="5760" w:hanging="360"/>
      </w:pPr>
    </w:lvl>
    <w:lvl w:ilvl="8" w:tplc="5BD457A8">
      <w:start w:val="1"/>
      <w:numFmt w:val="lowerRoman"/>
      <w:lvlText w:val="%9."/>
      <w:lvlJc w:val="right"/>
      <w:pPr>
        <w:ind w:left="6480" w:hanging="180"/>
      </w:pPr>
    </w:lvl>
  </w:abstractNum>
  <w:abstractNum w:abstractNumId="24" w15:restartNumberingAfterBreak="0">
    <w:nsid w:val="45B906D7"/>
    <w:multiLevelType w:val="multilevel"/>
    <w:tmpl w:val="328229B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65F6A15"/>
    <w:multiLevelType w:val="multilevel"/>
    <w:tmpl w:val="C7EAE18A"/>
    <w:lvl w:ilvl="0">
      <w:start w:val="7"/>
      <w:numFmt w:val="decimal"/>
      <w:lvlText w:val="%1"/>
      <w:lvlJc w:val="left"/>
      <w:pPr>
        <w:ind w:left="390" w:hanging="390"/>
      </w:pPr>
      <w:rPr>
        <w:rFonts w:asciiTheme="majorHAnsi" w:eastAsiaTheme="minorEastAsia" w:hAnsiTheme="majorHAnsi" w:cs="Arial" w:hint="default"/>
        <w:color w:val="000000" w:themeColor="text1"/>
        <w:sz w:val="24"/>
      </w:rPr>
    </w:lvl>
    <w:lvl w:ilvl="1">
      <w:start w:val="1"/>
      <w:numFmt w:val="decimal"/>
      <w:lvlText w:val="%1.%2"/>
      <w:lvlJc w:val="left"/>
      <w:pPr>
        <w:ind w:left="390" w:hanging="390"/>
      </w:pPr>
      <w:rPr>
        <w:rFonts w:asciiTheme="majorHAnsi" w:eastAsiaTheme="minorEastAsia" w:hAnsiTheme="majorHAnsi" w:cs="Arial" w:hint="default"/>
        <w:color w:val="000000" w:themeColor="text1"/>
        <w:sz w:val="24"/>
      </w:rPr>
    </w:lvl>
    <w:lvl w:ilvl="2">
      <w:start w:val="1"/>
      <w:numFmt w:val="decimal"/>
      <w:lvlText w:val="%1.%2.%3"/>
      <w:lvlJc w:val="left"/>
      <w:pPr>
        <w:ind w:left="720" w:hanging="720"/>
      </w:pPr>
      <w:rPr>
        <w:rFonts w:asciiTheme="majorHAnsi" w:eastAsiaTheme="minorEastAsia" w:hAnsiTheme="majorHAnsi" w:cs="Arial" w:hint="default"/>
        <w:color w:val="000000" w:themeColor="text1"/>
        <w:sz w:val="24"/>
      </w:rPr>
    </w:lvl>
    <w:lvl w:ilvl="3">
      <w:start w:val="1"/>
      <w:numFmt w:val="decimal"/>
      <w:lvlText w:val="%1.%2.%3.%4"/>
      <w:lvlJc w:val="left"/>
      <w:pPr>
        <w:ind w:left="720" w:hanging="720"/>
      </w:pPr>
      <w:rPr>
        <w:rFonts w:asciiTheme="majorHAnsi" w:eastAsiaTheme="minorEastAsia" w:hAnsiTheme="majorHAnsi" w:cs="Arial" w:hint="default"/>
        <w:color w:val="000000" w:themeColor="text1"/>
        <w:sz w:val="24"/>
      </w:rPr>
    </w:lvl>
    <w:lvl w:ilvl="4">
      <w:start w:val="1"/>
      <w:numFmt w:val="decimal"/>
      <w:lvlText w:val="%1.%2.%3.%4.%5"/>
      <w:lvlJc w:val="left"/>
      <w:pPr>
        <w:ind w:left="1080" w:hanging="1080"/>
      </w:pPr>
      <w:rPr>
        <w:rFonts w:asciiTheme="majorHAnsi" w:eastAsiaTheme="minorEastAsia" w:hAnsiTheme="majorHAnsi" w:cs="Arial" w:hint="default"/>
        <w:color w:val="000000" w:themeColor="text1"/>
        <w:sz w:val="24"/>
      </w:rPr>
    </w:lvl>
    <w:lvl w:ilvl="5">
      <w:start w:val="1"/>
      <w:numFmt w:val="decimal"/>
      <w:lvlText w:val="%1.%2.%3.%4.%5.%6"/>
      <w:lvlJc w:val="left"/>
      <w:pPr>
        <w:ind w:left="1080" w:hanging="1080"/>
      </w:pPr>
      <w:rPr>
        <w:rFonts w:asciiTheme="majorHAnsi" w:eastAsiaTheme="minorEastAsia" w:hAnsiTheme="majorHAnsi" w:cs="Arial" w:hint="default"/>
        <w:color w:val="000000" w:themeColor="text1"/>
        <w:sz w:val="24"/>
      </w:rPr>
    </w:lvl>
    <w:lvl w:ilvl="6">
      <w:start w:val="1"/>
      <w:numFmt w:val="decimal"/>
      <w:lvlText w:val="%1.%2.%3.%4.%5.%6.%7"/>
      <w:lvlJc w:val="left"/>
      <w:pPr>
        <w:ind w:left="1440" w:hanging="1440"/>
      </w:pPr>
      <w:rPr>
        <w:rFonts w:asciiTheme="majorHAnsi" w:eastAsiaTheme="minorEastAsia" w:hAnsiTheme="majorHAnsi" w:cs="Arial" w:hint="default"/>
        <w:color w:val="000000" w:themeColor="text1"/>
        <w:sz w:val="24"/>
      </w:rPr>
    </w:lvl>
    <w:lvl w:ilvl="7">
      <w:start w:val="1"/>
      <w:numFmt w:val="decimal"/>
      <w:lvlText w:val="%1.%2.%3.%4.%5.%6.%7.%8"/>
      <w:lvlJc w:val="left"/>
      <w:pPr>
        <w:ind w:left="1440" w:hanging="1440"/>
      </w:pPr>
      <w:rPr>
        <w:rFonts w:asciiTheme="majorHAnsi" w:eastAsiaTheme="minorEastAsia" w:hAnsiTheme="majorHAnsi" w:cs="Arial" w:hint="default"/>
        <w:color w:val="000000" w:themeColor="text1"/>
        <w:sz w:val="24"/>
      </w:rPr>
    </w:lvl>
    <w:lvl w:ilvl="8">
      <w:start w:val="1"/>
      <w:numFmt w:val="decimal"/>
      <w:lvlText w:val="%1.%2.%3.%4.%5.%6.%7.%8.%9"/>
      <w:lvlJc w:val="left"/>
      <w:pPr>
        <w:ind w:left="1440" w:hanging="1440"/>
      </w:pPr>
      <w:rPr>
        <w:rFonts w:asciiTheme="majorHAnsi" w:eastAsiaTheme="minorEastAsia" w:hAnsiTheme="majorHAnsi" w:cs="Arial" w:hint="default"/>
        <w:color w:val="000000" w:themeColor="text1"/>
        <w:sz w:val="24"/>
      </w:rPr>
    </w:lvl>
  </w:abstractNum>
  <w:abstractNum w:abstractNumId="26" w15:restartNumberingAfterBreak="0">
    <w:nsid w:val="491B5965"/>
    <w:multiLevelType w:val="hybridMultilevel"/>
    <w:tmpl w:val="68E8E280"/>
    <w:lvl w:ilvl="0" w:tplc="EBF838DA">
      <w:start w:val="1"/>
      <w:numFmt w:val="lowerLetter"/>
      <w:lvlText w:val="%1)"/>
      <w:lvlJc w:val="left"/>
      <w:pPr>
        <w:ind w:left="720" w:hanging="360"/>
      </w:pPr>
      <w:rPr>
        <w:rFonts w:hint="default"/>
      </w:rPr>
    </w:lvl>
    <w:lvl w:ilvl="1" w:tplc="4FCC9A80">
      <w:start w:val="1"/>
      <w:numFmt w:val="lowerLetter"/>
      <w:lvlText w:val="%2."/>
      <w:lvlJc w:val="left"/>
      <w:pPr>
        <w:ind w:left="1440" w:hanging="360"/>
      </w:pPr>
    </w:lvl>
    <w:lvl w:ilvl="2" w:tplc="A692A4A2">
      <w:start w:val="1"/>
      <w:numFmt w:val="lowerRoman"/>
      <w:lvlText w:val="%3."/>
      <w:lvlJc w:val="right"/>
      <w:pPr>
        <w:ind w:left="2160" w:hanging="180"/>
      </w:pPr>
    </w:lvl>
    <w:lvl w:ilvl="3" w:tplc="428C614A">
      <w:start w:val="1"/>
      <w:numFmt w:val="decimal"/>
      <w:lvlText w:val="%4."/>
      <w:lvlJc w:val="left"/>
      <w:pPr>
        <w:ind w:left="2880" w:hanging="360"/>
      </w:pPr>
    </w:lvl>
    <w:lvl w:ilvl="4" w:tplc="EB98A6C6">
      <w:start w:val="1"/>
      <w:numFmt w:val="lowerLetter"/>
      <w:lvlText w:val="%5."/>
      <w:lvlJc w:val="left"/>
      <w:pPr>
        <w:ind w:left="3600" w:hanging="360"/>
      </w:pPr>
    </w:lvl>
    <w:lvl w:ilvl="5" w:tplc="AAF62132">
      <w:start w:val="1"/>
      <w:numFmt w:val="lowerRoman"/>
      <w:lvlText w:val="%6."/>
      <w:lvlJc w:val="right"/>
      <w:pPr>
        <w:ind w:left="4320" w:hanging="180"/>
      </w:pPr>
    </w:lvl>
    <w:lvl w:ilvl="6" w:tplc="CDE0B534">
      <w:start w:val="1"/>
      <w:numFmt w:val="decimal"/>
      <w:lvlText w:val="%7."/>
      <w:lvlJc w:val="left"/>
      <w:pPr>
        <w:ind w:left="5040" w:hanging="360"/>
      </w:pPr>
    </w:lvl>
    <w:lvl w:ilvl="7" w:tplc="199CF268">
      <w:start w:val="1"/>
      <w:numFmt w:val="lowerLetter"/>
      <w:lvlText w:val="%8."/>
      <w:lvlJc w:val="left"/>
      <w:pPr>
        <w:ind w:left="5760" w:hanging="360"/>
      </w:pPr>
    </w:lvl>
    <w:lvl w:ilvl="8" w:tplc="27EA948C">
      <w:start w:val="1"/>
      <w:numFmt w:val="lowerRoman"/>
      <w:lvlText w:val="%9."/>
      <w:lvlJc w:val="right"/>
      <w:pPr>
        <w:ind w:left="6480" w:hanging="180"/>
      </w:pPr>
    </w:lvl>
  </w:abstractNum>
  <w:abstractNum w:abstractNumId="27" w15:restartNumberingAfterBreak="0">
    <w:nsid w:val="4EE60AAE"/>
    <w:multiLevelType w:val="multilevel"/>
    <w:tmpl w:val="DF405DD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2DA40BA"/>
    <w:multiLevelType w:val="hybridMultilevel"/>
    <w:tmpl w:val="B894808A"/>
    <w:lvl w:ilvl="0" w:tplc="AE36E958">
      <w:start w:val="1"/>
      <w:numFmt w:val="decimal"/>
      <w:lvlText w:val="%1."/>
      <w:lvlJc w:val="left"/>
      <w:pPr>
        <w:ind w:left="720" w:hanging="360"/>
      </w:pPr>
    </w:lvl>
    <w:lvl w:ilvl="1" w:tplc="9B104AEE">
      <w:start w:val="1"/>
      <w:numFmt w:val="lowerLetter"/>
      <w:lvlText w:val="%2."/>
      <w:lvlJc w:val="left"/>
      <w:pPr>
        <w:ind w:left="1440" w:hanging="360"/>
      </w:pPr>
    </w:lvl>
    <w:lvl w:ilvl="2" w:tplc="DFFA33C4">
      <w:start w:val="1"/>
      <w:numFmt w:val="lowerRoman"/>
      <w:lvlText w:val="%3."/>
      <w:lvlJc w:val="right"/>
      <w:pPr>
        <w:ind w:left="2160" w:hanging="180"/>
      </w:pPr>
    </w:lvl>
    <w:lvl w:ilvl="3" w:tplc="747E740E">
      <w:start w:val="1"/>
      <w:numFmt w:val="decimal"/>
      <w:lvlText w:val="%4."/>
      <w:lvlJc w:val="left"/>
      <w:pPr>
        <w:ind w:left="2880" w:hanging="360"/>
      </w:pPr>
    </w:lvl>
    <w:lvl w:ilvl="4" w:tplc="B1A0B2FE">
      <w:start w:val="1"/>
      <w:numFmt w:val="lowerLetter"/>
      <w:lvlText w:val="%5."/>
      <w:lvlJc w:val="left"/>
      <w:pPr>
        <w:ind w:left="3600" w:hanging="360"/>
      </w:pPr>
    </w:lvl>
    <w:lvl w:ilvl="5" w:tplc="635AD7F2">
      <w:start w:val="1"/>
      <w:numFmt w:val="lowerRoman"/>
      <w:lvlText w:val="%6."/>
      <w:lvlJc w:val="right"/>
      <w:pPr>
        <w:ind w:left="4320" w:hanging="180"/>
      </w:pPr>
    </w:lvl>
    <w:lvl w:ilvl="6" w:tplc="E984337A">
      <w:start w:val="1"/>
      <w:numFmt w:val="decimal"/>
      <w:lvlText w:val="%7."/>
      <w:lvlJc w:val="left"/>
      <w:pPr>
        <w:ind w:left="5040" w:hanging="360"/>
      </w:pPr>
    </w:lvl>
    <w:lvl w:ilvl="7" w:tplc="3EE08C7A">
      <w:start w:val="1"/>
      <w:numFmt w:val="lowerLetter"/>
      <w:lvlText w:val="%8."/>
      <w:lvlJc w:val="left"/>
      <w:pPr>
        <w:ind w:left="5760" w:hanging="360"/>
      </w:pPr>
    </w:lvl>
    <w:lvl w:ilvl="8" w:tplc="A54CCE00">
      <w:start w:val="1"/>
      <w:numFmt w:val="lowerRoman"/>
      <w:lvlText w:val="%9."/>
      <w:lvlJc w:val="right"/>
      <w:pPr>
        <w:ind w:left="6480" w:hanging="180"/>
      </w:pPr>
    </w:lvl>
  </w:abstractNum>
  <w:abstractNum w:abstractNumId="29" w15:restartNumberingAfterBreak="0">
    <w:nsid w:val="5AC918B2"/>
    <w:multiLevelType w:val="hybridMultilevel"/>
    <w:tmpl w:val="514EB35E"/>
    <w:lvl w:ilvl="0" w:tplc="9834B110">
      <w:start w:val="1"/>
      <w:numFmt w:val="bullet"/>
      <w:lvlText w:val=""/>
      <w:lvlJc w:val="left"/>
      <w:pPr>
        <w:ind w:left="720" w:hanging="360"/>
      </w:pPr>
      <w:rPr>
        <w:rFonts w:ascii="Symbol" w:hAnsi="Symbol" w:hint="default"/>
      </w:rPr>
    </w:lvl>
    <w:lvl w:ilvl="1" w:tplc="2E1EB67C">
      <w:start w:val="1"/>
      <w:numFmt w:val="lowerLetter"/>
      <w:lvlText w:val="%2."/>
      <w:lvlJc w:val="left"/>
      <w:pPr>
        <w:ind w:left="1440" w:hanging="360"/>
      </w:pPr>
    </w:lvl>
    <w:lvl w:ilvl="2" w:tplc="56545E3C">
      <w:start w:val="1"/>
      <w:numFmt w:val="lowerRoman"/>
      <w:lvlText w:val="%3."/>
      <w:lvlJc w:val="right"/>
      <w:pPr>
        <w:ind w:left="2160" w:hanging="180"/>
      </w:pPr>
    </w:lvl>
    <w:lvl w:ilvl="3" w:tplc="AC28E524">
      <w:start w:val="1"/>
      <w:numFmt w:val="decimal"/>
      <w:lvlText w:val="%4."/>
      <w:lvlJc w:val="left"/>
      <w:pPr>
        <w:ind w:left="2880" w:hanging="360"/>
      </w:pPr>
    </w:lvl>
    <w:lvl w:ilvl="4" w:tplc="300E0830">
      <w:start w:val="1"/>
      <w:numFmt w:val="lowerLetter"/>
      <w:lvlText w:val="%5."/>
      <w:lvlJc w:val="left"/>
      <w:pPr>
        <w:ind w:left="3600" w:hanging="360"/>
      </w:pPr>
    </w:lvl>
    <w:lvl w:ilvl="5" w:tplc="73C23D70">
      <w:start w:val="1"/>
      <w:numFmt w:val="lowerRoman"/>
      <w:lvlText w:val="%6."/>
      <w:lvlJc w:val="right"/>
      <w:pPr>
        <w:ind w:left="4320" w:hanging="180"/>
      </w:pPr>
    </w:lvl>
    <w:lvl w:ilvl="6" w:tplc="73E2060E">
      <w:start w:val="1"/>
      <w:numFmt w:val="decimal"/>
      <w:lvlText w:val="%7."/>
      <w:lvlJc w:val="left"/>
      <w:pPr>
        <w:ind w:left="5040" w:hanging="360"/>
      </w:pPr>
    </w:lvl>
    <w:lvl w:ilvl="7" w:tplc="9676AC9C">
      <w:start w:val="1"/>
      <w:numFmt w:val="lowerLetter"/>
      <w:lvlText w:val="%8."/>
      <w:lvlJc w:val="left"/>
      <w:pPr>
        <w:ind w:left="5760" w:hanging="360"/>
      </w:pPr>
    </w:lvl>
    <w:lvl w:ilvl="8" w:tplc="5E72994C">
      <w:start w:val="1"/>
      <w:numFmt w:val="lowerRoman"/>
      <w:lvlText w:val="%9."/>
      <w:lvlJc w:val="right"/>
      <w:pPr>
        <w:ind w:left="6480" w:hanging="180"/>
      </w:pPr>
    </w:lvl>
  </w:abstractNum>
  <w:abstractNum w:abstractNumId="30" w15:restartNumberingAfterBreak="0">
    <w:nsid w:val="5BAF15D4"/>
    <w:multiLevelType w:val="hybridMultilevel"/>
    <w:tmpl w:val="27D687C6"/>
    <w:lvl w:ilvl="0" w:tplc="4276054C">
      <w:start w:val="1"/>
      <w:numFmt w:val="bullet"/>
      <w:lvlText w:val=""/>
      <w:lvlJc w:val="left"/>
      <w:pPr>
        <w:ind w:left="360" w:hanging="360"/>
      </w:pPr>
      <w:rPr>
        <w:rFonts w:ascii="Symbol" w:hAnsi="Symbol" w:hint="default"/>
      </w:rPr>
    </w:lvl>
    <w:lvl w:ilvl="1" w:tplc="86DAC894">
      <w:start w:val="1"/>
      <w:numFmt w:val="lowerLetter"/>
      <w:lvlText w:val="%2."/>
      <w:lvlJc w:val="left"/>
      <w:pPr>
        <w:ind w:left="1080" w:hanging="360"/>
      </w:pPr>
    </w:lvl>
    <w:lvl w:ilvl="2" w:tplc="785A7246">
      <w:start w:val="1"/>
      <w:numFmt w:val="lowerRoman"/>
      <w:lvlText w:val="%3."/>
      <w:lvlJc w:val="right"/>
      <w:pPr>
        <w:ind w:left="1800" w:hanging="180"/>
      </w:pPr>
    </w:lvl>
    <w:lvl w:ilvl="3" w:tplc="6E60B2A2">
      <w:start w:val="1"/>
      <w:numFmt w:val="decimal"/>
      <w:lvlText w:val="%4."/>
      <w:lvlJc w:val="left"/>
      <w:pPr>
        <w:ind w:left="2520" w:hanging="360"/>
      </w:pPr>
    </w:lvl>
    <w:lvl w:ilvl="4" w:tplc="970A05A2">
      <w:start w:val="1"/>
      <w:numFmt w:val="lowerLetter"/>
      <w:lvlText w:val="%5."/>
      <w:lvlJc w:val="left"/>
      <w:pPr>
        <w:ind w:left="3240" w:hanging="360"/>
      </w:pPr>
    </w:lvl>
    <w:lvl w:ilvl="5" w:tplc="57CCABF8">
      <w:start w:val="1"/>
      <w:numFmt w:val="lowerRoman"/>
      <w:lvlText w:val="%6."/>
      <w:lvlJc w:val="right"/>
      <w:pPr>
        <w:ind w:left="3960" w:hanging="180"/>
      </w:pPr>
    </w:lvl>
    <w:lvl w:ilvl="6" w:tplc="C9C2AA18">
      <w:start w:val="1"/>
      <w:numFmt w:val="decimal"/>
      <w:lvlText w:val="%7."/>
      <w:lvlJc w:val="left"/>
      <w:pPr>
        <w:ind w:left="4680" w:hanging="360"/>
      </w:pPr>
    </w:lvl>
    <w:lvl w:ilvl="7" w:tplc="CAEA0E54">
      <w:start w:val="1"/>
      <w:numFmt w:val="lowerLetter"/>
      <w:lvlText w:val="%8."/>
      <w:lvlJc w:val="left"/>
      <w:pPr>
        <w:ind w:left="5400" w:hanging="360"/>
      </w:pPr>
    </w:lvl>
    <w:lvl w:ilvl="8" w:tplc="1910CF0A">
      <w:start w:val="1"/>
      <w:numFmt w:val="lowerRoman"/>
      <w:lvlText w:val="%9."/>
      <w:lvlJc w:val="right"/>
      <w:pPr>
        <w:ind w:left="6120" w:hanging="180"/>
      </w:pPr>
    </w:lvl>
  </w:abstractNum>
  <w:abstractNum w:abstractNumId="31" w15:restartNumberingAfterBreak="0">
    <w:nsid w:val="5CAE3E13"/>
    <w:multiLevelType w:val="hybridMultilevel"/>
    <w:tmpl w:val="39C22CDE"/>
    <w:lvl w:ilvl="0" w:tplc="A0EE70E4">
      <w:start w:val="1"/>
      <w:numFmt w:val="bullet"/>
      <w:lvlText w:val=""/>
      <w:lvlJc w:val="left"/>
      <w:pPr>
        <w:ind w:left="720" w:hanging="360"/>
      </w:pPr>
      <w:rPr>
        <w:rFonts w:ascii="Symbol" w:hAnsi="Symbol" w:hint="default"/>
      </w:rPr>
    </w:lvl>
    <w:lvl w:ilvl="1" w:tplc="7598CA16">
      <w:start w:val="1"/>
      <w:numFmt w:val="bullet"/>
      <w:lvlText w:val="o"/>
      <w:lvlJc w:val="left"/>
      <w:pPr>
        <w:ind w:left="1440" w:hanging="360"/>
      </w:pPr>
      <w:rPr>
        <w:rFonts w:ascii="Courier New" w:hAnsi="Courier New" w:cs="Courier New" w:hint="default"/>
      </w:rPr>
    </w:lvl>
    <w:lvl w:ilvl="2" w:tplc="373C6B80">
      <w:start w:val="1"/>
      <w:numFmt w:val="bullet"/>
      <w:lvlText w:val=""/>
      <w:lvlJc w:val="left"/>
      <w:pPr>
        <w:ind w:left="2160" w:hanging="360"/>
      </w:pPr>
      <w:rPr>
        <w:rFonts w:ascii="Wingdings" w:hAnsi="Wingdings" w:hint="default"/>
      </w:rPr>
    </w:lvl>
    <w:lvl w:ilvl="3" w:tplc="7048DB5E">
      <w:start w:val="1"/>
      <w:numFmt w:val="bullet"/>
      <w:lvlText w:val=""/>
      <w:lvlJc w:val="left"/>
      <w:pPr>
        <w:ind w:left="2880" w:hanging="360"/>
      </w:pPr>
      <w:rPr>
        <w:rFonts w:ascii="Symbol" w:hAnsi="Symbol" w:hint="default"/>
      </w:rPr>
    </w:lvl>
    <w:lvl w:ilvl="4" w:tplc="656666DA">
      <w:start w:val="1"/>
      <w:numFmt w:val="bullet"/>
      <w:lvlText w:val="o"/>
      <w:lvlJc w:val="left"/>
      <w:pPr>
        <w:ind w:left="3600" w:hanging="360"/>
      </w:pPr>
      <w:rPr>
        <w:rFonts w:ascii="Courier New" w:hAnsi="Courier New" w:cs="Courier New" w:hint="default"/>
      </w:rPr>
    </w:lvl>
    <w:lvl w:ilvl="5" w:tplc="144CE466">
      <w:start w:val="1"/>
      <w:numFmt w:val="bullet"/>
      <w:lvlText w:val=""/>
      <w:lvlJc w:val="left"/>
      <w:pPr>
        <w:ind w:left="4320" w:hanging="360"/>
      </w:pPr>
      <w:rPr>
        <w:rFonts w:ascii="Wingdings" w:hAnsi="Wingdings" w:hint="default"/>
      </w:rPr>
    </w:lvl>
    <w:lvl w:ilvl="6" w:tplc="DB341DF2">
      <w:start w:val="1"/>
      <w:numFmt w:val="bullet"/>
      <w:lvlText w:val=""/>
      <w:lvlJc w:val="left"/>
      <w:pPr>
        <w:ind w:left="5040" w:hanging="360"/>
      </w:pPr>
      <w:rPr>
        <w:rFonts w:ascii="Symbol" w:hAnsi="Symbol" w:hint="default"/>
      </w:rPr>
    </w:lvl>
    <w:lvl w:ilvl="7" w:tplc="1AF697D8">
      <w:start w:val="1"/>
      <w:numFmt w:val="bullet"/>
      <w:lvlText w:val="o"/>
      <w:lvlJc w:val="left"/>
      <w:pPr>
        <w:ind w:left="5760" w:hanging="360"/>
      </w:pPr>
      <w:rPr>
        <w:rFonts w:ascii="Courier New" w:hAnsi="Courier New" w:cs="Courier New" w:hint="default"/>
      </w:rPr>
    </w:lvl>
    <w:lvl w:ilvl="8" w:tplc="BE1CB59E">
      <w:start w:val="1"/>
      <w:numFmt w:val="bullet"/>
      <w:lvlText w:val=""/>
      <w:lvlJc w:val="left"/>
      <w:pPr>
        <w:ind w:left="6480" w:hanging="360"/>
      </w:pPr>
      <w:rPr>
        <w:rFonts w:ascii="Wingdings" w:hAnsi="Wingdings" w:hint="default"/>
      </w:rPr>
    </w:lvl>
  </w:abstractNum>
  <w:abstractNum w:abstractNumId="32" w15:restartNumberingAfterBreak="0">
    <w:nsid w:val="5D3A3BF9"/>
    <w:multiLevelType w:val="hybridMultilevel"/>
    <w:tmpl w:val="F1DAF426"/>
    <w:lvl w:ilvl="0" w:tplc="E438C690">
      <w:start w:val="1"/>
      <w:numFmt w:val="bullet"/>
      <w:lvlText w:val=""/>
      <w:lvlJc w:val="left"/>
      <w:pPr>
        <w:ind w:left="720" w:hanging="360"/>
      </w:pPr>
      <w:rPr>
        <w:rFonts w:ascii="Symbol" w:hAnsi="Symbol" w:hint="default"/>
      </w:rPr>
    </w:lvl>
    <w:lvl w:ilvl="1" w:tplc="29F03D1C">
      <w:start w:val="1"/>
      <w:numFmt w:val="bullet"/>
      <w:lvlText w:val="o"/>
      <w:lvlJc w:val="left"/>
      <w:pPr>
        <w:ind w:left="1440" w:hanging="360"/>
      </w:pPr>
      <w:rPr>
        <w:rFonts w:ascii="Courier New" w:hAnsi="Courier New" w:cs="Courier New" w:hint="default"/>
      </w:rPr>
    </w:lvl>
    <w:lvl w:ilvl="2" w:tplc="C7DCDF04">
      <w:start w:val="1"/>
      <w:numFmt w:val="bullet"/>
      <w:lvlText w:val=""/>
      <w:lvlJc w:val="left"/>
      <w:pPr>
        <w:ind w:left="2160" w:hanging="360"/>
      </w:pPr>
      <w:rPr>
        <w:rFonts w:ascii="Wingdings" w:hAnsi="Wingdings" w:hint="default"/>
      </w:rPr>
    </w:lvl>
    <w:lvl w:ilvl="3" w:tplc="22464CDE">
      <w:start w:val="1"/>
      <w:numFmt w:val="bullet"/>
      <w:lvlText w:val=""/>
      <w:lvlJc w:val="left"/>
      <w:pPr>
        <w:ind w:left="2880" w:hanging="360"/>
      </w:pPr>
      <w:rPr>
        <w:rFonts w:ascii="Symbol" w:hAnsi="Symbol" w:hint="default"/>
      </w:rPr>
    </w:lvl>
    <w:lvl w:ilvl="4" w:tplc="6D9A0A8E">
      <w:start w:val="1"/>
      <w:numFmt w:val="bullet"/>
      <w:lvlText w:val="o"/>
      <w:lvlJc w:val="left"/>
      <w:pPr>
        <w:ind w:left="3600" w:hanging="360"/>
      </w:pPr>
      <w:rPr>
        <w:rFonts w:ascii="Courier New" w:hAnsi="Courier New" w:cs="Courier New" w:hint="default"/>
      </w:rPr>
    </w:lvl>
    <w:lvl w:ilvl="5" w:tplc="6944CCF4">
      <w:start w:val="1"/>
      <w:numFmt w:val="bullet"/>
      <w:lvlText w:val=""/>
      <w:lvlJc w:val="left"/>
      <w:pPr>
        <w:ind w:left="4320" w:hanging="360"/>
      </w:pPr>
      <w:rPr>
        <w:rFonts w:ascii="Wingdings" w:hAnsi="Wingdings" w:hint="default"/>
      </w:rPr>
    </w:lvl>
    <w:lvl w:ilvl="6" w:tplc="5D5C0454">
      <w:start w:val="1"/>
      <w:numFmt w:val="bullet"/>
      <w:lvlText w:val=""/>
      <w:lvlJc w:val="left"/>
      <w:pPr>
        <w:ind w:left="5040" w:hanging="360"/>
      </w:pPr>
      <w:rPr>
        <w:rFonts w:ascii="Symbol" w:hAnsi="Symbol" w:hint="default"/>
      </w:rPr>
    </w:lvl>
    <w:lvl w:ilvl="7" w:tplc="5EFEC74E">
      <w:start w:val="1"/>
      <w:numFmt w:val="bullet"/>
      <w:lvlText w:val="o"/>
      <w:lvlJc w:val="left"/>
      <w:pPr>
        <w:ind w:left="5760" w:hanging="360"/>
      </w:pPr>
      <w:rPr>
        <w:rFonts w:ascii="Courier New" w:hAnsi="Courier New" w:cs="Courier New" w:hint="default"/>
      </w:rPr>
    </w:lvl>
    <w:lvl w:ilvl="8" w:tplc="930E0E34">
      <w:start w:val="1"/>
      <w:numFmt w:val="bullet"/>
      <w:lvlText w:val=""/>
      <w:lvlJc w:val="left"/>
      <w:pPr>
        <w:ind w:left="6480" w:hanging="360"/>
      </w:pPr>
      <w:rPr>
        <w:rFonts w:ascii="Wingdings" w:hAnsi="Wingdings" w:hint="default"/>
      </w:rPr>
    </w:lvl>
  </w:abstractNum>
  <w:abstractNum w:abstractNumId="33" w15:restartNumberingAfterBreak="0">
    <w:nsid w:val="615B211C"/>
    <w:multiLevelType w:val="hybridMultilevel"/>
    <w:tmpl w:val="EDEAC908"/>
    <w:lvl w:ilvl="0" w:tplc="BCF496B2">
      <w:start w:val="1"/>
      <w:numFmt w:val="bullet"/>
      <w:lvlText w:val=""/>
      <w:lvlJc w:val="left"/>
      <w:pPr>
        <w:ind w:left="720" w:hanging="360"/>
      </w:pPr>
      <w:rPr>
        <w:rFonts w:ascii="Symbol" w:hAnsi="Symbol" w:hint="default"/>
      </w:rPr>
    </w:lvl>
    <w:lvl w:ilvl="1" w:tplc="AA8C40FE">
      <w:start w:val="1"/>
      <w:numFmt w:val="bullet"/>
      <w:lvlText w:val="o"/>
      <w:lvlJc w:val="left"/>
      <w:pPr>
        <w:ind w:left="1440" w:hanging="360"/>
      </w:pPr>
      <w:rPr>
        <w:rFonts w:ascii="Courier New" w:hAnsi="Courier New" w:cs="Courier New" w:hint="default"/>
      </w:rPr>
    </w:lvl>
    <w:lvl w:ilvl="2" w:tplc="C4568EC2">
      <w:start w:val="1"/>
      <w:numFmt w:val="bullet"/>
      <w:lvlText w:val=""/>
      <w:lvlJc w:val="left"/>
      <w:pPr>
        <w:ind w:left="2160" w:hanging="360"/>
      </w:pPr>
      <w:rPr>
        <w:rFonts w:ascii="Wingdings" w:hAnsi="Wingdings" w:hint="default"/>
      </w:rPr>
    </w:lvl>
    <w:lvl w:ilvl="3" w:tplc="403209FC">
      <w:start w:val="1"/>
      <w:numFmt w:val="bullet"/>
      <w:lvlText w:val=""/>
      <w:lvlJc w:val="left"/>
      <w:pPr>
        <w:ind w:left="2880" w:hanging="360"/>
      </w:pPr>
      <w:rPr>
        <w:rFonts w:ascii="Symbol" w:hAnsi="Symbol" w:hint="default"/>
      </w:rPr>
    </w:lvl>
    <w:lvl w:ilvl="4" w:tplc="69D20CE6">
      <w:start w:val="1"/>
      <w:numFmt w:val="bullet"/>
      <w:lvlText w:val="o"/>
      <w:lvlJc w:val="left"/>
      <w:pPr>
        <w:ind w:left="3600" w:hanging="360"/>
      </w:pPr>
      <w:rPr>
        <w:rFonts w:ascii="Courier New" w:hAnsi="Courier New" w:cs="Courier New" w:hint="default"/>
      </w:rPr>
    </w:lvl>
    <w:lvl w:ilvl="5" w:tplc="53FEBB2A">
      <w:start w:val="1"/>
      <w:numFmt w:val="bullet"/>
      <w:lvlText w:val=""/>
      <w:lvlJc w:val="left"/>
      <w:pPr>
        <w:ind w:left="4320" w:hanging="360"/>
      </w:pPr>
      <w:rPr>
        <w:rFonts w:ascii="Wingdings" w:hAnsi="Wingdings" w:hint="default"/>
      </w:rPr>
    </w:lvl>
    <w:lvl w:ilvl="6" w:tplc="D19615AC">
      <w:start w:val="1"/>
      <w:numFmt w:val="bullet"/>
      <w:lvlText w:val=""/>
      <w:lvlJc w:val="left"/>
      <w:pPr>
        <w:ind w:left="5040" w:hanging="360"/>
      </w:pPr>
      <w:rPr>
        <w:rFonts w:ascii="Symbol" w:hAnsi="Symbol" w:hint="default"/>
      </w:rPr>
    </w:lvl>
    <w:lvl w:ilvl="7" w:tplc="E29E54B8">
      <w:start w:val="1"/>
      <w:numFmt w:val="bullet"/>
      <w:lvlText w:val="o"/>
      <w:lvlJc w:val="left"/>
      <w:pPr>
        <w:ind w:left="5760" w:hanging="360"/>
      </w:pPr>
      <w:rPr>
        <w:rFonts w:ascii="Courier New" w:hAnsi="Courier New" w:cs="Courier New" w:hint="default"/>
      </w:rPr>
    </w:lvl>
    <w:lvl w:ilvl="8" w:tplc="73C6FD9E">
      <w:start w:val="1"/>
      <w:numFmt w:val="bullet"/>
      <w:lvlText w:val=""/>
      <w:lvlJc w:val="left"/>
      <w:pPr>
        <w:ind w:left="6480" w:hanging="360"/>
      </w:pPr>
      <w:rPr>
        <w:rFonts w:ascii="Wingdings" w:hAnsi="Wingdings" w:hint="default"/>
      </w:rPr>
    </w:lvl>
  </w:abstractNum>
  <w:abstractNum w:abstractNumId="34" w15:restartNumberingAfterBreak="0">
    <w:nsid w:val="6C6B0BF0"/>
    <w:multiLevelType w:val="hybridMultilevel"/>
    <w:tmpl w:val="327C1100"/>
    <w:lvl w:ilvl="0" w:tplc="A9D25E16">
      <w:start w:val="1"/>
      <w:numFmt w:val="decimal"/>
      <w:lvlText w:val="%1."/>
      <w:lvlJc w:val="left"/>
      <w:pPr>
        <w:ind w:left="1440" w:hanging="360"/>
      </w:pPr>
      <w:rPr>
        <w:rFonts w:hint="default"/>
      </w:rPr>
    </w:lvl>
    <w:lvl w:ilvl="1" w:tplc="CC5ED5FE">
      <w:start w:val="1"/>
      <w:numFmt w:val="lowerLetter"/>
      <w:lvlText w:val="%2."/>
      <w:lvlJc w:val="left"/>
      <w:pPr>
        <w:ind w:left="2160" w:hanging="360"/>
      </w:pPr>
    </w:lvl>
    <w:lvl w:ilvl="2" w:tplc="0EC639AC">
      <w:start w:val="1"/>
      <w:numFmt w:val="lowerRoman"/>
      <w:lvlText w:val="%3."/>
      <w:lvlJc w:val="right"/>
      <w:pPr>
        <w:ind w:left="2880" w:hanging="180"/>
      </w:pPr>
    </w:lvl>
    <w:lvl w:ilvl="3" w:tplc="CB8C6070">
      <w:start w:val="1"/>
      <w:numFmt w:val="decimal"/>
      <w:lvlText w:val="%4."/>
      <w:lvlJc w:val="left"/>
      <w:pPr>
        <w:ind w:left="3600" w:hanging="360"/>
      </w:pPr>
    </w:lvl>
    <w:lvl w:ilvl="4" w:tplc="033EC894">
      <w:start w:val="1"/>
      <w:numFmt w:val="lowerLetter"/>
      <w:lvlText w:val="%5."/>
      <w:lvlJc w:val="left"/>
      <w:pPr>
        <w:ind w:left="4320" w:hanging="360"/>
      </w:pPr>
    </w:lvl>
    <w:lvl w:ilvl="5" w:tplc="89DC61A4">
      <w:start w:val="1"/>
      <w:numFmt w:val="lowerRoman"/>
      <w:lvlText w:val="%6."/>
      <w:lvlJc w:val="right"/>
      <w:pPr>
        <w:ind w:left="5040" w:hanging="180"/>
      </w:pPr>
    </w:lvl>
    <w:lvl w:ilvl="6" w:tplc="26BA28A8">
      <w:start w:val="1"/>
      <w:numFmt w:val="decimal"/>
      <w:lvlText w:val="%7."/>
      <w:lvlJc w:val="left"/>
      <w:pPr>
        <w:ind w:left="5760" w:hanging="360"/>
      </w:pPr>
    </w:lvl>
    <w:lvl w:ilvl="7" w:tplc="13A86032">
      <w:start w:val="1"/>
      <w:numFmt w:val="lowerLetter"/>
      <w:lvlText w:val="%8."/>
      <w:lvlJc w:val="left"/>
      <w:pPr>
        <w:ind w:left="6480" w:hanging="360"/>
      </w:pPr>
    </w:lvl>
    <w:lvl w:ilvl="8" w:tplc="C480F40A">
      <w:start w:val="1"/>
      <w:numFmt w:val="lowerRoman"/>
      <w:lvlText w:val="%9."/>
      <w:lvlJc w:val="right"/>
      <w:pPr>
        <w:ind w:left="7200" w:hanging="180"/>
      </w:pPr>
    </w:lvl>
  </w:abstractNum>
  <w:abstractNum w:abstractNumId="35" w15:restartNumberingAfterBreak="0">
    <w:nsid w:val="6F7D5ECE"/>
    <w:multiLevelType w:val="hybridMultilevel"/>
    <w:tmpl w:val="8ED29C10"/>
    <w:lvl w:ilvl="0" w:tplc="96281AD6">
      <w:start w:val="1"/>
      <w:numFmt w:val="lowerLetter"/>
      <w:lvlText w:val="%1)"/>
      <w:lvlJc w:val="left"/>
      <w:pPr>
        <w:ind w:left="720" w:hanging="360"/>
      </w:pPr>
      <w:rPr>
        <w:rFonts w:hint="default"/>
        <w:b w:val="0"/>
      </w:rPr>
    </w:lvl>
    <w:lvl w:ilvl="1" w:tplc="C750E670">
      <w:start w:val="1"/>
      <w:numFmt w:val="lowerLetter"/>
      <w:lvlText w:val="%2."/>
      <w:lvlJc w:val="left"/>
      <w:pPr>
        <w:ind w:left="1440" w:hanging="360"/>
      </w:pPr>
    </w:lvl>
    <w:lvl w:ilvl="2" w:tplc="E51890F4">
      <w:start w:val="1"/>
      <w:numFmt w:val="lowerRoman"/>
      <w:lvlText w:val="%3."/>
      <w:lvlJc w:val="right"/>
      <w:pPr>
        <w:ind w:left="2160" w:hanging="180"/>
      </w:pPr>
    </w:lvl>
    <w:lvl w:ilvl="3" w:tplc="4A643210">
      <w:start w:val="1"/>
      <w:numFmt w:val="decimal"/>
      <w:lvlText w:val="%4."/>
      <w:lvlJc w:val="left"/>
      <w:pPr>
        <w:ind w:left="2880" w:hanging="360"/>
      </w:pPr>
    </w:lvl>
    <w:lvl w:ilvl="4" w:tplc="F7180ACC">
      <w:start w:val="1"/>
      <w:numFmt w:val="lowerLetter"/>
      <w:lvlText w:val="%5."/>
      <w:lvlJc w:val="left"/>
      <w:pPr>
        <w:ind w:left="3600" w:hanging="360"/>
      </w:pPr>
    </w:lvl>
    <w:lvl w:ilvl="5" w:tplc="96023DEE">
      <w:start w:val="1"/>
      <w:numFmt w:val="lowerRoman"/>
      <w:lvlText w:val="%6."/>
      <w:lvlJc w:val="right"/>
      <w:pPr>
        <w:ind w:left="4320" w:hanging="180"/>
      </w:pPr>
    </w:lvl>
    <w:lvl w:ilvl="6" w:tplc="4798E1DE">
      <w:start w:val="1"/>
      <w:numFmt w:val="decimal"/>
      <w:lvlText w:val="%7."/>
      <w:lvlJc w:val="left"/>
      <w:pPr>
        <w:ind w:left="5040" w:hanging="360"/>
      </w:pPr>
    </w:lvl>
    <w:lvl w:ilvl="7" w:tplc="7BAAA826">
      <w:start w:val="1"/>
      <w:numFmt w:val="lowerLetter"/>
      <w:lvlText w:val="%8."/>
      <w:lvlJc w:val="left"/>
      <w:pPr>
        <w:ind w:left="5760" w:hanging="360"/>
      </w:pPr>
    </w:lvl>
    <w:lvl w:ilvl="8" w:tplc="33F6E8B2">
      <w:start w:val="1"/>
      <w:numFmt w:val="lowerRoman"/>
      <w:lvlText w:val="%9."/>
      <w:lvlJc w:val="right"/>
      <w:pPr>
        <w:ind w:left="6480" w:hanging="180"/>
      </w:pPr>
    </w:lvl>
  </w:abstractNum>
  <w:abstractNum w:abstractNumId="36" w15:restartNumberingAfterBreak="0">
    <w:nsid w:val="74886683"/>
    <w:multiLevelType w:val="multilevel"/>
    <w:tmpl w:val="DB4A652A"/>
    <w:lvl w:ilvl="0">
      <w:start w:val="4"/>
      <w:numFmt w:val="decimal"/>
      <w:lvlText w:val="%1"/>
      <w:lvlJc w:val="left"/>
      <w:pPr>
        <w:ind w:left="390" w:hanging="390"/>
      </w:pPr>
      <w:rPr>
        <w:rFonts w:asciiTheme="majorHAnsi" w:eastAsiaTheme="minorEastAsia" w:hAnsiTheme="majorHAnsi" w:cs="Arial" w:hint="default"/>
        <w:color w:val="000000" w:themeColor="text1"/>
        <w:sz w:val="24"/>
      </w:rPr>
    </w:lvl>
    <w:lvl w:ilvl="1">
      <w:start w:val="1"/>
      <w:numFmt w:val="decimal"/>
      <w:lvlText w:val="%1.%2"/>
      <w:lvlJc w:val="left"/>
      <w:pPr>
        <w:ind w:left="390" w:hanging="390"/>
      </w:pPr>
      <w:rPr>
        <w:rFonts w:asciiTheme="majorHAnsi" w:eastAsiaTheme="minorEastAsia" w:hAnsiTheme="majorHAnsi" w:cs="Arial" w:hint="default"/>
        <w:color w:val="000000" w:themeColor="text1"/>
        <w:sz w:val="24"/>
      </w:rPr>
    </w:lvl>
    <w:lvl w:ilvl="2">
      <w:start w:val="1"/>
      <w:numFmt w:val="decimal"/>
      <w:lvlText w:val="%1.%2.%3"/>
      <w:lvlJc w:val="left"/>
      <w:pPr>
        <w:ind w:left="720" w:hanging="720"/>
      </w:pPr>
      <w:rPr>
        <w:rFonts w:asciiTheme="majorHAnsi" w:eastAsiaTheme="minorEastAsia" w:hAnsiTheme="majorHAnsi" w:cs="Arial" w:hint="default"/>
        <w:color w:val="000000" w:themeColor="text1"/>
        <w:sz w:val="24"/>
      </w:rPr>
    </w:lvl>
    <w:lvl w:ilvl="3">
      <w:start w:val="1"/>
      <w:numFmt w:val="decimal"/>
      <w:lvlText w:val="%1.%2.%3.%4"/>
      <w:lvlJc w:val="left"/>
      <w:pPr>
        <w:ind w:left="720" w:hanging="720"/>
      </w:pPr>
      <w:rPr>
        <w:rFonts w:asciiTheme="majorHAnsi" w:eastAsiaTheme="minorEastAsia" w:hAnsiTheme="majorHAnsi" w:cs="Arial" w:hint="default"/>
        <w:color w:val="000000" w:themeColor="text1"/>
        <w:sz w:val="24"/>
      </w:rPr>
    </w:lvl>
    <w:lvl w:ilvl="4">
      <w:start w:val="1"/>
      <w:numFmt w:val="decimal"/>
      <w:lvlText w:val="%1.%2.%3.%4.%5"/>
      <w:lvlJc w:val="left"/>
      <w:pPr>
        <w:ind w:left="1080" w:hanging="1080"/>
      </w:pPr>
      <w:rPr>
        <w:rFonts w:asciiTheme="majorHAnsi" w:eastAsiaTheme="minorEastAsia" w:hAnsiTheme="majorHAnsi" w:cs="Arial" w:hint="default"/>
        <w:color w:val="000000" w:themeColor="text1"/>
        <w:sz w:val="24"/>
      </w:rPr>
    </w:lvl>
    <w:lvl w:ilvl="5">
      <w:start w:val="1"/>
      <w:numFmt w:val="decimal"/>
      <w:lvlText w:val="%1.%2.%3.%4.%5.%6"/>
      <w:lvlJc w:val="left"/>
      <w:pPr>
        <w:ind w:left="1080" w:hanging="1080"/>
      </w:pPr>
      <w:rPr>
        <w:rFonts w:asciiTheme="majorHAnsi" w:eastAsiaTheme="minorEastAsia" w:hAnsiTheme="majorHAnsi" w:cs="Arial" w:hint="default"/>
        <w:color w:val="000000" w:themeColor="text1"/>
        <w:sz w:val="24"/>
      </w:rPr>
    </w:lvl>
    <w:lvl w:ilvl="6">
      <w:start w:val="1"/>
      <w:numFmt w:val="decimal"/>
      <w:lvlText w:val="%1.%2.%3.%4.%5.%6.%7"/>
      <w:lvlJc w:val="left"/>
      <w:pPr>
        <w:ind w:left="1440" w:hanging="1440"/>
      </w:pPr>
      <w:rPr>
        <w:rFonts w:asciiTheme="majorHAnsi" w:eastAsiaTheme="minorEastAsia" w:hAnsiTheme="majorHAnsi" w:cs="Arial" w:hint="default"/>
        <w:color w:val="000000" w:themeColor="text1"/>
        <w:sz w:val="24"/>
      </w:rPr>
    </w:lvl>
    <w:lvl w:ilvl="7">
      <w:start w:val="1"/>
      <w:numFmt w:val="decimal"/>
      <w:lvlText w:val="%1.%2.%3.%4.%5.%6.%7.%8"/>
      <w:lvlJc w:val="left"/>
      <w:pPr>
        <w:ind w:left="1440" w:hanging="1440"/>
      </w:pPr>
      <w:rPr>
        <w:rFonts w:asciiTheme="majorHAnsi" w:eastAsiaTheme="minorEastAsia" w:hAnsiTheme="majorHAnsi" w:cs="Arial" w:hint="default"/>
        <w:color w:val="000000" w:themeColor="text1"/>
        <w:sz w:val="24"/>
      </w:rPr>
    </w:lvl>
    <w:lvl w:ilvl="8">
      <w:start w:val="1"/>
      <w:numFmt w:val="decimal"/>
      <w:lvlText w:val="%1.%2.%3.%4.%5.%6.%7.%8.%9"/>
      <w:lvlJc w:val="left"/>
      <w:pPr>
        <w:ind w:left="1440" w:hanging="1440"/>
      </w:pPr>
      <w:rPr>
        <w:rFonts w:asciiTheme="majorHAnsi" w:eastAsiaTheme="minorEastAsia" w:hAnsiTheme="majorHAnsi" w:cs="Arial" w:hint="default"/>
        <w:color w:val="000000" w:themeColor="text1"/>
        <w:sz w:val="24"/>
      </w:rPr>
    </w:lvl>
  </w:abstractNum>
  <w:abstractNum w:abstractNumId="37" w15:restartNumberingAfterBreak="0">
    <w:nsid w:val="77FE2399"/>
    <w:multiLevelType w:val="multilevel"/>
    <w:tmpl w:val="C390F6E2"/>
    <w:lvl w:ilvl="0">
      <w:start w:val="3"/>
      <w:numFmt w:val="decimal"/>
      <w:lvlText w:val="%1"/>
      <w:lvlJc w:val="left"/>
      <w:pPr>
        <w:ind w:left="390" w:hanging="390"/>
      </w:pPr>
      <w:rPr>
        <w:rFonts w:asciiTheme="majorHAnsi" w:eastAsiaTheme="minorEastAsia" w:hAnsiTheme="majorHAnsi" w:cs="Arial" w:hint="default"/>
        <w:color w:val="000000" w:themeColor="text1"/>
        <w:sz w:val="24"/>
      </w:rPr>
    </w:lvl>
    <w:lvl w:ilvl="1">
      <w:start w:val="1"/>
      <w:numFmt w:val="decimal"/>
      <w:lvlText w:val="%1.%2"/>
      <w:lvlJc w:val="left"/>
      <w:pPr>
        <w:ind w:left="390" w:hanging="390"/>
      </w:pPr>
      <w:rPr>
        <w:rFonts w:asciiTheme="majorHAnsi" w:eastAsiaTheme="minorEastAsia" w:hAnsiTheme="majorHAnsi" w:cs="Arial" w:hint="default"/>
        <w:color w:val="000000" w:themeColor="text1"/>
        <w:sz w:val="24"/>
      </w:rPr>
    </w:lvl>
    <w:lvl w:ilvl="2">
      <w:start w:val="1"/>
      <w:numFmt w:val="decimal"/>
      <w:lvlText w:val="%1.%2.%3"/>
      <w:lvlJc w:val="left"/>
      <w:pPr>
        <w:ind w:left="720" w:hanging="720"/>
      </w:pPr>
      <w:rPr>
        <w:rFonts w:asciiTheme="majorHAnsi" w:eastAsiaTheme="minorEastAsia" w:hAnsiTheme="majorHAnsi" w:cs="Arial" w:hint="default"/>
        <w:color w:val="000000" w:themeColor="text1"/>
        <w:sz w:val="24"/>
      </w:rPr>
    </w:lvl>
    <w:lvl w:ilvl="3">
      <w:start w:val="1"/>
      <w:numFmt w:val="decimal"/>
      <w:lvlText w:val="%1.%2.%3.%4"/>
      <w:lvlJc w:val="left"/>
      <w:pPr>
        <w:ind w:left="720" w:hanging="720"/>
      </w:pPr>
      <w:rPr>
        <w:rFonts w:asciiTheme="majorHAnsi" w:eastAsiaTheme="minorEastAsia" w:hAnsiTheme="majorHAnsi" w:cs="Arial" w:hint="default"/>
        <w:color w:val="000000" w:themeColor="text1"/>
        <w:sz w:val="24"/>
      </w:rPr>
    </w:lvl>
    <w:lvl w:ilvl="4">
      <w:start w:val="1"/>
      <w:numFmt w:val="decimal"/>
      <w:lvlText w:val="%1.%2.%3.%4.%5"/>
      <w:lvlJc w:val="left"/>
      <w:pPr>
        <w:ind w:left="1080" w:hanging="1080"/>
      </w:pPr>
      <w:rPr>
        <w:rFonts w:asciiTheme="majorHAnsi" w:eastAsiaTheme="minorEastAsia" w:hAnsiTheme="majorHAnsi" w:cs="Arial" w:hint="default"/>
        <w:color w:val="000000" w:themeColor="text1"/>
        <w:sz w:val="24"/>
      </w:rPr>
    </w:lvl>
    <w:lvl w:ilvl="5">
      <w:start w:val="1"/>
      <w:numFmt w:val="decimal"/>
      <w:lvlText w:val="%1.%2.%3.%4.%5.%6"/>
      <w:lvlJc w:val="left"/>
      <w:pPr>
        <w:ind w:left="1080" w:hanging="1080"/>
      </w:pPr>
      <w:rPr>
        <w:rFonts w:asciiTheme="majorHAnsi" w:eastAsiaTheme="minorEastAsia" w:hAnsiTheme="majorHAnsi" w:cs="Arial" w:hint="default"/>
        <w:color w:val="000000" w:themeColor="text1"/>
        <w:sz w:val="24"/>
      </w:rPr>
    </w:lvl>
    <w:lvl w:ilvl="6">
      <w:start w:val="1"/>
      <w:numFmt w:val="decimal"/>
      <w:lvlText w:val="%1.%2.%3.%4.%5.%6.%7"/>
      <w:lvlJc w:val="left"/>
      <w:pPr>
        <w:ind w:left="1440" w:hanging="1440"/>
      </w:pPr>
      <w:rPr>
        <w:rFonts w:asciiTheme="majorHAnsi" w:eastAsiaTheme="minorEastAsia" w:hAnsiTheme="majorHAnsi" w:cs="Arial" w:hint="default"/>
        <w:color w:val="000000" w:themeColor="text1"/>
        <w:sz w:val="24"/>
      </w:rPr>
    </w:lvl>
    <w:lvl w:ilvl="7">
      <w:start w:val="1"/>
      <w:numFmt w:val="decimal"/>
      <w:lvlText w:val="%1.%2.%3.%4.%5.%6.%7.%8"/>
      <w:lvlJc w:val="left"/>
      <w:pPr>
        <w:ind w:left="1440" w:hanging="1440"/>
      </w:pPr>
      <w:rPr>
        <w:rFonts w:asciiTheme="majorHAnsi" w:eastAsiaTheme="minorEastAsia" w:hAnsiTheme="majorHAnsi" w:cs="Arial" w:hint="default"/>
        <w:color w:val="000000" w:themeColor="text1"/>
        <w:sz w:val="24"/>
      </w:rPr>
    </w:lvl>
    <w:lvl w:ilvl="8">
      <w:start w:val="1"/>
      <w:numFmt w:val="decimal"/>
      <w:lvlText w:val="%1.%2.%3.%4.%5.%6.%7.%8.%9"/>
      <w:lvlJc w:val="left"/>
      <w:pPr>
        <w:ind w:left="1440" w:hanging="1440"/>
      </w:pPr>
      <w:rPr>
        <w:rFonts w:asciiTheme="majorHAnsi" w:eastAsiaTheme="minorEastAsia" w:hAnsiTheme="majorHAnsi" w:cs="Arial" w:hint="default"/>
        <w:color w:val="000000" w:themeColor="text1"/>
        <w:sz w:val="24"/>
      </w:rPr>
    </w:lvl>
  </w:abstractNum>
  <w:abstractNum w:abstractNumId="38" w15:restartNumberingAfterBreak="0">
    <w:nsid w:val="79837B93"/>
    <w:multiLevelType w:val="hybridMultilevel"/>
    <w:tmpl w:val="1562C9CA"/>
    <w:lvl w:ilvl="0" w:tplc="E7A2AE94">
      <w:start w:val="11"/>
      <w:numFmt w:val="bullet"/>
      <w:lvlText w:val="-"/>
      <w:lvlJc w:val="left"/>
      <w:pPr>
        <w:ind w:left="720" w:hanging="360"/>
      </w:pPr>
      <w:rPr>
        <w:rFonts w:ascii="Calibri" w:eastAsia="MS Mincho" w:hAnsi="Calibri" w:cs="Calibri" w:hint="default"/>
      </w:rPr>
    </w:lvl>
    <w:lvl w:ilvl="1" w:tplc="ECF048EE">
      <w:start w:val="1"/>
      <w:numFmt w:val="bullet"/>
      <w:lvlText w:val="o"/>
      <w:lvlJc w:val="left"/>
      <w:pPr>
        <w:ind w:left="1440" w:hanging="360"/>
      </w:pPr>
      <w:rPr>
        <w:rFonts w:ascii="Courier New" w:hAnsi="Courier New" w:cs="Courier New" w:hint="default"/>
      </w:rPr>
    </w:lvl>
    <w:lvl w:ilvl="2" w:tplc="51AEFFDE">
      <w:start w:val="1"/>
      <w:numFmt w:val="bullet"/>
      <w:lvlText w:val=""/>
      <w:lvlJc w:val="left"/>
      <w:pPr>
        <w:ind w:left="2160" w:hanging="360"/>
      </w:pPr>
      <w:rPr>
        <w:rFonts w:ascii="Wingdings" w:hAnsi="Wingdings" w:hint="default"/>
      </w:rPr>
    </w:lvl>
    <w:lvl w:ilvl="3" w:tplc="AD0C3CC4">
      <w:start w:val="1"/>
      <w:numFmt w:val="bullet"/>
      <w:lvlText w:val=""/>
      <w:lvlJc w:val="left"/>
      <w:pPr>
        <w:ind w:left="2880" w:hanging="360"/>
      </w:pPr>
      <w:rPr>
        <w:rFonts w:ascii="Symbol" w:hAnsi="Symbol" w:hint="default"/>
      </w:rPr>
    </w:lvl>
    <w:lvl w:ilvl="4" w:tplc="8536012E">
      <w:start w:val="1"/>
      <w:numFmt w:val="bullet"/>
      <w:lvlText w:val="o"/>
      <w:lvlJc w:val="left"/>
      <w:pPr>
        <w:ind w:left="3600" w:hanging="360"/>
      </w:pPr>
      <w:rPr>
        <w:rFonts w:ascii="Courier New" w:hAnsi="Courier New" w:cs="Courier New" w:hint="default"/>
      </w:rPr>
    </w:lvl>
    <w:lvl w:ilvl="5" w:tplc="7F5C806C">
      <w:start w:val="1"/>
      <w:numFmt w:val="bullet"/>
      <w:lvlText w:val=""/>
      <w:lvlJc w:val="left"/>
      <w:pPr>
        <w:ind w:left="4320" w:hanging="360"/>
      </w:pPr>
      <w:rPr>
        <w:rFonts w:ascii="Wingdings" w:hAnsi="Wingdings" w:hint="default"/>
      </w:rPr>
    </w:lvl>
    <w:lvl w:ilvl="6" w:tplc="4A24C264">
      <w:start w:val="1"/>
      <w:numFmt w:val="bullet"/>
      <w:lvlText w:val=""/>
      <w:lvlJc w:val="left"/>
      <w:pPr>
        <w:ind w:left="5040" w:hanging="360"/>
      </w:pPr>
      <w:rPr>
        <w:rFonts w:ascii="Symbol" w:hAnsi="Symbol" w:hint="default"/>
      </w:rPr>
    </w:lvl>
    <w:lvl w:ilvl="7" w:tplc="0F44E6FE">
      <w:start w:val="1"/>
      <w:numFmt w:val="bullet"/>
      <w:lvlText w:val="o"/>
      <w:lvlJc w:val="left"/>
      <w:pPr>
        <w:ind w:left="5760" w:hanging="360"/>
      </w:pPr>
      <w:rPr>
        <w:rFonts w:ascii="Courier New" w:hAnsi="Courier New" w:cs="Courier New" w:hint="default"/>
      </w:rPr>
    </w:lvl>
    <w:lvl w:ilvl="8" w:tplc="3438D2F4">
      <w:start w:val="1"/>
      <w:numFmt w:val="bullet"/>
      <w:lvlText w:val=""/>
      <w:lvlJc w:val="left"/>
      <w:pPr>
        <w:ind w:left="6480" w:hanging="360"/>
      </w:pPr>
      <w:rPr>
        <w:rFonts w:ascii="Wingdings" w:hAnsi="Wingdings" w:hint="default"/>
      </w:rPr>
    </w:lvl>
  </w:abstractNum>
  <w:num w:numId="1" w16cid:durableId="237181207">
    <w:abstractNumId w:val="16"/>
  </w:num>
  <w:num w:numId="2" w16cid:durableId="2085882147">
    <w:abstractNumId w:val="30"/>
  </w:num>
  <w:num w:numId="3" w16cid:durableId="1941177359">
    <w:abstractNumId w:val="13"/>
  </w:num>
  <w:num w:numId="4" w16cid:durableId="1891841972">
    <w:abstractNumId w:val="17"/>
  </w:num>
  <w:num w:numId="5" w16cid:durableId="1416168716">
    <w:abstractNumId w:val="26"/>
  </w:num>
  <w:num w:numId="6" w16cid:durableId="371804562">
    <w:abstractNumId w:val="23"/>
  </w:num>
  <w:num w:numId="7" w16cid:durableId="731999203">
    <w:abstractNumId w:val="24"/>
  </w:num>
  <w:num w:numId="8" w16cid:durableId="679084134">
    <w:abstractNumId w:val="2"/>
  </w:num>
  <w:num w:numId="9" w16cid:durableId="1638950636">
    <w:abstractNumId w:val="37"/>
  </w:num>
  <w:num w:numId="10" w16cid:durableId="981420185">
    <w:abstractNumId w:val="36"/>
  </w:num>
  <w:num w:numId="11" w16cid:durableId="1120799900">
    <w:abstractNumId w:val="10"/>
  </w:num>
  <w:num w:numId="12" w16cid:durableId="1576091057">
    <w:abstractNumId w:val="0"/>
  </w:num>
  <w:num w:numId="13" w16cid:durableId="74668539">
    <w:abstractNumId w:val="25"/>
  </w:num>
  <w:num w:numId="14" w16cid:durableId="298465476">
    <w:abstractNumId w:val="27"/>
  </w:num>
  <w:num w:numId="15" w16cid:durableId="1314719405">
    <w:abstractNumId w:val="29"/>
  </w:num>
  <w:num w:numId="16" w16cid:durableId="2098399066">
    <w:abstractNumId w:val="3"/>
  </w:num>
  <w:num w:numId="17" w16cid:durableId="987633256">
    <w:abstractNumId w:val="11"/>
  </w:num>
  <w:num w:numId="18" w16cid:durableId="543634690">
    <w:abstractNumId w:val="35"/>
  </w:num>
  <w:num w:numId="19" w16cid:durableId="1552693662">
    <w:abstractNumId w:val="14"/>
  </w:num>
  <w:num w:numId="20" w16cid:durableId="268052032">
    <w:abstractNumId w:val="18"/>
  </w:num>
  <w:num w:numId="21" w16cid:durableId="1082071432">
    <w:abstractNumId w:val="1"/>
  </w:num>
  <w:num w:numId="22" w16cid:durableId="1918244247">
    <w:abstractNumId w:val="9"/>
  </w:num>
  <w:num w:numId="23" w16cid:durableId="2077582079">
    <w:abstractNumId w:val="15"/>
  </w:num>
  <w:num w:numId="24" w16cid:durableId="261305904">
    <w:abstractNumId w:val="22"/>
  </w:num>
  <w:num w:numId="25" w16cid:durableId="747458865">
    <w:abstractNumId w:val="12"/>
  </w:num>
  <w:num w:numId="26" w16cid:durableId="1007100859">
    <w:abstractNumId w:val="34"/>
  </w:num>
  <w:num w:numId="27" w16cid:durableId="1792020163">
    <w:abstractNumId w:val="33"/>
  </w:num>
  <w:num w:numId="28" w16cid:durableId="937955665">
    <w:abstractNumId w:val="5"/>
  </w:num>
  <w:num w:numId="29" w16cid:durableId="1563910962">
    <w:abstractNumId w:val="20"/>
  </w:num>
  <w:num w:numId="30" w16cid:durableId="1338924650">
    <w:abstractNumId w:val="31"/>
  </w:num>
  <w:num w:numId="31" w16cid:durableId="1339238228">
    <w:abstractNumId w:val="19"/>
  </w:num>
  <w:num w:numId="32" w16cid:durableId="1068500707">
    <w:abstractNumId w:val="6"/>
  </w:num>
  <w:num w:numId="33" w16cid:durableId="1596592488">
    <w:abstractNumId w:val="32"/>
  </w:num>
  <w:num w:numId="34" w16cid:durableId="257451593">
    <w:abstractNumId w:val="28"/>
  </w:num>
  <w:num w:numId="35" w16cid:durableId="1475101644">
    <w:abstractNumId w:val="38"/>
  </w:num>
  <w:num w:numId="36" w16cid:durableId="1177041526">
    <w:abstractNumId w:val="8"/>
  </w:num>
  <w:num w:numId="37" w16cid:durableId="706489119">
    <w:abstractNumId w:val="21"/>
  </w:num>
  <w:num w:numId="38" w16cid:durableId="1398211473">
    <w:abstractNumId w:val="7"/>
  </w:num>
  <w:num w:numId="39" w16cid:durableId="879123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81556"/>
    <w:rsid w:val="00002E8E"/>
    <w:rsid w:val="00002EEF"/>
    <w:rsid w:val="00015B38"/>
    <w:rsid w:val="0001743B"/>
    <w:rsid w:val="00027FEC"/>
    <w:rsid w:val="00033966"/>
    <w:rsid w:val="000421AC"/>
    <w:rsid w:val="00053E16"/>
    <w:rsid w:val="000615AC"/>
    <w:rsid w:val="00066AB0"/>
    <w:rsid w:val="00067CE7"/>
    <w:rsid w:val="00072DCA"/>
    <w:rsid w:val="00094470"/>
    <w:rsid w:val="00094FA6"/>
    <w:rsid w:val="00095F1C"/>
    <w:rsid w:val="000A30A4"/>
    <w:rsid w:val="000A32C6"/>
    <w:rsid w:val="000A7CEC"/>
    <w:rsid w:val="000B0278"/>
    <w:rsid w:val="000B2FE1"/>
    <w:rsid w:val="000B30B3"/>
    <w:rsid w:val="000B4F4D"/>
    <w:rsid w:val="000C44D2"/>
    <w:rsid w:val="000D2777"/>
    <w:rsid w:val="000D3848"/>
    <w:rsid w:val="000D5835"/>
    <w:rsid w:val="000D5900"/>
    <w:rsid w:val="000D735E"/>
    <w:rsid w:val="000E0C89"/>
    <w:rsid w:val="000E7D66"/>
    <w:rsid w:val="000F0198"/>
    <w:rsid w:val="000F1704"/>
    <w:rsid w:val="000F28C2"/>
    <w:rsid w:val="000F49E0"/>
    <w:rsid w:val="000F573A"/>
    <w:rsid w:val="000F63F0"/>
    <w:rsid w:val="001009FF"/>
    <w:rsid w:val="00100CC8"/>
    <w:rsid w:val="0010261F"/>
    <w:rsid w:val="00102C2E"/>
    <w:rsid w:val="00106F8E"/>
    <w:rsid w:val="00107128"/>
    <w:rsid w:val="0010795E"/>
    <w:rsid w:val="00110CED"/>
    <w:rsid w:val="0011485A"/>
    <w:rsid w:val="001224CA"/>
    <w:rsid w:val="001227C7"/>
    <w:rsid w:val="00123D25"/>
    <w:rsid w:val="00126AE2"/>
    <w:rsid w:val="0012749A"/>
    <w:rsid w:val="00136992"/>
    <w:rsid w:val="0013727C"/>
    <w:rsid w:val="0013786D"/>
    <w:rsid w:val="00137AAB"/>
    <w:rsid w:val="00150943"/>
    <w:rsid w:val="00151904"/>
    <w:rsid w:val="00153715"/>
    <w:rsid w:val="001605FD"/>
    <w:rsid w:val="00163655"/>
    <w:rsid w:val="0017193A"/>
    <w:rsid w:val="00173EC0"/>
    <w:rsid w:val="00174960"/>
    <w:rsid w:val="00176316"/>
    <w:rsid w:val="0018799C"/>
    <w:rsid w:val="00191AD2"/>
    <w:rsid w:val="00193409"/>
    <w:rsid w:val="00197049"/>
    <w:rsid w:val="001A3FB5"/>
    <w:rsid w:val="001D4112"/>
    <w:rsid w:val="001D448A"/>
    <w:rsid w:val="001E1A40"/>
    <w:rsid w:val="001E1CEE"/>
    <w:rsid w:val="001F2C6D"/>
    <w:rsid w:val="00201AB2"/>
    <w:rsid w:val="00205014"/>
    <w:rsid w:val="002073F8"/>
    <w:rsid w:val="00211ECE"/>
    <w:rsid w:val="00212059"/>
    <w:rsid w:val="00212D05"/>
    <w:rsid w:val="0021362A"/>
    <w:rsid w:val="00224E62"/>
    <w:rsid w:val="002261E7"/>
    <w:rsid w:val="00235DD8"/>
    <w:rsid w:val="00255238"/>
    <w:rsid w:val="00263C52"/>
    <w:rsid w:val="002658A4"/>
    <w:rsid w:val="002658FB"/>
    <w:rsid w:val="00280B07"/>
    <w:rsid w:val="0028320F"/>
    <w:rsid w:val="00286B69"/>
    <w:rsid w:val="002976E1"/>
    <w:rsid w:val="00297DE6"/>
    <w:rsid w:val="002A01DA"/>
    <w:rsid w:val="002A20C9"/>
    <w:rsid w:val="002A23B1"/>
    <w:rsid w:val="002C43FD"/>
    <w:rsid w:val="002D2BD3"/>
    <w:rsid w:val="002D3D0A"/>
    <w:rsid w:val="002D7640"/>
    <w:rsid w:val="002E2A1B"/>
    <w:rsid w:val="002E4C57"/>
    <w:rsid w:val="002F44E4"/>
    <w:rsid w:val="00311EDB"/>
    <w:rsid w:val="00313CF8"/>
    <w:rsid w:val="00321902"/>
    <w:rsid w:val="00327C44"/>
    <w:rsid w:val="0033108B"/>
    <w:rsid w:val="0033568B"/>
    <w:rsid w:val="00350CA8"/>
    <w:rsid w:val="00362534"/>
    <w:rsid w:val="00365F2E"/>
    <w:rsid w:val="00367D4E"/>
    <w:rsid w:val="00370C1F"/>
    <w:rsid w:val="00370EC6"/>
    <w:rsid w:val="00372022"/>
    <w:rsid w:val="003759FA"/>
    <w:rsid w:val="00382EC7"/>
    <w:rsid w:val="00393643"/>
    <w:rsid w:val="00395EB2"/>
    <w:rsid w:val="003A1E3D"/>
    <w:rsid w:val="003A5866"/>
    <w:rsid w:val="003B0308"/>
    <w:rsid w:val="003B1E3A"/>
    <w:rsid w:val="003B33EF"/>
    <w:rsid w:val="003C44A7"/>
    <w:rsid w:val="003C62B3"/>
    <w:rsid w:val="003D4B7C"/>
    <w:rsid w:val="003E0C3A"/>
    <w:rsid w:val="003E5FEE"/>
    <w:rsid w:val="003F35E2"/>
    <w:rsid w:val="003F362C"/>
    <w:rsid w:val="00400550"/>
    <w:rsid w:val="004039CA"/>
    <w:rsid w:val="0040655C"/>
    <w:rsid w:val="004128F3"/>
    <w:rsid w:val="004174BA"/>
    <w:rsid w:val="004253B1"/>
    <w:rsid w:val="00435754"/>
    <w:rsid w:val="00444972"/>
    <w:rsid w:val="00451A88"/>
    <w:rsid w:val="00455ADA"/>
    <w:rsid w:val="0046044D"/>
    <w:rsid w:val="00462AC7"/>
    <w:rsid w:val="004734A6"/>
    <w:rsid w:val="0048143F"/>
    <w:rsid w:val="0048178D"/>
    <w:rsid w:val="00482092"/>
    <w:rsid w:val="00493ECB"/>
    <w:rsid w:val="00494B50"/>
    <w:rsid w:val="004A2659"/>
    <w:rsid w:val="004A2D0A"/>
    <w:rsid w:val="004A36F6"/>
    <w:rsid w:val="004B6462"/>
    <w:rsid w:val="004B68B9"/>
    <w:rsid w:val="004D0892"/>
    <w:rsid w:val="004D4F15"/>
    <w:rsid w:val="004F058B"/>
    <w:rsid w:val="004F26C0"/>
    <w:rsid w:val="004F2A9B"/>
    <w:rsid w:val="004F7371"/>
    <w:rsid w:val="00510E74"/>
    <w:rsid w:val="00511D7C"/>
    <w:rsid w:val="00511F7D"/>
    <w:rsid w:val="00514EE0"/>
    <w:rsid w:val="005218E8"/>
    <w:rsid w:val="00522D0F"/>
    <w:rsid w:val="00522E2E"/>
    <w:rsid w:val="00526855"/>
    <w:rsid w:val="00532FCA"/>
    <w:rsid w:val="00540D62"/>
    <w:rsid w:val="00544237"/>
    <w:rsid w:val="00551490"/>
    <w:rsid w:val="00555FA5"/>
    <w:rsid w:val="005654C7"/>
    <w:rsid w:val="00566E61"/>
    <w:rsid w:val="005718F7"/>
    <w:rsid w:val="00573C07"/>
    <w:rsid w:val="00577F2D"/>
    <w:rsid w:val="00584B8D"/>
    <w:rsid w:val="00596AED"/>
    <w:rsid w:val="005A0966"/>
    <w:rsid w:val="005A3AD6"/>
    <w:rsid w:val="005A6163"/>
    <w:rsid w:val="005A7DE5"/>
    <w:rsid w:val="005C1DE3"/>
    <w:rsid w:val="005C21FC"/>
    <w:rsid w:val="005C21FE"/>
    <w:rsid w:val="005C291D"/>
    <w:rsid w:val="005C4B28"/>
    <w:rsid w:val="005F25AC"/>
    <w:rsid w:val="005F36F6"/>
    <w:rsid w:val="005F474A"/>
    <w:rsid w:val="00600864"/>
    <w:rsid w:val="0060551B"/>
    <w:rsid w:val="006072B2"/>
    <w:rsid w:val="00611D0B"/>
    <w:rsid w:val="00616F5E"/>
    <w:rsid w:val="00622D44"/>
    <w:rsid w:val="0062510F"/>
    <w:rsid w:val="00654352"/>
    <w:rsid w:val="006557A5"/>
    <w:rsid w:val="006660A5"/>
    <w:rsid w:val="00666653"/>
    <w:rsid w:val="00666E6C"/>
    <w:rsid w:val="00686D58"/>
    <w:rsid w:val="00691D31"/>
    <w:rsid w:val="00693265"/>
    <w:rsid w:val="00695897"/>
    <w:rsid w:val="006A1631"/>
    <w:rsid w:val="006B0DA6"/>
    <w:rsid w:val="006B39B0"/>
    <w:rsid w:val="006B4B7B"/>
    <w:rsid w:val="006B5CA0"/>
    <w:rsid w:val="006C0142"/>
    <w:rsid w:val="006C62F7"/>
    <w:rsid w:val="006C6FA7"/>
    <w:rsid w:val="006E0021"/>
    <w:rsid w:val="006E2864"/>
    <w:rsid w:val="006E3987"/>
    <w:rsid w:val="006F37CA"/>
    <w:rsid w:val="006F3DAE"/>
    <w:rsid w:val="00702C93"/>
    <w:rsid w:val="00703E89"/>
    <w:rsid w:val="00704280"/>
    <w:rsid w:val="00704973"/>
    <w:rsid w:val="0072206B"/>
    <w:rsid w:val="0072555D"/>
    <w:rsid w:val="00726C97"/>
    <w:rsid w:val="00726E8A"/>
    <w:rsid w:val="0073009F"/>
    <w:rsid w:val="00734C8F"/>
    <w:rsid w:val="00741501"/>
    <w:rsid w:val="007513C2"/>
    <w:rsid w:val="00752E65"/>
    <w:rsid w:val="00755300"/>
    <w:rsid w:val="0076195D"/>
    <w:rsid w:val="00761E42"/>
    <w:rsid w:val="00764E65"/>
    <w:rsid w:val="00767199"/>
    <w:rsid w:val="007675B1"/>
    <w:rsid w:val="007758BD"/>
    <w:rsid w:val="0078573A"/>
    <w:rsid w:val="007927E8"/>
    <w:rsid w:val="00792DFC"/>
    <w:rsid w:val="00795853"/>
    <w:rsid w:val="00796594"/>
    <w:rsid w:val="007A1B66"/>
    <w:rsid w:val="007A2DA7"/>
    <w:rsid w:val="007A492E"/>
    <w:rsid w:val="007A6D3D"/>
    <w:rsid w:val="007B0EC0"/>
    <w:rsid w:val="007B3432"/>
    <w:rsid w:val="007B358E"/>
    <w:rsid w:val="007B75E3"/>
    <w:rsid w:val="007B79B9"/>
    <w:rsid w:val="007C08B2"/>
    <w:rsid w:val="007C4B85"/>
    <w:rsid w:val="007C5C48"/>
    <w:rsid w:val="007C6C4B"/>
    <w:rsid w:val="007C7928"/>
    <w:rsid w:val="007D24BE"/>
    <w:rsid w:val="007D2C2C"/>
    <w:rsid w:val="007D5132"/>
    <w:rsid w:val="007E03B5"/>
    <w:rsid w:val="007E0411"/>
    <w:rsid w:val="007E27E6"/>
    <w:rsid w:val="007E60B5"/>
    <w:rsid w:val="007E6F8A"/>
    <w:rsid w:val="007F1A69"/>
    <w:rsid w:val="008040E1"/>
    <w:rsid w:val="00804E47"/>
    <w:rsid w:val="00805F60"/>
    <w:rsid w:val="00806104"/>
    <w:rsid w:val="00812D6A"/>
    <w:rsid w:val="008207D5"/>
    <w:rsid w:val="00821264"/>
    <w:rsid w:val="0082239C"/>
    <w:rsid w:val="00822D2D"/>
    <w:rsid w:val="008244CE"/>
    <w:rsid w:val="008253EA"/>
    <w:rsid w:val="00830BC2"/>
    <w:rsid w:val="0083502E"/>
    <w:rsid w:val="008362BD"/>
    <w:rsid w:val="00837D01"/>
    <w:rsid w:val="008406B1"/>
    <w:rsid w:val="00840932"/>
    <w:rsid w:val="00842E78"/>
    <w:rsid w:val="008455E2"/>
    <w:rsid w:val="00846ED7"/>
    <w:rsid w:val="00847233"/>
    <w:rsid w:val="00847DD2"/>
    <w:rsid w:val="00854937"/>
    <w:rsid w:val="00856AD3"/>
    <w:rsid w:val="008606A9"/>
    <w:rsid w:val="008829AC"/>
    <w:rsid w:val="00884200"/>
    <w:rsid w:val="00891683"/>
    <w:rsid w:val="00895347"/>
    <w:rsid w:val="008959F4"/>
    <w:rsid w:val="008A0EEF"/>
    <w:rsid w:val="008A1C58"/>
    <w:rsid w:val="008A670A"/>
    <w:rsid w:val="008B2D48"/>
    <w:rsid w:val="008C19AD"/>
    <w:rsid w:val="008C302A"/>
    <w:rsid w:val="008C4841"/>
    <w:rsid w:val="008D0C79"/>
    <w:rsid w:val="008D6459"/>
    <w:rsid w:val="008E6E00"/>
    <w:rsid w:val="008F11BF"/>
    <w:rsid w:val="008F18A7"/>
    <w:rsid w:val="008F1AEB"/>
    <w:rsid w:val="008F3C7E"/>
    <w:rsid w:val="0090156A"/>
    <w:rsid w:val="00901A9A"/>
    <w:rsid w:val="00904162"/>
    <w:rsid w:val="009110FC"/>
    <w:rsid w:val="00914DD9"/>
    <w:rsid w:val="0092292E"/>
    <w:rsid w:val="00924630"/>
    <w:rsid w:val="0092478D"/>
    <w:rsid w:val="009303FC"/>
    <w:rsid w:val="0093060C"/>
    <w:rsid w:val="00932BB0"/>
    <w:rsid w:val="00940DF6"/>
    <w:rsid w:val="00944CA6"/>
    <w:rsid w:val="00945202"/>
    <w:rsid w:val="00952C51"/>
    <w:rsid w:val="00956C0E"/>
    <w:rsid w:val="0096085C"/>
    <w:rsid w:val="00967C7F"/>
    <w:rsid w:val="00970252"/>
    <w:rsid w:val="00971A8D"/>
    <w:rsid w:val="00981D08"/>
    <w:rsid w:val="0098494D"/>
    <w:rsid w:val="00997A1F"/>
    <w:rsid w:val="009A4E7C"/>
    <w:rsid w:val="009A6578"/>
    <w:rsid w:val="009A674B"/>
    <w:rsid w:val="009A6F17"/>
    <w:rsid w:val="009B5FF1"/>
    <w:rsid w:val="009D0167"/>
    <w:rsid w:val="009D5DD6"/>
    <w:rsid w:val="009D7694"/>
    <w:rsid w:val="009E2841"/>
    <w:rsid w:val="009F4E1E"/>
    <w:rsid w:val="009F5AA7"/>
    <w:rsid w:val="00A03C6F"/>
    <w:rsid w:val="00A07419"/>
    <w:rsid w:val="00A10B23"/>
    <w:rsid w:val="00A17C72"/>
    <w:rsid w:val="00A2104C"/>
    <w:rsid w:val="00A21880"/>
    <w:rsid w:val="00A22B2F"/>
    <w:rsid w:val="00A24444"/>
    <w:rsid w:val="00A254D4"/>
    <w:rsid w:val="00A259F2"/>
    <w:rsid w:val="00A3056C"/>
    <w:rsid w:val="00A31B13"/>
    <w:rsid w:val="00A35D61"/>
    <w:rsid w:val="00A4101D"/>
    <w:rsid w:val="00A45690"/>
    <w:rsid w:val="00A51064"/>
    <w:rsid w:val="00A53CCA"/>
    <w:rsid w:val="00A561C7"/>
    <w:rsid w:val="00A566E9"/>
    <w:rsid w:val="00A575E1"/>
    <w:rsid w:val="00A611ED"/>
    <w:rsid w:val="00A61AE3"/>
    <w:rsid w:val="00A64FB2"/>
    <w:rsid w:val="00A7168F"/>
    <w:rsid w:val="00A748F5"/>
    <w:rsid w:val="00A80AE8"/>
    <w:rsid w:val="00A8252E"/>
    <w:rsid w:val="00A83732"/>
    <w:rsid w:val="00A850C3"/>
    <w:rsid w:val="00A9095E"/>
    <w:rsid w:val="00A91482"/>
    <w:rsid w:val="00A94116"/>
    <w:rsid w:val="00AA1050"/>
    <w:rsid w:val="00AA117B"/>
    <w:rsid w:val="00AA6925"/>
    <w:rsid w:val="00AA7415"/>
    <w:rsid w:val="00AB6E0B"/>
    <w:rsid w:val="00AB7E92"/>
    <w:rsid w:val="00AC42AE"/>
    <w:rsid w:val="00AD24FB"/>
    <w:rsid w:val="00AD438C"/>
    <w:rsid w:val="00AD4802"/>
    <w:rsid w:val="00AD73A9"/>
    <w:rsid w:val="00AE0B12"/>
    <w:rsid w:val="00AE2FEE"/>
    <w:rsid w:val="00AE3A4F"/>
    <w:rsid w:val="00AE3E7F"/>
    <w:rsid w:val="00AF2404"/>
    <w:rsid w:val="00AF2FD9"/>
    <w:rsid w:val="00B13427"/>
    <w:rsid w:val="00B154B4"/>
    <w:rsid w:val="00B172E8"/>
    <w:rsid w:val="00B173C1"/>
    <w:rsid w:val="00B177FB"/>
    <w:rsid w:val="00B2027F"/>
    <w:rsid w:val="00B34801"/>
    <w:rsid w:val="00B35EF4"/>
    <w:rsid w:val="00B37470"/>
    <w:rsid w:val="00B41117"/>
    <w:rsid w:val="00B41463"/>
    <w:rsid w:val="00B41A50"/>
    <w:rsid w:val="00B50A47"/>
    <w:rsid w:val="00B514F5"/>
    <w:rsid w:val="00B53F18"/>
    <w:rsid w:val="00B6358D"/>
    <w:rsid w:val="00B642B5"/>
    <w:rsid w:val="00B64811"/>
    <w:rsid w:val="00B66180"/>
    <w:rsid w:val="00B67BD5"/>
    <w:rsid w:val="00B72DD1"/>
    <w:rsid w:val="00B80328"/>
    <w:rsid w:val="00B81B9B"/>
    <w:rsid w:val="00B8506E"/>
    <w:rsid w:val="00B93A7B"/>
    <w:rsid w:val="00B971FF"/>
    <w:rsid w:val="00BA0ADB"/>
    <w:rsid w:val="00BB11A6"/>
    <w:rsid w:val="00BB2C0C"/>
    <w:rsid w:val="00BB39F9"/>
    <w:rsid w:val="00BB67B8"/>
    <w:rsid w:val="00BB72BF"/>
    <w:rsid w:val="00BC1ACE"/>
    <w:rsid w:val="00BC1C01"/>
    <w:rsid w:val="00BC449C"/>
    <w:rsid w:val="00BC4DC9"/>
    <w:rsid w:val="00BD6AD3"/>
    <w:rsid w:val="00BE0809"/>
    <w:rsid w:val="00BE45C7"/>
    <w:rsid w:val="00BE7569"/>
    <w:rsid w:val="00BE7826"/>
    <w:rsid w:val="00BF157D"/>
    <w:rsid w:val="00BF1660"/>
    <w:rsid w:val="00BF73E1"/>
    <w:rsid w:val="00C00CE8"/>
    <w:rsid w:val="00C1078D"/>
    <w:rsid w:val="00C107CC"/>
    <w:rsid w:val="00C135E1"/>
    <w:rsid w:val="00C22E6F"/>
    <w:rsid w:val="00C31F59"/>
    <w:rsid w:val="00C6030A"/>
    <w:rsid w:val="00C60D37"/>
    <w:rsid w:val="00C610C6"/>
    <w:rsid w:val="00C62AF8"/>
    <w:rsid w:val="00C638D7"/>
    <w:rsid w:val="00C64771"/>
    <w:rsid w:val="00C72629"/>
    <w:rsid w:val="00C8309E"/>
    <w:rsid w:val="00C83346"/>
    <w:rsid w:val="00C85B89"/>
    <w:rsid w:val="00C97DFE"/>
    <w:rsid w:val="00CB6A44"/>
    <w:rsid w:val="00CC145F"/>
    <w:rsid w:val="00CC17FF"/>
    <w:rsid w:val="00CC4652"/>
    <w:rsid w:val="00CC715E"/>
    <w:rsid w:val="00CD0B1D"/>
    <w:rsid w:val="00CD239E"/>
    <w:rsid w:val="00CD372F"/>
    <w:rsid w:val="00CE4779"/>
    <w:rsid w:val="00CF42CF"/>
    <w:rsid w:val="00D03F2F"/>
    <w:rsid w:val="00D0421A"/>
    <w:rsid w:val="00D07F9C"/>
    <w:rsid w:val="00D15B10"/>
    <w:rsid w:val="00D21048"/>
    <w:rsid w:val="00D2404F"/>
    <w:rsid w:val="00D247F1"/>
    <w:rsid w:val="00D27286"/>
    <w:rsid w:val="00D44531"/>
    <w:rsid w:val="00D47ECA"/>
    <w:rsid w:val="00D54F01"/>
    <w:rsid w:val="00D6282D"/>
    <w:rsid w:val="00D63ADC"/>
    <w:rsid w:val="00D6525E"/>
    <w:rsid w:val="00D6762D"/>
    <w:rsid w:val="00D71F9D"/>
    <w:rsid w:val="00D724CB"/>
    <w:rsid w:val="00D7255B"/>
    <w:rsid w:val="00D74A07"/>
    <w:rsid w:val="00D7658A"/>
    <w:rsid w:val="00D84BC5"/>
    <w:rsid w:val="00D85312"/>
    <w:rsid w:val="00D86D2F"/>
    <w:rsid w:val="00D87D14"/>
    <w:rsid w:val="00D9399E"/>
    <w:rsid w:val="00D94DBC"/>
    <w:rsid w:val="00DA5C37"/>
    <w:rsid w:val="00DA6D68"/>
    <w:rsid w:val="00DB3200"/>
    <w:rsid w:val="00DC4456"/>
    <w:rsid w:val="00DD0468"/>
    <w:rsid w:val="00DE78EC"/>
    <w:rsid w:val="00DF209D"/>
    <w:rsid w:val="00DF2F23"/>
    <w:rsid w:val="00DF5E32"/>
    <w:rsid w:val="00E00C4D"/>
    <w:rsid w:val="00E14376"/>
    <w:rsid w:val="00E15B78"/>
    <w:rsid w:val="00E176D9"/>
    <w:rsid w:val="00E20E48"/>
    <w:rsid w:val="00E26D04"/>
    <w:rsid w:val="00E302DB"/>
    <w:rsid w:val="00E30EEE"/>
    <w:rsid w:val="00E311F6"/>
    <w:rsid w:val="00E313E3"/>
    <w:rsid w:val="00E41768"/>
    <w:rsid w:val="00E444AD"/>
    <w:rsid w:val="00E543C9"/>
    <w:rsid w:val="00E56D80"/>
    <w:rsid w:val="00E611A4"/>
    <w:rsid w:val="00E63553"/>
    <w:rsid w:val="00E67A43"/>
    <w:rsid w:val="00E72B94"/>
    <w:rsid w:val="00E80DDD"/>
    <w:rsid w:val="00E8151F"/>
    <w:rsid w:val="00E821F9"/>
    <w:rsid w:val="00E93DA1"/>
    <w:rsid w:val="00E9529C"/>
    <w:rsid w:val="00E96BBF"/>
    <w:rsid w:val="00EA2876"/>
    <w:rsid w:val="00EA6218"/>
    <w:rsid w:val="00EB5FF5"/>
    <w:rsid w:val="00EB7474"/>
    <w:rsid w:val="00EC2ADF"/>
    <w:rsid w:val="00EC4AF5"/>
    <w:rsid w:val="00ED094C"/>
    <w:rsid w:val="00ED5DAC"/>
    <w:rsid w:val="00ED5FD2"/>
    <w:rsid w:val="00ED7B81"/>
    <w:rsid w:val="00EE2513"/>
    <w:rsid w:val="00EE6C17"/>
    <w:rsid w:val="00EF3743"/>
    <w:rsid w:val="00EF4562"/>
    <w:rsid w:val="00EF6323"/>
    <w:rsid w:val="00F11E2A"/>
    <w:rsid w:val="00F140C6"/>
    <w:rsid w:val="00F21B21"/>
    <w:rsid w:val="00F235CA"/>
    <w:rsid w:val="00F26037"/>
    <w:rsid w:val="00F26B85"/>
    <w:rsid w:val="00F32C1F"/>
    <w:rsid w:val="00F35BF9"/>
    <w:rsid w:val="00F54020"/>
    <w:rsid w:val="00F54A01"/>
    <w:rsid w:val="00F60C91"/>
    <w:rsid w:val="00F61E1D"/>
    <w:rsid w:val="00F66839"/>
    <w:rsid w:val="00F746BB"/>
    <w:rsid w:val="00F90DF8"/>
    <w:rsid w:val="00F90EB2"/>
    <w:rsid w:val="00F91C2F"/>
    <w:rsid w:val="00F97E60"/>
    <w:rsid w:val="00FA0FB4"/>
    <w:rsid w:val="00FC037B"/>
    <w:rsid w:val="00FD4887"/>
    <w:rsid w:val="00FE3BCC"/>
    <w:rsid w:val="00FE5C54"/>
    <w:rsid w:val="00FE66BF"/>
    <w:rsid w:val="00FF0BEC"/>
    <w:rsid w:val="00FF101C"/>
    <w:rsid w:val="00FF5EE6"/>
    <w:rsid w:val="00FF6DC0"/>
    <w:rsid w:val="01481556"/>
    <w:rsid w:val="02853A86"/>
    <w:rsid w:val="02E3E5B7"/>
    <w:rsid w:val="04CD0FF8"/>
    <w:rsid w:val="04FA6BF5"/>
    <w:rsid w:val="0960495D"/>
    <w:rsid w:val="0B69AD79"/>
    <w:rsid w:val="0C2B1A11"/>
    <w:rsid w:val="0D02897D"/>
    <w:rsid w:val="0D3F5755"/>
    <w:rsid w:val="0DE8C684"/>
    <w:rsid w:val="1212C878"/>
    <w:rsid w:val="1489336F"/>
    <w:rsid w:val="1596BEF7"/>
    <w:rsid w:val="195CA492"/>
    <w:rsid w:val="1B199396"/>
    <w:rsid w:val="1D23C100"/>
    <w:rsid w:val="1F920C9B"/>
    <w:rsid w:val="1FA1A943"/>
    <w:rsid w:val="2103A3D9"/>
    <w:rsid w:val="2167B677"/>
    <w:rsid w:val="2239C09A"/>
    <w:rsid w:val="230B745E"/>
    <w:rsid w:val="235B899E"/>
    <w:rsid w:val="249F5739"/>
    <w:rsid w:val="24A744BF"/>
    <w:rsid w:val="25DECDD9"/>
    <w:rsid w:val="26614903"/>
    <w:rsid w:val="2A2BAA22"/>
    <w:rsid w:val="2A40E108"/>
    <w:rsid w:val="2B168643"/>
    <w:rsid w:val="2BC77A83"/>
    <w:rsid w:val="30D5CCD3"/>
    <w:rsid w:val="31009F46"/>
    <w:rsid w:val="3185C7C7"/>
    <w:rsid w:val="33219828"/>
    <w:rsid w:val="36621FBC"/>
    <w:rsid w:val="366C42E9"/>
    <w:rsid w:val="3A6B7442"/>
    <w:rsid w:val="3B7991A4"/>
    <w:rsid w:val="3BC57DA2"/>
    <w:rsid w:val="3C210D38"/>
    <w:rsid w:val="3CC87A6E"/>
    <w:rsid w:val="3D207D34"/>
    <w:rsid w:val="3DBCDD99"/>
    <w:rsid w:val="40766E7F"/>
    <w:rsid w:val="4148E9B9"/>
    <w:rsid w:val="42123EE0"/>
    <w:rsid w:val="4337BBF2"/>
    <w:rsid w:val="45AE26E9"/>
    <w:rsid w:val="47681502"/>
    <w:rsid w:val="48E5C7AB"/>
    <w:rsid w:val="48E90B20"/>
    <w:rsid w:val="4A526F7B"/>
    <w:rsid w:val="4FAD0BF5"/>
    <w:rsid w:val="502321DB"/>
    <w:rsid w:val="5103E38F"/>
    <w:rsid w:val="51E53CBB"/>
    <w:rsid w:val="549ECDA1"/>
    <w:rsid w:val="55067B93"/>
    <w:rsid w:val="57601B14"/>
    <w:rsid w:val="5CEC6DFD"/>
    <w:rsid w:val="5D52219D"/>
    <w:rsid w:val="5F328D06"/>
    <w:rsid w:val="5FAA0762"/>
    <w:rsid w:val="61535317"/>
    <w:rsid w:val="648F5F27"/>
    <w:rsid w:val="652C42B1"/>
    <w:rsid w:val="65C14620"/>
    <w:rsid w:val="67ED99DF"/>
    <w:rsid w:val="6A62CB4E"/>
    <w:rsid w:val="6F8E33A4"/>
    <w:rsid w:val="70188629"/>
    <w:rsid w:val="72FFB974"/>
    <w:rsid w:val="734085A0"/>
    <w:rsid w:val="7364D1EC"/>
    <w:rsid w:val="74B22181"/>
    <w:rsid w:val="79F192C8"/>
    <w:rsid w:val="7BB99585"/>
    <w:rsid w:val="7C5B9200"/>
    <w:rsid w:val="7F08CBEA"/>
    <w:rsid w:val="7FAC44F4"/>
    <w:rsid w:val="7FB0D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7911"/>
  <w15:docId w15:val="{9C81F055-F89E-4DC7-8264-258AD47C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64" w:lineRule="auto"/>
      <w:jc w:val="both"/>
    </w:pPr>
    <w:rPr>
      <w:rFonts w:ascii="Calibri" w:hAnsi="Calibri"/>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eastAsia="MS Gothic"/>
      <w:b/>
      <w:bCs/>
      <w:color w:val="262626" w:themeColor="text1" w:themeTint="D9"/>
      <w:sz w:val="44"/>
      <w:szCs w:val="32"/>
    </w:rPr>
  </w:style>
  <w:style w:type="paragraph" w:styleId="Heading2">
    <w:name w:val="heading 2"/>
    <w:basedOn w:val="Normal"/>
    <w:next w:val="Normal"/>
    <w:link w:val="Heading2Char"/>
    <w:uiPriority w:val="9"/>
    <w:unhideWhenUsed/>
    <w:qFormat/>
    <w:pPr>
      <w:keepNext/>
      <w:keepLines/>
      <w:spacing w:before="360" w:line="276" w:lineRule="auto"/>
      <w:contextualSpacing/>
      <w:jc w:val="left"/>
      <w:outlineLvl w:val="1"/>
    </w:pPr>
    <w:rPr>
      <w:rFonts w:ascii="Arial" w:eastAsia="Arial" w:hAnsi="Arial" w:cs="Arial"/>
      <w:sz w:val="32"/>
      <w:szCs w:val="32"/>
      <w:lang w:val="de" w:eastAsia="en-GB"/>
    </w:rPr>
  </w:style>
  <w:style w:type="paragraph" w:styleId="Heading3">
    <w:name w:val="heading 3"/>
    <w:basedOn w:val="Normal"/>
    <w:next w:val="Normal"/>
    <w:link w:val="Heading3Char"/>
    <w:uiPriority w:val="9"/>
    <w:unhideWhenUsed/>
    <w:qFormat/>
    <w:pPr>
      <w:keepNext/>
      <w:keepLines/>
      <w:spacing w:before="320" w:after="80" w:line="276" w:lineRule="auto"/>
      <w:contextualSpacing/>
      <w:jc w:val="left"/>
      <w:outlineLvl w:val="2"/>
    </w:pPr>
    <w:rPr>
      <w:rFonts w:ascii="Arial" w:eastAsia="Arial" w:hAnsi="Arial" w:cs="Arial"/>
      <w:color w:val="434343"/>
      <w:sz w:val="28"/>
      <w:szCs w:val="28"/>
      <w:lang w:val="de" w:eastAsia="en-GB"/>
    </w:rPr>
  </w:style>
  <w:style w:type="paragraph" w:styleId="Heading4">
    <w:name w:val="heading 4"/>
    <w:basedOn w:val="Normal"/>
    <w:next w:val="Normal"/>
    <w:link w:val="Heading4Char"/>
    <w:uiPriority w:val="9"/>
    <w:semiHidden/>
    <w:unhideWhenUsed/>
    <w:qFormat/>
    <w:pPr>
      <w:keepNext/>
      <w:keepLines/>
      <w:spacing w:before="280" w:after="80" w:line="276" w:lineRule="auto"/>
      <w:contextualSpacing/>
      <w:jc w:val="left"/>
      <w:outlineLvl w:val="3"/>
    </w:pPr>
    <w:rPr>
      <w:rFonts w:ascii="Arial" w:eastAsia="Arial" w:hAnsi="Arial" w:cs="Arial"/>
      <w:color w:val="666666"/>
      <w:lang w:val="de" w:eastAsia="en-GB"/>
    </w:rPr>
  </w:style>
  <w:style w:type="paragraph" w:styleId="Heading5">
    <w:name w:val="heading 5"/>
    <w:basedOn w:val="Normal"/>
    <w:next w:val="Normal"/>
    <w:link w:val="Heading5Char"/>
    <w:uiPriority w:val="9"/>
    <w:semiHidden/>
    <w:unhideWhenUsed/>
    <w:qFormat/>
    <w:pPr>
      <w:keepNext/>
      <w:keepLines/>
      <w:spacing w:before="240" w:after="80" w:line="276" w:lineRule="auto"/>
      <w:contextualSpacing/>
      <w:jc w:val="left"/>
      <w:outlineLvl w:val="4"/>
    </w:pPr>
    <w:rPr>
      <w:rFonts w:ascii="Arial" w:eastAsia="Arial" w:hAnsi="Arial" w:cs="Arial"/>
      <w:color w:val="666666"/>
      <w:sz w:val="22"/>
      <w:szCs w:val="22"/>
      <w:lang w:val="de" w:eastAsia="en-GB"/>
    </w:rPr>
  </w:style>
  <w:style w:type="paragraph" w:styleId="Heading6">
    <w:name w:val="heading 6"/>
    <w:basedOn w:val="Normal"/>
    <w:next w:val="Normal"/>
    <w:link w:val="Heading6Char"/>
    <w:uiPriority w:val="9"/>
    <w:semiHidden/>
    <w:unhideWhenUsed/>
    <w:qFormat/>
    <w:pPr>
      <w:keepNext/>
      <w:keepLines/>
      <w:spacing w:before="240" w:after="80" w:line="276" w:lineRule="auto"/>
      <w:contextualSpacing/>
      <w:jc w:val="left"/>
      <w:outlineLvl w:val="5"/>
    </w:pPr>
    <w:rPr>
      <w:rFonts w:ascii="Arial" w:eastAsia="Arial" w:hAnsi="Arial" w:cs="Arial"/>
      <w:i/>
      <w:color w:val="666666"/>
      <w:sz w:val="22"/>
      <w:szCs w:val="22"/>
      <w:lang w:val="de" w:eastAsia="en-GB"/>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Verdana" w:eastAsia="SimHei" w:hAnsi="Verdana"/>
      <w:i/>
      <w:iCs/>
      <w:color w:val="59594C"/>
      <w:sz w:val="20"/>
      <w:szCs w:val="20"/>
      <w:lang w:val="es-ES" w:eastAsia="en-GB"/>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Verdana" w:eastAsia="SimHei" w:hAnsi="Verdana"/>
      <w:color w:val="525252"/>
      <w:sz w:val="21"/>
      <w:szCs w:val="21"/>
      <w:lang w:val="es-ES" w:eastAsia="en-GB"/>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Verdana" w:eastAsia="SimHei" w:hAnsi="Verdana"/>
      <w:i/>
      <w:iCs/>
      <w:color w:val="525252"/>
      <w:sz w:val="21"/>
      <w:szCs w:val="21"/>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ind w:left="720" w:right="720"/>
    </w:pPr>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Light">
    <w:name w:val="Grid Table Light"/>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4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one" w:sz="4" w:space="0" w:color="000000"/>
          <w:bottom w:val="single" w:sz="12" w:space="0" w:color="C9C9C9" w:themeColor="accent3"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C9C9C9" w:themeColor="accent3"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1">
    <w:name w:val="Grid Table 5 Dark - Accent 1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1">
    <w:name w:val="Grid Table 5 Dark - Accent 4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keepNext/>
      <w:spacing w:before="20" w:after="20"/>
    </w:pPr>
    <w:rPr>
      <w:rFonts w:ascii="Trebuchet MS" w:eastAsia="Times New Roman" w:hAnsi="Trebuchet MS"/>
      <w:sz w:val="18"/>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cs="Times New Roman"/>
        <w:b/>
      </w:rPr>
      <w:tblPr/>
      <w:tcPr>
        <w:shd w:val="clear" w:color="auto" w:fill="BFBFBF"/>
      </w:tcPr>
    </w:tblStyle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cs="Times New Roman"/>
    </w:rPr>
  </w:style>
  <w:style w:type="character" w:styleId="PageNumber">
    <w:name w:val="page number"/>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cs="Times New Roman"/>
    </w:rPr>
  </w:style>
  <w:style w:type="paragraph" w:customStyle="1" w:styleId="ListParagraph1">
    <w:name w:val="List Paragraph1"/>
    <w:basedOn w:val="Normal"/>
    <w:pPr>
      <w:ind w:left="720"/>
    </w:pPr>
  </w:style>
  <w:style w:type="paragraph" w:customStyle="1" w:styleId="H1">
    <w:name w:val="H1"/>
    <w:basedOn w:val="Heading1"/>
    <w:next w:val="Normal"/>
    <w:pPr>
      <w:spacing w:after="240"/>
    </w:pPr>
    <w:rPr>
      <w:rFonts w:cs="Arial"/>
      <w:color w:val="365F91"/>
      <w:sz w:val="28"/>
      <w:szCs w:val="28"/>
      <w14:textFill>
        <w14:solidFill>
          <w14:srgbClr w14:val="365F91">
            <w14:lumMod w14:val="85000"/>
            <w14:lumOff w14:val="15000"/>
          </w14:srgbClr>
        </w14:solidFill>
      </w14:textFill>
    </w:rPr>
  </w:style>
  <w:style w:type="character" w:customStyle="1" w:styleId="Heading1Char">
    <w:name w:val="Heading 1 Char"/>
    <w:link w:val="Heading1"/>
    <w:uiPriority w:val="9"/>
    <w:rPr>
      <w:rFonts w:ascii="Calibri" w:eastAsia="MS Gothic" w:hAnsi="Calibri"/>
      <w:b/>
      <w:bCs/>
      <w:color w:val="262626" w:themeColor="text1" w:themeTint="D9"/>
      <w:sz w:val="44"/>
      <w:szCs w:val="32"/>
      <w:lang w:val="en-US" w:eastAsia="en-US"/>
    </w:rPr>
  </w:style>
  <w:style w:type="paragraph" w:styleId="TOC1">
    <w:name w:val="toc 1"/>
    <w:basedOn w:val="Normal"/>
    <w:next w:val="Normal"/>
    <w:uiPriority w:val="39"/>
    <w:pPr>
      <w:tabs>
        <w:tab w:val="left" w:pos="720"/>
        <w:tab w:val="right" w:leader="dot" w:pos="9730"/>
      </w:tabs>
      <w:spacing w:line="360" w:lineRule="auto"/>
    </w:pPr>
    <w:rPr>
      <w:b/>
    </w:rPr>
  </w:style>
  <w:style w:type="paragraph" w:styleId="TOC2">
    <w:name w:val="toc 2"/>
    <w:basedOn w:val="Normal"/>
    <w:next w:val="Normal"/>
    <w:uiPriority w:val="39"/>
    <w:pPr>
      <w:ind w:left="240"/>
    </w:pPr>
  </w:style>
  <w:style w:type="paragraph" w:styleId="TOC3">
    <w:name w:val="toc 3"/>
    <w:basedOn w:val="Normal"/>
    <w:next w:val="Normal"/>
    <w:uiPriority w:val="39"/>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CommentReference">
    <w:name w:val="annotation reference"/>
    <w:uiPriority w:val="99"/>
    <w:semiHidden/>
    <w:rPr>
      <w:rFonts w:cs="Times New Roman"/>
      <w:sz w:val="18"/>
      <w:szCs w:val="18"/>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rFonts w:ascii="Arial" w:hAnsi="Arial" w:cs="Times New Roman"/>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link w:val="CommentSubject"/>
    <w:uiPriority w:val="99"/>
    <w:semiHidden/>
    <w:rPr>
      <w:rFonts w:ascii="Arial" w:hAnsi="Arial" w:cs="Times New Roman"/>
      <w:b/>
      <w:bCs/>
      <w:sz w:val="20"/>
      <w:szCs w:val="20"/>
    </w:rPr>
  </w:style>
  <w:style w:type="paragraph" w:styleId="BalloonText">
    <w:name w:val="Balloon Text"/>
    <w:basedOn w:val="Normal"/>
    <w:link w:val="BalloonTextChar"/>
    <w:uiPriority w:val="99"/>
    <w:semiHidden/>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H2">
    <w:name w:val="H2"/>
    <w:basedOn w:val="H1"/>
    <w:next w:val="Normal"/>
    <w:rPr>
      <w:b w:val="0"/>
      <w:color w:val="4F81BD"/>
      <w:sz w:val="26"/>
      <w:u w:val="single"/>
      <w14:textFill>
        <w14:solidFill>
          <w14:srgbClr w14:val="4F81BD">
            <w14:lumMod w14:val="85000"/>
            <w14:lumOff w14:val="15000"/>
          </w14:srgbClr>
        </w14:solidFill>
      </w14:textFill>
    </w:rPr>
  </w:style>
  <w:style w:type="paragraph" w:styleId="NormalWeb">
    <w:name w:val="Normal (Web)"/>
    <w:basedOn w:val="Normal"/>
    <w:semiHidden/>
    <w:pPr>
      <w:spacing w:before="100" w:beforeAutospacing="1" w:after="100" w:afterAutospacing="1" w:line="240" w:lineRule="auto"/>
      <w:jc w:val="left"/>
    </w:pPr>
    <w:rPr>
      <w:rFonts w:ascii="Times" w:hAnsi="Times"/>
      <w:sz w:val="20"/>
      <w:szCs w:val="20"/>
    </w:rPr>
  </w:style>
  <w:style w:type="character" w:styleId="Hyperlink">
    <w:name w:val="Hyperlink"/>
    <w:uiPriority w:val="99"/>
    <w:rPr>
      <w:rFonts w:cs="Times New Roman"/>
      <w:color w:val="0000FF"/>
      <w:u w:val="single"/>
    </w:rPr>
  </w:style>
  <w:style w:type="paragraph" w:customStyle="1" w:styleId="nor">
    <w:name w:val="nor"/>
    <w:basedOn w:val="H0"/>
  </w:style>
  <w:style w:type="paragraph" w:customStyle="1" w:styleId="H0">
    <w:name w:val="H0"/>
    <w:basedOn w:val="H1"/>
    <w:rPr>
      <w:sz w:val="36"/>
    </w:rPr>
  </w:style>
  <w:style w:type="paragraph" w:customStyle="1" w:styleId="Default">
    <w:name w:val="Default"/>
    <w:rPr>
      <w:rFonts w:ascii="Times New Roman" w:hAnsi="Times New Roman"/>
      <w:color w:val="000000"/>
      <w:sz w:val="24"/>
      <w:szCs w:val="24"/>
      <w:lang w:val="el-GR" w:eastAsia="en-US"/>
    </w:rPr>
  </w:style>
  <w:style w:type="paragraph" w:styleId="FootnoteText">
    <w:name w:val="footnote text"/>
    <w:basedOn w:val="Normal"/>
    <w:link w:val="FootnoteTextChar"/>
    <w:uiPriority w:val="99"/>
    <w:rPr>
      <w:rFonts w:eastAsia="Times New Roman"/>
      <w:sz w:val="22"/>
      <w:szCs w:val="20"/>
      <w:lang w:val="el-GR" w:eastAsia="el-GR"/>
    </w:rPr>
  </w:style>
  <w:style w:type="character" w:customStyle="1" w:styleId="FootnoteTextChar">
    <w:name w:val="Footnote Text Char"/>
    <w:link w:val="FootnoteText"/>
    <w:uiPriority w:val="99"/>
    <w:rPr>
      <w:rFonts w:ascii="Calibri" w:eastAsia="Times New Roman" w:hAnsi="Calibri"/>
      <w:sz w:val="22"/>
      <w:lang w:val="el-GR" w:eastAsia="el-GR"/>
    </w:rPr>
  </w:style>
  <w:style w:type="character" w:styleId="FootnoteReference">
    <w:name w:val="footnote reference"/>
    <w:uiPriority w:val="99"/>
    <w:semiHidden/>
    <w:rPr>
      <w:rFonts w:cs="Times New Roman"/>
      <w:vertAlign w:val="superscript"/>
    </w:rPr>
  </w:style>
  <w:style w:type="character" w:customStyle="1" w:styleId="authors">
    <w:name w:val="authors"/>
  </w:style>
  <w:style w:type="character" w:customStyle="1" w:styleId="1">
    <w:name w:val="Ημερομηνία1"/>
  </w:style>
  <w:style w:type="character" w:customStyle="1" w:styleId="arttitle">
    <w:name w:val="art_title"/>
  </w:style>
  <w:style w:type="character" w:customStyle="1" w:styleId="serialtitle">
    <w:name w:val="serial_title"/>
  </w:style>
  <w:style w:type="character" w:customStyle="1" w:styleId="volumeissue">
    <w:name w:val="volume_issue"/>
  </w:style>
  <w:style w:type="character" w:customStyle="1" w:styleId="pagerange">
    <w:name w:val="page_range"/>
  </w:style>
  <w:style w:type="character" w:customStyle="1" w:styleId="doilink">
    <w:name w:val="doi_link"/>
  </w:style>
  <w:style w:type="character" w:customStyle="1" w:styleId="reference-text">
    <w:name w:val="reference-text"/>
    <w:rPr>
      <w:rFonts w:cs="Times New Roman"/>
    </w:rPr>
  </w:style>
  <w:style w:type="paragraph" w:customStyle="1" w:styleId="Quote1">
    <w:name w:val="Quote1"/>
    <w:basedOn w:val="Normal"/>
    <w:next w:val="Normal"/>
    <w:link w:val="QuoteChar"/>
    <w:rPr>
      <w:i/>
      <w:iCs/>
      <w:color w:val="000000"/>
    </w:rPr>
  </w:style>
  <w:style w:type="character" w:customStyle="1" w:styleId="QuoteChar">
    <w:name w:val="Quote Char"/>
    <w:link w:val="Quote1"/>
    <w:rPr>
      <w:rFonts w:ascii="Calibri" w:hAnsi="Calibri" w:cs="Times New Roman"/>
      <w:i/>
      <w:iCs/>
      <w:color w:val="000000"/>
    </w:rPr>
  </w:style>
  <w:style w:type="paragraph" w:customStyle="1" w:styleId="Revision1">
    <w:name w:val="Revision1"/>
    <w:hidden/>
    <w:semiHidden/>
    <w:rPr>
      <w:rFonts w:ascii="Calibri" w:hAnsi="Calibri"/>
      <w:sz w:val="24"/>
      <w:szCs w:val="24"/>
      <w:lang w:val="en-US" w:eastAsia="en-US"/>
    </w:rPr>
  </w:style>
  <w:style w:type="paragraph" w:customStyle="1" w:styleId="MediumGrid1-Accent21">
    <w:name w:val="Medium Grid 1 - Accent 21"/>
    <w:basedOn w:val="Normal"/>
    <w:uiPriority w:val="34"/>
    <w:qFormat/>
    <w:pPr>
      <w:spacing w:before="0" w:after="0" w:line="240" w:lineRule="auto"/>
      <w:ind w:left="720"/>
      <w:contextualSpacing/>
      <w:jc w:val="left"/>
    </w:pPr>
    <w:rPr>
      <w:rFonts w:eastAsia="Calibri"/>
      <w:lang w:val="en-GB"/>
    </w:rPr>
  </w:style>
  <w:style w:type="paragraph" w:customStyle="1" w:styleId="MediumList2-Accent21">
    <w:name w:val="Medium List 2 - Accent 21"/>
    <w:hidden/>
    <w:uiPriority w:val="99"/>
    <w:semiHidden/>
    <w:rPr>
      <w:rFonts w:ascii="Calibri" w:hAnsi="Calibri"/>
      <w:sz w:val="24"/>
      <w:szCs w:val="24"/>
      <w:lang w:val="en-US" w:eastAsia="en-US"/>
    </w:rPr>
  </w:style>
  <w:style w:type="character" w:styleId="FollowedHyperlink">
    <w:name w:val="FollowedHyperlink"/>
    <w:rPr>
      <w:color w:val="800080"/>
      <w:u w:val="single"/>
    </w:rPr>
  </w:style>
  <w:style w:type="character" w:customStyle="1" w:styleId="Heading2Char">
    <w:name w:val="Heading 2 Char"/>
    <w:link w:val="Heading2"/>
    <w:uiPriority w:val="9"/>
    <w:rPr>
      <w:rFonts w:ascii="Arial" w:eastAsia="Arial" w:hAnsi="Arial" w:cs="Arial"/>
      <w:sz w:val="32"/>
      <w:szCs w:val="32"/>
      <w:lang w:val="de"/>
    </w:rPr>
  </w:style>
  <w:style w:type="paragraph" w:customStyle="1" w:styleId="Footnote">
    <w:name w:val="Footnote"/>
    <w:basedOn w:val="Normal"/>
    <w:qFormat/>
    <w:rPr>
      <w:sz w:val="22"/>
    </w:rPr>
  </w:style>
  <w:style w:type="character" w:customStyle="1" w:styleId="Heading3Char">
    <w:name w:val="Heading 3 Char"/>
    <w:link w:val="Heading3"/>
    <w:uiPriority w:val="9"/>
    <w:rPr>
      <w:rFonts w:ascii="Arial" w:eastAsia="Arial" w:hAnsi="Arial" w:cs="Arial"/>
      <w:color w:val="434343"/>
      <w:sz w:val="28"/>
      <w:szCs w:val="28"/>
      <w:lang w:val="de"/>
    </w:rPr>
  </w:style>
  <w:style w:type="character" w:customStyle="1" w:styleId="Heading4Char">
    <w:name w:val="Heading 4 Char"/>
    <w:link w:val="Heading4"/>
    <w:uiPriority w:val="9"/>
    <w:semiHidden/>
    <w:rPr>
      <w:rFonts w:ascii="Arial" w:eastAsia="Arial" w:hAnsi="Arial" w:cs="Arial"/>
      <w:color w:val="666666"/>
      <w:sz w:val="24"/>
      <w:szCs w:val="24"/>
      <w:lang w:val="de"/>
    </w:rPr>
  </w:style>
  <w:style w:type="character" w:customStyle="1" w:styleId="Heading5Char">
    <w:name w:val="Heading 5 Char"/>
    <w:link w:val="Heading5"/>
    <w:uiPriority w:val="9"/>
    <w:semiHidden/>
    <w:rPr>
      <w:rFonts w:ascii="Arial" w:eastAsia="Arial" w:hAnsi="Arial" w:cs="Arial"/>
      <w:color w:val="666666"/>
      <w:sz w:val="22"/>
      <w:szCs w:val="22"/>
      <w:lang w:val="de"/>
    </w:rPr>
  </w:style>
  <w:style w:type="character" w:customStyle="1" w:styleId="Heading6Char">
    <w:name w:val="Heading 6 Char"/>
    <w:link w:val="Heading6"/>
    <w:uiPriority w:val="9"/>
    <w:semiHidden/>
    <w:rPr>
      <w:rFonts w:ascii="Arial" w:eastAsia="Arial" w:hAnsi="Arial" w:cs="Arial"/>
      <w:i/>
      <w:color w:val="666666"/>
      <w:sz w:val="22"/>
      <w:szCs w:val="22"/>
      <w:lang w:val="de"/>
    </w:rPr>
  </w:style>
  <w:style w:type="paragraph" w:styleId="Title">
    <w:name w:val="Title"/>
    <w:basedOn w:val="Normal"/>
    <w:next w:val="Normal"/>
    <w:link w:val="TitleChar"/>
    <w:uiPriority w:val="10"/>
    <w:qFormat/>
    <w:pPr>
      <w:keepNext/>
      <w:keepLines/>
      <w:spacing w:before="0" w:after="60" w:line="276" w:lineRule="auto"/>
      <w:contextualSpacing/>
      <w:jc w:val="left"/>
    </w:pPr>
    <w:rPr>
      <w:rFonts w:ascii="Arial" w:eastAsia="Arial" w:hAnsi="Arial" w:cs="Arial"/>
      <w:sz w:val="52"/>
      <w:szCs w:val="52"/>
      <w:lang w:val="de" w:eastAsia="en-GB"/>
    </w:rPr>
  </w:style>
  <w:style w:type="character" w:customStyle="1" w:styleId="TitleChar">
    <w:name w:val="Title Char"/>
    <w:link w:val="Title"/>
    <w:uiPriority w:val="10"/>
    <w:rPr>
      <w:rFonts w:ascii="Arial" w:eastAsia="Arial" w:hAnsi="Arial" w:cs="Arial"/>
      <w:sz w:val="52"/>
      <w:szCs w:val="52"/>
      <w:lang w:val="de"/>
    </w:rPr>
  </w:style>
  <w:style w:type="paragraph" w:styleId="Subtitle">
    <w:name w:val="Subtitle"/>
    <w:basedOn w:val="Normal"/>
    <w:next w:val="Normal"/>
    <w:link w:val="SubtitleChar"/>
    <w:uiPriority w:val="11"/>
    <w:qFormat/>
    <w:pPr>
      <w:keepNext/>
      <w:keepLines/>
      <w:spacing w:before="0" w:after="320" w:line="276" w:lineRule="auto"/>
      <w:contextualSpacing/>
      <w:jc w:val="left"/>
    </w:pPr>
    <w:rPr>
      <w:rFonts w:ascii="Arial" w:eastAsia="Arial" w:hAnsi="Arial" w:cs="Arial"/>
      <w:color w:val="666666"/>
      <w:sz w:val="30"/>
      <w:szCs w:val="30"/>
      <w:lang w:val="de" w:eastAsia="en-GB"/>
    </w:rPr>
  </w:style>
  <w:style w:type="character" w:customStyle="1" w:styleId="SubtitleChar">
    <w:name w:val="Subtitle Char"/>
    <w:link w:val="Subtitle"/>
    <w:uiPriority w:val="11"/>
    <w:rPr>
      <w:rFonts w:ascii="Arial" w:eastAsia="Arial" w:hAnsi="Arial" w:cs="Arial"/>
      <w:color w:val="666666"/>
      <w:sz w:val="30"/>
      <w:szCs w:val="30"/>
      <w:lang w:val="de"/>
    </w:rPr>
  </w:style>
  <w:style w:type="paragraph" w:styleId="TOCHeading">
    <w:name w:val="TOC Heading"/>
    <w:basedOn w:val="Heading1"/>
    <w:next w:val="Normal"/>
    <w:uiPriority w:val="39"/>
    <w:unhideWhenUsed/>
    <w:qFormat/>
    <w:pPr>
      <w:spacing w:before="240" w:after="0" w:line="259" w:lineRule="auto"/>
      <w:jc w:val="left"/>
      <w:outlineLvl w:val="9"/>
    </w:pPr>
    <w:rPr>
      <w:rFonts w:ascii="Calibri Light" w:eastAsia="Times New Roman" w:hAnsi="Calibri Light"/>
      <w:b w:val="0"/>
      <w:bCs w:val="0"/>
      <w:color w:val="2F5496"/>
      <w14:textFill>
        <w14:solidFill>
          <w14:srgbClr w14:val="2F5496">
            <w14:lumMod w14:val="85000"/>
            <w14:lumOff w14:val="15000"/>
          </w14:srgbClr>
        </w14:solidFill>
      </w14:textFill>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DocumentMap">
    <w:name w:val="Document Map"/>
    <w:basedOn w:val="Normal"/>
    <w:link w:val="DocumentMapChar"/>
    <w:semiHidden/>
    <w:unhideWhenUsed/>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semiHidden/>
    <w:rPr>
      <w:rFonts w:ascii="Lucida Grande" w:hAnsi="Lucida Grande" w:cs="Lucida Grande"/>
      <w:sz w:val="24"/>
      <w:szCs w:val="24"/>
      <w:lang w:val="en-US" w:eastAsia="en-US"/>
    </w:rPr>
  </w:style>
  <w:style w:type="paragraph" w:styleId="Revision">
    <w:name w:val="Revision"/>
    <w:hidden/>
    <w:uiPriority w:val="99"/>
    <w:semiHidden/>
    <w:rPr>
      <w:rFonts w:ascii="Calibri" w:hAnsi="Calibri"/>
      <w:sz w:val="24"/>
      <w:szCs w:val="24"/>
      <w:lang w:val="en-US"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before="0" w:after="0" w:line="240" w:lineRule="auto"/>
      <w:ind w:left="720"/>
      <w:contextualSpacing/>
      <w:jc w:val="left"/>
    </w:pPr>
    <w:rPr>
      <w:rFonts w:eastAsiaTheme="minorEastAsia" w:cs="Calibri"/>
      <w:sz w:val="22"/>
      <w:szCs w:val="22"/>
      <w:lang w:val="es-ES" w:eastAsia="zh-CN"/>
    </w:rPr>
  </w:style>
  <w:style w:type="paragraph" w:customStyle="1" w:styleId="gmail-msolistparagraph">
    <w:name w:val="gmail-msolistparagraph"/>
    <w:basedOn w:val="Normal"/>
    <w:uiPriority w:val="99"/>
    <w:pPr>
      <w:spacing w:before="100" w:beforeAutospacing="1" w:after="100" w:afterAutospacing="1" w:line="240" w:lineRule="auto"/>
      <w:jc w:val="left"/>
    </w:pPr>
    <w:rPr>
      <w:rFonts w:ascii="Times New Roman" w:eastAsiaTheme="minorHAnsi" w:hAnsi="Times New Roman"/>
      <w:lang w:val="es-ES" w:eastAsia="es-ES"/>
    </w:rPr>
  </w:style>
  <w:style w:type="paragraph" w:customStyle="1" w:styleId="Estilo1">
    <w:name w:val="Estilo1"/>
    <w:basedOn w:val="Heading2"/>
    <w:link w:val="Estilo1Car"/>
    <w:qFormat/>
  </w:style>
  <w:style w:type="paragraph" w:customStyle="1" w:styleId="Estilo2">
    <w:name w:val="Estilo2"/>
    <w:basedOn w:val="Estilo1"/>
    <w:link w:val="Estilo2Car"/>
    <w:qFormat/>
    <w:rPr>
      <w:color w:val="1F3864" w:themeColor="accent1" w:themeShade="80"/>
      <w:sz w:val="28"/>
    </w:rPr>
  </w:style>
  <w:style w:type="character" w:customStyle="1" w:styleId="Estilo1Car">
    <w:name w:val="Estilo1 Car"/>
    <w:basedOn w:val="Heading2Char"/>
    <w:link w:val="Estilo1"/>
    <w:rPr>
      <w:rFonts w:ascii="Arial" w:eastAsia="Arial" w:hAnsi="Arial" w:cs="Arial"/>
      <w:sz w:val="32"/>
      <w:szCs w:val="32"/>
      <w:lang w:val="de"/>
    </w:rPr>
  </w:style>
  <w:style w:type="character" w:customStyle="1" w:styleId="Estilo2Car">
    <w:name w:val="Estilo2 Car"/>
    <w:basedOn w:val="Estilo1Car"/>
    <w:link w:val="Estilo2"/>
    <w:rPr>
      <w:rFonts w:ascii="Arial" w:eastAsia="Arial" w:hAnsi="Arial" w:cs="Arial"/>
      <w:color w:val="1F3864" w:themeColor="accent1" w:themeShade="80"/>
      <w:sz w:val="28"/>
      <w:szCs w:val="32"/>
      <w:lang w:val="de"/>
    </w:rPr>
  </w:style>
  <w:style w:type="paragraph" w:customStyle="1" w:styleId="Ttulo71">
    <w:name w:val="Título 71"/>
    <w:basedOn w:val="Normal"/>
    <w:next w:val="Normal"/>
    <w:uiPriority w:val="9"/>
    <w:semiHidden/>
    <w:unhideWhenUsed/>
    <w:qFormat/>
    <w:pPr>
      <w:keepNext/>
      <w:keepLines/>
      <w:spacing w:before="40" w:after="0" w:line="240" w:lineRule="auto"/>
      <w:jc w:val="left"/>
      <w:outlineLvl w:val="6"/>
    </w:pPr>
    <w:rPr>
      <w:rFonts w:ascii="Verdana" w:eastAsia="SimHei" w:hAnsi="Verdana"/>
      <w:i/>
      <w:iCs/>
      <w:color w:val="59594C"/>
      <w:sz w:val="22"/>
      <w:szCs w:val="22"/>
      <w:lang w:val="es-ES" w:eastAsia="zh-CN"/>
    </w:rPr>
  </w:style>
  <w:style w:type="paragraph" w:customStyle="1" w:styleId="Ttulo81">
    <w:name w:val="Título 81"/>
    <w:basedOn w:val="Normal"/>
    <w:next w:val="Normal"/>
    <w:uiPriority w:val="9"/>
    <w:semiHidden/>
    <w:unhideWhenUsed/>
    <w:qFormat/>
    <w:pPr>
      <w:keepNext/>
      <w:keepLines/>
      <w:spacing w:before="40" w:after="0" w:line="240" w:lineRule="auto"/>
      <w:jc w:val="left"/>
      <w:outlineLvl w:val="7"/>
    </w:pPr>
    <w:rPr>
      <w:rFonts w:ascii="Verdana" w:eastAsia="SimHei" w:hAnsi="Verdana"/>
      <w:color w:val="525252"/>
      <w:sz w:val="21"/>
      <w:szCs w:val="21"/>
      <w:lang w:val="es-ES" w:eastAsia="zh-CN"/>
    </w:rPr>
  </w:style>
  <w:style w:type="paragraph" w:customStyle="1" w:styleId="Ttulo91">
    <w:name w:val="Título 91"/>
    <w:basedOn w:val="Normal"/>
    <w:next w:val="Normal"/>
    <w:uiPriority w:val="9"/>
    <w:semiHidden/>
    <w:unhideWhenUsed/>
    <w:qFormat/>
    <w:pPr>
      <w:keepNext/>
      <w:keepLines/>
      <w:spacing w:before="40" w:after="0" w:line="240" w:lineRule="auto"/>
      <w:jc w:val="left"/>
      <w:outlineLvl w:val="8"/>
    </w:pPr>
    <w:rPr>
      <w:rFonts w:ascii="Verdana" w:eastAsia="SimHei" w:hAnsi="Verdana"/>
      <w:i/>
      <w:iCs/>
      <w:color w:val="525252"/>
      <w:sz w:val="21"/>
      <w:szCs w:val="21"/>
      <w:lang w:val="es-ES" w:eastAsia="zh-CN"/>
    </w:rPr>
  </w:style>
  <w:style w:type="numbering" w:customStyle="1" w:styleId="Sinlista1">
    <w:name w:val="Sin lista1"/>
    <w:next w:val="NoList"/>
    <w:uiPriority w:val="99"/>
    <w:semiHidden/>
    <w:unhideWhenUsed/>
  </w:style>
  <w:style w:type="character" w:customStyle="1" w:styleId="Heading7Char">
    <w:name w:val="Heading 7 Char"/>
    <w:basedOn w:val="DefaultParagraphFont"/>
    <w:link w:val="Heading7"/>
    <w:uiPriority w:val="9"/>
    <w:semiHidden/>
    <w:rPr>
      <w:rFonts w:ascii="Verdana" w:eastAsia="SimHei" w:hAnsi="Verdana" w:cs="Times New Roman"/>
      <w:i/>
      <w:iCs/>
      <w:color w:val="59594C"/>
      <w:lang w:val="es-ES"/>
    </w:rPr>
  </w:style>
  <w:style w:type="character" w:customStyle="1" w:styleId="Heading8Char">
    <w:name w:val="Heading 8 Char"/>
    <w:basedOn w:val="DefaultParagraphFont"/>
    <w:link w:val="Heading8"/>
    <w:uiPriority w:val="9"/>
    <w:semiHidden/>
    <w:rPr>
      <w:rFonts w:ascii="Verdana" w:eastAsia="SimHei" w:hAnsi="Verdana" w:cs="Times New Roman"/>
      <w:color w:val="525252"/>
      <w:sz w:val="21"/>
      <w:szCs w:val="21"/>
      <w:lang w:val="es-ES"/>
    </w:rPr>
  </w:style>
  <w:style w:type="character" w:customStyle="1" w:styleId="Heading9Char">
    <w:name w:val="Heading 9 Char"/>
    <w:basedOn w:val="DefaultParagraphFont"/>
    <w:link w:val="Heading9"/>
    <w:uiPriority w:val="9"/>
    <w:semiHidden/>
    <w:rPr>
      <w:rFonts w:ascii="Verdana" w:eastAsia="SimHei" w:hAnsi="Verdana" w:cs="Times New Roman"/>
      <w:i/>
      <w:iCs/>
      <w:color w:val="525252"/>
      <w:sz w:val="21"/>
      <w:szCs w:val="21"/>
      <w:lang w:val="es-ES"/>
    </w:rPr>
  </w:style>
  <w:style w:type="character" w:customStyle="1" w:styleId="Mencinsinresolver1">
    <w:name w:val="Mención sin resolver1"/>
    <w:basedOn w:val="DefaultParagraphFont"/>
    <w:uiPriority w:val="99"/>
    <w:semiHidden/>
    <w:unhideWhenUsed/>
    <w:rPr>
      <w:color w:val="605E5C"/>
      <w:shd w:val="clear" w:color="auto" w:fill="E1DFDD"/>
    </w:rPr>
  </w:style>
  <w:style w:type="table" w:customStyle="1" w:styleId="Tablaconcuadrcula1">
    <w:name w:val="Tabla con cuadrícula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
    <w:name w:val="QuestionHeader"/>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
    <w:name w:val="QuestionText"/>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
    <w:name w:val="ContentItem"/>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
    <w:name w:val="Properties"/>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
    <w:name w:val="RowsAndColumns"/>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11">
    <w:name w:val="Sin lista11"/>
    <w:next w:val="NoList"/>
    <w:uiPriority w:val="99"/>
    <w:semiHidden/>
    <w:unhideWhenUsed/>
  </w:style>
  <w:style w:type="table" w:customStyle="1" w:styleId="QuestionHeader1">
    <w:name w:val="QuestionHeader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1">
    <w:name w:val="QuestionText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1">
    <w:name w:val="ContentItem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1">
    <w:name w:val="Properties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1">
    <w:name w:val="RowsAndColumns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2">
    <w:name w:val="Sin lista2"/>
    <w:next w:val="NoList"/>
    <w:uiPriority w:val="99"/>
    <w:semiHidden/>
    <w:unhideWhenUsed/>
  </w:style>
  <w:style w:type="table" w:customStyle="1" w:styleId="Tablaconcuadrcula2">
    <w:name w:val="Tabla con cuadrícula2"/>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2">
    <w:name w:val="QuestionHeader2"/>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2">
    <w:name w:val="QuestionText2"/>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2">
    <w:name w:val="ContentItem2"/>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2">
    <w:name w:val="Properties2"/>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2">
    <w:name w:val="RowsAndColumns2"/>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3">
    <w:name w:val="Sin lista3"/>
    <w:next w:val="NoList"/>
    <w:uiPriority w:val="99"/>
    <w:semiHidden/>
    <w:unhideWhenUsed/>
  </w:style>
  <w:style w:type="table" w:customStyle="1" w:styleId="Tablaconcuadrcula3">
    <w:name w:val="Tabla con cuadrícula3"/>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3">
    <w:name w:val="QuestionHeader3"/>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3">
    <w:name w:val="QuestionText3"/>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3">
    <w:name w:val="ContentItem3"/>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3">
    <w:name w:val="Properties3"/>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3">
    <w:name w:val="RowsAndColumns3"/>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4">
    <w:name w:val="Sin lista4"/>
    <w:next w:val="NoList"/>
    <w:uiPriority w:val="99"/>
    <w:semiHidden/>
    <w:unhideWhenUsed/>
  </w:style>
  <w:style w:type="table" w:customStyle="1" w:styleId="Tablaconcuadrcula4">
    <w:name w:val="Tabla con cuadrícula4"/>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4">
    <w:name w:val="QuestionHeader4"/>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4">
    <w:name w:val="QuestionText4"/>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4">
    <w:name w:val="ContentItem4"/>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4">
    <w:name w:val="Properties4"/>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4">
    <w:name w:val="RowsAndColumns4"/>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5">
    <w:name w:val="Sin lista5"/>
    <w:next w:val="NoList"/>
    <w:uiPriority w:val="99"/>
    <w:semiHidden/>
    <w:unhideWhenUsed/>
  </w:style>
  <w:style w:type="table" w:customStyle="1" w:styleId="Tablaconcuadrcula5">
    <w:name w:val="Tabla con cuadrícula5"/>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5">
    <w:name w:val="QuestionHeader5"/>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5">
    <w:name w:val="QuestionText5"/>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5">
    <w:name w:val="ContentItem5"/>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5">
    <w:name w:val="Properties5"/>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5">
    <w:name w:val="RowsAndColumns5"/>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6">
    <w:name w:val="Sin lista6"/>
    <w:next w:val="NoList"/>
    <w:uiPriority w:val="99"/>
    <w:semiHidden/>
    <w:unhideWhenUsed/>
  </w:style>
  <w:style w:type="table" w:customStyle="1" w:styleId="Tablaconcuadrcula6">
    <w:name w:val="Tabla con cuadrícula6"/>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6">
    <w:name w:val="QuestionHeader6"/>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6">
    <w:name w:val="QuestionText6"/>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6">
    <w:name w:val="ContentItem6"/>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6">
    <w:name w:val="Properties6"/>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6">
    <w:name w:val="RowsAndColumns6"/>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7">
    <w:name w:val="Sin lista7"/>
    <w:next w:val="NoList"/>
    <w:uiPriority w:val="99"/>
    <w:semiHidden/>
    <w:unhideWhenUsed/>
  </w:style>
  <w:style w:type="table" w:customStyle="1" w:styleId="Tablaconcuadrcula7">
    <w:name w:val="Tabla con cuadrícula7"/>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7">
    <w:name w:val="QuestionHeader7"/>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7">
    <w:name w:val="QuestionText7"/>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7">
    <w:name w:val="ContentItem7"/>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7">
    <w:name w:val="Properties7"/>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7">
    <w:name w:val="RowsAndColumns7"/>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table" w:customStyle="1" w:styleId="Answerlist">
    <w:name w:val="Answerlist"/>
    <w:basedOn w:val="TableNormal"/>
    <w:uiPriority w:val="99"/>
    <w:rPr>
      <w:rFonts w:ascii="Verdana" w:eastAsia="Times New Roman" w:hAnsi="Verdana" w:cs="Arial"/>
      <w:sz w:val="18"/>
      <w:szCs w:val="18"/>
      <w:lang w:val="en-US" w:eastAsia="en-US"/>
    </w:rPr>
    <w:tblPr>
      <w:tblCellMar>
        <w:top w:w="28" w:type="dxa"/>
        <w:left w:w="57" w:type="dxa"/>
        <w:bottom w:w="28" w:type="dxa"/>
        <w:right w:w="57" w:type="dxa"/>
      </w:tblCellMar>
    </w:tblPr>
    <w:tcPr>
      <w:shd w:val="clear" w:color="auto" w:fill="F2F2F2"/>
    </w:tcPr>
  </w:style>
  <w:style w:type="paragraph" w:customStyle="1" w:styleId="Sinespaciado1">
    <w:name w:val="Sin espaciado1"/>
    <w:next w:val="NoSpacing"/>
    <w:link w:val="SinespaciadoCar"/>
    <w:uiPriority w:val="1"/>
    <w:qFormat/>
    <w:rPr>
      <w:rFonts w:ascii="Verdana" w:eastAsia="SimSun" w:hAnsi="Verdana"/>
      <w:sz w:val="22"/>
      <w:szCs w:val="22"/>
    </w:rPr>
  </w:style>
  <w:style w:type="character" w:customStyle="1" w:styleId="SinespaciadoCar">
    <w:name w:val="Sin espaciado Car"/>
    <w:basedOn w:val="DefaultParagraphFont"/>
    <w:link w:val="Sinespaciado1"/>
    <w:uiPriority w:val="1"/>
    <w:rPr>
      <w:lang w:eastAsia="en-GB"/>
    </w:rPr>
  </w:style>
  <w:style w:type="character" w:customStyle="1" w:styleId="Ttulo7Car1">
    <w:name w:val="Título 7 Car1"/>
    <w:basedOn w:val="DefaultParagraphFont"/>
    <w:semiHidden/>
    <w:rPr>
      <w:rFonts w:asciiTheme="majorHAnsi" w:eastAsiaTheme="majorEastAsia" w:hAnsiTheme="majorHAnsi" w:cstheme="majorBidi"/>
      <w:i/>
      <w:iCs/>
      <w:color w:val="1F3763" w:themeColor="accent1" w:themeShade="7F"/>
      <w:sz w:val="24"/>
      <w:szCs w:val="24"/>
      <w:lang w:val="en-US" w:eastAsia="en-US"/>
    </w:rPr>
  </w:style>
  <w:style w:type="character" w:customStyle="1" w:styleId="Ttulo8Car1">
    <w:name w:val="Título 8 Car1"/>
    <w:basedOn w:val="DefaultParagraphFont"/>
    <w:semiHidden/>
    <w:rPr>
      <w:rFonts w:asciiTheme="majorHAnsi" w:eastAsiaTheme="majorEastAsia" w:hAnsiTheme="majorHAnsi" w:cstheme="majorBidi"/>
      <w:color w:val="272727" w:themeColor="text1" w:themeTint="D8"/>
      <w:sz w:val="21"/>
      <w:szCs w:val="21"/>
      <w:lang w:val="en-US" w:eastAsia="en-US"/>
    </w:rPr>
  </w:style>
  <w:style w:type="character" w:customStyle="1" w:styleId="Ttulo9Car1">
    <w:name w:val="Título 9 Car1"/>
    <w:basedOn w:val="DefaultParagraphFont"/>
    <w:semiHidden/>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uiPriority w:val="1"/>
    <w:qFormat/>
    <w:pPr>
      <w:jc w:val="both"/>
    </w:pPr>
    <w:rPr>
      <w:rFonts w:ascii="Calibri" w:hAnsi="Calibri"/>
      <w:sz w:val="24"/>
      <w:szCs w:val="24"/>
      <w:lang w:val="en-US" w:eastAsia="en-US"/>
    </w:rPr>
  </w:style>
  <w:style w:type="numbering" w:customStyle="1" w:styleId="Sinlista8">
    <w:name w:val="Sin lista8"/>
    <w:next w:val="NoList"/>
    <w:uiPriority w:val="99"/>
    <w:semiHidden/>
    <w:unhideWhenUsed/>
  </w:style>
  <w:style w:type="table" w:customStyle="1" w:styleId="Tablaconcuadrcula8">
    <w:name w:val="Tabla con cuadrícula8"/>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8">
    <w:name w:val="QuestionHeader8"/>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8">
    <w:name w:val="QuestionText8"/>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8">
    <w:name w:val="ContentItem8"/>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8">
    <w:name w:val="Properties8"/>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8">
    <w:name w:val="RowsAndColumns8"/>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12">
    <w:name w:val="Sin lista12"/>
    <w:next w:val="NoList"/>
    <w:uiPriority w:val="99"/>
    <w:semiHidden/>
    <w:unhideWhenUsed/>
  </w:style>
  <w:style w:type="table" w:customStyle="1" w:styleId="Tablaconcuadrcula11">
    <w:name w:val="Tabla con cuadrícula1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11">
    <w:name w:val="QuestionHeader1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11">
    <w:name w:val="QuestionText1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11">
    <w:name w:val="ContentItem1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11">
    <w:name w:val="Properties1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11">
    <w:name w:val="RowsAndColumns1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21">
    <w:name w:val="Sin lista21"/>
    <w:next w:val="NoList"/>
    <w:uiPriority w:val="99"/>
    <w:semiHidden/>
    <w:unhideWhenUsed/>
  </w:style>
  <w:style w:type="table" w:customStyle="1" w:styleId="Tablaconcuadrcula21">
    <w:name w:val="Tabla con cuadrícula2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21">
    <w:name w:val="QuestionHeader2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21">
    <w:name w:val="QuestionText2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21">
    <w:name w:val="ContentItem2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21">
    <w:name w:val="Properties2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21">
    <w:name w:val="RowsAndColumns2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31">
    <w:name w:val="Sin lista31"/>
    <w:next w:val="NoList"/>
    <w:uiPriority w:val="99"/>
    <w:semiHidden/>
    <w:unhideWhenUsed/>
  </w:style>
  <w:style w:type="table" w:customStyle="1" w:styleId="Tablaconcuadrcula31">
    <w:name w:val="Tabla con cuadrícula3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31">
    <w:name w:val="QuestionHeader3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31">
    <w:name w:val="QuestionText3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31">
    <w:name w:val="ContentItem3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31">
    <w:name w:val="Properties3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31">
    <w:name w:val="RowsAndColumns3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41">
    <w:name w:val="Sin lista41"/>
    <w:next w:val="NoList"/>
    <w:uiPriority w:val="99"/>
    <w:semiHidden/>
    <w:unhideWhenUsed/>
  </w:style>
  <w:style w:type="table" w:customStyle="1" w:styleId="Tablaconcuadrcula41">
    <w:name w:val="Tabla con cuadrícula4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41">
    <w:name w:val="QuestionHeader4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41">
    <w:name w:val="QuestionText4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41">
    <w:name w:val="ContentItem4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41">
    <w:name w:val="Properties4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41">
    <w:name w:val="RowsAndColumns4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51">
    <w:name w:val="Sin lista51"/>
    <w:next w:val="NoList"/>
    <w:uiPriority w:val="99"/>
    <w:semiHidden/>
    <w:unhideWhenUsed/>
  </w:style>
  <w:style w:type="table" w:customStyle="1" w:styleId="Tablaconcuadrcula51">
    <w:name w:val="Tabla con cuadrícula5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51">
    <w:name w:val="QuestionHeader5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51">
    <w:name w:val="QuestionText5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51">
    <w:name w:val="ContentItem5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51">
    <w:name w:val="Properties5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51">
    <w:name w:val="RowsAndColumns5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61">
    <w:name w:val="Sin lista61"/>
    <w:next w:val="NoList"/>
    <w:uiPriority w:val="99"/>
    <w:semiHidden/>
    <w:unhideWhenUsed/>
  </w:style>
  <w:style w:type="table" w:customStyle="1" w:styleId="Tablaconcuadrcula61">
    <w:name w:val="Tabla con cuadrícula6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61">
    <w:name w:val="QuestionHeader6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61">
    <w:name w:val="QuestionText6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61">
    <w:name w:val="ContentItem6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61">
    <w:name w:val="Properties6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61">
    <w:name w:val="RowsAndColumns6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numbering" w:customStyle="1" w:styleId="Sinlista71">
    <w:name w:val="Sin lista71"/>
    <w:next w:val="NoList"/>
    <w:uiPriority w:val="99"/>
    <w:semiHidden/>
    <w:unhideWhenUsed/>
  </w:style>
  <w:style w:type="table" w:customStyle="1" w:styleId="Tablaconcuadrcula71">
    <w:name w:val="Tabla con cuadrícula71"/>
    <w:basedOn w:val="TableNormal"/>
    <w:next w:val="TableGrid"/>
    <w:uiPriority w:val="59"/>
    <w:rPr>
      <w:rFonts w:ascii="Verdana" w:eastAsia="Verdana" w:hAnsi="Verdan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QuestionHeader71">
    <w:name w:val="QuestionHeader71"/>
    <w:basedOn w:val="TableNormal"/>
    <w:uiPriority w:val="99"/>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71">
    <w:name w:val="QuestionText71"/>
    <w:basedOn w:val="TableNormal"/>
    <w:uiPriority w:val="99"/>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ContentItem71">
    <w:name w:val="ContentItem71"/>
    <w:basedOn w:val="TableNormal"/>
    <w:uiPriority w:val="99"/>
    <w:rPr>
      <w:rFonts w:ascii="Verdana" w:eastAsia="Times New Roman" w:hAnsi="Verdana" w:cs="Arial"/>
      <w:sz w:val="18"/>
      <w:szCs w:val="18"/>
      <w:lang w:val="en-US" w:eastAsia="en-US"/>
    </w:rPr>
    <w:tblPr>
      <w:tblCellMar>
        <w:left w:w="0" w:type="dxa"/>
        <w:right w:w="0" w:type="dxa"/>
      </w:tblCellMar>
    </w:tblPr>
  </w:style>
  <w:style w:type="table" w:customStyle="1" w:styleId="Properties71">
    <w:name w:val="Properties71"/>
    <w:basedOn w:val="TableNormal"/>
    <w:uiPriority w:val="99"/>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RowsAndColumns71">
    <w:name w:val="RowsAndColumns71"/>
    <w:basedOn w:val="TableNormal"/>
    <w:uiPriority w:val="99"/>
    <w:pPr>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table" w:customStyle="1" w:styleId="Answerlist1">
    <w:name w:val="Answerlist1"/>
    <w:basedOn w:val="TableNormal"/>
    <w:uiPriority w:val="99"/>
    <w:rPr>
      <w:rFonts w:ascii="Verdana" w:eastAsia="Times New Roman" w:hAnsi="Verdana" w:cs="Arial"/>
      <w:sz w:val="18"/>
      <w:szCs w:val="18"/>
      <w:lang w:val="en-US" w:eastAsia="en-US"/>
    </w:rPr>
    <w:tblPr>
      <w:tblCellMar>
        <w:top w:w="28" w:type="dxa"/>
        <w:left w:w="57" w:type="dxa"/>
        <w:bottom w:w="28" w:type="dxa"/>
        <w:right w:w="57" w:type="dxa"/>
      </w:tblCellMar>
    </w:tblPr>
    <w:tcPr>
      <w:shd w:val="clear" w:color="auto" w:fill="F2F2F2"/>
    </w:tcPr>
  </w:style>
  <w:style w:type="table" w:customStyle="1" w:styleId="REPAST">
    <w:name w:val="REPAST"/>
    <w:basedOn w:val="TableNormal"/>
    <w:uiPriority w:val="99"/>
    <w:tblPr/>
  </w:style>
  <w:style w:type="table" w:customStyle="1" w:styleId="EstiloRepast">
    <w:name w:val="EstiloRepast"/>
    <w:basedOn w:val="RowsAndColumns71"/>
    <w:uiPriority w:val="99"/>
    <w:rPr>
      <w:rFonts w:asciiTheme="minorHAnsi" w:hAnsiTheme="minorHAnsi"/>
      <w:color w:val="000000" w:themeColor="text1"/>
      <w:sz w:val="22"/>
    </w:rPr>
    <w:tblPr>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Pr>
    <w:tblStylePr w:type="firstRow">
      <w:rPr>
        <w:rFonts w:asciiTheme="minorHAnsi" w:hAnsiTheme="minorHAnsi"/>
        <w:caps w:val="0"/>
        <w:smallCaps w:val="0"/>
        <w:strike w:val="0"/>
        <w:vanish w:val="0"/>
        <w:color w:val="auto"/>
        <w:sz w:val="20"/>
        <w:vertAlign w:val="baseline"/>
      </w:rPr>
      <w:tblPr/>
      <w:tcPr>
        <w:shd w:val="clear" w:color="auto" w:fill="A6A6A6" w:themeFill="background1" w:themeFillShade="A6"/>
      </w:tcPr>
    </w:tblStylePr>
    <w:tblStylePr w:type="lastRow">
      <w:tblPr/>
      <w:tcPr>
        <w:tcBorders>
          <w:top w:val="single" w:sz="4" w:space="0" w:color="auto"/>
          <w:left w:val="none" w:sz="4" w:space="0" w:color="000000"/>
          <w:bottom w:val="single" w:sz="4" w:space="0" w:color="auto"/>
          <w:right w:val="none" w:sz="4" w:space="0" w:color="000000"/>
          <w:insideH w:val="none" w:sz="4" w:space="0" w:color="000000"/>
          <w:insideV w:val="none" w:sz="4" w:space="0" w:color="000000"/>
        </w:tcBorders>
      </w:tcPr>
    </w:tblStylePr>
    <w:tblStylePr w:type="firstCol">
      <w:pPr>
        <w:jc w:val="left"/>
      </w:pPr>
    </w:tblStylePr>
    <w:tblStylePr w:type="band2Horz">
      <w:tblPr/>
      <w:tcPr>
        <w:shd w:val="clear" w:color="auto" w:fill="F2F2F2"/>
      </w:tcPr>
    </w:tblStylePr>
  </w:style>
  <w:style w:type="table" w:customStyle="1" w:styleId="EstiloRepast2">
    <w:name w:val="EstiloRepast2"/>
    <w:basedOn w:val="TableSimple1"/>
    <w:uiPriority w:val="99"/>
    <w:rPr>
      <w:rFonts w:asciiTheme="minorHAnsi" w:hAnsiTheme="minorHAnsi"/>
      <w:sz w:val="22"/>
      <w:lang w:val="en-US" w:eastAsia="en-US"/>
    </w:rP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1">
    <w:name w:val="Table Simple 1"/>
    <w:basedOn w:val="TableNormal"/>
    <w:semiHidden/>
    <w:unhideWhenUsed/>
    <w:pPr>
      <w:spacing w:before="120" w:after="12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styleId="Emphasis">
    <w:name w:val="Emphasis"/>
    <w:basedOn w:val="DefaultParagraphFont"/>
    <w:uiPriority w:val="20"/>
    <w:qFormat/>
    <w:rPr>
      <w:i/>
      <w:iCs/>
    </w:rPr>
  </w:style>
  <w:style w:type="paragraph" w:customStyle="1" w:styleId="CM1">
    <w:name w:val="CM1"/>
    <w:basedOn w:val="Normal"/>
    <w:next w:val="Normal"/>
    <w:uiPriority w:val="99"/>
    <w:pPr>
      <w:spacing w:before="0" w:after="0" w:line="240" w:lineRule="auto"/>
      <w:jc w:val="left"/>
    </w:pPr>
    <w:rPr>
      <w:rFonts w:ascii="eualbertina" w:eastAsiaTheme="minorHAnsi" w:hAnsi="eualbertina" w:cstheme="minorBidi"/>
      <w:lang w:val="en-GB"/>
    </w:rPr>
  </w:style>
  <w:style w:type="paragraph" w:customStyle="1" w:styleId="CM3">
    <w:name w:val="CM3"/>
    <w:basedOn w:val="Normal"/>
    <w:next w:val="Normal"/>
    <w:uiPriority w:val="99"/>
    <w:pPr>
      <w:spacing w:before="0" w:after="0" w:line="240" w:lineRule="auto"/>
      <w:jc w:val="left"/>
    </w:pPr>
    <w:rPr>
      <w:rFonts w:ascii="eualbertina" w:eastAsiaTheme="minorHAnsi" w:hAnsi="eualbertina" w:cstheme="minorBidi"/>
      <w:lang w:val="en-GB"/>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764">
      <w:bodyDiv w:val="1"/>
      <w:marLeft w:val="0"/>
      <w:marRight w:val="0"/>
      <w:marTop w:val="0"/>
      <w:marBottom w:val="0"/>
      <w:divBdr>
        <w:top w:val="none" w:sz="0" w:space="0" w:color="auto"/>
        <w:left w:val="none" w:sz="0" w:space="0" w:color="auto"/>
        <w:bottom w:val="none" w:sz="0" w:space="0" w:color="auto"/>
        <w:right w:val="none" w:sz="0" w:space="0" w:color="auto"/>
      </w:divBdr>
      <w:divsChild>
        <w:div w:id="905604109">
          <w:marLeft w:val="0"/>
          <w:marRight w:val="0"/>
          <w:marTop w:val="0"/>
          <w:marBottom w:val="225"/>
          <w:divBdr>
            <w:top w:val="none" w:sz="0" w:space="0" w:color="auto"/>
            <w:left w:val="none" w:sz="0" w:space="0" w:color="auto"/>
            <w:bottom w:val="none" w:sz="0" w:space="0" w:color="auto"/>
            <w:right w:val="none" w:sz="0" w:space="0" w:color="auto"/>
          </w:divBdr>
          <w:divsChild>
            <w:div w:id="1204755759">
              <w:marLeft w:val="0"/>
              <w:marRight w:val="0"/>
              <w:marTop w:val="0"/>
              <w:marBottom w:val="0"/>
              <w:divBdr>
                <w:top w:val="single" w:sz="6" w:space="0" w:color="999999"/>
                <w:left w:val="single" w:sz="6" w:space="0" w:color="999999"/>
                <w:bottom w:val="single" w:sz="6" w:space="0" w:color="999999"/>
                <w:right w:val="single" w:sz="6" w:space="0" w:color="999999"/>
              </w:divBdr>
              <w:divsChild>
                <w:div w:id="18449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127">
          <w:marLeft w:val="210"/>
          <w:marRight w:val="0"/>
          <w:marTop w:val="0"/>
          <w:marBottom w:val="225"/>
          <w:divBdr>
            <w:top w:val="none" w:sz="0" w:space="0" w:color="auto"/>
            <w:left w:val="none" w:sz="0" w:space="0" w:color="auto"/>
            <w:bottom w:val="none" w:sz="0" w:space="0" w:color="auto"/>
            <w:right w:val="none" w:sz="0" w:space="0" w:color="auto"/>
          </w:divBdr>
          <w:divsChild>
            <w:div w:id="1533154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5920589">
      <w:bodyDiv w:val="1"/>
      <w:marLeft w:val="0"/>
      <w:marRight w:val="0"/>
      <w:marTop w:val="0"/>
      <w:marBottom w:val="0"/>
      <w:divBdr>
        <w:top w:val="none" w:sz="0" w:space="0" w:color="auto"/>
        <w:left w:val="none" w:sz="0" w:space="0" w:color="auto"/>
        <w:bottom w:val="none" w:sz="0" w:space="0" w:color="auto"/>
        <w:right w:val="none" w:sz="0" w:space="0" w:color="auto"/>
      </w:divBdr>
    </w:div>
    <w:div w:id="628516606">
      <w:bodyDiv w:val="1"/>
      <w:marLeft w:val="0"/>
      <w:marRight w:val="0"/>
      <w:marTop w:val="0"/>
      <w:marBottom w:val="0"/>
      <w:divBdr>
        <w:top w:val="none" w:sz="0" w:space="0" w:color="auto"/>
        <w:left w:val="none" w:sz="0" w:space="0" w:color="auto"/>
        <w:bottom w:val="none" w:sz="0" w:space="0" w:color="auto"/>
        <w:right w:val="none" w:sz="0" w:space="0" w:color="auto"/>
      </w:divBdr>
    </w:div>
    <w:div w:id="686176968">
      <w:bodyDiv w:val="1"/>
      <w:marLeft w:val="0"/>
      <w:marRight w:val="0"/>
      <w:marTop w:val="0"/>
      <w:marBottom w:val="0"/>
      <w:divBdr>
        <w:top w:val="none" w:sz="0" w:space="0" w:color="auto"/>
        <w:left w:val="none" w:sz="0" w:space="0" w:color="auto"/>
        <w:bottom w:val="none" w:sz="0" w:space="0" w:color="auto"/>
        <w:right w:val="none" w:sz="0" w:space="0" w:color="auto"/>
      </w:divBdr>
    </w:div>
    <w:div w:id="746998878">
      <w:bodyDiv w:val="1"/>
      <w:marLeft w:val="0"/>
      <w:marRight w:val="0"/>
      <w:marTop w:val="0"/>
      <w:marBottom w:val="0"/>
      <w:divBdr>
        <w:top w:val="none" w:sz="0" w:space="0" w:color="auto"/>
        <w:left w:val="none" w:sz="0" w:space="0" w:color="auto"/>
        <w:bottom w:val="none" w:sz="0" w:space="0" w:color="auto"/>
        <w:right w:val="none" w:sz="0" w:space="0" w:color="auto"/>
      </w:divBdr>
    </w:div>
    <w:div w:id="877545245">
      <w:bodyDiv w:val="1"/>
      <w:marLeft w:val="0"/>
      <w:marRight w:val="0"/>
      <w:marTop w:val="0"/>
      <w:marBottom w:val="0"/>
      <w:divBdr>
        <w:top w:val="none" w:sz="0" w:space="0" w:color="auto"/>
        <w:left w:val="none" w:sz="0" w:space="0" w:color="auto"/>
        <w:bottom w:val="none" w:sz="0" w:space="0" w:color="auto"/>
        <w:right w:val="none" w:sz="0" w:space="0" w:color="auto"/>
      </w:divBdr>
    </w:div>
    <w:div w:id="1093892336">
      <w:bodyDiv w:val="1"/>
      <w:marLeft w:val="0"/>
      <w:marRight w:val="0"/>
      <w:marTop w:val="0"/>
      <w:marBottom w:val="0"/>
      <w:divBdr>
        <w:top w:val="none" w:sz="0" w:space="0" w:color="auto"/>
        <w:left w:val="none" w:sz="0" w:space="0" w:color="auto"/>
        <w:bottom w:val="none" w:sz="0" w:space="0" w:color="auto"/>
        <w:right w:val="none" w:sz="0" w:space="0" w:color="auto"/>
      </w:divBdr>
    </w:div>
    <w:div w:id="1124811862">
      <w:bodyDiv w:val="1"/>
      <w:marLeft w:val="0"/>
      <w:marRight w:val="0"/>
      <w:marTop w:val="0"/>
      <w:marBottom w:val="0"/>
      <w:divBdr>
        <w:top w:val="none" w:sz="0" w:space="0" w:color="auto"/>
        <w:left w:val="none" w:sz="0" w:space="0" w:color="auto"/>
        <w:bottom w:val="none" w:sz="0" w:space="0" w:color="auto"/>
        <w:right w:val="none" w:sz="0" w:space="0" w:color="auto"/>
      </w:divBdr>
    </w:div>
    <w:div w:id="1534540486">
      <w:bodyDiv w:val="1"/>
      <w:marLeft w:val="0"/>
      <w:marRight w:val="0"/>
      <w:marTop w:val="0"/>
      <w:marBottom w:val="0"/>
      <w:divBdr>
        <w:top w:val="none" w:sz="0" w:space="0" w:color="auto"/>
        <w:left w:val="none" w:sz="0" w:space="0" w:color="auto"/>
        <w:bottom w:val="none" w:sz="0" w:space="0" w:color="auto"/>
        <w:right w:val="none" w:sz="0" w:space="0" w:color="auto"/>
      </w:divBdr>
      <w:divsChild>
        <w:div w:id="1516190941">
          <w:marLeft w:val="0"/>
          <w:marRight w:val="0"/>
          <w:marTop w:val="0"/>
          <w:marBottom w:val="225"/>
          <w:divBdr>
            <w:top w:val="none" w:sz="0" w:space="0" w:color="auto"/>
            <w:left w:val="none" w:sz="0" w:space="0" w:color="auto"/>
            <w:bottom w:val="none" w:sz="0" w:space="0" w:color="auto"/>
            <w:right w:val="none" w:sz="0" w:space="0" w:color="auto"/>
          </w:divBdr>
          <w:divsChild>
            <w:div w:id="1432434220">
              <w:marLeft w:val="0"/>
              <w:marRight w:val="0"/>
              <w:marTop w:val="0"/>
              <w:marBottom w:val="0"/>
              <w:divBdr>
                <w:top w:val="single" w:sz="6" w:space="0" w:color="999999"/>
                <w:left w:val="single" w:sz="6" w:space="0" w:color="999999"/>
                <w:bottom w:val="single" w:sz="6" w:space="0" w:color="999999"/>
                <w:right w:val="single" w:sz="6" w:space="0" w:color="999999"/>
              </w:divBdr>
              <w:divsChild>
                <w:div w:id="11738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6908">
          <w:marLeft w:val="210"/>
          <w:marRight w:val="0"/>
          <w:marTop w:val="0"/>
          <w:marBottom w:val="225"/>
          <w:divBdr>
            <w:top w:val="none" w:sz="0" w:space="0" w:color="auto"/>
            <w:left w:val="none" w:sz="0" w:space="0" w:color="auto"/>
            <w:bottom w:val="none" w:sz="0" w:space="0" w:color="auto"/>
            <w:right w:val="none" w:sz="0" w:space="0" w:color="auto"/>
          </w:divBdr>
          <w:divsChild>
            <w:div w:id="122315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262223">
      <w:bodyDiv w:val="1"/>
      <w:marLeft w:val="0"/>
      <w:marRight w:val="0"/>
      <w:marTop w:val="0"/>
      <w:marBottom w:val="0"/>
      <w:divBdr>
        <w:top w:val="none" w:sz="0" w:space="0" w:color="auto"/>
        <w:left w:val="none" w:sz="0" w:space="0" w:color="auto"/>
        <w:bottom w:val="none" w:sz="0" w:space="0" w:color="auto"/>
        <w:right w:val="none" w:sz="0" w:space="0" w:color="auto"/>
      </w:divBdr>
      <w:divsChild>
        <w:div w:id="659581338">
          <w:marLeft w:val="0"/>
          <w:marRight w:val="0"/>
          <w:marTop w:val="0"/>
          <w:marBottom w:val="0"/>
          <w:divBdr>
            <w:top w:val="none" w:sz="0" w:space="0" w:color="auto"/>
            <w:left w:val="none" w:sz="0" w:space="0" w:color="auto"/>
            <w:bottom w:val="none" w:sz="0" w:space="0" w:color="auto"/>
            <w:right w:val="none" w:sz="0" w:space="0" w:color="auto"/>
          </w:divBdr>
        </w:div>
        <w:div w:id="1270896419">
          <w:marLeft w:val="0"/>
          <w:marRight w:val="0"/>
          <w:marTop w:val="0"/>
          <w:marBottom w:val="0"/>
          <w:divBdr>
            <w:top w:val="none" w:sz="0" w:space="0" w:color="auto"/>
            <w:left w:val="none" w:sz="0" w:space="0" w:color="auto"/>
            <w:bottom w:val="none" w:sz="0" w:space="0" w:color="auto"/>
            <w:right w:val="none" w:sz="0" w:space="0" w:color="auto"/>
          </w:divBdr>
          <w:divsChild>
            <w:div w:id="1767920785">
              <w:marLeft w:val="0"/>
              <w:marRight w:val="0"/>
              <w:marTop w:val="0"/>
              <w:marBottom w:val="0"/>
              <w:divBdr>
                <w:top w:val="none" w:sz="0" w:space="0" w:color="auto"/>
                <w:left w:val="none" w:sz="0" w:space="0" w:color="auto"/>
                <w:bottom w:val="none" w:sz="0" w:space="0" w:color="auto"/>
                <w:right w:val="none" w:sz="0" w:space="0" w:color="auto"/>
              </w:divBdr>
            </w:div>
            <w:div w:id="1509906350">
              <w:marLeft w:val="0"/>
              <w:marRight w:val="0"/>
              <w:marTop w:val="0"/>
              <w:marBottom w:val="0"/>
              <w:divBdr>
                <w:top w:val="none" w:sz="0" w:space="0" w:color="auto"/>
                <w:left w:val="none" w:sz="0" w:space="0" w:color="auto"/>
                <w:bottom w:val="none" w:sz="0" w:space="0" w:color="auto"/>
                <w:right w:val="none" w:sz="0" w:space="0" w:color="auto"/>
              </w:divBdr>
            </w:div>
          </w:divsChild>
        </w:div>
        <w:div w:id="1950773661">
          <w:marLeft w:val="0"/>
          <w:marRight w:val="0"/>
          <w:marTop w:val="0"/>
          <w:marBottom w:val="0"/>
          <w:divBdr>
            <w:top w:val="none" w:sz="0" w:space="0" w:color="auto"/>
            <w:left w:val="none" w:sz="0" w:space="0" w:color="auto"/>
            <w:bottom w:val="none" w:sz="0" w:space="0" w:color="auto"/>
            <w:right w:val="none" w:sz="0" w:space="0" w:color="auto"/>
          </w:divBdr>
          <w:divsChild>
            <w:div w:id="2064668265">
              <w:marLeft w:val="0"/>
              <w:marRight w:val="0"/>
              <w:marTop w:val="0"/>
              <w:marBottom w:val="0"/>
              <w:divBdr>
                <w:top w:val="none" w:sz="0" w:space="0" w:color="auto"/>
                <w:left w:val="none" w:sz="0" w:space="0" w:color="auto"/>
                <w:bottom w:val="none" w:sz="0" w:space="0" w:color="auto"/>
                <w:right w:val="none" w:sz="0" w:space="0" w:color="auto"/>
              </w:divBdr>
            </w:div>
            <w:div w:id="242419332">
              <w:marLeft w:val="0"/>
              <w:marRight w:val="0"/>
              <w:marTop w:val="0"/>
              <w:marBottom w:val="0"/>
              <w:divBdr>
                <w:top w:val="none" w:sz="0" w:space="0" w:color="auto"/>
                <w:left w:val="none" w:sz="0" w:space="0" w:color="auto"/>
                <w:bottom w:val="none" w:sz="0" w:space="0" w:color="auto"/>
                <w:right w:val="none" w:sz="0" w:space="0" w:color="auto"/>
              </w:divBdr>
            </w:div>
          </w:divsChild>
        </w:div>
        <w:div w:id="1219779822">
          <w:marLeft w:val="0"/>
          <w:marRight w:val="0"/>
          <w:marTop w:val="0"/>
          <w:marBottom w:val="0"/>
          <w:divBdr>
            <w:top w:val="none" w:sz="0" w:space="0" w:color="auto"/>
            <w:left w:val="none" w:sz="0" w:space="0" w:color="auto"/>
            <w:bottom w:val="none" w:sz="0" w:space="0" w:color="auto"/>
            <w:right w:val="none" w:sz="0" w:space="0" w:color="auto"/>
          </w:divBdr>
        </w:div>
        <w:div w:id="1200095675">
          <w:marLeft w:val="0"/>
          <w:marRight w:val="0"/>
          <w:marTop w:val="0"/>
          <w:marBottom w:val="0"/>
          <w:divBdr>
            <w:top w:val="none" w:sz="0" w:space="0" w:color="auto"/>
            <w:left w:val="none" w:sz="0" w:space="0" w:color="auto"/>
            <w:bottom w:val="none" w:sz="0" w:space="0" w:color="auto"/>
            <w:right w:val="none" w:sz="0" w:space="0" w:color="auto"/>
          </w:divBdr>
        </w:div>
      </w:divsChild>
    </w:div>
    <w:div w:id="20885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uroparl.europa.eu/election-results-2019/en/turnout/"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e-ir.info/2020/04/15/the-european-union-identity-an-overvi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uforbih.org/index.php/about-eufor/backgroun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ews.trust.org/item/20151218192950-6vll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past.eu" TargetMode="External"/><Relationship Id="rId23" Type="http://schemas.openxmlformats.org/officeDocument/2006/relationships/hyperlink" Target="https://www.ictj.org/about/transitional-justic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ictj.org/our-work/regions-and-countries/cyprus" TargetMode="Externa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urope-for-citizens/projects/efc-project-details-page/?nodeRef=workspace://SpacesStore/2c801b72-aa8f-4872-b6a6-92626b061de0" TargetMode="External"/><Relationship Id="rId13" Type="http://schemas.openxmlformats.org/officeDocument/2006/relationships/hyperlink" Target="https://www.memoryandconscience.eu/official-documents-of-the-european-parliament/statute-and-agreement/" TargetMode="External"/><Relationship Id="rId18" Type="http://schemas.openxmlformats.org/officeDocument/2006/relationships/hyperlink" Target="https://eeas.europa.eu/archives/docs/top_stories/pdf/the_eus_policy_framework_on_support_to_transitional_justice.pdf" TargetMode="External"/><Relationship Id="rId3" Type="http://schemas.openxmlformats.org/officeDocument/2006/relationships/hyperlink" Target="https://www.e-ir.info/2020/04/15/the-european-union-identity-an-overview/" TargetMode="External"/><Relationship Id="rId21" Type="http://schemas.openxmlformats.org/officeDocument/2006/relationships/hyperlink" Target="https://ec.europa.eu/regional_policy/en/policy/themes/northern-ireland-peace-programme/" TargetMode="External"/><Relationship Id="rId7" Type="http://schemas.openxmlformats.org/officeDocument/2006/relationships/hyperlink" Target="https://ec.europa.eu/programmes/europe-for-citizens/projects/efc-projects-compendium/" TargetMode="External"/><Relationship Id="rId12" Type="http://schemas.openxmlformats.org/officeDocument/2006/relationships/hyperlink" Target="https://www.memoryandconscience.eu/" TargetMode="External"/><Relationship Id="rId17" Type="http://schemas.openxmlformats.org/officeDocument/2006/relationships/hyperlink" Target="https://ec.europa.eu/anti-trafficking/sites/default/files/action-plan-on-human-rights-and-democracy-2015-2019_en.pdf" TargetMode="External"/><Relationship Id="rId2" Type="http://schemas.openxmlformats.org/officeDocument/2006/relationships/hyperlink" Target="https://www.europarl.europa.eu/election-results-2019/en/turnout/" TargetMode="External"/><Relationship Id="rId16" Type="http://schemas.openxmlformats.org/officeDocument/2006/relationships/hyperlink" Target="http://www.euforbih.org/index.php/about-eufor/background" TargetMode="External"/><Relationship Id="rId20" Type="http://schemas.openxmlformats.org/officeDocument/2006/relationships/hyperlink" Target="https://ec.europa.eu/regional_policy/en/atlas/cyprus" TargetMode="External"/><Relationship Id="rId1" Type="http://schemas.openxmlformats.org/officeDocument/2006/relationships/hyperlink" Target="https://www.ictj.org/about/transitional-justice" TargetMode="External"/><Relationship Id="rId6" Type="http://schemas.openxmlformats.org/officeDocument/2006/relationships/hyperlink" Target="https://euroclio.eu/resource/connecting-europe-through-history-experiences-and-perceptions-of-migration-in-europe/" TargetMode="External"/><Relationship Id="rId11" Type="http://schemas.openxmlformats.org/officeDocument/2006/relationships/hyperlink" Target="https://praguedeclaration.eu/" TargetMode="External"/><Relationship Id="rId24" Type="http://schemas.openxmlformats.org/officeDocument/2006/relationships/hyperlink" Target="https://www.ictj.org/our-work/regions-and-countries/cyprus" TargetMode="External"/><Relationship Id="rId5" Type="http://schemas.openxmlformats.org/officeDocument/2006/relationships/hyperlink" Target="https://www.europarl.europa.eu/doceo/document/E-7-2012-005300-ASW_EN.html" TargetMode="External"/><Relationship Id="rId15" Type="http://schemas.openxmlformats.org/officeDocument/2006/relationships/hyperlink" Target="https://news.trust.org/item/20151218192950-6vlly" TargetMode="External"/><Relationship Id="rId23" Type="http://schemas.openxmlformats.org/officeDocument/2006/relationships/hyperlink" Target="https://ec.europa.eu/commission/presscorner/detail/en/PRES_03_163" TargetMode="External"/><Relationship Id="rId10" Type="http://schemas.openxmlformats.org/officeDocument/2006/relationships/hyperlink" Target="https://eureconciliation.wordpress.com/" TargetMode="External"/><Relationship Id="rId19" Type="http://schemas.openxmlformats.org/officeDocument/2006/relationships/hyperlink" Target="https://eeas.europa.eu/headquarters/headquarters-homepage_en/8437/EU%20Annual%20Reports%20on%20Human%20Rights%20and%20Democracy" TargetMode="External"/><Relationship Id="rId4" Type="http://schemas.openxmlformats.org/officeDocument/2006/relationships/hyperlink" Target="https://www.europarl.europa.eu/doceo/document/E-7-2012-005300_EN.html" TargetMode="External"/><Relationship Id="rId9" Type="http://schemas.openxmlformats.org/officeDocument/2006/relationships/hyperlink" Target="https://ec.europa.eu/programmes/europe-for-citizens/projects/efc-project-details-page/?nodeRef=workspace://SpacesStore/51f89423-6712-49ca-a8fa-37454b13375b" TargetMode="External"/><Relationship Id="rId14" Type="http://schemas.openxmlformats.org/officeDocument/2006/relationships/hyperlink" Target="https://eeas.europa.eu/headquarters/headquarters-homepage/83616/eu-csdp-missions-and-operations_en" TargetMode="External"/><Relationship Id="rId22" Type="http://schemas.openxmlformats.org/officeDocument/2006/relationships/hyperlink" Target="https://www.consilium.europa.eu/media/21225/729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A8A0C29C9FD469715931C3A415A65" ma:contentTypeVersion="15" ma:contentTypeDescription="Create a new document." ma:contentTypeScope="" ma:versionID="e508112f32340385d0d84f021fa89eea">
  <xsd:schema xmlns:xsd="http://www.w3.org/2001/XMLSchema" xmlns:xs="http://www.w3.org/2001/XMLSchema" xmlns:p="http://schemas.microsoft.com/office/2006/metadata/properties" xmlns:ns1="http://schemas.microsoft.com/sharepoint/v3" xmlns:ns3="74af9475-0763-44f9-9e37-ac2320730b89" xmlns:ns4="ddcea839-c019-4bf9-9741-5108bc354bc5" targetNamespace="http://schemas.microsoft.com/office/2006/metadata/properties" ma:root="true" ma:fieldsID="31f7aef19478d21107a29f99ceb78dc1" ns1:_="" ns3:_="" ns4:_="">
    <xsd:import namespace="http://schemas.microsoft.com/sharepoint/v3"/>
    <xsd:import namespace="74af9475-0763-44f9-9e37-ac2320730b89"/>
    <xsd:import namespace="ddcea839-c019-4bf9-9741-5108bc354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f9475-0763-44f9-9e37-ac2320730b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ea839-c019-4bf9-9741-5108bc354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2666-7322-4040-AABA-5EEB0B3486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BEE5D5-A1E8-4A1E-A65B-8B9A26D0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af9475-0763-44f9-9e37-ac2320730b89"/>
    <ds:schemaRef ds:uri="ddcea839-c019-4bf9-9741-5108bc354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24A8D-7228-44F1-8F5A-D6A079C5704E}">
  <ds:schemaRefs>
    <ds:schemaRef ds:uri="http://schemas.microsoft.com/sharepoint/v3/contenttype/forms"/>
  </ds:schemaRefs>
</ds:datastoreItem>
</file>

<file path=customXml/itemProps4.xml><?xml version="1.0" encoding="utf-8"?>
<ds:datastoreItem xmlns:ds="http://schemas.openxmlformats.org/officeDocument/2006/customXml" ds:itemID="{E184AC7B-8C51-417E-B451-7C10587C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11444</Words>
  <Characters>65232</Characters>
  <Application>Microsoft Office Word</Application>
  <DocSecurity>0</DocSecurity>
  <Lines>543</Lines>
  <Paragraphs>153</Paragraphs>
  <ScaleCrop>false</ScaleCrop>
  <Company>@</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dc:title>
  <dc:subject/>
  <dc:creator>dimi</dc:creator>
  <cp:keywords/>
  <dc:description/>
  <cp:lastModifiedBy>Sweeney, James</cp:lastModifiedBy>
  <cp:revision>2</cp:revision>
  <dcterms:created xsi:type="dcterms:W3CDTF">2024-02-09T17:09:00Z</dcterms:created>
  <dcterms:modified xsi:type="dcterms:W3CDTF">2024-02-09T17:09:00Z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kennetan@uia.no</vt:lpwstr>
  </property>
  <property fmtid="{D5CDD505-2E9C-101B-9397-08002B2CF9AE}" pid="5" name="MSIP_Label_92684840-629b-41cd-9b8c-5e9eea511f17_SetDate">
    <vt:lpwstr>2020-03-16T15:21:40.7181931Z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ActionId">
    <vt:lpwstr>f7e56d75-bc03-4e28-9587-68ca52f130d0</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kennetan@uia.no</vt:lpwstr>
  </property>
  <property fmtid="{D5CDD505-2E9C-101B-9397-08002B2CF9AE}" pid="13" name="MSIP_Label_b4114459-e220-4ae9-b339-4ebe6008cdd4_SetDate">
    <vt:lpwstr>2020-03-16T15:21:40.7186872Z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ActionId">
    <vt:lpwstr>f7e56d75-bc03-4e28-9587-68ca52f130d0</vt:lpwstr>
  </property>
  <property fmtid="{D5CDD505-2E9C-101B-9397-08002B2CF9AE}" pid="17" name="MSIP_Label_b4114459-e220-4ae9-b339-4ebe6008cdd4_Parent">
    <vt:lpwstr>92684840-629b-41cd-9b8c-5e9eea511f17</vt:lpwstr>
  </property>
  <property fmtid="{D5CDD505-2E9C-101B-9397-08002B2CF9AE}" pid="18" name="MSIP_Label_b4114459-e220-4ae9-b339-4ebe6008cdd4_Extended_MSFT_Method">
    <vt:lpwstr>Automatic</vt:lpwstr>
  </property>
  <property fmtid="{D5CDD505-2E9C-101B-9397-08002B2CF9AE}" pid="19" name="Sensitivity">
    <vt:lpwstr>Internal Normal</vt:lpwstr>
  </property>
  <property fmtid="{D5CDD505-2E9C-101B-9397-08002B2CF9AE}" pid="20" name="ContentTypeId">
    <vt:lpwstr>0x010100259A8A0C29C9FD469715931C3A415A65</vt:lpwstr>
  </property>
</Properties>
</file>