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55B" w:rsidRDefault="00A650F5" w:rsidP="00E7659F">
      <w:pPr>
        <w:pStyle w:val="Heading1"/>
      </w:pPr>
      <w:bookmarkStart w:id="0" w:name="_GoBack"/>
      <w:bookmarkEnd w:id="0"/>
      <w:r>
        <w:t>“</w:t>
      </w:r>
      <w:r w:rsidRPr="00BA1AFD">
        <w:rPr>
          <w:i/>
        </w:rPr>
        <w:t>A Day in the Life</w:t>
      </w:r>
      <w:r>
        <w:t>” –</w:t>
      </w:r>
      <w:r w:rsidR="007D34C6">
        <w:t xml:space="preserve"> </w:t>
      </w:r>
      <w:r>
        <w:t xml:space="preserve">a </w:t>
      </w:r>
      <w:r w:rsidR="007D34C6">
        <w:t xml:space="preserve">still </w:t>
      </w:r>
      <w:r>
        <w:t>developing methodology</w:t>
      </w:r>
    </w:p>
    <w:p w:rsidR="006E3AB0" w:rsidRDefault="006E3AB0"/>
    <w:p w:rsidR="00BA1AFD" w:rsidRDefault="00BA1AFD">
      <w:r>
        <w:t xml:space="preserve">Introductory paper prior to a presentation to Working Group 1: </w:t>
      </w:r>
      <w:r w:rsidR="00C96A5B">
        <w:t xml:space="preserve">Digital Literacy in Homes and Communities, The Digital Literacy and Multimodal Practices of Young Children, </w:t>
      </w:r>
      <w:proofErr w:type="spellStart"/>
      <w:r w:rsidR="00C96A5B">
        <w:t>DigiLitEY</w:t>
      </w:r>
      <w:proofErr w:type="spellEnd"/>
      <w:r w:rsidR="00C96A5B">
        <w:t>,</w:t>
      </w:r>
      <w:r w:rsidR="006E3AB0">
        <w:t xml:space="preserve"> COST </w:t>
      </w:r>
      <w:r w:rsidR="00C96A5B">
        <w:t xml:space="preserve">European Cooperation in Science and Technology project meeting, Cyprus, 17-18 March, 2015.  </w:t>
      </w:r>
    </w:p>
    <w:p w:rsidR="00A650F5" w:rsidRDefault="00A650F5"/>
    <w:p w:rsidR="00A650F5" w:rsidRDefault="00A650F5">
      <w:proofErr w:type="gramStart"/>
      <w:r>
        <w:t>Julia Gillen, Lancaster University</w:t>
      </w:r>
      <w:r w:rsidR="00BA1AFD">
        <w:t>, UK.</w:t>
      </w:r>
      <w:proofErr w:type="gramEnd"/>
    </w:p>
    <w:p w:rsidR="00A650F5" w:rsidRDefault="00A650F5"/>
    <w:p w:rsidR="00A650F5" w:rsidRDefault="00A650F5"/>
    <w:p w:rsidR="00C96A5B" w:rsidRPr="00E7659F" w:rsidRDefault="00C96A5B" w:rsidP="00E7659F">
      <w:pPr>
        <w:pStyle w:val="Heading2"/>
      </w:pPr>
      <w:r w:rsidRPr="00E7659F">
        <w:t>Introduction</w:t>
      </w:r>
    </w:p>
    <w:p w:rsidR="00A650F5" w:rsidRDefault="00BA1AFD">
      <w:r>
        <w:t>It</w:t>
      </w:r>
      <w:r w:rsidR="00C96A5B">
        <w:t xml:space="preserve"> is now 15</w:t>
      </w:r>
      <w:r>
        <w:t xml:space="preserve"> years’ ago that Ann Cameron and I began discussing our ideas for a methodology that we felt was flexible and yet rigorous enough to study young, resilient children in diverse settings around the globe.  The purpose of this short paper is to introduce the research design, explore a few aspects of </w:t>
      </w:r>
      <w:r w:rsidR="0017718E">
        <w:t xml:space="preserve">the methodology </w:t>
      </w:r>
      <w:r>
        <w:t>in practice and extremely briefl</w:t>
      </w:r>
      <w:r w:rsidR="0028515D">
        <w:t>y outline projects</w:t>
      </w:r>
      <w:r>
        <w:t xml:space="preserve"> it has been applied to.  This is not going to be </w:t>
      </w:r>
      <w:proofErr w:type="gramStart"/>
      <w:r w:rsidR="00A62626">
        <w:t>include</w:t>
      </w:r>
      <w:proofErr w:type="gramEnd"/>
      <w:r w:rsidR="00A62626">
        <w:t xml:space="preserve"> </w:t>
      </w:r>
      <w:r w:rsidR="0017718E">
        <w:t>findings</w:t>
      </w:r>
      <w:r>
        <w:t xml:space="preserve">, and </w:t>
      </w:r>
      <w:r w:rsidR="00A62626">
        <w:t xml:space="preserve">is </w:t>
      </w:r>
      <w:r>
        <w:t xml:space="preserve">not even a sketch towards evaluation.  </w:t>
      </w:r>
      <w:r w:rsidR="00A62626">
        <w:t>Further, it is un</w:t>
      </w:r>
      <w:r>
        <w:t xml:space="preserve">characteristic of the </w:t>
      </w:r>
      <w:r w:rsidR="00A62626" w:rsidRPr="00A62626">
        <w:rPr>
          <w:i/>
        </w:rPr>
        <w:t>day in the life</w:t>
      </w:r>
      <w:r w:rsidR="00A62626">
        <w:t xml:space="preserve"> projects that have always</w:t>
      </w:r>
      <w:r>
        <w:t xml:space="preserve"> stressed the idea of research as a collaborative endeavour and produced </w:t>
      </w:r>
      <w:r w:rsidRPr="0017718E">
        <w:rPr>
          <w:i/>
        </w:rPr>
        <w:t>Day in the Life</w:t>
      </w:r>
      <w:r>
        <w:t xml:space="preserve"> outputs co-authored in many different, international co-authoring teams. </w:t>
      </w:r>
      <w:r w:rsidR="006E3AB0">
        <w:t xml:space="preserve">(See the </w:t>
      </w:r>
      <w:hyperlink r:id="rId9" w:history="1">
        <w:r w:rsidR="006E3AB0" w:rsidRPr="006E3AB0">
          <w:rPr>
            <w:rStyle w:val="Hyperlink"/>
          </w:rPr>
          <w:t>project website</w:t>
        </w:r>
      </w:hyperlink>
      <w:r w:rsidR="006E3AB0">
        <w:t xml:space="preserve">). </w:t>
      </w:r>
      <w:r>
        <w:t xml:space="preserve">In this much more modest individual introduction I will </w:t>
      </w:r>
      <w:r w:rsidR="00A62626">
        <w:t xml:space="preserve">draw on some of our co-authored work and </w:t>
      </w:r>
      <w:proofErr w:type="spellStart"/>
      <w:r w:rsidR="00A62626">
        <w:t>and</w:t>
      </w:r>
      <w:proofErr w:type="spellEnd"/>
      <w:r w:rsidR="00A62626">
        <w:t xml:space="preserve"> </w:t>
      </w:r>
      <w:r>
        <w:t xml:space="preserve">introduce a few reflections that I hope will be of interest to researchers new to the </w:t>
      </w:r>
      <w:r w:rsidRPr="00BA1AFD">
        <w:rPr>
          <w:i/>
        </w:rPr>
        <w:t>Day in the Life</w:t>
      </w:r>
      <w:r>
        <w:t xml:space="preserve"> methodology. </w:t>
      </w:r>
      <w:r w:rsidR="0017718E">
        <w:t xml:space="preserve">  </w:t>
      </w:r>
    </w:p>
    <w:p w:rsidR="00BA1AFD" w:rsidRDefault="00BA1AFD"/>
    <w:p w:rsidR="00BA1AFD" w:rsidRDefault="00BA1AFD" w:rsidP="00E7659F">
      <w:pPr>
        <w:pStyle w:val="Heading2"/>
      </w:pPr>
      <w:r>
        <w:t xml:space="preserve">Aims of the </w:t>
      </w:r>
      <w:r w:rsidRPr="00BA1AFD">
        <w:rPr>
          <w:i/>
        </w:rPr>
        <w:t>Day in the Life</w:t>
      </w:r>
      <w:r>
        <w:t xml:space="preserve"> methodology</w:t>
      </w:r>
    </w:p>
    <w:p w:rsidR="00BA1AFD" w:rsidRDefault="006A34E4">
      <w:r>
        <w:t xml:space="preserve">Our project design emerged in our attempts to recognise the diversity, across the globe, in the wellbeing of young children.  We assumed, with </w:t>
      </w:r>
      <w:r>
        <w:fldChar w:fldCharType="begin" w:fldLock="1"/>
      </w:r>
      <w:r w:rsidR="00F35267">
        <w:instrText>ADDIN CSL_CITATION { "citationItems" : [ { "id" : "ITEM-1", "itemData" : { "author" : [ { "dropping-particle" : "", "family" : "Nsamenang", "given" : "A.B.", "non-dropping-particle" : "", "parse-names" : false, "suffix" : "" } ], "id" : "ITEM-1", "issued" : { "date-parts" : [ [ "1992" ] ] }, "publisher" : "Teachers College Press", "publisher-place" : "New York", "title" : "Human development in cultural context: a third wolrd perspective", "type" : "book" }, "uris" : [ "http://www.mendeley.com/documents/?uuid=d0d9484f-6680-4fc8-8791-576a51220bed" ] } ], "mendeley" : { "formattedCitation" : "(Nsamenang, 1992)", "manualFormatting" : "Nsamenang (1992)", "plainTextFormattedCitation" : "(Nsamenang, 1992)", "previouslyFormattedCitation" : "(Nsamenang, 1992)" }, "properties" : { "noteIndex" : 0 }, "schema" : "https://github.com/citation-style-language/schema/raw/master/csl-citation.json" }</w:instrText>
      </w:r>
      <w:r>
        <w:fldChar w:fldCharType="separate"/>
      </w:r>
      <w:r w:rsidR="00F35267">
        <w:rPr>
          <w:noProof/>
        </w:rPr>
        <w:t>Nsamenang</w:t>
      </w:r>
      <w:r w:rsidRPr="006A34E4">
        <w:rPr>
          <w:noProof/>
        </w:rPr>
        <w:t xml:space="preserve"> </w:t>
      </w:r>
      <w:r w:rsidR="00F35267">
        <w:rPr>
          <w:noProof/>
        </w:rPr>
        <w:t>(</w:t>
      </w:r>
      <w:r w:rsidRPr="006A34E4">
        <w:rPr>
          <w:noProof/>
        </w:rPr>
        <w:t>1992)</w:t>
      </w:r>
      <w:r>
        <w:fldChar w:fldCharType="end"/>
      </w:r>
      <w:r>
        <w:t xml:space="preserve">, that the human endeavour to raise thriving children is recognisable across communities, while notions of </w:t>
      </w:r>
      <w:r w:rsidR="00F35267">
        <w:t xml:space="preserve">what this means will vary.  Starting our projects by explaining to our participants that we want to share and explore their perspective on the child as generally ‘growing up well’ brings us into a participatory way of working.  This is the desire to develop emic understandings that characterises holistic or ethnographic approaches, contrary to those that proclaim objectivity and apply external measures of assessment </w:t>
      </w:r>
      <w:r w:rsidR="00F35267">
        <w:fldChar w:fldCharType="begin" w:fldLock="1"/>
      </w:r>
      <w:r w:rsidR="00F35267">
        <w:instrText>ADDIN CSL_CITATION { "citationItems" : [ { "id" : "ITEM-1", "itemData" : { "editor" : [ { "dropping-particle" : "", "family" : "Jessor", "given" : "R", "non-dropping-particle" : "", "parse-names" : false, "suffix" : "" }, { "dropping-particle" : "", "family" : "Colby", "given" : "A", "non-dropping-particle" : "", "parse-names" : false, "suffix" : "" }, { "dropping-particle" : "", "family" : "Shweder", "given" : "R", "non-dropping-particle" : "", "parse-names" : false, "suffix" : "" } ], "id" : "ITEM-1", "issued" : { "date-parts" : [ [ "1996" ] ] }, "publisher" : "University of Chicago Press", "publisher-place" : "Chicago", "title" : "Ethnography and human development: context and meaning in social inquiry", "type" : "book" }, "uris" : [ "http://www.mendeley.com/documents/?uuid=7ba208ca-9ff0-47ac-98e0-3cb4c1da8798" ] } ], "mendeley" : { "formattedCitation" : "(Jessor, Colby, &amp; Shweder, 1996)", "plainTextFormattedCitation" : "(Jessor, Colby, &amp; Shweder, 1996)", "previouslyFormattedCitation" : "(Jessor, Colby, &amp; Shweder, 1996)" }, "properties" : { "noteIndex" : 0 }, "schema" : "https://github.com/citation-style-language/schema/raw/master/csl-citation.json" }</w:instrText>
      </w:r>
      <w:r w:rsidR="00F35267">
        <w:fldChar w:fldCharType="separate"/>
      </w:r>
      <w:r w:rsidR="00F35267" w:rsidRPr="00F35267">
        <w:rPr>
          <w:noProof/>
        </w:rPr>
        <w:t>(Jessor, Colby, &amp; Shweder, 1996)</w:t>
      </w:r>
      <w:r w:rsidR="00F35267">
        <w:fldChar w:fldCharType="end"/>
      </w:r>
      <w:r w:rsidR="00F35267">
        <w:t xml:space="preserve">. </w:t>
      </w:r>
    </w:p>
    <w:p w:rsidR="00F35267" w:rsidRDefault="00F35267"/>
    <w:p w:rsidR="00F35267" w:rsidRDefault="00F35267">
      <w:r>
        <w:t xml:space="preserve">We worked in multidisciplinary teams, united by a sociocultural orientation, acknowledging the specific material conditions in which human practices develop. </w:t>
      </w:r>
      <w:r w:rsidR="00650068">
        <w:t xml:space="preserve">One of our starting points was </w:t>
      </w:r>
      <w:r w:rsidR="00650068">
        <w:fldChar w:fldCharType="begin" w:fldLock="1"/>
      </w:r>
      <w:r w:rsidR="00650068">
        <w:instrText>ADDIN CSL_CITATION { "citationItems" : [ { "id" : "ITEM-1", "itemData" : { "author" : [ { "dropping-particle" : "", "family" : "Leontiev", "given" : "A.J.", "non-dropping-particle" : "", "parse-names" : false, "suffix" : "" } ], "id" : "ITEM-1", "issued" : { "date-parts" : [ [ "1978" ] ] }, "publisher" : "Prentice-Hall", "publisher-place" : "Englewood Cliffs, N.J.", "title" : "Activity, consciousness, and personality", "type" : "book" }, "uris" : [ "http://www.mendeley.com/documents/?uuid=243b6b1f-8316-4279-aaa1-e54c54c81382" ] } ], "mendeley" : { "formattedCitation" : "(Leontiev, 1978)", "manualFormatting" : "Leontiev's, (1978: 13)", "plainTextFormattedCitation" : "(Leontiev, 1978)", "previouslyFormattedCitation" : "(Leontiev, 1978)" }, "properties" : { "noteIndex" : 0 }, "schema" : "https://github.com/citation-style-language/schema/raw/master/csl-citation.json" }</w:instrText>
      </w:r>
      <w:r w:rsidR="00650068">
        <w:fldChar w:fldCharType="separate"/>
      </w:r>
      <w:r w:rsidR="00650068" w:rsidRPr="00650068">
        <w:rPr>
          <w:noProof/>
        </w:rPr>
        <w:t>Leontiev</w:t>
      </w:r>
      <w:r w:rsidR="00650068">
        <w:rPr>
          <w:noProof/>
        </w:rPr>
        <w:t>'s</w:t>
      </w:r>
      <w:r w:rsidR="00650068" w:rsidRPr="00650068">
        <w:rPr>
          <w:noProof/>
        </w:rPr>
        <w:t xml:space="preserve">, </w:t>
      </w:r>
      <w:r w:rsidR="00650068">
        <w:rPr>
          <w:noProof/>
        </w:rPr>
        <w:t>(</w:t>
      </w:r>
      <w:r w:rsidR="00650068" w:rsidRPr="00650068">
        <w:rPr>
          <w:noProof/>
        </w:rPr>
        <w:t>1978</w:t>
      </w:r>
      <w:r w:rsidR="00650068">
        <w:rPr>
          <w:noProof/>
        </w:rPr>
        <w:t>: 13</w:t>
      </w:r>
      <w:r w:rsidR="00650068" w:rsidRPr="00650068">
        <w:rPr>
          <w:noProof/>
        </w:rPr>
        <w:t>)</w:t>
      </w:r>
      <w:r w:rsidR="00650068">
        <w:fldChar w:fldCharType="end"/>
      </w:r>
      <w:r w:rsidR="00650068">
        <w:t xml:space="preserve"> assertion that cognition takes shape in activity, in multimodal interactions: </w:t>
      </w:r>
    </w:p>
    <w:p w:rsidR="00BA1AFD" w:rsidRDefault="00BA1AFD"/>
    <w:p w:rsidR="00F35267" w:rsidRPr="00650068" w:rsidRDefault="00F35267" w:rsidP="00650068">
      <w:pPr>
        <w:pStyle w:val="intdened"/>
      </w:pPr>
      <w:r w:rsidRPr="00650068">
        <w:lastRenderedPageBreak/>
        <w:t>Cognition does not exist outside the life process that in its very nature is a material, practical process. The reflection of reality arises and develops in the process of the development of real ties of cognitive people with the human world surrounding them; it is defined by these ties and, in its turn, has an effect on their development.</w:t>
      </w:r>
    </w:p>
    <w:p w:rsidR="00F35267" w:rsidRDefault="00F35267" w:rsidP="00F35267">
      <w:r>
        <w:t xml:space="preserve">Using the concept of a </w:t>
      </w:r>
      <w:r w:rsidRPr="002A52BE">
        <w:rPr>
          <w:i/>
        </w:rPr>
        <w:t>day</w:t>
      </w:r>
      <w:r>
        <w:t xml:space="preserve"> at the core of our methodology demonstrates that lies more in studying moments of being </w:t>
      </w:r>
      <w:r w:rsidRPr="00680215">
        <w:rPr>
          <w:i/>
        </w:rPr>
        <w:t>in situ</w:t>
      </w:r>
      <w:r>
        <w:t xml:space="preserve"> than investigating developmental change over time. </w:t>
      </w:r>
      <w:r w:rsidR="00650068">
        <w:t>W</w:t>
      </w:r>
      <w:r>
        <w:t xml:space="preserve">e seek by considering multiple voices from our </w:t>
      </w:r>
      <w:r w:rsidR="00650068">
        <w:t xml:space="preserve">all </w:t>
      </w:r>
      <w:r>
        <w:t>research participants</w:t>
      </w:r>
      <w:r w:rsidR="00650068">
        <w:t xml:space="preserve"> including the researchers.  Latterly I have come to make connections with </w:t>
      </w:r>
      <w:r w:rsidR="00650068">
        <w:fldChar w:fldCharType="begin" w:fldLock="1"/>
      </w:r>
      <w:r w:rsidR="00650068">
        <w:instrText>ADDIN CSL_CITATION { "citationItems" : [ { "id" : "ITEM-1", "itemData" : { "author" : [ { "dropping-particle" : "", "family" : "Law", "given" : "John", "non-dropping-particle" : "", "parse-names" : false, "suffix" : "" } ], "container-title" : "Handbook of Science and Technology Studies", "editor" : [ { "dropping-particle" : "", "family" : "Felt", "given" : "Ulrike", "non-dropping-particle" : "", "parse-names" : false, "suffix" : "" }, { "dropping-particle" : "", "family" : "Miller", "given" : "Clark", "non-dropping-particle" : "", "parse-names" : false, "suffix" : "" }, { "dropping-particle" : "", "family" : "Smith-Doerr", "given" : "Laurel", "non-dropping-particle" : "", "parse-names" : false, "suffix" : "" }, { "dropping-particle" : "", "family" : "Fouche", "given" : "Rayvon", "non-dropping-particle" : "", "parse-names" : false, "suffix" : "" } ], "id" : "ITEM-1", "issued" : { "date-parts" : [ [ "2016" ] ] }, "publisher" : "MIT Press", "publisher-place" : "Cambridge, MA", "title" : "STS as method", "type" : "chapter" }, "uris" : [ "http://www.mendeley.com/documents/?uuid=ad6fa64e-4083-4f6b-860b-25011314368a" ] } ], "mendeley" : { "formattedCitation" : "(Law, 2016)", "manualFormatting" : "Law's (2016)", "plainTextFormattedCitation" : "(Law, 2016)", "previouslyFormattedCitation" : "(Law, 2016)" }, "properties" : { "noteIndex" : 0 }, "schema" : "https://github.com/citation-style-language/schema/raw/master/csl-citation.json" }</w:instrText>
      </w:r>
      <w:r w:rsidR="00650068">
        <w:fldChar w:fldCharType="separate"/>
      </w:r>
      <w:r w:rsidR="00650068">
        <w:rPr>
          <w:noProof/>
        </w:rPr>
        <w:t>Law's (</w:t>
      </w:r>
      <w:r w:rsidR="00650068" w:rsidRPr="00650068">
        <w:rPr>
          <w:noProof/>
        </w:rPr>
        <w:t>2016)</w:t>
      </w:r>
      <w:r w:rsidR="00650068">
        <w:fldChar w:fldCharType="end"/>
      </w:r>
      <w:r w:rsidR="00650068">
        <w:t xml:space="preserve"> advocacy of </w:t>
      </w:r>
      <w:r w:rsidR="00A62626" w:rsidRPr="00A62626">
        <w:rPr>
          <w:i/>
        </w:rPr>
        <w:t>STS [</w:t>
      </w:r>
      <w:r w:rsidR="00650068" w:rsidRPr="00A62626">
        <w:rPr>
          <w:i/>
        </w:rPr>
        <w:t>science and technology studies</w:t>
      </w:r>
      <w:r w:rsidR="00A62626" w:rsidRPr="00A62626">
        <w:rPr>
          <w:i/>
        </w:rPr>
        <w:t>]</w:t>
      </w:r>
      <w:r w:rsidR="00650068" w:rsidRPr="00A62626">
        <w:rPr>
          <w:i/>
        </w:rPr>
        <w:t xml:space="preserve"> as method</w:t>
      </w:r>
      <w:r>
        <w:t xml:space="preserve">. </w:t>
      </w:r>
      <w:r w:rsidR="00650068">
        <w:t xml:space="preserve">He argues that theory making should not take place outside careful reflection on case studies, in which the knowledge making practices of the researchers are implicated.  </w:t>
      </w:r>
    </w:p>
    <w:p w:rsidR="00BA1AFD" w:rsidRDefault="00BA1AFD"/>
    <w:p w:rsidR="00BA1AFD" w:rsidRDefault="00E7659F">
      <w:r>
        <w:t>Thus, we strove towards the representation of multiple perspectives through the following:</w:t>
      </w:r>
    </w:p>
    <w:p w:rsidR="00E7659F" w:rsidRDefault="00E7659F"/>
    <w:p w:rsidR="00E7659F" w:rsidRPr="00E7659F" w:rsidRDefault="00E7659F" w:rsidP="00E7659F">
      <w:pPr>
        <w:pStyle w:val="intdened"/>
        <w:numPr>
          <w:ilvl w:val="0"/>
          <w:numId w:val="1"/>
        </w:numPr>
      </w:pPr>
      <w:r w:rsidRPr="00E7659F">
        <w:t xml:space="preserve">Utilizing the technology of video, which despite many possible limitations, such as the video </w:t>
      </w:r>
      <w:proofErr w:type="gramStart"/>
      <w:r w:rsidRPr="00E7659F">
        <w:t>camera’s</w:t>
      </w:r>
      <w:proofErr w:type="gramEnd"/>
      <w:r w:rsidRPr="00E7659F">
        <w:t xml:space="preserve"> potentially invasive presence in the </w:t>
      </w:r>
      <w:r w:rsidRPr="00E7659F">
        <w:rPr>
          <w:i/>
        </w:rPr>
        <w:t>day</w:t>
      </w:r>
      <w:r w:rsidRPr="00E7659F">
        <w:t>, does preserve such a rich record that it is amenable to analyses stemming from many points of interrogation.</w:t>
      </w:r>
    </w:p>
    <w:p w:rsidR="00E7659F" w:rsidRPr="00E7659F" w:rsidRDefault="00E7659F" w:rsidP="00E7659F">
      <w:pPr>
        <w:pStyle w:val="intdened"/>
        <w:numPr>
          <w:ilvl w:val="0"/>
          <w:numId w:val="1"/>
        </w:numPr>
      </w:pPr>
      <w:r w:rsidRPr="00E7659F">
        <w:t>Examining the central data provided in the day against the other sources including parental interviews, etc., increases the potential for a deeper understanding of the data.</w:t>
      </w:r>
    </w:p>
    <w:p w:rsidR="00E7659F" w:rsidRPr="00E7659F" w:rsidRDefault="00E7659F" w:rsidP="00E7659F">
      <w:pPr>
        <w:pStyle w:val="intdened"/>
        <w:numPr>
          <w:ilvl w:val="0"/>
          <w:numId w:val="1"/>
        </w:numPr>
      </w:pPr>
      <w:r w:rsidRPr="00E7659F">
        <w:t>Combining the researchers’ own different disciplinary, national, professional and indeed even personal standpoints in various ways, creates diverging perspectives, interpretations or approaches to the data.</w:t>
      </w:r>
    </w:p>
    <w:p w:rsidR="00E7659F" w:rsidRPr="00E7659F" w:rsidRDefault="00E7659F" w:rsidP="00E7659F">
      <w:pPr>
        <w:pStyle w:val="intdened"/>
        <w:numPr>
          <w:ilvl w:val="0"/>
          <w:numId w:val="1"/>
        </w:numPr>
      </w:pPr>
      <w:r w:rsidRPr="00E7659F">
        <w:t>Accessing parental feedback on our selection of passages for a compilation tape elicited their retrospective reflections on their child and on childrearing in general.</w:t>
      </w:r>
    </w:p>
    <w:p w:rsidR="00BA1AFD" w:rsidRPr="00E7659F" w:rsidRDefault="00E7659F" w:rsidP="00E7659F">
      <w:pPr>
        <w:pStyle w:val="intdened"/>
        <w:ind w:left="644"/>
      </w:pPr>
      <w:r w:rsidRPr="00E7659F">
        <w:fldChar w:fldCharType="begin" w:fldLock="1"/>
      </w:r>
      <w:r w:rsidRPr="00E7659F">
        <w:instrText>ADDIN CSL_CITATION { "citationItems" : [ { "id" : "ITEM-1", "itemData" : { "author" : [ { "dropping-particle" : "", "family" : "Gillen", "given" : "Julia", "non-dropping-particle" : "", "parse-names" : false, "suffix" : "" }, { "dropping-particle" : "", "family" : "Cameron", "given" : "Catherine Ann", "non-dropping-particle" : "", "parse-names" : false, "suffix" : "" } ], "container-title" : "International perspectives on early childhood research: a day in the life", "editor" : [ { "dropping-particle" : "", "family" : "Gillen", "given" : "Julia", "non-dropping-particle" : "", "parse-names" : false, "suffix" : "" }, { "dropping-particle" : "", "family" : "Cameron", "given" : "Catherine Ann", "non-dropping-particle" : "", "parse-names" : false, "suffix" : "" } ], "id" : "ITEM-1", "issued" : { "date-parts" : [ [ "2010" ] ] }, "page" : "1-34", "publisher" : "Palgrave Macmillan", "publisher-place" : "Basingstoke, UK", "title" : "Introduction", "type" : "chapter" }, "uris" : [ "http://www.mendeley.com/documents/?uuid=c4ebfd5a-e101-4f21-a322-bf9c11fe1d50" ] } ], "mendeley" : { "formattedCitation" : "(Gillen &amp; Cameron, 2010b)", "manualFormatting" : "(Gillen &amp; Cameron, 2010b: 16)", "plainTextFormattedCitation" : "(Gillen &amp; Cameron, 2010b)", "previouslyFormattedCitation" : "(Gillen &amp; Cameron, 2010b)" }, "properties" : { "noteIndex" : 0 }, "schema" : "https://github.com/citation-style-language/schema/raw/master/csl-citation.json" }</w:instrText>
      </w:r>
      <w:r w:rsidRPr="00E7659F">
        <w:fldChar w:fldCharType="separate"/>
      </w:r>
      <w:r w:rsidRPr="00E7659F">
        <w:rPr>
          <w:noProof/>
        </w:rPr>
        <w:t>(Gillen &amp; Cameron, 2010b: 16)</w:t>
      </w:r>
      <w:r w:rsidRPr="00E7659F">
        <w:fldChar w:fldCharType="end"/>
      </w:r>
      <w:r w:rsidRPr="00E7659F">
        <w:t>.</w:t>
      </w:r>
    </w:p>
    <w:p w:rsidR="00BA1AFD" w:rsidRDefault="00BA1AFD"/>
    <w:p w:rsidR="00BA1AFD" w:rsidRDefault="00BA1AFD" w:rsidP="00E7659F">
      <w:pPr>
        <w:pStyle w:val="Heading2"/>
      </w:pPr>
      <w:r>
        <w:t>Outline of the method</w:t>
      </w:r>
    </w:p>
    <w:p w:rsidR="00BA1AFD" w:rsidRDefault="00972396">
      <w:r>
        <w:t xml:space="preserve">At the core of the method is the practice of filming (videoing) </w:t>
      </w:r>
      <w:r w:rsidRPr="00972396">
        <w:rPr>
          <w:i/>
        </w:rPr>
        <w:t>a day</w:t>
      </w:r>
      <w:r>
        <w:t xml:space="preserve"> in the child’s life, so including all the interactions that take place.  In practice, as we remain sensitive to the family’s practices, the beginning, the ends and what is not filmed during the day (for example bathroom practices) are negotiated and remain negotiable on the spot.  We were sometimes in position as the child woke up; sometimes this did not fit in to the family’s practice.  We always acquired at least six hours’ of film.  </w:t>
      </w:r>
    </w:p>
    <w:p w:rsidR="00972396" w:rsidRDefault="00972396">
      <w:r>
        <w:lastRenderedPageBreak/>
        <w:t xml:space="preserve">In a paper of this limited scope, it is not possible to discuss all the stages of the methodology in detail; see </w:t>
      </w:r>
      <w:r>
        <w:fldChar w:fldCharType="begin" w:fldLock="1"/>
      </w:r>
      <w:r>
        <w:instrText>ADDIN CSL_CITATION { "citationItems" : [ { "id" : "ITEM-1", "itemData" : { "DOI" : "10.1080/03004430500393763", "ISSN" : "0300-4430", "abstract" : "This paper explores the methodology of an ecological investigation of aspects of culture in the interactional construction of early childhood in diverse global communities: Peru, Italy, Canada, Thailand, and the United Kingdom. Regarding culture as a dynamic dimension of the child\u2019s socialisation, the approach taken was to film a \u2018day in the life\u2019 of a two\u2010and\u2010a\u2010half\u2010year\u2010old girl in each location. The principal investigators viewed these five \u2018days\u2019 and selected clips were made into a compilation tape, to be interrogated and interpreted by the local investigators and the child\u2019s family. These latter reflections were also taped and then applied to a growing appreciation of the child in cultural context. Other inter\u2010researcher techniques were used to elucidate and explore events and values further. Reflexive concerns as to the interplay between aims and methods in interpretive research are critical components of this endeavour to develop new cultural understandings of the girls in context.", "author" : [ { "dropping-particle" : "", "family" : "Gillen", "given" : "Julia", "non-dropping-particle" : "", "parse-names" : false, "suffix" : "" }, { "dropping-particle" : "", "family" : "Cameron", "given" : "Catherine Ann", "non-dropping-particle" : "", "parse-names" : false, "suffix" : "" }, { "dropping-particle" : "", "family" : "Tapanya", "given" : "Sombat", "non-dropping-particle" : "", "parse-names" : false, "suffix" : "" }, { "dropping-particle" : "", "family" : "Pinto", "given" : "Giuliana", "non-dropping-particle" : "", "parse-names" : false, "suffix" : "" }, { "dropping-particle" : "", "family" : "Hancock", "given" : "Roger", "non-dropping-particle" : "", "parse-names" : false, "suffix" : "" }, { "dropping-particle" : "", "family" : "Young", "given" : "Susan", "non-dropping-particle" : "", "parse-names" : false, "suffix" : "" }, { "dropping-particle" : "", "family" : "Gamannossi", "given" : "Beatrice Accorti", "non-dropping-particle" : "", "parse-names" : false, "suffix" : "" } ], "container-title" : "Early Child Development and Care", "id" : "ITEM-1", "issue" : "2", "issued" : { "date-parts" : [ [ "2007", "2", "24" ] ] }, "language" : "en", "page" : "207-218", "publisher" : "Routledge", "title" : "\u2018A day in the life\u2019: advancing a methodology for the cultural study of development and learning in early childhood", "type" : "article-journal", "volume" : "177" }, "uris" : [ "http://www.mendeley.com/documents/?uuid=6b7b8bb3-95b0-4481-b4a1-b18de271e601" ] } ], "mendeley" : { "formattedCitation" : "(Gillen et al., 2007)", "manualFormatting" : "(Gillen et al., 2007; ", "plainTextFormattedCitation" : "(Gillen et al., 2007)", "previouslyFormattedCitation" : "(Gillen et al., 2007)" }, "properties" : { "noteIndex" : 0 }, "schema" : "https://github.com/citation-style-language/schema/raw/master/csl-citation.json" }</w:instrText>
      </w:r>
      <w:r>
        <w:fldChar w:fldCharType="separate"/>
      </w:r>
      <w:r w:rsidRPr="00972396">
        <w:rPr>
          <w:noProof/>
        </w:rPr>
        <w:t>(Gillen et al., 2007</w:t>
      </w:r>
      <w:r>
        <w:rPr>
          <w:noProof/>
        </w:rPr>
        <w:t xml:space="preserve">; </w:t>
      </w:r>
      <w:r>
        <w:fldChar w:fldCharType="end"/>
      </w:r>
      <w:r>
        <w:fldChar w:fldCharType="begin" w:fldLock="1"/>
      </w:r>
      <w:r>
        <w:instrText>ADDIN CSL_CITATION { "citationItems" : [ { "id" : "ITEM-1", "itemData" : { "author" : [ { "dropping-particle" : "", "family" : "Gillen", "given" : "Julia", "non-dropping-particle" : "", "parse-names" : false, "suffix" : "" }, { "dropping-particle" : "", "family" : "Cameron", "given" : "Catherine Ann", "non-dropping-particle" : "", "parse-names" : false, "suffix" : "" } ], "container-title" : "International perspectives on early childhood research: a day in the life", "editor" : [ { "dropping-particle" : "", "family" : "Gillen", "given" : "Julia", "non-dropping-particle" : "", "parse-names" : false, "suffix" : "" }, { "dropping-particle" : "", "family" : "Cameron", "given" : "Catherine Ann", "non-dropping-particle" : "", "parse-names" : false, "suffix" : "" } ], "id" : "ITEM-1", "issued" : { "date-parts" : [ [ "2010" ] ] }, "page" : "1-34", "publisher" : "Palgrave Macmillan", "publisher-place" : "Basingstoke, UK", "title" : "Introduction", "type" : "chapter" }, "uris" : [ "http://www.mendeley.com/documents/?uuid=c4ebfd5a-e101-4f21-a322-bf9c11fe1d50" ] } ], "mendeley" : { "formattedCitation" : "(Gillen &amp; Cameron, 2010b)", "manualFormatting" : "Gillen &amp; Cameron, 2010b)", "plainTextFormattedCitation" : "(Gillen &amp; Cameron, 2010b)", "previouslyFormattedCitation" : "(Gillen &amp; Cameron, 2010b)" }, "properties" : { "noteIndex" : 0 }, "schema" : "https://github.com/citation-style-language/schema/raw/master/csl-citation.json" }</w:instrText>
      </w:r>
      <w:r>
        <w:fldChar w:fldCharType="separate"/>
      </w:r>
      <w:r w:rsidRPr="00972396">
        <w:rPr>
          <w:noProof/>
        </w:rPr>
        <w:t>Gillen &amp; Cameron, 2010b)</w:t>
      </w:r>
      <w:r>
        <w:fldChar w:fldCharType="end"/>
      </w:r>
      <w:r>
        <w:t xml:space="preserve">.  I do need to stress that the other stages are equally needed, as multiple data sources and </w:t>
      </w:r>
      <w:proofErr w:type="spellStart"/>
      <w:r>
        <w:t>multivoiced</w:t>
      </w:r>
      <w:proofErr w:type="spellEnd"/>
      <w:r>
        <w:t xml:space="preserve"> involvement are vital.  Our work includes many reflective accounts of how interpretations have evolved. </w:t>
      </w:r>
    </w:p>
    <w:p w:rsidR="00972396" w:rsidRDefault="00972396"/>
    <w:p w:rsidR="00BA1AFD" w:rsidRDefault="006E3AB0">
      <w:r>
        <w:t xml:space="preserve">Table 1: </w:t>
      </w:r>
      <w:r w:rsidRPr="006E3AB0">
        <w:rPr>
          <w:i/>
        </w:rPr>
        <w:t>Day in the Life</w:t>
      </w:r>
      <w:r>
        <w:t xml:space="preserve"> methodology</w:t>
      </w:r>
    </w:p>
    <w:p w:rsidR="006E3AB0" w:rsidRPr="00C86D82" w:rsidRDefault="006E3AB0" w:rsidP="006E3AB0">
      <w:pPr>
        <w:ind w:right="-999"/>
        <w:rPr>
          <w:b/>
        </w:rPr>
      </w:pPr>
    </w:p>
    <w:tbl>
      <w:tblPr>
        <w:tblStyle w:val="TableGrid"/>
        <w:tblW w:w="4808" w:type="pct"/>
        <w:tblInd w:w="108" w:type="dxa"/>
        <w:tblLook w:val="04A0" w:firstRow="1" w:lastRow="0" w:firstColumn="1" w:lastColumn="0" w:noHBand="0" w:noVBand="1"/>
      </w:tblPr>
      <w:tblGrid>
        <w:gridCol w:w="2988"/>
        <w:gridCol w:w="3082"/>
        <w:gridCol w:w="2817"/>
      </w:tblGrid>
      <w:tr w:rsidR="006E3AB0" w:rsidRPr="00F13103" w:rsidTr="00B80EA4">
        <w:tc>
          <w:tcPr>
            <w:tcW w:w="1681" w:type="pct"/>
          </w:tcPr>
          <w:p w:rsidR="006E3AB0" w:rsidRPr="00F13103" w:rsidRDefault="006E3AB0" w:rsidP="006E3AB0">
            <w:r w:rsidRPr="00F13103">
              <w:t>Research phase</w:t>
            </w:r>
          </w:p>
        </w:tc>
        <w:tc>
          <w:tcPr>
            <w:tcW w:w="1734" w:type="pct"/>
          </w:tcPr>
          <w:p w:rsidR="006E3AB0" w:rsidRPr="00F13103" w:rsidRDefault="006E3AB0" w:rsidP="006E3AB0">
            <w:r w:rsidRPr="00F13103">
              <w:t>Researchers’ task</w:t>
            </w:r>
          </w:p>
        </w:tc>
        <w:tc>
          <w:tcPr>
            <w:tcW w:w="1585" w:type="pct"/>
          </w:tcPr>
          <w:p w:rsidR="006E3AB0" w:rsidRPr="00F13103" w:rsidRDefault="006E3AB0" w:rsidP="006E3AB0">
            <w:r w:rsidRPr="00F13103">
              <w:t>Research activity</w:t>
            </w:r>
          </w:p>
          <w:p w:rsidR="006E3AB0" w:rsidRPr="00F13103" w:rsidRDefault="006E3AB0" w:rsidP="006E3AB0"/>
        </w:tc>
      </w:tr>
      <w:tr w:rsidR="006E3AB0" w:rsidRPr="00F13103" w:rsidTr="00B80EA4">
        <w:tc>
          <w:tcPr>
            <w:tcW w:w="1681" w:type="pct"/>
          </w:tcPr>
          <w:p w:rsidR="006E3AB0" w:rsidRPr="006E3AB0" w:rsidRDefault="006E3AB0" w:rsidP="006E3AB0">
            <w:pPr>
              <w:rPr>
                <w:sz w:val="20"/>
                <w:szCs w:val="20"/>
              </w:rPr>
            </w:pPr>
            <w:r w:rsidRPr="006E3AB0">
              <w:rPr>
                <w:sz w:val="20"/>
                <w:szCs w:val="20"/>
              </w:rPr>
              <w:t>1. Initial recruitment: Seeking resilient/thriving etc. participants in age category and family plus school or community as appropriate</w:t>
            </w:r>
          </w:p>
        </w:tc>
        <w:tc>
          <w:tcPr>
            <w:tcW w:w="1734" w:type="pct"/>
          </w:tcPr>
          <w:p w:rsidR="006E3AB0" w:rsidRPr="006E3AB0" w:rsidRDefault="006E3AB0" w:rsidP="006E3AB0">
            <w:pPr>
              <w:rPr>
                <w:sz w:val="20"/>
                <w:szCs w:val="20"/>
              </w:rPr>
            </w:pPr>
            <w:r w:rsidRPr="006E3AB0">
              <w:rPr>
                <w:sz w:val="20"/>
                <w:szCs w:val="20"/>
              </w:rPr>
              <w:t xml:space="preserve">Home visit – researcher offers procedural details &amp; consent information. Participant contacts researcher if willing </w:t>
            </w:r>
          </w:p>
        </w:tc>
        <w:tc>
          <w:tcPr>
            <w:tcW w:w="1585" w:type="pct"/>
          </w:tcPr>
          <w:p w:rsidR="006E3AB0" w:rsidRPr="006E3AB0" w:rsidRDefault="006E3AB0" w:rsidP="006E3AB0">
            <w:pPr>
              <w:rPr>
                <w:sz w:val="20"/>
                <w:szCs w:val="20"/>
              </w:rPr>
            </w:pPr>
            <w:r w:rsidRPr="006E3AB0">
              <w:rPr>
                <w:sz w:val="20"/>
                <w:szCs w:val="20"/>
              </w:rPr>
              <w:t xml:space="preserve">Builds upon prior identification of possibilities, perhaps through networks etc. </w:t>
            </w:r>
          </w:p>
        </w:tc>
      </w:tr>
      <w:tr w:rsidR="006E3AB0" w:rsidRPr="00F13103" w:rsidTr="00B80EA4">
        <w:tc>
          <w:tcPr>
            <w:tcW w:w="1681" w:type="pct"/>
          </w:tcPr>
          <w:p w:rsidR="006E3AB0" w:rsidRPr="006E3AB0" w:rsidRDefault="006E3AB0" w:rsidP="006E3AB0">
            <w:pPr>
              <w:rPr>
                <w:sz w:val="20"/>
                <w:szCs w:val="20"/>
              </w:rPr>
            </w:pPr>
            <w:r w:rsidRPr="006E3AB0">
              <w:rPr>
                <w:sz w:val="20"/>
                <w:szCs w:val="20"/>
              </w:rPr>
              <w:t xml:space="preserve">2. Initial research visit: Having obtained agreement, an hour or more spent in home </w:t>
            </w:r>
          </w:p>
        </w:tc>
        <w:tc>
          <w:tcPr>
            <w:tcW w:w="1734" w:type="pct"/>
          </w:tcPr>
          <w:p w:rsidR="006E3AB0" w:rsidRPr="006E3AB0" w:rsidRDefault="006E3AB0" w:rsidP="006E3AB0">
            <w:pPr>
              <w:rPr>
                <w:sz w:val="20"/>
                <w:szCs w:val="20"/>
              </w:rPr>
            </w:pPr>
            <w:r w:rsidRPr="006E3AB0">
              <w:rPr>
                <w:sz w:val="20"/>
                <w:szCs w:val="20"/>
              </w:rPr>
              <w:t>Researcher obtains informed consent, interviews participants.  One hour filming.  Discussion to see if research will proceed.</w:t>
            </w:r>
          </w:p>
        </w:tc>
        <w:tc>
          <w:tcPr>
            <w:tcW w:w="1585" w:type="pct"/>
          </w:tcPr>
          <w:p w:rsidR="006E3AB0" w:rsidRPr="006E3AB0" w:rsidRDefault="006E3AB0" w:rsidP="006E3AB0">
            <w:pPr>
              <w:rPr>
                <w:sz w:val="20"/>
                <w:szCs w:val="20"/>
              </w:rPr>
            </w:pPr>
            <w:r w:rsidRPr="006E3AB0">
              <w:rPr>
                <w:sz w:val="20"/>
                <w:szCs w:val="20"/>
              </w:rPr>
              <w:t>Audiotaped interview for demographic, contextual information; acclimatize to filming.</w:t>
            </w:r>
          </w:p>
        </w:tc>
      </w:tr>
      <w:tr w:rsidR="006E3AB0" w:rsidRPr="00F13103" w:rsidTr="00B80EA4">
        <w:tc>
          <w:tcPr>
            <w:tcW w:w="1681" w:type="pct"/>
          </w:tcPr>
          <w:p w:rsidR="006E3AB0" w:rsidRPr="006E3AB0" w:rsidRDefault="006E3AB0" w:rsidP="006E3AB0">
            <w:pPr>
              <w:rPr>
                <w:sz w:val="20"/>
                <w:szCs w:val="20"/>
              </w:rPr>
            </w:pPr>
            <w:r w:rsidRPr="006E3AB0">
              <w:rPr>
                <w:sz w:val="20"/>
                <w:szCs w:val="20"/>
              </w:rPr>
              <w:t>3. Day in the Life filming</w:t>
            </w:r>
          </w:p>
        </w:tc>
        <w:tc>
          <w:tcPr>
            <w:tcW w:w="1734" w:type="pct"/>
          </w:tcPr>
          <w:p w:rsidR="006E3AB0" w:rsidRPr="006E3AB0" w:rsidRDefault="006E3AB0" w:rsidP="006E3AB0">
            <w:pPr>
              <w:rPr>
                <w:sz w:val="20"/>
                <w:szCs w:val="20"/>
              </w:rPr>
            </w:pPr>
            <w:r w:rsidRPr="006E3AB0">
              <w:rPr>
                <w:sz w:val="20"/>
                <w:szCs w:val="20"/>
              </w:rPr>
              <w:t>Researchers return to home for full Day of filming</w:t>
            </w:r>
          </w:p>
        </w:tc>
        <w:tc>
          <w:tcPr>
            <w:tcW w:w="1585" w:type="pct"/>
          </w:tcPr>
          <w:p w:rsidR="006E3AB0" w:rsidRPr="006E3AB0" w:rsidRDefault="006E3AB0" w:rsidP="006E3AB0">
            <w:pPr>
              <w:rPr>
                <w:sz w:val="20"/>
                <w:szCs w:val="20"/>
              </w:rPr>
            </w:pPr>
            <w:r w:rsidRPr="006E3AB0">
              <w:rPr>
                <w:sz w:val="20"/>
                <w:szCs w:val="20"/>
              </w:rPr>
              <w:t xml:space="preserve">Two researchers film, take field notes, sketch maps, etc. </w:t>
            </w:r>
          </w:p>
        </w:tc>
      </w:tr>
      <w:tr w:rsidR="006E3AB0" w:rsidRPr="00F13103" w:rsidTr="00B80EA4">
        <w:tc>
          <w:tcPr>
            <w:tcW w:w="1681" w:type="pct"/>
          </w:tcPr>
          <w:p w:rsidR="006E3AB0" w:rsidRPr="006E3AB0" w:rsidRDefault="006E3AB0" w:rsidP="006E3AB0">
            <w:pPr>
              <w:rPr>
                <w:sz w:val="20"/>
                <w:szCs w:val="20"/>
              </w:rPr>
            </w:pPr>
            <w:r w:rsidRPr="006E3AB0">
              <w:rPr>
                <w:sz w:val="20"/>
                <w:szCs w:val="20"/>
              </w:rPr>
              <w:t>4. Compilation selection</w:t>
            </w:r>
          </w:p>
        </w:tc>
        <w:tc>
          <w:tcPr>
            <w:tcW w:w="1734" w:type="pct"/>
          </w:tcPr>
          <w:p w:rsidR="006E3AB0" w:rsidRPr="006E3AB0" w:rsidRDefault="006E3AB0" w:rsidP="006E3AB0">
            <w:pPr>
              <w:rPr>
                <w:sz w:val="20"/>
                <w:szCs w:val="20"/>
              </w:rPr>
            </w:pPr>
            <w:r w:rsidRPr="006E3AB0">
              <w:rPr>
                <w:sz w:val="20"/>
                <w:szCs w:val="20"/>
              </w:rPr>
              <w:t>Local and distal researchers view full footage of Day to create half-hour compilation of exemplary interchanges</w:t>
            </w:r>
          </w:p>
        </w:tc>
        <w:tc>
          <w:tcPr>
            <w:tcW w:w="1585" w:type="pct"/>
          </w:tcPr>
          <w:p w:rsidR="006E3AB0" w:rsidRPr="006E3AB0" w:rsidRDefault="006E3AB0" w:rsidP="006E3AB0">
            <w:pPr>
              <w:rPr>
                <w:sz w:val="20"/>
                <w:szCs w:val="20"/>
              </w:rPr>
            </w:pPr>
            <w:r w:rsidRPr="006E3AB0">
              <w:rPr>
                <w:sz w:val="20"/>
                <w:szCs w:val="20"/>
              </w:rPr>
              <w:t>Colleagues independently select about six 5-minute segments, agree on a compilation to elicit participant reflections</w:t>
            </w:r>
          </w:p>
        </w:tc>
      </w:tr>
      <w:tr w:rsidR="006E3AB0" w:rsidRPr="00F13103" w:rsidTr="00B80EA4">
        <w:tc>
          <w:tcPr>
            <w:tcW w:w="1681" w:type="pct"/>
          </w:tcPr>
          <w:p w:rsidR="006E3AB0" w:rsidRPr="006E3AB0" w:rsidRDefault="006E3AB0" w:rsidP="006E3AB0">
            <w:pPr>
              <w:rPr>
                <w:sz w:val="20"/>
                <w:szCs w:val="20"/>
              </w:rPr>
            </w:pPr>
            <w:r w:rsidRPr="006E3AB0">
              <w:rPr>
                <w:sz w:val="20"/>
                <w:szCs w:val="20"/>
              </w:rPr>
              <w:t>5. Iterative data collection</w:t>
            </w:r>
          </w:p>
        </w:tc>
        <w:tc>
          <w:tcPr>
            <w:tcW w:w="1734" w:type="pct"/>
          </w:tcPr>
          <w:p w:rsidR="006E3AB0" w:rsidRPr="006E3AB0" w:rsidRDefault="006E3AB0" w:rsidP="006E3AB0">
            <w:pPr>
              <w:rPr>
                <w:sz w:val="20"/>
                <w:szCs w:val="20"/>
              </w:rPr>
            </w:pPr>
            <w:r w:rsidRPr="006E3AB0">
              <w:rPr>
                <w:sz w:val="20"/>
                <w:szCs w:val="20"/>
              </w:rPr>
              <w:t xml:space="preserve">Local researchers show participants compilation </w:t>
            </w:r>
          </w:p>
        </w:tc>
        <w:tc>
          <w:tcPr>
            <w:tcW w:w="1585" w:type="pct"/>
          </w:tcPr>
          <w:p w:rsidR="006E3AB0" w:rsidRPr="006E3AB0" w:rsidRDefault="006E3AB0" w:rsidP="006E3AB0">
            <w:pPr>
              <w:rPr>
                <w:sz w:val="20"/>
                <w:szCs w:val="20"/>
              </w:rPr>
            </w:pPr>
            <w:r w:rsidRPr="006E3AB0">
              <w:rPr>
                <w:sz w:val="20"/>
                <w:szCs w:val="20"/>
              </w:rPr>
              <w:t>Local researchers film participants discussing the compilation</w:t>
            </w:r>
          </w:p>
        </w:tc>
      </w:tr>
      <w:tr w:rsidR="006E3AB0" w:rsidRPr="00F13103" w:rsidTr="00B80EA4">
        <w:tc>
          <w:tcPr>
            <w:tcW w:w="1681" w:type="pct"/>
          </w:tcPr>
          <w:p w:rsidR="006E3AB0" w:rsidRPr="006E3AB0" w:rsidRDefault="006E3AB0" w:rsidP="006E3AB0">
            <w:pPr>
              <w:rPr>
                <w:sz w:val="20"/>
                <w:szCs w:val="20"/>
              </w:rPr>
            </w:pPr>
            <w:r w:rsidRPr="006E3AB0">
              <w:rPr>
                <w:sz w:val="20"/>
                <w:szCs w:val="20"/>
              </w:rPr>
              <w:t>6. Follow-through data collection</w:t>
            </w:r>
          </w:p>
        </w:tc>
        <w:tc>
          <w:tcPr>
            <w:tcW w:w="1734" w:type="pct"/>
          </w:tcPr>
          <w:p w:rsidR="006E3AB0" w:rsidRPr="006E3AB0" w:rsidRDefault="006E3AB0" w:rsidP="006E3AB0">
            <w:pPr>
              <w:rPr>
                <w:sz w:val="20"/>
                <w:szCs w:val="20"/>
              </w:rPr>
            </w:pPr>
            <w:r w:rsidRPr="006E3AB0">
              <w:rPr>
                <w:sz w:val="20"/>
                <w:szCs w:val="20"/>
              </w:rPr>
              <w:t xml:space="preserve">Communicate further and update on progress.  May include F2F, email, phone etc. </w:t>
            </w:r>
          </w:p>
        </w:tc>
        <w:tc>
          <w:tcPr>
            <w:tcW w:w="1585" w:type="pct"/>
          </w:tcPr>
          <w:p w:rsidR="006E3AB0" w:rsidRPr="006E3AB0" w:rsidRDefault="006E3AB0" w:rsidP="006E3AB0">
            <w:pPr>
              <w:rPr>
                <w:sz w:val="20"/>
                <w:szCs w:val="20"/>
              </w:rPr>
            </w:pPr>
            <w:r w:rsidRPr="006E3AB0">
              <w:rPr>
                <w:sz w:val="20"/>
                <w:szCs w:val="20"/>
              </w:rPr>
              <w:t xml:space="preserve">Iterative discussion of interpretations, often to check matters of </w:t>
            </w:r>
            <w:proofErr w:type="spellStart"/>
            <w:r w:rsidRPr="006E3AB0">
              <w:rPr>
                <w:sz w:val="20"/>
                <w:szCs w:val="20"/>
              </w:rPr>
              <w:t>detai</w:t>
            </w:r>
            <w:proofErr w:type="spellEnd"/>
            <w:r w:rsidRPr="006E3AB0">
              <w:rPr>
                <w:sz w:val="20"/>
                <w:szCs w:val="20"/>
              </w:rPr>
              <w:t xml:space="preserve">. </w:t>
            </w:r>
          </w:p>
        </w:tc>
      </w:tr>
      <w:tr w:rsidR="006E3AB0" w:rsidRPr="00F13103" w:rsidTr="00B80EA4">
        <w:tc>
          <w:tcPr>
            <w:tcW w:w="1681" w:type="pct"/>
          </w:tcPr>
          <w:p w:rsidR="006E3AB0" w:rsidRPr="006E3AB0" w:rsidRDefault="006E3AB0" w:rsidP="006E3AB0">
            <w:pPr>
              <w:rPr>
                <w:sz w:val="20"/>
                <w:szCs w:val="20"/>
              </w:rPr>
            </w:pPr>
            <w:r w:rsidRPr="006E3AB0">
              <w:rPr>
                <w:sz w:val="20"/>
                <w:szCs w:val="20"/>
              </w:rPr>
              <w:t>7. Data analysis &amp; dissemination: Data from all research stages shared with international team; consultations on theme selection, analysis &amp; dissemination</w:t>
            </w:r>
          </w:p>
        </w:tc>
        <w:tc>
          <w:tcPr>
            <w:tcW w:w="1734" w:type="pct"/>
          </w:tcPr>
          <w:p w:rsidR="006E3AB0" w:rsidRPr="006E3AB0" w:rsidRDefault="006E3AB0" w:rsidP="006E3AB0">
            <w:pPr>
              <w:rPr>
                <w:sz w:val="20"/>
                <w:szCs w:val="20"/>
              </w:rPr>
            </w:pPr>
            <w:r w:rsidRPr="006E3AB0">
              <w:rPr>
                <w:sz w:val="20"/>
                <w:szCs w:val="20"/>
              </w:rPr>
              <w:t>Researchers compile their local data to share with full team collaborating on data analysis and knowledge mobilization</w:t>
            </w:r>
          </w:p>
          <w:p w:rsidR="006E3AB0" w:rsidRPr="006E3AB0" w:rsidRDefault="006E3AB0" w:rsidP="006E3AB0">
            <w:pPr>
              <w:rPr>
                <w:sz w:val="20"/>
                <w:szCs w:val="20"/>
              </w:rPr>
            </w:pPr>
          </w:p>
        </w:tc>
        <w:tc>
          <w:tcPr>
            <w:tcW w:w="1585" w:type="pct"/>
          </w:tcPr>
          <w:p w:rsidR="006E3AB0" w:rsidRPr="006E3AB0" w:rsidRDefault="006E3AB0" w:rsidP="006E3AB0">
            <w:pPr>
              <w:rPr>
                <w:sz w:val="20"/>
                <w:szCs w:val="20"/>
              </w:rPr>
            </w:pPr>
            <w:r w:rsidRPr="006E3AB0">
              <w:rPr>
                <w:sz w:val="20"/>
                <w:szCs w:val="20"/>
              </w:rPr>
              <w:t>Interview responses, field notes, maps, video footage, photos shared with team; work together on themes, protocol analyses, grounded in the data</w:t>
            </w:r>
          </w:p>
        </w:tc>
      </w:tr>
    </w:tbl>
    <w:p w:rsidR="006E3AB0" w:rsidRPr="00F13103" w:rsidRDefault="006E3AB0" w:rsidP="006E3AB0">
      <w:pPr>
        <w:rPr>
          <w:sz w:val="28"/>
          <w:szCs w:val="28"/>
        </w:rPr>
      </w:pPr>
    </w:p>
    <w:p w:rsidR="00BA1AFD" w:rsidRDefault="00BA1AFD"/>
    <w:p w:rsidR="00BA1AFD" w:rsidRDefault="00972396" w:rsidP="00B71978">
      <w:pPr>
        <w:pStyle w:val="Heading2"/>
      </w:pPr>
      <w:r>
        <w:t>Reflections</w:t>
      </w:r>
    </w:p>
    <w:p w:rsidR="00B71978" w:rsidRDefault="00B71978"/>
    <w:p w:rsidR="00B71978" w:rsidRDefault="00972396">
      <w:r>
        <w:t>Here I make just a</w:t>
      </w:r>
      <w:r w:rsidR="00BA1AFD">
        <w:t xml:space="preserve"> few reflections on </w:t>
      </w:r>
      <w:r>
        <w:t xml:space="preserve">our </w:t>
      </w:r>
      <w:r w:rsidR="005F43EF">
        <w:t xml:space="preserve">processes of collecting video </w:t>
      </w:r>
      <w:r>
        <w:t xml:space="preserve">data.  </w:t>
      </w:r>
      <w:r w:rsidR="00B71978">
        <w:t xml:space="preserve">We noted that differing local practices were entwined with different research processes </w:t>
      </w:r>
      <w:r w:rsidR="005F43EF">
        <w:lastRenderedPageBreak/>
        <w:t>and products; I acknowledge this as</w:t>
      </w:r>
      <w:r w:rsidR="00B71978">
        <w:t xml:space="preserve"> a characteristic</w:t>
      </w:r>
      <w:r w:rsidR="000F03DA">
        <w:t>, intrinsic</w:t>
      </w:r>
      <w:r w:rsidR="00B71978">
        <w:t xml:space="preserve"> feature of our approach rather than variation to be automatically deplored according to an externalised chimera of “objectivity”</w:t>
      </w:r>
      <w:r w:rsidR="00A62626">
        <w:t xml:space="preserve">.  I </w:t>
      </w:r>
      <w:r w:rsidR="00B71978">
        <w:t xml:space="preserve">use three stills </w:t>
      </w:r>
      <w:r w:rsidR="00A62626">
        <w:t xml:space="preserve">here that are not offered as in any sense “typical” of the day, but which, rather, indicate moments in which interaction between the </w:t>
      </w:r>
      <w:r w:rsidR="000F03DA">
        <w:t xml:space="preserve">filming </w:t>
      </w:r>
      <w:r w:rsidR="00A62626">
        <w:t xml:space="preserve">researchers and the participating families are very much at the fore.  This </w:t>
      </w:r>
      <w:r w:rsidR="00B71978">
        <w:t xml:space="preserve">might provoke discussion of the opportunities and limitations of our research methods (see also </w:t>
      </w:r>
      <w:r w:rsidR="00B71978">
        <w:fldChar w:fldCharType="begin" w:fldLock="1"/>
      </w:r>
      <w:r w:rsidR="000F03DA">
        <w:instrText>ADDIN CSL_CITATION { "citationItems" : [ { "id" : "ITEM-1", "itemData" : { "author" : [ { "dropping-particle" : "", "family" : "Hancock", "given" : "Roger", "non-dropping-particle" : "", "parse-names" : false, "suffix" : "" }, { "dropping-particle" : "", "family" : "Gillen", "given" : "Julia", "non-dropping-particle" : "", "parse-names" : false, "suffix" : "" }, { "dropping-particle" : "", "family" : "Pinto", "given" : "Giuliana", "non-dropping-particle" : "", "parse-names" : false, "suffix" : "" } ], "container-title" : "International perspectives on early childhood research: a day in the life", "editor" : [ { "dropping-particle" : "", "family" : "Gillen", "given" : "Julia", "non-dropping-particle" : "", "parse-names" : false, "suffix" : "" }, { "dropping-particle" : "", "family" : "Cameron", "given" : "Catherine Ann", "non-dropping-particle" : "", "parse-names" : false, "suffix" : "" } ], "id" : "ITEM-1", "issued" : { "date-parts" : [ [ "2010" ] ] }, "page" : "35-58", "publisher" : "Palgrave Macmillan", "publisher-place" : "Basingstoke, UK", "title" : "Using video technology", "type" : "chapter" }, "uris" : [ "http://www.mendeley.com/documents/?uuid=e75c8a04-ef8b-4ae8-9a39-3212928275a5" ] } ], "mendeley" : { "formattedCitation" : "(Hancock, Gillen, &amp; Pinto, 2010)", "plainTextFormattedCitation" : "(Hancock, Gillen, &amp; Pinto, 2010)", "previouslyFormattedCitation" : "(Hancock, Gillen, &amp; Pinto, 2010)" }, "properties" : { "noteIndex" : 0 }, "schema" : "https://github.com/citation-style-language/schema/raw/master/csl-citation.json" }</w:instrText>
      </w:r>
      <w:r w:rsidR="00B71978">
        <w:fldChar w:fldCharType="separate"/>
      </w:r>
      <w:r w:rsidR="00B71978" w:rsidRPr="00B71978">
        <w:rPr>
          <w:noProof/>
        </w:rPr>
        <w:t>(Hancock, Gillen, &amp; Pinto, 2010)</w:t>
      </w:r>
      <w:r w:rsidR="00B71978">
        <w:fldChar w:fldCharType="end"/>
      </w:r>
      <w:r w:rsidR="00B71978">
        <w:t>.</w:t>
      </w:r>
    </w:p>
    <w:p w:rsidR="00B71978" w:rsidRDefault="00B71978"/>
    <w:p w:rsidR="00B71978" w:rsidRDefault="00A62626">
      <w:r>
        <w:t xml:space="preserve">Figure 1: </w:t>
      </w:r>
      <w:proofErr w:type="spellStart"/>
      <w:r>
        <w:t>Gai</w:t>
      </w:r>
      <w:proofErr w:type="spellEnd"/>
      <w:r>
        <w:t>, Thailand</w:t>
      </w:r>
    </w:p>
    <w:p w:rsidR="00A62626" w:rsidRDefault="00A62626"/>
    <w:p w:rsidR="00A62626" w:rsidRDefault="00A62626" w:rsidP="005F43EF">
      <w:pPr>
        <w:jc w:val="center"/>
      </w:pPr>
      <w:r w:rsidRPr="00A62626">
        <w:rPr>
          <w:noProof/>
          <w:lang w:eastAsia="en-GB"/>
        </w:rPr>
        <w:drawing>
          <wp:inline distT="0" distB="0" distL="0" distR="0">
            <wp:extent cx="3048000" cy="2286000"/>
            <wp:effectExtent l="0" t="0" r="0" b="0"/>
            <wp:docPr id="1" name="Picture 1" descr="C:\Users\Julia\Documents\Documents\1Projects\DITL\handover\Day in the Life figures and tables\Chapter 2 - ebook\Chapter 2 (Figure 6 -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Julia\Documents\Documents\1Projects\DITL\handover\Day in the Life figures and tables\Chapter 2 - ebook\Chapter 2 (Figure 6 - colou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B71978" w:rsidRDefault="00B71978"/>
    <w:p w:rsidR="00BA1AFD" w:rsidRDefault="00BA1AFD"/>
    <w:p w:rsidR="00A62626" w:rsidRDefault="00A62626">
      <w:r>
        <w:t>This image</w:t>
      </w:r>
      <w:r w:rsidR="005F43EF">
        <w:t>, from the early morning,</w:t>
      </w:r>
      <w:r>
        <w:t xml:space="preserve"> depicts the immediate interest of the child in the videoing process, which quickly diminished, in contrast to more adult participants of the project.  It also indicates a fairly typical stance of the researcher doing the video, in this setting, in using a fairly wide angle, at some distance and indeed occasionally using a tripod.  </w:t>
      </w:r>
      <w:proofErr w:type="spellStart"/>
      <w:r>
        <w:t>Gai</w:t>
      </w:r>
      <w:proofErr w:type="spellEnd"/>
      <w:r>
        <w:t xml:space="preserve"> spent her day in a family compound including three buildings and a lot of outside space.  The views of her interactions tend to incorporate considerable details of the environment.  However, since audio was collected only through the camera, there were certainly passages when utterances were difficult to transcribe.  </w:t>
      </w:r>
    </w:p>
    <w:p w:rsidR="00A62626" w:rsidRDefault="00A62626"/>
    <w:p w:rsidR="005F43EF" w:rsidRDefault="00A62626">
      <w:r>
        <w:t xml:space="preserve">The intention of the local researchers had been for both of them to remain on site during the day, one videoing and one note taking.  However, this was moderated in practice, in that the family regarded one of the researchers as a person of relative status; it would have been impolite not to attend to him.  Therefore, a grandmother tended to engage him in conversation and after a while he decided therefore to leave the field site for a few hours. </w:t>
      </w:r>
    </w:p>
    <w:p w:rsidR="005F43EF" w:rsidRDefault="005F43EF"/>
    <w:p w:rsidR="000F03DA" w:rsidRDefault="000F03DA"/>
    <w:p w:rsidR="000F03DA" w:rsidRDefault="000F03DA"/>
    <w:p w:rsidR="005F43EF" w:rsidRDefault="005F43EF">
      <w:r>
        <w:lastRenderedPageBreak/>
        <w:t>Figure 2: Juanita, Peru</w:t>
      </w:r>
    </w:p>
    <w:p w:rsidR="000F03DA" w:rsidRDefault="000F03DA"/>
    <w:p w:rsidR="005F43EF" w:rsidRDefault="005F43EF" w:rsidP="005F43EF">
      <w:pPr>
        <w:jc w:val="center"/>
      </w:pPr>
      <w:r w:rsidRPr="005F43EF">
        <w:rPr>
          <w:noProof/>
          <w:lang w:eastAsia="en-GB"/>
        </w:rPr>
        <w:drawing>
          <wp:inline distT="0" distB="0" distL="0" distR="0">
            <wp:extent cx="3581400" cy="2234839"/>
            <wp:effectExtent l="0" t="0" r="0" b="0"/>
            <wp:docPr id="2" name="Picture 2" descr="C:\Users\Julia\Documents\Documents\1Projects\DITL\handover\Day in the Life figures and tables\Chapter 2 - ebook\Chapter 2 (Figure 8 -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Julia\Documents\Documents\1Projects\DITL\handover\Day in the Life figures and tables\Chapter 2 - ebook\Chapter 2 (Figure 8 - colou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1025" cy="2247086"/>
                    </a:xfrm>
                    <a:prstGeom prst="rect">
                      <a:avLst/>
                    </a:prstGeom>
                    <a:noFill/>
                    <a:ln>
                      <a:noFill/>
                    </a:ln>
                  </pic:spPr>
                </pic:pic>
              </a:graphicData>
            </a:graphic>
          </wp:inline>
        </w:drawing>
      </w:r>
    </w:p>
    <w:p w:rsidR="00BA1AFD" w:rsidRDefault="00A62626">
      <w:r>
        <w:t xml:space="preserve"> </w:t>
      </w:r>
    </w:p>
    <w:p w:rsidR="00BA1AFD" w:rsidRDefault="00BA1AFD"/>
    <w:p w:rsidR="00BA1AFD" w:rsidRDefault="005F43EF">
      <w:r>
        <w:t>Mostly our families quickly accepted the research convention that, as far as possible, they should ignore the presence of the two researchers and carry on with their lives.  Very occasionally, as here, the note taker unavoidably enters the frame and her proximity to Juanita and her aunt reminds us what we were asking of them might not always have been easy.</w:t>
      </w:r>
    </w:p>
    <w:p w:rsidR="005F43EF" w:rsidRDefault="005F43EF"/>
    <w:p w:rsidR="005F43EF" w:rsidRDefault="005F43EF">
      <w:r>
        <w:t>Early in the morning Juanita had spent an hour playing on her bed, with her father talking with her and sometimes videoing her.  Her play included some dancing, which her father encouraged.  The activity of videoing seemed sometimes associated with dancing by Juanita; this was evidently not uncommon.</w:t>
      </w:r>
    </w:p>
    <w:p w:rsidR="005F43EF" w:rsidRDefault="005F43EF"/>
    <w:p w:rsidR="005F43EF" w:rsidRDefault="000F03DA">
      <w:r>
        <w:t>Figure 3</w:t>
      </w:r>
      <w:r w:rsidR="005F43EF">
        <w:t>: Jessica, UK</w:t>
      </w:r>
    </w:p>
    <w:p w:rsidR="005F43EF" w:rsidRDefault="005F43EF"/>
    <w:p w:rsidR="005F43EF" w:rsidRDefault="005F43EF" w:rsidP="005F43EF">
      <w:pPr>
        <w:jc w:val="center"/>
      </w:pPr>
      <w:r w:rsidRPr="005F43EF">
        <w:rPr>
          <w:noProof/>
          <w:lang w:eastAsia="en-GB"/>
        </w:rPr>
        <w:drawing>
          <wp:inline distT="0" distB="0" distL="0" distR="0">
            <wp:extent cx="2114550" cy="1704975"/>
            <wp:effectExtent l="0" t="0" r="0" b="9525"/>
            <wp:docPr id="3" name="Picture 3" descr="C:\Users\Julia\Documents\Documents\1Projects\DITL\handover\Day in the Life figures and tables\Chapter 5 - ebook\Chapter 5 (Figure 6 -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Julia\Documents\Documents\1Projects\DITL\handover\Day in the Life figures and tables\Chapter 5 - ebook\Chapter 5 (Figure 6 - colou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14550" cy="1704975"/>
                    </a:xfrm>
                    <a:prstGeom prst="rect">
                      <a:avLst/>
                    </a:prstGeom>
                    <a:noFill/>
                    <a:ln>
                      <a:noFill/>
                    </a:ln>
                  </pic:spPr>
                </pic:pic>
              </a:graphicData>
            </a:graphic>
          </wp:inline>
        </w:drawing>
      </w:r>
    </w:p>
    <w:p w:rsidR="00BA1AFD" w:rsidRDefault="00BA1AFD"/>
    <w:p w:rsidR="005F43EF" w:rsidRDefault="000F03DA">
      <w:r>
        <w:t xml:space="preserve">We endeavoured to stay focussed on the key child, while if possible maintaining a discrete, non-intrusive distance.  This image illustrates how at this point given space constraints it was necessary to hover closely over Jessica’s shoulder in order to capture the intricacies of her interactions with items of food.  Much later, we noticed connections in her life between various forms of Thomas the Tank Engine: a TV </w:t>
      </w:r>
      <w:r>
        <w:lastRenderedPageBreak/>
        <w:t xml:space="preserve">programme, books, </w:t>
      </w:r>
      <w:proofErr w:type="gramStart"/>
      <w:r>
        <w:t>a</w:t>
      </w:r>
      <w:proofErr w:type="gramEnd"/>
      <w:r>
        <w:t xml:space="preserve"> ride-on slot machine toy at the shopping centre and, during lunch, a shaped piece of ham. </w:t>
      </w:r>
    </w:p>
    <w:p w:rsidR="000F03DA" w:rsidRDefault="000F03DA"/>
    <w:p w:rsidR="00BA1AFD" w:rsidRDefault="00BA1AFD" w:rsidP="00E7659F">
      <w:pPr>
        <w:pStyle w:val="Heading2"/>
      </w:pPr>
      <w:r w:rsidRPr="0017718E">
        <w:rPr>
          <w:i/>
        </w:rPr>
        <w:t>Day in the Life</w:t>
      </w:r>
      <w:r>
        <w:t xml:space="preserve"> projects</w:t>
      </w:r>
      <w:r w:rsidR="000F03DA">
        <w:t xml:space="preserve"> </w:t>
      </w:r>
    </w:p>
    <w:p w:rsidR="00BA1AFD" w:rsidRDefault="00BA1AFD"/>
    <w:p w:rsidR="00C96A5B" w:rsidRDefault="00C96A5B" w:rsidP="00E87FCA">
      <w:r>
        <w:t xml:space="preserve">The original project </w:t>
      </w:r>
      <w:r w:rsidR="0017718E">
        <w:t xml:space="preserve">was conducted </w:t>
      </w:r>
      <w:r>
        <w:t xml:space="preserve">in </w:t>
      </w:r>
      <w:r w:rsidR="0017718E">
        <w:rPr>
          <w:shd w:val="clear" w:color="auto" w:fill="FFFFFF"/>
        </w:rPr>
        <w:t xml:space="preserve">Canada, Italy, Peru, Thailand, Turkey, the UK and the USA.  It has led to a book, </w:t>
      </w:r>
      <w:r w:rsidR="0017718E">
        <w:rPr>
          <w:shd w:val="clear" w:color="auto" w:fill="FFFFFF"/>
        </w:rPr>
        <w:fldChar w:fldCharType="begin" w:fldLock="1"/>
      </w:r>
      <w:r w:rsidR="00E7659F">
        <w:rPr>
          <w:shd w:val="clear" w:color="auto" w:fill="FFFFFF"/>
        </w:rPr>
        <w:instrText>ADDIN CSL_CITATION { "citationItems" : [ { "id" : "ITEM-1", "itemData" : { "editor" : [ { "dropping-particle" : "", "family" : "Gillen", "given" : "Julia", "non-dropping-particle" : "", "parse-names" : false, "suffix" : "" }, { "dropping-particle" : "", "family" : "Cameron", "given" : "Catherine Ann", "non-dropping-particle" : "", "parse-names" : false, "suffix" : "" } ], "id" : "ITEM-1", "issued" : { "date-parts" : [ [ "2010" ] ] }, "publisher" : "Palgrave Macmillan", "publisher-place" : "Basingstoke, UK", "title" : "International perspectives on early childhood research: A Day in the Life.", "type" : "book" }, "uris" : [ "http://www.mendeley.com/documents/?uuid=b8a54a61-dd6a-4d2c-bf85-db44055b884f" ] } ], "mendeley" : { "formattedCitation" : "(Gillen &amp; Cameron, 2010a)", "plainTextFormattedCitation" : "(Gillen &amp; Cameron, 2010a)", "previouslyFormattedCitation" : "(Gillen &amp; Cameron, 2010a)" }, "properties" : { "noteIndex" : 0 }, "schema" : "https://github.com/citation-style-language/schema/raw/master/csl-citation.json" }</w:instrText>
      </w:r>
      <w:r w:rsidR="0017718E">
        <w:rPr>
          <w:shd w:val="clear" w:color="auto" w:fill="FFFFFF"/>
        </w:rPr>
        <w:fldChar w:fldCharType="separate"/>
      </w:r>
      <w:r w:rsidR="00E7659F" w:rsidRPr="00E7659F">
        <w:rPr>
          <w:noProof/>
          <w:shd w:val="clear" w:color="auto" w:fill="FFFFFF"/>
        </w:rPr>
        <w:t>(Gillen &amp; Cameron, 2010a)</w:t>
      </w:r>
      <w:r w:rsidR="0017718E">
        <w:rPr>
          <w:shd w:val="clear" w:color="auto" w:fill="FFFFFF"/>
        </w:rPr>
        <w:fldChar w:fldCharType="end"/>
      </w:r>
      <w:r w:rsidR="0017718E">
        <w:rPr>
          <w:shd w:val="clear" w:color="auto" w:fill="FFFFFF"/>
        </w:rPr>
        <w:t>, with an Italian edition</w:t>
      </w:r>
      <w:r w:rsidR="000F03DA">
        <w:rPr>
          <w:shd w:val="clear" w:color="auto" w:fill="FFFFFF"/>
        </w:rPr>
        <w:t xml:space="preserve"> including new material</w:t>
      </w:r>
      <w:r w:rsidR="0017718E">
        <w:rPr>
          <w:shd w:val="clear" w:color="auto" w:fill="FFFFFF"/>
        </w:rPr>
        <w:t xml:space="preserve"> </w:t>
      </w:r>
      <w:r w:rsidR="0017718E">
        <w:rPr>
          <w:shd w:val="clear" w:color="auto" w:fill="FFFFFF"/>
        </w:rPr>
        <w:fldChar w:fldCharType="begin" w:fldLock="1"/>
      </w:r>
      <w:r w:rsidR="00E87FCA">
        <w:rPr>
          <w:shd w:val="clear" w:color="auto" w:fill="FFFFFF"/>
        </w:rPr>
        <w:instrText>ADDIN CSL_CITATION { "citationItems" : [ { "id" : "ITEM-1", "itemData" : { "author" : [ { "dropping-particle" : "", "family" : "Gillen", "given" : "Julia", "non-dropping-particle" : "", "parse-names" : false, "suffix" : "" }, { "dropping-particle" : "", "family" : "Cameron", "given" : "Catherine Ann", "non-dropping-particle" : "", "parse-names" : false, "suffix" : "" } ], "editor" : [ { "dropping-particle" : "", "family" : "Pinto", "given" : "Giuliana", "non-dropping-particle" : "", "parse-names" : false, "suffix" : "" }, { "dropping-particle" : "", "family" : "Toselli", "given" : "Monica", "non-dropping-particle" : "", "parse-names" : false, "suffix" : "" } ], "id" : "ITEM-1", "issued" : { "date-parts" : [ [ "2015" ] ] }, "publisher" : "Seid", "publisher-place" : "Firenze", "title" : "\"Un giorno nella vita\" Percosi internationali di ricerca della prima infanzia", "type" : "book" }, "uris" : [ "http://www.mendeley.com/documents/?uuid=b6b25e92-f167-4b48-ae9e-d490fd250683" ] } ], "mendeley" : { "formattedCitation" : "(Gillen &amp; Cameron, 2015)", "plainTextFormattedCitation" : "(Gillen &amp; Cameron, 2015)", "previouslyFormattedCitation" : "(Gillen &amp; Cameron, 2015)" }, "properties" : { "noteIndex" : 0 }, "schema" : "https://github.com/citation-style-language/schema/raw/master/csl-citation.json" }</w:instrText>
      </w:r>
      <w:r w:rsidR="0017718E">
        <w:rPr>
          <w:shd w:val="clear" w:color="auto" w:fill="FFFFFF"/>
        </w:rPr>
        <w:fldChar w:fldCharType="separate"/>
      </w:r>
      <w:r w:rsidR="0017718E" w:rsidRPr="0017718E">
        <w:rPr>
          <w:noProof/>
          <w:shd w:val="clear" w:color="auto" w:fill="FFFFFF"/>
        </w:rPr>
        <w:t>(Gillen &amp; Cameron, 2015)</w:t>
      </w:r>
      <w:r w:rsidR="0017718E">
        <w:rPr>
          <w:shd w:val="clear" w:color="auto" w:fill="FFFFFF"/>
        </w:rPr>
        <w:fldChar w:fldCharType="end"/>
      </w:r>
      <w:r w:rsidR="0017718E">
        <w:t xml:space="preserve"> </w:t>
      </w:r>
      <w:r w:rsidR="00E87FCA">
        <w:t>and many journal articles and conference papers.</w:t>
      </w:r>
    </w:p>
    <w:p w:rsidR="000F03DA" w:rsidRDefault="000F03DA" w:rsidP="00E87FCA"/>
    <w:p w:rsidR="000F03DA" w:rsidRDefault="000F03DA" w:rsidP="00E87FCA">
      <w:r>
        <w:t xml:space="preserve">Necessarily, the original methodology has developed as new projects have evolved, although it is beyond the scope of this very short introduction to discuss this further. </w:t>
      </w:r>
    </w:p>
    <w:p w:rsidR="00E87FCA" w:rsidRDefault="00E87FCA" w:rsidP="00E87FCA"/>
    <w:p w:rsidR="00E87FCA" w:rsidRDefault="00E87FCA" w:rsidP="00E87FCA">
      <w:pPr>
        <w:rPr>
          <w:shd w:val="clear" w:color="auto" w:fill="FFFFFF"/>
        </w:rPr>
      </w:pPr>
      <w:r>
        <w:rPr>
          <w:shd w:val="clear" w:color="auto" w:fill="FFFFFF"/>
        </w:rPr>
        <w:t xml:space="preserve">The second project explored the resilience of adolescents in Canada, China, Thailand, India and South Africa. Themes of the contributions to thriving of traditional culture, identities, security strivings, and humour emerged as particularly salient. This project was led by Ann Cameron and I have not been involved at all.  </w:t>
      </w:r>
    </w:p>
    <w:p w:rsidR="00E87FCA" w:rsidRDefault="00E87FCA" w:rsidP="00E87FCA">
      <w:pPr>
        <w:rPr>
          <w:shd w:val="clear" w:color="auto" w:fill="FFFFFF"/>
        </w:rPr>
      </w:pPr>
    </w:p>
    <w:p w:rsidR="00E87FCA" w:rsidRDefault="00E87FCA" w:rsidP="00E87FCA">
      <w:r>
        <w:rPr>
          <w:shd w:val="clear" w:color="auto" w:fill="FFFFFF"/>
        </w:rPr>
        <w:t xml:space="preserve">The third initiative is currently studying </w:t>
      </w:r>
      <w:r w:rsidRPr="00E87FCA">
        <w:rPr>
          <w:i/>
          <w:shd w:val="clear" w:color="auto" w:fill="FFFFFF"/>
        </w:rPr>
        <w:t>a day in the life</w:t>
      </w:r>
      <w:r>
        <w:rPr>
          <w:shd w:val="clear" w:color="auto" w:fill="FFFFFF"/>
        </w:rPr>
        <w:t xml:space="preserve"> of children in transition to school, and in particular, transitions of children from cultures different from the culture of the larger community in which the schoo</w:t>
      </w:r>
      <w:r w:rsidR="007B3B27">
        <w:rPr>
          <w:shd w:val="clear" w:color="auto" w:fill="FFFFFF"/>
        </w:rPr>
        <w:t xml:space="preserve">l is located. The project investigators include </w:t>
      </w:r>
      <w:r>
        <w:rPr>
          <w:shd w:val="clear" w:color="auto" w:fill="FFFFFF"/>
        </w:rPr>
        <w:t xml:space="preserve">Ann Cameron </w:t>
      </w:r>
      <w:r w:rsidR="007B3B27">
        <w:rPr>
          <w:shd w:val="clear" w:color="auto" w:fill="FFFFFF"/>
        </w:rPr>
        <w:t xml:space="preserve">and </w:t>
      </w:r>
      <w:proofErr w:type="spellStart"/>
      <w:r w:rsidR="007B3B27">
        <w:rPr>
          <w:shd w:val="clear" w:color="auto" w:fill="FFFFFF"/>
        </w:rPr>
        <w:t>Kristiina</w:t>
      </w:r>
      <w:proofErr w:type="spellEnd"/>
      <w:r w:rsidR="007B3B27">
        <w:rPr>
          <w:shd w:val="clear" w:color="auto" w:fill="FFFFFF"/>
        </w:rPr>
        <w:t xml:space="preserve"> </w:t>
      </w:r>
      <w:proofErr w:type="spellStart"/>
      <w:r w:rsidR="007B3B27">
        <w:rPr>
          <w:shd w:val="clear" w:color="auto" w:fill="FFFFFF"/>
        </w:rPr>
        <w:t>Kumpulainen</w:t>
      </w:r>
      <w:proofErr w:type="spellEnd"/>
      <w:r w:rsidR="007B3B27">
        <w:rPr>
          <w:shd w:val="clear" w:color="auto" w:fill="FFFFFF"/>
        </w:rPr>
        <w:t xml:space="preserve">. </w:t>
      </w:r>
      <w:r>
        <w:rPr>
          <w:shd w:val="clear" w:color="auto" w:fill="FFFFFF"/>
        </w:rPr>
        <w:t xml:space="preserve">I am involved in </w:t>
      </w:r>
      <w:r w:rsidR="007B3B27">
        <w:rPr>
          <w:shd w:val="clear" w:color="auto" w:fill="FFFFFF"/>
        </w:rPr>
        <w:t xml:space="preserve">a minor way, working with </w:t>
      </w:r>
      <w:r>
        <w:rPr>
          <w:shd w:val="clear" w:color="auto" w:fill="FFFFFF"/>
        </w:rPr>
        <w:t xml:space="preserve">one dataset. </w:t>
      </w:r>
    </w:p>
    <w:p w:rsidR="00BA1AFD" w:rsidRDefault="00BA1AFD" w:rsidP="00E87FCA"/>
    <w:p w:rsidR="00BA1AFD" w:rsidRDefault="00E87FCA" w:rsidP="00E87FCA">
      <w:pPr>
        <w:rPr>
          <w:shd w:val="clear" w:color="auto" w:fill="FFFFFF"/>
        </w:rPr>
      </w:pPr>
      <w:r>
        <w:t xml:space="preserve">Susan Young developed the methodology in new directions, </w:t>
      </w:r>
      <w:r>
        <w:rPr>
          <w:shd w:val="clear" w:color="auto" w:fill="FFFFFF"/>
        </w:rPr>
        <w:t xml:space="preserve">leading </w:t>
      </w:r>
      <w:proofErr w:type="spellStart"/>
      <w:r>
        <w:rPr>
          <w:shd w:val="clear" w:color="auto" w:fill="FFFFFF"/>
        </w:rPr>
        <w:t>MyPlace</w:t>
      </w:r>
      <w:proofErr w:type="spellEnd"/>
      <w:r>
        <w:rPr>
          <w:shd w:val="clear" w:color="auto" w:fill="FFFFFF"/>
        </w:rPr>
        <w:t>: MyMusic: an international project to explore everyday music in the home among seven-year-olds in diverse locations, including Brazil, Singapore and Kenya.</w:t>
      </w:r>
    </w:p>
    <w:p w:rsidR="00E87FCA" w:rsidRDefault="00E87FCA" w:rsidP="00E87FCA">
      <w:pPr>
        <w:rPr>
          <w:shd w:val="clear" w:color="auto" w:fill="FFFFFF"/>
        </w:rPr>
      </w:pPr>
    </w:p>
    <w:p w:rsidR="00E87FCA" w:rsidRDefault="00E87FCA" w:rsidP="00E87FCA">
      <w:r>
        <w:rPr>
          <w:shd w:val="clear" w:color="auto" w:fill="FFFFFF"/>
        </w:rPr>
        <w:t xml:space="preserve">The project methodology has occasionally also been cited in projects that have surprised us, most recently in </w:t>
      </w:r>
      <w:r w:rsidRPr="00E87FCA">
        <w:rPr>
          <w:i/>
          <w:shd w:val="clear" w:color="auto" w:fill="FFFFFF"/>
        </w:rPr>
        <w:t>Applied Ergonomics</w:t>
      </w:r>
      <w:r>
        <w:rPr>
          <w:shd w:val="clear" w:color="auto" w:fill="FFFFFF"/>
        </w:rPr>
        <w:t xml:space="preserve"> </w:t>
      </w:r>
      <w:r>
        <w:rPr>
          <w:shd w:val="clear" w:color="auto" w:fill="FFFFFF"/>
        </w:rPr>
        <w:fldChar w:fldCharType="begin" w:fldLock="1"/>
      </w:r>
      <w:r w:rsidR="006A34E4">
        <w:rPr>
          <w:shd w:val="clear" w:color="auto" w:fill="FFFFFF"/>
        </w:rPr>
        <w:instrText>ADDIN CSL_CITATION { "citationItems" : [ { "id" : "ITEM-1", "itemData" : { "DOI" : "10.1016/j.apergo.2016.01.009", "ISSN" : "00036870", "abstract" : "During the design of Human-Computer Interaction (HCI) systems, the creation of visual artefacts forms an important part of design. On one hand producing a visual artefact has a number of advantages: it helps designers to externalise their thought and acts as a common language between different stakeholders. On the other hand, if an inappropriate visualisation method is employed it could hinder the design process. To support the design of HCI systems, this paper reviews the categorisation of visualisation methods used in HCI. A keyword search is conducted to identify a) current HCI design methods, b) approaches of selecting these methods. The resulting design methods are filtered to create a list of just visualisation methods. These are then categorised using the approaches identified in (b). As a result 23 HCI visualisation methods are identified and categorised in 5 selection approaches (The Recipient, Primary Purpose, Visual Archetype, Interaction Type, and The Design Process).", "author" : [ { "dropping-particle" : "", "family" : "Li", "given" : "Katie", "non-dropping-particle" : "", "parse-names" : false, "suffix" : "" }, { "dropping-particle" : "", "family" : "Tiwari", "given" : "Ashutosh", "non-dropping-particle" : "", "parse-names" : false, "suffix" : "" }, { "dropping-particle" : "", "family" : "Alcock", "given" : "Jeffrey", "non-dropping-particle" : "", "parse-names" : false, "suffix" : "" }, { "dropping-particle" : "", "family" : "Bermell-Garcia", "given" : "Pablo", "non-dropping-particle" : "", "parse-names" : false, "suffix" : "" } ], "container-title" : "Applied Ergonomics", "id" : "ITEM-1", "issued" : { "date-parts" : [ [ "2016", "7" ] ] }, "page" : "85-107", "title" : "Categorisation of visualisation methods to support the design of Human-Computer Interaction Systems", "type" : "article-journal", "volume" : "55" }, "uris" : [ "http://www.mendeley.com/documents/?uuid=5c7f8348-f867-4ed5-a553-9892683084fc" ] } ], "mendeley" : { "formattedCitation" : "(Li, Tiwari, Alcock, &amp; Bermell-Garcia, 2016)", "plainTextFormattedCitation" : "(Li, Tiwari, Alcock, &amp; Bermell-Garcia, 2016)", "previouslyFormattedCitation" : "(Li, Tiwari, Alcock, &amp; Bermell-Garcia, 2016)" }, "properties" : { "noteIndex" : 0 }, "schema" : "https://github.com/citation-style-language/schema/raw/master/csl-citation.json" }</w:instrText>
      </w:r>
      <w:r>
        <w:rPr>
          <w:shd w:val="clear" w:color="auto" w:fill="FFFFFF"/>
        </w:rPr>
        <w:fldChar w:fldCharType="separate"/>
      </w:r>
      <w:r w:rsidRPr="00E87FCA">
        <w:rPr>
          <w:noProof/>
          <w:shd w:val="clear" w:color="auto" w:fill="FFFFFF"/>
        </w:rPr>
        <w:t>(Li, Tiwari, Alcock, &amp; Bermell-Garcia, 2016)</w:t>
      </w:r>
      <w:r>
        <w:rPr>
          <w:shd w:val="clear" w:color="auto" w:fill="FFFFFF"/>
        </w:rPr>
        <w:fldChar w:fldCharType="end"/>
      </w:r>
    </w:p>
    <w:p w:rsidR="00BA1AFD" w:rsidRDefault="00BA1AFD" w:rsidP="00E87FCA"/>
    <w:p w:rsidR="006A34E4" w:rsidRDefault="006A34E4" w:rsidP="00E87FCA">
      <w:r>
        <w:t>References</w:t>
      </w:r>
    </w:p>
    <w:p w:rsidR="006A34E4" w:rsidRDefault="006A34E4" w:rsidP="00E87FCA"/>
    <w:p w:rsidR="000F03DA" w:rsidRPr="000F03DA" w:rsidRDefault="000F03DA" w:rsidP="000F03DA">
      <w:pPr>
        <w:widowControl w:val="0"/>
        <w:autoSpaceDE w:val="0"/>
        <w:autoSpaceDN w:val="0"/>
        <w:adjustRightInd w:val="0"/>
        <w:ind w:left="480" w:hanging="480"/>
        <w:rPr>
          <w:rFonts w:cs="Times New Roman"/>
          <w:noProof/>
          <w:szCs w:val="24"/>
        </w:rPr>
      </w:pPr>
      <w:r>
        <w:fldChar w:fldCharType="begin" w:fldLock="1"/>
      </w:r>
      <w:r>
        <w:instrText xml:space="preserve">ADDIN Mendeley Bibliography CSL_BIBLIOGRAPHY </w:instrText>
      </w:r>
      <w:r>
        <w:fldChar w:fldCharType="separate"/>
      </w:r>
      <w:r w:rsidRPr="000F03DA">
        <w:rPr>
          <w:rFonts w:cs="Times New Roman"/>
          <w:noProof/>
          <w:szCs w:val="24"/>
        </w:rPr>
        <w:t xml:space="preserve">Gillen, J., &amp; Cameron, C. A. (Eds.). (2010a). </w:t>
      </w:r>
      <w:r w:rsidRPr="000F03DA">
        <w:rPr>
          <w:rFonts w:cs="Times New Roman"/>
          <w:i/>
          <w:iCs/>
          <w:noProof/>
          <w:szCs w:val="24"/>
        </w:rPr>
        <w:t>International perspectives on early childhood research: A Day in the Life.</w:t>
      </w:r>
      <w:r w:rsidRPr="000F03DA">
        <w:rPr>
          <w:rFonts w:cs="Times New Roman"/>
          <w:noProof/>
          <w:szCs w:val="24"/>
        </w:rPr>
        <w:t xml:space="preserve"> Basingstoke, UK: Palgrave Macmillan.</w:t>
      </w:r>
    </w:p>
    <w:p w:rsidR="000F03DA" w:rsidRPr="000F03DA" w:rsidRDefault="000F03DA" w:rsidP="000F03DA">
      <w:pPr>
        <w:widowControl w:val="0"/>
        <w:autoSpaceDE w:val="0"/>
        <w:autoSpaceDN w:val="0"/>
        <w:adjustRightInd w:val="0"/>
        <w:ind w:left="480" w:hanging="480"/>
        <w:rPr>
          <w:rFonts w:cs="Times New Roman"/>
          <w:noProof/>
          <w:szCs w:val="24"/>
        </w:rPr>
      </w:pPr>
      <w:r w:rsidRPr="000F03DA">
        <w:rPr>
          <w:rFonts w:cs="Times New Roman"/>
          <w:noProof/>
          <w:szCs w:val="24"/>
        </w:rPr>
        <w:t xml:space="preserve">Gillen, J., &amp; Cameron, C. A. (2010b). Introduction. In J. Gillen &amp; C. A. Cameron (Eds.), </w:t>
      </w:r>
      <w:r w:rsidRPr="000F03DA">
        <w:rPr>
          <w:rFonts w:cs="Times New Roman"/>
          <w:i/>
          <w:iCs/>
          <w:noProof/>
          <w:szCs w:val="24"/>
        </w:rPr>
        <w:t>International perspectives on early childhood research: a day in the life</w:t>
      </w:r>
      <w:r w:rsidRPr="000F03DA">
        <w:rPr>
          <w:rFonts w:cs="Times New Roman"/>
          <w:noProof/>
          <w:szCs w:val="24"/>
        </w:rPr>
        <w:t xml:space="preserve"> (pp. 1–34). Basingstoke, UK: Palgrave Macmillan.</w:t>
      </w:r>
    </w:p>
    <w:p w:rsidR="000F03DA" w:rsidRPr="000F03DA" w:rsidRDefault="000F03DA" w:rsidP="000F03DA">
      <w:pPr>
        <w:widowControl w:val="0"/>
        <w:autoSpaceDE w:val="0"/>
        <w:autoSpaceDN w:val="0"/>
        <w:adjustRightInd w:val="0"/>
        <w:ind w:left="480" w:hanging="480"/>
        <w:rPr>
          <w:rFonts w:cs="Times New Roman"/>
          <w:noProof/>
          <w:szCs w:val="24"/>
        </w:rPr>
      </w:pPr>
      <w:r w:rsidRPr="000F03DA">
        <w:rPr>
          <w:rFonts w:cs="Times New Roman"/>
          <w:noProof/>
          <w:szCs w:val="24"/>
        </w:rPr>
        <w:t xml:space="preserve">Gillen, J., &amp; Cameron, C. A. (2015). </w:t>
      </w:r>
      <w:r w:rsidRPr="000F03DA">
        <w:rPr>
          <w:rFonts w:cs="Times New Roman"/>
          <w:i/>
          <w:iCs/>
          <w:noProof/>
          <w:szCs w:val="24"/>
        </w:rPr>
        <w:t>“Un giorno nella vita” Percosi internationali di ricerca della prima infanzia</w:t>
      </w:r>
      <w:r w:rsidRPr="000F03DA">
        <w:rPr>
          <w:rFonts w:cs="Times New Roman"/>
          <w:noProof/>
          <w:szCs w:val="24"/>
        </w:rPr>
        <w:t>. (G. Pinto &amp; M. Toselli, Eds.). Firenze: Seid.</w:t>
      </w:r>
    </w:p>
    <w:p w:rsidR="000F03DA" w:rsidRPr="000F03DA" w:rsidRDefault="000F03DA" w:rsidP="000F03DA">
      <w:pPr>
        <w:widowControl w:val="0"/>
        <w:autoSpaceDE w:val="0"/>
        <w:autoSpaceDN w:val="0"/>
        <w:adjustRightInd w:val="0"/>
        <w:ind w:left="480" w:hanging="480"/>
        <w:rPr>
          <w:rFonts w:cs="Times New Roman"/>
          <w:noProof/>
          <w:szCs w:val="24"/>
        </w:rPr>
      </w:pPr>
      <w:r w:rsidRPr="000F03DA">
        <w:rPr>
          <w:rFonts w:cs="Times New Roman"/>
          <w:noProof/>
          <w:szCs w:val="24"/>
        </w:rPr>
        <w:t xml:space="preserve">Gillen, J., Cameron, C. A., Tapanya, S., Pinto, G., Hancock, R., Young, S., &amp; </w:t>
      </w:r>
      <w:r w:rsidRPr="000F03DA">
        <w:rPr>
          <w:rFonts w:cs="Times New Roman"/>
          <w:noProof/>
          <w:szCs w:val="24"/>
        </w:rPr>
        <w:lastRenderedPageBreak/>
        <w:t xml:space="preserve">Gamannossi, B. A. (2007). “A day in the life”: advancing a methodology for the cultural study of development and learning in early childhood. </w:t>
      </w:r>
      <w:r w:rsidRPr="000F03DA">
        <w:rPr>
          <w:rFonts w:cs="Times New Roman"/>
          <w:i/>
          <w:iCs/>
          <w:noProof/>
          <w:szCs w:val="24"/>
        </w:rPr>
        <w:t>Early Child Development and Care</w:t>
      </w:r>
      <w:r w:rsidRPr="000F03DA">
        <w:rPr>
          <w:rFonts w:cs="Times New Roman"/>
          <w:noProof/>
          <w:szCs w:val="24"/>
        </w:rPr>
        <w:t xml:space="preserve">, </w:t>
      </w:r>
      <w:r w:rsidRPr="000F03DA">
        <w:rPr>
          <w:rFonts w:cs="Times New Roman"/>
          <w:i/>
          <w:iCs/>
          <w:noProof/>
          <w:szCs w:val="24"/>
        </w:rPr>
        <w:t>177</w:t>
      </w:r>
      <w:r w:rsidRPr="000F03DA">
        <w:rPr>
          <w:rFonts w:cs="Times New Roman"/>
          <w:noProof/>
          <w:szCs w:val="24"/>
        </w:rPr>
        <w:t>(2), 207–218. doi:10.1080/03004430500393763</w:t>
      </w:r>
    </w:p>
    <w:p w:rsidR="000F03DA" w:rsidRPr="000F03DA" w:rsidRDefault="000F03DA" w:rsidP="000F03DA">
      <w:pPr>
        <w:widowControl w:val="0"/>
        <w:autoSpaceDE w:val="0"/>
        <w:autoSpaceDN w:val="0"/>
        <w:adjustRightInd w:val="0"/>
        <w:ind w:left="480" w:hanging="480"/>
        <w:rPr>
          <w:rFonts w:cs="Times New Roman"/>
          <w:noProof/>
          <w:szCs w:val="24"/>
        </w:rPr>
      </w:pPr>
      <w:r w:rsidRPr="000F03DA">
        <w:rPr>
          <w:rFonts w:cs="Times New Roman"/>
          <w:noProof/>
          <w:szCs w:val="24"/>
        </w:rPr>
        <w:t xml:space="preserve">Hancock, R., Gillen, J., &amp; Pinto, G. (2010). Using video technology. In J. Gillen &amp; C. A. Cameron (Eds.), </w:t>
      </w:r>
      <w:r w:rsidRPr="000F03DA">
        <w:rPr>
          <w:rFonts w:cs="Times New Roman"/>
          <w:i/>
          <w:iCs/>
          <w:noProof/>
          <w:szCs w:val="24"/>
        </w:rPr>
        <w:t>International perspectives on early childhood research: a day in the life</w:t>
      </w:r>
      <w:r w:rsidRPr="000F03DA">
        <w:rPr>
          <w:rFonts w:cs="Times New Roman"/>
          <w:noProof/>
          <w:szCs w:val="24"/>
        </w:rPr>
        <w:t xml:space="preserve"> (pp. 35–58). Basingstoke, UK: Palgrave Macmillan.</w:t>
      </w:r>
    </w:p>
    <w:p w:rsidR="000F03DA" w:rsidRPr="000F03DA" w:rsidRDefault="000F03DA" w:rsidP="000F03DA">
      <w:pPr>
        <w:widowControl w:val="0"/>
        <w:autoSpaceDE w:val="0"/>
        <w:autoSpaceDN w:val="0"/>
        <w:adjustRightInd w:val="0"/>
        <w:ind w:left="480" w:hanging="480"/>
        <w:rPr>
          <w:rFonts w:cs="Times New Roman"/>
          <w:noProof/>
          <w:szCs w:val="24"/>
        </w:rPr>
      </w:pPr>
      <w:r w:rsidRPr="000F03DA">
        <w:rPr>
          <w:rFonts w:cs="Times New Roman"/>
          <w:noProof/>
          <w:szCs w:val="24"/>
        </w:rPr>
        <w:t xml:space="preserve">Jessor, R., Colby, A., &amp; Shweder, R. (Eds.). (1996). </w:t>
      </w:r>
      <w:r w:rsidRPr="000F03DA">
        <w:rPr>
          <w:rFonts w:cs="Times New Roman"/>
          <w:i/>
          <w:iCs/>
          <w:noProof/>
          <w:szCs w:val="24"/>
        </w:rPr>
        <w:t>Ethnography and human development: context and meaning in social inquiry</w:t>
      </w:r>
      <w:r w:rsidRPr="000F03DA">
        <w:rPr>
          <w:rFonts w:cs="Times New Roman"/>
          <w:noProof/>
          <w:szCs w:val="24"/>
        </w:rPr>
        <w:t>. Chicago: University of Chicago Press.</w:t>
      </w:r>
    </w:p>
    <w:p w:rsidR="000F03DA" w:rsidRPr="000F03DA" w:rsidRDefault="000F03DA" w:rsidP="000F03DA">
      <w:pPr>
        <w:widowControl w:val="0"/>
        <w:autoSpaceDE w:val="0"/>
        <w:autoSpaceDN w:val="0"/>
        <w:adjustRightInd w:val="0"/>
        <w:ind w:left="480" w:hanging="480"/>
        <w:rPr>
          <w:rFonts w:cs="Times New Roman"/>
          <w:noProof/>
          <w:szCs w:val="24"/>
        </w:rPr>
      </w:pPr>
      <w:r w:rsidRPr="000F03DA">
        <w:rPr>
          <w:rFonts w:cs="Times New Roman"/>
          <w:noProof/>
          <w:szCs w:val="24"/>
        </w:rPr>
        <w:t xml:space="preserve">Law, J. (2016). STS as method. In U. Felt, C. Miller, L. Smith-Doerr, &amp; R. Fouche (Eds.), </w:t>
      </w:r>
      <w:r w:rsidRPr="000F03DA">
        <w:rPr>
          <w:rFonts w:cs="Times New Roman"/>
          <w:i/>
          <w:iCs/>
          <w:noProof/>
          <w:szCs w:val="24"/>
        </w:rPr>
        <w:t>Handbook of Science and Technology Studies</w:t>
      </w:r>
      <w:r w:rsidRPr="000F03DA">
        <w:rPr>
          <w:rFonts w:cs="Times New Roman"/>
          <w:noProof/>
          <w:szCs w:val="24"/>
        </w:rPr>
        <w:t>. Cambridge, MA: MIT Press. Retrieved from http://www.heterogeneities.net/publications/Law2015STSAsMethod.pdf</w:t>
      </w:r>
    </w:p>
    <w:p w:rsidR="000F03DA" w:rsidRPr="000F03DA" w:rsidRDefault="000F03DA" w:rsidP="000F03DA">
      <w:pPr>
        <w:widowControl w:val="0"/>
        <w:autoSpaceDE w:val="0"/>
        <w:autoSpaceDN w:val="0"/>
        <w:adjustRightInd w:val="0"/>
        <w:ind w:left="480" w:hanging="480"/>
        <w:rPr>
          <w:rFonts w:cs="Times New Roman"/>
          <w:noProof/>
          <w:szCs w:val="24"/>
        </w:rPr>
      </w:pPr>
      <w:r w:rsidRPr="000F03DA">
        <w:rPr>
          <w:rFonts w:cs="Times New Roman"/>
          <w:noProof/>
          <w:szCs w:val="24"/>
        </w:rPr>
        <w:t xml:space="preserve">Leontiev, A. J. (1978). </w:t>
      </w:r>
      <w:r w:rsidRPr="000F03DA">
        <w:rPr>
          <w:rFonts w:cs="Times New Roman"/>
          <w:i/>
          <w:iCs/>
          <w:noProof/>
          <w:szCs w:val="24"/>
        </w:rPr>
        <w:t>Activity, consciousness, and personality</w:t>
      </w:r>
      <w:r w:rsidRPr="000F03DA">
        <w:rPr>
          <w:rFonts w:cs="Times New Roman"/>
          <w:noProof/>
          <w:szCs w:val="24"/>
        </w:rPr>
        <w:t>. Englewood Cliffs, N.J.: Prentice-Hall.</w:t>
      </w:r>
    </w:p>
    <w:p w:rsidR="000F03DA" w:rsidRPr="000F03DA" w:rsidRDefault="000F03DA" w:rsidP="000F03DA">
      <w:pPr>
        <w:widowControl w:val="0"/>
        <w:autoSpaceDE w:val="0"/>
        <w:autoSpaceDN w:val="0"/>
        <w:adjustRightInd w:val="0"/>
        <w:ind w:left="480" w:hanging="480"/>
        <w:rPr>
          <w:rFonts w:cs="Times New Roman"/>
          <w:noProof/>
          <w:szCs w:val="24"/>
        </w:rPr>
      </w:pPr>
      <w:r w:rsidRPr="000F03DA">
        <w:rPr>
          <w:rFonts w:cs="Times New Roman"/>
          <w:noProof/>
          <w:szCs w:val="24"/>
        </w:rPr>
        <w:t xml:space="preserve">Li, K., Tiwari, A., Alcock, J., &amp; Bermell-Garcia, P. (2016). Categorisation of visualisation methods to support the design of Human-Computer Interaction Systems. </w:t>
      </w:r>
      <w:r w:rsidRPr="000F03DA">
        <w:rPr>
          <w:rFonts w:cs="Times New Roman"/>
          <w:i/>
          <w:iCs/>
          <w:noProof/>
          <w:szCs w:val="24"/>
        </w:rPr>
        <w:t>Applied Ergonomics</w:t>
      </w:r>
      <w:r w:rsidRPr="000F03DA">
        <w:rPr>
          <w:rFonts w:cs="Times New Roman"/>
          <w:noProof/>
          <w:szCs w:val="24"/>
        </w:rPr>
        <w:t xml:space="preserve">, </w:t>
      </w:r>
      <w:r w:rsidRPr="000F03DA">
        <w:rPr>
          <w:rFonts w:cs="Times New Roman"/>
          <w:i/>
          <w:iCs/>
          <w:noProof/>
          <w:szCs w:val="24"/>
        </w:rPr>
        <w:t>55</w:t>
      </w:r>
      <w:r w:rsidRPr="000F03DA">
        <w:rPr>
          <w:rFonts w:cs="Times New Roman"/>
          <w:noProof/>
          <w:szCs w:val="24"/>
        </w:rPr>
        <w:t>, 85–107. doi:10.1016/j.apergo.2016.01.009</w:t>
      </w:r>
    </w:p>
    <w:p w:rsidR="000F03DA" w:rsidRPr="000F03DA" w:rsidRDefault="000F03DA" w:rsidP="000F03DA">
      <w:pPr>
        <w:widowControl w:val="0"/>
        <w:autoSpaceDE w:val="0"/>
        <w:autoSpaceDN w:val="0"/>
        <w:adjustRightInd w:val="0"/>
        <w:ind w:left="480" w:hanging="480"/>
        <w:rPr>
          <w:noProof/>
        </w:rPr>
      </w:pPr>
      <w:r w:rsidRPr="000F03DA">
        <w:rPr>
          <w:rFonts w:cs="Times New Roman"/>
          <w:noProof/>
          <w:szCs w:val="24"/>
        </w:rPr>
        <w:t xml:space="preserve">Nsamenang, A. B. (1992). </w:t>
      </w:r>
      <w:r w:rsidRPr="000F03DA">
        <w:rPr>
          <w:rFonts w:cs="Times New Roman"/>
          <w:i/>
          <w:iCs/>
          <w:noProof/>
          <w:szCs w:val="24"/>
        </w:rPr>
        <w:t>Human development in cultural context: a third wolrd perspective</w:t>
      </w:r>
      <w:r w:rsidRPr="000F03DA">
        <w:rPr>
          <w:rFonts w:cs="Times New Roman"/>
          <w:noProof/>
          <w:szCs w:val="24"/>
        </w:rPr>
        <w:t>. New York: Teachers College Press.</w:t>
      </w:r>
    </w:p>
    <w:p w:rsidR="006A34E4" w:rsidRDefault="000F03DA" w:rsidP="00E87FCA">
      <w:r>
        <w:fldChar w:fldCharType="end"/>
      </w:r>
    </w:p>
    <w:sectPr w:rsidR="006A34E4" w:rsidSect="000F03DA">
      <w:head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5C5" w:rsidRDefault="008A75C5" w:rsidP="000F03DA">
      <w:r>
        <w:separator/>
      </w:r>
    </w:p>
  </w:endnote>
  <w:endnote w:type="continuationSeparator" w:id="0">
    <w:p w:rsidR="008A75C5" w:rsidRDefault="008A75C5" w:rsidP="000F0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5C5" w:rsidRDefault="008A75C5" w:rsidP="000F03DA">
      <w:r>
        <w:separator/>
      </w:r>
    </w:p>
  </w:footnote>
  <w:footnote w:type="continuationSeparator" w:id="0">
    <w:p w:rsidR="008A75C5" w:rsidRDefault="008A75C5" w:rsidP="000F0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156671"/>
      <w:docPartObj>
        <w:docPartGallery w:val="Page Numbers (Top of Page)"/>
        <w:docPartUnique/>
      </w:docPartObj>
    </w:sdtPr>
    <w:sdtEndPr>
      <w:rPr>
        <w:noProof/>
      </w:rPr>
    </w:sdtEndPr>
    <w:sdtContent>
      <w:p w:rsidR="000F03DA" w:rsidRDefault="000F03DA">
        <w:pPr>
          <w:pStyle w:val="Header"/>
          <w:jc w:val="right"/>
        </w:pPr>
        <w:r>
          <w:fldChar w:fldCharType="begin"/>
        </w:r>
        <w:r>
          <w:instrText xml:space="preserve"> PAGE   \* MERGEFORMAT </w:instrText>
        </w:r>
        <w:r>
          <w:fldChar w:fldCharType="separate"/>
        </w:r>
        <w:r w:rsidR="00A71A1E">
          <w:rPr>
            <w:noProof/>
          </w:rPr>
          <w:t>7</w:t>
        </w:r>
        <w:r>
          <w:rPr>
            <w:noProof/>
          </w:rPr>
          <w:fldChar w:fldCharType="end"/>
        </w:r>
      </w:p>
    </w:sdtContent>
  </w:sdt>
  <w:p w:rsidR="000F03DA" w:rsidRDefault="000F03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4774"/>
    <w:multiLevelType w:val="hybridMultilevel"/>
    <w:tmpl w:val="C1E2A00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0F5"/>
    <w:rsid w:val="000F03DA"/>
    <w:rsid w:val="0017718E"/>
    <w:rsid w:val="0028515D"/>
    <w:rsid w:val="005F43EF"/>
    <w:rsid w:val="0064155B"/>
    <w:rsid w:val="00650068"/>
    <w:rsid w:val="006A34E4"/>
    <w:rsid w:val="006E3AB0"/>
    <w:rsid w:val="007B3B27"/>
    <w:rsid w:val="007D34C6"/>
    <w:rsid w:val="008A75C5"/>
    <w:rsid w:val="00972396"/>
    <w:rsid w:val="00A62626"/>
    <w:rsid w:val="00A650F5"/>
    <w:rsid w:val="00A71A1E"/>
    <w:rsid w:val="00B1007F"/>
    <w:rsid w:val="00B71978"/>
    <w:rsid w:val="00BA1AFD"/>
    <w:rsid w:val="00C53661"/>
    <w:rsid w:val="00C96A5B"/>
    <w:rsid w:val="00CE10C3"/>
    <w:rsid w:val="00CE426D"/>
    <w:rsid w:val="00E7659F"/>
    <w:rsid w:val="00E87FCA"/>
    <w:rsid w:val="00F35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alatino Linotype"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661"/>
    <w:pPr>
      <w:spacing w:after="0" w:line="240" w:lineRule="auto"/>
    </w:pPr>
    <w:rPr>
      <w:rFonts w:ascii="Palatino Linotype" w:hAnsi="Palatino Linotype" w:cs="Palatino Linotype"/>
      <w:sz w:val="24"/>
    </w:rPr>
  </w:style>
  <w:style w:type="paragraph" w:styleId="Heading1">
    <w:name w:val="heading 1"/>
    <w:basedOn w:val="Normal"/>
    <w:next w:val="Normal"/>
    <w:link w:val="Heading1Char"/>
    <w:uiPriority w:val="9"/>
    <w:qFormat/>
    <w:rsid w:val="00C53661"/>
    <w:pPr>
      <w:keepNext/>
      <w:keepLines/>
      <w:spacing w:after="120"/>
      <w:jc w:val="center"/>
      <w:outlineLvl w:val="0"/>
    </w:pPr>
    <w:rPr>
      <w:rFonts w:cstheme="majorBidi"/>
      <w:sz w:val="32"/>
      <w:szCs w:val="32"/>
    </w:rPr>
  </w:style>
  <w:style w:type="paragraph" w:styleId="Heading2">
    <w:name w:val="heading 2"/>
    <w:basedOn w:val="Normal"/>
    <w:next w:val="Normal"/>
    <w:link w:val="Heading2Char"/>
    <w:autoRedefine/>
    <w:uiPriority w:val="9"/>
    <w:unhideWhenUsed/>
    <w:qFormat/>
    <w:rsid w:val="00E7659F"/>
    <w:pPr>
      <w:keepNext/>
      <w:keepLines/>
      <w:spacing w:before="120" w:after="120"/>
      <w:outlineLvl w:val="1"/>
    </w:pPr>
    <w:rPr>
      <w:rFonts w:eastAsiaTheme="majorEastAsia" w:cstheme="majorBid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659F"/>
    <w:rPr>
      <w:rFonts w:ascii="Palatino Linotype" w:eastAsiaTheme="majorEastAsia" w:hAnsi="Palatino Linotype" w:cstheme="majorBidi"/>
      <w:color w:val="000000" w:themeColor="text1"/>
      <w:sz w:val="28"/>
      <w:szCs w:val="28"/>
    </w:rPr>
  </w:style>
  <w:style w:type="character" w:customStyle="1" w:styleId="Heading1Char">
    <w:name w:val="Heading 1 Char"/>
    <w:basedOn w:val="DefaultParagraphFont"/>
    <w:link w:val="Heading1"/>
    <w:uiPriority w:val="9"/>
    <w:rsid w:val="00C53661"/>
    <w:rPr>
      <w:rFonts w:ascii="Palatino Linotype" w:eastAsia="Palatino Linotype" w:hAnsi="Palatino Linotype" w:cstheme="majorBidi"/>
      <w:sz w:val="32"/>
      <w:szCs w:val="32"/>
    </w:rPr>
  </w:style>
  <w:style w:type="paragraph" w:customStyle="1" w:styleId="intdened">
    <w:name w:val="intdened"/>
    <w:basedOn w:val="Normal"/>
    <w:link w:val="intdenedChar"/>
    <w:qFormat/>
    <w:rsid w:val="00650068"/>
    <w:pPr>
      <w:spacing w:after="120"/>
      <w:ind w:left="284"/>
    </w:pPr>
    <w:rPr>
      <w:rFonts w:eastAsiaTheme="minorHAnsi" w:cstheme="minorBidi"/>
      <w:szCs w:val="24"/>
    </w:rPr>
  </w:style>
  <w:style w:type="character" w:customStyle="1" w:styleId="intdenedChar">
    <w:name w:val="intdened Char"/>
    <w:basedOn w:val="DefaultParagraphFont"/>
    <w:link w:val="intdened"/>
    <w:rsid w:val="00650068"/>
    <w:rPr>
      <w:rFonts w:ascii="Palatino Linotype" w:eastAsiaTheme="minorHAnsi" w:hAnsi="Palatino Linotype"/>
      <w:sz w:val="24"/>
      <w:szCs w:val="24"/>
    </w:rPr>
  </w:style>
  <w:style w:type="character" w:customStyle="1" w:styleId="apple-converted-space">
    <w:name w:val="apple-converted-space"/>
    <w:basedOn w:val="DefaultParagraphFont"/>
    <w:rsid w:val="00E87FCA"/>
  </w:style>
  <w:style w:type="character" w:styleId="Hyperlink">
    <w:name w:val="Hyperlink"/>
    <w:basedOn w:val="DefaultParagraphFont"/>
    <w:uiPriority w:val="99"/>
    <w:unhideWhenUsed/>
    <w:rsid w:val="00E87FCA"/>
    <w:rPr>
      <w:color w:val="0000FF"/>
      <w:u w:val="single"/>
    </w:rPr>
  </w:style>
  <w:style w:type="table" w:styleId="TableGrid">
    <w:name w:val="Table Grid"/>
    <w:basedOn w:val="TableNormal"/>
    <w:uiPriority w:val="59"/>
    <w:rsid w:val="006E3AB0"/>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playquote">
    <w:name w:val="display quote"/>
    <w:basedOn w:val="Quote"/>
    <w:link w:val="displayquoteChar"/>
    <w:qFormat/>
    <w:rsid w:val="00F35267"/>
    <w:pPr>
      <w:spacing w:before="0" w:after="0" w:line="480" w:lineRule="auto"/>
      <w:ind w:left="680" w:right="680"/>
      <w:jc w:val="left"/>
    </w:pPr>
    <w:rPr>
      <w:rFonts w:ascii="Times New Roman" w:eastAsia="Times New Roman" w:hAnsi="Times New Roman" w:cs="Times New Roman"/>
      <w:i w:val="0"/>
      <w:color w:val="000000"/>
      <w:szCs w:val="24"/>
      <w:lang w:bidi="en-US"/>
    </w:rPr>
  </w:style>
  <w:style w:type="character" w:customStyle="1" w:styleId="displayquoteChar">
    <w:name w:val="display quote Char"/>
    <w:basedOn w:val="QuoteChar"/>
    <w:link w:val="displayquote"/>
    <w:rsid w:val="00F35267"/>
    <w:rPr>
      <w:rFonts w:ascii="Times New Roman" w:eastAsia="Times New Roman" w:hAnsi="Times New Roman" w:cs="Times New Roman"/>
      <w:i w:val="0"/>
      <w:iCs/>
      <w:color w:val="000000"/>
      <w:sz w:val="24"/>
      <w:szCs w:val="24"/>
      <w:lang w:bidi="en-US"/>
    </w:rPr>
  </w:style>
  <w:style w:type="paragraph" w:styleId="Quote">
    <w:name w:val="Quote"/>
    <w:basedOn w:val="Normal"/>
    <w:next w:val="Normal"/>
    <w:link w:val="QuoteChar"/>
    <w:uiPriority w:val="29"/>
    <w:qFormat/>
    <w:rsid w:val="00F3526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5267"/>
    <w:rPr>
      <w:rFonts w:ascii="Palatino Linotype" w:hAnsi="Palatino Linotype" w:cs="Palatino Linotype"/>
      <w:i/>
      <w:iCs/>
      <w:color w:val="404040" w:themeColor="text1" w:themeTint="BF"/>
      <w:sz w:val="24"/>
    </w:rPr>
  </w:style>
  <w:style w:type="paragraph" w:styleId="Header">
    <w:name w:val="header"/>
    <w:basedOn w:val="Normal"/>
    <w:link w:val="HeaderChar"/>
    <w:uiPriority w:val="99"/>
    <w:unhideWhenUsed/>
    <w:rsid w:val="000F03DA"/>
    <w:pPr>
      <w:tabs>
        <w:tab w:val="center" w:pos="4513"/>
        <w:tab w:val="right" w:pos="9026"/>
      </w:tabs>
    </w:pPr>
  </w:style>
  <w:style w:type="character" w:customStyle="1" w:styleId="HeaderChar">
    <w:name w:val="Header Char"/>
    <w:basedOn w:val="DefaultParagraphFont"/>
    <w:link w:val="Header"/>
    <w:uiPriority w:val="99"/>
    <w:rsid w:val="000F03DA"/>
    <w:rPr>
      <w:rFonts w:ascii="Palatino Linotype" w:hAnsi="Palatino Linotype" w:cs="Palatino Linotype"/>
      <w:sz w:val="24"/>
    </w:rPr>
  </w:style>
  <w:style w:type="paragraph" w:styleId="Footer">
    <w:name w:val="footer"/>
    <w:basedOn w:val="Normal"/>
    <w:link w:val="FooterChar"/>
    <w:uiPriority w:val="99"/>
    <w:unhideWhenUsed/>
    <w:rsid w:val="000F03DA"/>
    <w:pPr>
      <w:tabs>
        <w:tab w:val="center" w:pos="4513"/>
        <w:tab w:val="right" w:pos="9026"/>
      </w:tabs>
    </w:pPr>
  </w:style>
  <w:style w:type="character" w:customStyle="1" w:styleId="FooterChar">
    <w:name w:val="Footer Char"/>
    <w:basedOn w:val="DefaultParagraphFont"/>
    <w:link w:val="Footer"/>
    <w:uiPriority w:val="99"/>
    <w:rsid w:val="000F03DA"/>
    <w:rPr>
      <w:rFonts w:ascii="Palatino Linotype" w:hAnsi="Palatino Linotype" w:cs="Palatino Linotype"/>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alatino Linotype"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661"/>
    <w:pPr>
      <w:spacing w:after="0" w:line="240" w:lineRule="auto"/>
    </w:pPr>
    <w:rPr>
      <w:rFonts w:ascii="Palatino Linotype" w:hAnsi="Palatino Linotype" w:cs="Palatino Linotype"/>
      <w:sz w:val="24"/>
    </w:rPr>
  </w:style>
  <w:style w:type="paragraph" w:styleId="Heading1">
    <w:name w:val="heading 1"/>
    <w:basedOn w:val="Normal"/>
    <w:next w:val="Normal"/>
    <w:link w:val="Heading1Char"/>
    <w:uiPriority w:val="9"/>
    <w:qFormat/>
    <w:rsid w:val="00C53661"/>
    <w:pPr>
      <w:keepNext/>
      <w:keepLines/>
      <w:spacing w:after="120"/>
      <w:jc w:val="center"/>
      <w:outlineLvl w:val="0"/>
    </w:pPr>
    <w:rPr>
      <w:rFonts w:cstheme="majorBidi"/>
      <w:sz w:val="32"/>
      <w:szCs w:val="32"/>
    </w:rPr>
  </w:style>
  <w:style w:type="paragraph" w:styleId="Heading2">
    <w:name w:val="heading 2"/>
    <w:basedOn w:val="Normal"/>
    <w:next w:val="Normal"/>
    <w:link w:val="Heading2Char"/>
    <w:autoRedefine/>
    <w:uiPriority w:val="9"/>
    <w:unhideWhenUsed/>
    <w:qFormat/>
    <w:rsid w:val="00E7659F"/>
    <w:pPr>
      <w:keepNext/>
      <w:keepLines/>
      <w:spacing w:before="120" w:after="120"/>
      <w:outlineLvl w:val="1"/>
    </w:pPr>
    <w:rPr>
      <w:rFonts w:eastAsiaTheme="majorEastAsia" w:cstheme="majorBid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659F"/>
    <w:rPr>
      <w:rFonts w:ascii="Palatino Linotype" w:eastAsiaTheme="majorEastAsia" w:hAnsi="Palatino Linotype" w:cstheme="majorBidi"/>
      <w:color w:val="000000" w:themeColor="text1"/>
      <w:sz w:val="28"/>
      <w:szCs w:val="28"/>
    </w:rPr>
  </w:style>
  <w:style w:type="character" w:customStyle="1" w:styleId="Heading1Char">
    <w:name w:val="Heading 1 Char"/>
    <w:basedOn w:val="DefaultParagraphFont"/>
    <w:link w:val="Heading1"/>
    <w:uiPriority w:val="9"/>
    <w:rsid w:val="00C53661"/>
    <w:rPr>
      <w:rFonts w:ascii="Palatino Linotype" w:eastAsia="Palatino Linotype" w:hAnsi="Palatino Linotype" w:cstheme="majorBidi"/>
      <w:sz w:val="32"/>
      <w:szCs w:val="32"/>
    </w:rPr>
  </w:style>
  <w:style w:type="paragraph" w:customStyle="1" w:styleId="intdened">
    <w:name w:val="intdened"/>
    <w:basedOn w:val="Normal"/>
    <w:link w:val="intdenedChar"/>
    <w:qFormat/>
    <w:rsid w:val="00650068"/>
    <w:pPr>
      <w:spacing w:after="120"/>
      <w:ind w:left="284"/>
    </w:pPr>
    <w:rPr>
      <w:rFonts w:eastAsiaTheme="minorHAnsi" w:cstheme="minorBidi"/>
      <w:szCs w:val="24"/>
    </w:rPr>
  </w:style>
  <w:style w:type="character" w:customStyle="1" w:styleId="intdenedChar">
    <w:name w:val="intdened Char"/>
    <w:basedOn w:val="DefaultParagraphFont"/>
    <w:link w:val="intdened"/>
    <w:rsid w:val="00650068"/>
    <w:rPr>
      <w:rFonts w:ascii="Palatino Linotype" w:eastAsiaTheme="minorHAnsi" w:hAnsi="Palatino Linotype"/>
      <w:sz w:val="24"/>
      <w:szCs w:val="24"/>
    </w:rPr>
  </w:style>
  <w:style w:type="character" w:customStyle="1" w:styleId="apple-converted-space">
    <w:name w:val="apple-converted-space"/>
    <w:basedOn w:val="DefaultParagraphFont"/>
    <w:rsid w:val="00E87FCA"/>
  </w:style>
  <w:style w:type="character" w:styleId="Hyperlink">
    <w:name w:val="Hyperlink"/>
    <w:basedOn w:val="DefaultParagraphFont"/>
    <w:uiPriority w:val="99"/>
    <w:unhideWhenUsed/>
    <w:rsid w:val="00E87FCA"/>
    <w:rPr>
      <w:color w:val="0000FF"/>
      <w:u w:val="single"/>
    </w:rPr>
  </w:style>
  <w:style w:type="table" w:styleId="TableGrid">
    <w:name w:val="Table Grid"/>
    <w:basedOn w:val="TableNormal"/>
    <w:uiPriority w:val="59"/>
    <w:rsid w:val="006E3AB0"/>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playquote">
    <w:name w:val="display quote"/>
    <w:basedOn w:val="Quote"/>
    <w:link w:val="displayquoteChar"/>
    <w:qFormat/>
    <w:rsid w:val="00F35267"/>
    <w:pPr>
      <w:spacing w:before="0" w:after="0" w:line="480" w:lineRule="auto"/>
      <w:ind w:left="680" w:right="680"/>
      <w:jc w:val="left"/>
    </w:pPr>
    <w:rPr>
      <w:rFonts w:ascii="Times New Roman" w:eastAsia="Times New Roman" w:hAnsi="Times New Roman" w:cs="Times New Roman"/>
      <w:i w:val="0"/>
      <w:color w:val="000000"/>
      <w:szCs w:val="24"/>
      <w:lang w:bidi="en-US"/>
    </w:rPr>
  </w:style>
  <w:style w:type="character" w:customStyle="1" w:styleId="displayquoteChar">
    <w:name w:val="display quote Char"/>
    <w:basedOn w:val="QuoteChar"/>
    <w:link w:val="displayquote"/>
    <w:rsid w:val="00F35267"/>
    <w:rPr>
      <w:rFonts w:ascii="Times New Roman" w:eastAsia="Times New Roman" w:hAnsi="Times New Roman" w:cs="Times New Roman"/>
      <w:i w:val="0"/>
      <w:iCs/>
      <w:color w:val="000000"/>
      <w:sz w:val="24"/>
      <w:szCs w:val="24"/>
      <w:lang w:bidi="en-US"/>
    </w:rPr>
  </w:style>
  <w:style w:type="paragraph" w:styleId="Quote">
    <w:name w:val="Quote"/>
    <w:basedOn w:val="Normal"/>
    <w:next w:val="Normal"/>
    <w:link w:val="QuoteChar"/>
    <w:uiPriority w:val="29"/>
    <w:qFormat/>
    <w:rsid w:val="00F3526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5267"/>
    <w:rPr>
      <w:rFonts w:ascii="Palatino Linotype" w:hAnsi="Palatino Linotype" w:cs="Palatino Linotype"/>
      <w:i/>
      <w:iCs/>
      <w:color w:val="404040" w:themeColor="text1" w:themeTint="BF"/>
      <w:sz w:val="24"/>
    </w:rPr>
  </w:style>
  <w:style w:type="paragraph" w:styleId="Header">
    <w:name w:val="header"/>
    <w:basedOn w:val="Normal"/>
    <w:link w:val="HeaderChar"/>
    <w:uiPriority w:val="99"/>
    <w:unhideWhenUsed/>
    <w:rsid w:val="000F03DA"/>
    <w:pPr>
      <w:tabs>
        <w:tab w:val="center" w:pos="4513"/>
        <w:tab w:val="right" w:pos="9026"/>
      </w:tabs>
    </w:pPr>
  </w:style>
  <w:style w:type="character" w:customStyle="1" w:styleId="HeaderChar">
    <w:name w:val="Header Char"/>
    <w:basedOn w:val="DefaultParagraphFont"/>
    <w:link w:val="Header"/>
    <w:uiPriority w:val="99"/>
    <w:rsid w:val="000F03DA"/>
    <w:rPr>
      <w:rFonts w:ascii="Palatino Linotype" w:hAnsi="Palatino Linotype" w:cs="Palatino Linotype"/>
      <w:sz w:val="24"/>
    </w:rPr>
  </w:style>
  <w:style w:type="paragraph" w:styleId="Footer">
    <w:name w:val="footer"/>
    <w:basedOn w:val="Normal"/>
    <w:link w:val="FooterChar"/>
    <w:uiPriority w:val="99"/>
    <w:unhideWhenUsed/>
    <w:rsid w:val="000F03DA"/>
    <w:pPr>
      <w:tabs>
        <w:tab w:val="center" w:pos="4513"/>
        <w:tab w:val="right" w:pos="9026"/>
      </w:tabs>
    </w:pPr>
  </w:style>
  <w:style w:type="character" w:customStyle="1" w:styleId="FooterChar">
    <w:name w:val="Footer Char"/>
    <w:basedOn w:val="DefaultParagraphFont"/>
    <w:link w:val="Footer"/>
    <w:uiPriority w:val="99"/>
    <w:rsid w:val="000F03DA"/>
    <w:rPr>
      <w:rFonts w:ascii="Palatino Linotype" w:hAnsi="Palatino Linotype" w:cs="Palatino Linotyp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lancaster.ac.uk/fass/projects/dayinthelife/index.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9D74B-BBC6-4A98-9336-325433BA2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4568</Words>
  <Characters>26039</Characters>
  <Application>Microsoft Office Word</Application>
  <DocSecurity>4</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30546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Gillen</dc:creator>
  <cp:lastModifiedBy>Julia Gillen</cp:lastModifiedBy>
  <cp:revision>2</cp:revision>
  <dcterms:created xsi:type="dcterms:W3CDTF">2016-03-03T18:13:00Z</dcterms:created>
  <dcterms:modified xsi:type="dcterms:W3CDTF">2016-03-03T18:13:00Z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User Name_1">
    <vt:lpwstr>j.gillen@lancaster.ac.uk@www.mendeley.com</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http://www.zotero.org/styles/international-journal-of-lexicography</vt:lpwstr>
  </property>
  <property fmtid="{D5CDD505-2E9C-101B-9397-08002B2CF9AE}" pid="20" name="Mendeley Recent Style Name 7_1">
    <vt:lpwstr>International Journal of Lexicography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