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43" w:rsidRDefault="00B07543" w:rsidP="008132F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Online Supplementary Material</w:t>
      </w:r>
    </w:p>
    <w:p w:rsidR="00B07543" w:rsidRPr="005739E4" w:rsidRDefault="00B01F01" w:rsidP="008132F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This document provides additional methodological detail in relation to the paper: </w:t>
      </w:r>
      <w:r w:rsidR="00B07543" w:rsidRPr="005739E4">
        <w:rPr>
          <w:rFonts w:ascii="Times New Roman" w:hAnsi="Times New Roman" w:cs="Times New Roman"/>
          <w:b/>
          <w:sz w:val="24"/>
          <w:szCs w:val="24"/>
        </w:rPr>
        <w:t>Self-reported smoking, alcohol and drug use among adolescents and young adults with and without mild/moderate intellectual disability</w:t>
      </w:r>
      <w:bookmarkStart w:id="0" w:name="_GoBack"/>
      <w:bookmarkEnd w:id="0"/>
    </w:p>
    <w:p w:rsidR="00B07543" w:rsidRPr="00095A6E" w:rsidRDefault="00B07543" w:rsidP="00095A6E">
      <w:pPr>
        <w:spacing w:line="480" w:lineRule="auto"/>
        <w:rPr>
          <w:rFonts w:ascii="Times New Roman" w:hAnsi="Times New Roman" w:cs="Times New Roman"/>
          <w:b/>
          <w:sz w:val="24"/>
          <w:szCs w:val="24"/>
          <w:u w:val="single"/>
        </w:rPr>
      </w:pPr>
      <w:r w:rsidRPr="00095A6E">
        <w:rPr>
          <w:rFonts w:ascii="Times New Roman" w:hAnsi="Times New Roman" w:cs="Times New Roman"/>
          <w:b/>
          <w:sz w:val="24"/>
          <w:szCs w:val="24"/>
          <w:u w:val="single"/>
        </w:rPr>
        <w:t>Detailed Methodology</w:t>
      </w:r>
    </w:p>
    <w:p w:rsidR="00B07543" w:rsidRPr="005739E4" w:rsidRDefault="00B07543" w:rsidP="00BC3AF9">
      <w:pPr>
        <w:spacing w:line="480" w:lineRule="auto"/>
        <w:rPr>
          <w:rFonts w:ascii="Times New Roman" w:hAnsi="Times New Roman" w:cs="Times New Roman"/>
          <w:sz w:val="24"/>
          <w:szCs w:val="24"/>
        </w:rPr>
      </w:pPr>
      <w:r>
        <w:rPr>
          <w:rFonts w:ascii="Times New Roman" w:hAnsi="Times New Roman" w:cs="Times New Roman"/>
          <w:sz w:val="24"/>
          <w:szCs w:val="24"/>
        </w:rPr>
        <w:t>Se</w:t>
      </w:r>
      <w:r w:rsidRPr="005739E4">
        <w:rPr>
          <w:rFonts w:ascii="Times New Roman" w:hAnsi="Times New Roman" w:cs="Times New Roman"/>
          <w:sz w:val="24"/>
          <w:szCs w:val="24"/>
        </w:rPr>
        <w:t>condary analysis</w:t>
      </w:r>
      <w:r>
        <w:rPr>
          <w:rFonts w:ascii="Times New Roman" w:hAnsi="Times New Roman" w:cs="Times New Roman"/>
          <w:sz w:val="24"/>
          <w:szCs w:val="24"/>
        </w:rPr>
        <w:t xml:space="preserve"> was conducted</w:t>
      </w:r>
      <w:r w:rsidRPr="005739E4">
        <w:rPr>
          <w:rFonts w:ascii="Times New Roman" w:hAnsi="Times New Roman" w:cs="Times New Roman"/>
          <w:sz w:val="24"/>
          <w:szCs w:val="24"/>
        </w:rPr>
        <w:t xml:space="preserve"> of data collected in Waves 1 to 7 of </w:t>
      </w:r>
      <w:r w:rsidRPr="005739E4">
        <w:rPr>
          <w:rFonts w:ascii="Times New Roman" w:hAnsi="Times New Roman" w:cs="Times New Roman"/>
          <w:i/>
          <w:sz w:val="24"/>
          <w:szCs w:val="24"/>
        </w:rPr>
        <w:t>Next Steps</w:t>
      </w:r>
      <w:r w:rsidRPr="005739E4">
        <w:rPr>
          <w:rFonts w:ascii="Times New Roman" w:hAnsi="Times New Roman" w:cs="Times New Roman"/>
          <w:sz w:val="24"/>
          <w:szCs w:val="24"/>
        </w:rPr>
        <w:t xml:space="preserve"> (formerly known as the Longitudinal Study of Young People in England)</w:t>
      </w:r>
      <w:r>
        <w:rPr>
          <w:rFonts w:ascii="Times New Roman" w:hAnsi="Times New Roman" w:cs="Times New Roman"/>
          <w:sz w:val="24"/>
          <w:szCs w:val="24"/>
        </w:rPr>
        <w:t xml:space="preserve">, </w:t>
      </w:r>
      <w:r w:rsidRPr="005739E4">
        <w:rPr>
          <w:rFonts w:ascii="Times New Roman" w:hAnsi="Times New Roman" w:cs="Times New Roman"/>
          <w:sz w:val="24"/>
          <w:szCs w:val="24"/>
        </w:rPr>
        <w:t>an annual panel study that followed a cohort from early adolescence into adulthood. It h</w:t>
      </w:r>
      <w:r>
        <w:rPr>
          <w:rFonts w:ascii="Times New Roman" w:hAnsi="Times New Roman" w:cs="Times New Roman"/>
          <w:sz w:val="24"/>
          <w:szCs w:val="24"/>
        </w:rPr>
        <w:t xml:space="preserve">as collected information about </w:t>
      </w:r>
      <w:r w:rsidRPr="005739E4">
        <w:rPr>
          <w:rFonts w:ascii="Times New Roman" w:hAnsi="Times New Roman" w:cs="Times New Roman"/>
          <w:sz w:val="24"/>
          <w:szCs w:val="24"/>
        </w:rPr>
        <w:t>education</w:t>
      </w:r>
      <w:r>
        <w:rPr>
          <w:rFonts w:ascii="Times New Roman" w:hAnsi="Times New Roman" w:cs="Times New Roman"/>
          <w:sz w:val="24"/>
          <w:szCs w:val="24"/>
        </w:rPr>
        <w:t>,</w:t>
      </w:r>
      <w:r w:rsidRPr="005739E4">
        <w:rPr>
          <w:rFonts w:ascii="Times New Roman" w:hAnsi="Times New Roman" w:cs="Times New Roman"/>
          <w:sz w:val="24"/>
          <w:szCs w:val="24"/>
        </w:rPr>
        <w:t xml:space="preserve"> employment, economic circumstances, family life, physical and emotional health and wellbeing, social participation and attitudes. </w:t>
      </w:r>
      <w:r w:rsidRPr="005739E4">
        <w:rPr>
          <w:rFonts w:ascii="Times New Roman" w:hAnsi="Times New Roman" w:cs="Times New Roman"/>
          <w:i/>
          <w:sz w:val="24"/>
          <w:szCs w:val="24"/>
        </w:rPr>
        <w:t>Next Steps</w:t>
      </w:r>
      <w:r w:rsidRPr="005739E4">
        <w:rPr>
          <w:rFonts w:ascii="Times New Roman" w:hAnsi="Times New Roman" w:cs="Times New Roman"/>
          <w:sz w:val="24"/>
          <w:szCs w:val="24"/>
        </w:rPr>
        <w:t xml:space="preserve"> data has been linked to the Department for Education’s National Pupil Database (NPD). </w:t>
      </w:r>
      <w:r w:rsidRPr="005739E4">
        <w:rPr>
          <w:rFonts w:ascii="Times New Roman" w:hAnsi="Times New Roman" w:cs="Times New Roman"/>
          <w:i/>
          <w:sz w:val="24"/>
          <w:szCs w:val="24"/>
        </w:rPr>
        <w:t>Next Steps</w:t>
      </w:r>
      <w:r w:rsidRPr="005739E4">
        <w:rPr>
          <w:rFonts w:ascii="Times New Roman" w:hAnsi="Times New Roman" w:cs="Times New Roman"/>
          <w:sz w:val="24"/>
          <w:szCs w:val="24"/>
        </w:rPr>
        <w:t xml:space="preserve"> data files and documentation were obtained from the UK Data Service. Full details of the method and design of </w:t>
      </w:r>
      <w:r w:rsidRPr="005739E4">
        <w:rPr>
          <w:rFonts w:ascii="Times New Roman" w:hAnsi="Times New Roman" w:cs="Times New Roman"/>
          <w:i/>
          <w:sz w:val="24"/>
          <w:szCs w:val="24"/>
        </w:rPr>
        <w:t>Next Steps</w:t>
      </w:r>
      <w:r w:rsidRPr="005739E4">
        <w:rPr>
          <w:rFonts w:ascii="Times New Roman" w:hAnsi="Times New Roman" w:cs="Times New Roman"/>
          <w:sz w:val="24"/>
          <w:szCs w:val="24"/>
        </w:rPr>
        <w:t xml:space="preserve"> are available in a series of user guides</w:t>
      </w:r>
      <w:r>
        <w:rPr>
          <w:rFonts w:ascii="Times New Roman" w:hAnsi="Times New Roman" w:cs="Times New Roman"/>
          <w:sz w:val="24"/>
          <w:szCs w:val="24"/>
        </w:rPr>
        <w:t xml:space="preserve"> </w:t>
      </w:r>
      <w:r w:rsidRPr="005739E4">
        <w:rPr>
          <w:rFonts w:ascii="Times New Roman" w:hAnsi="Times New Roman" w:cs="Times New Roman"/>
          <w:noProof/>
          <w:sz w:val="24"/>
          <w:szCs w:val="24"/>
        </w:rPr>
        <w:t>(Department for Education, 2011b)</w:t>
      </w:r>
      <w:r>
        <w:rPr>
          <w:rFonts w:ascii="Times New Roman" w:hAnsi="Times New Roman" w:cs="Times New Roman"/>
          <w:sz w:val="24"/>
          <w:szCs w:val="24"/>
        </w:rPr>
        <w:t>.</w:t>
      </w:r>
      <w:r w:rsidRPr="005739E4">
        <w:rPr>
          <w:rFonts w:ascii="Times New Roman" w:hAnsi="Times New Roman" w:cs="Times New Roman"/>
          <w:sz w:val="24"/>
          <w:szCs w:val="24"/>
        </w:rPr>
        <w:t xml:space="preserve"> Key aspects are summarised below.</w:t>
      </w:r>
    </w:p>
    <w:p w:rsidR="00B07543" w:rsidRPr="006D0165" w:rsidRDefault="00B07543" w:rsidP="00BC3AF9">
      <w:pPr>
        <w:spacing w:line="480" w:lineRule="auto"/>
        <w:rPr>
          <w:rFonts w:ascii="Times New Roman" w:hAnsi="Times New Roman" w:cs="Times New Roman"/>
          <w:b/>
          <w:sz w:val="24"/>
          <w:szCs w:val="24"/>
        </w:rPr>
      </w:pPr>
      <w:r w:rsidRPr="006D0165">
        <w:rPr>
          <w:rFonts w:ascii="Times New Roman" w:hAnsi="Times New Roman" w:cs="Times New Roman"/>
          <w:b/>
          <w:sz w:val="24"/>
          <w:szCs w:val="24"/>
        </w:rPr>
        <w:t xml:space="preserve">Sampling </w:t>
      </w:r>
    </w:p>
    <w:p w:rsidR="00B07543" w:rsidRDefault="00B07543" w:rsidP="00BC3AF9">
      <w:pPr>
        <w:spacing w:line="480" w:lineRule="auto"/>
        <w:rPr>
          <w:rFonts w:ascii="Times New Roman" w:hAnsi="Times New Roman" w:cs="Times New Roman"/>
          <w:sz w:val="24"/>
          <w:szCs w:val="24"/>
        </w:rPr>
      </w:pPr>
      <w:r w:rsidRPr="005739E4">
        <w:rPr>
          <w:rFonts w:ascii="Times New Roman" w:hAnsi="Times New Roman" w:cs="Times New Roman"/>
          <w:sz w:val="24"/>
          <w:szCs w:val="24"/>
        </w:rPr>
        <w:t xml:space="preserve">Fieldwork commenced in 2004 when the sampled children were aged 13-14 (school year 9). The initial (Wave 1) sample was drawn from a sampling frame based on children attending maintained schools, independent schools and pupil referral units in England who in February 2004 were in Year 9 (or equivalent) and were born between 1 September 1989 and 31 August 1990. Schools in deprived areas and students from minority ethnic groups were oversampled. At Wave 1, 73% of selected schools participated leading to an issued sample of approximately 21,000 young people. The attained sample at W1 was 15,770 children (75% response rate). This cohort was followed-up every year until 2010 (age 19-20). </w:t>
      </w:r>
    </w:p>
    <w:p w:rsidR="00B07543" w:rsidRPr="00280923" w:rsidRDefault="00B07543" w:rsidP="00CB48FA">
      <w:pPr>
        <w:pStyle w:val="Heading2"/>
        <w:spacing w:before="0" w:line="480" w:lineRule="auto"/>
        <w:rPr>
          <w:rFonts w:ascii="Times New Roman" w:hAnsi="Times New Roman" w:cs="Times New Roman"/>
          <w:szCs w:val="24"/>
          <w:lang w:val="en-GB"/>
        </w:rPr>
      </w:pPr>
      <w:r w:rsidRPr="00280923">
        <w:rPr>
          <w:rFonts w:ascii="Times New Roman" w:hAnsi="Times New Roman" w:cs="Times New Roman"/>
          <w:szCs w:val="24"/>
          <w:lang w:val="en-GB"/>
        </w:rPr>
        <w:lastRenderedPageBreak/>
        <w:t xml:space="preserve">Rate and Predictors of Sample Retention </w:t>
      </w:r>
    </w:p>
    <w:p w:rsidR="00B07543" w:rsidRDefault="00B07543" w:rsidP="00CB48FA">
      <w:pPr>
        <w:spacing w:after="0" w:line="480" w:lineRule="auto"/>
        <w:ind w:firstLine="720"/>
        <w:rPr>
          <w:rFonts w:ascii="Times New Roman" w:hAnsi="Times New Roman" w:cs="Times New Roman"/>
          <w:sz w:val="24"/>
          <w:szCs w:val="24"/>
        </w:rPr>
      </w:pPr>
      <w:r w:rsidRPr="00280923">
        <w:rPr>
          <w:rFonts w:ascii="Times New Roman" w:hAnsi="Times New Roman" w:cs="Times New Roman"/>
          <w:sz w:val="24"/>
          <w:szCs w:val="24"/>
        </w:rPr>
        <w:t xml:space="preserve">Retention rates over time are presented in Table 1 for participants with/without intellectual disability. </w:t>
      </w:r>
    </w:p>
    <w:p w:rsidR="00B07543" w:rsidRPr="00280923" w:rsidRDefault="00B07543" w:rsidP="00CB48FA">
      <w:pPr>
        <w:spacing w:after="0" w:line="480" w:lineRule="auto"/>
        <w:ind w:firstLine="720"/>
        <w:rPr>
          <w:rFonts w:ascii="Times New Roman" w:hAnsi="Times New Roman" w:cs="Times New Roman"/>
          <w:sz w:val="24"/>
          <w:szCs w:val="24"/>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50"/>
        <w:gridCol w:w="1438"/>
        <w:gridCol w:w="1215"/>
        <w:gridCol w:w="1215"/>
        <w:gridCol w:w="1215"/>
        <w:gridCol w:w="1215"/>
        <w:gridCol w:w="1215"/>
      </w:tblGrid>
      <w:tr w:rsidR="00B07543" w:rsidRPr="0038000B" w:rsidTr="009A223C">
        <w:trPr>
          <w:trHeight w:val="338"/>
        </w:trPr>
        <w:tc>
          <w:tcPr>
            <w:tcW w:w="9229" w:type="dxa"/>
            <w:gridSpan w:val="8"/>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lang w:val="en-GB"/>
              </w:rPr>
              <w:t xml:space="preserve">Table 1: Retention rates for participants with/without intellectual disability </w:t>
            </w:r>
          </w:p>
        </w:tc>
      </w:tr>
      <w:tr w:rsidR="00B07543" w:rsidRPr="0038000B" w:rsidTr="009A223C">
        <w:trPr>
          <w:trHeight w:val="271"/>
        </w:trPr>
        <w:tc>
          <w:tcPr>
            <w:tcW w:w="866" w:type="dxa"/>
            <w:vMerge w:val="restart"/>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 Wave</w:t>
            </w:r>
          </w:p>
        </w:tc>
        <w:tc>
          <w:tcPr>
            <w:tcW w:w="4718" w:type="dxa"/>
            <w:gridSpan w:val="4"/>
            <w:shd w:val="clear" w:color="auto" w:fill="auto"/>
            <w:vAlign w:val="center"/>
            <w:hideMark/>
          </w:tcPr>
          <w:p w:rsidR="00B07543" w:rsidRPr="0038000B" w:rsidRDefault="00B07543" w:rsidP="009A223C">
            <w:pPr>
              <w:pStyle w:val="NoSpacing"/>
              <w:spacing w:line="480" w:lineRule="auto"/>
              <w:jc w:val="center"/>
              <w:rPr>
                <w:rFonts w:ascii="Times New Roman" w:hAnsi="Times New Roman" w:cs="Times New Roman"/>
                <w:color w:val="000000"/>
                <w:lang w:val="en-GB"/>
              </w:rPr>
            </w:pPr>
            <w:r w:rsidRPr="0038000B">
              <w:rPr>
                <w:rFonts w:ascii="Times New Roman" w:hAnsi="Times New Roman" w:cs="Times New Roman"/>
                <w:color w:val="000000"/>
                <w:lang w:val="en-GB"/>
              </w:rPr>
              <w:t>With intellectual disabilities</w:t>
            </w:r>
          </w:p>
        </w:tc>
        <w:tc>
          <w:tcPr>
            <w:tcW w:w="3645" w:type="dxa"/>
            <w:gridSpan w:val="3"/>
            <w:shd w:val="clear" w:color="auto" w:fill="auto"/>
            <w:vAlign w:val="center"/>
            <w:hideMark/>
          </w:tcPr>
          <w:p w:rsidR="00B07543" w:rsidRPr="0038000B" w:rsidRDefault="00B07543" w:rsidP="009A223C">
            <w:pPr>
              <w:pStyle w:val="NoSpacing"/>
              <w:spacing w:line="480" w:lineRule="auto"/>
              <w:jc w:val="center"/>
              <w:rPr>
                <w:rFonts w:ascii="Times New Roman" w:hAnsi="Times New Roman" w:cs="Times New Roman"/>
                <w:color w:val="000000"/>
                <w:lang w:val="en-GB"/>
              </w:rPr>
            </w:pPr>
            <w:r w:rsidRPr="0038000B">
              <w:rPr>
                <w:rFonts w:ascii="Times New Roman" w:hAnsi="Times New Roman" w:cs="Times New Roman"/>
                <w:color w:val="000000"/>
                <w:lang w:val="en-GB"/>
              </w:rPr>
              <w:t>Without intellectual disabilities</w:t>
            </w:r>
          </w:p>
        </w:tc>
      </w:tr>
      <w:tr w:rsidR="00B07543" w:rsidRPr="0038000B" w:rsidTr="009A223C">
        <w:trPr>
          <w:trHeight w:val="1515"/>
        </w:trPr>
        <w:tc>
          <w:tcPr>
            <w:tcW w:w="866" w:type="dxa"/>
            <w:vMerge/>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p>
        </w:tc>
        <w:tc>
          <w:tcPr>
            <w:tcW w:w="850"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N</w:t>
            </w:r>
          </w:p>
        </w:tc>
        <w:tc>
          <w:tcPr>
            <w:tcW w:w="1438"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Unweighted prevalence</w:t>
            </w:r>
          </w:p>
        </w:tc>
        <w:tc>
          <w:tcPr>
            <w:tcW w:w="1215"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 retention from W1</w:t>
            </w:r>
          </w:p>
        </w:tc>
        <w:tc>
          <w:tcPr>
            <w:tcW w:w="1215"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 retention from previous wave</w:t>
            </w:r>
          </w:p>
        </w:tc>
        <w:tc>
          <w:tcPr>
            <w:tcW w:w="1215"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 xml:space="preserve">N </w:t>
            </w:r>
          </w:p>
        </w:tc>
        <w:tc>
          <w:tcPr>
            <w:tcW w:w="1215"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 retention from W1</w:t>
            </w:r>
          </w:p>
        </w:tc>
        <w:tc>
          <w:tcPr>
            <w:tcW w:w="1215"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 retention from previous wave</w:t>
            </w:r>
          </w:p>
        </w:tc>
      </w:tr>
      <w:tr w:rsidR="00B07543" w:rsidRPr="0038000B" w:rsidTr="009A223C">
        <w:trPr>
          <w:trHeight w:val="315"/>
        </w:trPr>
        <w:tc>
          <w:tcPr>
            <w:tcW w:w="866"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W1</w:t>
            </w:r>
          </w:p>
        </w:tc>
        <w:tc>
          <w:tcPr>
            <w:tcW w:w="850"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527</w:t>
            </w:r>
          </w:p>
        </w:tc>
        <w:tc>
          <w:tcPr>
            <w:tcW w:w="1438"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3.5%</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14,687</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p>
        </w:tc>
      </w:tr>
      <w:tr w:rsidR="00B07543" w:rsidRPr="0038000B" w:rsidTr="009A223C">
        <w:trPr>
          <w:trHeight w:val="315"/>
        </w:trPr>
        <w:tc>
          <w:tcPr>
            <w:tcW w:w="866"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W2</w:t>
            </w:r>
          </w:p>
        </w:tc>
        <w:tc>
          <w:tcPr>
            <w:tcW w:w="850"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415</w:t>
            </w:r>
          </w:p>
        </w:tc>
        <w:tc>
          <w:tcPr>
            <w:tcW w:w="1438"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3.2%</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79%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79%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12,654</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86%</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86%</w:t>
            </w:r>
          </w:p>
        </w:tc>
      </w:tr>
      <w:tr w:rsidR="00B07543" w:rsidRPr="0038000B" w:rsidTr="009A223C">
        <w:trPr>
          <w:trHeight w:val="315"/>
        </w:trPr>
        <w:tc>
          <w:tcPr>
            <w:tcW w:w="866"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W3</w:t>
            </w:r>
          </w:p>
        </w:tc>
        <w:tc>
          <w:tcPr>
            <w:tcW w:w="850"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354</w:t>
            </w:r>
          </w:p>
        </w:tc>
        <w:tc>
          <w:tcPr>
            <w:tcW w:w="1438"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67%</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85%</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11,649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79%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92%</w:t>
            </w:r>
          </w:p>
        </w:tc>
      </w:tr>
      <w:tr w:rsidR="00B07543" w:rsidRPr="0038000B" w:rsidTr="009A223C">
        <w:trPr>
          <w:trHeight w:val="315"/>
        </w:trPr>
        <w:tc>
          <w:tcPr>
            <w:tcW w:w="866"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W4</w:t>
            </w:r>
          </w:p>
        </w:tc>
        <w:tc>
          <w:tcPr>
            <w:tcW w:w="850"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314</w:t>
            </w:r>
          </w:p>
        </w:tc>
        <w:tc>
          <w:tcPr>
            <w:tcW w:w="1438"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2.8%</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60%</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10,721</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73%</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92%</w:t>
            </w:r>
          </w:p>
        </w:tc>
      </w:tr>
      <w:tr w:rsidR="00B07543" w:rsidRPr="0038000B" w:rsidTr="009A223C">
        <w:trPr>
          <w:trHeight w:val="315"/>
        </w:trPr>
        <w:tc>
          <w:tcPr>
            <w:tcW w:w="866"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W5</w:t>
            </w:r>
          </w:p>
        </w:tc>
        <w:tc>
          <w:tcPr>
            <w:tcW w:w="850"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256</w:t>
            </w:r>
          </w:p>
        </w:tc>
        <w:tc>
          <w:tcPr>
            <w:tcW w:w="1438"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2.6%</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49%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82%</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9,551</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65%</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89%</w:t>
            </w:r>
          </w:p>
        </w:tc>
      </w:tr>
      <w:tr w:rsidR="00B07543" w:rsidRPr="0038000B" w:rsidTr="009A223C">
        <w:trPr>
          <w:trHeight w:val="315"/>
        </w:trPr>
        <w:tc>
          <w:tcPr>
            <w:tcW w:w="866"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W6</w:t>
            </w:r>
          </w:p>
        </w:tc>
        <w:tc>
          <w:tcPr>
            <w:tcW w:w="850"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241</w:t>
            </w:r>
          </w:p>
        </w:tc>
        <w:tc>
          <w:tcPr>
            <w:tcW w:w="1438"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2.6%</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46%</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94%</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8,944</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61%</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94%</w:t>
            </w:r>
          </w:p>
        </w:tc>
      </w:tr>
      <w:tr w:rsidR="00B07543" w:rsidRPr="0038000B" w:rsidTr="009A223C">
        <w:trPr>
          <w:trHeight w:val="315"/>
        </w:trPr>
        <w:tc>
          <w:tcPr>
            <w:tcW w:w="866" w:type="dxa"/>
            <w:shd w:val="clear" w:color="auto" w:fill="auto"/>
            <w:vAlign w:val="center"/>
            <w:hideMark/>
          </w:tcPr>
          <w:p w:rsidR="00B07543" w:rsidRPr="0038000B" w:rsidRDefault="00B07543" w:rsidP="009A223C">
            <w:pPr>
              <w:pStyle w:val="NoSpacing"/>
              <w:spacing w:line="480" w:lineRule="auto"/>
              <w:rPr>
                <w:rFonts w:ascii="Times New Roman" w:hAnsi="Times New Roman" w:cs="Times New Roman"/>
                <w:color w:val="000000"/>
                <w:lang w:val="en-GB"/>
              </w:rPr>
            </w:pPr>
            <w:r w:rsidRPr="0038000B">
              <w:rPr>
                <w:rFonts w:ascii="Times New Roman" w:hAnsi="Times New Roman" w:cs="Times New Roman"/>
                <w:color w:val="000000"/>
                <w:lang w:val="en-GB"/>
              </w:rPr>
              <w:t>W7</w:t>
            </w:r>
          </w:p>
        </w:tc>
        <w:tc>
          <w:tcPr>
            <w:tcW w:w="850"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206</w:t>
            </w:r>
          </w:p>
        </w:tc>
        <w:tc>
          <w:tcPr>
            <w:tcW w:w="1438"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2.5%</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39%</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85%</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7,941</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54%</w:t>
            </w:r>
          </w:p>
        </w:tc>
        <w:tc>
          <w:tcPr>
            <w:tcW w:w="1215" w:type="dxa"/>
            <w:shd w:val="clear" w:color="auto" w:fill="auto"/>
            <w:vAlign w:val="center"/>
          </w:tcPr>
          <w:p w:rsidR="00B07543" w:rsidRPr="0038000B" w:rsidRDefault="00B07543" w:rsidP="009A223C">
            <w:pPr>
              <w:pStyle w:val="NoSpacing"/>
              <w:spacing w:line="480" w:lineRule="auto"/>
              <w:jc w:val="right"/>
              <w:rPr>
                <w:rFonts w:ascii="Times New Roman" w:hAnsi="Times New Roman" w:cs="Times New Roman"/>
                <w:color w:val="000000"/>
                <w:lang w:val="en-GB"/>
              </w:rPr>
            </w:pPr>
            <w:r w:rsidRPr="0038000B">
              <w:rPr>
                <w:rFonts w:ascii="Times New Roman" w:hAnsi="Times New Roman" w:cs="Times New Roman"/>
                <w:color w:val="000000"/>
                <w:lang w:val="en-GB"/>
              </w:rPr>
              <w:t>89%</w:t>
            </w:r>
          </w:p>
        </w:tc>
      </w:tr>
    </w:tbl>
    <w:p w:rsidR="00B07543" w:rsidRPr="0038000B" w:rsidRDefault="00B07543" w:rsidP="00CB48FA">
      <w:pPr>
        <w:spacing w:line="240" w:lineRule="auto"/>
        <w:rPr>
          <w:rFonts w:ascii="Times New Roman" w:hAnsi="Times New Roman" w:cs="Times New Roman"/>
        </w:rPr>
      </w:pPr>
    </w:p>
    <w:p w:rsidR="00B07543" w:rsidRDefault="00B07543" w:rsidP="00CB48FA">
      <w:pPr>
        <w:spacing w:after="0" w:line="480" w:lineRule="auto"/>
        <w:ind w:firstLine="720"/>
        <w:rPr>
          <w:rFonts w:ascii="Times New Roman" w:hAnsi="Times New Roman" w:cs="Times New Roman"/>
          <w:sz w:val="24"/>
          <w:szCs w:val="24"/>
        </w:rPr>
      </w:pPr>
      <w:r w:rsidRPr="00280923">
        <w:rPr>
          <w:rFonts w:ascii="Times New Roman" w:hAnsi="Times New Roman" w:cs="Times New Roman"/>
          <w:sz w:val="24"/>
          <w:szCs w:val="24"/>
        </w:rPr>
        <w:t>Socio-demographic factors associated with sample attrition between Waves 1 and 7 were examined separately for participants with and without intellectual disability. Predictors of attrition were broadly similar for participants with and without intellectual disability, with male gender, membership of a minority ethnic group, household pove</w:t>
      </w:r>
      <w:r>
        <w:rPr>
          <w:rFonts w:ascii="Times New Roman" w:hAnsi="Times New Roman" w:cs="Times New Roman"/>
          <w:sz w:val="24"/>
          <w:szCs w:val="24"/>
        </w:rPr>
        <w:t>rty (defined by FSM</w:t>
      </w:r>
      <w:r w:rsidRPr="00280923">
        <w:rPr>
          <w:rFonts w:ascii="Times New Roman" w:hAnsi="Times New Roman" w:cs="Times New Roman"/>
          <w:sz w:val="24"/>
          <w:szCs w:val="24"/>
        </w:rPr>
        <w:t xml:space="preserve"> eligibility) and higher neighbourhood deprivation all being associated</w:t>
      </w:r>
      <w:r>
        <w:rPr>
          <w:rFonts w:ascii="Times New Roman" w:hAnsi="Times New Roman" w:cs="Times New Roman"/>
          <w:sz w:val="24"/>
          <w:szCs w:val="24"/>
        </w:rPr>
        <w:t xml:space="preserve"> with higher rates of attrition </w:t>
      </w:r>
      <w:r>
        <w:rPr>
          <w:rFonts w:ascii="Times New Roman" w:hAnsi="Times New Roman" w:cs="Times New Roman"/>
          <w:noProof/>
          <w:sz w:val="24"/>
          <w:szCs w:val="24"/>
        </w:rPr>
        <w:t>(Groves, 2006; Groves &amp; Couper, 1998)</w:t>
      </w:r>
      <w:r>
        <w:rPr>
          <w:rFonts w:ascii="Times New Roman" w:hAnsi="Times New Roman" w:cs="Times New Roman"/>
          <w:sz w:val="24"/>
          <w:szCs w:val="24"/>
        </w:rPr>
        <w:t>. For the variables ‘males</w:t>
      </w:r>
      <w:r w:rsidRPr="00280923">
        <w:rPr>
          <w:rFonts w:ascii="Times New Roman" w:hAnsi="Times New Roman" w:cs="Times New Roman"/>
          <w:sz w:val="24"/>
          <w:szCs w:val="24"/>
        </w:rPr>
        <w:t>’ and ‘not White British’ the point estimate for attrition in the non-intelle</w:t>
      </w:r>
      <w:r>
        <w:rPr>
          <w:rFonts w:ascii="Times New Roman" w:hAnsi="Times New Roman" w:cs="Times New Roman"/>
          <w:sz w:val="24"/>
          <w:szCs w:val="24"/>
        </w:rPr>
        <w:t>ctual disability group lay (males</w:t>
      </w:r>
      <w:r w:rsidRPr="00280923">
        <w:rPr>
          <w:rFonts w:ascii="Times New Roman" w:hAnsi="Times New Roman" w:cs="Times New Roman"/>
          <w:sz w:val="24"/>
          <w:szCs w:val="24"/>
        </w:rPr>
        <w:t xml:space="preserve"> 1.10 </w:t>
      </w:r>
      <w:r w:rsidRPr="00280923">
        <w:rPr>
          <w:rFonts w:ascii="Times New Roman" w:hAnsi="Times New Roman" w:cs="Times New Roman"/>
          <w:sz w:val="24"/>
          <w:szCs w:val="24"/>
        </w:rPr>
        <w:lastRenderedPageBreak/>
        <w:t>(1.07-1.15); not White British 1.17 (1.13-1.22)) within the 95% CI of the int</w:t>
      </w:r>
      <w:r>
        <w:rPr>
          <w:rFonts w:ascii="Times New Roman" w:hAnsi="Times New Roman" w:cs="Times New Roman"/>
          <w:sz w:val="24"/>
          <w:szCs w:val="24"/>
        </w:rPr>
        <w:t>ellectual disability group (males</w:t>
      </w:r>
      <w:r w:rsidRPr="00280923">
        <w:rPr>
          <w:rFonts w:ascii="Times New Roman" w:hAnsi="Times New Roman" w:cs="Times New Roman"/>
          <w:sz w:val="24"/>
          <w:szCs w:val="24"/>
        </w:rPr>
        <w:t xml:space="preserve"> 1.28 (1.09-1.51)); not White British 1.12 (0.97-1.29)). For the variables ‘</w:t>
      </w:r>
      <w:r>
        <w:rPr>
          <w:rFonts w:ascii="Times New Roman" w:hAnsi="Times New Roman" w:cs="Times New Roman"/>
          <w:sz w:val="24"/>
          <w:szCs w:val="24"/>
        </w:rPr>
        <w:t xml:space="preserve">FSM eligibility’ </w:t>
      </w:r>
      <w:r w:rsidRPr="00280923">
        <w:rPr>
          <w:rFonts w:ascii="Times New Roman" w:hAnsi="Times New Roman" w:cs="Times New Roman"/>
          <w:sz w:val="24"/>
          <w:szCs w:val="24"/>
        </w:rPr>
        <w:t>and ‘high neighbourhood deprivation’ the point estimate for non-participation in the non-intellectual disability group (</w:t>
      </w:r>
      <w:r>
        <w:rPr>
          <w:rFonts w:ascii="Times New Roman" w:hAnsi="Times New Roman" w:cs="Times New Roman"/>
          <w:sz w:val="24"/>
          <w:szCs w:val="24"/>
        </w:rPr>
        <w:t xml:space="preserve">FSM </w:t>
      </w:r>
      <w:r w:rsidRPr="00280923">
        <w:rPr>
          <w:rFonts w:ascii="Times New Roman" w:hAnsi="Times New Roman" w:cs="Times New Roman"/>
          <w:sz w:val="24"/>
          <w:szCs w:val="24"/>
        </w:rPr>
        <w:t>eligibility 1.37 (1.32-1.43); high neighbourhood deprivation 1.38 (1.30-1.40)) was greater than the upper 95% CI of the intellectual disability (</w:t>
      </w:r>
      <w:r>
        <w:rPr>
          <w:rFonts w:ascii="Times New Roman" w:hAnsi="Times New Roman" w:cs="Times New Roman"/>
          <w:sz w:val="24"/>
          <w:szCs w:val="24"/>
        </w:rPr>
        <w:t>FSM eligibility</w:t>
      </w:r>
      <w:r w:rsidRPr="00280923">
        <w:rPr>
          <w:rFonts w:ascii="Times New Roman" w:hAnsi="Times New Roman" w:cs="Times New Roman"/>
          <w:sz w:val="24"/>
          <w:szCs w:val="24"/>
        </w:rPr>
        <w:t xml:space="preserve"> 1.15 (1.00-1.33); high neighbourhood deprivation 1.09 (0.94-1.26)). </w:t>
      </w:r>
    </w:p>
    <w:p w:rsidR="00B07543" w:rsidRPr="006D0165" w:rsidRDefault="00B07543" w:rsidP="00CB48FA">
      <w:pPr>
        <w:spacing w:line="480" w:lineRule="auto"/>
        <w:rPr>
          <w:rFonts w:ascii="Times New Roman" w:hAnsi="Times New Roman" w:cs="Times New Roman"/>
          <w:b/>
          <w:sz w:val="24"/>
          <w:szCs w:val="24"/>
        </w:rPr>
      </w:pPr>
      <w:r w:rsidRPr="006D0165">
        <w:rPr>
          <w:rFonts w:ascii="Times New Roman" w:hAnsi="Times New Roman" w:cs="Times New Roman"/>
          <w:b/>
          <w:sz w:val="24"/>
          <w:szCs w:val="24"/>
        </w:rPr>
        <w:t>Identification of Participants with Mild/Moderate Intellectual Disability</w:t>
      </w:r>
    </w:p>
    <w:p w:rsidR="00B07543" w:rsidRPr="005739E4" w:rsidRDefault="00B07543" w:rsidP="00CB48FA">
      <w:pPr>
        <w:spacing w:line="480" w:lineRule="auto"/>
        <w:rPr>
          <w:rFonts w:ascii="Times New Roman" w:hAnsi="Times New Roman" w:cs="Times New Roman"/>
          <w:sz w:val="24"/>
          <w:szCs w:val="24"/>
        </w:rPr>
      </w:pPr>
      <w:r w:rsidRPr="005739E4">
        <w:rPr>
          <w:rFonts w:ascii="Times New Roman" w:hAnsi="Times New Roman" w:cs="Times New Roman"/>
          <w:sz w:val="24"/>
          <w:szCs w:val="24"/>
        </w:rPr>
        <w:t xml:space="preserve">Data linkage with the 2004 and 2006 NPD was undertaken to identify participants with Special Educational Needs (SEN). Linkage was successful for 15,240 young people present at Wave 1 (97% of the </w:t>
      </w:r>
      <w:r w:rsidRPr="005739E4">
        <w:rPr>
          <w:rFonts w:ascii="Times New Roman" w:hAnsi="Times New Roman" w:cs="Times New Roman"/>
          <w:i/>
          <w:sz w:val="24"/>
          <w:szCs w:val="24"/>
        </w:rPr>
        <w:t>Next Steps</w:t>
      </w:r>
      <w:r w:rsidRPr="005739E4">
        <w:rPr>
          <w:rFonts w:ascii="Times New Roman" w:hAnsi="Times New Roman" w:cs="Times New Roman"/>
          <w:sz w:val="24"/>
          <w:szCs w:val="24"/>
        </w:rPr>
        <w:t xml:space="preserve"> sample). Linkage included data on stage of assessment and primary/secondary categor</w:t>
      </w:r>
      <w:r>
        <w:rPr>
          <w:rFonts w:ascii="Times New Roman" w:hAnsi="Times New Roman" w:cs="Times New Roman"/>
          <w:sz w:val="24"/>
          <w:szCs w:val="24"/>
        </w:rPr>
        <w:t>y of SEN</w:t>
      </w:r>
      <w:r w:rsidRPr="005739E4">
        <w:rPr>
          <w:rFonts w:ascii="Times New Roman" w:hAnsi="Times New Roman" w:cs="Times New Roman"/>
          <w:sz w:val="24"/>
          <w:szCs w:val="24"/>
        </w:rPr>
        <w:t xml:space="preserve">. </w:t>
      </w:r>
    </w:p>
    <w:p w:rsidR="00B07543" w:rsidRPr="005739E4" w:rsidRDefault="00B07543" w:rsidP="00CB48FA">
      <w:pPr>
        <w:spacing w:line="480" w:lineRule="auto"/>
        <w:rPr>
          <w:rFonts w:ascii="Times New Roman" w:hAnsi="Times New Roman" w:cs="Times New Roman"/>
          <w:sz w:val="24"/>
          <w:szCs w:val="24"/>
        </w:rPr>
      </w:pPr>
      <w:r w:rsidRPr="005739E4">
        <w:rPr>
          <w:rFonts w:ascii="Times New Roman" w:hAnsi="Times New Roman" w:cs="Times New Roman"/>
          <w:sz w:val="24"/>
          <w:szCs w:val="24"/>
        </w:rPr>
        <w:t>Following the example of previous studies</w:t>
      </w:r>
      <w:r>
        <w:rPr>
          <w:rFonts w:ascii="Times New Roman" w:hAnsi="Times New Roman" w:cs="Times New Roman"/>
          <w:sz w:val="24"/>
          <w:szCs w:val="24"/>
        </w:rPr>
        <w:t xml:space="preserve"> </w:t>
      </w:r>
      <w:r w:rsidR="009A136D">
        <w:rPr>
          <w:rFonts w:ascii="Times New Roman" w:hAnsi="Times New Roman" w:cs="Times New Roman"/>
          <w:noProof/>
          <w:sz w:val="24"/>
          <w:szCs w:val="24"/>
        </w:rPr>
        <w:t>(</w:t>
      </w:r>
      <w:r>
        <w:rPr>
          <w:rFonts w:ascii="Times New Roman" w:hAnsi="Times New Roman" w:cs="Times New Roman"/>
          <w:noProof/>
          <w:sz w:val="24"/>
          <w:szCs w:val="24"/>
        </w:rPr>
        <w:t>Emerson &amp; Halpin, 2013; Naylor, Dawson, Emerson, &amp; Tantam, 2011)</w:t>
      </w:r>
      <w:r>
        <w:rPr>
          <w:rFonts w:ascii="Times New Roman" w:hAnsi="Times New Roman" w:cs="Times New Roman"/>
          <w:sz w:val="24"/>
          <w:szCs w:val="24"/>
        </w:rPr>
        <w:t>,</w:t>
      </w:r>
      <w:r w:rsidRPr="005739E4">
        <w:rPr>
          <w:rFonts w:ascii="Times New Roman" w:hAnsi="Times New Roman" w:cs="Times New Roman"/>
          <w:sz w:val="24"/>
          <w:szCs w:val="24"/>
        </w:rPr>
        <w:t xml:space="preserve"> we used the SEN category of Moderate Learning Difficulty</w:t>
      </w:r>
      <w:r>
        <w:rPr>
          <w:rFonts w:ascii="Times New Roman" w:hAnsi="Times New Roman" w:cs="Times New Roman"/>
          <w:sz w:val="24"/>
          <w:szCs w:val="24"/>
        </w:rPr>
        <w:t xml:space="preserve"> (MLD)</w:t>
      </w:r>
      <w:r w:rsidRPr="005739E4">
        <w:rPr>
          <w:rFonts w:ascii="Times New Roman" w:hAnsi="Times New Roman" w:cs="Times New Roman"/>
          <w:sz w:val="24"/>
          <w:szCs w:val="24"/>
        </w:rPr>
        <w:t>, if the child was at the School Action Plus stage of assessment of SEN or had a formal Statement of SEN, as an indicator of mild</w:t>
      </w:r>
      <w:r>
        <w:rPr>
          <w:rFonts w:ascii="Times New Roman" w:hAnsi="Times New Roman" w:cs="Times New Roman"/>
          <w:sz w:val="24"/>
          <w:szCs w:val="24"/>
        </w:rPr>
        <w:t>/moderate</w:t>
      </w:r>
      <w:r w:rsidRPr="005739E4">
        <w:rPr>
          <w:rFonts w:ascii="Times New Roman" w:hAnsi="Times New Roman" w:cs="Times New Roman"/>
          <w:sz w:val="24"/>
          <w:szCs w:val="24"/>
        </w:rPr>
        <w:t xml:space="preserve"> intellectual disability. School Action Plus and Statements required the involvement of professionals external to the school in the categorisation of SEN. Current guidance defines MLD in relation to pupils having ‘attainments significantly below expected levels in most areas of the curriculum despite appropriate interventions [and having] ... much greater difficulty than their peers in acquiring basic literacy and numeracy skills and in understanding concepts’</w:t>
      </w:r>
      <w:r w:rsidR="009A136D">
        <w:rPr>
          <w:rFonts w:ascii="Times New Roman" w:hAnsi="Times New Roman" w:cs="Times New Roman"/>
          <w:sz w:val="24"/>
          <w:szCs w:val="24"/>
        </w:rPr>
        <w:t xml:space="preserve"> </w:t>
      </w:r>
      <w:r w:rsidRPr="005739E4">
        <w:rPr>
          <w:rFonts w:ascii="Times New Roman" w:hAnsi="Times New Roman" w:cs="Times New Roman"/>
          <w:noProof/>
          <w:sz w:val="24"/>
          <w:szCs w:val="24"/>
        </w:rPr>
        <w:t>(Department for Education, 2011a)</w:t>
      </w:r>
      <w:r>
        <w:rPr>
          <w:rFonts w:ascii="Times New Roman" w:hAnsi="Times New Roman" w:cs="Times New Roman"/>
          <w:sz w:val="24"/>
          <w:szCs w:val="24"/>
        </w:rPr>
        <w:t>.</w:t>
      </w:r>
      <w:r w:rsidRPr="005739E4">
        <w:rPr>
          <w:rFonts w:ascii="Times New Roman" w:hAnsi="Times New Roman" w:cs="Times New Roman"/>
          <w:sz w:val="24"/>
          <w:szCs w:val="24"/>
        </w:rPr>
        <w:t xml:space="preserve"> </w:t>
      </w:r>
    </w:p>
    <w:p w:rsidR="00B07543" w:rsidRPr="005739E4" w:rsidRDefault="00B07543" w:rsidP="00CB48FA">
      <w:pPr>
        <w:spacing w:line="480" w:lineRule="auto"/>
        <w:rPr>
          <w:rFonts w:ascii="Times New Roman" w:hAnsi="Times New Roman" w:cs="Times New Roman"/>
          <w:sz w:val="24"/>
          <w:szCs w:val="24"/>
        </w:rPr>
      </w:pPr>
      <w:r w:rsidRPr="005739E4">
        <w:rPr>
          <w:rFonts w:ascii="Times New Roman" w:hAnsi="Times New Roman" w:cs="Times New Roman"/>
          <w:sz w:val="24"/>
          <w:szCs w:val="24"/>
        </w:rPr>
        <w:t>Of the children sampled, 527 (3.5% of the unweighted linked sample) were identified as having mild</w:t>
      </w:r>
      <w:r>
        <w:rPr>
          <w:rFonts w:ascii="Times New Roman" w:hAnsi="Times New Roman" w:cs="Times New Roman"/>
          <w:sz w:val="24"/>
          <w:szCs w:val="24"/>
        </w:rPr>
        <w:t>/moderate</w:t>
      </w:r>
      <w:r w:rsidRPr="005739E4">
        <w:rPr>
          <w:rFonts w:ascii="Times New Roman" w:hAnsi="Times New Roman" w:cs="Times New Roman"/>
          <w:sz w:val="24"/>
          <w:szCs w:val="24"/>
        </w:rPr>
        <w:t xml:space="preserve"> intellectual disabilities in either 2004 or 2006. Consistent </w:t>
      </w:r>
      <w:r>
        <w:rPr>
          <w:rFonts w:ascii="Times New Roman" w:hAnsi="Times New Roman" w:cs="Times New Roman"/>
          <w:sz w:val="24"/>
          <w:szCs w:val="24"/>
        </w:rPr>
        <w:t xml:space="preserve">with </w:t>
      </w:r>
      <w:r w:rsidRPr="005739E4">
        <w:rPr>
          <w:rFonts w:ascii="Times New Roman" w:hAnsi="Times New Roman" w:cs="Times New Roman"/>
          <w:sz w:val="24"/>
          <w:szCs w:val="24"/>
        </w:rPr>
        <w:t xml:space="preserve">existing </w:t>
      </w:r>
      <w:r w:rsidRPr="005739E4">
        <w:rPr>
          <w:rFonts w:ascii="Times New Roman" w:hAnsi="Times New Roman" w:cs="Times New Roman"/>
          <w:sz w:val="24"/>
          <w:szCs w:val="24"/>
        </w:rPr>
        <w:lastRenderedPageBreak/>
        <w:t xml:space="preserve">epidemiological </w:t>
      </w:r>
      <w:r>
        <w:rPr>
          <w:rFonts w:ascii="Times New Roman" w:hAnsi="Times New Roman" w:cs="Times New Roman"/>
          <w:sz w:val="24"/>
          <w:szCs w:val="24"/>
        </w:rPr>
        <w:t>research, the prevalence of</w:t>
      </w:r>
      <w:r w:rsidRPr="005739E4">
        <w:rPr>
          <w:rFonts w:ascii="Times New Roman" w:hAnsi="Times New Roman" w:cs="Times New Roman"/>
          <w:sz w:val="24"/>
          <w:szCs w:val="24"/>
        </w:rPr>
        <w:t xml:space="preserve"> intellectual disability was significantly higher among boys than girls (4.3</w:t>
      </w:r>
      <w:r>
        <w:rPr>
          <w:rFonts w:ascii="Times New Roman" w:hAnsi="Times New Roman" w:cs="Times New Roman"/>
          <w:sz w:val="24"/>
          <w:szCs w:val="24"/>
        </w:rPr>
        <w:t>% vs 2.5%; prevalence r</w:t>
      </w:r>
      <w:r w:rsidRPr="005739E4">
        <w:rPr>
          <w:rFonts w:ascii="Times New Roman" w:hAnsi="Times New Roman" w:cs="Times New Roman"/>
          <w:sz w:val="24"/>
          <w:szCs w:val="24"/>
        </w:rPr>
        <w:t>atio</w:t>
      </w:r>
      <w:r>
        <w:rPr>
          <w:rFonts w:ascii="Times New Roman" w:hAnsi="Times New Roman" w:cs="Times New Roman"/>
          <w:sz w:val="24"/>
          <w:szCs w:val="24"/>
        </w:rPr>
        <w:t xml:space="preserve"> (PR)</w:t>
      </w:r>
      <w:r w:rsidRPr="005739E4">
        <w:rPr>
          <w:rFonts w:ascii="Times New Roman" w:hAnsi="Times New Roman" w:cs="Times New Roman"/>
          <w:sz w:val="24"/>
          <w:szCs w:val="24"/>
        </w:rPr>
        <w:t>=1.75</w:t>
      </w:r>
      <w:r>
        <w:rPr>
          <w:rFonts w:ascii="Times New Roman" w:hAnsi="Times New Roman" w:cs="Times New Roman"/>
          <w:sz w:val="24"/>
          <w:szCs w:val="24"/>
        </w:rPr>
        <w:t xml:space="preserve"> </w:t>
      </w:r>
      <w:r w:rsidRPr="005739E4">
        <w:rPr>
          <w:rFonts w:ascii="Times New Roman" w:hAnsi="Times New Roman" w:cs="Times New Roman"/>
          <w:sz w:val="24"/>
          <w:szCs w:val="24"/>
        </w:rPr>
        <w:t>(</w:t>
      </w:r>
      <w:r>
        <w:rPr>
          <w:rFonts w:ascii="Times New Roman" w:hAnsi="Times New Roman" w:cs="Times New Roman"/>
          <w:sz w:val="24"/>
          <w:szCs w:val="24"/>
        </w:rPr>
        <w:t xml:space="preserve">95% CI </w:t>
      </w:r>
      <w:r w:rsidRPr="005739E4">
        <w:rPr>
          <w:rFonts w:ascii="Times New Roman" w:hAnsi="Times New Roman" w:cs="Times New Roman"/>
          <w:sz w:val="24"/>
          <w:szCs w:val="24"/>
        </w:rPr>
        <w:t>1.46-2.09</w:t>
      </w:r>
      <w:r>
        <w:rPr>
          <w:rFonts w:ascii="Times New Roman" w:hAnsi="Times New Roman" w:cs="Times New Roman"/>
          <w:sz w:val="24"/>
          <w:szCs w:val="24"/>
        </w:rPr>
        <w:t>)) and among children</w:t>
      </w:r>
      <w:r w:rsidRPr="005739E4">
        <w:rPr>
          <w:rFonts w:ascii="Times New Roman" w:hAnsi="Times New Roman" w:cs="Times New Roman"/>
          <w:sz w:val="24"/>
          <w:szCs w:val="24"/>
        </w:rPr>
        <w:t xml:space="preserve"> eligible for free school meals</w:t>
      </w:r>
      <w:r>
        <w:rPr>
          <w:rFonts w:ascii="Times New Roman" w:hAnsi="Times New Roman" w:cs="Times New Roman"/>
          <w:sz w:val="24"/>
          <w:szCs w:val="24"/>
        </w:rPr>
        <w:t xml:space="preserve"> (FSM)</w:t>
      </w:r>
      <w:r w:rsidRPr="005739E4">
        <w:rPr>
          <w:rFonts w:ascii="Times New Roman" w:hAnsi="Times New Roman" w:cs="Times New Roman"/>
          <w:sz w:val="24"/>
          <w:szCs w:val="24"/>
        </w:rPr>
        <w:t>, an indicator of household poverty, (8.0% vs 1.9</w:t>
      </w:r>
      <w:r>
        <w:rPr>
          <w:rFonts w:ascii="Times New Roman" w:hAnsi="Times New Roman" w:cs="Times New Roman"/>
          <w:sz w:val="24"/>
          <w:szCs w:val="24"/>
        </w:rPr>
        <w:t>%; PR</w:t>
      </w:r>
      <w:r w:rsidRPr="005739E4">
        <w:rPr>
          <w:rFonts w:ascii="Times New Roman" w:hAnsi="Times New Roman" w:cs="Times New Roman"/>
          <w:sz w:val="24"/>
          <w:szCs w:val="24"/>
        </w:rPr>
        <w:t>=4.10</w:t>
      </w:r>
      <w:r>
        <w:rPr>
          <w:rFonts w:ascii="Times New Roman" w:hAnsi="Times New Roman" w:cs="Times New Roman"/>
          <w:sz w:val="24"/>
          <w:szCs w:val="24"/>
        </w:rPr>
        <w:t xml:space="preserve"> </w:t>
      </w:r>
      <w:r w:rsidRPr="005739E4">
        <w:rPr>
          <w:rFonts w:ascii="Times New Roman" w:hAnsi="Times New Roman" w:cs="Times New Roman"/>
          <w:sz w:val="24"/>
          <w:szCs w:val="24"/>
        </w:rPr>
        <w:t>(</w:t>
      </w:r>
      <w:r>
        <w:rPr>
          <w:rFonts w:ascii="Times New Roman" w:hAnsi="Times New Roman" w:cs="Times New Roman"/>
          <w:sz w:val="24"/>
          <w:szCs w:val="24"/>
        </w:rPr>
        <w:t xml:space="preserve">95% CI </w:t>
      </w:r>
      <w:r w:rsidRPr="005739E4">
        <w:rPr>
          <w:rFonts w:ascii="Times New Roman" w:hAnsi="Times New Roman" w:cs="Times New Roman"/>
          <w:sz w:val="24"/>
          <w:szCs w:val="24"/>
        </w:rPr>
        <w:t>3.14-5.35</w:t>
      </w:r>
      <w:r>
        <w:rPr>
          <w:rFonts w:ascii="Times New Roman" w:hAnsi="Times New Roman" w:cs="Times New Roman"/>
          <w:sz w:val="24"/>
          <w:szCs w:val="24"/>
        </w:rPr>
        <w:t xml:space="preserve">)) </w:t>
      </w:r>
      <w:r w:rsidR="009A136D">
        <w:rPr>
          <w:rFonts w:ascii="Times New Roman" w:hAnsi="Times New Roman" w:cs="Times New Roman"/>
          <w:noProof/>
          <w:sz w:val="24"/>
          <w:szCs w:val="24"/>
        </w:rPr>
        <w:t>(</w:t>
      </w:r>
      <w:r>
        <w:rPr>
          <w:rFonts w:ascii="Times New Roman" w:hAnsi="Times New Roman" w:cs="Times New Roman"/>
          <w:noProof/>
          <w:sz w:val="24"/>
          <w:szCs w:val="24"/>
        </w:rPr>
        <w:t>Emerson, 2012; Maulik, Mascarenhas, Mathers, Dua, &amp; Saxena, 2011; Roeleveld, Zielhuis, &amp; Gabreels, 1997)</w:t>
      </w:r>
      <w:r>
        <w:rPr>
          <w:rFonts w:ascii="Times New Roman" w:hAnsi="Times New Roman" w:cs="Times New Roman"/>
          <w:sz w:val="24"/>
          <w:szCs w:val="24"/>
        </w:rPr>
        <w:t>.</w:t>
      </w:r>
    </w:p>
    <w:p w:rsidR="00B07543" w:rsidRPr="006D0165" w:rsidRDefault="00B07543" w:rsidP="00CB48FA">
      <w:pPr>
        <w:spacing w:line="480" w:lineRule="auto"/>
        <w:rPr>
          <w:rFonts w:ascii="Times New Roman" w:hAnsi="Times New Roman" w:cs="Times New Roman"/>
          <w:b/>
          <w:sz w:val="24"/>
          <w:szCs w:val="24"/>
        </w:rPr>
      </w:pPr>
      <w:r w:rsidRPr="006D0165">
        <w:rPr>
          <w:rFonts w:ascii="Times New Roman" w:hAnsi="Times New Roman" w:cs="Times New Roman"/>
          <w:b/>
          <w:sz w:val="24"/>
          <w:szCs w:val="24"/>
        </w:rPr>
        <w:t>Procedure</w:t>
      </w:r>
    </w:p>
    <w:p w:rsidR="00B07543" w:rsidRPr="005739E4" w:rsidRDefault="00B07543" w:rsidP="00CB48FA">
      <w:pPr>
        <w:spacing w:line="480" w:lineRule="auto"/>
        <w:rPr>
          <w:rFonts w:ascii="Times New Roman" w:hAnsi="Times New Roman" w:cs="Times New Roman"/>
          <w:sz w:val="24"/>
          <w:szCs w:val="24"/>
        </w:rPr>
      </w:pPr>
      <w:r w:rsidRPr="005739E4">
        <w:rPr>
          <w:rFonts w:ascii="Times New Roman" w:hAnsi="Times New Roman" w:cs="Times New Roman"/>
          <w:sz w:val="24"/>
          <w:szCs w:val="24"/>
        </w:rPr>
        <w:t>Data in the first four waves was collected by face to face interviews using computer assisted personal interviewing with the young person themselves and their parents. Waves 5-7 used a mixed mode approach in which information, which was only collected from the young person, was collected by their choice of method (online, telephone or face to face).</w:t>
      </w:r>
    </w:p>
    <w:p w:rsidR="00B07543" w:rsidRPr="006D0165" w:rsidRDefault="00B07543" w:rsidP="00CB48FA">
      <w:pPr>
        <w:spacing w:line="480" w:lineRule="auto"/>
        <w:rPr>
          <w:rFonts w:ascii="Times New Roman" w:hAnsi="Times New Roman" w:cs="Times New Roman"/>
          <w:b/>
          <w:sz w:val="24"/>
          <w:szCs w:val="24"/>
        </w:rPr>
      </w:pPr>
      <w:r w:rsidRPr="006D0165">
        <w:rPr>
          <w:rFonts w:ascii="Times New Roman" w:hAnsi="Times New Roman" w:cs="Times New Roman"/>
          <w:b/>
          <w:sz w:val="24"/>
          <w:szCs w:val="24"/>
        </w:rPr>
        <w:t>Measures</w:t>
      </w:r>
    </w:p>
    <w:p w:rsidR="00B07543" w:rsidRPr="005739E4" w:rsidRDefault="00B07543" w:rsidP="00CB48FA">
      <w:pPr>
        <w:spacing w:line="480" w:lineRule="auto"/>
        <w:ind w:firstLine="720"/>
        <w:rPr>
          <w:rFonts w:ascii="Times New Roman" w:eastAsiaTheme="minorHAnsi" w:hAnsi="Times New Roman" w:cs="Times New Roman"/>
          <w:sz w:val="24"/>
          <w:szCs w:val="24"/>
        </w:rPr>
      </w:pPr>
      <w:r w:rsidRPr="006D0165">
        <w:rPr>
          <w:rFonts w:ascii="Times New Roman" w:hAnsi="Times New Roman" w:cs="Times New Roman"/>
          <w:b/>
          <w:sz w:val="24"/>
          <w:szCs w:val="24"/>
        </w:rPr>
        <w:t xml:space="preserve">Smoking.  </w:t>
      </w:r>
      <w:r w:rsidRPr="005739E4">
        <w:rPr>
          <w:rFonts w:ascii="Times New Roman" w:hAnsi="Times New Roman" w:cs="Times New Roman"/>
          <w:sz w:val="24"/>
          <w:szCs w:val="24"/>
        </w:rPr>
        <w:t>At Wa</w:t>
      </w:r>
      <w:r>
        <w:rPr>
          <w:rFonts w:ascii="Times New Roman" w:hAnsi="Times New Roman" w:cs="Times New Roman"/>
          <w:sz w:val="24"/>
          <w:szCs w:val="24"/>
        </w:rPr>
        <w:t>ves 1-3 participants were asked:</w:t>
      </w:r>
      <w:r w:rsidRPr="005739E4">
        <w:rPr>
          <w:rFonts w:ascii="Times New Roman" w:hAnsi="Times New Roman" w:cs="Times New Roman"/>
          <w:sz w:val="24"/>
          <w:szCs w:val="24"/>
        </w:rPr>
        <w:t xml:space="preserve"> </w:t>
      </w:r>
      <w:r w:rsidRPr="005739E4">
        <w:rPr>
          <w:rFonts w:ascii="Times New Roman" w:eastAsiaTheme="minorHAnsi" w:hAnsi="Times New Roman" w:cs="Times New Roman"/>
          <w:i/>
          <w:sz w:val="24"/>
          <w:szCs w:val="24"/>
        </w:rPr>
        <w:t>Do you ever smoke cigarettes at all</w:t>
      </w:r>
      <w:r w:rsidRPr="005739E4">
        <w:rPr>
          <w:rFonts w:ascii="Times New Roman" w:eastAsiaTheme="minorHAnsi" w:hAnsi="Times New Roman" w:cs="Times New Roman"/>
          <w:sz w:val="24"/>
          <w:szCs w:val="24"/>
        </w:rPr>
        <w:t>? If answering in the affirmative they were then aske</w:t>
      </w:r>
      <w:r>
        <w:rPr>
          <w:rFonts w:ascii="Times New Roman" w:eastAsiaTheme="minorHAnsi" w:hAnsi="Times New Roman" w:cs="Times New Roman"/>
          <w:sz w:val="24"/>
          <w:szCs w:val="24"/>
        </w:rPr>
        <w:t>d:</w:t>
      </w:r>
      <w:r w:rsidRPr="005739E4">
        <w:rPr>
          <w:rFonts w:ascii="Times New Roman" w:eastAsiaTheme="minorHAnsi" w:hAnsi="Times New Roman" w:cs="Times New Roman"/>
          <w:sz w:val="24"/>
          <w:szCs w:val="24"/>
        </w:rPr>
        <w:t xml:space="preserve"> </w:t>
      </w:r>
      <w:r w:rsidRPr="005739E4">
        <w:rPr>
          <w:rFonts w:ascii="Times New Roman" w:eastAsiaTheme="minorHAnsi" w:hAnsi="Times New Roman" w:cs="Times New Roman"/>
          <w:i/>
          <w:sz w:val="24"/>
          <w:szCs w:val="24"/>
        </w:rPr>
        <w:t>Now read all the following statements carefully and type in the number next to the one which best describes you</w:t>
      </w:r>
      <w:r w:rsidRPr="005739E4">
        <w:rPr>
          <w:rFonts w:ascii="Times New Roman" w:eastAsiaTheme="minorHAnsi" w:hAnsi="Times New Roman" w:cs="Times New Roman"/>
          <w:sz w:val="24"/>
          <w:szCs w:val="24"/>
        </w:rPr>
        <w:t xml:space="preserve"> </w:t>
      </w:r>
      <w:r w:rsidRPr="008B2987">
        <w:rPr>
          <w:rFonts w:ascii="Times New Roman" w:eastAsiaTheme="minorHAnsi" w:hAnsi="Times New Roman" w:cs="Times New Roman"/>
          <w:i/>
          <w:sz w:val="24"/>
          <w:szCs w:val="24"/>
        </w:rPr>
        <w:t>(response options: I have never smoked, I have only ever tried smoking once, I used to smoke sometimes but I never smoke a cigarette now, I sometimes smoke cigarettes now but I don't smoke as many as one a week, I usually smoke between one and six cigarettes a week, I usually smoke more than six cigarettes a week).</w:t>
      </w:r>
      <w:r w:rsidRPr="005739E4">
        <w:rPr>
          <w:rFonts w:ascii="Times New Roman" w:eastAsiaTheme="minorHAnsi" w:hAnsi="Times New Roman" w:cs="Times New Roman"/>
          <w:sz w:val="24"/>
          <w:szCs w:val="24"/>
        </w:rPr>
        <w:t xml:space="preserve"> We created two b</w:t>
      </w:r>
      <w:r>
        <w:rPr>
          <w:rFonts w:ascii="Times New Roman" w:eastAsiaTheme="minorHAnsi" w:hAnsi="Times New Roman" w:cs="Times New Roman"/>
          <w:sz w:val="24"/>
          <w:szCs w:val="24"/>
        </w:rPr>
        <w:t>inary variables from these data:</w:t>
      </w:r>
      <w:r w:rsidRPr="005739E4">
        <w:rPr>
          <w:rFonts w:ascii="Times New Roman" w:eastAsiaTheme="minorHAnsi" w:hAnsi="Times New Roman" w:cs="Times New Roman"/>
          <w:sz w:val="24"/>
          <w:szCs w:val="24"/>
        </w:rPr>
        <w:t xml:space="preserve"> ever smoked </w:t>
      </w:r>
      <w:r>
        <w:rPr>
          <w:rFonts w:ascii="Times New Roman" w:eastAsiaTheme="minorHAnsi" w:hAnsi="Times New Roman" w:cs="Times New Roman"/>
          <w:sz w:val="24"/>
          <w:szCs w:val="24"/>
        </w:rPr>
        <w:t>at any W</w:t>
      </w:r>
      <w:r w:rsidRPr="005739E4">
        <w:rPr>
          <w:rFonts w:ascii="Times New Roman" w:eastAsiaTheme="minorHAnsi" w:hAnsi="Times New Roman" w:cs="Times New Roman"/>
          <w:sz w:val="24"/>
          <w:szCs w:val="24"/>
        </w:rPr>
        <w:t>ave</w:t>
      </w:r>
      <w:r>
        <w:rPr>
          <w:rFonts w:ascii="Times New Roman" w:eastAsiaTheme="minorHAnsi" w:hAnsi="Times New Roman" w:cs="Times New Roman"/>
          <w:sz w:val="24"/>
          <w:szCs w:val="24"/>
        </w:rPr>
        <w:t>;</w:t>
      </w:r>
      <w:r w:rsidRPr="005739E4">
        <w:rPr>
          <w:rFonts w:ascii="Times New Roman" w:eastAsiaTheme="minorHAnsi" w:hAnsi="Times New Roman" w:cs="Times New Roman"/>
          <w:sz w:val="24"/>
          <w:szCs w:val="24"/>
        </w:rPr>
        <w:t xml:space="preserve"> and has smoked more than six cigarettes a week at any Wave.  </w:t>
      </w:r>
    </w:p>
    <w:p w:rsidR="00B07543" w:rsidRPr="005739E4" w:rsidRDefault="00B07543" w:rsidP="00CB48FA">
      <w:pPr>
        <w:spacing w:line="480" w:lineRule="auto"/>
        <w:ind w:firstLine="720"/>
        <w:rPr>
          <w:rFonts w:ascii="Times New Roman" w:eastAsiaTheme="minorHAnsi" w:hAnsi="Times New Roman" w:cs="Times New Roman"/>
          <w:sz w:val="24"/>
          <w:szCs w:val="24"/>
        </w:rPr>
      </w:pPr>
      <w:r w:rsidRPr="006D0165">
        <w:rPr>
          <w:rFonts w:ascii="Times New Roman" w:hAnsi="Times New Roman" w:cs="Times New Roman"/>
          <w:b/>
          <w:sz w:val="24"/>
          <w:szCs w:val="24"/>
        </w:rPr>
        <w:t>Alcohol Use.</w:t>
      </w:r>
      <w:r>
        <w:rPr>
          <w:rFonts w:ascii="Times New Roman" w:hAnsi="Times New Roman" w:cs="Times New Roman"/>
          <w:b/>
          <w:sz w:val="24"/>
          <w:szCs w:val="24"/>
        </w:rPr>
        <w:t xml:space="preserve">  </w:t>
      </w:r>
      <w:r w:rsidRPr="005739E4">
        <w:rPr>
          <w:rFonts w:ascii="Times New Roman" w:hAnsi="Times New Roman" w:cs="Times New Roman"/>
          <w:sz w:val="24"/>
          <w:szCs w:val="24"/>
        </w:rPr>
        <w:t xml:space="preserve">At Waves 1-4, 6 and 7 </w:t>
      </w:r>
      <w:r>
        <w:rPr>
          <w:rFonts w:ascii="Times New Roman" w:hAnsi="Times New Roman" w:cs="Times New Roman"/>
          <w:sz w:val="24"/>
          <w:szCs w:val="24"/>
        </w:rPr>
        <w:t>participants were asked:</w:t>
      </w:r>
      <w:r w:rsidRPr="005739E4">
        <w:rPr>
          <w:rFonts w:ascii="Times New Roman" w:hAnsi="Times New Roman" w:cs="Times New Roman"/>
          <w:sz w:val="24"/>
          <w:szCs w:val="24"/>
        </w:rPr>
        <w:t xml:space="preserve"> </w:t>
      </w:r>
      <w:r w:rsidRPr="005739E4">
        <w:rPr>
          <w:rFonts w:ascii="Times New Roman" w:eastAsiaTheme="minorHAnsi" w:hAnsi="Times New Roman" w:cs="Times New Roman"/>
          <w:i/>
          <w:sz w:val="24"/>
          <w:szCs w:val="24"/>
        </w:rPr>
        <w:t>Have you ever had a proper alcoholic drink?</w:t>
      </w:r>
      <w:r w:rsidRPr="005739E4">
        <w:rPr>
          <w:rFonts w:ascii="Times New Roman" w:eastAsiaTheme="minorHAnsi" w:hAnsi="Times New Roman" w:cs="Times New Roman"/>
          <w:sz w:val="24"/>
          <w:szCs w:val="24"/>
        </w:rPr>
        <w:t xml:space="preserve"> </w:t>
      </w:r>
      <w:r w:rsidRPr="00CC2487">
        <w:rPr>
          <w:rFonts w:ascii="Times New Roman" w:eastAsiaTheme="minorHAnsi" w:hAnsi="Times New Roman" w:cs="Times New Roman"/>
          <w:i/>
          <w:sz w:val="24"/>
          <w:szCs w:val="24"/>
        </w:rPr>
        <w:t>That is a whole drink, not just a sip. Please do not count drinks labelled low alcohol</w:t>
      </w:r>
      <w:r w:rsidRPr="005739E4">
        <w:rPr>
          <w:rFonts w:ascii="Times New Roman" w:eastAsiaTheme="minorHAnsi" w:hAnsi="Times New Roman" w:cs="Times New Roman"/>
          <w:sz w:val="24"/>
          <w:szCs w:val="24"/>
        </w:rPr>
        <w:t>. If answering in the a</w:t>
      </w:r>
      <w:r>
        <w:rPr>
          <w:rFonts w:ascii="Times New Roman" w:eastAsiaTheme="minorHAnsi" w:hAnsi="Times New Roman" w:cs="Times New Roman"/>
          <w:sz w:val="24"/>
          <w:szCs w:val="24"/>
        </w:rPr>
        <w:t>ffirmative they were then asked:</w:t>
      </w:r>
      <w:r w:rsidRPr="005739E4">
        <w:rPr>
          <w:rFonts w:ascii="Times New Roman" w:eastAsiaTheme="minorHAnsi" w:hAnsi="Times New Roman" w:cs="Times New Roman"/>
          <w:sz w:val="24"/>
          <w:szCs w:val="24"/>
        </w:rPr>
        <w:t xml:space="preserve"> </w:t>
      </w:r>
      <w:r w:rsidRPr="005739E4">
        <w:rPr>
          <w:rFonts w:ascii="Times New Roman" w:eastAsiaTheme="minorHAnsi" w:hAnsi="Times New Roman" w:cs="Times New Roman"/>
          <w:i/>
          <w:sz w:val="24"/>
          <w:szCs w:val="24"/>
        </w:rPr>
        <w:t xml:space="preserve">Thinking about </w:t>
      </w:r>
      <w:r w:rsidRPr="005739E4">
        <w:rPr>
          <w:rFonts w:ascii="Times New Roman" w:eastAsiaTheme="minorHAnsi" w:hAnsi="Times New Roman" w:cs="Times New Roman"/>
          <w:i/>
          <w:sz w:val="24"/>
          <w:szCs w:val="24"/>
        </w:rPr>
        <w:lastRenderedPageBreak/>
        <w:t xml:space="preserve">the last 12 months, about how often did you usually have an alcoholic drink? Was it... (response options: most days, once or twice a week, 2 or 3 times a month, once a month, once every couple of months or; less often)? </w:t>
      </w:r>
      <w:r w:rsidRPr="005739E4">
        <w:rPr>
          <w:rFonts w:ascii="Times New Roman" w:eastAsiaTheme="minorHAnsi" w:hAnsi="Times New Roman" w:cs="Times New Roman"/>
          <w:sz w:val="24"/>
          <w:szCs w:val="24"/>
        </w:rPr>
        <w:t>We created three b</w:t>
      </w:r>
      <w:r>
        <w:rPr>
          <w:rFonts w:ascii="Times New Roman" w:eastAsiaTheme="minorHAnsi" w:hAnsi="Times New Roman" w:cs="Times New Roman"/>
          <w:sz w:val="24"/>
          <w:szCs w:val="24"/>
        </w:rPr>
        <w:t>inary variables from these data:</w:t>
      </w:r>
      <w:r w:rsidRPr="005739E4">
        <w:rPr>
          <w:rFonts w:ascii="Times New Roman" w:eastAsiaTheme="minorHAnsi" w:hAnsi="Times New Roman" w:cs="Times New Roman"/>
          <w:sz w:val="24"/>
          <w:szCs w:val="24"/>
        </w:rPr>
        <w:t xml:space="preserve"> ever had an alcoholic drink under 18, regular drinker under 18 (response options </w:t>
      </w:r>
      <w:r w:rsidRPr="005739E4">
        <w:rPr>
          <w:rFonts w:ascii="Times New Roman" w:eastAsiaTheme="minorHAnsi" w:hAnsi="Times New Roman" w:cs="Times New Roman"/>
          <w:i/>
          <w:sz w:val="24"/>
          <w:szCs w:val="24"/>
        </w:rPr>
        <w:t>once or twice a week</w:t>
      </w:r>
      <w:r w:rsidRPr="005739E4">
        <w:rPr>
          <w:rFonts w:ascii="Times New Roman" w:eastAsiaTheme="minorHAnsi" w:hAnsi="Times New Roman" w:cs="Times New Roman"/>
          <w:sz w:val="24"/>
          <w:szCs w:val="24"/>
        </w:rPr>
        <w:t xml:space="preserve"> or </w:t>
      </w:r>
      <w:r w:rsidRPr="005739E4">
        <w:rPr>
          <w:rFonts w:ascii="Times New Roman" w:eastAsiaTheme="minorHAnsi" w:hAnsi="Times New Roman" w:cs="Times New Roman"/>
          <w:i/>
          <w:sz w:val="24"/>
          <w:szCs w:val="24"/>
        </w:rPr>
        <w:t>most days</w:t>
      </w:r>
      <w:r w:rsidRPr="005739E4">
        <w:rPr>
          <w:rFonts w:ascii="Times New Roman" w:eastAsiaTheme="minorHAnsi" w:hAnsi="Times New Roman" w:cs="Times New Roman"/>
          <w:sz w:val="24"/>
          <w:szCs w:val="24"/>
        </w:rPr>
        <w:t xml:space="preserve">) at Wave 1-4, regular drinker age 18+ (response options </w:t>
      </w:r>
      <w:r w:rsidRPr="005739E4">
        <w:rPr>
          <w:rFonts w:ascii="Times New Roman" w:eastAsiaTheme="minorHAnsi" w:hAnsi="Times New Roman" w:cs="Times New Roman"/>
          <w:i/>
          <w:sz w:val="24"/>
          <w:szCs w:val="24"/>
        </w:rPr>
        <w:t>once or twice a week</w:t>
      </w:r>
      <w:r w:rsidRPr="005739E4">
        <w:rPr>
          <w:rFonts w:ascii="Times New Roman" w:eastAsiaTheme="minorHAnsi" w:hAnsi="Times New Roman" w:cs="Times New Roman"/>
          <w:sz w:val="24"/>
          <w:szCs w:val="24"/>
        </w:rPr>
        <w:t xml:space="preserve"> or </w:t>
      </w:r>
      <w:r w:rsidRPr="005739E4">
        <w:rPr>
          <w:rFonts w:ascii="Times New Roman" w:eastAsiaTheme="minorHAnsi" w:hAnsi="Times New Roman" w:cs="Times New Roman"/>
          <w:i/>
          <w:sz w:val="24"/>
          <w:szCs w:val="24"/>
        </w:rPr>
        <w:t>most days</w:t>
      </w:r>
      <w:r w:rsidRPr="005739E4">
        <w:rPr>
          <w:rFonts w:ascii="Times New Roman" w:eastAsiaTheme="minorHAnsi" w:hAnsi="Times New Roman" w:cs="Times New Roman"/>
          <w:sz w:val="24"/>
          <w:szCs w:val="24"/>
        </w:rPr>
        <w:t>) at Wave 6-7.</w:t>
      </w:r>
    </w:p>
    <w:p w:rsidR="00B07543" w:rsidRPr="005739E4" w:rsidRDefault="00B07543" w:rsidP="00CB48FA">
      <w:pPr>
        <w:spacing w:line="480" w:lineRule="auto"/>
        <w:rPr>
          <w:rFonts w:ascii="Times New Roman" w:eastAsiaTheme="minorHAnsi" w:hAnsi="Times New Roman" w:cs="Times New Roman"/>
          <w:sz w:val="24"/>
          <w:szCs w:val="24"/>
        </w:rPr>
      </w:pPr>
      <w:r w:rsidRPr="005739E4">
        <w:rPr>
          <w:rFonts w:ascii="Times New Roman" w:eastAsiaTheme="minorHAnsi" w:hAnsi="Times New Roman" w:cs="Times New Roman"/>
          <w:sz w:val="24"/>
          <w:szCs w:val="24"/>
        </w:rPr>
        <w:t xml:space="preserve">At Waves 6 and 7 </w:t>
      </w:r>
      <w:r>
        <w:rPr>
          <w:rFonts w:ascii="Times New Roman" w:hAnsi="Times New Roman" w:cs="Times New Roman"/>
          <w:sz w:val="24"/>
          <w:szCs w:val="24"/>
        </w:rPr>
        <w:t>participants were also asked:</w:t>
      </w:r>
      <w:r w:rsidRPr="005739E4">
        <w:rPr>
          <w:rFonts w:ascii="Times New Roman" w:hAnsi="Times New Roman" w:cs="Times New Roman"/>
          <w:sz w:val="24"/>
          <w:szCs w:val="24"/>
        </w:rPr>
        <w:t xml:space="preserve"> </w:t>
      </w:r>
      <w:r w:rsidRPr="005739E4">
        <w:rPr>
          <w:rFonts w:ascii="Times New Roman" w:eastAsiaTheme="minorHAnsi" w:hAnsi="Times New Roman" w:cs="Times New Roman"/>
          <w:i/>
          <w:sz w:val="24"/>
          <w:szCs w:val="24"/>
        </w:rPr>
        <w:t>On those days when you did have an alcoholic drink, how often would you say you got drunk?</w:t>
      </w:r>
      <w:r w:rsidRPr="005739E4">
        <w:rPr>
          <w:rFonts w:ascii="Times New Roman" w:eastAsiaTheme="minorHAnsi" w:hAnsi="Times New Roman" w:cs="Times New Roman"/>
          <w:sz w:val="24"/>
          <w:szCs w:val="24"/>
        </w:rPr>
        <w:t xml:space="preserve"> </w:t>
      </w:r>
      <w:r w:rsidRPr="005739E4">
        <w:rPr>
          <w:rFonts w:ascii="Times New Roman" w:eastAsiaTheme="minorHAnsi" w:hAnsi="Times New Roman" w:cs="Times New Roman"/>
          <w:i/>
          <w:sz w:val="24"/>
          <w:szCs w:val="24"/>
        </w:rPr>
        <w:t>Would you say it was</w:t>
      </w:r>
      <w:proofErr w:type="gramStart"/>
      <w:r w:rsidRPr="005739E4">
        <w:rPr>
          <w:rFonts w:ascii="Times New Roman" w:eastAsiaTheme="minorHAnsi" w:hAnsi="Times New Roman" w:cs="Times New Roman"/>
          <w:i/>
          <w:sz w:val="24"/>
          <w:szCs w:val="24"/>
        </w:rPr>
        <w:t>…</w:t>
      </w:r>
      <w:proofErr w:type="gramEnd"/>
      <w:r w:rsidRPr="005739E4">
        <w:rPr>
          <w:rFonts w:ascii="Times New Roman" w:eastAsiaTheme="minorHAnsi" w:hAnsi="Times New Roman" w:cs="Times New Roman"/>
          <w:i/>
          <w:sz w:val="24"/>
          <w:szCs w:val="24"/>
        </w:rPr>
        <w:t xml:space="preserve"> (</w:t>
      </w:r>
      <w:proofErr w:type="gramStart"/>
      <w:r w:rsidRPr="005739E4">
        <w:rPr>
          <w:rFonts w:ascii="Times New Roman" w:eastAsiaTheme="minorHAnsi" w:hAnsi="Times New Roman" w:cs="Times New Roman"/>
          <w:sz w:val="24"/>
          <w:szCs w:val="24"/>
        </w:rPr>
        <w:t>response</w:t>
      </w:r>
      <w:proofErr w:type="gramEnd"/>
      <w:r w:rsidRPr="005739E4">
        <w:rPr>
          <w:rFonts w:ascii="Times New Roman" w:eastAsiaTheme="minorHAnsi" w:hAnsi="Times New Roman" w:cs="Times New Roman"/>
          <w:sz w:val="24"/>
          <w:szCs w:val="24"/>
        </w:rPr>
        <w:t xml:space="preserve"> options:</w:t>
      </w:r>
      <w:r w:rsidRPr="005739E4">
        <w:rPr>
          <w:rFonts w:ascii="Times New Roman" w:eastAsiaTheme="minorHAnsi" w:hAnsi="Times New Roman" w:cs="Times New Roman"/>
          <w:i/>
          <w:sz w:val="24"/>
          <w:szCs w:val="24"/>
        </w:rPr>
        <w:t xml:space="preserve"> every time, most times, around half the time, less than half the time, rarely, never)</w:t>
      </w:r>
      <w:r w:rsidRPr="005739E4">
        <w:rPr>
          <w:rFonts w:ascii="Times New Roman" w:eastAsiaTheme="minorHAnsi" w:hAnsi="Times New Roman" w:cs="Times New Roman"/>
          <w:sz w:val="24"/>
          <w:szCs w:val="24"/>
        </w:rPr>
        <w:t>. We created two binary variables</w:t>
      </w:r>
      <w:r>
        <w:rPr>
          <w:rFonts w:ascii="Times New Roman" w:eastAsiaTheme="minorHAnsi" w:hAnsi="Times New Roman" w:cs="Times New Roman"/>
          <w:sz w:val="24"/>
          <w:szCs w:val="24"/>
        </w:rPr>
        <w:t xml:space="preserve"> from these data:</w:t>
      </w:r>
      <w:r w:rsidRPr="005739E4">
        <w:rPr>
          <w:rFonts w:ascii="Times New Roman" w:eastAsiaTheme="minorHAnsi" w:hAnsi="Times New Roman" w:cs="Times New Roman"/>
          <w:sz w:val="24"/>
          <w:szCs w:val="24"/>
        </w:rPr>
        <w:t xml:space="preserve"> </w:t>
      </w:r>
      <w:r w:rsidRPr="005739E4">
        <w:rPr>
          <w:rFonts w:ascii="Times New Roman" w:hAnsi="Times New Roman" w:cs="Times New Roman"/>
          <w:sz w:val="24"/>
          <w:szCs w:val="24"/>
        </w:rPr>
        <w:t xml:space="preserve">usually gets drunk (response options </w:t>
      </w:r>
      <w:r w:rsidRPr="005739E4">
        <w:rPr>
          <w:rFonts w:ascii="Times New Roman" w:eastAsiaTheme="minorHAnsi" w:hAnsi="Times New Roman" w:cs="Times New Roman"/>
          <w:i/>
          <w:sz w:val="24"/>
          <w:szCs w:val="24"/>
        </w:rPr>
        <w:t xml:space="preserve">around half the time </w:t>
      </w:r>
      <w:r w:rsidRPr="005739E4">
        <w:rPr>
          <w:rFonts w:ascii="Times New Roman" w:eastAsiaTheme="minorHAnsi" w:hAnsi="Times New Roman" w:cs="Times New Roman"/>
          <w:sz w:val="24"/>
          <w:szCs w:val="24"/>
        </w:rPr>
        <w:t>or more frequently)</w:t>
      </w:r>
      <w:r>
        <w:rPr>
          <w:rFonts w:ascii="Times New Roman" w:eastAsiaTheme="minorHAnsi" w:hAnsi="Times New Roman" w:cs="Times New Roman"/>
          <w:sz w:val="24"/>
          <w:szCs w:val="24"/>
        </w:rPr>
        <w:t>;</w:t>
      </w:r>
      <w:r w:rsidRPr="005739E4">
        <w:rPr>
          <w:rFonts w:ascii="Times New Roman" w:eastAsiaTheme="minorHAnsi" w:hAnsi="Times New Roman" w:cs="Times New Roman"/>
          <w:sz w:val="24"/>
          <w:szCs w:val="24"/>
        </w:rPr>
        <w:t xml:space="preserve"> and regular drinker age 18+ who </w:t>
      </w:r>
      <w:r w:rsidRPr="005739E4">
        <w:rPr>
          <w:rFonts w:ascii="Times New Roman" w:hAnsi="Times New Roman" w:cs="Times New Roman"/>
          <w:sz w:val="24"/>
          <w:szCs w:val="24"/>
        </w:rPr>
        <w:t xml:space="preserve">usually gets drunk (combining </w:t>
      </w:r>
      <w:r w:rsidRPr="005739E4">
        <w:rPr>
          <w:rFonts w:ascii="Times New Roman" w:eastAsiaTheme="minorHAnsi" w:hAnsi="Times New Roman" w:cs="Times New Roman"/>
          <w:sz w:val="24"/>
          <w:szCs w:val="24"/>
        </w:rPr>
        <w:t xml:space="preserve">regular drinker age 18+ AND </w:t>
      </w:r>
      <w:r w:rsidRPr="005739E4">
        <w:rPr>
          <w:rFonts w:ascii="Times New Roman" w:hAnsi="Times New Roman" w:cs="Times New Roman"/>
          <w:sz w:val="24"/>
          <w:szCs w:val="24"/>
        </w:rPr>
        <w:t>usually gets drunk).</w:t>
      </w:r>
    </w:p>
    <w:p w:rsidR="00B07543" w:rsidRPr="005739E4" w:rsidRDefault="00B07543" w:rsidP="00CB48FA">
      <w:pPr>
        <w:spacing w:line="480" w:lineRule="auto"/>
        <w:ind w:firstLine="720"/>
        <w:rPr>
          <w:rFonts w:ascii="Times New Roman" w:eastAsiaTheme="minorHAnsi" w:hAnsi="Times New Roman" w:cs="Times New Roman"/>
          <w:sz w:val="24"/>
          <w:szCs w:val="24"/>
        </w:rPr>
      </w:pPr>
      <w:r w:rsidRPr="008F0EB3">
        <w:rPr>
          <w:rFonts w:ascii="Times New Roman" w:hAnsi="Times New Roman" w:cs="Times New Roman"/>
          <w:b/>
          <w:sz w:val="24"/>
          <w:szCs w:val="24"/>
        </w:rPr>
        <w:t>Drug Use.</w:t>
      </w:r>
      <w:r>
        <w:rPr>
          <w:rFonts w:ascii="Times New Roman" w:hAnsi="Times New Roman" w:cs="Times New Roman"/>
          <w:b/>
          <w:sz w:val="24"/>
          <w:szCs w:val="24"/>
        </w:rPr>
        <w:t xml:space="preserve">  </w:t>
      </w:r>
      <w:r w:rsidRPr="005739E4">
        <w:rPr>
          <w:rFonts w:ascii="Times New Roman" w:hAnsi="Times New Roman" w:cs="Times New Roman"/>
          <w:sz w:val="24"/>
          <w:szCs w:val="24"/>
        </w:rPr>
        <w:t>At Wa</w:t>
      </w:r>
      <w:r>
        <w:rPr>
          <w:rFonts w:ascii="Times New Roman" w:hAnsi="Times New Roman" w:cs="Times New Roman"/>
          <w:sz w:val="24"/>
          <w:szCs w:val="24"/>
        </w:rPr>
        <w:t>ves 1-4 participants were asked:</w:t>
      </w:r>
      <w:r w:rsidRPr="005739E4">
        <w:rPr>
          <w:rFonts w:ascii="Times New Roman" w:hAnsi="Times New Roman" w:cs="Times New Roman"/>
          <w:sz w:val="24"/>
          <w:szCs w:val="24"/>
        </w:rPr>
        <w:t xml:space="preserve"> </w:t>
      </w:r>
      <w:r w:rsidRPr="005739E4">
        <w:rPr>
          <w:rFonts w:ascii="Times New Roman" w:eastAsiaTheme="minorHAnsi" w:hAnsi="Times New Roman" w:cs="Times New Roman"/>
          <w:i/>
          <w:sz w:val="24"/>
          <w:szCs w:val="24"/>
        </w:rPr>
        <w:t xml:space="preserve">the next question is about Cannabis, also called Marijuana, Dope, Pot, Blow, Hash, Skunk, Puff, Grass, Draw, </w:t>
      </w:r>
      <w:proofErr w:type="spellStart"/>
      <w:r w:rsidRPr="005739E4">
        <w:rPr>
          <w:rFonts w:ascii="Times New Roman" w:eastAsiaTheme="minorHAnsi" w:hAnsi="Times New Roman" w:cs="Times New Roman"/>
          <w:i/>
          <w:sz w:val="24"/>
          <w:szCs w:val="24"/>
        </w:rPr>
        <w:t>Ganja</w:t>
      </w:r>
      <w:proofErr w:type="spellEnd"/>
      <w:r w:rsidRPr="005739E4">
        <w:rPr>
          <w:rFonts w:ascii="Times New Roman" w:eastAsiaTheme="minorHAnsi" w:hAnsi="Times New Roman" w:cs="Times New Roman"/>
          <w:i/>
          <w:sz w:val="24"/>
          <w:szCs w:val="24"/>
        </w:rPr>
        <w:t xml:space="preserve">, </w:t>
      </w:r>
      <w:proofErr w:type="spellStart"/>
      <w:r w:rsidRPr="005739E4">
        <w:rPr>
          <w:rFonts w:ascii="Times New Roman" w:eastAsiaTheme="minorHAnsi" w:hAnsi="Times New Roman" w:cs="Times New Roman"/>
          <w:i/>
          <w:sz w:val="24"/>
          <w:szCs w:val="24"/>
        </w:rPr>
        <w:t>Spliff</w:t>
      </w:r>
      <w:proofErr w:type="spellEnd"/>
      <w:r w:rsidRPr="005739E4">
        <w:rPr>
          <w:rFonts w:ascii="Times New Roman" w:eastAsiaTheme="minorHAnsi" w:hAnsi="Times New Roman" w:cs="Times New Roman"/>
          <w:i/>
          <w:sz w:val="24"/>
          <w:szCs w:val="24"/>
        </w:rPr>
        <w:t>, Joints, Smoke, Weed. Remember your name is not on this questionnaire so no-one who knows you will find out your answer. Have you ever tried Cannabis even if only once?</w:t>
      </w:r>
      <w:r w:rsidRPr="005739E4">
        <w:rPr>
          <w:rFonts w:ascii="Times New Roman" w:eastAsiaTheme="minorHAnsi" w:hAnsi="Times New Roman" w:cs="Times New Roman"/>
          <w:sz w:val="24"/>
          <w:szCs w:val="24"/>
        </w:rPr>
        <w:t xml:space="preserve">  We created a </w:t>
      </w:r>
      <w:r>
        <w:rPr>
          <w:rFonts w:ascii="Times New Roman" w:eastAsiaTheme="minorHAnsi" w:hAnsi="Times New Roman" w:cs="Times New Roman"/>
          <w:sz w:val="24"/>
          <w:szCs w:val="24"/>
        </w:rPr>
        <w:t>binary variable from these data:</w:t>
      </w:r>
      <w:r w:rsidRPr="005739E4">
        <w:rPr>
          <w:rFonts w:ascii="Times New Roman" w:eastAsiaTheme="minorHAnsi" w:hAnsi="Times New Roman" w:cs="Times New Roman"/>
          <w:sz w:val="24"/>
          <w:szCs w:val="24"/>
        </w:rPr>
        <w:t xml:space="preserve"> ever tried cannabis under 18 at Wave 1-4.</w:t>
      </w:r>
    </w:p>
    <w:p w:rsidR="00B07543" w:rsidRPr="005739E4" w:rsidRDefault="00B07543" w:rsidP="00CB48FA">
      <w:pPr>
        <w:spacing w:line="480" w:lineRule="auto"/>
        <w:rPr>
          <w:rFonts w:ascii="Times New Roman" w:eastAsiaTheme="minorHAnsi" w:hAnsi="Times New Roman" w:cs="Times New Roman"/>
          <w:sz w:val="24"/>
          <w:szCs w:val="24"/>
        </w:rPr>
      </w:pPr>
      <w:r w:rsidRPr="005739E4">
        <w:rPr>
          <w:rFonts w:ascii="Times New Roman" w:eastAsiaTheme="minorHAnsi" w:hAnsi="Times New Roman" w:cs="Times New Roman"/>
          <w:sz w:val="24"/>
          <w:szCs w:val="24"/>
        </w:rPr>
        <w:t xml:space="preserve">At Waves </w:t>
      </w:r>
      <w:r>
        <w:rPr>
          <w:rFonts w:ascii="Times New Roman" w:eastAsiaTheme="minorHAnsi" w:hAnsi="Times New Roman" w:cs="Times New Roman"/>
          <w:sz w:val="24"/>
          <w:szCs w:val="24"/>
        </w:rPr>
        <w:t>6 and 7 participants were asked:</w:t>
      </w:r>
      <w:r w:rsidRPr="005739E4">
        <w:rPr>
          <w:rFonts w:ascii="Times New Roman" w:eastAsiaTheme="minorHAnsi" w:hAnsi="Times New Roman" w:cs="Times New Roman"/>
          <w:sz w:val="24"/>
          <w:szCs w:val="24"/>
        </w:rPr>
        <w:t xml:space="preserve"> </w:t>
      </w:r>
      <w:r w:rsidRPr="005739E4">
        <w:rPr>
          <w:rFonts w:ascii="Times New Roman" w:eastAsiaTheme="minorHAnsi" w:hAnsi="Times New Roman" w:cs="Times New Roman"/>
          <w:i/>
          <w:sz w:val="24"/>
          <w:szCs w:val="24"/>
        </w:rPr>
        <w:t>have you ever taken any of the following; 1. Cannabis</w:t>
      </w:r>
      <w:r>
        <w:rPr>
          <w:rFonts w:ascii="Times New Roman" w:eastAsiaTheme="minorHAnsi" w:hAnsi="Times New Roman" w:cs="Times New Roman"/>
          <w:i/>
          <w:sz w:val="24"/>
          <w:szCs w:val="24"/>
        </w:rPr>
        <w:t xml:space="preserve">; </w:t>
      </w:r>
      <w:r w:rsidRPr="005739E4">
        <w:rPr>
          <w:rFonts w:ascii="Times New Roman" w:eastAsiaTheme="minorHAnsi" w:hAnsi="Times New Roman" w:cs="Times New Roman"/>
          <w:i/>
          <w:sz w:val="24"/>
          <w:szCs w:val="24"/>
        </w:rPr>
        <w:t>2. other drugs like cocaine, LSD, ecstasy, heroin, crack, speed etc.?</w:t>
      </w:r>
      <w:r w:rsidRPr="005739E4">
        <w:rPr>
          <w:rFonts w:ascii="Times New Roman" w:eastAsiaTheme="minorHAnsi" w:hAnsi="Times New Roman" w:cs="Times New Roman"/>
          <w:sz w:val="24"/>
          <w:szCs w:val="24"/>
        </w:rPr>
        <w:t xml:space="preserve">  We created two bi</w:t>
      </w:r>
      <w:r>
        <w:rPr>
          <w:rFonts w:ascii="Times New Roman" w:eastAsiaTheme="minorHAnsi" w:hAnsi="Times New Roman" w:cs="Times New Roman"/>
          <w:sz w:val="24"/>
          <w:szCs w:val="24"/>
        </w:rPr>
        <w:t xml:space="preserve">nary variables from these data: </w:t>
      </w:r>
      <w:r w:rsidRPr="005739E4">
        <w:rPr>
          <w:rFonts w:ascii="Times New Roman" w:eastAsiaTheme="minorHAnsi" w:hAnsi="Times New Roman" w:cs="Times New Roman"/>
          <w:sz w:val="24"/>
          <w:szCs w:val="24"/>
        </w:rPr>
        <w:t>ever tried cannabis 18+ (at either Wave 6 or 7)</w:t>
      </w:r>
      <w:r>
        <w:rPr>
          <w:rFonts w:ascii="Times New Roman" w:eastAsiaTheme="minorHAnsi" w:hAnsi="Times New Roman" w:cs="Times New Roman"/>
          <w:sz w:val="24"/>
          <w:szCs w:val="24"/>
        </w:rPr>
        <w:t>;</w:t>
      </w:r>
      <w:r w:rsidRPr="005739E4">
        <w:rPr>
          <w:rFonts w:ascii="Times New Roman" w:eastAsiaTheme="minorHAnsi" w:hAnsi="Times New Roman" w:cs="Times New Roman"/>
          <w:sz w:val="24"/>
          <w:szCs w:val="24"/>
        </w:rPr>
        <w:t xml:space="preserve"> and ever tried other drugs 18+ (at either Wave 6 or 7). </w:t>
      </w:r>
    </w:p>
    <w:p w:rsidR="00B07543" w:rsidRPr="005739E4" w:rsidRDefault="00B07543" w:rsidP="00CB48FA">
      <w:pPr>
        <w:spacing w:line="480" w:lineRule="auto"/>
        <w:rPr>
          <w:rFonts w:ascii="Times New Roman" w:eastAsiaTheme="minorHAnsi" w:hAnsi="Times New Roman" w:cs="Times New Roman"/>
          <w:sz w:val="24"/>
          <w:szCs w:val="24"/>
        </w:rPr>
      </w:pPr>
      <w:r w:rsidRPr="005739E4">
        <w:rPr>
          <w:rFonts w:ascii="Times New Roman" w:eastAsiaTheme="minorHAnsi" w:hAnsi="Times New Roman" w:cs="Times New Roman"/>
          <w:sz w:val="24"/>
          <w:szCs w:val="24"/>
        </w:rPr>
        <w:t>At Wave 6 participants were also asked</w:t>
      </w:r>
      <w:r>
        <w:rPr>
          <w:rFonts w:ascii="Times New Roman" w:eastAsiaTheme="minorHAnsi" w:hAnsi="Times New Roman" w:cs="Times New Roman"/>
          <w:sz w:val="24"/>
          <w:szCs w:val="24"/>
        </w:rPr>
        <w:t>:</w:t>
      </w:r>
      <w:r w:rsidRPr="005739E4">
        <w:rPr>
          <w:rFonts w:ascii="Times New Roman" w:eastAsiaTheme="minorHAnsi" w:hAnsi="Times New Roman" w:cs="Times New Roman"/>
          <w:sz w:val="24"/>
          <w:szCs w:val="24"/>
        </w:rPr>
        <w:t xml:space="preserve"> </w:t>
      </w:r>
      <w:r w:rsidRPr="005739E4">
        <w:rPr>
          <w:rFonts w:ascii="Times New Roman" w:eastAsiaTheme="minorHAnsi" w:hAnsi="Times New Roman" w:cs="Times New Roman"/>
          <w:i/>
          <w:sz w:val="24"/>
          <w:szCs w:val="24"/>
        </w:rPr>
        <w:t>in the last 4 weeks how often have you taken cannabis (response options not at all, once, twice, three or more times)?</w:t>
      </w:r>
      <w:r w:rsidRPr="005739E4">
        <w:rPr>
          <w:rFonts w:ascii="Times New Roman" w:eastAsiaTheme="minorHAnsi" w:hAnsi="Times New Roman" w:cs="Times New Roman"/>
          <w:sz w:val="24"/>
          <w:szCs w:val="24"/>
        </w:rPr>
        <w:t xml:space="preserve">  We created a </w:t>
      </w:r>
      <w:r>
        <w:rPr>
          <w:rFonts w:ascii="Times New Roman" w:eastAsiaTheme="minorHAnsi" w:hAnsi="Times New Roman" w:cs="Times New Roman"/>
          <w:sz w:val="24"/>
          <w:szCs w:val="24"/>
        </w:rPr>
        <w:t xml:space="preserve">binary </w:t>
      </w:r>
      <w:r>
        <w:rPr>
          <w:rFonts w:ascii="Times New Roman" w:eastAsiaTheme="minorHAnsi" w:hAnsi="Times New Roman" w:cs="Times New Roman"/>
          <w:sz w:val="24"/>
          <w:szCs w:val="24"/>
        </w:rPr>
        <w:lastRenderedPageBreak/>
        <w:t>variable from these data:</w:t>
      </w:r>
      <w:r w:rsidRPr="005739E4">
        <w:rPr>
          <w:rFonts w:ascii="Times New Roman" w:eastAsiaTheme="minorHAnsi" w:hAnsi="Times New Roman" w:cs="Times New Roman"/>
          <w:sz w:val="24"/>
          <w:szCs w:val="24"/>
        </w:rPr>
        <w:t xml:space="preserve"> frequent cannabis user 18+ (frequent defined as response option </w:t>
      </w:r>
      <w:r w:rsidRPr="005739E4">
        <w:rPr>
          <w:rFonts w:ascii="Times New Roman" w:eastAsiaTheme="minorHAnsi" w:hAnsi="Times New Roman" w:cs="Times New Roman"/>
          <w:i/>
          <w:sz w:val="24"/>
          <w:szCs w:val="24"/>
        </w:rPr>
        <w:t>three or more times</w:t>
      </w:r>
      <w:r w:rsidRPr="005739E4">
        <w:rPr>
          <w:rFonts w:ascii="Times New Roman" w:eastAsiaTheme="minorHAnsi" w:hAnsi="Times New Roman" w:cs="Times New Roman"/>
          <w:sz w:val="24"/>
          <w:szCs w:val="24"/>
        </w:rPr>
        <w:t>).</w:t>
      </w:r>
    </w:p>
    <w:p w:rsidR="00B07543" w:rsidRPr="005739E4" w:rsidRDefault="00B07543" w:rsidP="00CB48FA">
      <w:pPr>
        <w:spacing w:line="480" w:lineRule="auto"/>
        <w:rPr>
          <w:rFonts w:ascii="Times New Roman" w:eastAsiaTheme="minorHAnsi" w:hAnsi="Times New Roman" w:cs="Times New Roman"/>
          <w:sz w:val="24"/>
          <w:szCs w:val="24"/>
        </w:rPr>
      </w:pPr>
      <w:r w:rsidRPr="005739E4">
        <w:rPr>
          <w:rFonts w:ascii="Times New Roman" w:eastAsiaTheme="minorHAnsi" w:hAnsi="Times New Roman" w:cs="Times New Roman"/>
          <w:sz w:val="24"/>
          <w:szCs w:val="24"/>
        </w:rPr>
        <w:t xml:space="preserve">At Wave </w:t>
      </w:r>
      <w:r>
        <w:rPr>
          <w:rFonts w:ascii="Times New Roman" w:eastAsiaTheme="minorHAnsi" w:hAnsi="Times New Roman" w:cs="Times New Roman"/>
          <w:sz w:val="24"/>
          <w:szCs w:val="24"/>
        </w:rPr>
        <w:t>7 participants were also asked:</w:t>
      </w:r>
      <w:r w:rsidRPr="005739E4">
        <w:rPr>
          <w:rFonts w:ascii="Times New Roman" w:eastAsiaTheme="minorHAnsi" w:hAnsi="Times New Roman" w:cs="Times New Roman"/>
          <w:sz w:val="24"/>
          <w:szCs w:val="24"/>
        </w:rPr>
        <w:t xml:space="preserve"> </w:t>
      </w:r>
      <w:r w:rsidRPr="005739E4">
        <w:rPr>
          <w:rFonts w:ascii="Times New Roman" w:eastAsiaTheme="minorHAnsi" w:hAnsi="Times New Roman" w:cs="Times New Roman"/>
          <w:i/>
          <w:sz w:val="24"/>
          <w:szCs w:val="24"/>
        </w:rPr>
        <w:t xml:space="preserve">and have you taken cannabis in the last 12 months? </w:t>
      </w:r>
      <w:r w:rsidRPr="005739E4">
        <w:rPr>
          <w:rFonts w:ascii="Times New Roman" w:eastAsiaTheme="minorHAnsi" w:hAnsi="Times New Roman" w:cs="Times New Roman"/>
          <w:sz w:val="24"/>
          <w:szCs w:val="24"/>
        </w:rPr>
        <w:t xml:space="preserve">We created a </w:t>
      </w:r>
      <w:r>
        <w:rPr>
          <w:rFonts w:ascii="Times New Roman" w:eastAsiaTheme="minorHAnsi" w:hAnsi="Times New Roman" w:cs="Times New Roman"/>
          <w:sz w:val="24"/>
          <w:szCs w:val="24"/>
        </w:rPr>
        <w:t>binary variable from these data:</w:t>
      </w:r>
      <w:r w:rsidRPr="005739E4">
        <w:rPr>
          <w:rFonts w:ascii="Times New Roman" w:eastAsiaTheme="minorHAnsi" w:hAnsi="Times New Roman" w:cs="Times New Roman"/>
          <w:sz w:val="24"/>
          <w:szCs w:val="24"/>
        </w:rPr>
        <w:t xml:space="preserve"> </w:t>
      </w:r>
      <w:r w:rsidRPr="005739E4">
        <w:rPr>
          <w:rFonts w:ascii="Times New Roman" w:hAnsi="Times New Roman" w:cs="Times New Roman"/>
          <w:sz w:val="24"/>
          <w:szCs w:val="24"/>
        </w:rPr>
        <w:t>had cannabis in last 12 months</w:t>
      </w:r>
      <w:r w:rsidRPr="005739E4">
        <w:rPr>
          <w:rFonts w:ascii="Times New Roman" w:eastAsiaTheme="minorHAnsi" w:hAnsi="Times New Roman" w:cs="Times New Roman"/>
          <w:sz w:val="24"/>
          <w:szCs w:val="24"/>
        </w:rPr>
        <w:t xml:space="preserve"> age 18+. </w:t>
      </w:r>
    </w:p>
    <w:p w:rsidR="00B07543" w:rsidRPr="00EB0049" w:rsidRDefault="00B07543" w:rsidP="00CB48FA">
      <w:pPr>
        <w:spacing w:line="480" w:lineRule="auto"/>
        <w:ind w:firstLine="720"/>
        <w:rPr>
          <w:rFonts w:ascii="Times New Roman" w:hAnsi="Times New Roman" w:cs="Times New Roman"/>
          <w:b/>
          <w:sz w:val="24"/>
          <w:szCs w:val="24"/>
        </w:rPr>
      </w:pPr>
      <w:r w:rsidRPr="00EB0049">
        <w:rPr>
          <w:rFonts w:ascii="Times New Roman" w:hAnsi="Times New Roman" w:cs="Times New Roman"/>
          <w:b/>
          <w:sz w:val="24"/>
          <w:szCs w:val="24"/>
        </w:rPr>
        <w:t xml:space="preserve">Socio-Demographic Variables. </w:t>
      </w:r>
    </w:p>
    <w:p w:rsidR="00B07543" w:rsidRPr="005739E4" w:rsidRDefault="00B07543" w:rsidP="00CB48FA">
      <w:pPr>
        <w:spacing w:line="480" w:lineRule="auto"/>
        <w:ind w:firstLine="720"/>
        <w:rPr>
          <w:rFonts w:ascii="Times New Roman" w:eastAsiaTheme="minorHAnsi" w:hAnsi="Times New Roman" w:cs="Times New Roman"/>
          <w:sz w:val="24"/>
          <w:szCs w:val="24"/>
        </w:rPr>
      </w:pPr>
      <w:r w:rsidRPr="00EB0049">
        <w:rPr>
          <w:rFonts w:ascii="Times New Roman" w:eastAsiaTheme="minorHAnsi" w:hAnsi="Times New Roman" w:cs="Times New Roman"/>
          <w:b/>
          <w:i/>
          <w:sz w:val="24"/>
          <w:szCs w:val="24"/>
        </w:rPr>
        <w:t>Family socio-economic position (SEP)</w:t>
      </w:r>
      <w:r>
        <w:rPr>
          <w:rFonts w:ascii="Times New Roman" w:eastAsiaTheme="minorHAnsi" w:hAnsi="Times New Roman" w:cs="Times New Roman"/>
          <w:b/>
          <w:i/>
          <w:sz w:val="24"/>
          <w:szCs w:val="24"/>
        </w:rPr>
        <w:t xml:space="preserve">.  </w:t>
      </w:r>
      <w:r w:rsidRPr="005739E4">
        <w:rPr>
          <w:rFonts w:ascii="Times New Roman" w:eastAsiaTheme="minorHAnsi" w:hAnsi="Times New Roman" w:cs="Times New Roman"/>
          <w:sz w:val="24"/>
          <w:szCs w:val="24"/>
        </w:rPr>
        <w:t>Linkage to the 2004 (Wave 1) and 2006 (Wave 3) NPD included linkage to data on el</w:t>
      </w:r>
      <w:r>
        <w:rPr>
          <w:rFonts w:ascii="Times New Roman" w:eastAsiaTheme="minorHAnsi" w:hAnsi="Times New Roman" w:cs="Times New Roman"/>
          <w:sz w:val="24"/>
          <w:szCs w:val="24"/>
        </w:rPr>
        <w:t>igibility for FSM</w:t>
      </w:r>
      <w:r w:rsidRPr="005739E4">
        <w:rPr>
          <w:rFonts w:ascii="Times New Roman" w:eastAsiaTheme="minorHAnsi" w:hAnsi="Times New Roman" w:cs="Times New Roman"/>
          <w:sz w:val="24"/>
          <w:szCs w:val="24"/>
        </w:rPr>
        <w:t xml:space="preserve">. Eligibility for FSMs is determined by data linkage to government records of receipt of at least one of a defined list of means-tested welfare benefits by the child’s parent(s). It should be noted that this indicator is of eligibility for, </w:t>
      </w:r>
      <w:r>
        <w:rPr>
          <w:rFonts w:ascii="Times New Roman" w:eastAsiaTheme="minorHAnsi" w:hAnsi="Times New Roman" w:cs="Times New Roman"/>
          <w:sz w:val="24"/>
          <w:szCs w:val="24"/>
        </w:rPr>
        <w:t>not uptake of, FSMs</w:t>
      </w:r>
      <w:r w:rsidRPr="005739E4">
        <w:rPr>
          <w:rFonts w:ascii="Times New Roman" w:eastAsiaTheme="minorHAnsi" w:hAnsi="Times New Roman" w:cs="Times New Roman"/>
          <w:sz w:val="24"/>
          <w:szCs w:val="24"/>
        </w:rPr>
        <w:t xml:space="preserve">. We created a binary variable of FSM eligibility scored 1 if the child was eligible at Wave 1, Wave 3 or both Waves of </w:t>
      </w:r>
      <w:r w:rsidRPr="005739E4">
        <w:rPr>
          <w:rFonts w:ascii="Times New Roman" w:eastAsiaTheme="minorHAnsi" w:hAnsi="Times New Roman" w:cs="Times New Roman"/>
          <w:i/>
          <w:sz w:val="24"/>
          <w:szCs w:val="24"/>
        </w:rPr>
        <w:t xml:space="preserve">Next Steps </w:t>
      </w:r>
      <w:r w:rsidRPr="005739E4">
        <w:rPr>
          <w:rFonts w:ascii="Times New Roman" w:eastAsiaTheme="minorHAnsi" w:hAnsi="Times New Roman" w:cs="Times New Roman"/>
          <w:sz w:val="24"/>
          <w:szCs w:val="24"/>
        </w:rPr>
        <w:t>and scored 0</w:t>
      </w:r>
      <w:r w:rsidRPr="005739E4">
        <w:rPr>
          <w:rFonts w:ascii="Times New Roman" w:eastAsiaTheme="minorHAnsi" w:hAnsi="Times New Roman" w:cs="Times New Roman"/>
          <w:i/>
          <w:sz w:val="24"/>
          <w:szCs w:val="24"/>
        </w:rPr>
        <w:t xml:space="preserve"> </w:t>
      </w:r>
      <w:r w:rsidRPr="005739E4">
        <w:rPr>
          <w:rFonts w:ascii="Times New Roman" w:eastAsiaTheme="minorHAnsi" w:hAnsi="Times New Roman" w:cs="Times New Roman"/>
          <w:sz w:val="24"/>
          <w:szCs w:val="24"/>
        </w:rPr>
        <w:t>if the child was not eligible at both Waves.  FSM eligibility is a commonly used proxy indicator of low ho</w:t>
      </w:r>
      <w:r>
        <w:rPr>
          <w:rFonts w:ascii="Times New Roman" w:eastAsiaTheme="minorHAnsi" w:hAnsi="Times New Roman" w:cs="Times New Roman"/>
          <w:sz w:val="24"/>
          <w:szCs w:val="24"/>
        </w:rPr>
        <w:t xml:space="preserve">usehold socio-economic position </w:t>
      </w:r>
      <w:r>
        <w:rPr>
          <w:rFonts w:ascii="Times New Roman" w:eastAsiaTheme="minorHAnsi" w:hAnsi="Times New Roman" w:cs="Times New Roman"/>
          <w:noProof/>
          <w:sz w:val="24"/>
          <w:szCs w:val="24"/>
        </w:rPr>
        <w:t>(Kounali, Robinson, Goldstein, &amp; Lauder, 2008)</w:t>
      </w:r>
      <w:r>
        <w:rPr>
          <w:rFonts w:ascii="Times New Roman" w:eastAsiaTheme="minorHAnsi" w:hAnsi="Times New Roman" w:cs="Times New Roman"/>
          <w:sz w:val="24"/>
          <w:szCs w:val="24"/>
        </w:rPr>
        <w:t>.</w:t>
      </w:r>
    </w:p>
    <w:p w:rsidR="00B07543" w:rsidRPr="005739E4" w:rsidRDefault="00B07543" w:rsidP="00CB48FA">
      <w:pPr>
        <w:spacing w:line="480" w:lineRule="auto"/>
        <w:rPr>
          <w:rFonts w:ascii="Times New Roman" w:eastAsiaTheme="minorHAnsi" w:hAnsi="Times New Roman" w:cs="Times New Roman"/>
          <w:sz w:val="24"/>
          <w:szCs w:val="24"/>
        </w:rPr>
      </w:pPr>
      <w:r w:rsidRPr="005739E4">
        <w:rPr>
          <w:rFonts w:ascii="Times New Roman" w:eastAsiaTheme="minorHAnsi" w:hAnsi="Times New Roman" w:cs="Times New Roman"/>
          <w:sz w:val="24"/>
          <w:szCs w:val="24"/>
        </w:rPr>
        <w:t xml:space="preserve">We extracted data from </w:t>
      </w:r>
      <w:r w:rsidRPr="005739E4">
        <w:rPr>
          <w:rFonts w:ascii="Times New Roman" w:eastAsiaTheme="minorHAnsi" w:hAnsi="Times New Roman" w:cs="Times New Roman"/>
          <w:i/>
          <w:sz w:val="24"/>
          <w:szCs w:val="24"/>
        </w:rPr>
        <w:t>Next Steps</w:t>
      </w:r>
      <w:r w:rsidRPr="005739E4">
        <w:rPr>
          <w:rFonts w:ascii="Times New Roman" w:eastAsiaTheme="minorHAnsi" w:hAnsi="Times New Roman" w:cs="Times New Roman"/>
          <w:sz w:val="24"/>
          <w:szCs w:val="24"/>
        </w:rPr>
        <w:t xml:space="preserve"> on the employment status of parental figures living in the household at Waves 1-4 inclusive. We created a binary variable of living in a workless household scored 1 if no resident parental figure was in employment or full time education at any of the four Waves and scored 0 if at least one resident parental figure was in employment or full time education in each of the four Waves.</w:t>
      </w:r>
    </w:p>
    <w:p w:rsidR="00B07543" w:rsidRPr="005739E4" w:rsidRDefault="00B07543" w:rsidP="00CB48FA">
      <w:pPr>
        <w:spacing w:line="480" w:lineRule="auto"/>
        <w:ind w:firstLine="720"/>
        <w:rPr>
          <w:rFonts w:ascii="Times New Roman" w:hAnsi="Times New Roman" w:cs="Times New Roman"/>
          <w:sz w:val="24"/>
          <w:szCs w:val="24"/>
        </w:rPr>
      </w:pPr>
      <w:r w:rsidRPr="00EB0049">
        <w:rPr>
          <w:rFonts w:ascii="Times New Roman" w:eastAsiaTheme="minorHAnsi" w:hAnsi="Times New Roman" w:cs="Times New Roman"/>
          <w:b/>
          <w:i/>
          <w:sz w:val="24"/>
          <w:szCs w:val="24"/>
        </w:rPr>
        <w:t>Young adult socio-economic position.</w:t>
      </w:r>
      <w:r>
        <w:rPr>
          <w:rFonts w:ascii="Times New Roman" w:eastAsiaTheme="minorHAnsi" w:hAnsi="Times New Roman" w:cs="Times New Roman"/>
          <w:b/>
          <w:i/>
          <w:sz w:val="24"/>
          <w:szCs w:val="24"/>
        </w:rPr>
        <w:t xml:space="preserve"> </w:t>
      </w:r>
      <w:r w:rsidRPr="005739E4">
        <w:rPr>
          <w:rFonts w:ascii="Times New Roman" w:eastAsiaTheme="minorHAnsi" w:hAnsi="Times New Roman" w:cs="Times New Roman"/>
          <w:sz w:val="24"/>
          <w:szCs w:val="24"/>
        </w:rPr>
        <w:t xml:space="preserve">We extracted data from </w:t>
      </w:r>
      <w:r w:rsidRPr="005739E4">
        <w:rPr>
          <w:rFonts w:ascii="Times New Roman" w:eastAsiaTheme="minorHAnsi" w:hAnsi="Times New Roman" w:cs="Times New Roman"/>
          <w:i/>
          <w:sz w:val="24"/>
          <w:szCs w:val="24"/>
        </w:rPr>
        <w:t>Next Steps</w:t>
      </w:r>
      <w:r w:rsidRPr="005739E4">
        <w:rPr>
          <w:rFonts w:ascii="Times New Roman" w:eastAsiaTheme="minorHAnsi" w:hAnsi="Times New Roman" w:cs="Times New Roman"/>
          <w:sz w:val="24"/>
          <w:szCs w:val="24"/>
        </w:rPr>
        <w:t xml:space="preserve"> on the self-reported employment, education and training status of the young person at Waves 5-7. We created a binary variable of not in employment, education or training (NEET) scored 1 if the young person was </w:t>
      </w:r>
      <w:r>
        <w:rPr>
          <w:rFonts w:ascii="Times New Roman" w:eastAsiaTheme="minorHAnsi" w:hAnsi="Times New Roman" w:cs="Times New Roman"/>
          <w:sz w:val="24"/>
          <w:szCs w:val="24"/>
        </w:rPr>
        <w:t>NEET</w:t>
      </w:r>
      <w:r w:rsidRPr="005739E4">
        <w:rPr>
          <w:rFonts w:ascii="Times New Roman" w:eastAsiaTheme="minorHAnsi" w:hAnsi="Times New Roman" w:cs="Times New Roman"/>
          <w:sz w:val="24"/>
          <w:szCs w:val="24"/>
        </w:rPr>
        <w:t xml:space="preserve"> at any of the three Waves and scored 0 if they were in employment, education or training in each of the three Waves. </w:t>
      </w:r>
    </w:p>
    <w:p w:rsidR="00B07543" w:rsidRPr="005739E4" w:rsidRDefault="00B07543" w:rsidP="00CB48FA">
      <w:pPr>
        <w:spacing w:line="480" w:lineRule="auto"/>
        <w:ind w:firstLine="720"/>
        <w:rPr>
          <w:rFonts w:ascii="Times New Roman" w:eastAsiaTheme="minorHAnsi" w:hAnsi="Times New Roman" w:cs="Times New Roman"/>
          <w:sz w:val="24"/>
          <w:szCs w:val="24"/>
        </w:rPr>
      </w:pPr>
      <w:r w:rsidRPr="00EB0049">
        <w:rPr>
          <w:rFonts w:ascii="Times New Roman" w:eastAsiaTheme="minorHAnsi" w:hAnsi="Times New Roman" w:cs="Times New Roman"/>
          <w:b/>
          <w:i/>
          <w:sz w:val="24"/>
          <w:szCs w:val="24"/>
        </w:rPr>
        <w:lastRenderedPageBreak/>
        <w:t>Household composition.</w:t>
      </w:r>
      <w:r>
        <w:rPr>
          <w:rFonts w:ascii="Times New Roman" w:eastAsiaTheme="minorHAnsi" w:hAnsi="Times New Roman" w:cs="Times New Roman"/>
          <w:i/>
          <w:sz w:val="24"/>
          <w:szCs w:val="24"/>
        </w:rPr>
        <w:t xml:space="preserve"> </w:t>
      </w:r>
      <w:r w:rsidRPr="005739E4">
        <w:rPr>
          <w:rFonts w:ascii="Times New Roman" w:eastAsiaTheme="minorHAnsi" w:hAnsi="Times New Roman" w:cs="Times New Roman"/>
          <w:sz w:val="24"/>
          <w:szCs w:val="24"/>
        </w:rPr>
        <w:t xml:space="preserve">We extracted data from </w:t>
      </w:r>
      <w:r w:rsidRPr="005739E4">
        <w:rPr>
          <w:rFonts w:ascii="Times New Roman" w:eastAsiaTheme="minorHAnsi" w:hAnsi="Times New Roman" w:cs="Times New Roman"/>
          <w:i/>
          <w:sz w:val="24"/>
          <w:szCs w:val="24"/>
        </w:rPr>
        <w:t>Next Steps</w:t>
      </w:r>
      <w:r w:rsidRPr="005739E4">
        <w:rPr>
          <w:rFonts w:ascii="Times New Roman" w:eastAsiaTheme="minorHAnsi" w:hAnsi="Times New Roman" w:cs="Times New Roman"/>
          <w:sz w:val="24"/>
          <w:szCs w:val="24"/>
        </w:rPr>
        <w:t xml:space="preserve"> on household composition at Waves 1-4 inclusive. We created a binary variable of single parent household scored 1 if only one parental figure was resident at any of the four Waves and scored 0 if two parental figures were resident in each of the four Waves.</w:t>
      </w:r>
    </w:p>
    <w:p w:rsidR="00B07543" w:rsidRPr="005739E4" w:rsidRDefault="00B07543" w:rsidP="00CB48FA">
      <w:pPr>
        <w:spacing w:line="480" w:lineRule="auto"/>
        <w:ind w:firstLine="720"/>
        <w:rPr>
          <w:rFonts w:ascii="Times New Roman" w:eastAsiaTheme="minorHAnsi" w:hAnsi="Times New Roman" w:cs="Times New Roman"/>
          <w:sz w:val="24"/>
          <w:szCs w:val="24"/>
        </w:rPr>
      </w:pPr>
      <w:r w:rsidRPr="00EB0049">
        <w:rPr>
          <w:rFonts w:ascii="Times New Roman" w:eastAsiaTheme="minorHAnsi" w:hAnsi="Times New Roman" w:cs="Times New Roman"/>
          <w:b/>
          <w:i/>
          <w:sz w:val="24"/>
          <w:szCs w:val="24"/>
        </w:rPr>
        <w:t>Area deprivation.</w:t>
      </w:r>
      <w:r>
        <w:rPr>
          <w:rFonts w:ascii="Times New Roman" w:eastAsiaTheme="minorHAnsi" w:hAnsi="Times New Roman" w:cs="Times New Roman"/>
          <w:i/>
          <w:sz w:val="24"/>
          <w:szCs w:val="24"/>
        </w:rPr>
        <w:t xml:space="preserve">  </w:t>
      </w:r>
      <w:r w:rsidRPr="005739E4">
        <w:rPr>
          <w:rFonts w:ascii="Times New Roman" w:eastAsiaTheme="minorHAnsi" w:hAnsi="Times New Roman" w:cs="Times New Roman"/>
          <w:sz w:val="24"/>
          <w:szCs w:val="24"/>
        </w:rPr>
        <w:t>Linkage to the 2004 (Wave 1) and 2006 (Wave 3) NPD also included linkage to data derived from the postal code of the child’s residence to the Income Deprivation Affecting Children Index (IDACI)</w:t>
      </w:r>
      <w:r>
        <w:rPr>
          <w:rFonts w:ascii="Times New Roman" w:eastAsiaTheme="minorHAnsi" w:hAnsi="Times New Roman" w:cs="Times New Roman"/>
          <w:sz w:val="24"/>
          <w:szCs w:val="24"/>
        </w:rPr>
        <w:t xml:space="preserve"> </w:t>
      </w:r>
      <w:r>
        <w:rPr>
          <w:rFonts w:ascii="Times New Roman" w:eastAsiaTheme="minorHAnsi" w:hAnsi="Times New Roman" w:cs="Times New Roman"/>
          <w:noProof/>
          <w:sz w:val="24"/>
          <w:szCs w:val="24"/>
        </w:rPr>
        <w:t>(Noble et al., 2008)</w:t>
      </w:r>
      <w:r>
        <w:rPr>
          <w:rFonts w:ascii="Times New Roman" w:eastAsiaTheme="minorHAnsi" w:hAnsi="Times New Roman" w:cs="Times New Roman"/>
          <w:sz w:val="24"/>
          <w:szCs w:val="24"/>
        </w:rPr>
        <w:t>.</w:t>
      </w:r>
      <w:r w:rsidRPr="005739E4">
        <w:rPr>
          <w:rFonts w:ascii="Times New Roman" w:eastAsiaTheme="minorHAnsi" w:hAnsi="Times New Roman" w:cs="Times New Roman"/>
          <w:sz w:val="24"/>
          <w:szCs w:val="24"/>
        </w:rPr>
        <w:t xml:space="preserve"> IDACI scores are the percentage of children in each Lower Level Super Output Area (LSOA) that live in families that are considered income deprived. Income deprivation is defined by receipt of means-tested welfare benefits. LSOAs are neighbourhoods with an average population of 1500 (range 1000-3000). IDACI scores were transformed into sample quintiles. We created a binary variable of High Neighbourhood Deprivation scored 1 if the child was living in the lowest IDACI quintile at Wave 1, Wave 3 or both Waves of </w:t>
      </w:r>
      <w:r w:rsidRPr="005739E4">
        <w:rPr>
          <w:rFonts w:ascii="Times New Roman" w:eastAsiaTheme="minorHAnsi" w:hAnsi="Times New Roman" w:cs="Times New Roman"/>
          <w:i/>
          <w:sz w:val="24"/>
          <w:szCs w:val="24"/>
        </w:rPr>
        <w:t xml:space="preserve">Next Steps </w:t>
      </w:r>
      <w:r w:rsidRPr="005739E4">
        <w:rPr>
          <w:rFonts w:ascii="Times New Roman" w:eastAsiaTheme="minorHAnsi" w:hAnsi="Times New Roman" w:cs="Times New Roman"/>
          <w:sz w:val="24"/>
          <w:szCs w:val="24"/>
        </w:rPr>
        <w:t>and scored 0</w:t>
      </w:r>
      <w:r w:rsidRPr="005739E4">
        <w:rPr>
          <w:rFonts w:ascii="Times New Roman" w:eastAsiaTheme="minorHAnsi" w:hAnsi="Times New Roman" w:cs="Times New Roman"/>
          <w:i/>
          <w:sz w:val="24"/>
          <w:szCs w:val="24"/>
        </w:rPr>
        <w:t xml:space="preserve"> </w:t>
      </w:r>
      <w:r w:rsidRPr="005739E4">
        <w:rPr>
          <w:rFonts w:ascii="Times New Roman" w:eastAsiaTheme="minorHAnsi" w:hAnsi="Times New Roman" w:cs="Times New Roman"/>
          <w:sz w:val="24"/>
          <w:szCs w:val="24"/>
        </w:rPr>
        <w:t>if the child was not living in the lowest IDACI quintile at both Waves.</w:t>
      </w:r>
    </w:p>
    <w:p w:rsidR="00B07543" w:rsidRPr="0027040B" w:rsidRDefault="00B07543" w:rsidP="00CB48FA">
      <w:pPr>
        <w:spacing w:line="480" w:lineRule="auto"/>
        <w:ind w:firstLine="720"/>
        <w:rPr>
          <w:rFonts w:ascii="Times New Roman" w:eastAsiaTheme="minorHAnsi" w:hAnsi="Times New Roman" w:cs="Times New Roman"/>
          <w:b/>
          <w:i/>
          <w:sz w:val="24"/>
          <w:szCs w:val="24"/>
        </w:rPr>
      </w:pPr>
      <w:r w:rsidRPr="0027040B">
        <w:rPr>
          <w:rFonts w:ascii="Times New Roman" w:eastAsiaTheme="minorHAnsi" w:hAnsi="Times New Roman" w:cs="Times New Roman"/>
          <w:b/>
          <w:i/>
          <w:sz w:val="24"/>
          <w:szCs w:val="24"/>
        </w:rPr>
        <w:t>Peer victimisation.</w:t>
      </w:r>
      <w:r>
        <w:rPr>
          <w:rFonts w:ascii="Times New Roman" w:eastAsiaTheme="minorHAnsi" w:hAnsi="Times New Roman" w:cs="Times New Roman"/>
          <w:b/>
          <w:i/>
          <w:sz w:val="24"/>
          <w:szCs w:val="24"/>
        </w:rPr>
        <w:t xml:space="preserve">  </w:t>
      </w:r>
      <w:r w:rsidRPr="005739E4">
        <w:rPr>
          <w:rFonts w:ascii="Times New Roman" w:eastAsiaTheme="minorHAnsi" w:hAnsi="Times New Roman" w:cs="Times New Roman"/>
          <w:sz w:val="24"/>
          <w:szCs w:val="24"/>
        </w:rPr>
        <w:t xml:space="preserve">We extracted data from </w:t>
      </w:r>
      <w:r w:rsidRPr="005739E4">
        <w:rPr>
          <w:rFonts w:ascii="Times New Roman" w:eastAsiaTheme="minorHAnsi" w:hAnsi="Times New Roman" w:cs="Times New Roman"/>
          <w:i/>
          <w:sz w:val="24"/>
          <w:szCs w:val="24"/>
        </w:rPr>
        <w:t>Next Steps</w:t>
      </w:r>
      <w:r w:rsidRPr="005739E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on </w:t>
      </w:r>
      <w:r w:rsidRPr="005739E4">
        <w:rPr>
          <w:rFonts w:ascii="Times New Roman" w:eastAsiaTheme="minorHAnsi" w:hAnsi="Times New Roman" w:cs="Times New Roman"/>
          <w:sz w:val="24"/>
          <w:szCs w:val="24"/>
        </w:rPr>
        <w:t xml:space="preserve">child self-reported experience of peer victimisation (bullying) at Waves 1-3. </w:t>
      </w:r>
      <w:r>
        <w:rPr>
          <w:rFonts w:ascii="Times New Roman" w:eastAsiaTheme="minorHAnsi" w:hAnsi="Times New Roman" w:cs="Times New Roman"/>
          <w:sz w:val="24"/>
          <w:szCs w:val="24"/>
        </w:rPr>
        <w:t>At each wave,</w:t>
      </w:r>
      <w:r w:rsidRPr="005739E4">
        <w:rPr>
          <w:rFonts w:ascii="Times New Roman" w:eastAsiaTheme="minorHAnsi" w:hAnsi="Times New Roman" w:cs="Times New Roman"/>
          <w:sz w:val="24"/>
          <w:szCs w:val="24"/>
        </w:rPr>
        <w:t xml:space="preserve"> children were asked about exposure to five types of peer victimisation </w:t>
      </w:r>
      <w:r>
        <w:rPr>
          <w:rFonts w:ascii="Times New Roman" w:eastAsiaTheme="minorHAnsi" w:hAnsi="Times New Roman" w:cs="Times New Roman"/>
          <w:sz w:val="24"/>
          <w:szCs w:val="24"/>
        </w:rPr>
        <w:t>in the last 12 months</w:t>
      </w:r>
      <w:r w:rsidRPr="005739E4">
        <w:rPr>
          <w:rFonts w:ascii="Times New Roman" w:eastAsiaTheme="minorHAnsi" w:hAnsi="Times New Roman" w:cs="Times New Roman"/>
          <w:sz w:val="24"/>
          <w:szCs w:val="24"/>
        </w:rPr>
        <w:t xml:space="preserve">: </w:t>
      </w:r>
    </w:p>
    <w:p w:rsidR="00B07543" w:rsidRPr="005739E4" w:rsidRDefault="00B07543" w:rsidP="00CB48FA">
      <w:pPr>
        <w:spacing w:line="480" w:lineRule="auto"/>
        <w:rPr>
          <w:rFonts w:ascii="Times New Roman" w:eastAsiaTheme="minorHAnsi" w:hAnsi="Times New Roman" w:cs="Times New Roman"/>
          <w:i/>
          <w:sz w:val="24"/>
          <w:szCs w:val="24"/>
        </w:rPr>
      </w:pPr>
      <w:r w:rsidRPr="005739E4">
        <w:rPr>
          <w:rFonts w:ascii="Times New Roman" w:eastAsiaTheme="minorHAnsi" w:hAnsi="Times New Roman" w:cs="Times New Roman"/>
          <w:i/>
          <w:sz w:val="24"/>
          <w:szCs w:val="24"/>
        </w:rPr>
        <w:t>Have you ever been upset by being called hurtful names by other students, including getting text messages or emails from them?</w:t>
      </w:r>
    </w:p>
    <w:p w:rsidR="00B07543" w:rsidRPr="005739E4" w:rsidRDefault="00B07543" w:rsidP="00CB48FA">
      <w:pPr>
        <w:spacing w:line="480" w:lineRule="auto"/>
        <w:rPr>
          <w:rFonts w:ascii="Times New Roman" w:eastAsiaTheme="minorHAnsi" w:hAnsi="Times New Roman" w:cs="Times New Roman"/>
          <w:i/>
          <w:sz w:val="24"/>
          <w:szCs w:val="24"/>
        </w:rPr>
      </w:pPr>
      <w:r w:rsidRPr="005739E4">
        <w:rPr>
          <w:rFonts w:ascii="Times New Roman" w:eastAsiaTheme="minorHAnsi" w:hAnsi="Times New Roman" w:cs="Times New Roman"/>
          <w:i/>
          <w:sz w:val="24"/>
          <w:szCs w:val="24"/>
        </w:rPr>
        <w:t>Have you ever been excluded from a group of friends or from joining in activities?</w:t>
      </w:r>
    </w:p>
    <w:p w:rsidR="00B07543" w:rsidRPr="005739E4" w:rsidRDefault="00B07543" w:rsidP="00CB48FA">
      <w:pPr>
        <w:spacing w:line="480" w:lineRule="auto"/>
        <w:rPr>
          <w:rFonts w:ascii="Times New Roman" w:eastAsiaTheme="minorHAnsi" w:hAnsi="Times New Roman" w:cs="Times New Roman"/>
          <w:i/>
          <w:sz w:val="24"/>
          <w:szCs w:val="24"/>
        </w:rPr>
      </w:pPr>
      <w:r w:rsidRPr="005739E4">
        <w:rPr>
          <w:rFonts w:ascii="Times New Roman" w:eastAsiaTheme="minorHAnsi" w:hAnsi="Times New Roman" w:cs="Times New Roman"/>
          <w:i/>
          <w:sz w:val="24"/>
          <w:szCs w:val="24"/>
        </w:rPr>
        <w:t>Have other students at your school ever made you give them money or personal possessions?</w:t>
      </w:r>
    </w:p>
    <w:p w:rsidR="00B07543" w:rsidRPr="005739E4" w:rsidRDefault="00B07543" w:rsidP="00CB48FA">
      <w:pPr>
        <w:spacing w:line="480" w:lineRule="auto"/>
        <w:rPr>
          <w:rFonts w:ascii="Times New Roman" w:eastAsiaTheme="minorHAnsi" w:hAnsi="Times New Roman" w:cs="Times New Roman"/>
          <w:i/>
          <w:sz w:val="24"/>
          <w:szCs w:val="24"/>
        </w:rPr>
      </w:pPr>
      <w:r w:rsidRPr="005739E4">
        <w:rPr>
          <w:rFonts w:ascii="Times New Roman" w:eastAsiaTheme="minorHAnsi" w:hAnsi="Times New Roman" w:cs="Times New Roman"/>
          <w:i/>
          <w:sz w:val="24"/>
          <w:szCs w:val="24"/>
        </w:rPr>
        <w:t>Have other students ever THREATENED to hit you, kick you or use any other form of violence against you?</w:t>
      </w:r>
    </w:p>
    <w:p w:rsidR="00B07543" w:rsidRPr="005739E4" w:rsidRDefault="00B07543" w:rsidP="00CB48FA">
      <w:pPr>
        <w:spacing w:line="480" w:lineRule="auto"/>
        <w:rPr>
          <w:rFonts w:ascii="Times New Roman" w:eastAsiaTheme="minorHAnsi" w:hAnsi="Times New Roman" w:cs="Times New Roman"/>
          <w:i/>
          <w:sz w:val="24"/>
          <w:szCs w:val="24"/>
        </w:rPr>
      </w:pPr>
      <w:r w:rsidRPr="005739E4">
        <w:rPr>
          <w:rFonts w:ascii="Times New Roman" w:eastAsiaTheme="minorHAnsi" w:hAnsi="Times New Roman" w:cs="Times New Roman"/>
          <w:i/>
          <w:sz w:val="24"/>
          <w:szCs w:val="24"/>
        </w:rPr>
        <w:lastRenderedPageBreak/>
        <w:t>Have other students ever ACTUALLY hit you, kicked you or used any other form of violence against you?</w:t>
      </w:r>
    </w:p>
    <w:p w:rsidR="00B07543" w:rsidRPr="005739E4" w:rsidRDefault="00B07543" w:rsidP="00CB48FA">
      <w:pPr>
        <w:spacing w:line="480" w:lineRule="auto"/>
        <w:rPr>
          <w:rFonts w:ascii="Times New Roman" w:eastAsiaTheme="minorHAnsi" w:hAnsi="Times New Roman" w:cs="Times New Roman"/>
          <w:sz w:val="24"/>
          <w:szCs w:val="24"/>
        </w:rPr>
      </w:pPr>
      <w:r w:rsidRPr="005739E4">
        <w:rPr>
          <w:rFonts w:ascii="Times New Roman" w:eastAsiaTheme="minorHAnsi" w:hAnsi="Times New Roman" w:cs="Times New Roman"/>
          <w:sz w:val="24"/>
          <w:szCs w:val="24"/>
        </w:rPr>
        <w:t>If the young participant selected a ‘yes’ option they were then asked about the frequency of exposure (response options: every day, a few times a week, once or twice a week, once every two weeks, once a month, less often than this, it varies). Preliminary analysis of responses indicated a strong association between threat of and actual violence, but weak associations between other forms of peer victimisation. As a result we combined self-report of threat of or actual violence at each of the three Waves. For each of the four types of peer victimisation (</w:t>
      </w:r>
      <w:proofErr w:type="gramStart"/>
      <w:r w:rsidRPr="005739E4">
        <w:rPr>
          <w:rFonts w:ascii="Times New Roman" w:eastAsiaTheme="minorHAnsi" w:hAnsi="Times New Roman" w:cs="Times New Roman"/>
          <w:sz w:val="24"/>
          <w:szCs w:val="24"/>
        </w:rPr>
        <w:t>name calling</w:t>
      </w:r>
      <w:proofErr w:type="gramEnd"/>
      <w:r w:rsidRPr="005739E4">
        <w:rPr>
          <w:rFonts w:ascii="Times New Roman" w:eastAsiaTheme="minorHAnsi" w:hAnsi="Times New Roman" w:cs="Times New Roman"/>
          <w:sz w:val="24"/>
          <w:szCs w:val="24"/>
        </w:rPr>
        <w:t>, social exclusion, theft, violence) we created one binary variable; whether this had happened at all in any 12 month period in Waves 1-3 (contrasted with it</w:t>
      </w:r>
      <w:r>
        <w:rPr>
          <w:rFonts w:ascii="Times New Roman" w:eastAsiaTheme="minorHAnsi" w:hAnsi="Times New Roman" w:cs="Times New Roman"/>
          <w:sz w:val="24"/>
          <w:szCs w:val="24"/>
        </w:rPr>
        <w:t xml:space="preserve"> never happening</w:t>
      </w:r>
      <w:r w:rsidRPr="005739E4">
        <w:rPr>
          <w:rFonts w:ascii="Times New Roman" w:eastAsiaTheme="minorHAnsi" w:hAnsi="Times New Roman" w:cs="Times New Roman"/>
          <w:sz w:val="24"/>
          <w:szCs w:val="24"/>
        </w:rPr>
        <w:t xml:space="preserve"> in any of the three Waves).</w:t>
      </w:r>
    </w:p>
    <w:p w:rsidR="00B07543" w:rsidRPr="005739E4" w:rsidRDefault="00B07543" w:rsidP="00CB48FA">
      <w:pPr>
        <w:spacing w:line="480" w:lineRule="auto"/>
        <w:ind w:firstLine="720"/>
        <w:rPr>
          <w:rFonts w:ascii="Times New Roman" w:eastAsiaTheme="minorHAnsi" w:hAnsi="Times New Roman" w:cs="Times New Roman"/>
          <w:sz w:val="24"/>
          <w:szCs w:val="24"/>
        </w:rPr>
      </w:pPr>
      <w:r w:rsidRPr="0027040B">
        <w:rPr>
          <w:rFonts w:ascii="Times New Roman" w:eastAsiaTheme="minorHAnsi" w:hAnsi="Times New Roman" w:cs="Times New Roman"/>
          <w:b/>
          <w:i/>
          <w:sz w:val="24"/>
          <w:szCs w:val="24"/>
        </w:rPr>
        <w:t>Friendships.</w:t>
      </w:r>
      <w:r>
        <w:rPr>
          <w:rFonts w:ascii="Times New Roman" w:eastAsiaTheme="minorHAnsi" w:hAnsi="Times New Roman" w:cs="Times New Roman"/>
          <w:b/>
          <w:i/>
          <w:sz w:val="24"/>
          <w:szCs w:val="24"/>
        </w:rPr>
        <w:t xml:space="preserve"> </w:t>
      </w:r>
      <w:r w:rsidRPr="005739E4">
        <w:rPr>
          <w:rFonts w:ascii="Times New Roman" w:eastAsiaTheme="minorHAnsi" w:hAnsi="Times New Roman" w:cs="Times New Roman"/>
          <w:sz w:val="24"/>
          <w:szCs w:val="24"/>
        </w:rPr>
        <w:t>We extracted information on friendships from Waves 2, 6 and 7</w:t>
      </w:r>
      <w:r>
        <w:rPr>
          <w:rFonts w:ascii="Times New Roman" w:eastAsiaTheme="minorHAnsi" w:hAnsi="Times New Roman" w:cs="Times New Roman"/>
          <w:sz w:val="24"/>
          <w:szCs w:val="24"/>
        </w:rPr>
        <w:t>.</w:t>
      </w:r>
      <w:r w:rsidRPr="005739E4">
        <w:rPr>
          <w:rFonts w:ascii="Times New Roman" w:eastAsiaTheme="minorHAnsi" w:hAnsi="Times New Roman" w:cs="Times New Roman"/>
          <w:sz w:val="24"/>
          <w:szCs w:val="24"/>
        </w:rPr>
        <w:t xml:space="preserve">  At Wave 2 participants were asked: </w:t>
      </w:r>
      <w:r w:rsidRPr="005739E4">
        <w:rPr>
          <w:rFonts w:ascii="Times New Roman" w:eastAsiaTheme="minorHAnsi" w:hAnsi="Times New Roman" w:cs="Times New Roman"/>
          <w:i/>
          <w:sz w:val="24"/>
          <w:szCs w:val="24"/>
        </w:rPr>
        <w:t xml:space="preserve">When you have free time, do you mainly: (1) Go out somewhere with friends; (2) Go round to a friend's house (or friends come round to yours); (3) Spend time with brother(s)/sister(s); (4) Spend time with other members of your family or; (5) Spend time by yourself? </w:t>
      </w:r>
      <w:r w:rsidRPr="005739E4">
        <w:rPr>
          <w:rFonts w:ascii="Times New Roman" w:eastAsiaTheme="minorHAnsi" w:hAnsi="Times New Roman" w:cs="Times New Roman"/>
          <w:sz w:val="24"/>
          <w:szCs w:val="24"/>
        </w:rPr>
        <w:t xml:space="preserve">We created a binary variable, W2 spends time with friends, scored </w:t>
      </w:r>
      <w:proofErr w:type="gramStart"/>
      <w:r w:rsidRPr="005739E4">
        <w:rPr>
          <w:rFonts w:ascii="Times New Roman" w:eastAsiaTheme="minorHAnsi" w:hAnsi="Times New Roman" w:cs="Times New Roman"/>
          <w:sz w:val="24"/>
          <w:szCs w:val="24"/>
        </w:rPr>
        <w:t>1</w:t>
      </w:r>
      <w:proofErr w:type="gramEnd"/>
      <w:r w:rsidRPr="005739E4">
        <w:rPr>
          <w:rFonts w:ascii="Times New Roman" w:eastAsiaTheme="minorHAnsi" w:hAnsi="Times New Roman" w:cs="Times New Roman"/>
          <w:sz w:val="24"/>
          <w:szCs w:val="24"/>
        </w:rPr>
        <w:t xml:space="preserve"> if they selected option 1 or 2, scored 0 if they selected options 3-5.</w:t>
      </w:r>
    </w:p>
    <w:p w:rsidR="00B07543" w:rsidRPr="005739E4" w:rsidRDefault="00B07543" w:rsidP="00CB48FA">
      <w:pPr>
        <w:spacing w:line="480" w:lineRule="auto"/>
        <w:rPr>
          <w:rFonts w:ascii="Times New Roman" w:eastAsiaTheme="minorHAnsi" w:hAnsi="Times New Roman" w:cs="Times New Roman"/>
          <w:sz w:val="24"/>
          <w:szCs w:val="24"/>
        </w:rPr>
      </w:pPr>
      <w:r w:rsidRPr="005739E4">
        <w:rPr>
          <w:rFonts w:ascii="Times New Roman" w:eastAsiaTheme="minorHAnsi" w:hAnsi="Times New Roman" w:cs="Times New Roman"/>
          <w:sz w:val="24"/>
          <w:szCs w:val="24"/>
        </w:rPr>
        <w:t xml:space="preserve">At Waves 6 and 7 participants were asked: </w:t>
      </w:r>
      <w:r w:rsidRPr="005739E4">
        <w:rPr>
          <w:rFonts w:ascii="Times New Roman" w:eastAsiaTheme="minorHAnsi" w:hAnsi="Times New Roman" w:cs="Times New Roman"/>
          <w:i/>
          <w:sz w:val="24"/>
          <w:szCs w:val="24"/>
        </w:rPr>
        <w:t>How many close friends do you have – that is friends you could talk to if you were in some sort of trouble?</w:t>
      </w:r>
      <w:r w:rsidRPr="005739E4">
        <w:rPr>
          <w:rFonts w:ascii="Times New Roman" w:eastAsiaTheme="minorHAnsi" w:hAnsi="Times New Roman" w:cs="Times New Roman"/>
          <w:sz w:val="24"/>
          <w:szCs w:val="24"/>
        </w:rPr>
        <w:t xml:space="preserve"> We created a binary variable, W6/7 few friends, scored 1 if they reported at either Wave they had no or only 1 close friend and scored 0 if they reported at any Wave they had two or more close friends.</w:t>
      </w:r>
    </w:p>
    <w:p w:rsidR="00B07543" w:rsidRPr="005D40D0" w:rsidRDefault="00AD0CF9" w:rsidP="00CB48FA">
      <w:pPr>
        <w:spacing w:line="480" w:lineRule="auto"/>
        <w:rPr>
          <w:rFonts w:ascii="Times New Roman" w:hAnsi="Times New Roman" w:cs="Times New Roman"/>
          <w:b/>
          <w:sz w:val="24"/>
          <w:szCs w:val="24"/>
        </w:rPr>
      </w:pPr>
      <w:r>
        <w:rPr>
          <w:rFonts w:ascii="Times New Roman" w:hAnsi="Times New Roman" w:cs="Times New Roman"/>
          <w:b/>
          <w:sz w:val="24"/>
          <w:szCs w:val="24"/>
        </w:rPr>
        <w:br w:type="column"/>
      </w:r>
      <w:r w:rsidR="00B07543" w:rsidRPr="005D40D0">
        <w:rPr>
          <w:rFonts w:ascii="Times New Roman" w:hAnsi="Times New Roman" w:cs="Times New Roman"/>
          <w:b/>
          <w:sz w:val="24"/>
          <w:szCs w:val="24"/>
        </w:rPr>
        <w:lastRenderedPageBreak/>
        <w:t>Approach to Analysis</w:t>
      </w:r>
    </w:p>
    <w:p w:rsidR="00B07543" w:rsidRPr="005739E4" w:rsidRDefault="00B07543" w:rsidP="00CB48FA">
      <w:pPr>
        <w:spacing w:line="480" w:lineRule="auto"/>
        <w:rPr>
          <w:rFonts w:ascii="Times New Roman" w:hAnsi="Times New Roman" w:cs="Times New Roman"/>
          <w:sz w:val="24"/>
          <w:szCs w:val="24"/>
        </w:rPr>
      </w:pPr>
      <w:r w:rsidRPr="005739E4">
        <w:rPr>
          <w:rFonts w:ascii="Times New Roman" w:hAnsi="Times New Roman" w:cs="Times New Roman"/>
          <w:sz w:val="24"/>
          <w:szCs w:val="24"/>
        </w:rPr>
        <w:t xml:space="preserve">In the first stage of analysis we made simple bivariate comparisons between participants with and without intellectual disability with regard to available indicators of smoking, alcohol and drug use. In the second stage of analysis we investigated, for key indicators of smoking, alcohol and drug use, the strength of association between socio-demographic factors and outcomes separately for participants with and without intellectual disability. Missing data among socio-demographic variables was imputed using multiple imputation routines in SPSS 22 to create five parallel imputed data sets. The subsequent analysis used the following approach: (1) five blocks of variables were created (SEP, neighbourhood, family type, peer victimisation, friendships) and entered sequentially; (2) variables within blocks were entered in order of bivariate strength of association with the outcome of interest; (3) variables were only retained in the model if </w:t>
      </w:r>
      <w:r w:rsidRPr="005739E4">
        <w:rPr>
          <w:rFonts w:ascii="Times New Roman" w:hAnsi="Times New Roman" w:cs="Times New Roman"/>
          <w:i/>
          <w:sz w:val="24"/>
          <w:szCs w:val="24"/>
        </w:rPr>
        <w:t>at the point of entry</w:t>
      </w:r>
      <w:r w:rsidRPr="005739E4">
        <w:rPr>
          <w:rFonts w:ascii="Times New Roman" w:hAnsi="Times New Roman" w:cs="Times New Roman"/>
          <w:sz w:val="24"/>
          <w:szCs w:val="24"/>
        </w:rPr>
        <w:t xml:space="preserve"> they were significantly related to the outcome of in</w:t>
      </w:r>
      <w:r>
        <w:rPr>
          <w:rFonts w:ascii="Times New Roman" w:hAnsi="Times New Roman" w:cs="Times New Roman"/>
          <w:sz w:val="24"/>
          <w:szCs w:val="24"/>
        </w:rPr>
        <w:t>terest or had a PR</w:t>
      </w:r>
      <w:r w:rsidRPr="005739E4">
        <w:rPr>
          <w:rFonts w:ascii="Times New Roman" w:hAnsi="Times New Roman" w:cs="Times New Roman"/>
          <w:sz w:val="24"/>
          <w:szCs w:val="24"/>
        </w:rPr>
        <w:t xml:space="preserve"> of 1.50 or greater. Poisson regression with robust standard errors was used </w:t>
      </w:r>
      <w:r>
        <w:rPr>
          <w:rFonts w:ascii="Times New Roman" w:hAnsi="Times New Roman" w:cs="Times New Roman"/>
          <w:sz w:val="24"/>
          <w:szCs w:val="24"/>
        </w:rPr>
        <w:t>to estimate PRs</w:t>
      </w:r>
      <w:r w:rsidRPr="005739E4">
        <w:rPr>
          <w:rFonts w:ascii="Times New Roman" w:hAnsi="Times New Roman" w:cs="Times New Roman"/>
          <w:sz w:val="24"/>
          <w:szCs w:val="24"/>
        </w:rPr>
        <w:t xml:space="preserve"> uniquely associated with each variable in the model</w:t>
      </w:r>
      <w:r>
        <w:rPr>
          <w:rFonts w:ascii="Times New Roman" w:hAnsi="Times New Roman" w:cs="Times New Roman"/>
          <w:sz w:val="24"/>
          <w:szCs w:val="24"/>
        </w:rPr>
        <w:t xml:space="preserve"> </w:t>
      </w:r>
      <w:r>
        <w:rPr>
          <w:rFonts w:ascii="Times New Roman" w:hAnsi="Times New Roman" w:cs="Times New Roman"/>
          <w:noProof/>
          <w:sz w:val="24"/>
          <w:szCs w:val="24"/>
        </w:rPr>
        <w:t>(Knol, Le Cessie, Algra, Vandenbroucke, &amp; Groenwold, 2012; Zocchetti, Consonni, &amp; Bertazzi, 1997)</w:t>
      </w:r>
      <w:r>
        <w:rPr>
          <w:rFonts w:ascii="Times New Roman" w:hAnsi="Times New Roman" w:cs="Times New Roman"/>
          <w:sz w:val="24"/>
          <w:szCs w:val="24"/>
        </w:rPr>
        <w:t>.</w:t>
      </w:r>
      <w:r w:rsidRPr="005739E4">
        <w:rPr>
          <w:rFonts w:ascii="Times New Roman" w:hAnsi="Times New Roman" w:cs="Times New Roman"/>
          <w:sz w:val="24"/>
          <w:szCs w:val="24"/>
        </w:rPr>
        <w:t xml:space="preserve"> </w:t>
      </w:r>
    </w:p>
    <w:p w:rsidR="00B07543" w:rsidRPr="005739E4" w:rsidRDefault="00B07543" w:rsidP="00CB48FA">
      <w:pPr>
        <w:spacing w:line="480" w:lineRule="auto"/>
        <w:rPr>
          <w:rFonts w:ascii="Times New Roman" w:hAnsi="Times New Roman" w:cs="Times New Roman"/>
          <w:sz w:val="24"/>
          <w:szCs w:val="24"/>
        </w:rPr>
      </w:pPr>
      <w:r w:rsidRPr="005739E4">
        <w:rPr>
          <w:rFonts w:ascii="Times New Roman" w:hAnsi="Times New Roman" w:cs="Times New Roman"/>
          <w:sz w:val="24"/>
          <w:szCs w:val="24"/>
        </w:rPr>
        <w:t>In the final stage of analysis we estimated the strength of association between intellectual disability and smoking, alcohol and drug use while controlling for between group differences in exposure to socio-demographic variables that have been established as important social determinants of poorer health. Two separate approaches were used</w:t>
      </w:r>
      <w:r>
        <w:rPr>
          <w:rFonts w:ascii="Times New Roman" w:hAnsi="Times New Roman" w:cs="Times New Roman"/>
          <w:sz w:val="24"/>
          <w:szCs w:val="24"/>
        </w:rPr>
        <w:t xml:space="preserve">. </w:t>
      </w:r>
      <w:r w:rsidRPr="005739E4">
        <w:rPr>
          <w:rFonts w:ascii="Times New Roman" w:hAnsi="Times New Roman" w:cs="Times New Roman"/>
          <w:sz w:val="24"/>
          <w:szCs w:val="24"/>
        </w:rPr>
        <w:t>First, we u</w:t>
      </w:r>
      <w:r>
        <w:rPr>
          <w:rFonts w:ascii="Times New Roman" w:hAnsi="Times New Roman" w:cs="Times New Roman"/>
          <w:sz w:val="24"/>
          <w:szCs w:val="24"/>
        </w:rPr>
        <w:t>sed Poisson regression with</w:t>
      </w:r>
      <w:r w:rsidRPr="005739E4">
        <w:rPr>
          <w:rFonts w:ascii="Times New Roman" w:hAnsi="Times New Roman" w:cs="Times New Roman"/>
          <w:sz w:val="24"/>
          <w:szCs w:val="24"/>
        </w:rPr>
        <w:t xml:space="preserve"> robust standard erro</w:t>
      </w:r>
      <w:r>
        <w:rPr>
          <w:rFonts w:ascii="Times New Roman" w:hAnsi="Times New Roman" w:cs="Times New Roman"/>
          <w:sz w:val="24"/>
          <w:szCs w:val="24"/>
        </w:rPr>
        <w:t>rs to estimate PRs</w:t>
      </w:r>
      <w:r w:rsidRPr="005739E4">
        <w:rPr>
          <w:rFonts w:ascii="Times New Roman" w:hAnsi="Times New Roman" w:cs="Times New Roman"/>
          <w:sz w:val="24"/>
          <w:szCs w:val="24"/>
        </w:rPr>
        <w:t xml:space="preserve"> associated with intellectual disability for each outcome with exposures included in the model as covariates. Second, we used Propensity Score Matching</w:t>
      </w:r>
      <w:r>
        <w:rPr>
          <w:rFonts w:ascii="Times New Roman" w:hAnsi="Times New Roman" w:cs="Times New Roman"/>
          <w:sz w:val="24"/>
          <w:szCs w:val="24"/>
        </w:rPr>
        <w:t xml:space="preserve"> (PSM)</w:t>
      </w:r>
      <w:r w:rsidRPr="005739E4">
        <w:rPr>
          <w:rFonts w:ascii="Times New Roman" w:hAnsi="Times New Roman" w:cs="Times New Roman"/>
          <w:sz w:val="24"/>
          <w:szCs w:val="24"/>
        </w:rPr>
        <w:t xml:space="preserve"> routines in SPSS 22 to match each participant with intellectual disability with a participant without intellectual disability with a similar propensity score for intellectual disability based on exposure to the socio-demographic </w:t>
      </w:r>
      <w:r w:rsidRPr="005739E4">
        <w:rPr>
          <w:rFonts w:ascii="Times New Roman" w:hAnsi="Times New Roman" w:cs="Times New Roman"/>
          <w:sz w:val="24"/>
          <w:szCs w:val="24"/>
        </w:rPr>
        <w:lastRenderedPageBreak/>
        <w:t xml:space="preserve">variables </w:t>
      </w:r>
      <w:r>
        <w:rPr>
          <w:rFonts w:ascii="Times New Roman" w:hAnsi="Times New Roman" w:cs="Times New Roman"/>
          <w:noProof/>
          <w:sz w:val="24"/>
          <w:szCs w:val="24"/>
        </w:rPr>
        <w:t>(Austin, 2011; Blackford, 2007; Oakes &amp; Johnson, 2006)</w:t>
      </w:r>
      <w:r>
        <w:rPr>
          <w:rFonts w:ascii="Times New Roman" w:hAnsi="Times New Roman" w:cs="Times New Roman"/>
          <w:sz w:val="24"/>
          <w:szCs w:val="24"/>
        </w:rPr>
        <w:t>.</w:t>
      </w:r>
      <w:r w:rsidRPr="005739E4">
        <w:rPr>
          <w:rFonts w:ascii="Times New Roman" w:hAnsi="Times New Roman" w:cs="Times New Roman"/>
          <w:sz w:val="24"/>
          <w:szCs w:val="24"/>
        </w:rPr>
        <w:t xml:space="preserve"> We used the lowest tolerance for matching (0.05) that allowed complete matching for all participants with intellectual disability.</w:t>
      </w:r>
    </w:p>
    <w:p w:rsidR="00B07543" w:rsidRDefault="00B07543" w:rsidP="00CB48FA"/>
    <w:p w:rsidR="00B07543" w:rsidRPr="00280923" w:rsidRDefault="00B07543" w:rsidP="00CB48FA">
      <w:pPr>
        <w:spacing w:after="0" w:line="480" w:lineRule="auto"/>
        <w:ind w:firstLine="720"/>
        <w:rPr>
          <w:rFonts w:ascii="Times New Roman" w:hAnsi="Times New Roman" w:cs="Times New Roman"/>
          <w:sz w:val="24"/>
          <w:szCs w:val="24"/>
        </w:rPr>
      </w:pPr>
    </w:p>
    <w:p w:rsidR="00B07543" w:rsidRDefault="00B07543" w:rsidP="00CB48FA"/>
    <w:p w:rsidR="00B07543" w:rsidRPr="005A0177" w:rsidRDefault="00B07543" w:rsidP="00CB48FA">
      <w:pPr>
        <w:spacing w:line="480" w:lineRule="auto"/>
        <w:rPr>
          <w:rFonts w:ascii="Times New Roman" w:hAnsi="Times New Roman" w:cs="Times New Roman"/>
          <w:b/>
          <w:sz w:val="24"/>
          <w:szCs w:val="24"/>
        </w:rPr>
      </w:pPr>
      <w:r>
        <w:rPr>
          <w:rFonts w:ascii="Times New Roman" w:hAnsi="Times New Roman" w:cs="Times New Roman"/>
          <w:b/>
          <w:sz w:val="24"/>
          <w:szCs w:val="24"/>
        </w:rPr>
        <w:br w:type="column"/>
      </w:r>
      <w:r w:rsidRPr="005A0177">
        <w:rPr>
          <w:rFonts w:ascii="Times New Roman" w:hAnsi="Times New Roman" w:cs="Times New Roman"/>
          <w:b/>
          <w:sz w:val="24"/>
          <w:szCs w:val="24"/>
        </w:rPr>
        <w:lastRenderedPageBreak/>
        <w:t>References</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 xml:space="preserve">Austin, P. C. (2011). An introduction to Propensity Score Methods for reducing the effects of confounding in observational studies. </w:t>
      </w:r>
      <w:r w:rsidRPr="00AD0CF9">
        <w:rPr>
          <w:rFonts w:ascii="Times New Roman" w:hAnsi="Times New Roman" w:cs="Times New Roman"/>
          <w:i/>
          <w:sz w:val="24"/>
          <w:szCs w:val="24"/>
        </w:rPr>
        <w:t>Multivariate Behavioral Research, 46</w:t>
      </w:r>
      <w:r w:rsidRPr="00AD0CF9">
        <w:rPr>
          <w:rFonts w:ascii="Times New Roman" w:hAnsi="Times New Roman" w:cs="Times New Roman"/>
          <w:sz w:val="24"/>
          <w:szCs w:val="24"/>
        </w:rPr>
        <w:t>, 399-424. doi: 10.1080/00273171.2011.568786</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 xml:space="preserve">Blackford, J. (2007). Statistical issues in developmental epidemiology and developmental disabilities research: Confounding variables, small sample size, and numerous outcome variables In R. Urbano &amp; R. Hodapp (Eds.), </w:t>
      </w:r>
      <w:r w:rsidRPr="00AD0CF9">
        <w:rPr>
          <w:rFonts w:ascii="Times New Roman" w:hAnsi="Times New Roman" w:cs="Times New Roman"/>
          <w:i/>
          <w:sz w:val="24"/>
          <w:szCs w:val="24"/>
        </w:rPr>
        <w:t>Developmental Epidemiology of Mental Retardation and Developmental Disabilities</w:t>
      </w:r>
      <w:r w:rsidRPr="00AD0CF9">
        <w:rPr>
          <w:rFonts w:ascii="Times New Roman" w:hAnsi="Times New Roman" w:cs="Times New Roman"/>
          <w:sz w:val="24"/>
          <w:szCs w:val="24"/>
        </w:rPr>
        <w:t xml:space="preserve"> (pp. 93-120). New York: Academic Press.</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Department for Education. (2011a). Glossary of special educational needs (SEN) terminology. Available online at http://webarchive.nationalarchives.gov.uk/20130123124929/http://www.education.gov.uk/schools/pupilsupport/sen/schools/a0013104/glossary-of-special-educational-needs-sen-terminology (last accessed 12 Sept 2017): Department for Education.</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Department for Education. (2011b). LYSPE Guide to the Datasets: Wave 1-Wave 7. London: Department for Education.</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 xml:space="preserve">Emerson, E. (2012). Household deprivation, neighbourhood deprivation, ethnicity and the prevalence of intellectual and developmental disabilities </w:t>
      </w:r>
      <w:r w:rsidRPr="00AD0CF9">
        <w:rPr>
          <w:rFonts w:ascii="Times New Roman" w:hAnsi="Times New Roman" w:cs="Times New Roman"/>
          <w:i/>
          <w:sz w:val="24"/>
          <w:szCs w:val="24"/>
        </w:rPr>
        <w:t>Journal of Epidemiology and Community Health, 66</w:t>
      </w:r>
      <w:r w:rsidRPr="00AD0CF9">
        <w:rPr>
          <w:rFonts w:ascii="Times New Roman" w:hAnsi="Times New Roman" w:cs="Times New Roman"/>
          <w:sz w:val="24"/>
          <w:szCs w:val="24"/>
        </w:rPr>
        <w:t>, 218-224. doi: 10.1136/jech.2010.111773</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Emerson, E., &amp; Halpin, S. (2013). Anti</w:t>
      </w:r>
      <w:r w:rsidRPr="00AD0CF9">
        <w:rPr>
          <w:rFonts w:ascii="Cambria Math" w:hAnsi="Cambria Math" w:cs="Cambria Math"/>
          <w:sz w:val="24"/>
          <w:szCs w:val="24"/>
        </w:rPr>
        <w:t>‐</w:t>
      </w:r>
      <w:r w:rsidRPr="00AD0CF9">
        <w:rPr>
          <w:rFonts w:ascii="Times New Roman" w:hAnsi="Times New Roman" w:cs="Times New Roman"/>
          <w:sz w:val="24"/>
          <w:szCs w:val="24"/>
        </w:rPr>
        <w:t>social behaviour and police contact among 13</w:t>
      </w:r>
      <w:r w:rsidRPr="00AD0CF9">
        <w:rPr>
          <w:rFonts w:ascii="Cambria Math" w:hAnsi="Cambria Math" w:cs="Cambria Math"/>
          <w:sz w:val="24"/>
          <w:szCs w:val="24"/>
        </w:rPr>
        <w:t>‐</w:t>
      </w:r>
      <w:r w:rsidRPr="00AD0CF9">
        <w:rPr>
          <w:rFonts w:ascii="Times New Roman" w:hAnsi="Times New Roman" w:cs="Times New Roman"/>
          <w:sz w:val="24"/>
          <w:szCs w:val="24"/>
        </w:rPr>
        <w:t xml:space="preserve"> to 15</w:t>
      </w:r>
      <w:r w:rsidRPr="00AD0CF9">
        <w:rPr>
          <w:rFonts w:ascii="Cambria Math" w:hAnsi="Cambria Math" w:cs="Cambria Math"/>
          <w:sz w:val="24"/>
          <w:szCs w:val="24"/>
        </w:rPr>
        <w:t>‐</w:t>
      </w:r>
      <w:r w:rsidRPr="00AD0CF9">
        <w:rPr>
          <w:rFonts w:ascii="Times New Roman" w:hAnsi="Times New Roman" w:cs="Times New Roman"/>
          <w:sz w:val="24"/>
          <w:szCs w:val="24"/>
        </w:rPr>
        <w:t>year</w:t>
      </w:r>
      <w:r w:rsidRPr="00AD0CF9">
        <w:rPr>
          <w:rFonts w:ascii="Cambria Math" w:hAnsi="Cambria Math" w:cs="Cambria Math"/>
          <w:sz w:val="24"/>
          <w:szCs w:val="24"/>
        </w:rPr>
        <w:t>‐</w:t>
      </w:r>
      <w:r w:rsidRPr="00AD0CF9">
        <w:rPr>
          <w:rFonts w:ascii="Times New Roman" w:hAnsi="Times New Roman" w:cs="Times New Roman"/>
          <w:sz w:val="24"/>
          <w:szCs w:val="24"/>
        </w:rPr>
        <w:t xml:space="preserve">old English adolescents with and without mild/moderate intellectual disability. </w:t>
      </w:r>
      <w:r w:rsidRPr="00AD0CF9">
        <w:rPr>
          <w:rFonts w:ascii="Times New Roman" w:hAnsi="Times New Roman" w:cs="Times New Roman"/>
          <w:i/>
          <w:sz w:val="24"/>
          <w:szCs w:val="24"/>
        </w:rPr>
        <w:t>Journal Of Applied Research In Intellectual Disabilities, 26</w:t>
      </w:r>
      <w:r w:rsidRPr="00AD0CF9">
        <w:rPr>
          <w:rFonts w:ascii="Times New Roman" w:hAnsi="Times New Roman" w:cs="Times New Roman"/>
          <w:sz w:val="24"/>
          <w:szCs w:val="24"/>
        </w:rPr>
        <w:t>(5), 362-369. doi: 10.1111/jar.12041</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 xml:space="preserve">Groves, R. M. (2006). Nonresponse rates and nonresponse bias in household surveys </w:t>
      </w:r>
      <w:r w:rsidRPr="00AD0CF9">
        <w:rPr>
          <w:rFonts w:ascii="Times New Roman" w:hAnsi="Times New Roman" w:cs="Times New Roman"/>
          <w:i/>
          <w:sz w:val="24"/>
          <w:szCs w:val="24"/>
        </w:rPr>
        <w:t>Public Opinion Quarterly, 70</w:t>
      </w:r>
      <w:r w:rsidRPr="00AD0CF9">
        <w:rPr>
          <w:rFonts w:ascii="Times New Roman" w:hAnsi="Times New Roman" w:cs="Times New Roman"/>
          <w:sz w:val="24"/>
          <w:szCs w:val="24"/>
        </w:rPr>
        <w:t xml:space="preserve">, 646-675. </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B01F01">
        <w:rPr>
          <w:rFonts w:ascii="Times New Roman" w:hAnsi="Times New Roman" w:cs="Times New Roman"/>
          <w:sz w:val="24"/>
          <w:szCs w:val="24"/>
          <w:lang w:val="fr-FR"/>
        </w:rPr>
        <w:lastRenderedPageBreak/>
        <w:t xml:space="preserve">Groves, R. M., &amp; Couper, M. P. (1998). </w:t>
      </w:r>
      <w:r w:rsidRPr="00AD0CF9">
        <w:rPr>
          <w:rFonts w:ascii="Times New Roman" w:hAnsi="Times New Roman" w:cs="Times New Roman"/>
          <w:i/>
          <w:sz w:val="24"/>
          <w:szCs w:val="24"/>
        </w:rPr>
        <w:t>Nonresponse in Household Interview Surveys</w:t>
      </w:r>
      <w:r w:rsidRPr="00AD0CF9">
        <w:rPr>
          <w:rFonts w:ascii="Times New Roman" w:hAnsi="Times New Roman" w:cs="Times New Roman"/>
          <w:sz w:val="24"/>
          <w:szCs w:val="24"/>
        </w:rPr>
        <w:t>. New York: Wiley.</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 xml:space="preserve">Knol, M. J., Le Cessie, S., Algra, A., Vandenbroucke, J. P., &amp; Groenwold, R. H. H. (2012). Overestimation of risk ratios by odds ratios in trials and cohort studies: alternatives for logistic regression. </w:t>
      </w:r>
      <w:r w:rsidRPr="00AD0CF9">
        <w:rPr>
          <w:rFonts w:ascii="Times New Roman" w:hAnsi="Times New Roman" w:cs="Times New Roman"/>
          <w:i/>
          <w:sz w:val="24"/>
          <w:szCs w:val="24"/>
        </w:rPr>
        <w:t>Canadian Medical Association Journal, 184</w:t>
      </w:r>
      <w:r w:rsidRPr="00AD0CF9">
        <w:rPr>
          <w:rFonts w:ascii="Times New Roman" w:hAnsi="Times New Roman" w:cs="Times New Roman"/>
          <w:sz w:val="24"/>
          <w:szCs w:val="24"/>
        </w:rPr>
        <w:t xml:space="preserve">, 895-899. DOI:810.1503/cmaj.101715. </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Kounali, D., Robinson, T., Goldstein, H., &amp; Lauder, H. (2008). The probity of free school meals as a proxy measure for disadvantage. Bristol: University of Bristol.</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 xml:space="preserve">Maulik, P. K., Mascarenhas, M. N., Mathers, C. D., Dua, T., &amp; Saxena, S. (2011). Prevalence of intellectual disability: A meta-analysis of population-based studies </w:t>
      </w:r>
      <w:r w:rsidRPr="00AD0CF9">
        <w:rPr>
          <w:rFonts w:ascii="Times New Roman" w:hAnsi="Times New Roman" w:cs="Times New Roman"/>
          <w:i/>
          <w:sz w:val="24"/>
          <w:szCs w:val="24"/>
        </w:rPr>
        <w:t>Research in Developmental Disabilities, 32</w:t>
      </w:r>
      <w:r w:rsidRPr="00AD0CF9">
        <w:rPr>
          <w:rFonts w:ascii="Times New Roman" w:hAnsi="Times New Roman" w:cs="Times New Roman"/>
          <w:sz w:val="24"/>
          <w:szCs w:val="24"/>
        </w:rPr>
        <w:t>, 419-436. doi: 10.1016/j.ridd.2010.12.018</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Naylor, P., Dawson, J., Emerson, E., &amp; Tantam, D. (2011). Prevalence of bullying in secondary school by SEN type: Analysis of combined NPD and LSYPE data files. End of Award Report to ESRC. Swindon: ESRC.</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Noble, M., McLennan, D., Wilkinson, K., Whitworth, A., Barnes, H., &amp; Dibben, C. (2008). The English Indices of Deprivation 2007. London: Communities and Local Government.</w:t>
      </w:r>
    </w:p>
    <w:p w:rsidR="00B07543" w:rsidRPr="00AD0CF9" w:rsidRDefault="00B07543" w:rsidP="00AD0CF9">
      <w:pPr>
        <w:pStyle w:val="EndNoteBibliography"/>
        <w:spacing w:after="0" w:line="480" w:lineRule="auto"/>
        <w:ind w:left="720" w:hanging="720"/>
        <w:rPr>
          <w:rFonts w:ascii="Times New Roman" w:hAnsi="Times New Roman" w:cs="Times New Roman"/>
          <w:sz w:val="24"/>
          <w:szCs w:val="24"/>
        </w:rPr>
      </w:pPr>
      <w:r w:rsidRPr="00AD0CF9">
        <w:rPr>
          <w:rFonts w:ascii="Times New Roman" w:hAnsi="Times New Roman" w:cs="Times New Roman"/>
          <w:sz w:val="24"/>
          <w:szCs w:val="24"/>
        </w:rPr>
        <w:t xml:space="preserve">Oakes, J. M., &amp; Johnson, P. J. (2006). Propensity score matching for social epidemiology. In J. M. Oakes &amp; J. S. Kaufman (Eds.), </w:t>
      </w:r>
      <w:r w:rsidRPr="00AD0CF9">
        <w:rPr>
          <w:rFonts w:ascii="Times New Roman" w:hAnsi="Times New Roman" w:cs="Times New Roman"/>
          <w:i/>
          <w:sz w:val="24"/>
          <w:szCs w:val="24"/>
        </w:rPr>
        <w:t>Methods in Social Epidemiology</w:t>
      </w:r>
      <w:r w:rsidRPr="00AD0CF9">
        <w:rPr>
          <w:rFonts w:ascii="Times New Roman" w:hAnsi="Times New Roman" w:cs="Times New Roman"/>
          <w:sz w:val="24"/>
          <w:szCs w:val="24"/>
        </w:rPr>
        <w:t>. San Francisco: Josey Bass.</w:t>
      </w:r>
    </w:p>
    <w:p w:rsidR="00B07543" w:rsidRPr="00B01F01" w:rsidRDefault="00B07543" w:rsidP="00AD0CF9">
      <w:pPr>
        <w:pStyle w:val="EndNoteBibliography"/>
        <w:spacing w:after="0" w:line="480" w:lineRule="auto"/>
        <w:ind w:left="720" w:hanging="720"/>
        <w:rPr>
          <w:rFonts w:ascii="Times New Roman" w:hAnsi="Times New Roman" w:cs="Times New Roman"/>
          <w:sz w:val="24"/>
          <w:szCs w:val="24"/>
          <w:lang w:val="it-IT"/>
        </w:rPr>
      </w:pPr>
      <w:r w:rsidRPr="00AD0CF9">
        <w:rPr>
          <w:rFonts w:ascii="Times New Roman" w:hAnsi="Times New Roman" w:cs="Times New Roman"/>
          <w:sz w:val="24"/>
          <w:szCs w:val="24"/>
        </w:rPr>
        <w:t xml:space="preserve">Roeleveld, N., Zielhuis, G. A., &amp; Gabreels, F. (1997). The prevalence of mental retardation: a critical review of recent literature. </w:t>
      </w:r>
      <w:r w:rsidRPr="00B01F01">
        <w:rPr>
          <w:rFonts w:ascii="Times New Roman" w:hAnsi="Times New Roman" w:cs="Times New Roman"/>
          <w:i/>
          <w:sz w:val="24"/>
          <w:szCs w:val="24"/>
          <w:lang w:val="it-IT"/>
        </w:rPr>
        <w:t>Developmental Medicine &amp; Child Neurology, 39</w:t>
      </w:r>
      <w:r w:rsidRPr="00B01F01">
        <w:rPr>
          <w:rFonts w:ascii="Times New Roman" w:hAnsi="Times New Roman" w:cs="Times New Roman"/>
          <w:sz w:val="24"/>
          <w:szCs w:val="24"/>
          <w:lang w:val="it-IT"/>
        </w:rPr>
        <w:t xml:space="preserve">, 125-132. </w:t>
      </w:r>
    </w:p>
    <w:p w:rsidR="00B07543" w:rsidRPr="00AD0CF9" w:rsidRDefault="00B07543" w:rsidP="00AD0CF9">
      <w:pPr>
        <w:pStyle w:val="EndNoteBibliography"/>
        <w:spacing w:line="480" w:lineRule="auto"/>
        <w:ind w:left="720" w:hanging="720"/>
        <w:rPr>
          <w:rFonts w:ascii="Times New Roman" w:hAnsi="Times New Roman" w:cs="Times New Roman"/>
          <w:sz w:val="24"/>
          <w:szCs w:val="24"/>
        </w:rPr>
      </w:pPr>
      <w:r w:rsidRPr="00B01F01">
        <w:rPr>
          <w:rFonts w:ascii="Times New Roman" w:hAnsi="Times New Roman" w:cs="Times New Roman"/>
          <w:sz w:val="24"/>
          <w:szCs w:val="24"/>
          <w:lang w:val="it-IT"/>
        </w:rPr>
        <w:lastRenderedPageBreak/>
        <w:t xml:space="preserve">Zocchetti, C., Consonni, D., &amp; Bertazzi, P. (1997). </w:t>
      </w:r>
      <w:r w:rsidRPr="00AD0CF9">
        <w:rPr>
          <w:rFonts w:ascii="Times New Roman" w:hAnsi="Times New Roman" w:cs="Times New Roman"/>
          <w:sz w:val="24"/>
          <w:szCs w:val="24"/>
        </w:rPr>
        <w:t xml:space="preserve">Relationship between prevalence rate ratios and odds ratios in crosssectional studies. </w:t>
      </w:r>
      <w:r w:rsidRPr="00AD0CF9">
        <w:rPr>
          <w:rFonts w:ascii="Times New Roman" w:hAnsi="Times New Roman" w:cs="Times New Roman"/>
          <w:i/>
          <w:sz w:val="24"/>
          <w:szCs w:val="24"/>
        </w:rPr>
        <w:t>International Journal of Epidemiology, 26</w:t>
      </w:r>
      <w:r w:rsidRPr="00AD0CF9">
        <w:rPr>
          <w:rFonts w:ascii="Times New Roman" w:hAnsi="Times New Roman" w:cs="Times New Roman"/>
          <w:sz w:val="24"/>
          <w:szCs w:val="24"/>
        </w:rPr>
        <w:t xml:space="preserve">(1), 220-223. </w:t>
      </w:r>
    </w:p>
    <w:p w:rsidR="00B07543" w:rsidRPr="00AD0CF9" w:rsidRDefault="00B07543" w:rsidP="00AD0CF9">
      <w:pPr>
        <w:spacing w:line="480" w:lineRule="auto"/>
        <w:rPr>
          <w:rFonts w:ascii="Times New Roman" w:hAnsi="Times New Roman" w:cs="Times New Roman"/>
          <w:sz w:val="24"/>
          <w:szCs w:val="24"/>
        </w:rPr>
      </w:pPr>
      <w:r w:rsidRPr="00AD0CF9">
        <w:rPr>
          <w:rFonts w:ascii="Times New Roman" w:hAnsi="Times New Roman" w:cs="Times New Roman"/>
          <w:sz w:val="24"/>
          <w:szCs w:val="24"/>
        </w:rPr>
        <w:t xml:space="preserve"> </w:t>
      </w:r>
    </w:p>
    <w:p w:rsidR="00331DAF" w:rsidRPr="00AD0CF9" w:rsidRDefault="00331DAF" w:rsidP="00AD0CF9">
      <w:pPr>
        <w:spacing w:line="480" w:lineRule="auto"/>
        <w:rPr>
          <w:rFonts w:ascii="Times New Roman" w:hAnsi="Times New Roman" w:cs="Times New Roman"/>
          <w:sz w:val="24"/>
          <w:szCs w:val="24"/>
        </w:rPr>
      </w:pPr>
    </w:p>
    <w:sectPr w:rsidR="00331DAF" w:rsidRPr="00AD0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07543"/>
    <w:rsid w:val="00331DAF"/>
    <w:rsid w:val="009A136D"/>
    <w:rsid w:val="00AD0CF9"/>
    <w:rsid w:val="00B01F01"/>
    <w:rsid w:val="00B0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B79A"/>
  <w15:docId w15:val="{F9309B2C-A3C5-463D-953D-0BA5FD6F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543"/>
    <w:rPr>
      <w:rFonts w:eastAsiaTheme="minorEastAsia"/>
      <w:lang w:eastAsia="en-GB"/>
    </w:rPr>
  </w:style>
  <w:style w:type="paragraph" w:styleId="Heading2">
    <w:name w:val="heading 2"/>
    <w:basedOn w:val="Normal"/>
    <w:next w:val="Normal"/>
    <w:link w:val="Heading2Char"/>
    <w:uiPriority w:val="9"/>
    <w:unhideWhenUsed/>
    <w:qFormat/>
    <w:rsid w:val="00B07543"/>
    <w:pPr>
      <w:keepNext/>
      <w:spacing w:before="200" w:after="0"/>
      <w:outlineLvl w:val="1"/>
    </w:pPr>
    <w:rPr>
      <w:rFonts w:asciiTheme="majorHAnsi" w:eastAsiaTheme="majorEastAsia" w:hAnsiTheme="majorHAnsi" w:cstheme="majorBidi"/>
      <w:b/>
      <w:bCs/>
      <w:sz w:val="24"/>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543"/>
    <w:rPr>
      <w:rFonts w:asciiTheme="majorHAnsi" w:eastAsiaTheme="majorEastAsia" w:hAnsiTheme="majorHAnsi" w:cstheme="majorBidi"/>
      <w:b/>
      <w:bCs/>
      <w:sz w:val="24"/>
      <w:szCs w:val="26"/>
      <w:lang w:val="en-US" w:bidi="en-US"/>
    </w:rPr>
  </w:style>
  <w:style w:type="paragraph" w:styleId="NoSpacing">
    <w:name w:val="No Spacing"/>
    <w:basedOn w:val="Normal"/>
    <w:uiPriority w:val="1"/>
    <w:qFormat/>
    <w:rsid w:val="00B07543"/>
    <w:pPr>
      <w:spacing w:after="0" w:line="240" w:lineRule="auto"/>
    </w:pPr>
    <w:rPr>
      <w:lang w:val="en-US" w:eastAsia="en-US" w:bidi="en-US"/>
    </w:rPr>
  </w:style>
  <w:style w:type="paragraph" w:customStyle="1" w:styleId="EndNoteBibliography">
    <w:name w:val="EndNote Bibliography"/>
    <w:basedOn w:val="Normal"/>
    <w:link w:val="EndNoteBibliographyChar"/>
    <w:rsid w:val="00B07543"/>
    <w:pPr>
      <w:spacing w:line="240" w:lineRule="auto"/>
    </w:pPr>
    <w:rPr>
      <w:rFonts w:ascii="Calibri" w:hAnsi="Calibri"/>
      <w:noProof/>
      <w:lang w:val="en-US" w:eastAsia="en-US" w:bidi="en-US"/>
    </w:rPr>
  </w:style>
  <w:style w:type="character" w:customStyle="1" w:styleId="EndNoteBibliographyChar">
    <w:name w:val="EndNote Bibliography Char"/>
    <w:basedOn w:val="DefaultParagraphFont"/>
    <w:link w:val="EndNoteBibliography"/>
    <w:rsid w:val="00B07543"/>
    <w:rPr>
      <w:rFonts w:ascii="Calibri" w:eastAsiaTheme="minorEastAsia" w:hAnsi="Calibri"/>
      <w:noProof/>
      <w:lang w:val="en-US" w:bidi="en-US"/>
    </w:rPr>
  </w:style>
  <w:style w:type="paragraph" w:customStyle="1" w:styleId="EndNoteBibliographyTitle">
    <w:name w:val="EndNote Bibliography Title"/>
    <w:basedOn w:val="Normal"/>
    <w:link w:val="EndNoteBibliographyTitleChar"/>
    <w:rsid w:val="00B07543"/>
    <w:pPr>
      <w:spacing w:after="0"/>
      <w:jc w:val="center"/>
    </w:pPr>
    <w:rPr>
      <w:rFonts w:ascii="Calibri" w:hAnsi="Calibri"/>
      <w:noProof/>
      <w:lang w:val="en-US" w:bidi="en-US"/>
    </w:rPr>
  </w:style>
  <w:style w:type="character" w:customStyle="1" w:styleId="EndNoteBibliographyTitleChar">
    <w:name w:val="EndNote Bibliography Title Char"/>
    <w:basedOn w:val="EndNoteBibliographyChar"/>
    <w:link w:val="EndNoteBibliographyTitle"/>
    <w:rsid w:val="00B07543"/>
    <w:rPr>
      <w:rFonts w:ascii="Calibri" w:eastAsiaTheme="minorEastAsia" w:hAnsi="Calibri"/>
      <w:noProof/>
      <w:lang w:val="en-US" w:eastAsia="en-GB" w:bidi="en-US"/>
    </w:rPr>
  </w:style>
  <w:style w:type="character" w:styleId="Hyperlink">
    <w:name w:val="Hyperlink"/>
    <w:basedOn w:val="DefaultParagraphFont"/>
    <w:uiPriority w:val="99"/>
    <w:unhideWhenUsed/>
    <w:rsid w:val="00B0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Janet</dc:creator>
  <cp:lastModifiedBy>Robertson, Janet</cp:lastModifiedBy>
  <cp:revision>4</cp:revision>
  <dcterms:created xsi:type="dcterms:W3CDTF">2017-10-03T07:46:00Z</dcterms:created>
  <dcterms:modified xsi:type="dcterms:W3CDTF">2018-01-16T11:13:00Z</dcterms:modified>
</cp:coreProperties>
</file>