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CD057" w14:textId="40C977A5" w:rsidR="0021097F" w:rsidRDefault="005B103F" w:rsidP="0076412E">
      <w:pPr>
        <w:jc w:val="both"/>
      </w:pPr>
      <w:r w:rsidRPr="0021097F">
        <w:rPr>
          <w:noProof/>
          <w:lang w:val="en-GB" w:eastAsia="en-GB"/>
        </w:rPr>
        <mc:AlternateContent>
          <mc:Choice Requires="wps">
            <w:drawing>
              <wp:anchor distT="0" distB="0" distL="114300" distR="114300" simplePos="0" relativeHeight="251660288" behindDoc="0" locked="0" layoutInCell="1" allowOverlap="1" wp14:anchorId="031F41A1" wp14:editId="20D948C4">
                <wp:simplePos x="0" y="0"/>
                <wp:positionH relativeFrom="column">
                  <wp:posOffset>-692785</wp:posOffset>
                </wp:positionH>
                <wp:positionV relativeFrom="paragraph">
                  <wp:posOffset>7082790</wp:posOffset>
                </wp:positionV>
                <wp:extent cx="6667500" cy="10414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6667500" cy="1041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FC48B80" w14:textId="32703268" w:rsidR="00BA4ACA" w:rsidRPr="005B103F" w:rsidRDefault="00BA4ACA" w:rsidP="007A6A0F">
                            <w:r w:rsidRPr="005B103F">
                              <w:t>Amin Al-Astewani</w:t>
                            </w:r>
                          </w:p>
                          <w:p w14:paraId="47A8D13F" w14:textId="695341AC" w:rsidR="00BA4ACA" w:rsidRPr="005B103F" w:rsidRDefault="00BA4ACA" w:rsidP="007A6A0F">
                            <w:r w:rsidRPr="005B103F">
                              <w:t>Lecturer in Law</w:t>
                            </w:r>
                          </w:p>
                          <w:p w14:paraId="01968D7A" w14:textId="77777777" w:rsidR="00BA4ACA" w:rsidRPr="005B103F" w:rsidRDefault="00BA4ACA" w:rsidP="005B103F">
                            <w:r w:rsidRPr="005B103F">
                              <w:t>Lancaster Law School</w:t>
                            </w:r>
                          </w:p>
                          <w:p w14:paraId="72996E62" w14:textId="77777777" w:rsidR="00BA4ACA" w:rsidRPr="005B103F" w:rsidRDefault="00BA4ACA" w:rsidP="005B103F">
                            <w:r w:rsidRPr="005B103F">
                              <w:rPr>
                                <w:rFonts w:eastAsia="Times New Roman" w:cs="Times New Roman"/>
                                <w:lang w:val="en" w:eastAsia="en-GB"/>
                              </w:rPr>
                              <w:t>Tel: +44 (0)1524 593293</w:t>
                            </w:r>
                          </w:p>
                          <w:p w14:paraId="37103F56" w14:textId="769C7810" w:rsidR="00BA4ACA" w:rsidRPr="005B103F" w:rsidRDefault="00BA4ACA" w:rsidP="005B103F">
                            <w:hyperlink r:id="rId9" w:history="1">
                              <w:r w:rsidRPr="005B103F">
                                <w:rPr>
                                  <w:rFonts w:eastAsia="Times New Roman" w:cs="Times New Roman"/>
                                  <w:color w:val="0000FF"/>
                                  <w:u w:val="single"/>
                                  <w:lang w:val="en" w:eastAsia="en-GB"/>
                                </w:rPr>
                                <w:t>a.al-astewani@lancaster.ac.uk</w:t>
                              </w:r>
                            </w:hyperlink>
                            <w:r>
                              <w:rPr>
                                <w:rFonts w:eastAsia="Times New Roman" w:cs="Times New Roman"/>
                                <w:lang w:val="en" w:eastAsia="en-GB"/>
                              </w:rPr>
                              <w:t xml:space="preserve">                                                                                                            October 2016</w:t>
                            </w:r>
                          </w:p>
                          <w:p w14:paraId="154A956D" w14:textId="598CC776" w:rsidR="00BA4ACA" w:rsidRPr="001A0CBB" w:rsidRDefault="00BA4ACA" w:rsidP="005B103F">
                            <w:pPr>
                              <w:rPr>
                                <w:color w:val="B5121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55pt;margin-top:557.7pt;width:52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xfqg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" filled="f" stroked="f">
                <v:textbox>
                  <w:txbxContent>
                    <w:p w14:paraId="4FC48B80" w14:textId="32703268" w:rsidR="00BA4ACA" w:rsidRPr="005B103F" w:rsidRDefault="00BA4ACA" w:rsidP="007A6A0F">
                      <w:r w:rsidRPr="005B103F">
                        <w:t>Amin Al-Astewani</w:t>
                      </w:r>
                    </w:p>
                    <w:p w14:paraId="47A8D13F" w14:textId="695341AC" w:rsidR="00BA4ACA" w:rsidRPr="005B103F" w:rsidRDefault="00BA4ACA" w:rsidP="007A6A0F">
                      <w:r w:rsidRPr="005B103F">
                        <w:t>Lecturer in Law</w:t>
                      </w:r>
                    </w:p>
                    <w:p w14:paraId="01968D7A" w14:textId="77777777" w:rsidR="00BA4ACA" w:rsidRPr="005B103F" w:rsidRDefault="00BA4ACA" w:rsidP="005B103F">
                      <w:r w:rsidRPr="005B103F">
                        <w:t>Lancaster Law School</w:t>
                      </w:r>
                    </w:p>
                    <w:p w14:paraId="72996E62" w14:textId="77777777" w:rsidR="00BA4ACA" w:rsidRPr="005B103F" w:rsidRDefault="00BA4ACA" w:rsidP="005B103F">
                      <w:r w:rsidRPr="005B103F">
                        <w:rPr>
                          <w:rFonts w:eastAsia="Times New Roman" w:cs="Times New Roman"/>
                          <w:lang w:val="en" w:eastAsia="en-GB"/>
                        </w:rPr>
                        <w:t>Tel: +44 (0)1524 593293</w:t>
                      </w:r>
                    </w:p>
                    <w:p w14:paraId="37103F56" w14:textId="769C7810" w:rsidR="00BA4ACA" w:rsidRPr="005B103F" w:rsidRDefault="00BA4ACA" w:rsidP="005B103F">
                      <w:hyperlink r:id="rId10" w:history="1">
                        <w:r w:rsidRPr="005B103F">
                          <w:rPr>
                            <w:rFonts w:eastAsia="Times New Roman" w:cs="Times New Roman"/>
                            <w:color w:val="0000FF"/>
                            <w:u w:val="single"/>
                            <w:lang w:val="en" w:eastAsia="en-GB"/>
                          </w:rPr>
                          <w:t>a.al-astewani@lancaster.ac.uk</w:t>
                        </w:r>
                      </w:hyperlink>
                      <w:r>
                        <w:rPr>
                          <w:rFonts w:eastAsia="Times New Roman" w:cs="Times New Roman"/>
                          <w:lang w:val="en" w:eastAsia="en-GB"/>
                        </w:rPr>
                        <w:t xml:space="preserve">                                                                                                            October 2016</w:t>
                      </w:r>
                    </w:p>
                    <w:p w14:paraId="154A956D" w14:textId="598CC776" w:rsidR="00BA4ACA" w:rsidRPr="001A0CBB" w:rsidRDefault="00BA4ACA" w:rsidP="005B103F">
                      <w:pPr>
                        <w:rPr>
                          <w:color w:val="B5121B"/>
                        </w:rPr>
                      </w:pPr>
                    </w:p>
                  </w:txbxContent>
                </v:textbox>
                <w10:wrap type="square"/>
              </v:shape>
            </w:pict>
          </mc:Fallback>
        </mc:AlternateContent>
      </w:r>
      <w:r w:rsidRPr="0021097F">
        <w:rPr>
          <w:noProof/>
          <w:lang w:val="en-GB" w:eastAsia="en-GB"/>
        </w:rPr>
        <mc:AlternateContent>
          <mc:Choice Requires="wps">
            <w:drawing>
              <wp:anchor distT="0" distB="0" distL="114300" distR="114300" simplePos="0" relativeHeight="251659264" behindDoc="0" locked="0" layoutInCell="1" allowOverlap="1" wp14:anchorId="28612055" wp14:editId="0BFFD71A">
                <wp:simplePos x="0" y="0"/>
                <wp:positionH relativeFrom="column">
                  <wp:posOffset>-990600</wp:posOffset>
                </wp:positionH>
                <wp:positionV relativeFrom="paragraph">
                  <wp:posOffset>2981325</wp:posOffset>
                </wp:positionV>
                <wp:extent cx="6743700" cy="6477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74370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36C113" w14:textId="4C840D5E" w:rsidR="00BA4ACA" w:rsidRDefault="00BA4ACA" w:rsidP="005B103F">
                            <w:pPr>
                              <w:jc w:val="center"/>
                              <w:rPr>
                                <w:sz w:val="32"/>
                                <w:szCs w:val="32"/>
                              </w:rPr>
                            </w:pPr>
                            <w:r>
                              <w:rPr>
                                <w:sz w:val="32"/>
                                <w:szCs w:val="32"/>
                              </w:rPr>
                              <w:t xml:space="preserve">Home Affairs Committee Shariah Councils Inquiry: </w:t>
                            </w:r>
                          </w:p>
                          <w:p w14:paraId="3ED58AF8" w14:textId="57DA8AA0" w:rsidR="00BA4ACA" w:rsidRDefault="00BA4ACA" w:rsidP="005B103F">
                            <w:pPr>
                              <w:jc w:val="center"/>
                              <w:rPr>
                                <w:sz w:val="32"/>
                                <w:szCs w:val="32"/>
                              </w:rPr>
                            </w:pPr>
                            <w:r>
                              <w:rPr>
                                <w:sz w:val="32"/>
                                <w:szCs w:val="32"/>
                              </w:rPr>
                              <w:t>Submission of Written Evidence by Amin Al-Astewani</w:t>
                            </w:r>
                          </w:p>
                          <w:p w14:paraId="7E134041" w14:textId="72F471B6" w:rsidR="00BA4ACA" w:rsidRPr="001A0CBB" w:rsidRDefault="00BA4ACA" w:rsidP="007A6A0F">
                            <w:pPr>
                              <w:jc w:val="center"/>
                              <w:rPr>
                                <w:color w:val="B5121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8pt;margin-top:234.75pt;width:53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" filled="f" stroked="f">
                <v:textbox>
                  <w:txbxContent>
                    <w:p w14:paraId="6E36C113" w14:textId="4C840D5E" w:rsidR="00BA4ACA" w:rsidRDefault="00BA4ACA" w:rsidP="005B103F">
                      <w:pPr>
                        <w:jc w:val="center"/>
                        <w:rPr>
                          <w:sz w:val="32"/>
                          <w:szCs w:val="32"/>
                        </w:rPr>
                      </w:pPr>
                      <w:r>
                        <w:rPr>
                          <w:sz w:val="32"/>
                          <w:szCs w:val="32"/>
                        </w:rPr>
                        <w:t xml:space="preserve">Home Affairs Committee Shariah Councils Inquiry: </w:t>
                      </w:r>
                    </w:p>
                    <w:p w14:paraId="3ED58AF8" w14:textId="57DA8AA0" w:rsidR="00BA4ACA" w:rsidRDefault="00BA4ACA" w:rsidP="005B103F">
                      <w:pPr>
                        <w:jc w:val="center"/>
                        <w:rPr>
                          <w:sz w:val="32"/>
                          <w:szCs w:val="32"/>
                        </w:rPr>
                      </w:pPr>
                      <w:r>
                        <w:rPr>
                          <w:sz w:val="32"/>
                          <w:szCs w:val="32"/>
                        </w:rPr>
                        <w:t>Submission of Written Evidence by Amin Al-Astewani</w:t>
                      </w:r>
                    </w:p>
                    <w:p w14:paraId="7E134041" w14:textId="72F471B6" w:rsidR="00BA4ACA" w:rsidRPr="001A0CBB" w:rsidRDefault="00BA4ACA" w:rsidP="007A6A0F">
                      <w:pPr>
                        <w:jc w:val="center"/>
                        <w:rPr>
                          <w:color w:val="B5121B"/>
                          <w:sz w:val="32"/>
                          <w:szCs w:val="32"/>
                        </w:rPr>
                      </w:pPr>
                    </w:p>
                  </w:txbxContent>
                </v:textbox>
                <w10:wrap type="square"/>
              </v:shape>
            </w:pict>
          </mc:Fallback>
        </mc:AlternateContent>
      </w:r>
      <w:r w:rsidR="0021097F">
        <w:br w:type="page"/>
      </w:r>
    </w:p>
    <w:p w14:paraId="7631C7E4" w14:textId="77777777" w:rsidR="0021097F" w:rsidRDefault="0021097F" w:rsidP="0076412E">
      <w:pPr>
        <w:jc w:val="both"/>
      </w:pPr>
    </w:p>
    <w:p w14:paraId="63227B3E" w14:textId="77777777" w:rsidR="005B103F" w:rsidRDefault="005B103F" w:rsidP="0076412E">
      <w:pPr>
        <w:jc w:val="both"/>
        <w:rPr>
          <w:rFonts w:cstheme="majorHAnsi"/>
          <w:b/>
          <w:sz w:val="32"/>
          <w:szCs w:val="22"/>
        </w:rPr>
      </w:pPr>
    </w:p>
    <w:p w14:paraId="39E23CD3" w14:textId="36881FF9" w:rsidR="0021097F" w:rsidRPr="009468D0" w:rsidRDefault="005B103F" w:rsidP="0076412E">
      <w:pPr>
        <w:jc w:val="both"/>
        <w:rPr>
          <w:rFonts w:cstheme="majorHAnsi"/>
          <w:b/>
          <w:sz w:val="32"/>
          <w:szCs w:val="22"/>
        </w:rPr>
      </w:pPr>
      <w:r>
        <w:rPr>
          <w:rFonts w:cstheme="majorHAnsi"/>
          <w:b/>
          <w:sz w:val="32"/>
          <w:szCs w:val="22"/>
        </w:rPr>
        <w:t>Executive Summary</w:t>
      </w:r>
    </w:p>
    <w:p w14:paraId="37443A01" w14:textId="77777777" w:rsidR="0021097F" w:rsidRPr="0021097F" w:rsidRDefault="0021097F" w:rsidP="0076412E">
      <w:pPr>
        <w:jc w:val="both"/>
        <w:rPr>
          <w:rFonts w:ascii="Calibri" w:hAnsi="Calibri" w:cs="Calibri"/>
          <w:sz w:val="22"/>
          <w:szCs w:val="22"/>
        </w:rPr>
      </w:pPr>
    </w:p>
    <w:p w14:paraId="07981AE1" w14:textId="305A6752" w:rsidR="00A12F36" w:rsidRDefault="00D80D11" w:rsidP="0076412E">
      <w:pPr>
        <w:pStyle w:val="ListParagraph"/>
        <w:numPr>
          <w:ilvl w:val="0"/>
          <w:numId w:val="4"/>
        </w:numPr>
        <w:jc w:val="both"/>
        <w:rPr>
          <w:rFonts w:ascii="Calibri" w:hAnsi="Calibri" w:cs="Calibri"/>
          <w:sz w:val="22"/>
          <w:szCs w:val="22"/>
        </w:rPr>
      </w:pPr>
      <w:bookmarkStart w:id="0" w:name="_GoBack"/>
      <w:r>
        <w:rPr>
          <w:rFonts w:ascii="Calibri" w:hAnsi="Calibri" w:cs="Calibri"/>
          <w:sz w:val="22"/>
          <w:szCs w:val="22"/>
        </w:rPr>
        <w:t>Very little research has been conducted on the legal status of Shariah councils in the UK</w:t>
      </w:r>
    </w:p>
    <w:p w14:paraId="108DF0C5" w14:textId="1EBBA014" w:rsidR="00D80D11" w:rsidRDefault="00D80D11" w:rsidP="0076412E">
      <w:pPr>
        <w:pStyle w:val="ListParagraph"/>
        <w:numPr>
          <w:ilvl w:val="0"/>
          <w:numId w:val="4"/>
        </w:numPr>
        <w:jc w:val="both"/>
        <w:rPr>
          <w:rFonts w:ascii="Calibri" w:hAnsi="Calibri" w:cs="Calibri"/>
          <w:sz w:val="22"/>
          <w:szCs w:val="22"/>
        </w:rPr>
      </w:pPr>
      <w:r>
        <w:rPr>
          <w:rFonts w:ascii="Calibri" w:hAnsi="Calibri" w:cs="Calibri"/>
          <w:sz w:val="22"/>
          <w:szCs w:val="22"/>
        </w:rPr>
        <w:t>The default position of the law is that the decisions of Shariah councils have no legal force</w:t>
      </w:r>
    </w:p>
    <w:p w14:paraId="173A7FA5" w14:textId="7B51231A" w:rsidR="00D80D11" w:rsidRDefault="00D80D11" w:rsidP="0076412E">
      <w:pPr>
        <w:pStyle w:val="ListParagraph"/>
        <w:numPr>
          <w:ilvl w:val="0"/>
          <w:numId w:val="4"/>
        </w:numPr>
        <w:jc w:val="both"/>
        <w:rPr>
          <w:rFonts w:ascii="Calibri" w:hAnsi="Calibri" w:cs="Calibri"/>
          <w:sz w:val="22"/>
          <w:szCs w:val="22"/>
        </w:rPr>
      </w:pPr>
      <w:r>
        <w:rPr>
          <w:rFonts w:ascii="Calibri" w:hAnsi="Calibri" w:cs="Calibri"/>
          <w:sz w:val="22"/>
          <w:szCs w:val="22"/>
        </w:rPr>
        <w:t xml:space="preserve">The English legal system does however provide two exceptional avenues for Shariah councils to accrue legal </w:t>
      </w:r>
      <w:r w:rsidR="00BA4ACA">
        <w:rPr>
          <w:rFonts w:ascii="Calibri" w:hAnsi="Calibri" w:cs="Calibri"/>
          <w:sz w:val="22"/>
          <w:szCs w:val="22"/>
        </w:rPr>
        <w:t>force</w:t>
      </w:r>
      <w:r>
        <w:rPr>
          <w:rFonts w:ascii="Calibri" w:hAnsi="Calibri" w:cs="Calibri"/>
          <w:sz w:val="22"/>
          <w:szCs w:val="22"/>
        </w:rPr>
        <w:t>. One has been established by case-law, and the other has been established by the Arbitration Act 1996</w:t>
      </w:r>
    </w:p>
    <w:p w14:paraId="7B483323" w14:textId="3CEF1CB2" w:rsidR="00AF25D7" w:rsidRPr="00BA4ACA" w:rsidRDefault="00D80D11" w:rsidP="0076412E">
      <w:pPr>
        <w:pStyle w:val="ListParagraph"/>
        <w:numPr>
          <w:ilvl w:val="0"/>
          <w:numId w:val="4"/>
        </w:numPr>
        <w:jc w:val="both"/>
        <w:rPr>
          <w:rFonts w:ascii="Calibri" w:hAnsi="Calibri" w:cs="Calibri"/>
          <w:sz w:val="22"/>
          <w:szCs w:val="22"/>
        </w:rPr>
      </w:pPr>
      <w:r w:rsidRPr="00BA4ACA">
        <w:rPr>
          <w:rFonts w:ascii="Calibri" w:hAnsi="Calibri" w:cs="Calibri"/>
          <w:sz w:val="22"/>
          <w:szCs w:val="22"/>
        </w:rPr>
        <w:t>Shariah councils seem to be well aware of their legal status</w:t>
      </w:r>
      <w:r w:rsidR="00BA4ACA">
        <w:rPr>
          <w:rFonts w:ascii="Calibri" w:hAnsi="Calibri" w:cs="Calibri"/>
          <w:sz w:val="22"/>
          <w:szCs w:val="22"/>
        </w:rPr>
        <w:t xml:space="preserve"> </w:t>
      </w:r>
    </w:p>
    <w:bookmarkEnd w:id="0"/>
    <w:p w14:paraId="341FA081" w14:textId="77777777" w:rsidR="005B103F" w:rsidRDefault="005B103F" w:rsidP="0076412E">
      <w:pPr>
        <w:jc w:val="both"/>
        <w:rPr>
          <w:rFonts w:ascii="Calibri" w:hAnsi="Calibri" w:cs="Calibri"/>
          <w:sz w:val="22"/>
          <w:szCs w:val="22"/>
        </w:rPr>
      </w:pPr>
    </w:p>
    <w:p w14:paraId="2DF1D742" w14:textId="5C40679C" w:rsidR="005B103F" w:rsidRPr="00D53695" w:rsidRDefault="005B103F" w:rsidP="0076412E">
      <w:pPr>
        <w:jc w:val="both"/>
        <w:rPr>
          <w:rFonts w:cstheme="majorHAnsi"/>
          <w:b/>
          <w:sz w:val="32"/>
          <w:szCs w:val="22"/>
        </w:rPr>
      </w:pPr>
      <w:r>
        <w:rPr>
          <w:rFonts w:cstheme="majorHAnsi"/>
          <w:b/>
          <w:sz w:val="32"/>
          <w:szCs w:val="22"/>
        </w:rPr>
        <w:t>Written Evidence</w:t>
      </w:r>
    </w:p>
    <w:p w14:paraId="3C5D5213" w14:textId="77777777" w:rsidR="005B103F" w:rsidRDefault="005B103F" w:rsidP="0076412E">
      <w:pPr>
        <w:jc w:val="both"/>
        <w:rPr>
          <w:rFonts w:ascii="Calibri" w:hAnsi="Calibri" w:cs="Calibri"/>
          <w:sz w:val="22"/>
          <w:szCs w:val="22"/>
        </w:rPr>
      </w:pPr>
    </w:p>
    <w:p w14:paraId="50345D95" w14:textId="51D7AF79" w:rsidR="005B103F" w:rsidRPr="00D80D11" w:rsidRDefault="0043452D" w:rsidP="0076412E">
      <w:pPr>
        <w:jc w:val="both"/>
        <w:rPr>
          <w:rFonts w:ascii="Calibri" w:hAnsi="Calibri" w:cs="Calibri"/>
          <w:sz w:val="22"/>
          <w:szCs w:val="22"/>
        </w:rPr>
      </w:pPr>
      <w:r w:rsidRPr="00D80D11">
        <w:rPr>
          <w:rFonts w:ascii="Calibri" w:hAnsi="Calibri" w:cs="Calibri"/>
          <w:sz w:val="22"/>
          <w:szCs w:val="22"/>
        </w:rPr>
        <w:t xml:space="preserve">1.  This written evidence is based upon </w:t>
      </w:r>
      <w:r w:rsidR="0089620C" w:rsidRPr="00D80D11">
        <w:rPr>
          <w:rFonts w:ascii="Calibri" w:hAnsi="Calibri" w:cs="Calibri"/>
          <w:sz w:val="22"/>
          <w:szCs w:val="22"/>
        </w:rPr>
        <w:t xml:space="preserve">my doctoral </w:t>
      </w:r>
      <w:r w:rsidR="00C12CAB" w:rsidRPr="00D80D11">
        <w:rPr>
          <w:rFonts w:ascii="Calibri" w:hAnsi="Calibri" w:cs="Calibri"/>
          <w:sz w:val="22"/>
          <w:szCs w:val="22"/>
        </w:rPr>
        <w:t>research</w:t>
      </w:r>
      <w:r w:rsidR="0089620C" w:rsidRPr="00D80D11">
        <w:rPr>
          <w:rFonts w:ascii="Calibri" w:hAnsi="Calibri" w:cs="Calibri"/>
          <w:sz w:val="22"/>
          <w:szCs w:val="22"/>
        </w:rPr>
        <w:t xml:space="preserve"> conducted </w:t>
      </w:r>
      <w:r w:rsidR="00C12CAB" w:rsidRPr="00D80D11">
        <w:rPr>
          <w:rFonts w:ascii="Calibri" w:hAnsi="Calibri" w:cs="Calibri"/>
          <w:sz w:val="22"/>
          <w:szCs w:val="22"/>
        </w:rPr>
        <w:t xml:space="preserve">between 2013 and 2016 </w:t>
      </w:r>
      <w:r w:rsidR="0089620C" w:rsidRPr="00D80D11">
        <w:rPr>
          <w:rFonts w:ascii="Calibri" w:hAnsi="Calibri" w:cs="Calibri"/>
          <w:sz w:val="22"/>
          <w:szCs w:val="22"/>
        </w:rPr>
        <w:t>at the University of Manchester Law School</w:t>
      </w:r>
      <w:r w:rsidR="00C12CAB" w:rsidRPr="00D80D11">
        <w:rPr>
          <w:rFonts w:ascii="Calibri" w:hAnsi="Calibri" w:cs="Calibri"/>
          <w:sz w:val="22"/>
          <w:szCs w:val="22"/>
        </w:rPr>
        <w:t xml:space="preserve"> titled </w:t>
      </w:r>
      <w:r w:rsidR="0089620C" w:rsidRPr="00D80D11">
        <w:rPr>
          <w:rFonts w:ascii="Calibri" w:hAnsi="Calibri" w:cs="Calibri"/>
          <w:sz w:val="22"/>
          <w:szCs w:val="22"/>
        </w:rPr>
        <w:t xml:space="preserve">“Shariah Tribunals in Britain: A Critical Socio-Legal of their Role in Serving the Religious Needs of the British Muslim Community”. </w:t>
      </w:r>
      <w:r w:rsidR="0076412E" w:rsidRPr="00D80D11">
        <w:rPr>
          <w:rFonts w:ascii="Calibri" w:hAnsi="Calibri" w:cs="Calibri"/>
          <w:sz w:val="22"/>
          <w:szCs w:val="22"/>
        </w:rPr>
        <w:t>This</w:t>
      </w:r>
      <w:r w:rsidR="00C12CAB" w:rsidRPr="00D80D11">
        <w:rPr>
          <w:rFonts w:ascii="Calibri" w:hAnsi="Calibri" w:cs="Calibri"/>
          <w:sz w:val="22"/>
          <w:szCs w:val="22"/>
        </w:rPr>
        <w:t xml:space="preserve"> research has not yet been published.</w:t>
      </w:r>
    </w:p>
    <w:p w14:paraId="10098888" w14:textId="77777777" w:rsidR="005B103F" w:rsidRPr="00D80D11" w:rsidRDefault="005B103F" w:rsidP="0076412E">
      <w:pPr>
        <w:jc w:val="both"/>
        <w:rPr>
          <w:rFonts w:ascii="Calibri" w:hAnsi="Calibri" w:cs="Calibri"/>
          <w:sz w:val="22"/>
          <w:szCs w:val="22"/>
        </w:rPr>
      </w:pPr>
    </w:p>
    <w:p w14:paraId="536A5CBD" w14:textId="0333B701" w:rsidR="005B103F" w:rsidRPr="00D80D11" w:rsidRDefault="00C12CAB" w:rsidP="0076412E">
      <w:pPr>
        <w:jc w:val="both"/>
        <w:rPr>
          <w:rFonts w:ascii="Calibri" w:hAnsi="Calibri" w:cs="Calibri"/>
          <w:sz w:val="22"/>
          <w:szCs w:val="22"/>
        </w:rPr>
      </w:pPr>
      <w:r w:rsidRPr="00D80D11">
        <w:rPr>
          <w:rFonts w:ascii="Calibri" w:hAnsi="Calibri" w:cs="Calibri"/>
          <w:sz w:val="22"/>
          <w:szCs w:val="22"/>
        </w:rPr>
        <w:t xml:space="preserve">2. Very little research has been undertaken on the legal status of Shariah councils and their </w:t>
      </w:r>
      <w:r w:rsidR="0076412E" w:rsidRPr="00D80D11">
        <w:rPr>
          <w:rFonts w:ascii="Calibri" w:hAnsi="Calibri" w:cs="Calibri"/>
          <w:sz w:val="22"/>
          <w:szCs w:val="22"/>
        </w:rPr>
        <w:t>relationship</w:t>
      </w:r>
      <w:r w:rsidRPr="00D80D11">
        <w:rPr>
          <w:rFonts w:ascii="Calibri" w:hAnsi="Calibri" w:cs="Calibri"/>
          <w:sz w:val="22"/>
          <w:szCs w:val="22"/>
        </w:rPr>
        <w:t xml:space="preserve"> with the English legal system. Academic literature has instead focused on the </w:t>
      </w:r>
      <w:r w:rsidR="0076412E" w:rsidRPr="00D80D11">
        <w:rPr>
          <w:rFonts w:ascii="Calibri" w:hAnsi="Calibri" w:cs="Calibri"/>
          <w:sz w:val="22"/>
          <w:szCs w:val="22"/>
        </w:rPr>
        <w:t>in</w:t>
      </w:r>
      <w:r w:rsidRPr="00D80D11">
        <w:rPr>
          <w:rFonts w:ascii="Calibri" w:hAnsi="Calibri" w:cs="Calibri"/>
          <w:sz w:val="22"/>
          <w:szCs w:val="22"/>
        </w:rPr>
        <w:t xml:space="preserve">compatibility of Islamic law with Western liberal ideals and the consequent impact this may have on members of the community who use Shariah councils. </w:t>
      </w:r>
      <w:r w:rsidR="0076412E" w:rsidRPr="00D80D11">
        <w:rPr>
          <w:rFonts w:ascii="Calibri" w:hAnsi="Calibri" w:cs="Calibri"/>
          <w:sz w:val="22"/>
          <w:szCs w:val="22"/>
        </w:rPr>
        <w:t xml:space="preserve">This written evidence will focus </w:t>
      </w:r>
      <w:r w:rsidR="00BA4ACA">
        <w:rPr>
          <w:rFonts w:ascii="Calibri" w:hAnsi="Calibri" w:cs="Calibri"/>
          <w:sz w:val="22"/>
          <w:szCs w:val="22"/>
        </w:rPr>
        <w:t xml:space="preserve">solely </w:t>
      </w:r>
      <w:r w:rsidR="0076412E" w:rsidRPr="00D80D11">
        <w:rPr>
          <w:rFonts w:ascii="Calibri" w:hAnsi="Calibri" w:cs="Calibri"/>
          <w:sz w:val="22"/>
          <w:szCs w:val="22"/>
        </w:rPr>
        <w:t xml:space="preserve">on the legal status of Shariah councils, with the hope that the legal analysis provided will </w:t>
      </w:r>
      <w:r w:rsidR="00BA4ACA">
        <w:rPr>
          <w:rFonts w:ascii="Calibri" w:hAnsi="Calibri" w:cs="Calibri"/>
          <w:sz w:val="22"/>
          <w:szCs w:val="22"/>
        </w:rPr>
        <w:t xml:space="preserve">be </w:t>
      </w:r>
      <w:r w:rsidR="0076412E" w:rsidRPr="00D80D11">
        <w:rPr>
          <w:rFonts w:ascii="Calibri" w:hAnsi="Calibri" w:cs="Calibri"/>
          <w:sz w:val="22"/>
          <w:szCs w:val="22"/>
        </w:rPr>
        <w:t>of benefit to the inquiry.</w:t>
      </w:r>
    </w:p>
    <w:p w14:paraId="58C793F5" w14:textId="77777777" w:rsidR="005B103F" w:rsidRPr="00D80D11" w:rsidRDefault="005B103F" w:rsidP="0076412E">
      <w:pPr>
        <w:jc w:val="both"/>
        <w:rPr>
          <w:rFonts w:ascii="Calibri" w:hAnsi="Calibri" w:cs="Calibri"/>
          <w:sz w:val="22"/>
          <w:szCs w:val="22"/>
        </w:rPr>
      </w:pPr>
    </w:p>
    <w:p w14:paraId="3F13AC46" w14:textId="7CA29D38" w:rsidR="005B103F" w:rsidRPr="00D80D11" w:rsidRDefault="005B103F" w:rsidP="0076412E">
      <w:pPr>
        <w:jc w:val="both"/>
        <w:rPr>
          <w:rFonts w:ascii="Calibri" w:hAnsi="Calibri" w:cs="Calibri"/>
          <w:sz w:val="22"/>
          <w:szCs w:val="22"/>
        </w:rPr>
      </w:pPr>
      <w:r w:rsidRPr="00D80D11">
        <w:rPr>
          <w:rFonts w:ascii="Calibri" w:hAnsi="Calibri" w:cs="Calibri"/>
          <w:sz w:val="22"/>
          <w:szCs w:val="22"/>
        </w:rPr>
        <w:t>3.</w:t>
      </w:r>
      <w:r w:rsidR="0076412E" w:rsidRPr="00D80D11">
        <w:rPr>
          <w:rFonts w:ascii="Calibri" w:hAnsi="Calibri" w:cs="Calibri"/>
          <w:sz w:val="22"/>
          <w:szCs w:val="22"/>
        </w:rPr>
        <w:t xml:space="preserve"> Religious tribunals have existed in Britain for hundreds of years. These tribunals function on a non-statutory basis and are not considered part of the civil court system.</w:t>
      </w:r>
      <w:r w:rsidR="00CB3311" w:rsidRPr="00D80D11">
        <w:rPr>
          <w:rStyle w:val="FootnoteReference"/>
          <w:rFonts w:ascii="Calibri" w:hAnsi="Calibri" w:cs="Calibri"/>
          <w:sz w:val="22"/>
          <w:szCs w:val="22"/>
        </w:rPr>
        <w:footnoteReference w:id="1"/>
      </w:r>
      <w:r w:rsidR="0076412E" w:rsidRPr="00D80D11">
        <w:rPr>
          <w:rFonts w:ascii="Calibri" w:hAnsi="Calibri" w:cs="Calibri"/>
          <w:sz w:val="22"/>
          <w:szCs w:val="22"/>
        </w:rPr>
        <w:t xml:space="preserve"> This includes Roman Catholic Church tribunals, whose decisions are not recognized at civil law. The only exception </w:t>
      </w:r>
      <w:r w:rsidR="00364DF6" w:rsidRPr="00D80D11">
        <w:rPr>
          <w:rFonts w:ascii="Calibri" w:hAnsi="Calibri" w:cs="Calibri"/>
          <w:sz w:val="22"/>
          <w:szCs w:val="22"/>
        </w:rPr>
        <w:t xml:space="preserve">to this rule is the ecclesiastical courts belonging to the Church of England, which function on a statutory basis and are </w:t>
      </w:r>
      <w:r w:rsidR="00CB3311" w:rsidRPr="00D80D11">
        <w:rPr>
          <w:rFonts w:ascii="Calibri" w:hAnsi="Calibri" w:cs="Calibri"/>
          <w:sz w:val="22"/>
          <w:szCs w:val="22"/>
        </w:rPr>
        <w:t>considered a formal</w:t>
      </w:r>
      <w:r w:rsidR="00364DF6" w:rsidRPr="00D80D11">
        <w:rPr>
          <w:rFonts w:ascii="Calibri" w:hAnsi="Calibri" w:cs="Calibri"/>
          <w:sz w:val="22"/>
          <w:szCs w:val="22"/>
        </w:rPr>
        <w:t xml:space="preserve"> part of the English judicial system. </w:t>
      </w:r>
    </w:p>
    <w:p w14:paraId="7B8413F0" w14:textId="77777777" w:rsidR="005B103F" w:rsidRPr="00D80D11" w:rsidRDefault="005B103F" w:rsidP="0076412E">
      <w:pPr>
        <w:jc w:val="both"/>
        <w:rPr>
          <w:rFonts w:ascii="Calibri" w:hAnsi="Calibri" w:cs="Calibri"/>
          <w:sz w:val="22"/>
          <w:szCs w:val="22"/>
        </w:rPr>
      </w:pPr>
    </w:p>
    <w:p w14:paraId="4A8508C1" w14:textId="5D129C4E" w:rsidR="005B103F" w:rsidRPr="00D80D11" w:rsidRDefault="005B103F" w:rsidP="000E54A3">
      <w:pPr>
        <w:jc w:val="both"/>
        <w:rPr>
          <w:rFonts w:ascii="Calibri" w:hAnsi="Calibri" w:cs="Calibri"/>
          <w:sz w:val="22"/>
          <w:szCs w:val="22"/>
        </w:rPr>
      </w:pPr>
      <w:r w:rsidRPr="00D80D11">
        <w:rPr>
          <w:rFonts w:ascii="Calibri" w:hAnsi="Calibri" w:cs="Calibri"/>
          <w:sz w:val="22"/>
          <w:szCs w:val="22"/>
        </w:rPr>
        <w:t>4.</w:t>
      </w:r>
      <w:r w:rsidR="00364DF6" w:rsidRPr="00D80D11">
        <w:rPr>
          <w:rFonts w:ascii="Calibri" w:hAnsi="Calibri" w:cs="Calibri"/>
          <w:sz w:val="22"/>
          <w:szCs w:val="22"/>
        </w:rPr>
        <w:t xml:space="preserve"> The default legal position is that the decisions of Shariah councils have no legal </w:t>
      </w:r>
      <w:r w:rsidR="00CB3311" w:rsidRPr="00D80D11">
        <w:rPr>
          <w:rFonts w:ascii="Calibri" w:hAnsi="Calibri" w:cs="Calibri"/>
          <w:sz w:val="22"/>
          <w:szCs w:val="22"/>
        </w:rPr>
        <w:t>force</w:t>
      </w:r>
      <w:r w:rsidR="00364DF6" w:rsidRPr="00D80D11">
        <w:rPr>
          <w:rFonts w:ascii="Calibri" w:hAnsi="Calibri" w:cs="Calibri"/>
          <w:sz w:val="22"/>
          <w:szCs w:val="22"/>
        </w:rPr>
        <w:t xml:space="preserve"> or jurisdiction.</w:t>
      </w:r>
      <w:r w:rsidR="00CB3311" w:rsidRPr="00D80D11">
        <w:rPr>
          <w:rStyle w:val="FootnoteReference"/>
          <w:rFonts w:ascii="Calibri" w:hAnsi="Calibri" w:cs="Calibri"/>
          <w:sz w:val="22"/>
          <w:szCs w:val="22"/>
        </w:rPr>
        <w:footnoteReference w:id="2"/>
      </w:r>
      <w:r w:rsidR="00364DF6" w:rsidRPr="00D80D11">
        <w:rPr>
          <w:rFonts w:ascii="Calibri" w:hAnsi="Calibri" w:cs="Calibri"/>
          <w:sz w:val="22"/>
          <w:szCs w:val="22"/>
        </w:rPr>
        <w:t xml:space="preserve"> Members of the community who approach them for a religious divorce do so completely voluntarily and cannot be summoned to do so. If a Muslim </w:t>
      </w:r>
      <w:r w:rsidR="000E54A3" w:rsidRPr="00D80D11">
        <w:rPr>
          <w:rFonts w:ascii="Calibri" w:hAnsi="Calibri" w:cs="Calibri"/>
          <w:sz w:val="22"/>
          <w:szCs w:val="22"/>
        </w:rPr>
        <w:t>woman</w:t>
      </w:r>
      <w:r w:rsidR="00364DF6" w:rsidRPr="00D80D11">
        <w:rPr>
          <w:rFonts w:ascii="Calibri" w:hAnsi="Calibri" w:cs="Calibri"/>
          <w:sz w:val="22"/>
          <w:szCs w:val="22"/>
        </w:rPr>
        <w:t xml:space="preserve"> for example did not want to resolve her divorce according to Islamic law as per the wish of her husband, she is completely free to file a claim in the English courts where English divorce law will trump Islamic divorce law regardless of the husband’s desires, as occurred in the unreported case of </w:t>
      </w:r>
      <w:r w:rsidR="00364DF6" w:rsidRPr="00D80D11">
        <w:rPr>
          <w:rFonts w:ascii="Calibri" w:hAnsi="Calibri" w:cs="Calibri"/>
          <w:i/>
          <w:sz w:val="22"/>
          <w:szCs w:val="22"/>
        </w:rPr>
        <w:t>Al–Saffar v Al–Saffar</w:t>
      </w:r>
      <w:r w:rsidR="000E54A3" w:rsidRPr="00D80D11">
        <w:rPr>
          <w:rFonts w:ascii="Calibri" w:hAnsi="Calibri" w:cs="Calibri"/>
          <w:sz w:val="22"/>
          <w:szCs w:val="22"/>
        </w:rPr>
        <w:t>.</w:t>
      </w:r>
      <w:r w:rsidR="00CB3311" w:rsidRPr="00D80D11">
        <w:rPr>
          <w:rStyle w:val="FootnoteReference"/>
          <w:rFonts w:ascii="Calibri" w:hAnsi="Calibri" w:cs="Calibri"/>
          <w:sz w:val="22"/>
          <w:szCs w:val="22"/>
        </w:rPr>
        <w:footnoteReference w:id="3"/>
      </w:r>
      <w:r w:rsidR="000E54A3" w:rsidRPr="00D80D11">
        <w:rPr>
          <w:rFonts w:ascii="Calibri" w:hAnsi="Calibri" w:cs="Calibri"/>
          <w:sz w:val="22"/>
          <w:szCs w:val="22"/>
        </w:rPr>
        <w:t xml:space="preserve"> In this respect the jurisdiction of </w:t>
      </w:r>
      <w:r w:rsidR="00CB3311" w:rsidRPr="00D80D11">
        <w:rPr>
          <w:rFonts w:ascii="Calibri" w:hAnsi="Calibri" w:cs="Calibri"/>
          <w:sz w:val="22"/>
          <w:szCs w:val="22"/>
        </w:rPr>
        <w:t>Shariah councils</w:t>
      </w:r>
      <w:r w:rsidR="000E54A3" w:rsidRPr="00D80D11">
        <w:rPr>
          <w:rFonts w:ascii="Calibri" w:hAnsi="Calibri" w:cs="Calibri"/>
          <w:sz w:val="22"/>
          <w:szCs w:val="22"/>
        </w:rPr>
        <w:t xml:space="preserve"> relies completely on the members of the </w:t>
      </w:r>
      <w:r w:rsidR="00CB3311" w:rsidRPr="00D80D11">
        <w:rPr>
          <w:rFonts w:ascii="Calibri" w:hAnsi="Calibri" w:cs="Calibri"/>
          <w:sz w:val="22"/>
          <w:szCs w:val="22"/>
        </w:rPr>
        <w:t xml:space="preserve">Muslim </w:t>
      </w:r>
      <w:r w:rsidR="000E54A3" w:rsidRPr="00D80D11">
        <w:rPr>
          <w:rFonts w:ascii="Calibri" w:hAnsi="Calibri" w:cs="Calibri"/>
          <w:sz w:val="22"/>
          <w:szCs w:val="22"/>
        </w:rPr>
        <w:t>community themselves, who voluntarily decide to accept the religious jurisdiction of such institutions by virtue of the services they are able to provide.</w:t>
      </w:r>
    </w:p>
    <w:p w14:paraId="14FDDAA5" w14:textId="77777777" w:rsidR="005B103F" w:rsidRPr="00D80D11" w:rsidRDefault="005B103F" w:rsidP="0076412E">
      <w:pPr>
        <w:jc w:val="both"/>
        <w:rPr>
          <w:rFonts w:ascii="Calibri" w:hAnsi="Calibri" w:cs="Calibri"/>
          <w:sz w:val="22"/>
          <w:szCs w:val="22"/>
        </w:rPr>
      </w:pPr>
    </w:p>
    <w:p w14:paraId="72004DDE" w14:textId="77777777" w:rsidR="00BA4ACA" w:rsidRDefault="00BA4ACA" w:rsidP="00A4472A">
      <w:pPr>
        <w:autoSpaceDE w:val="0"/>
        <w:autoSpaceDN w:val="0"/>
        <w:adjustRightInd w:val="0"/>
        <w:rPr>
          <w:rFonts w:ascii="Calibri" w:hAnsi="Calibri" w:cs="Calibri"/>
          <w:sz w:val="22"/>
          <w:szCs w:val="22"/>
        </w:rPr>
      </w:pPr>
    </w:p>
    <w:p w14:paraId="10B839CF" w14:textId="77777777" w:rsidR="00BA4ACA" w:rsidRDefault="00BA4ACA" w:rsidP="00A4472A">
      <w:pPr>
        <w:autoSpaceDE w:val="0"/>
        <w:autoSpaceDN w:val="0"/>
        <w:adjustRightInd w:val="0"/>
        <w:rPr>
          <w:rFonts w:ascii="Calibri" w:hAnsi="Calibri" w:cs="Calibri"/>
          <w:sz w:val="22"/>
          <w:szCs w:val="22"/>
        </w:rPr>
      </w:pPr>
    </w:p>
    <w:p w14:paraId="6AE996CE" w14:textId="068E83DC" w:rsidR="00A4472A" w:rsidRPr="00D80D11" w:rsidRDefault="005B103F" w:rsidP="00A4472A">
      <w:pPr>
        <w:autoSpaceDE w:val="0"/>
        <w:autoSpaceDN w:val="0"/>
        <w:adjustRightInd w:val="0"/>
        <w:rPr>
          <w:rFonts w:ascii="Calibri" w:hAnsi="Calibri" w:cs="Calibri"/>
          <w:i/>
          <w:sz w:val="22"/>
          <w:szCs w:val="22"/>
        </w:rPr>
      </w:pPr>
      <w:r w:rsidRPr="00D80D11">
        <w:rPr>
          <w:rFonts w:ascii="Calibri" w:hAnsi="Calibri" w:cs="Calibri"/>
          <w:sz w:val="22"/>
          <w:szCs w:val="22"/>
        </w:rPr>
        <w:lastRenderedPageBreak/>
        <w:t>5.</w:t>
      </w:r>
      <w:r w:rsidR="00364DF6" w:rsidRPr="00D80D11">
        <w:rPr>
          <w:rFonts w:ascii="Calibri" w:hAnsi="Calibri" w:cs="Calibri"/>
          <w:sz w:val="22"/>
          <w:szCs w:val="22"/>
        </w:rPr>
        <w:t xml:space="preserve"> </w:t>
      </w:r>
      <w:r w:rsidR="00CB3311" w:rsidRPr="00D80D11">
        <w:rPr>
          <w:rFonts w:ascii="Calibri" w:hAnsi="Calibri" w:cs="Calibri"/>
          <w:sz w:val="22"/>
          <w:szCs w:val="22"/>
        </w:rPr>
        <w:t xml:space="preserve">Although the default legal position is that the decisions of Shariah councils have no legal force, English law does provide two exceptional avenues for such decisions to accrue legal status. The first avenue is provided by contract law and stems from the case of </w:t>
      </w:r>
      <w:r w:rsidR="00CB3311" w:rsidRPr="00D80D11">
        <w:rPr>
          <w:rFonts w:ascii="Calibri" w:hAnsi="Calibri" w:cs="Calibri"/>
          <w:i/>
          <w:sz w:val="22"/>
          <w:szCs w:val="22"/>
        </w:rPr>
        <w:t>Shahnaz v Rizwan</w:t>
      </w:r>
      <w:r w:rsidR="00CB3311" w:rsidRPr="00D80D11">
        <w:rPr>
          <w:rFonts w:ascii="Calibri" w:hAnsi="Calibri" w:cs="Calibri"/>
          <w:sz w:val="22"/>
          <w:szCs w:val="22"/>
        </w:rPr>
        <w:t>.</w:t>
      </w:r>
      <w:r w:rsidR="00CB3311" w:rsidRPr="00D80D11">
        <w:rPr>
          <w:rStyle w:val="FootnoteReference"/>
          <w:rFonts w:ascii="Calibri" w:hAnsi="Calibri" w:cs="Calibri"/>
          <w:sz w:val="22"/>
          <w:szCs w:val="22"/>
        </w:rPr>
        <w:footnoteReference w:id="4"/>
      </w:r>
      <w:r w:rsidR="00CB3311" w:rsidRPr="00D80D11">
        <w:rPr>
          <w:rFonts w:ascii="Calibri" w:hAnsi="Calibri" w:cs="Calibri"/>
          <w:sz w:val="22"/>
          <w:szCs w:val="22"/>
        </w:rPr>
        <w:t xml:space="preserve"> If a decision issued by a Shariah council relates to financial matters, it will be given legal effect for the purposes of contract law. Both parties must however have consented to the decision of the Shariah council, a qualification established by Rix J in </w:t>
      </w:r>
      <w:r w:rsidR="00CB3311" w:rsidRPr="00D80D11">
        <w:rPr>
          <w:rFonts w:ascii="Calibri" w:hAnsi="Calibri" w:cs="Calibri"/>
          <w:i/>
          <w:sz w:val="22"/>
          <w:szCs w:val="22"/>
        </w:rPr>
        <w:t>Al-Midani v Al-</w:t>
      </w:r>
    </w:p>
    <w:p w14:paraId="4C66BAC7" w14:textId="68A7CBF8" w:rsidR="00A4472A" w:rsidRPr="00D80D11" w:rsidRDefault="00CB3311" w:rsidP="00A4472A">
      <w:pPr>
        <w:autoSpaceDE w:val="0"/>
        <w:autoSpaceDN w:val="0"/>
        <w:adjustRightInd w:val="0"/>
        <w:rPr>
          <w:rFonts w:ascii="Calibri" w:hAnsi="Calibri" w:cs="Calibri"/>
          <w:sz w:val="22"/>
          <w:szCs w:val="22"/>
        </w:rPr>
      </w:pPr>
      <w:r w:rsidRPr="00D80D11">
        <w:rPr>
          <w:rFonts w:ascii="Calibri" w:hAnsi="Calibri" w:cs="Calibri"/>
          <w:i/>
          <w:sz w:val="22"/>
          <w:szCs w:val="22"/>
        </w:rPr>
        <w:t>Midani</w:t>
      </w:r>
      <w:r w:rsidRPr="00D80D11">
        <w:rPr>
          <w:rFonts w:ascii="Calibri" w:hAnsi="Calibri" w:cs="Calibri"/>
          <w:sz w:val="22"/>
          <w:szCs w:val="22"/>
        </w:rPr>
        <w:t>,</w:t>
      </w:r>
      <w:r w:rsidRPr="00D80D11">
        <w:rPr>
          <w:rStyle w:val="FootnoteReference"/>
          <w:rFonts w:ascii="Calibri" w:hAnsi="Calibri" w:cs="Calibri"/>
          <w:sz w:val="22"/>
          <w:szCs w:val="22"/>
        </w:rPr>
        <w:footnoteReference w:id="5"/>
      </w:r>
      <w:r w:rsidRPr="00D80D11">
        <w:rPr>
          <w:rFonts w:ascii="Calibri" w:hAnsi="Calibri" w:cs="Calibri"/>
          <w:sz w:val="22"/>
          <w:szCs w:val="22"/>
        </w:rPr>
        <w:t xml:space="preserve"> the first ever reported case to consider the legal status of a British Shariah council.</w:t>
      </w:r>
      <w:r w:rsidR="00A4472A" w:rsidRPr="00D80D11">
        <w:rPr>
          <w:rFonts w:ascii="Calibri" w:hAnsi="Calibri" w:cs="Calibri"/>
          <w:sz w:val="22"/>
          <w:szCs w:val="22"/>
        </w:rPr>
        <w:t xml:space="preserve"> It is useful to quote a part of Rix J’s assessment of the Islamic Shariah Council in London, as it represents the first account from an English judge of the nature and function of a Shariah council: </w:t>
      </w:r>
    </w:p>
    <w:p w14:paraId="68485934" w14:textId="77777777" w:rsidR="00A4472A" w:rsidRPr="00D80D11" w:rsidRDefault="00A4472A" w:rsidP="00A4472A">
      <w:pPr>
        <w:autoSpaceDE w:val="0"/>
        <w:autoSpaceDN w:val="0"/>
        <w:adjustRightInd w:val="0"/>
        <w:rPr>
          <w:rFonts w:ascii="Calibri" w:hAnsi="Calibri" w:cs="Calibri"/>
          <w:sz w:val="22"/>
          <w:szCs w:val="22"/>
        </w:rPr>
      </w:pPr>
    </w:p>
    <w:p w14:paraId="5F0B2EE5" w14:textId="216B579E" w:rsidR="005B103F" w:rsidRPr="00BA4ACA" w:rsidRDefault="00A4472A" w:rsidP="00A4472A">
      <w:pPr>
        <w:autoSpaceDE w:val="0"/>
        <w:autoSpaceDN w:val="0"/>
        <w:adjustRightInd w:val="0"/>
        <w:ind w:left="284" w:right="284"/>
        <w:jc w:val="both"/>
        <w:rPr>
          <w:rFonts w:asciiTheme="majorHAnsi" w:hAnsiTheme="majorHAnsi" w:cs="Times New Roman"/>
          <w:sz w:val="20"/>
          <w:szCs w:val="20"/>
          <w:lang w:val="en-GB"/>
        </w:rPr>
      </w:pPr>
      <w:r w:rsidRPr="00BA4ACA">
        <w:rPr>
          <w:rFonts w:asciiTheme="majorHAnsi" w:hAnsiTheme="majorHAnsi" w:cs="Times New Roman"/>
          <w:sz w:val="20"/>
          <w:szCs w:val="20"/>
          <w:lang w:val="en-GB"/>
        </w:rPr>
        <w:t>The bench of the Shari'a Council would seem to provide a welcome facility to the Muslim community of the UK to render decisions on Islamic law, particularly in the matrimonial and family sphere. Its authority appears to rest largely on consent, in as much as it responds to the needs of the community it serves, but it may be that under Shari'a law it has autonomous power, as a religious court, to promulgate decisions in favour of a claimant even against the will of a respondent.</w:t>
      </w:r>
      <w:r w:rsidRPr="00BA4ACA">
        <w:rPr>
          <w:rStyle w:val="FootnoteReference"/>
          <w:rFonts w:asciiTheme="majorHAnsi" w:hAnsiTheme="majorHAnsi" w:cs="Times New Roman"/>
          <w:sz w:val="20"/>
          <w:szCs w:val="20"/>
          <w:lang w:val="en-GB"/>
        </w:rPr>
        <w:footnoteReference w:id="6"/>
      </w:r>
    </w:p>
    <w:p w14:paraId="69B9BA8A" w14:textId="77777777" w:rsidR="005B103F" w:rsidRPr="00D80D11" w:rsidRDefault="005B103F" w:rsidP="0076412E">
      <w:pPr>
        <w:jc w:val="both"/>
        <w:rPr>
          <w:rFonts w:ascii="Calibri" w:hAnsi="Calibri" w:cs="Calibri"/>
          <w:sz w:val="22"/>
          <w:szCs w:val="22"/>
        </w:rPr>
      </w:pPr>
    </w:p>
    <w:p w14:paraId="29D5E941" w14:textId="6B9566F5" w:rsidR="00A4472A" w:rsidRPr="00D80D11" w:rsidRDefault="00A4472A" w:rsidP="0076412E">
      <w:pPr>
        <w:jc w:val="both"/>
        <w:rPr>
          <w:rFonts w:ascii="Calibri" w:hAnsi="Calibri" w:cs="Calibri"/>
          <w:sz w:val="22"/>
          <w:szCs w:val="22"/>
        </w:rPr>
      </w:pPr>
      <w:r w:rsidRPr="00D80D11">
        <w:rPr>
          <w:rFonts w:ascii="Calibri" w:hAnsi="Calibri" w:cs="Calibri"/>
          <w:sz w:val="22"/>
          <w:szCs w:val="22"/>
        </w:rPr>
        <w:t xml:space="preserve">In the subsequent case of </w:t>
      </w:r>
      <w:r w:rsidRPr="00D80D11">
        <w:rPr>
          <w:rFonts w:ascii="Calibri" w:hAnsi="Calibri" w:cs="Calibri"/>
          <w:i/>
          <w:sz w:val="22"/>
          <w:szCs w:val="22"/>
        </w:rPr>
        <w:t>Uddin v Choudhury</w:t>
      </w:r>
      <w:r w:rsidRPr="00D80D11">
        <w:rPr>
          <w:rFonts w:ascii="Calibri" w:hAnsi="Calibri" w:cs="Calibri"/>
          <w:sz w:val="22"/>
          <w:szCs w:val="22"/>
        </w:rPr>
        <w:t>,</w:t>
      </w:r>
      <w:r w:rsidRPr="00D80D11">
        <w:rPr>
          <w:rStyle w:val="FootnoteReference"/>
          <w:rFonts w:ascii="Calibri" w:hAnsi="Calibri" w:cs="Calibri"/>
          <w:sz w:val="22"/>
          <w:szCs w:val="22"/>
        </w:rPr>
        <w:footnoteReference w:id="7"/>
      </w:r>
      <w:r w:rsidRPr="00D80D11">
        <w:rPr>
          <w:rFonts w:ascii="Calibri" w:hAnsi="Calibri" w:cs="Calibri"/>
          <w:sz w:val="22"/>
          <w:szCs w:val="22"/>
        </w:rPr>
        <w:t xml:space="preserve"> Mummery LJ also confirmed that English judges are willing to treat an Islamic decree of divorce issued by a Shariah council as having legal effect for the purposes of contract law.</w:t>
      </w:r>
    </w:p>
    <w:p w14:paraId="32596073" w14:textId="77777777" w:rsidR="00A4472A" w:rsidRPr="00D80D11" w:rsidRDefault="00A4472A" w:rsidP="0076412E">
      <w:pPr>
        <w:jc w:val="both"/>
        <w:rPr>
          <w:rFonts w:ascii="Calibri" w:hAnsi="Calibri" w:cs="Calibri"/>
          <w:sz w:val="22"/>
          <w:szCs w:val="22"/>
        </w:rPr>
      </w:pPr>
    </w:p>
    <w:p w14:paraId="323254D5" w14:textId="0E784400" w:rsidR="005B103F" w:rsidRPr="00D80D11" w:rsidRDefault="005B103F" w:rsidP="009A3714">
      <w:pPr>
        <w:jc w:val="both"/>
        <w:rPr>
          <w:rFonts w:ascii="Calibri" w:hAnsi="Calibri" w:cs="Calibri"/>
          <w:sz w:val="22"/>
          <w:szCs w:val="22"/>
        </w:rPr>
      </w:pPr>
      <w:r w:rsidRPr="00D80D11">
        <w:rPr>
          <w:rFonts w:ascii="Calibri" w:hAnsi="Calibri" w:cs="Calibri"/>
          <w:sz w:val="22"/>
          <w:szCs w:val="22"/>
        </w:rPr>
        <w:t>6.</w:t>
      </w:r>
      <w:r w:rsidR="00A4472A" w:rsidRPr="00D80D11">
        <w:rPr>
          <w:rFonts w:ascii="Calibri" w:hAnsi="Calibri" w:cs="Calibri"/>
          <w:sz w:val="22"/>
          <w:szCs w:val="22"/>
        </w:rPr>
        <w:t xml:space="preserve"> The second avenue is provided by Arbitration law. </w:t>
      </w:r>
      <w:r w:rsidR="009A3714" w:rsidRPr="00D80D11">
        <w:rPr>
          <w:rFonts w:ascii="Calibri" w:hAnsi="Calibri" w:cs="Calibri"/>
          <w:sz w:val="22"/>
          <w:szCs w:val="22"/>
        </w:rPr>
        <w:t xml:space="preserve">The Arbitration Act 1996 allows citizens to refer their disputes to private arbitrators and choose which law the arbitrator will use to resolve the dispute. This choice extends to religious laws such as Jewish or Islamic law. Recent cases such as </w:t>
      </w:r>
      <w:r w:rsidR="009A3714" w:rsidRPr="00D80D11">
        <w:rPr>
          <w:rFonts w:ascii="Calibri" w:hAnsi="Calibri" w:cs="Calibri"/>
          <w:i/>
          <w:sz w:val="22"/>
          <w:szCs w:val="22"/>
        </w:rPr>
        <w:t>Kohn v Wagschal &amp; Ors</w:t>
      </w:r>
      <w:r w:rsidR="009A3714" w:rsidRPr="00D80D11">
        <w:rPr>
          <w:rStyle w:val="FootnoteReference"/>
          <w:rFonts w:ascii="Calibri" w:hAnsi="Calibri" w:cs="Calibri"/>
          <w:sz w:val="22"/>
          <w:szCs w:val="22"/>
        </w:rPr>
        <w:footnoteReference w:id="8"/>
      </w:r>
      <w:r w:rsidR="009A3714" w:rsidRPr="00D80D11">
        <w:rPr>
          <w:rFonts w:ascii="Calibri" w:hAnsi="Calibri" w:cs="Calibri"/>
          <w:i/>
          <w:sz w:val="22"/>
          <w:szCs w:val="22"/>
        </w:rPr>
        <w:t xml:space="preserve"> </w:t>
      </w:r>
      <w:r w:rsidR="009A3714" w:rsidRPr="00D80D11">
        <w:rPr>
          <w:rFonts w:ascii="Calibri" w:hAnsi="Calibri" w:cs="Calibri"/>
          <w:sz w:val="22"/>
          <w:szCs w:val="22"/>
        </w:rPr>
        <w:t xml:space="preserve">and </w:t>
      </w:r>
      <w:r w:rsidR="009A3714" w:rsidRPr="00D80D11">
        <w:rPr>
          <w:rFonts w:ascii="Calibri" w:hAnsi="Calibri" w:cs="Calibri"/>
          <w:i/>
          <w:sz w:val="22"/>
          <w:szCs w:val="22"/>
        </w:rPr>
        <w:t>AI v MT</w:t>
      </w:r>
      <w:r w:rsidR="009A3714" w:rsidRPr="00D80D11">
        <w:rPr>
          <w:rStyle w:val="FootnoteReference"/>
          <w:rFonts w:ascii="Calibri" w:hAnsi="Calibri" w:cs="Calibri"/>
          <w:sz w:val="22"/>
          <w:szCs w:val="22"/>
        </w:rPr>
        <w:footnoteReference w:id="9"/>
      </w:r>
      <w:r w:rsidR="009A3714" w:rsidRPr="00D80D11">
        <w:rPr>
          <w:rFonts w:ascii="Calibri" w:hAnsi="Calibri" w:cs="Calibri"/>
          <w:sz w:val="22"/>
          <w:szCs w:val="22"/>
        </w:rPr>
        <w:t xml:space="preserve"> affirm that the civil courts will enforce arbitration decisions made by religious tribunals. The act does however place limitations on arbitration. Criminal and divorce proceedings are completely beyond its jurisdiction. If a Shariah council claimed </w:t>
      </w:r>
      <w:r w:rsidR="00BA4ACA">
        <w:rPr>
          <w:rFonts w:ascii="Calibri" w:hAnsi="Calibri" w:cs="Calibri"/>
          <w:sz w:val="22"/>
          <w:szCs w:val="22"/>
        </w:rPr>
        <w:t xml:space="preserve">legal </w:t>
      </w:r>
      <w:r w:rsidR="009A3714" w:rsidRPr="00D80D11">
        <w:rPr>
          <w:rFonts w:ascii="Calibri" w:hAnsi="Calibri" w:cs="Calibri"/>
          <w:sz w:val="22"/>
          <w:szCs w:val="22"/>
        </w:rPr>
        <w:t>jurisdiction over such proceedings, it would be breaking the law. Arbitration decisions which do not comply with minimal standards of fairness can also be quashed by the courts via section 68 of the Arbitration Act or via the Human Rights Act 1998.</w:t>
      </w:r>
    </w:p>
    <w:p w14:paraId="15362EBB" w14:textId="77777777" w:rsidR="005B103F" w:rsidRPr="00D80D11" w:rsidRDefault="005B103F" w:rsidP="0076412E">
      <w:pPr>
        <w:jc w:val="both"/>
        <w:rPr>
          <w:rFonts w:ascii="Calibri" w:hAnsi="Calibri" w:cs="Calibri"/>
          <w:sz w:val="22"/>
          <w:szCs w:val="22"/>
        </w:rPr>
      </w:pPr>
    </w:p>
    <w:p w14:paraId="279F0DAB" w14:textId="77777777" w:rsidR="00BA4ACA" w:rsidRDefault="005B103F" w:rsidP="00D80D11">
      <w:pPr>
        <w:jc w:val="both"/>
        <w:rPr>
          <w:rFonts w:ascii="Calibri" w:hAnsi="Calibri" w:cs="Calibri"/>
          <w:sz w:val="22"/>
          <w:szCs w:val="22"/>
        </w:rPr>
      </w:pPr>
      <w:r w:rsidRPr="00D80D11">
        <w:rPr>
          <w:rFonts w:ascii="Calibri" w:hAnsi="Calibri" w:cs="Calibri"/>
          <w:sz w:val="22"/>
          <w:szCs w:val="22"/>
        </w:rPr>
        <w:t>7.</w:t>
      </w:r>
      <w:r w:rsidR="00D80D11" w:rsidRPr="00D80D11">
        <w:rPr>
          <w:rFonts w:ascii="Calibri" w:hAnsi="Calibri" w:cs="Calibri"/>
          <w:sz w:val="22"/>
          <w:szCs w:val="22"/>
        </w:rPr>
        <w:t xml:space="preserve"> A third avenue may be activated by the Muslim community for the decisions of Shariah councils to accrue legal status, via the Divorce (Religious Marriages) Act 2002. This Act allows a court to order that a decree nisi cannot become absolute until both parties dissolve the marriage according to “the usages of the Jews” or “any other prescribed religious usages”.</w:t>
      </w:r>
      <w:r w:rsidR="00D80D11" w:rsidRPr="00D80D11">
        <w:rPr>
          <w:rStyle w:val="FootnoteReference"/>
          <w:rFonts w:ascii="Calibri" w:hAnsi="Calibri" w:cs="Calibri"/>
          <w:sz w:val="22"/>
          <w:szCs w:val="22"/>
        </w:rPr>
        <w:footnoteReference w:id="10"/>
      </w:r>
      <w:r w:rsidR="00D80D11" w:rsidRPr="00D80D11">
        <w:rPr>
          <w:rFonts w:ascii="Calibri" w:hAnsi="Calibri" w:cs="Calibri"/>
          <w:sz w:val="22"/>
          <w:szCs w:val="22"/>
        </w:rPr>
        <w:t xml:space="preserve"> The London Beth Din has stated that section 10A has reduced the number of Jewish women in limping marriages, by pressurizing Jewish husbands to approach the Beth Din and agree to </w:t>
      </w:r>
    </w:p>
    <w:p w14:paraId="69345DB1" w14:textId="77777777" w:rsidR="00BA4ACA" w:rsidRDefault="00BA4ACA" w:rsidP="00D80D11">
      <w:pPr>
        <w:jc w:val="both"/>
        <w:rPr>
          <w:rFonts w:ascii="Calibri" w:hAnsi="Calibri" w:cs="Calibri"/>
          <w:sz w:val="22"/>
          <w:szCs w:val="22"/>
        </w:rPr>
      </w:pPr>
    </w:p>
    <w:p w14:paraId="2FB77BDC" w14:textId="77777777" w:rsidR="00D53695" w:rsidRDefault="00D53695" w:rsidP="00D80D11">
      <w:pPr>
        <w:jc w:val="both"/>
        <w:rPr>
          <w:rFonts w:ascii="Calibri" w:hAnsi="Calibri" w:cs="Calibri"/>
          <w:sz w:val="22"/>
          <w:szCs w:val="22"/>
        </w:rPr>
      </w:pPr>
    </w:p>
    <w:p w14:paraId="2D1780D6" w14:textId="77777777" w:rsidR="00D53695" w:rsidRDefault="00D53695" w:rsidP="00D80D11">
      <w:pPr>
        <w:jc w:val="both"/>
        <w:rPr>
          <w:rFonts w:ascii="Calibri" w:hAnsi="Calibri" w:cs="Calibri"/>
          <w:sz w:val="22"/>
          <w:szCs w:val="22"/>
        </w:rPr>
      </w:pPr>
    </w:p>
    <w:p w14:paraId="79B66A61" w14:textId="77777777" w:rsidR="00D53695" w:rsidRDefault="00D53695" w:rsidP="00D80D11">
      <w:pPr>
        <w:jc w:val="both"/>
        <w:rPr>
          <w:rFonts w:ascii="Calibri" w:hAnsi="Calibri" w:cs="Calibri"/>
          <w:sz w:val="22"/>
          <w:szCs w:val="22"/>
        </w:rPr>
      </w:pPr>
    </w:p>
    <w:p w14:paraId="5C1646EA" w14:textId="1BDC3044" w:rsidR="005B103F" w:rsidRPr="00D80D11" w:rsidRDefault="00D80D11" w:rsidP="00D80D11">
      <w:pPr>
        <w:jc w:val="both"/>
        <w:rPr>
          <w:rFonts w:ascii="Calibri" w:hAnsi="Calibri" w:cs="Calibri"/>
          <w:sz w:val="22"/>
          <w:szCs w:val="22"/>
        </w:rPr>
      </w:pPr>
      <w:r w:rsidRPr="00D80D11">
        <w:rPr>
          <w:rFonts w:ascii="Calibri" w:hAnsi="Calibri" w:cs="Calibri"/>
          <w:sz w:val="22"/>
          <w:szCs w:val="22"/>
        </w:rPr>
        <w:lastRenderedPageBreak/>
        <w:t>give their wives a divorce before the decree absolute is issued.</w:t>
      </w:r>
      <w:r w:rsidRPr="00D80D11">
        <w:rPr>
          <w:rStyle w:val="FootnoteReference"/>
          <w:rFonts w:ascii="Calibri" w:hAnsi="Calibri" w:cs="Calibri"/>
          <w:sz w:val="22"/>
          <w:szCs w:val="22"/>
        </w:rPr>
        <w:footnoteReference w:id="11"/>
      </w:r>
      <w:r w:rsidRPr="00D80D11">
        <w:rPr>
          <w:rFonts w:ascii="Calibri" w:hAnsi="Calibri" w:cs="Calibri"/>
          <w:sz w:val="22"/>
          <w:szCs w:val="22"/>
        </w:rPr>
        <w:t xml:space="preserve"> Other religious groups may also benefit from section 10A under the term “other prescribed religious usages”, however they must first apply to the government for such an extension to be officially granted. No such application has of yet been made by the Muslim community.</w:t>
      </w:r>
    </w:p>
    <w:p w14:paraId="5AAB734E" w14:textId="77777777" w:rsidR="005B103F" w:rsidRDefault="005B103F" w:rsidP="0076412E">
      <w:pPr>
        <w:jc w:val="both"/>
        <w:rPr>
          <w:rFonts w:ascii="Calibri" w:hAnsi="Calibri" w:cs="Calibri"/>
          <w:sz w:val="22"/>
          <w:szCs w:val="22"/>
        </w:rPr>
      </w:pPr>
    </w:p>
    <w:p w14:paraId="10BE970B" w14:textId="661C06DE" w:rsidR="005B103F" w:rsidRPr="0021097F" w:rsidRDefault="005B103F" w:rsidP="0076412E">
      <w:pPr>
        <w:jc w:val="both"/>
        <w:rPr>
          <w:rFonts w:ascii="Calibri" w:hAnsi="Calibri" w:cs="Calibri"/>
          <w:sz w:val="22"/>
          <w:szCs w:val="22"/>
        </w:rPr>
      </w:pPr>
      <w:r>
        <w:rPr>
          <w:rFonts w:ascii="Calibri" w:hAnsi="Calibri" w:cs="Calibri"/>
          <w:sz w:val="22"/>
          <w:szCs w:val="22"/>
        </w:rPr>
        <w:t>8.</w:t>
      </w:r>
      <w:r w:rsidR="00D80D11">
        <w:rPr>
          <w:rFonts w:ascii="Calibri" w:hAnsi="Calibri" w:cs="Calibri"/>
          <w:sz w:val="22"/>
          <w:szCs w:val="22"/>
        </w:rPr>
        <w:t xml:space="preserve"> Shariah councils </w:t>
      </w:r>
      <w:r w:rsidR="00BA4ACA">
        <w:rPr>
          <w:rFonts w:ascii="Calibri" w:hAnsi="Calibri" w:cs="Calibri"/>
          <w:sz w:val="22"/>
          <w:szCs w:val="22"/>
        </w:rPr>
        <w:t xml:space="preserve">appear to be well aware of their legal status. During my doctoral research, I visited four of the most prominent Shariah councils in the country and conducted interviews with their case-workers: the Islamic Shariah Council in Leyton, the Central Shariah Council in Birmingham, the Muslim Arbitration Tribunal in Nuneaton and the Islamic Shariah Department in Manchester. All the case-workers I interviewed understood that their decisions had no legal force and that their services were based on a voluntary jurisdiction. </w:t>
      </w:r>
    </w:p>
    <w:sectPr w:rsidR="005B103F" w:rsidRPr="0021097F" w:rsidSect="0021097F">
      <w:headerReference w:type="default" r:id="rId11"/>
      <w:headerReference w:type="firs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BD5B6" w14:textId="77777777" w:rsidR="00BA4ACA" w:rsidRDefault="00BA4ACA" w:rsidP="001A0CBB">
      <w:r>
        <w:separator/>
      </w:r>
    </w:p>
  </w:endnote>
  <w:endnote w:type="continuationSeparator" w:id="0">
    <w:p w14:paraId="2CBF881A" w14:textId="77777777" w:rsidR="00BA4ACA" w:rsidRDefault="00BA4ACA" w:rsidP="001A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46A5F" w14:textId="77777777" w:rsidR="00BA4ACA" w:rsidRDefault="00BA4ACA" w:rsidP="001A0CBB">
      <w:r>
        <w:separator/>
      </w:r>
    </w:p>
  </w:footnote>
  <w:footnote w:type="continuationSeparator" w:id="0">
    <w:p w14:paraId="355A1481" w14:textId="77777777" w:rsidR="00BA4ACA" w:rsidRDefault="00BA4ACA" w:rsidP="001A0CBB">
      <w:r>
        <w:continuationSeparator/>
      </w:r>
    </w:p>
  </w:footnote>
  <w:footnote w:id="1">
    <w:p w14:paraId="428DECDE" w14:textId="433107CE"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See HC Deb April 2013 c291WH.</w:t>
      </w:r>
    </w:p>
  </w:footnote>
  <w:footnote w:id="2">
    <w:p w14:paraId="2B97828F" w14:textId="2E1B2786"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See </w:t>
      </w:r>
      <w:r w:rsidRPr="00D80D11">
        <w:rPr>
          <w:rFonts w:asciiTheme="majorHAnsi" w:hAnsiTheme="majorHAnsi"/>
          <w:lang w:val="en-GB"/>
        </w:rPr>
        <w:t>ibid.</w:t>
      </w:r>
    </w:p>
  </w:footnote>
  <w:footnote w:id="3">
    <w:p w14:paraId="38E7BE50" w14:textId="046309C6"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r w:rsidRPr="00D80D11">
        <w:rPr>
          <w:rFonts w:asciiTheme="majorHAnsi" w:hAnsiTheme="majorHAnsi" w:cs="Times New Roman"/>
          <w:i/>
          <w:iCs/>
          <w:lang w:val="en-GB"/>
        </w:rPr>
        <w:t>Al</w:t>
      </w:r>
      <w:r w:rsidRPr="00D80D11">
        <w:rPr>
          <w:rFonts w:asciiTheme="majorHAnsi" w:hAnsiTheme="majorHAnsi" w:cs="Times New Roman,Italic"/>
          <w:i/>
          <w:iCs/>
          <w:lang w:val="en-GB"/>
        </w:rPr>
        <w:t>–</w:t>
      </w:r>
      <w:r w:rsidRPr="00D80D11">
        <w:rPr>
          <w:rFonts w:asciiTheme="majorHAnsi" w:hAnsiTheme="majorHAnsi" w:cs="Times New Roman"/>
          <w:i/>
          <w:iCs/>
          <w:lang w:val="en-GB"/>
        </w:rPr>
        <w:t>Saffar v Al</w:t>
      </w:r>
      <w:r w:rsidRPr="00D80D11">
        <w:rPr>
          <w:rFonts w:asciiTheme="majorHAnsi" w:hAnsiTheme="majorHAnsi" w:cs="Times New Roman,Italic"/>
          <w:i/>
          <w:iCs/>
          <w:lang w:val="en-GB"/>
        </w:rPr>
        <w:t>–</w:t>
      </w:r>
      <w:r w:rsidRPr="00D80D11">
        <w:rPr>
          <w:rFonts w:asciiTheme="majorHAnsi" w:hAnsiTheme="majorHAnsi" w:cs="Times New Roman"/>
          <w:i/>
          <w:iCs/>
          <w:lang w:val="en-GB"/>
        </w:rPr>
        <w:t xml:space="preserve">Saffar </w:t>
      </w:r>
      <w:r w:rsidRPr="00D80D11">
        <w:rPr>
          <w:rFonts w:asciiTheme="majorHAnsi" w:hAnsiTheme="majorHAnsi" w:cs="Times New Roman"/>
          <w:lang w:val="en-GB"/>
        </w:rPr>
        <w:t>[2012] EWCA Civ.</w:t>
      </w:r>
    </w:p>
  </w:footnote>
  <w:footnote w:id="4">
    <w:p w14:paraId="0721B4F5" w14:textId="339146AD"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r w:rsidRPr="00D80D11">
        <w:rPr>
          <w:rFonts w:asciiTheme="majorHAnsi" w:hAnsiTheme="majorHAnsi" w:cs="Times New Roman"/>
          <w:i/>
          <w:iCs/>
          <w:lang w:val="en-GB"/>
        </w:rPr>
        <w:t xml:space="preserve">Shahnaz v Rizwan </w:t>
      </w:r>
      <w:r w:rsidRPr="00D80D11">
        <w:rPr>
          <w:rFonts w:asciiTheme="majorHAnsi" w:hAnsiTheme="majorHAnsi" w:cs="Times New Roman"/>
          <w:lang w:val="en-GB"/>
        </w:rPr>
        <w:t>[1965] 1 Q.B. 390.</w:t>
      </w:r>
    </w:p>
  </w:footnote>
  <w:footnote w:id="5">
    <w:p w14:paraId="15763D17" w14:textId="56783564"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r w:rsidRPr="00D80D11">
        <w:rPr>
          <w:rFonts w:asciiTheme="majorHAnsi" w:hAnsiTheme="majorHAnsi" w:cs="Times New Roman"/>
          <w:i/>
          <w:iCs/>
          <w:lang w:val="en-GB"/>
        </w:rPr>
        <w:t xml:space="preserve">Al-Midani and another v Al-Midani and others </w:t>
      </w:r>
      <w:r w:rsidRPr="00D80D11">
        <w:rPr>
          <w:rFonts w:asciiTheme="majorHAnsi" w:hAnsiTheme="majorHAnsi" w:cs="Times New Roman"/>
          <w:lang w:val="en-GB"/>
        </w:rPr>
        <w:t>[1999] CLC 904.</w:t>
      </w:r>
    </w:p>
  </w:footnote>
  <w:footnote w:id="6">
    <w:p w14:paraId="2E0D1A99" w14:textId="0E60CB06"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r w:rsidRPr="00D80D11">
        <w:rPr>
          <w:rFonts w:asciiTheme="majorHAnsi" w:hAnsiTheme="majorHAnsi" w:cs="Times New Roman"/>
          <w:lang w:val="en-GB"/>
        </w:rPr>
        <w:t>Ibid, 912.</w:t>
      </w:r>
    </w:p>
  </w:footnote>
  <w:footnote w:id="7">
    <w:p w14:paraId="36BBC6D2" w14:textId="179F2CF0" w:rsidR="00BA4ACA" w:rsidRPr="00D80D11" w:rsidRDefault="00BA4ACA" w:rsidP="00A4472A">
      <w:pPr>
        <w:autoSpaceDE w:val="0"/>
        <w:autoSpaceDN w:val="0"/>
        <w:adjustRightInd w:val="0"/>
        <w:rPr>
          <w:rFonts w:asciiTheme="majorHAnsi" w:hAnsiTheme="majorHAnsi" w:cs="Times New Roman"/>
          <w:sz w:val="20"/>
          <w:szCs w:val="20"/>
          <w:lang w:val="en-GB"/>
        </w:rPr>
      </w:pPr>
      <w:r w:rsidRPr="00D80D11">
        <w:rPr>
          <w:rStyle w:val="FootnoteReference"/>
          <w:rFonts w:asciiTheme="majorHAnsi" w:hAnsiTheme="majorHAnsi"/>
          <w:sz w:val="20"/>
          <w:szCs w:val="20"/>
        </w:rPr>
        <w:footnoteRef/>
      </w:r>
      <w:r w:rsidRPr="00D80D11">
        <w:rPr>
          <w:rFonts w:asciiTheme="majorHAnsi" w:hAnsiTheme="majorHAnsi"/>
          <w:sz w:val="20"/>
          <w:szCs w:val="20"/>
        </w:rPr>
        <w:t xml:space="preserve"> </w:t>
      </w:r>
      <w:proofErr w:type="gramStart"/>
      <w:r w:rsidRPr="00D80D11">
        <w:rPr>
          <w:rFonts w:asciiTheme="majorHAnsi" w:hAnsiTheme="majorHAnsi" w:cs="Times New Roman"/>
          <w:i/>
          <w:iCs/>
          <w:sz w:val="20"/>
          <w:szCs w:val="20"/>
          <w:lang w:val="en-GB"/>
        </w:rPr>
        <w:t xml:space="preserve">Uddin v Choudhury </w:t>
      </w:r>
      <w:r w:rsidRPr="00D80D11">
        <w:rPr>
          <w:rFonts w:asciiTheme="majorHAnsi" w:hAnsiTheme="majorHAnsi" w:cs="Times New Roman"/>
          <w:sz w:val="20"/>
          <w:szCs w:val="20"/>
          <w:lang w:val="en-GB"/>
        </w:rPr>
        <w:t xml:space="preserve">[2009] EWCA </w:t>
      </w:r>
      <w:proofErr w:type="spellStart"/>
      <w:r w:rsidRPr="00D80D11">
        <w:rPr>
          <w:rFonts w:asciiTheme="majorHAnsi" w:hAnsiTheme="majorHAnsi" w:cs="Times New Roman"/>
          <w:sz w:val="20"/>
          <w:szCs w:val="20"/>
          <w:lang w:val="en-GB"/>
        </w:rPr>
        <w:t>Civ</w:t>
      </w:r>
      <w:proofErr w:type="spellEnd"/>
      <w:r w:rsidRPr="00D80D11">
        <w:rPr>
          <w:rFonts w:asciiTheme="majorHAnsi" w:hAnsiTheme="majorHAnsi" w:cs="Times New Roman"/>
          <w:sz w:val="20"/>
          <w:szCs w:val="20"/>
          <w:lang w:val="en-GB"/>
        </w:rPr>
        <w:t xml:space="preserve"> 11.</w:t>
      </w:r>
      <w:proofErr w:type="gramEnd"/>
      <w:r w:rsidRPr="00D80D11">
        <w:rPr>
          <w:rFonts w:asciiTheme="majorHAnsi" w:hAnsiTheme="majorHAnsi" w:cs="Times New Roman"/>
          <w:sz w:val="20"/>
          <w:szCs w:val="20"/>
          <w:lang w:val="en-GB"/>
        </w:rPr>
        <w:t xml:space="preserve"> The reasoning used in this case has been criticised, see John Bowen, ‘How could English Courts recognise Shariah?’ </w:t>
      </w:r>
      <w:proofErr w:type="gramStart"/>
      <w:r w:rsidRPr="00D80D11">
        <w:rPr>
          <w:rFonts w:asciiTheme="majorHAnsi" w:hAnsiTheme="majorHAnsi" w:cs="Times New Roman"/>
          <w:sz w:val="20"/>
          <w:szCs w:val="20"/>
          <w:lang w:val="en-GB"/>
        </w:rPr>
        <w:t>(2011) 7</w:t>
      </w:r>
      <w:r w:rsidR="00D53695">
        <w:rPr>
          <w:rFonts w:asciiTheme="majorHAnsi" w:hAnsiTheme="majorHAnsi" w:cs="Times New Roman"/>
          <w:sz w:val="20"/>
          <w:szCs w:val="20"/>
          <w:lang w:val="en-GB"/>
        </w:rPr>
        <w:t xml:space="preserve">(3) University of </w:t>
      </w:r>
      <w:proofErr w:type="spellStart"/>
      <w:r w:rsidR="00D53695">
        <w:rPr>
          <w:rFonts w:asciiTheme="majorHAnsi" w:hAnsiTheme="majorHAnsi" w:cs="Times New Roman"/>
          <w:sz w:val="20"/>
          <w:szCs w:val="20"/>
          <w:lang w:val="en-GB"/>
        </w:rPr>
        <w:t>St.Thomas</w:t>
      </w:r>
      <w:proofErr w:type="spellEnd"/>
      <w:r w:rsidR="00D53695">
        <w:rPr>
          <w:rFonts w:asciiTheme="majorHAnsi" w:hAnsiTheme="majorHAnsi" w:cs="Times New Roman"/>
          <w:sz w:val="20"/>
          <w:szCs w:val="20"/>
          <w:lang w:val="en-GB"/>
        </w:rPr>
        <w:t xml:space="preserve"> Law </w:t>
      </w:r>
      <w:r w:rsidRPr="00D80D11">
        <w:rPr>
          <w:rFonts w:asciiTheme="majorHAnsi" w:hAnsiTheme="majorHAnsi" w:cs="Times New Roman"/>
          <w:sz w:val="20"/>
          <w:szCs w:val="20"/>
          <w:lang w:val="en-GB"/>
        </w:rPr>
        <w:t>Journal.</w:t>
      </w:r>
      <w:proofErr w:type="gramEnd"/>
    </w:p>
  </w:footnote>
  <w:footnote w:id="8">
    <w:p w14:paraId="20223CDD" w14:textId="77777777" w:rsidR="00BA4ACA" w:rsidRPr="00D80D11" w:rsidRDefault="00BA4ACA" w:rsidP="009A3714">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proofErr w:type="gramStart"/>
      <w:r w:rsidRPr="00D80D11">
        <w:rPr>
          <w:rFonts w:asciiTheme="majorHAnsi" w:hAnsiTheme="majorHAnsi" w:cs="Times New Roman"/>
          <w:i/>
          <w:iCs/>
          <w:lang w:val="en-GB"/>
        </w:rPr>
        <w:t xml:space="preserve">Kohn v </w:t>
      </w:r>
      <w:proofErr w:type="spellStart"/>
      <w:r w:rsidRPr="00D80D11">
        <w:rPr>
          <w:rFonts w:asciiTheme="majorHAnsi" w:hAnsiTheme="majorHAnsi" w:cs="Times New Roman"/>
          <w:i/>
          <w:iCs/>
          <w:lang w:val="en-GB"/>
        </w:rPr>
        <w:t>Wagschal</w:t>
      </w:r>
      <w:proofErr w:type="spellEnd"/>
      <w:r w:rsidRPr="00D80D11">
        <w:rPr>
          <w:rFonts w:asciiTheme="majorHAnsi" w:hAnsiTheme="majorHAnsi" w:cs="Times New Roman"/>
          <w:i/>
          <w:iCs/>
          <w:lang w:val="en-GB"/>
        </w:rPr>
        <w:t xml:space="preserve"> &amp; </w:t>
      </w:r>
      <w:proofErr w:type="spellStart"/>
      <w:r w:rsidRPr="00D80D11">
        <w:rPr>
          <w:rFonts w:asciiTheme="majorHAnsi" w:hAnsiTheme="majorHAnsi" w:cs="Times New Roman"/>
          <w:i/>
          <w:iCs/>
          <w:lang w:val="en-GB"/>
        </w:rPr>
        <w:t>Ors</w:t>
      </w:r>
      <w:proofErr w:type="spellEnd"/>
      <w:r w:rsidRPr="00D80D11">
        <w:rPr>
          <w:rFonts w:asciiTheme="majorHAnsi" w:hAnsiTheme="majorHAnsi" w:cs="Times New Roman"/>
          <w:i/>
          <w:iCs/>
          <w:lang w:val="en-GB"/>
        </w:rPr>
        <w:t xml:space="preserve"> </w:t>
      </w:r>
      <w:r w:rsidRPr="00D80D11">
        <w:rPr>
          <w:rFonts w:asciiTheme="majorHAnsi" w:hAnsiTheme="majorHAnsi" w:cs="Times New Roman"/>
          <w:lang w:val="en-GB"/>
        </w:rPr>
        <w:t xml:space="preserve">[2007] EWCA </w:t>
      </w:r>
      <w:proofErr w:type="spellStart"/>
      <w:r w:rsidRPr="00D80D11">
        <w:rPr>
          <w:rFonts w:asciiTheme="majorHAnsi" w:hAnsiTheme="majorHAnsi" w:cs="Times New Roman"/>
          <w:lang w:val="en-GB"/>
        </w:rPr>
        <w:t>Civ</w:t>
      </w:r>
      <w:proofErr w:type="spellEnd"/>
      <w:r w:rsidRPr="00D80D11">
        <w:rPr>
          <w:rFonts w:asciiTheme="majorHAnsi" w:hAnsiTheme="majorHAnsi" w:cs="Times New Roman"/>
          <w:lang w:val="en-GB"/>
        </w:rPr>
        <w:t xml:space="preserve"> 1022.</w:t>
      </w:r>
      <w:proofErr w:type="gramEnd"/>
    </w:p>
  </w:footnote>
  <w:footnote w:id="9">
    <w:p w14:paraId="0D1352BD" w14:textId="13C8A315" w:rsidR="00BA4ACA" w:rsidRPr="00D80D11" w:rsidRDefault="00BA4ACA" w:rsidP="009A3714">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r w:rsidRPr="00D80D11">
        <w:rPr>
          <w:rFonts w:asciiTheme="majorHAnsi" w:hAnsiTheme="majorHAnsi" w:cs="Times New Roman"/>
          <w:i/>
          <w:iCs/>
          <w:lang w:val="en-GB"/>
        </w:rPr>
        <w:t>AI v MT [2013] EWHC 100 (</w:t>
      </w:r>
      <w:proofErr w:type="gramStart"/>
      <w:r w:rsidRPr="00D80D11">
        <w:rPr>
          <w:rFonts w:asciiTheme="majorHAnsi" w:hAnsiTheme="majorHAnsi" w:cs="Times New Roman"/>
          <w:i/>
          <w:iCs/>
          <w:lang w:val="en-GB"/>
        </w:rPr>
        <w:t>Fam</w:t>
      </w:r>
      <w:proofErr w:type="gramEnd"/>
      <w:r w:rsidRPr="00D80D11">
        <w:rPr>
          <w:rFonts w:asciiTheme="majorHAnsi" w:hAnsiTheme="majorHAnsi" w:cs="Times New Roman"/>
          <w:i/>
          <w:iCs/>
          <w:lang w:val="en-GB"/>
        </w:rPr>
        <w:t>).</w:t>
      </w:r>
    </w:p>
  </w:footnote>
  <w:footnote w:id="10">
    <w:p w14:paraId="57B12566" w14:textId="105B558F" w:rsidR="00BA4ACA" w:rsidRPr="00D80D11" w:rsidRDefault="00BA4ACA">
      <w:pPr>
        <w:pStyle w:val="FootnoteText"/>
        <w:rPr>
          <w:rFonts w:asciiTheme="majorHAnsi" w:hAnsiTheme="majorHAnsi"/>
          <w:lang w:val="en-GB"/>
        </w:rPr>
      </w:pPr>
      <w:r w:rsidRPr="00D80D11">
        <w:rPr>
          <w:rStyle w:val="FootnoteReference"/>
          <w:rFonts w:asciiTheme="majorHAnsi" w:hAnsiTheme="majorHAnsi"/>
        </w:rPr>
        <w:footnoteRef/>
      </w:r>
      <w:r w:rsidRPr="00D80D11">
        <w:rPr>
          <w:rFonts w:asciiTheme="majorHAnsi" w:hAnsiTheme="majorHAnsi"/>
        </w:rPr>
        <w:t xml:space="preserve"> </w:t>
      </w:r>
      <w:r w:rsidRPr="00D80D11">
        <w:rPr>
          <w:rFonts w:asciiTheme="majorHAnsi" w:hAnsiTheme="majorHAnsi" w:cs="Times New Roman"/>
          <w:lang w:val="en-GB"/>
        </w:rPr>
        <w:t>Matrimonial Causes Act 1973 s 10A, as inserted by the Divorce (Religious Marriages) Act 2002.</w:t>
      </w:r>
    </w:p>
  </w:footnote>
  <w:footnote w:id="11">
    <w:p w14:paraId="7B60D967" w14:textId="77777777" w:rsidR="00BA4ACA" w:rsidRPr="00D80D11" w:rsidRDefault="00BA4ACA" w:rsidP="00D80D11">
      <w:pPr>
        <w:pStyle w:val="FootnoteText"/>
        <w:rPr>
          <w:rFonts w:asciiTheme="majorHAnsi" w:hAnsiTheme="majorHAnsi"/>
        </w:rPr>
      </w:pPr>
      <w:r w:rsidRPr="00D80D11">
        <w:rPr>
          <w:rStyle w:val="FootnoteReference"/>
          <w:rFonts w:asciiTheme="majorHAnsi" w:hAnsiTheme="majorHAnsi"/>
        </w:rPr>
        <w:footnoteRef/>
      </w:r>
      <w:r w:rsidRPr="00D80D11">
        <w:rPr>
          <w:rFonts w:asciiTheme="majorHAnsi" w:hAnsiTheme="majorHAnsi"/>
        </w:rPr>
        <w:t xml:space="preserve"> Gillian Douglas et al, </w:t>
      </w:r>
      <w:r w:rsidRPr="00D53695">
        <w:rPr>
          <w:rFonts w:asciiTheme="majorHAnsi" w:hAnsiTheme="majorHAnsi"/>
          <w:i/>
        </w:rPr>
        <w:t>Social Cohesion and Civil Law: Marriage, Divorce and Religious Courts</w:t>
      </w:r>
    </w:p>
    <w:p w14:paraId="4731ECF2" w14:textId="4D8131BD" w:rsidR="00BA4ACA" w:rsidRPr="00D80D11" w:rsidRDefault="00BA4ACA" w:rsidP="00D80D11">
      <w:pPr>
        <w:pStyle w:val="FootnoteText"/>
        <w:rPr>
          <w:rFonts w:asciiTheme="majorHAnsi" w:hAnsiTheme="majorHAnsi"/>
          <w:lang w:val="en-GB"/>
        </w:rPr>
      </w:pPr>
      <w:r w:rsidRPr="00D80D11">
        <w:rPr>
          <w:rFonts w:asciiTheme="majorHAnsi" w:hAnsiTheme="majorHAnsi"/>
        </w:rPr>
        <w:t>(Report of a Research Study funded by the AHRC, Cardiff Law School 2011) 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B5835" w14:textId="30F7165F" w:rsidR="00BA4ACA" w:rsidRDefault="00BA4ACA">
    <w:pPr>
      <w:pStyle w:val="Header"/>
    </w:pPr>
    <w:r>
      <w:rPr>
        <w:noProof/>
        <w:lang w:val="en-GB" w:eastAsia="en-GB"/>
      </w:rPr>
      <w:drawing>
        <wp:anchor distT="0" distB="0" distL="114300" distR="114300" simplePos="0" relativeHeight="251661312" behindDoc="1" locked="0" layoutInCell="1" allowOverlap="1" wp14:anchorId="12220093" wp14:editId="3E61C74C">
          <wp:simplePos x="0" y="0"/>
          <wp:positionH relativeFrom="margin">
            <wp:posOffset>-1142365</wp:posOffset>
          </wp:positionH>
          <wp:positionV relativeFrom="margin">
            <wp:posOffset>-914400</wp:posOffset>
          </wp:positionV>
          <wp:extent cx="7571105" cy="9763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etterhead.eps"/>
                  <pic:cNvPicPr/>
                </pic:nvPicPr>
                <pic:blipFill rotWithShape="1">
                  <a:blip r:embed="rId1">
                    <a:extLst>
                      <a:ext uri="{28A0092B-C50C-407E-A947-70E740481C1C}">
                        <a14:useLocalDpi xmlns:a14="http://schemas.microsoft.com/office/drawing/2010/main" val="0"/>
                      </a:ext>
                    </a:extLst>
                  </a:blip>
                  <a:srcRect b="8726"/>
                  <a:stretch/>
                </pic:blipFill>
                <pic:spPr bwMode="auto">
                  <a:xfrm>
                    <a:off x="0" y="0"/>
                    <a:ext cx="7571105" cy="976312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97E1A" w14:textId="2E47F073" w:rsidR="00BA4ACA" w:rsidRDefault="00BA4ACA">
    <w:pPr>
      <w:pStyle w:val="Header"/>
    </w:pPr>
    <w:r>
      <w:rPr>
        <w:noProof/>
        <w:lang w:val="en-GB" w:eastAsia="en-GB"/>
      </w:rPr>
      <w:drawing>
        <wp:anchor distT="0" distB="0" distL="114300" distR="114300" simplePos="0" relativeHeight="251659264" behindDoc="1" locked="0" layoutInCell="1" allowOverlap="1" wp14:anchorId="18E03A3B" wp14:editId="3283EFA4">
          <wp:simplePos x="0" y="0"/>
          <wp:positionH relativeFrom="page">
            <wp:posOffset>0</wp:posOffset>
          </wp:positionH>
          <wp:positionV relativeFrom="page">
            <wp:posOffset>9525</wp:posOffset>
          </wp:positionV>
          <wp:extent cx="7556500" cy="106934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A4 Report Cover Template Portrait.eps"/>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04C0"/>
    <w:multiLevelType w:val="hybridMultilevel"/>
    <w:tmpl w:val="E55A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3F5EF4"/>
    <w:multiLevelType w:val="hybridMultilevel"/>
    <w:tmpl w:val="E2707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60912"/>
    <w:multiLevelType w:val="multilevel"/>
    <w:tmpl w:val="685C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D5B59"/>
    <w:multiLevelType w:val="hybridMultilevel"/>
    <w:tmpl w:val="3B3A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8B4EFE"/>
    <w:multiLevelType w:val="hybridMultilevel"/>
    <w:tmpl w:val="BB147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BB"/>
    <w:rsid w:val="000E54A3"/>
    <w:rsid w:val="001A0CBB"/>
    <w:rsid w:val="0021097F"/>
    <w:rsid w:val="00213E15"/>
    <w:rsid w:val="00364DF6"/>
    <w:rsid w:val="0043452D"/>
    <w:rsid w:val="00497544"/>
    <w:rsid w:val="005537A3"/>
    <w:rsid w:val="005B103F"/>
    <w:rsid w:val="007528DA"/>
    <w:rsid w:val="0076412E"/>
    <w:rsid w:val="007A6A0F"/>
    <w:rsid w:val="00821D82"/>
    <w:rsid w:val="0089620C"/>
    <w:rsid w:val="009A3714"/>
    <w:rsid w:val="00A12F36"/>
    <w:rsid w:val="00A4472A"/>
    <w:rsid w:val="00AF25D7"/>
    <w:rsid w:val="00BA4ACA"/>
    <w:rsid w:val="00C12CAB"/>
    <w:rsid w:val="00CB3311"/>
    <w:rsid w:val="00D53695"/>
    <w:rsid w:val="00D80D11"/>
    <w:rsid w:val="00EA104A"/>
    <w:rsid w:val="00FA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0B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BB"/>
    <w:pPr>
      <w:tabs>
        <w:tab w:val="center" w:pos="4320"/>
        <w:tab w:val="right" w:pos="8640"/>
      </w:tabs>
    </w:pPr>
  </w:style>
  <w:style w:type="character" w:customStyle="1" w:styleId="HeaderChar">
    <w:name w:val="Header Char"/>
    <w:basedOn w:val="DefaultParagraphFont"/>
    <w:link w:val="Header"/>
    <w:uiPriority w:val="99"/>
    <w:rsid w:val="001A0CBB"/>
  </w:style>
  <w:style w:type="paragraph" w:styleId="Footer">
    <w:name w:val="footer"/>
    <w:basedOn w:val="Normal"/>
    <w:link w:val="FooterChar"/>
    <w:uiPriority w:val="99"/>
    <w:unhideWhenUsed/>
    <w:rsid w:val="001A0CBB"/>
    <w:pPr>
      <w:tabs>
        <w:tab w:val="center" w:pos="4320"/>
        <w:tab w:val="right" w:pos="8640"/>
      </w:tabs>
    </w:pPr>
  </w:style>
  <w:style w:type="character" w:customStyle="1" w:styleId="FooterChar">
    <w:name w:val="Footer Char"/>
    <w:basedOn w:val="DefaultParagraphFont"/>
    <w:link w:val="Footer"/>
    <w:uiPriority w:val="99"/>
    <w:rsid w:val="001A0CBB"/>
  </w:style>
  <w:style w:type="paragraph" w:styleId="BalloonText">
    <w:name w:val="Balloon Text"/>
    <w:basedOn w:val="Normal"/>
    <w:link w:val="BalloonTextChar"/>
    <w:uiPriority w:val="99"/>
    <w:semiHidden/>
    <w:unhideWhenUsed/>
    <w:rsid w:val="001A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CBB"/>
    <w:rPr>
      <w:rFonts w:ascii="Lucida Grande" w:hAnsi="Lucida Grande" w:cs="Lucida Grande"/>
      <w:sz w:val="18"/>
      <w:szCs w:val="18"/>
    </w:rPr>
  </w:style>
  <w:style w:type="character" w:customStyle="1" w:styleId="email">
    <w:name w:val="email"/>
    <w:basedOn w:val="DefaultParagraphFont"/>
    <w:rsid w:val="005B103F"/>
  </w:style>
  <w:style w:type="character" w:styleId="Hyperlink">
    <w:name w:val="Hyperlink"/>
    <w:basedOn w:val="DefaultParagraphFont"/>
    <w:uiPriority w:val="99"/>
    <w:semiHidden/>
    <w:unhideWhenUsed/>
    <w:rsid w:val="005B103F"/>
    <w:rPr>
      <w:color w:val="0000FF"/>
      <w:u w:val="single"/>
    </w:rPr>
  </w:style>
  <w:style w:type="paragraph" w:styleId="ListParagraph">
    <w:name w:val="List Paragraph"/>
    <w:basedOn w:val="Normal"/>
    <w:uiPriority w:val="34"/>
    <w:qFormat/>
    <w:rsid w:val="005B103F"/>
    <w:pPr>
      <w:ind w:left="720"/>
      <w:contextualSpacing/>
    </w:pPr>
  </w:style>
  <w:style w:type="paragraph" w:styleId="FootnoteText">
    <w:name w:val="footnote text"/>
    <w:basedOn w:val="Normal"/>
    <w:link w:val="FootnoteTextChar"/>
    <w:uiPriority w:val="99"/>
    <w:semiHidden/>
    <w:unhideWhenUsed/>
    <w:rsid w:val="00364DF6"/>
    <w:rPr>
      <w:sz w:val="20"/>
      <w:szCs w:val="20"/>
    </w:rPr>
  </w:style>
  <w:style w:type="character" w:customStyle="1" w:styleId="FootnoteTextChar">
    <w:name w:val="Footnote Text Char"/>
    <w:basedOn w:val="DefaultParagraphFont"/>
    <w:link w:val="FootnoteText"/>
    <w:uiPriority w:val="99"/>
    <w:semiHidden/>
    <w:rsid w:val="00364DF6"/>
    <w:rPr>
      <w:sz w:val="20"/>
      <w:szCs w:val="20"/>
    </w:rPr>
  </w:style>
  <w:style w:type="character" w:styleId="FootnoteReference">
    <w:name w:val="footnote reference"/>
    <w:basedOn w:val="DefaultParagraphFont"/>
    <w:uiPriority w:val="99"/>
    <w:semiHidden/>
    <w:unhideWhenUsed/>
    <w:rsid w:val="00364D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CBB"/>
    <w:pPr>
      <w:tabs>
        <w:tab w:val="center" w:pos="4320"/>
        <w:tab w:val="right" w:pos="8640"/>
      </w:tabs>
    </w:pPr>
  </w:style>
  <w:style w:type="character" w:customStyle="1" w:styleId="HeaderChar">
    <w:name w:val="Header Char"/>
    <w:basedOn w:val="DefaultParagraphFont"/>
    <w:link w:val="Header"/>
    <w:uiPriority w:val="99"/>
    <w:rsid w:val="001A0CBB"/>
  </w:style>
  <w:style w:type="paragraph" w:styleId="Footer">
    <w:name w:val="footer"/>
    <w:basedOn w:val="Normal"/>
    <w:link w:val="FooterChar"/>
    <w:uiPriority w:val="99"/>
    <w:unhideWhenUsed/>
    <w:rsid w:val="001A0CBB"/>
    <w:pPr>
      <w:tabs>
        <w:tab w:val="center" w:pos="4320"/>
        <w:tab w:val="right" w:pos="8640"/>
      </w:tabs>
    </w:pPr>
  </w:style>
  <w:style w:type="character" w:customStyle="1" w:styleId="FooterChar">
    <w:name w:val="Footer Char"/>
    <w:basedOn w:val="DefaultParagraphFont"/>
    <w:link w:val="Footer"/>
    <w:uiPriority w:val="99"/>
    <w:rsid w:val="001A0CBB"/>
  </w:style>
  <w:style w:type="paragraph" w:styleId="BalloonText">
    <w:name w:val="Balloon Text"/>
    <w:basedOn w:val="Normal"/>
    <w:link w:val="BalloonTextChar"/>
    <w:uiPriority w:val="99"/>
    <w:semiHidden/>
    <w:unhideWhenUsed/>
    <w:rsid w:val="001A0C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CBB"/>
    <w:rPr>
      <w:rFonts w:ascii="Lucida Grande" w:hAnsi="Lucida Grande" w:cs="Lucida Grande"/>
      <w:sz w:val="18"/>
      <w:szCs w:val="18"/>
    </w:rPr>
  </w:style>
  <w:style w:type="character" w:customStyle="1" w:styleId="email">
    <w:name w:val="email"/>
    <w:basedOn w:val="DefaultParagraphFont"/>
    <w:rsid w:val="005B103F"/>
  </w:style>
  <w:style w:type="character" w:styleId="Hyperlink">
    <w:name w:val="Hyperlink"/>
    <w:basedOn w:val="DefaultParagraphFont"/>
    <w:uiPriority w:val="99"/>
    <w:semiHidden/>
    <w:unhideWhenUsed/>
    <w:rsid w:val="005B103F"/>
    <w:rPr>
      <w:color w:val="0000FF"/>
      <w:u w:val="single"/>
    </w:rPr>
  </w:style>
  <w:style w:type="paragraph" w:styleId="ListParagraph">
    <w:name w:val="List Paragraph"/>
    <w:basedOn w:val="Normal"/>
    <w:uiPriority w:val="34"/>
    <w:qFormat/>
    <w:rsid w:val="005B103F"/>
    <w:pPr>
      <w:ind w:left="720"/>
      <w:contextualSpacing/>
    </w:pPr>
  </w:style>
  <w:style w:type="paragraph" w:styleId="FootnoteText">
    <w:name w:val="footnote text"/>
    <w:basedOn w:val="Normal"/>
    <w:link w:val="FootnoteTextChar"/>
    <w:uiPriority w:val="99"/>
    <w:semiHidden/>
    <w:unhideWhenUsed/>
    <w:rsid w:val="00364DF6"/>
    <w:rPr>
      <w:sz w:val="20"/>
      <w:szCs w:val="20"/>
    </w:rPr>
  </w:style>
  <w:style w:type="character" w:customStyle="1" w:styleId="FootnoteTextChar">
    <w:name w:val="Footnote Text Char"/>
    <w:basedOn w:val="DefaultParagraphFont"/>
    <w:link w:val="FootnoteText"/>
    <w:uiPriority w:val="99"/>
    <w:semiHidden/>
    <w:rsid w:val="00364DF6"/>
    <w:rPr>
      <w:sz w:val="20"/>
      <w:szCs w:val="20"/>
    </w:rPr>
  </w:style>
  <w:style w:type="character" w:styleId="FootnoteReference">
    <w:name w:val="footnote reference"/>
    <w:basedOn w:val="DefaultParagraphFont"/>
    <w:uiPriority w:val="99"/>
    <w:semiHidden/>
    <w:unhideWhenUsed/>
    <w:rsid w:val="00364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10920">
      <w:bodyDiv w:val="1"/>
      <w:marLeft w:val="0"/>
      <w:marRight w:val="0"/>
      <w:marTop w:val="0"/>
      <w:marBottom w:val="0"/>
      <w:divBdr>
        <w:top w:val="none" w:sz="0" w:space="0" w:color="auto"/>
        <w:left w:val="none" w:sz="0" w:space="0" w:color="auto"/>
        <w:bottom w:val="none" w:sz="0" w:space="0" w:color="auto"/>
        <w:right w:val="none" w:sz="0" w:space="0" w:color="auto"/>
      </w:divBdr>
      <w:divsChild>
        <w:div w:id="317534846">
          <w:marLeft w:val="0"/>
          <w:marRight w:val="0"/>
          <w:marTop w:val="0"/>
          <w:marBottom w:val="0"/>
          <w:divBdr>
            <w:top w:val="none" w:sz="0" w:space="0" w:color="auto"/>
            <w:left w:val="none" w:sz="0" w:space="0" w:color="auto"/>
            <w:bottom w:val="none" w:sz="0" w:space="0" w:color="auto"/>
            <w:right w:val="none" w:sz="0" w:space="0" w:color="auto"/>
          </w:divBdr>
          <w:divsChild>
            <w:div w:id="645940780">
              <w:marLeft w:val="0"/>
              <w:marRight w:val="0"/>
              <w:marTop w:val="0"/>
              <w:marBottom w:val="0"/>
              <w:divBdr>
                <w:top w:val="none" w:sz="0" w:space="0" w:color="auto"/>
                <w:left w:val="none" w:sz="0" w:space="0" w:color="auto"/>
                <w:bottom w:val="none" w:sz="0" w:space="0" w:color="auto"/>
                <w:right w:val="none" w:sz="0" w:space="0" w:color="auto"/>
              </w:divBdr>
              <w:divsChild>
                <w:div w:id="1676496182">
                  <w:marLeft w:val="0"/>
                  <w:marRight w:val="0"/>
                  <w:marTop w:val="0"/>
                  <w:marBottom w:val="0"/>
                  <w:divBdr>
                    <w:top w:val="none" w:sz="0" w:space="0" w:color="auto"/>
                    <w:left w:val="none" w:sz="0" w:space="0" w:color="auto"/>
                    <w:bottom w:val="none" w:sz="0" w:space="0" w:color="auto"/>
                    <w:right w:val="none" w:sz="0" w:space="0" w:color="auto"/>
                  </w:divBdr>
                  <w:divsChild>
                    <w:div w:id="1099831537">
                      <w:marLeft w:val="0"/>
                      <w:marRight w:val="0"/>
                      <w:marTop w:val="0"/>
                      <w:marBottom w:val="0"/>
                      <w:divBdr>
                        <w:top w:val="none" w:sz="0" w:space="0" w:color="auto"/>
                        <w:left w:val="none" w:sz="0" w:space="0" w:color="auto"/>
                        <w:bottom w:val="none" w:sz="0" w:space="0" w:color="auto"/>
                        <w:right w:val="none" w:sz="0" w:space="0" w:color="auto"/>
                      </w:divBdr>
                      <w:divsChild>
                        <w:div w:id="65760969">
                          <w:marLeft w:val="0"/>
                          <w:marRight w:val="0"/>
                          <w:marTop w:val="0"/>
                          <w:marBottom w:val="0"/>
                          <w:divBdr>
                            <w:top w:val="none" w:sz="0" w:space="0" w:color="auto"/>
                            <w:left w:val="none" w:sz="0" w:space="0" w:color="auto"/>
                            <w:bottom w:val="none" w:sz="0" w:space="0" w:color="auto"/>
                            <w:right w:val="none" w:sz="0" w:space="0" w:color="auto"/>
                          </w:divBdr>
                          <w:divsChild>
                            <w:div w:id="19654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al-astewani@lancaster.ac.uk" TargetMode="External"/><Relationship Id="rId4" Type="http://schemas.microsoft.com/office/2007/relationships/stylesWithEffects" Target="stylesWithEffects.xml"/><Relationship Id="rId9" Type="http://schemas.openxmlformats.org/officeDocument/2006/relationships/hyperlink" Target="mailto:a.al-astewani@lancast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7AA29-3801-4591-8657-5490FE7E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4</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Roundhouse</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Al - Astewani, Amin</cp:lastModifiedBy>
  <cp:revision>5</cp:revision>
  <dcterms:created xsi:type="dcterms:W3CDTF">2016-10-17T15:41:00Z</dcterms:created>
  <dcterms:modified xsi:type="dcterms:W3CDTF">2016-10-19T08:44:00Z</dcterms:modified>
</cp:coreProperties>
</file>