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14" w:rsidRDefault="00F21E14" w:rsidP="00F21E14">
      <w:pPr>
        <w:rPr>
          <w:b/>
        </w:rPr>
      </w:pPr>
      <w:proofErr w:type="gramStart"/>
      <w:r>
        <w:rPr>
          <w:b/>
        </w:rPr>
        <w:t xml:space="preserve">Disabling Dualisms: </w:t>
      </w:r>
      <w:r w:rsidRPr="00C57B99">
        <w:rPr>
          <w:b/>
        </w:rPr>
        <w:t xml:space="preserve">essentialism, social </w:t>
      </w:r>
      <w:proofErr w:type="spellStart"/>
      <w:r w:rsidRPr="00C57B99">
        <w:rPr>
          <w:b/>
        </w:rPr>
        <w:t>constructionism</w:t>
      </w:r>
      <w:proofErr w:type="spellEnd"/>
      <w:r w:rsidRPr="003A634F">
        <w:rPr>
          <w:b/>
          <w:i/>
        </w:rPr>
        <w:t xml:space="preserve"> </w:t>
      </w:r>
      <w:r>
        <w:rPr>
          <w:b/>
        </w:rPr>
        <w:t>and the explanatory power of higher education research.</w:t>
      </w:r>
      <w:proofErr w:type="gramEnd"/>
    </w:p>
    <w:p w:rsidR="001E0843" w:rsidRPr="003A634F" w:rsidRDefault="001E0843" w:rsidP="00F21E14">
      <w:pPr>
        <w:rPr>
          <w:b/>
        </w:rPr>
      </w:pPr>
      <w:r>
        <w:rPr>
          <w:b/>
        </w:rPr>
        <w:t>Paul Trowler, Lancaster University</w:t>
      </w:r>
    </w:p>
    <w:p w:rsidR="00890B28" w:rsidRDefault="00517D9D">
      <w:r>
        <w:t>Disabling dualisms (Sayer, 1997: 459) are oppositions in social science which close down alternative ways of thinking, create ontological</w:t>
      </w:r>
      <w:r w:rsidR="00C61D69">
        <w:t xml:space="preserve"> tunnel-</w:t>
      </w:r>
      <w:r>
        <w:t xml:space="preserve">vision and so inhibit nuanced explanations. In this think piece I discuss the essentialism-social </w:t>
      </w:r>
      <w:proofErr w:type="spellStart"/>
      <w:r>
        <w:t>constructionism</w:t>
      </w:r>
      <w:proofErr w:type="spellEnd"/>
      <w:r>
        <w:t xml:space="preserve"> duality</w:t>
      </w:r>
      <w:r>
        <w:rPr>
          <w:rStyle w:val="FootnoteReference"/>
        </w:rPr>
        <w:footnoteReference w:id="1"/>
      </w:r>
      <w:r>
        <w:t xml:space="preserve">. My emphasis is mainly on essentialism rather than social </w:t>
      </w:r>
      <w:proofErr w:type="spellStart"/>
      <w:r>
        <w:t>constructionism</w:t>
      </w:r>
      <w:proofErr w:type="spellEnd"/>
      <w:r>
        <w:t xml:space="preserve"> here because I want to argue that, while </w:t>
      </w:r>
      <w:r w:rsidRPr="00D12316">
        <w:rPr>
          <w:i/>
        </w:rPr>
        <w:t>strong</w:t>
      </w:r>
      <w:r>
        <w:t xml:space="preserve"> </w:t>
      </w:r>
      <w:r w:rsidR="00D12316">
        <w:t>essentialism (as seen in, for example, biological essentialism or African essentialism) is always bad</w:t>
      </w:r>
      <w:r>
        <w:t>, a moderate form of essentialism is necessary in the study of higher education (and social science generally).</w:t>
      </w:r>
    </w:p>
    <w:p w:rsidR="0083088E" w:rsidRDefault="00C61D69">
      <w:r>
        <w:t xml:space="preserve">I am interested in airing this duality with delegates at HECU6 because of the </w:t>
      </w:r>
      <w:r w:rsidR="00985398">
        <w:t xml:space="preserve">thesis of </w:t>
      </w:r>
      <w:r>
        <w:t xml:space="preserve">the book I edited with colleagues recently, </w:t>
      </w:r>
      <w:r w:rsidRPr="001F600B">
        <w:rPr>
          <w:i/>
        </w:rPr>
        <w:t>Tribes and Territories in the 21</w:t>
      </w:r>
      <w:r w:rsidRPr="001F600B">
        <w:rPr>
          <w:i/>
          <w:vertAlign w:val="superscript"/>
        </w:rPr>
        <w:t>st</w:t>
      </w:r>
      <w:r w:rsidRPr="001F600B">
        <w:rPr>
          <w:i/>
        </w:rPr>
        <w:t xml:space="preserve"> Century</w:t>
      </w:r>
      <w:r>
        <w:t xml:space="preserve"> (Trowler, </w:t>
      </w:r>
      <w:r w:rsidR="00A74EBB">
        <w:t>Saunders and Bamber, 2012). Here we set out the proposition that the original Tribes and Territories thesis (Becher, 1989</w:t>
      </w:r>
      <w:r w:rsidR="001E0843">
        <w:t>, subsequently modified in Becher and Trowler, 2001</w:t>
      </w:r>
      <w:r w:rsidR="00A74EBB">
        <w:t xml:space="preserve">) had been essentialist, positing the driver of disciplinary cultures as being the structure of knowledge within each discipline. These knowledge drivers, the original thesis ran, resulted (or would result) in distinctive tribal characteristics within each discipline that would be found across the world. </w:t>
      </w:r>
      <w:r w:rsidR="00C811BC">
        <w:t xml:space="preserve">Other authors followed this line, or developed a similar essentialist one themselves. Arguments </w:t>
      </w:r>
      <w:r w:rsidR="00A74EBB">
        <w:t>by Janet Donald (1995) and by Ruth Neumann et al (2002)</w:t>
      </w:r>
      <w:r w:rsidR="005642B4">
        <w:t>,</w:t>
      </w:r>
      <w:r w:rsidR="00A74EBB">
        <w:t xml:space="preserve"> </w:t>
      </w:r>
      <w:r w:rsidR="00C811BC">
        <w:t>for example</w:t>
      </w:r>
      <w:r w:rsidR="005642B4">
        <w:t>,</w:t>
      </w:r>
      <w:r w:rsidR="00A74EBB">
        <w:t xml:space="preserve"> tr</w:t>
      </w:r>
      <w:r w:rsidR="004A03D7">
        <w:t xml:space="preserve">ied to articulate the distinctive </w:t>
      </w:r>
      <w:r w:rsidR="00A74EBB">
        <w:t xml:space="preserve">characteristics of practices in different disciplines </w:t>
      </w:r>
      <w:r w:rsidR="00C811BC">
        <w:t>with regard to learning and teaching</w:t>
      </w:r>
      <w:r w:rsidR="00792195">
        <w:t>, generated by differences in their knowledge structures</w:t>
      </w:r>
      <w:r w:rsidR="00C811BC">
        <w:t xml:space="preserve">. But in our 2012 book and earlier (Trowler, </w:t>
      </w:r>
      <w:r w:rsidR="00822C6D">
        <w:t xml:space="preserve">1998; </w:t>
      </w:r>
      <w:r w:rsidR="00C811BC">
        <w:t>2008) I depicted these as ill-</w:t>
      </w:r>
      <w:r w:rsidR="00A74EBB">
        <w:t>founded</w:t>
      </w:r>
      <w:r w:rsidR="00C811BC">
        <w:t xml:space="preserve"> and essentialist</w:t>
      </w:r>
      <w:r w:rsidR="00A74EBB">
        <w:t xml:space="preserve">: they </w:t>
      </w:r>
      <w:r w:rsidR="005642B4">
        <w:t xml:space="preserve">largely </w:t>
      </w:r>
      <w:r w:rsidR="00A74EBB">
        <w:t xml:space="preserve">see disciplines as </w:t>
      </w:r>
      <w:r w:rsidR="00C811BC">
        <w:t xml:space="preserve">a </w:t>
      </w:r>
      <w:r w:rsidR="00A74EBB">
        <w:t>static</w:t>
      </w:r>
      <w:r w:rsidR="00985398">
        <w:t>, homogenous</w:t>
      </w:r>
      <w:r w:rsidR="00A74EBB">
        <w:t xml:space="preserve"> and </w:t>
      </w:r>
      <w:r w:rsidR="00C811BC">
        <w:t xml:space="preserve">dominant force, </w:t>
      </w:r>
      <w:r w:rsidR="00A74EBB">
        <w:t>determining</w:t>
      </w:r>
      <w:r w:rsidR="00C811BC">
        <w:t xml:space="preserve"> behaviours in highly structured wa</w:t>
      </w:r>
      <w:r w:rsidR="0083088E">
        <w:t>ys and depicting regularities in university life which simply aren’t there</w:t>
      </w:r>
      <w:r w:rsidR="00985398">
        <w:t xml:space="preserve"> now:</w:t>
      </w:r>
      <w:r w:rsidR="00A74EBB">
        <w:t xml:space="preserve"> </w:t>
      </w:r>
    </w:p>
    <w:p w:rsidR="0083088E" w:rsidRDefault="00EE24D8" w:rsidP="00EE24D8">
      <w:pPr>
        <w:pStyle w:val="Referencequotation"/>
      </w:pPr>
      <w:r w:rsidRPr="00EE24D8">
        <w:t>Psychology professors talked of developing students’ capabilities through a series of courses which focus on different methods…In education, case studies are seen as important instructional methods to aid students in making complex situations coherent. English literature professors paid attention to the analysis of text to determine the underlying assumptions…and they were concerned with the development of argument in their courses. (Donald, 1995: 16)</w:t>
      </w:r>
    </w:p>
    <w:p w:rsidR="00EE24D8" w:rsidRDefault="00527855">
      <w:r>
        <w:t xml:space="preserve">On the contrary, </w:t>
      </w:r>
      <w:r w:rsidR="00A74EBB">
        <w:t xml:space="preserve">academics’ practices </w:t>
      </w:r>
      <w:r w:rsidR="0083088E">
        <w:t>are</w:t>
      </w:r>
      <w:r w:rsidR="00A74EBB">
        <w:t xml:space="preserve"> being driven by multipl</w:t>
      </w:r>
      <w:r w:rsidR="004A03D7">
        <w:t>e forces now, and academics</w:t>
      </w:r>
      <w:r w:rsidR="00A74EBB">
        <w:t xml:space="preserve"> </w:t>
      </w:r>
      <w:r w:rsidR="0083088E">
        <w:t>are</w:t>
      </w:r>
      <w:r w:rsidR="00A74EBB">
        <w:t xml:space="preserve"> required to do many different sorts of thi</w:t>
      </w:r>
      <w:r w:rsidR="00985398">
        <w:t>ng. In addition, the nature of ‘the discipline’</w:t>
      </w:r>
      <w:r w:rsidR="00A74EBB">
        <w:t xml:space="preserve"> in research practices </w:t>
      </w:r>
      <w:r w:rsidR="0083088E">
        <w:t>is</w:t>
      </w:r>
      <w:r w:rsidR="00A74EBB">
        <w:t xml:space="preserve"> re-cont</w:t>
      </w:r>
      <w:r w:rsidR="0083088E">
        <w:t>extualised when academics turn</w:t>
      </w:r>
      <w:r w:rsidR="00A74EBB">
        <w:t xml:space="preserve"> to learning and </w:t>
      </w:r>
      <w:r w:rsidR="00A74EBB">
        <w:lastRenderedPageBreak/>
        <w:t xml:space="preserve">teaching, and re-contextualised again in committee meetings, practices associated with winning funding, and so on. </w:t>
      </w:r>
      <w:r w:rsidR="0083088E">
        <w:t>I draw</w:t>
      </w:r>
      <w:r w:rsidR="00A74EBB">
        <w:t xml:space="preserve"> on Bernstein’s work (2000) on the pedagogic device, </w:t>
      </w:r>
      <w:r w:rsidR="0083088E">
        <w:t>and extend</w:t>
      </w:r>
      <w:r w:rsidR="00A74EBB">
        <w:t xml:space="preserve"> it</w:t>
      </w:r>
      <w:r w:rsidR="005642B4">
        <w:t>,</w:t>
      </w:r>
      <w:r w:rsidR="0083088E">
        <w:t xml:space="preserve"> in making this </w:t>
      </w:r>
      <w:r w:rsidR="00985398">
        <w:t xml:space="preserve">relational </w:t>
      </w:r>
      <w:r w:rsidR="0083088E">
        <w:t>argument</w:t>
      </w:r>
      <w:r w:rsidR="00792195">
        <w:t>. So,</w:t>
      </w:r>
      <w:r w:rsidR="00985398">
        <w:t xml:space="preserve"> ‘disciplinary practices’</w:t>
      </w:r>
      <w:r w:rsidR="00A74EBB">
        <w:t xml:space="preserve"> should be seen as unstable, contextually contingent and shaped by multiple strong forces.</w:t>
      </w:r>
      <w:r w:rsidR="00792195">
        <w:t xml:space="preserve"> As a result, w</w:t>
      </w:r>
      <w:r>
        <w:t xml:space="preserve">hat we can say </w:t>
      </w:r>
      <w:r w:rsidR="00EE24D8">
        <w:t xml:space="preserve">for example </w:t>
      </w:r>
      <w:r w:rsidR="004A03D7">
        <w:t>about sociologists worldwide</w:t>
      </w:r>
      <w:r>
        <w:t xml:space="preserve"> as a category is rather limited. </w:t>
      </w:r>
    </w:p>
    <w:p w:rsidR="00EE24D8" w:rsidRDefault="00EE24D8" w:rsidP="00EE24D8">
      <w:r>
        <w:t xml:space="preserve">So what, precisely, is </w:t>
      </w:r>
      <w:r w:rsidR="00985398">
        <w:t>‘</w:t>
      </w:r>
      <w:r>
        <w:t>essentialism’? The concept requires</w:t>
      </w:r>
      <w:r w:rsidRPr="00EE24D8">
        <w:t xml:space="preserve"> two things: that a phenomenon has a definable and necessary character, an essential property or properties, and that these characteristics have generative power; that is, their presence significantly affects other phenomena around them</w:t>
      </w:r>
      <w:r w:rsidRPr="00EE24D8">
        <w:rPr>
          <w:vertAlign w:val="superscript"/>
        </w:rPr>
        <w:footnoteReference w:id="2"/>
      </w:r>
      <w:r w:rsidRPr="00EE24D8">
        <w:t xml:space="preserve">. </w:t>
      </w:r>
      <w:r>
        <w:t>Again, Janet Donald illustrates the first characteristic in taking an essentialist approach to defining ‘discipline’</w:t>
      </w:r>
      <w:r w:rsidR="002B0941">
        <w:rPr>
          <w:rStyle w:val="FootnoteReference"/>
        </w:rPr>
        <w:footnoteReference w:id="3"/>
      </w:r>
      <w:r>
        <w:t>. It is, she says:</w:t>
      </w:r>
    </w:p>
    <w:p w:rsidR="00EE24D8" w:rsidRDefault="00EE24D8" w:rsidP="00EE24D8">
      <w:pPr>
        <w:pStyle w:val="Referencequotation"/>
      </w:pPr>
      <w:proofErr w:type="gramStart"/>
      <w:r w:rsidRPr="00EE24D8">
        <w:t>a</w:t>
      </w:r>
      <w:proofErr w:type="gramEnd"/>
      <w:r w:rsidRPr="00EE24D8">
        <w:t xml:space="preserve"> body of knowledge with a reasonably logical taxonomy, a specialized vocabulary, an accepted body of theory, a systematic research strategy, and techniques for replication and validity</w:t>
      </w:r>
      <w:r w:rsidR="00037DDD">
        <w:t>. (Donald, 2002: 8)</w:t>
      </w:r>
    </w:p>
    <w:p w:rsidR="00EE24D8" w:rsidRDefault="00EE24D8" w:rsidP="00EE24D8">
      <w:r>
        <w:t>Compare this to a social constructionist definition:</w:t>
      </w:r>
    </w:p>
    <w:p w:rsidR="00EE24D8" w:rsidRDefault="00037DDD" w:rsidP="00037DDD">
      <w:pPr>
        <w:pStyle w:val="Referencequotation"/>
      </w:pPr>
      <w:r w:rsidRPr="00037DDD">
        <w:t>Disciplines...are cartels that organize markets for the production and employment of students by excluding those job-seekers who are not products of the cartel</w:t>
      </w:r>
      <w:r>
        <w:t>. (Turner, 2000</w:t>
      </w:r>
      <w:r w:rsidR="00920236">
        <w:t>: 51</w:t>
      </w:r>
      <w:r>
        <w:t>).</w:t>
      </w:r>
    </w:p>
    <w:p w:rsidR="00EE24D8" w:rsidRDefault="00805D6F" w:rsidP="00EE24D8">
      <w:r>
        <w:t xml:space="preserve">The second characteristic of essentialism, its generative power, is evident in the </w:t>
      </w:r>
      <w:r w:rsidR="00985398">
        <w:t>original</w:t>
      </w:r>
      <w:r>
        <w:t xml:space="preserve"> Tribes and Territories thesis: it not only assumes</w:t>
      </w:r>
      <w:r w:rsidR="00EE24D8" w:rsidRPr="00EE24D8">
        <w:t xml:space="preserve"> that each discipline has particular and essential knowledge properties</w:t>
      </w:r>
      <w:r>
        <w:t xml:space="preserve">, but </w:t>
      </w:r>
      <w:r w:rsidR="00EE24D8" w:rsidRPr="00EE24D8">
        <w:t xml:space="preserve">that these properties </w:t>
      </w:r>
      <w:r>
        <w:t>are</w:t>
      </w:r>
      <w:r w:rsidR="00EE24D8" w:rsidRPr="00EE24D8">
        <w:t xml:space="preserve"> generative, in a direct and universal way, of specific cultural characteristics among disciplinary practitioners. </w:t>
      </w:r>
      <w:r w:rsidR="00985398">
        <w:t>This even extends to leisure-time: “</w:t>
      </w:r>
      <w:r w:rsidR="00822C6D">
        <w:t>physicists were inclined towards an interest in the theatre, art and music, whereas the engineers’ typical leisure activities included aviation, deep-sea diving and ‘messin</w:t>
      </w:r>
      <w:r w:rsidR="00591169">
        <w:t>g about in boats’” (Becher, 1989: 106).</w:t>
      </w:r>
    </w:p>
    <w:p w:rsidR="00FB483D" w:rsidRDefault="00FB483D" w:rsidP="00EE24D8">
      <w:r>
        <w:t>But in critiquing such arguments as essentialist it is important not to simply jump to the social constructionist pole of duality, adopting what Young (2000) rightly criticises as a relativist ‘voice’ argument about disciplines: that they are whatever their practitioners say they are.</w:t>
      </w:r>
      <w:r w:rsidR="009C6DFF">
        <w:t xml:space="preserve"> That</w:t>
      </w:r>
      <w:r w:rsidR="006C4722">
        <w:t xml:space="preserve"> jump would e</w:t>
      </w:r>
      <w:r w:rsidR="00985398">
        <w:t>xemplify the ontological tunnel-</w:t>
      </w:r>
      <w:r w:rsidR="006C4722">
        <w:t>vision described in my opening sentence.</w:t>
      </w:r>
    </w:p>
    <w:p w:rsidR="00004A88" w:rsidRPr="00004A88" w:rsidRDefault="00004A88" w:rsidP="00004A88">
      <w:r>
        <w:t>Instead, social science, the study of higher education, and the account of practices in and across disciplines in universities</w:t>
      </w:r>
      <w:r w:rsidRPr="00004A88">
        <w:t xml:space="preserve"> actually </w:t>
      </w:r>
      <w:r w:rsidRPr="00004A88">
        <w:rPr>
          <w:i/>
        </w:rPr>
        <w:t>need</w:t>
      </w:r>
      <w:r w:rsidRPr="00004A88">
        <w:t xml:space="preserve"> a moderate form of essentialism in order to </w:t>
      </w:r>
      <w:r w:rsidRPr="00004A88">
        <w:lastRenderedPageBreak/>
        <w:t>offer anything that has "practical adequacy"</w:t>
      </w:r>
      <w:r>
        <w:t xml:space="preserve"> (Sayer, 1997; 2010)</w:t>
      </w:r>
      <w:r w:rsidRPr="00004A88">
        <w:t xml:space="preserve">, that is usefully illuminating and can actually be applied. </w:t>
      </w:r>
    </w:p>
    <w:p w:rsidR="00004A88" w:rsidRPr="00004A88" w:rsidRDefault="00004A88" w:rsidP="00004A88">
      <w:r w:rsidRPr="00004A88">
        <w:t>So what is th</w:t>
      </w:r>
      <w:r>
        <w:t>is ‘moderate essentialism’</w:t>
      </w:r>
      <w:r w:rsidRPr="00004A88">
        <w:t xml:space="preserve">, and why is it necessary in social science? </w:t>
      </w:r>
    </w:p>
    <w:p w:rsidR="00004A88" w:rsidRPr="00004A88" w:rsidRDefault="00004A88" w:rsidP="00004A88">
      <w:r>
        <w:t>A</w:t>
      </w:r>
      <w:r w:rsidRPr="00004A88">
        <w:t xml:space="preserve"> moderate form of essentialism achieves </w:t>
      </w:r>
      <w:r>
        <w:t xml:space="preserve">the leap beyond disabling dualities </w:t>
      </w:r>
      <w:r w:rsidR="009C6DFF">
        <w:t>to a more</w:t>
      </w:r>
      <w:r w:rsidRPr="00004A88">
        <w:t xml:space="preserve"> nuanced ontology because:</w:t>
      </w:r>
    </w:p>
    <w:p w:rsidR="00004A88" w:rsidRPr="00004A88" w:rsidRDefault="00004A88" w:rsidP="00004A88">
      <w:pPr>
        <w:numPr>
          <w:ilvl w:val="0"/>
          <w:numId w:val="1"/>
        </w:numPr>
      </w:pPr>
      <w:r w:rsidRPr="00004A88">
        <w:t>It does not assert that all member</w:t>
      </w:r>
      <w:r>
        <w:t>s of a class or ‘set’</w:t>
      </w:r>
      <w:r w:rsidRPr="00004A88">
        <w:t xml:space="preserve"> are identical, only that they have some defining features in common. </w:t>
      </w:r>
      <w:r>
        <w:t>So academic historians, for example</w:t>
      </w:r>
      <w:r w:rsidR="00677CC0">
        <w:t>, may display very different characteristics in different universities, though there are still common features (or they wouldn’t belong to the category ‘academic historians’).</w:t>
      </w:r>
    </w:p>
    <w:p w:rsidR="00004A88" w:rsidRDefault="00004A88" w:rsidP="00004A88">
      <w:pPr>
        <w:numPr>
          <w:ilvl w:val="0"/>
          <w:numId w:val="1"/>
        </w:numPr>
      </w:pPr>
      <w:r w:rsidRPr="00004A88">
        <w:t xml:space="preserve">Those defining features may be different at different levels of analysis, </w:t>
      </w:r>
      <w:r>
        <w:t>different ‘ontological strata’</w:t>
      </w:r>
      <w:r w:rsidR="00E067D9">
        <w:t xml:space="preserve"> (Sayer, 1997)</w:t>
      </w:r>
      <w:r>
        <w:t xml:space="preserve">. So disciplines viewed from a distance do have certain common characteristics, but viewed close up those characteristics crumble in </w:t>
      </w:r>
      <w:r w:rsidR="00E067D9">
        <w:t xml:space="preserve">the analytical </w:t>
      </w:r>
      <w:r>
        <w:t xml:space="preserve">hand – yet other characteristics come to the fore. </w:t>
      </w:r>
      <w:r w:rsidR="005642B4">
        <w:t>This is a particularly salient point for a conference about ‘close up’ research.</w:t>
      </w:r>
    </w:p>
    <w:p w:rsidR="00004A88" w:rsidRPr="00004A88" w:rsidRDefault="00004A88" w:rsidP="00004A88">
      <w:pPr>
        <w:numPr>
          <w:ilvl w:val="0"/>
          <w:numId w:val="1"/>
        </w:numPr>
      </w:pPr>
      <w:r>
        <w:t>The defining features can be different in respect of different sets of relations. So disciplines as articulated in a research context are different than whe</w:t>
      </w:r>
      <w:r w:rsidR="00677CC0">
        <w:t xml:space="preserve">n articulated in </w:t>
      </w:r>
      <w:r>
        <w:t>learning</w:t>
      </w:r>
      <w:r w:rsidR="00E1235F">
        <w:t xml:space="preserve"> and teaching</w:t>
      </w:r>
      <w:r>
        <w:t xml:space="preserve"> context</w:t>
      </w:r>
      <w:r w:rsidR="00677CC0">
        <w:t>s</w:t>
      </w:r>
      <w:r>
        <w:t xml:space="preserve">. This distinction is </w:t>
      </w:r>
      <w:proofErr w:type="gramStart"/>
      <w:r>
        <w:t>key</w:t>
      </w:r>
      <w:proofErr w:type="gramEnd"/>
      <w:r>
        <w:t xml:space="preserve"> in Bernstein’s notion of the pedagogic device and his distinction between </w:t>
      </w:r>
      <w:r w:rsidRPr="00004A88">
        <w:rPr>
          <w:i/>
        </w:rPr>
        <w:t>discipline as research</w:t>
      </w:r>
      <w:r>
        <w:t xml:space="preserve"> and </w:t>
      </w:r>
      <w:r w:rsidRPr="0044109D">
        <w:rPr>
          <w:i/>
        </w:rPr>
        <w:t>discipline as curriculum</w:t>
      </w:r>
      <w:r>
        <w:t xml:space="preserve">. </w:t>
      </w:r>
    </w:p>
    <w:p w:rsidR="00004A88" w:rsidRPr="00004A88" w:rsidRDefault="0007025E" w:rsidP="00004A88">
      <w:pPr>
        <w:numPr>
          <w:ilvl w:val="0"/>
          <w:numId w:val="1"/>
        </w:numPr>
      </w:pPr>
      <w:r>
        <w:t>A moderate form of essentialism does not assert that the distinguishing</w:t>
      </w:r>
      <w:r w:rsidR="00004A88" w:rsidRPr="00004A88">
        <w:t xml:space="preserve"> features </w:t>
      </w:r>
      <w:r>
        <w:t xml:space="preserve">of a phenomenon such as disciplines </w:t>
      </w:r>
      <w:r w:rsidR="00004A88" w:rsidRPr="00004A88">
        <w:t>are permanent</w:t>
      </w:r>
      <w:r>
        <w:t>, at whatever ontological stratum one views them. A</w:t>
      </w:r>
      <w:r w:rsidR="00004A88" w:rsidRPr="00004A88">
        <w:t xml:space="preserve"> discipline can change very markedly over time, but it is still ‘the same’ dis</w:t>
      </w:r>
      <w:r>
        <w:t xml:space="preserve">cipline. </w:t>
      </w:r>
    </w:p>
    <w:p w:rsidR="00004A88" w:rsidRPr="00004A88" w:rsidRDefault="0007025E" w:rsidP="0007025E">
      <w:pPr>
        <w:numPr>
          <w:ilvl w:val="0"/>
          <w:numId w:val="1"/>
        </w:numPr>
      </w:pPr>
      <w:r>
        <w:t>It does not assert that the essential characteristics of a phenomenon such as disciplines</w:t>
      </w:r>
      <w:r w:rsidR="00004A88" w:rsidRPr="00004A88">
        <w:t xml:space="preserve"> are even necessarily significant </w:t>
      </w:r>
      <w:r>
        <w:t xml:space="preserve">or </w:t>
      </w:r>
      <w:r w:rsidR="008C1B34">
        <w:t xml:space="preserve">themselves </w:t>
      </w:r>
      <w:r>
        <w:t>generative. There is no</w:t>
      </w:r>
      <w:r w:rsidRPr="00004A88">
        <w:t xml:space="preserve"> necessary correspondence between the essential properties and the generative properties of a class of objects</w:t>
      </w:r>
      <w:r w:rsidR="00E067D9">
        <w:t xml:space="preserve">. </w:t>
      </w:r>
      <w:r>
        <w:t>T</w:t>
      </w:r>
      <w:r w:rsidR="00004A88" w:rsidRPr="00004A88">
        <w:t>hey ma</w:t>
      </w:r>
      <w:r>
        <w:t xml:space="preserve">y be </w:t>
      </w:r>
      <w:proofErr w:type="gramStart"/>
      <w:r>
        <w:t>trivial,</w:t>
      </w:r>
      <w:proofErr w:type="gramEnd"/>
      <w:r>
        <w:t xml:space="preserve"> and insignificant compared to ‘accidental’ properties in terms of effecting changes in other phenomena.</w:t>
      </w:r>
    </w:p>
    <w:p w:rsidR="00004A88" w:rsidRPr="00004A88" w:rsidRDefault="00004A88" w:rsidP="00004A88">
      <w:r w:rsidRPr="00004A88">
        <w:t>So, an ontological standpoint based on this set of propositions is that objects such as disciplines can have multiple essences, depending on their sets of relations and the level of analysis at which they are viewed. They also have varying generative properties</w:t>
      </w:r>
      <w:r w:rsidR="00E067D9">
        <w:t xml:space="preserve"> of different power which are </w:t>
      </w:r>
      <w:r w:rsidR="00E067D9" w:rsidRPr="00004A88">
        <w:t xml:space="preserve">not necessarily linked to their essential properties </w:t>
      </w:r>
      <w:r w:rsidR="00E067D9">
        <w:t xml:space="preserve">and </w:t>
      </w:r>
      <w:r w:rsidRPr="00004A88">
        <w:t>some of which</w:t>
      </w:r>
      <w:r w:rsidR="00E067D9">
        <w:t xml:space="preserve"> are not unique to them</w:t>
      </w:r>
      <w:r w:rsidRPr="00004A88">
        <w:t xml:space="preserve">. </w:t>
      </w:r>
    </w:p>
    <w:p w:rsidR="00004A88" w:rsidRPr="00004A88" w:rsidRDefault="0007025E" w:rsidP="00004A88">
      <w:r>
        <w:t xml:space="preserve">Discussing these issues at an abstract level, </w:t>
      </w:r>
      <w:r w:rsidR="00004A88" w:rsidRPr="00004A88">
        <w:t xml:space="preserve">Sayer </w:t>
      </w:r>
      <w:r>
        <w:t xml:space="preserve">(1997) </w:t>
      </w:r>
      <w:r w:rsidR="00004A88" w:rsidRPr="00004A88">
        <w:t xml:space="preserve">points out </w:t>
      </w:r>
      <w:proofErr w:type="gramStart"/>
      <w:r w:rsidR="00E067D9">
        <w:t>that hard categorical boundaries</w:t>
      </w:r>
      <w:proofErr w:type="gramEnd"/>
      <w:r w:rsidR="00004A88" w:rsidRPr="00004A88">
        <w:t>:</w:t>
      </w:r>
    </w:p>
    <w:p w:rsidR="00004A88" w:rsidRPr="00004A88" w:rsidRDefault="00E067D9" w:rsidP="0007025E">
      <w:pPr>
        <w:pStyle w:val="Referencequotation"/>
      </w:pPr>
      <w:r>
        <w:lastRenderedPageBreak/>
        <w:t>...</w:t>
      </w:r>
      <w:r w:rsidR="0007025E">
        <w:t xml:space="preserve"> </w:t>
      </w:r>
      <w:proofErr w:type="gramStart"/>
      <w:r w:rsidR="0007025E">
        <w:t>conceal</w:t>
      </w:r>
      <w:proofErr w:type="gramEnd"/>
      <w:r w:rsidR="00004A88" w:rsidRPr="00004A88">
        <w:t xml:space="preserve"> fuzzy, complex, shifting transitions, with the distinctions often being the subject of </w:t>
      </w:r>
      <w:r w:rsidR="0007025E">
        <w:t>social struggle. In particular, familiar bi-polar distinctions.... s</w:t>
      </w:r>
      <w:r w:rsidR="00004A88" w:rsidRPr="00004A88">
        <w:t xml:space="preserve">uppress difference and </w:t>
      </w:r>
      <w:proofErr w:type="spellStart"/>
      <w:r w:rsidR="00004A88" w:rsidRPr="00004A88">
        <w:t>hybridity</w:t>
      </w:r>
      <w:proofErr w:type="spellEnd"/>
      <w:r w:rsidR="00004A88" w:rsidRPr="00004A88">
        <w:t>. (</w:t>
      </w:r>
      <w:r w:rsidR="0007025E">
        <w:t xml:space="preserve">Sayer, 1997: </w:t>
      </w:r>
      <w:r w:rsidR="00004A88" w:rsidRPr="00004A88">
        <w:t>460)</w:t>
      </w:r>
    </w:p>
    <w:p w:rsidR="001B4B11" w:rsidRDefault="00004A88" w:rsidP="00004A88">
      <w:r w:rsidRPr="00004A88">
        <w:t xml:space="preserve">This is exactly </w:t>
      </w:r>
      <w:r w:rsidR="001B4B11">
        <w:t>my</w:t>
      </w:r>
      <w:r w:rsidRPr="00004A88">
        <w:t xml:space="preserve"> argu</w:t>
      </w:r>
      <w:r w:rsidR="001B4B11">
        <w:t xml:space="preserve">ment </w:t>
      </w:r>
      <w:r w:rsidRPr="00004A88">
        <w:t>about di</w:t>
      </w:r>
      <w:r w:rsidR="00C247C0">
        <w:t>sciplines. It is an error to attempt to ‘fix’ them and to map their borders for all time and all circumstances.  T</w:t>
      </w:r>
      <w:r w:rsidR="001B4B11">
        <w:t>hey are the sit</w:t>
      </w:r>
      <w:r w:rsidRPr="00004A88">
        <w:t>e of struggle of competing viewpoints</w:t>
      </w:r>
      <w:r w:rsidR="00C247C0">
        <w:t>,</w:t>
      </w:r>
      <w:r w:rsidRPr="00004A88">
        <w:t xml:space="preserve"> </w:t>
      </w:r>
      <w:r w:rsidR="001B4B11">
        <w:t>and often there are</w:t>
      </w:r>
      <w:r w:rsidRPr="00004A88">
        <w:t xml:space="preserve"> more similarities than differences between, say, critical legal studies and sociology, with greater divisions insid</w:t>
      </w:r>
      <w:r w:rsidR="001B4B11">
        <w:t>e academic law</w:t>
      </w:r>
      <w:r w:rsidR="00744B3C">
        <w:t xml:space="preserve"> (at least as articulated in some places)</w:t>
      </w:r>
      <w:r w:rsidR="001B4B11">
        <w:t xml:space="preserve"> than there are</w:t>
      </w:r>
      <w:r w:rsidRPr="00004A88">
        <w:t xml:space="preserve"> between those two disciplines.</w:t>
      </w:r>
      <w:r w:rsidR="001B4B11">
        <w:t xml:space="preserve"> </w:t>
      </w:r>
      <w:r w:rsidR="00C247C0">
        <w:t xml:space="preserve">Essentialist accounts flatten out internal differences and occlude complexity. </w:t>
      </w:r>
      <w:r w:rsidR="001B4B11">
        <w:t xml:space="preserve">Nonetheless, we should not confuse </w:t>
      </w:r>
      <w:r w:rsidRPr="00004A88">
        <w:t>essential pr</w:t>
      </w:r>
      <w:r w:rsidR="001B4B11">
        <w:t>operties and accidental properties: there</w:t>
      </w:r>
      <w:r w:rsidRPr="00004A88">
        <w:t xml:space="preserve"> can be huge differences in the accidental properties of, say, academic law, but it still </w:t>
      </w:r>
      <w:r w:rsidRPr="001B4B11">
        <w:rPr>
          <w:i/>
        </w:rPr>
        <w:t>remains</w:t>
      </w:r>
      <w:r w:rsidRPr="00004A88">
        <w:t xml:space="preserve"> academic law as long as the essential properties (considered at a particular ontological stratum and in particular relational context) remain in place.</w:t>
      </w:r>
    </w:p>
    <w:p w:rsidR="00487DAD" w:rsidRDefault="00004A88" w:rsidP="00004A88">
      <w:r w:rsidRPr="00004A88">
        <w:t>This</w:t>
      </w:r>
      <w:r w:rsidR="00941A2F">
        <w:t>,</w:t>
      </w:r>
      <w:r w:rsidRPr="00004A88">
        <w:t xml:space="preserve"> </w:t>
      </w:r>
      <w:r w:rsidR="001B4B11">
        <w:t>though</w:t>
      </w:r>
      <w:r w:rsidR="00941A2F">
        <w:t>,</w:t>
      </w:r>
      <w:r w:rsidR="001B4B11">
        <w:t xml:space="preserve"> does leave</w:t>
      </w:r>
      <w:r w:rsidRPr="00004A88">
        <w:t xml:space="preserve"> us with a problem in defining the essence of thing</w:t>
      </w:r>
      <w:r w:rsidR="00C247C0">
        <w:t>s</w:t>
      </w:r>
      <w:r w:rsidRPr="00004A88">
        <w:t xml:space="preserve">. </w:t>
      </w:r>
      <w:r w:rsidR="001B4B11">
        <w:t>H</w:t>
      </w:r>
      <w:r w:rsidRPr="00004A88">
        <w:t xml:space="preserve">ow much change can a </w:t>
      </w:r>
      <w:r w:rsidR="001B4B11">
        <w:t>discipline</w:t>
      </w:r>
      <w:r w:rsidRPr="00004A88">
        <w:t xml:space="preserve"> undergo</w:t>
      </w:r>
      <w:r w:rsidR="001B4B11">
        <w:t xml:space="preserve">, and how much internal diversity must there be before we conclude </w:t>
      </w:r>
      <w:r w:rsidR="00487DAD">
        <w:t>that it is no longer what it was?</w:t>
      </w:r>
      <w:r w:rsidRPr="00004A88">
        <w:t xml:space="preserve"> </w:t>
      </w:r>
      <w:r w:rsidR="00C247C0">
        <w:t xml:space="preserve">I will leave that question open here but expand on a response in my keynote. </w:t>
      </w:r>
      <w:r w:rsidR="00A739D0">
        <w:t xml:space="preserve">I will draw on </w:t>
      </w:r>
      <w:proofErr w:type="spellStart"/>
      <w:r w:rsidR="00A739D0">
        <w:t>Bowker</w:t>
      </w:r>
      <w:proofErr w:type="spellEnd"/>
      <w:r w:rsidR="00A739D0">
        <w:t xml:space="preserve"> and Star’s work (2000) to deconstruct the commonly heard phrase “I couldn’t define it, but I know it when I see it.” The notion of ‘recognisability’ is </w:t>
      </w:r>
      <w:proofErr w:type="gramStart"/>
      <w:r w:rsidR="00A739D0">
        <w:t>key</w:t>
      </w:r>
      <w:proofErr w:type="gramEnd"/>
      <w:r w:rsidR="00A739D0">
        <w:t xml:space="preserve"> </w:t>
      </w:r>
      <w:r w:rsidR="00941A2F">
        <w:t>in tackling that question</w:t>
      </w:r>
      <w:r w:rsidR="00A739D0">
        <w:t>.</w:t>
      </w:r>
    </w:p>
    <w:p w:rsidR="00487DAD" w:rsidRDefault="00BF04A1" w:rsidP="00004A88">
      <w:r>
        <w:t>That</w:t>
      </w:r>
      <w:r w:rsidR="00004A88" w:rsidRPr="00004A88">
        <w:t xml:space="preserve"> </w:t>
      </w:r>
      <w:r>
        <w:t>issue</w:t>
      </w:r>
      <w:r w:rsidR="00004A88" w:rsidRPr="00004A88">
        <w:t xml:space="preserve"> is not just an academic one</w:t>
      </w:r>
      <w:r w:rsidR="00487DAD">
        <w:t xml:space="preserve"> </w:t>
      </w:r>
      <w:r w:rsidR="00004A88" w:rsidRPr="00004A88">
        <w:t>-</w:t>
      </w:r>
      <w:r w:rsidR="00487DAD">
        <w:t xml:space="preserve"> </w:t>
      </w:r>
      <w:r w:rsidR="00004A88" w:rsidRPr="00004A88">
        <w:t>it ha</w:t>
      </w:r>
      <w:r w:rsidR="00487DAD">
        <w:t>s real consequences</w:t>
      </w:r>
      <w:r w:rsidR="00004A88" w:rsidRPr="00004A88">
        <w:t xml:space="preserve">. For example there have been heated debates about whether schoolchildren doing </w:t>
      </w:r>
      <w:r w:rsidR="00F634AC">
        <w:t>arithmetic</w:t>
      </w:r>
      <w:r w:rsidR="00004A88" w:rsidRPr="00004A88">
        <w:t xml:space="preserve"> with a calculator are </w:t>
      </w:r>
      <w:r w:rsidR="00004A88" w:rsidRPr="00004A88">
        <w:rPr>
          <w:i/>
        </w:rPr>
        <w:t>really</w:t>
      </w:r>
      <w:r w:rsidR="00004A88" w:rsidRPr="00004A88">
        <w:t xml:space="preserve"> doi</w:t>
      </w:r>
      <w:r w:rsidR="00487DAD">
        <w:t xml:space="preserve">ng mathematics, or whether </w:t>
      </w:r>
      <w:r w:rsidR="00A739D0">
        <w:t xml:space="preserve">the </w:t>
      </w:r>
      <w:proofErr w:type="spellStart"/>
      <w:r w:rsidR="00487DAD">
        <w:t>pole</w:t>
      </w:r>
      <w:r w:rsidR="00004A88" w:rsidRPr="00004A88">
        <w:t>vaulter</w:t>
      </w:r>
      <w:proofErr w:type="spellEnd"/>
      <w:r w:rsidR="00004A88" w:rsidRPr="00004A88">
        <w:t xml:space="preserve"> who has a new high-performance technologically-enhanced pole is </w:t>
      </w:r>
      <w:r w:rsidR="00004A88" w:rsidRPr="00004A88">
        <w:rPr>
          <w:i/>
        </w:rPr>
        <w:t>really</w:t>
      </w:r>
      <w:r w:rsidR="00004A88" w:rsidRPr="00004A88">
        <w:t xml:space="preserve"> doing </w:t>
      </w:r>
      <w:proofErr w:type="spellStart"/>
      <w:r w:rsidR="00004A88" w:rsidRPr="00004A88">
        <w:t>polevaulting</w:t>
      </w:r>
      <w:proofErr w:type="spellEnd"/>
      <w:r w:rsidR="00487DAD">
        <w:t xml:space="preserve"> (</w:t>
      </w:r>
      <w:proofErr w:type="spellStart"/>
      <w:r w:rsidR="00487DAD">
        <w:t>Wertsch</w:t>
      </w:r>
      <w:proofErr w:type="spellEnd"/>
      <w:r w:rsidR="00487DAD">
        <w:t xml:space="preserve"> et al, 1995)</w:t>
      </w:r>
      <w:r w:rsidR="00004A88" w:rsidRPr="00004A88">
        <w:t>.</w:t>
      </w:r>
      <w:r w:rsidR="00F634AC">
        <w:t xml:space="preserve"> Or, in a South African</w:t>
      </w:r>
      <w:r w:rsidR="00A53757">
        <w:t xml:space="preserve"> context, whether Oscar </w:t>
      </w:r>
      <w:proofErr w:type="spellStart"/>
      <w:r w:rsidR="00A53757">
        <w:t>Pistoriu</w:t>
      </w:r>
      <w:r w:rsidR="00F634AC">
        <w:t>s</w:t>
      </w:r>
      <w:proofErr w:type="spellEnd"/>
      <w:r w:rsidR="00F634AC">
        <w:t xml:space="preserve">, the ‘blade runner’, was </w:t>
      </w:r>
      <w:r w:rsidR="00F634AC" w:rsidRPr="00F634AC">
        <w:rPr>
          <w:i/>
        </w:rPr>
        <w:t>really</w:t>
      </w:r>
      <w:r w:rsidR="00F634AC">
        <w:t xml:space="preserve"> </w:t>
      </w:r>
      <w:r w:rsidR="00A739D0" w:rsidRPr="00A739D0">
        <w:rPr>
          <w:i/>
        </w:rPr>
        <w:t>running</w:t>
      </w:r>
      <w:r w:rsidR="00F634AC">
        <w:t xml:space="preserve"> the 400 metres when he won the world record.</w:t>
      </w:r>
    </w:p>
    <w:p w:rsidR="00004A88" w:rsidRPr="00004A88" w:rsidRDefault="007A0D20" w:rsidP="00004A88">
      <w:r>
        <w:t>So, w</w:t>
      </w:r>
      <w:r w:rsidR="00004A88" w:rsidRPr="00004A88">
        <w:t xml:space="preserve">hy is moderate essentialism necessary? </w:t>
      </w:r>
      <w:proofErr w:type="gramStart"/>
      <w:r w:rsidR="00004A88" w:rsidRPr="00004A88">
        <w:t>First, because it is always necessary to categorise and distinguish, to ‘sort things out’</w:t>
      </w:r>
      <w:r>
        <w:t xml:space="preserve"> (</w:t>
      </w:r>
      <w:proofErr w:type="spellStart"/>
      <w:r>
        <w:t>Bowker</w:t>
      </w:r>
      <w:proofErr w:type="spellEnd"/>
      <w:r>
        <w:t xml:space="preserve"> and Star, 2000)</w:t>
      </w:r>
      <w:r w:rsidR="00004A88" w:rsidRPr="00004A88">
        <w:t>.</w:t>
      </w:r>
      <w:proofErr w:type="gramEnd"/>
      <w:r w:rsidR="00004A88" w:rsidRPr="00004A88">
        <w:t xml:space="preserve"> Second, because it is one of the </w:t>
      </w:r>
      <w:r>
        <w:t>tasks</w:t>
      </w:r>
      <w:r w:rsidR="00004A88" w:rsidRPr="00004A88">
        <w:t xml:space="preserve"> of social science to explain </w:t>
      </w:r>
      <w:r w:rsidR="00A739D0">
        <w:t xml:space="preserve">aspects of the world through establishing </w:t>
      </w:r>
      <w:r w:rsidR="00004A88" w:rsidRPr="00004A88">
        <w:t>causality. This need not</w:t>
      </w:r>
      <w:r>
        <w:t>,</w:t>
      </w:r>
      <w:r w:rsidR="00004A88" w:rsidRPr="00004A88">
        <w:t xml:space="preserve"> of course</w:t>
      </w:r>
      <w:r>
        <w:t>,</w:t>
      </w:r>
      <w:r w:rsidR="00004A88" w:rsidRPr="00004A88">
        <w:t xml:space="preserve"> be singular or even regular, it need not be permanent. But without a causal account there is no explanatory purchase. </w:t>
      </w:r>
      <w:r>
        <w:t>Indeed, moderate essentialism is a pre-requisite for</w:t>
      </w:r>
      <w:r w:rsidR="00004A88" w:rsidRPr="00004A88">
        <w:t xml:space="preserve"> a </w:t>
      </w:r>
      <w:r w:rsidR="00004A88" w:rsidRPr="00004A88">
        <w:rPr>
          <w:i/>
        </w:rPr>
        <w:t>critical</w:t>
      </w:r>
      <w:r w:rsidR="00004A88" w:rsidRPr="00004A88">
        <w:t xml:space="preserve"> social science, because accounts that lack an attempt to identify structured regularities and links between the properties of phenomena and emergent outcomes </w:t>
      </w:r>
      <w:r w:rsidR="00A739D0">
        <w:t>simply have</w:t>
      </w:r>
      <w:r w:rsidR="00004A88" w:rsidRPr="00004A88">
        <w:t xml:space="preserve"> no purchase on structured inequalities.</w:t>
      </w:r>
      <w:r w:rsidR="001624E7">
        <w:t xml:space="preserve"> </w:t>
      </w:r>
      <w:r w:rsidR="00A922E0">
        <w:t>Critical realists such as Sayer point out that a</w:t>
      </w:r>
      <w:r w:rsidR="001624E7">
        <w:t xml:space="preserve"> strong </w:t>
      </w:r>
      <w:r w:rsidR="00D456E7">
        <w:t xml:space="preserve">anti-essentialist position </w:t>
      </w:r>
      <w:r w:rsidR="00A922E0">
        <w:t>is devoid of</w:t>
      </w:r>
      <w:r w:rsidR="003B5814">
        <w:t xml:space="preserve"> </w:t>
      </w:r>
      <w:proofErr w:type="spellStart"/>
      <w:r w:rsidR="001624E7">
        <w:t>emancipatory</w:t>
      </w:r>
      <w:proofErr w:type="spellEnd"/>
      <w:r w:rsidR="001624E7">
        <w:t xml:space="preserve"> possibilities </w:t>
      </w:r>
      <w:r w:rsidR="00D456E7">
        <w:t>because</w:t>
      </w:r>
      <w:r w:rsidR="001624E7">
        <w:t>, as Fuchs does,</w:t>
      </w:r>
      <w:r w:rsidR="00D456E7">
        <w:t xml:space="preserve"> it sees the social world as “</w:t>
      </w:r>
      <w:r w:rsidR="00D456E7" w:rsidRPr="00D456E7">
        <w:t>a turbulent system, where ‘order’ and ‘consensus’ emerge locally and for the time being, if at all</w:t>
      </w:r>
      <w:r w:rsidR="00D456E7">
        <w:t>” (Fuchs, 2001: 4).</w:t>
      </w:r>
      <w:r w:rsidR="001624E7">
        <w:t xml:space="preserve"> The clear vision required to see the mechanisms of inequity is lost.</w:t>
      </w:r>
    </w:p>
    <w:p w:rsidR="00672330" w:rsidRDefault="007C25B0" w:rsidP="00517D9D">
      <w:pPr>
        <w:rPr>
          <w:b/>
        </w:rPr>
      </w:pPr>
      <w:r>
        <w:lastRenderedPageBreak/>
        <w:t xml:space="preserve">So while we </w:t>
      </w:r>
      <w:r w:rsidR="003B5814">
        <w:t>should</w:t>
      </w:r>
      <w:r>
        <w:t xml:space="preserve"> reject strong essentialism, and the </w:t>
      </w:r>
      <w:r w:rsidR="003B5814">
        <w:t xml:space="preserve">reductionism and determinism that </w:t>
      </w:r>
      <w:r w:rsidR="007611BB">
        <w:t xml:space="preserve">usually </w:t>
      </w:r>
      <w:r w:rsidR="003B5814">
        <w:t>accompany</w:t>
      </w:r>
      <w:r>
        <w:t xml:space="preserve"> it, we also need to avoid a thoughtless rush to relativist </w:t>
      </w:r>
      <w:proofErr w:type="spellStart"/>
      <w:r>
        <w:t>constructionism</w:t>
      </w:r>
      <w:proofErr w:type="spellEnd"/>
      <w:r>
        <w:t xml:space="preserve"> </w:t>
      </w:r>
      <w:r w:rsidR="004C0022">
        <w:t xml:space="preserve">which dismisses regularities in social life and the possibility of going beyond </w:t>
      </w:r>
      <w:r w:rsidR="007611BB">
        <w:t>only-contextual</w:t>
      </w:r>
      <w:r w:rsidR="004C0022">
        <w:t xml:space="preserve"> accounts. A nuanced </w:t>
      </w:r>
      <w:r w:rsidR="00A739D0">
        <w:t>depiction</w:t>
      </w:r>
      <w:r w:rsidR="004C0022">
        <w:t xml:space="preserve"> of academic tribes and their territories </w:t>
      </w:r>
      <w:r w:rsidR="00004A88" w:rsidRPr="00004A88">
        <w:t>recognise</w:t>
      </w:r>
      <w:r w:rsidR="004C0022">
        <w:t>s</w:t>
      </w:r>
      <w:r w:rsidR="00004A88" w:rsidRPr="00004A88">
        <w:t xml:space="preserve"> that disciplinary territories do not directly and singularly have behavioural effects, and the behaviours we see amongst academic staff are a result of the emergent properties of a combination of factor</w:t>
      </w:r>
      <w:r w:rsidR="004C0022">
        <w:t xml:space="preserve">s. They are </w:t>
      </w:r>
      <w:r w:rsidR="004C0022" w:rsidRPr="004C0022">
        <w:rPr>
          <w:i/>
        </w:rPr>
        <w:t>not</w:t>
      </w:r>
      <w:r w:rsidR="004C0022">
        <w:t xml:space="preserve"> chaotic</w:t>
      </w:r>
      <w:r w:rsidR="00004A88" w:rsidRPr="00004A88">
        <w:t xml:space="preserve">, but have regularities and are constrained in particular ways. Disciplinary characteristics are a significant ingredient in the mix. A nuanced ontology </w:t>
      </w:r>
      <w:r w:rsidR="004C0022">
        <w:t>goes beyond dualities</w:t>
      </w:r>
      <w:r w:rsidR="00004A88" w:rsidRPr="00004A88">
        <w:t xml:space="preserve"> and offers accounts of social life which recognise impermanence, conditionality and the significance of different ontological strata.</w:t>
      </w:r>
    </w:p>
    <w:p w:rsidR="00517D9D" w:rsidRPr="00672330" w:rsidRDefault="00517D9D" w:rsidP="00517D9D">
      <w:r w:rsidRPr="00214E2D">
        <w:rPr>
          <w:b/>
        </w:rPr>
        <w:t>References</w:t>
      </w:r>
    </w:p>
    <w:p w:rsidR="00517D9D" w:rsidRPr="00F634AC" w:rsidRDefault="00517D9D" w:rsidP="00517D9D">
      <w:pPr>
        <w:pStyle w:val="IndentedReference"/>
        <w:rPr>
          <w:i/>
          <w:sz w:val="22"/>
        </w:rPr>
      </w:pPr>
      <w:proofErr w:type="gramStart"/>
      <w:r w:rsidRPr="00F634AC">
        <w:rPr>
          <w:sz w:val="22"/>
        </w:rPr>
        <w:t xml:space="preserve">Becher, T. (1989) Academic </w:t>
      </w:r>
      <w:r w:rsidRPr="00F634AC">
        <w:rPr>
          <w:i/>
          <w:sz w:val="22"/>
        </w:rPr>
        <w:t>Tribes and Territories: Intellectual Enquiry and the Culture of Disciplines</w:t>
      </w:r>
      <w:r w:rsidRPr="00F634AC">
        <w:rPr>
          <w:sz w:val="22"/>
        </w:rPr>
        <w:t>.</w:t>
      </w:r>
      <w:proofErr w:type="gramEnd"/>
      <w:r w:rsidRPr="00F634AC">
        <w:rPr>
          <w:sz w:val="22"/>
        </w:rPr>
        <w:t xml:space="preserve"> Buckingham: Open University Press. </w:t>
      </w:r>
    </w:p>
    <w:p w:rsidR="00517D9D" w:rsidRPr="00F634AC" w:rsidRDefault="00517D9D" w:rsidP="00517D9D">
      <w:pPr>
        <w:pStyle w:val="IndentedReference"/>
        <w:rPr>
          <w:sz w:val="22"/>
        </w:rPr>
      </w:pPr>
      <w:r w:rsidRPr="00F634AC">
        <w:rPr>
          <w:sz w:val="22"/>
        </w:rPr>
        <w:t xml:space="preserve">Becher, T. and Trowler, P. (2001) </w:t>
      </w:r>
      <w:r w:rsidRPr="00F634AC">
        <w:rPr>
          <w:i/>
          <w:sz w:val="22"/>
        </w:rPr>
        <w:t xml:space="preserve">Academic Tribes and Territories: Intellectual </w:t>
      </w:r>
      <w:proofErr w:type="gramStart"/>
      <w:r w:rsidRPr="00F634AC">
        <w:rPr>
          <w:i/>
          <w:sz w:val="22"/>
        </w:rPr>
        <w:t>enquiry  and</w:t>
      </w:r>
      <w:proofErr w:type="gramEnd"/>
      <w:r w:rsidRPr="00F634AC">
        <w:rPr>
          <w:i/>
          <w:sz w:val="22"/>
        </w:rPr>
        <w:t xml:space="preserve"> the cultures of disciplines</w:t>
      </w:r>
      <w:r w:rsidRPr="00F634AC">
        <w:rPr>
          <w:sz w:val="22"/>
        </w:rPr>
        <w:t xml:space="preserve"> (2nd </w:t>
      </w:r>
      <w:proofErr w:type="spellStart"/>
      <w:r w:rsidRPr="00F634AC">
        <w:rPr>
          <w:sz w:val="22"/>
        </w:rPr>
        <w:t>edn</w:t>
      </w:r>
      <w:proofErr w:type="spellEnd"/>
      <w:r w:rsidRPr="00F634AC">
        <w:rPr>
          <w:sz w:val="22"/>
        </w:rPr>
        <w:t xml:space="preserve">). Buckingham: Open University Press/SRHE. </w:t>
      </w:r>
    </w:p>
    <w:p w:rsidR="00187813" w:rsidRPr="00F634AC" w:rsidRDefault="00187813" w:rsidP="00187813">
      <w:pPr>
        <w:pStyle w:val="IndentedReference"/>
        <w:rPr>
          <w:sz w:val="22"/>
        </w:rPr>
      </w:pPr>
      <w:r w:rsidRPr="00F634AC">
        <w:rPr>
          <w:sz w:val="22"/>
        </w:rPr>
        <w:t>Berger, G. (1970)</w:t>
      </w:r>
      <w:r w:rsidRPr="00F634AC">
        <w:rPr>
          <w:i/>
          <w:iCs/>
          <w:sz w:val="22"/>
        </w:rPr>
        <w:t xml:space="preserve"> Introduction. </w:t>
      </w:r>
      <w:proofErr w:type="gramStart"/>
      <w:r w:rsidRPr="00F634AC">
        <w:rPr>
          <w:i/>
          <w:iCs/>
          <w:sz w:val="22"/>
        </w:rPr>
        <w:t xml:space="preserve">OECD-CERI </w:t>
      </w:r>
      <w:proofErr w:type="spellStart"/>
      <w:r w:rsidRPr="00F634AC">
        <w:rPr>
          <w:i/>
          <w:iCs/>
          <w:sz w:val="22"/>
        </w:rPr>
        <w:t>indisciplinarity</w:t>
      </w:r>
      <w:proofErr w:type="spellEnd"/>
      <w:r w:rsidRPr="00F634AC">
        <w:rPr>
          <w:i/>
          <w:iCs/>
          <w:sz w:val="22"/>
        </w:rPr>
        <w:t xml:space="preserve"> - Problems of teaching and research in universities</w:t>
      </w:r>
      <w:r w:rsidRPr="00F634AC">
        <w:rPr>
          <w:sz w:val="22"/>
        </w:rPr>
        <w:t>.</w:t>
      </w:r>
      <w:proofErr w:type="gramEnd"/>
      <w:r w:rsidRPr="00F634AC">
        <w:rPr>
          <w:sz w:val="22"/>
        </w:rPr>
        <w:t xml:space="preserve"> Nice: CERI/French Ministry of Education.</w:t>
      </w:r>
    </w:p>
    <w:p w:rsidR="00517D9D" w:rsidRPr="00F634AC" w:rsidRDefault="00517D9D" w:rsidP="00517D9D">
      <w:pPr>
        <w:pStyle w:val="IndentedReference"/>
        <w:rPr>
          <w:sz w:val="22"/>
        </w:rPr>
      </w:pPr>
      <w:r w:rsidRPr="00F634AC">
        <w:rPr>
          <w:sz w:val="22"/>
        </w:rPr>
        <w:t>Bernstein, B. (2000)</w:t>
      </w:r>
      <w:r w:rsidRPr="00F634AC">
        <w:rPr>
          <w:i/>
          <w:iCs/>
          <w:sz w:val="22"/>
        </w:rPr>
        <w:t xml:space="preserve"> Pedagogy, Symbolic Control and Identity: Theory, research, critique </w:t>
      </w:r>
      <w:r w:rsidRPr="00F634AC">
        <w:rPr>
          <w:sz w:val="22"/>
        </w:rPr>
        <w:t xml:space="preserve">(revised edition). New York: </w:t>
      </w:r>
      <w:proofErr w:type="spellStart"/>
      <w:r w:rsidRPr="00F634AC">
        <w:rPr>
          <w:sz w:val="22"/>
        </w:rPr>
        <w:t>Rowman</w:t>
      </w:r>
      <w:proofErr w:type="spellEnd"/>
      <w:r w:rsidRPr="00F634AC">
        <w:rPr>
          <w:sz w:val="22"/>
        </w:rPr>
        <w:t xml:space="preserve"> and Little. </w:t>
      </w:r>
    </w:p>
    <w:p w:rsidR="007A0D20" w:rsidRPr="00F634AC" w:rsidRDefault="007A0D20" w:rsidP="00517D9D">
      <w:pPr>
        <w:pStyle w:val="IndentedReference"/>
        <w:rPr>
          <w:sz w:val="22"/>
        </w:rPr>
      </w:pPr>
      <w:proofErr w:type="spellStart"/>
      <w:r w:rsidRPr="00F634AC">
        <w:rPr>
          <w:sz w:val="22"/>
        </w:rPr>
        <w:t>Bowker</w:t>
      </w:r>
      <w:proofErr w:type="spellEnd"/>
      <w:r w:rsidRPr="00F634AC">
        <w:rPr>
          <w:sz w:val="22"/>
        </w:rPr>
        <w:t xml:space="preserve">, G. C. and Star, S. L. (2000) </w:t>
      </w:r>
      <w:r w:rsidRPr="00F634AC">
        <w:rPr>
          <w:i/>
          <w:sz w:val="22"/>
        </w:rPr>
        <w:t>Sorting Things Out: Classification and its consequences</w:t>
      </w:r>
      <w:r w:rsidR="00D456E7" w:rsidRPr="00F634AC">
        <w:rPr>
          <w:sz w:val="22"/>
        </w:rPr>
        <w:t xml:space="preserve">. </w:t>
      </w:r>
      <w:r w:rsidRPr="00F634AC">
        <w:rPr>
          <w:sz w:val="22"/>
        </w:rPr>
        <w:t xml:space="preserve">: </w:t>
      </w:r>
      <w:r w:rsidR="00D456E7" w:rsidRPr="00F634AC">
        <w:rPr>
          <w:sz w:val="22"/>
        </w:rPr>
        <w:t xml:space="preserve">Cambridge, Mass: </w:t>
      </w:r>
      <w:r w:rsidRPr="00F634AC">
        <w:rPr>
          <w:sz w:val="22"/>
        </w:rPr>
        <w:t>MIT Press.</w:t>
      </w:r>
    </w:p>
    <w:p w:rsidR="00517D9D" w:rsidRPr="00F634AC" w:rsidRDefault="00517D9D" w:rsidP="00517D9D">
      <w:pPr>
        <w:pStyle w:val="IndentedReference"/>
        <w:rPr>
          <w:sz w:val="22"/>
        </w:rPr>
      </w:pPr>
      <w:r w:rsidRPr="00F634AC">
        <w:rPr>
          <w:sz w:val="22"/>
        </w:rPr>
        <w:t xml:space="preserve">Donald, J. (1995) Disciplinary Differences </w:t>
      </w:r>
      <w:proofErr w:type="gramStart"/>
      <w:r w:rsidRPr="00F634AC">
        <w:rPr>
          <w:sz w:val="22"/>
        </w:rPr>
        <w:t>In</w:t>
      </w:r>
      <w:proofErr w:type="gramEnd"/>
      <w:r w:rsidRPr="00F634AC">
        <w:rPr>
          <w:sz w:val="22"/>
        </w:rPr>
        <w:t xml:space="preserve"> Knowledge Validation. In N. </w:t>
      </w:r>
      <w:proofErr w:type="spellStart"/>
      <w:r w:rsidRPr="00F634AC">
        <w:rPr>
          <w:sz w:val="22"/>
        </w:rPr>
        <w:t>Hativa</w:t>
      </w:r>
      <w:proofErr w:type="spellEnd"/>
      <w:r w:rsidRPr="00F634AC">
        <w:rPr>
          <w:sz w:val="22"/>
        </w:rPr>
        <w:t xml:space="preserve"> and M. </w:t>
      </w:r>
      <w:proofErr w:type="spellStart"/>
      <w:r w:rsidRPr="00F634AC">
        <w:rPr>
          <w:sz w:val="22"/>
        </w:rPr>
        <w:t>Marincovich</w:t>
      </w:r>
      <w:proofErr w:type="spellEnd"/>
      <w:r w:rsidRPr="00F634AC">
        <w:rPr>
          <w:sz w:val="22"/>
        </w:rPr>
        <w:t xml:space="preserve"> (</w:t>
      </w:r>
      <w:proofErr w:type="spellStart"/>
      <w:r w:rsidRPr="00F634AC">
        <w:rPr>
          <w:sz w:val="22"/>
        </w:rPr>
        <w:t>Eds</w:t>
      </w:r>
      <w:proofErr w:type="spellEnd"/>
      <w:r w:rsidRPr="00F634AC">
        <w:rPr>
          <w:sz w:val="22"/>
        </w:rPr>
        <w:t>)</w:t>
      </w:r>
      <w:r w:rsidRPr="00F634AC">
        <w:rPr>
          <w:i/>
          <w:iCs/>
          <w:sz w:val="22"/>
        </w:rPr>
        <w:t xml:space="preserve"> Disciplinary Differences in Teaching and Learning: Implications for practice</w:t>
      </w:r>
      <w:r w:rsidRPr="00F634AC">
        <w:rPr>
          <w:sz w:val="22"/>
        </w:rPr>
        <w:t xml:space="preserve">. San Francisco: </w:t>
      </w:r>
      <w:proofErr w:type="spellStart"/>
      <w:r w:rsidRPr="00F634AC">
        <w:rPr>
          <w:sz w:val="22"/>
        </w:rPr>
        <w:t>Jossey</w:t>
      </w:r>
      <w:proofErr w:type="spellEnd"/>
      <w:r w:rsidRPr="00F634AC">
        <w:rPr>
          <w:sz w:val="22"/>
        </w:rPr>
        <w:t>-Bass.</w:t>
      </w:r>
    </w:p>
    <w:p w:rsidR="00D456E7" w:rsidRPr="00F634AC" w:rsidRDefault="00D456E7" w:rsidP="00517D9D">
      <w:pPr>
        <w:pStyle w:val="IndentedReference"/>
        <w:rPr>
          <w:sz w:val="22"/>
        </w:rPr>
      </w:pPr>
      <w:r w:rsidRPr="00F634AC">
        <w:rPr>
          <w:sz w:val="22"/>
        </w:rPr>
        <w:t xml:space="preserve">Fuchs, S. (2001) </w:t>
      </w:r>
      <w:r w:rsidRPr="00F634AC">
        <w:rPr>
          <w:i/>
          <w:sz w:val="22"/>
        </w:rPr>
        <w:t>Against Essentialism: A theory of culture and society</w:t>
      </w:r>
      <w:r w:rsidRPr="00F634AC">
        <w:rPr>
          <w:sz w:val="22"/>
        </w:rPr>
        <w:t>. Cambridge, Mass: Harvard University Press.</w:t>
      </w:r>
    </w:p>
    <w:p w:rsidR="00672330" w:rsidRPr="00F634AC" w:rsidRDefault="00187813" w:rsidP="00672330">
      <w:pPr>
        <w:pStyle w:val="IndentedReference"/>
        <w:rPr>
          <w:sz w:val="22"/>
        </w:rPr>
      </w:pPr>
      <w:r w:rsidRPr="00F634AC">
        <w:rPr>
          <w:sz w:val="22"/>
        </w:rPr>
        <w:t>Krishnan, A. (2009)</w:t>
      </w:r>
      <w:r w:rsidRPr="00F634AC">
        <w:rPr>
          <w:i/>
          <w:iCs/>
          <w:sz w:val="22"/>
        </w:rPr>
        <w:t xml:space="preserve"> </w:t>
      </w:r>
      <w:proofErr w:type="gramStart"/>
      <w:r w:rsidRPr="00F634AC">
        <w:rPr>
          <w:i/>
          <w:iCs/>
          <w:sz w:val="22"/>
        </w:rPr>
        <w:t>What</w:t>
      </w:r>
      <w:proofErr w:type="gramEnd"/>
      <w:r w:rsidRPr="00F634AC">
        <w:rPr>
          <w:i/>
          <w:iCs/>
          <w:sz w:val="22"/>
        </w:rPr>
        <w:t xml:space="preserve"> are Academic Disciplines? </w:t>
      </w:r>
      <w:proofErr w:type="gramStart"/>
      <w:r w:rsidRPr="00F634AC">
        <w:rPr>
          <w:i/>
          <w:iCs/>
          <w:sz w:val="22"/>
        </w:rPr>
        <w:t xml:space="preserve">Some observations on the </w:t>
      </w:r>
      <w:proofErr w:type="spellStart"/>
      <w:r w:rsidRPr="00F634AC">
        <w:rPr>
          <w:i/>
          <w:iCs/>
          <w:sz w:val="22"/>
        </w:rPr>
        <w:t>disciplinar</w:t>
      </w:r>
      <w:r w:rsidR="00C91D2D" w:rsidRPr="00F634AC">
        <w:rPr>
          <w:i/>
          <w:iCs/>
          <w:sz w:val="22"/>
        </w:rPr>
        <w:t>it</w:t>
      </w:r>
      <w:r w:rsidRPr="00F634AC">
        <w:rPr>
          <w:i/>
          <w:iCs/>
          <w:sz w:val="22"/>
        </w:rPr>
        <w:t>y</w:t>
      </w:r>
      <w:proofErr w:type="spellEnd"/>
      <w:r w:rsidRPr="00F634AC">
        <w:rPr>
          <w:i/>
          <w:iCs/>
          <w:sz w:val="22"/>
        </w:rPr>
        <w:t xml:space="preserve"> vs. interdisciplinarity debate</w:t>
      </w:r>
      <w:r w:rsidRPr="00F634AC">
        <w:rPr>
          <w:sz w:val="22"/>
        </w:rPr>
        <w:t>.</w:t>
      </w:r>
      <w:proofErr w:type="gramEnd"/>
      <w:r w:rsidRPr="00F634AC">
        <w:rPr>
          <w:sz w:val="22"/>
        </w:rPr>
        <w:t xml:space="preserve"> </w:t>
      </w:r>
      <w:proofErr w:type="gramStart"/>
      <w:r w:rsidRPr="00F634AC">
        <w:rPr>
          <w:sz w:val="22"/>
        </w:rPr>
        <w:t>ESRC National Centre for Resear</w:t>
      </w:r>
      <w:r w:rsidR="00672330">
        <w:rPr>
          <w:sz w:val="22"/>
        </w:rPr>
        <w:t>ch Methods.</w:t>
      </w:r>
      <w:proofErr w:type="gramEnd"/>
      <w:r w:rsidR="00672330">
        <w:rPr>
          <w:sz w:val="22"/>
        </w:rPr>
        <w:t xml:space="preserve"> </w:t>
      </w:r>
      <w:proofErr w:type="gramStart"/>
      <w:r w:rsidR="00672330">
        <w:rPr>
          <w:sz w:val="22"/>
        </w:rPr>
        <w:t>Working Paper 03/09.</w:t>
      </w:r>
      <w:proofErr w:type="gramEnd"/>
      <w:r w:rsidRPr="00F634AC">
        <w:rPr>
          <w:sz w:val="22"/>
        </w:rPr>
        <w:t xml:space="preserve"> </w:t>
      </w:r>
      <w:hyperlink r:id="rId8" w:history="1">
        <w:r w:rsidRPr="00672330">
          <w:rPr>
            <w:rStyle w:val="Hyperlink"/>
            <w:sz w:val="22"/>
          </w:rPr>
          <w:t>http://eprints.ncrm.ac.uk/783/</w:t>
        </w:r>
      </w:hyperlink>
      <w:r w:rsidRPr="00F634AC">
        <w:rPr>
          <w:sz w:val="22"/>
        </w:rPr>
        <w:t xml:space="preserve"> [downloaded 20.11.2011)</w:t>
      </w:r>
    </w:p>
    <w:p w:rsidR="00517D9D" w:rsidRPr="00F634AC" w:rsidRDefault="00517D9D" w:rsidP="00517D9D">
      <w:pPr>
        <w:pStyle w:val="IndentedReference"/>
        <w:rPr>
          <w:sz w:val="22"/>
        </w:rPr>
      </w:pPr>
      <w:r w:rsidRPr="00F634AC">
        <w:rPr>
          <w:sz w:val="22"/>
        </w:rPr>
        <w:t>Neumann, R.</w:t>
      </w:r>
      <w:r w:rsidR="00E5054E" w:rsidRPr="00F634AC">
        <w:rPr>
          <w:sz w:val="22"/>
        </w:rPr>
        <w:t>,</w:t>
      </w:r>
      <w:r w:rsidRPr="00F634AC">
        <w:rPr>
          <w:sz w:val="22"/>
        </w:rPr>
        <w:t xml:space="preserve"> Parry, S. and Becher, T. (2002) Teaching and Learning in their Disciplinary Contexts: A conceptual analysis.</w:t>
      </w:r>
      <w:r w:rsidRPr="00F634AC">
        <w:rPr>
          <w:i/>
          <w:iCs/>
          <w:sz w:val="22"/>
        </w:rPr>
        <w:t xml:space="preserve"> </w:t>
      </w:r>
      <w:proofErr w:type="gramStart"/>
      <w:r w:rsidRPr="00F634AC">
        <w:rPr>
          <w:i/>
          <w:iCs/>
          <w:sz w:val="22"/>
        </w:rPr>
        <w:t>Studies in Higher Education</w:t>
      </w:r>
      <w:r w:rsidRPr="00F634AC">
        <w:rPr>
          <w:sz w:val="22"/>
        </w:rPr>
        <w:t>, 27, 4, 405-17.</w:t>
      </w:r>
      <w:proofErr w:type="gramEnd"/>
      <w:r w:rsidRPr="00F634AC">
        <w:rPr>
          <w:sz w:val="22"/>
        </w:rPr>
        <w:t xml:space="preserve"> </w:t>
      </w:r>
    </w:p>
    <w:p w:rsidR="00E5054E" w:rsidRPr="00F634AC" w:rsidRDefault="00E5054E" w:rsidP="00E5054E">
      <w:pPr>
        <w:pStyle w:val="IndentedReference"/>
        <w:rPr>
          <w:sz w:val="22"/>
        </w:rPr>
      </w:pPr>
      <w:proofErr w:type="gramStart"/>
      <w:r w:rsidRPr="00F634AC">
        <w:rPr>
          <w:sz w:val="22"/>
        </w:rPr>
        <w:t xml:space="preserve">Sayer, A. (2010) </w:t>
      </w:r>
      <w:r w:rsidRPr="00F634AC">
        <w:rPr>
          <w:i/>
          <w:sz w:val="22"/>
        </w:rPr>
        <w:t>Method in Social Science</w:t>
      </w:r>
      <w:r w:rsidRPr="00F634AC">
        <w:rPr>
          <w:sz w:val="22"/>
        </w:rPr>
        <w:t>.</w:t>
      </w:r>
      <w:proofErr w:type="gramEnd"/>
      <w:r w:rsidRPr="00F634AC">
        <w:rPr>
          <w:sz w:val="22"/>
        </w:rPr>
        <w:t xml:space="preserve"> London: </w:t>
      </w:r>
      <w:proofErr w:type="spellStart"/>
      <w:r w:rsidRPr="00F634AC">
        <w:rPr>
          <w:sz w:val="22"/>
        </w:rPr>
        <w:t>Routledge</w:t>
      </w:r>
      <w:proofErr w:type="spellEnd"/>
      <w:r w:rsidRPr="00F634AC">
        <w:rPr>
          <w:sz w:val="22"/>
        </w:rPr>
        <w:t>.</w:t>
      </w:r>
    </w:p>
    <w:p w:rsidR="00517D9D" w:rsidRPr="00F634AC" w:rsidRDefault="00517D9D" w:rsidP="00517D9D">
      <w:pPr>
        <w:pStyle w:val="IndentedReference"/>
        <w:rPr>
          <w:bCs/>
          <w:sz w:val="22"/>
        </w:rPr>
      </w:pPr>
      <w:proofErr w:type="gramStart"/>
      <w:r w:rsidRPr="00F634AC">
        <w:rPr>
          <w:sz w:val="22"/>
        </w:rPr>
        <w:t xml:space="preserve">Sayer, A. (1997) Essentialism, Social </w:t>
      </w:r>
      <w:proofErr w:type="spellStart"/>
      <w:r w:rsidRPr="00F634AC">
        <w:rPr>
          <w:sz w:val="22"/>
        </w:rPr>
        <w:t>Constructionism</w:t>
      </w:r>
      <w:proofErr w:type="spellEnd"/>
      <w:r w:rsidRPr="00F634AC">
        <w:rPr>
          <w:sz w:val="22"/>
        </w:rPr>
        <w:t>, and Beyond.</w:t>
      </w:r>
      <w:proofErr w:type="gramEnd"/>
      <w:r w:rsidRPr="00F634AC">
        <w:rPr>
          <w:sz w:val="22"/>
        </w:rPr>
        <w:t xml:space="preserve"> </w:t>
      </w:r>
      <w:r w:rsidRPr="00F634AC">
        <w:rPr>
          <w:bCs/>
          <w:i/>
          <w:sz w:val="22"/>
        </w:rPr>
        <w:t>The Sociological Review</w:t>
      </w:r>
      <w:r w:rsidRPr="00F634AC">
        <w:rPr>
          <w:bCs/>
          <w:sz w:val="22"/>
        </w:rPr>
        <w:t>, 45, 3, 453-487.</w:t>
      </w:r>
    </w:p>
    <w:p w:rsidR="00822C6D" w:rsidRDefault="00822C6D" w:rsidP="00517D9D">
      <w:pPr>
        <w:pStyle w:val="IndentedReference"/>
        <w:rPr>
          <w:bCs/>
          <w:sz w:val="22"/>
        </w:rPr>
      </w:pPr>
      <w:r w:rsidRPr="00822C6D">
        <w:rPr>
          <w:bCs/>
          <w:sz w:val="22"/>
        </w:rPr>
        <w:t>Trowler, P. (1998) </w:t>
      </w:r>
      <w:r w:rsidRPr="00822C6D">
        <w:rPr>
          <w:bCs/>
          <w:i/>
          <w:iCs/>
          <w:sz w:val="22"/>
        </w:rPr>
        <w:t>Academics Responding to Change: new higher education frameworks and academic cultures</w:t>
      </w:r>
      <w:r>
        <w:rPr>
          <w:bCs/>
          <w:sz w:val="22"/>
        </w:rPr>
        <w:t xml:space="preserve">. </w:t>
      </w:r>
      <w:r w:rsidRPr="00822C6D">
        <w:rPr>
          <w:bCs/>
          <w:sz w:val="22"/>
        </w:rPr>
        <w:t>Buckingham: Open University Press/SRHE</w:t>
      </w:r>
      <w:r>
        <w:rPr>
          <w:bCs/>
          <w:sz w:val="22"/>
        </w:rPr>
        <w:t>.</w:t>
      </w:r>
    </w:p>
    <w:p w:rsidR="00822C6D" w:rsidRDefault="00822C6D" w:rsidP="00822C6D">
      <w:pPr>
        <w:pStyle w:val="IndentedReference"/>
        <w:rPr>
          <w:bCs/>
          <w:sz w:val="22"/>
        </w:rPr>
      </w:pPr>
      <w:r w:rsidRPr="00F634AC">
        <w:rPr>
          <w:bCs/>
          <w:sz w:val="22"/>
        </w:rPr>
        <w:lastRenderedPageBreak/>
        <w:t>Trowler, P. (2008) Beyond Epistemological Essentialism: Academic</w:t>
      </w:r>
      <w:r>
        <w:rPr>
          <w:bCs/>
          <w:sz w:val="22"/>
        </w:rPr>
        <w:t xml:space="preserve"> t</w:t>
      </w:r>
      <w:r w:rsidRPr="00F634AC">
        <w:rPr>
          <w:bCs/>
          <w:sz w:val="22"/>
        </w:rPr>
        <w:t xml:space="preserve">ribes in the 21st Century. In </w:t>
      </w:r>
      <w:proofErr w:type="spellStart"/>
      <w:r w:rsidRPr="00F634AC">
        <w:rPr>
          <w:bCs/>
          <w:sz w:val="22"/>
        </w:rPr>
        <w:t>Kreber</w:t>
      </w:r>
      <w:proofErr w:type="spellEnd"/>
      <w:r w:rsidRPr="00F634AC">
        <w:rPr>
          <w:bCs/>
          <w:sz w:val="22"/>
        </w:rPr>
        <w:t>, C. (</w:t>
      </w:r>
      <w:proofErr w:type="spellStart"/>
      <w:proofErr w:type="gramStart"/>
      <w:r w:rsidRPr="00F634AC">
        <w:rPr>
          <w:bCs/>
          <w:sz w:val="22"/>
        </w:rPr>
        <w:t>ed</w:t>
      </w:r>
      <w:proofErr w:type="spellEnd"/>
      <w:proofErr w:type="gramEnd"/>
      <w:r w:rsidRPr="00F634AC">
        <w:rPr>
          <w:bCs/>
          <w:sz w:val="22"/>
        </w:rPr>
        <w:t>) </w:t>
      </w:r>
      <w:r w:rsidRPr="00F634AC">
        <w:rPr>
          <w:bCs/>
          <w:i/>
          <w:iCs/>
          <w:sz w:val="22"/>
        </w:rPr>
        <w:t>The University and its Disciplines: Teaching and learning within and beyond disciplinary boundaries</w:t>
      </w:r>
      <w:r w:rsidRPr="00F634AC">
        <w:rPr>
          <w:bCs/>
          <w:sz w:val="22"/>
        </w:rPr>
        <w:t xml:space="preserve">. London: </w:t>
      </w:r>
      <w:proofErr w:type="spellStart"/>
      <w:r w:rsidRPr="00F634AC">
        <w:rPr>
          <w:bCs/>
          <w:sz w:val="22"/>
        </w:rPr>
        <w:t>Routledge</w:t>
      </w:r>
      <w:proofErr w:type="spellEnd"/>
      <w:r w:rsidRPr="00F634AC">
        <w:rPr>
          <w:bCs/>
          <w:sz w:val="22"/>
        </w:rPr>
        <w:t>.</w:t>
      </w:r>
    </w:p>
    <w:p w:rsidR="00822C6D" w:rsidRPr="00F634AC" w:rsidRDefault="00822C6D" w:rsidP="00822C6D">
      <w:pPr>
        <w:pStyle w:val="IndentedReference"/>
        <w:rPr>
          <w:bCs/>
          <w:sz w:val="22"/>
        </w:rPr>
      </w:pPr>
      <w:r w:rsidRPr="00822C6D">
        <w:rPr>
          <w:bCs/>
          <w:sz w:val="22"/>
        </w:rPr>
        <w:t>Trowler, P., Saunders, M. and Bamber, R. (</w:t>
      </w:r>
      <w:proofErr w:type="spellStart"/>
      <w:r w:rsidRPr="00822C6D">
        <w:rPr>
          <w:bCs/>
          <w:sz w:val="22"/>
        </w:rPr>
        <w:t>Eds</w:t>
      </w:r>
      <w:proofErr w:type="spellEnd"/>
      <w:r w:rsidRPr="00822C6D">
        <w:rPr>
          <w:bCs/>
          <w:sz w:val="22"/>
        </w:rPr>
        <w:t xml:space="preserve">) (Jan 2012). </w:t>
      </w:r>
      <w:r w:rsidRPr="00822C6D">
        <w:rPr>
          <w:bCs/>
          <w:i/>
          <w:iCs/>
          <w:sz w:val="22"/>
        </w:rPr>
        <w:t>Tribes and Territories in the 21st-century: Rethinking the significance of disciplines in higher education</w:t>
      </w:r>
      <w:r w:rsidRPr="00822C6D">
        <w:rPr>
          <w:bCs/>
          <w:i/>
          <w:sz w:val="22"/>
        </w:rPr>
        <w:t>.</w:t>
      </w:r>
      <w:r w:rsidRPr="00822C6D">
        <w:rPr>
          <w:bCs/>
          <w:sz w:val="22"/>
        </w:rPr>
        <w:t xml:space="preserve"> London: </w:t>
      </w:r>
      <w:proofErr w:type="spellStart"/>
      <w:r w:rsidRPr="00822C6D">
        <w:rPr>
          <w:bCs/>
          <w:sz w:val="22"/>
        </w:rPr>
        <w:t>Routledge</w:t>
      </w:r>
      <w:proofErr w:type="spellEnd"/>
      <w:r w:rsidRPr="00822C6D">
        <w:rPr>
          <w:bCs/>
          <w:sz w:val="22"/>
        </w:rPr>
        <w:t>.</w:t>
      </w:r>
    </w:p>
    <w:p w:rsidR="00E5054E" w:rsidRPr="00F634AC" w:rsidRDefault="00E5054E" w:rsidP="00E5054E">
      <w:pPr>
        <w:pStyle w:val="IndentedReference"/>
        <w:rPr>
          <w:bCs/>
          <w:sz w:val="22"/>
        </w:rPr>
      </w:pPr>
      <w:proofErr w:type="spellStart"/>
      <w:proofErr w:type="gramStart"/>
      <w:r w:rsidRPr="00F634AC">
        <w:rPr>
          <w:bCs/>
          <w:sz w:val="22"/>
        </w:rPr>
        <w:t>Wertsch</w:t>
      </w:r>
      <w:proofErr w:type="spellEnd"/>
      <w:r w:rsidRPr="00F634AC">
        <w:rPr>
          <w:bCs/>
          <w:sz w:val="22"/>
        </w:rPr>
        <w:t>, J., Del Rio, P. and Alvarez, A. (</w:t>
      </w:r>
      <w:proofErr w:type="spellStart"/>
      <w:r w:rsidRPr="00F634AC">
        <w:rPr>
          <w:bCs/>
          <w:sz w:val="22"/>
        </w:rPr>
        <w:t>Eds</w:t>
      </w:r>
      <w:proofErr w:type="spellEnd"/>
      <w:r w:rsidRPr="00F634AC">
        <w:rPr>
          <w:bCs/>
          <w:sz w:val="22"/>
        </w:rPr>
        <w:t>) (1995)</w:t>
      </w:r>
      <w:r w:rsidRPr="00F634AC">
        <w:rPr>
          <w:bCs/>
          <w:i/>
          <w:iCs/>
          <w:sz w:val="22"/>
        </w:rPr>
        <w:t xml:space="preserve"> </w:t>
      </w:r>
      <w:proofErr w:type="spellStart"/>
      <w:r w:rsidRPr="00F634AC">
        <w:rPr>
          <w:bCs/>
          <w:i/>
          <w:iCs/>
          <w:sz w:val="22"/>
        </w:rPr>
        <w:t>Sociocultural</w:t>
      </w:r>
      <w:proofErr w:type="spellEnd"/>
      <w:r w:rsidRPr="00F634AC">
        <w:rPr>
          <w:bCs/>
          <w:i/>
          <w:iCs/>
          <w:sz w:val="22"/>
        </w:rPr>
        <w:t xml:space="preserve"> Studies of Mind</w:t>
      </w:r>
      <w:r w:rsidRPr="00F634AC">
        <w:rPr>
          <w:bCs/>
          <w:sz w:val="22"/>
        </w:rPr>
        <w:t>.</w:t>
      </w:r>
      <w:proofErr w:type="gramEnd"/>
      <w:r w:rsidRPr="00F634AC">
        <w:rPr>
          <w:bCs/>
          <w:sz w:val="22"/>
        </w:rPr>
        <w:t xml:space="preserve"> Cambridge: Cambridge University Press. </w:t>
      </w:r>
    </w:p>
    <w:p w:rsidR="00517D9D" w:rsidRPr="00F634AC" w:rsidRDefault="00517D9D" w:rsidP="00517D9D">
      <w:pPr>
        <w:pStyle w:val="IndentedReference"/>
        <w:rPr>
          <w:bCs/>
          <w:sz w:val="22"/>
        </w:rPr>
      </w:pPr>
      <w:proofErr w:type="gramStart"/>
      <w:r w:rsidRPr="00F634AC">
        <w:rPr>
          <w:bCs/>
          <w:sz w:val="22"/>
        </w:rPr>
        <w:t>Young, M.F.D. (2000) Rescuing the Sociology of Educational Knowledge from the Extremes of Voice Discourse: Towards a new theoretical basis for the sociology of the curriculum.</w:t>
      </w:r>
      <w:proofErr w:type="gramEnd"/>
      <w:r w:rsidRPr="00F634AC">
        <w:rPr>
          <w:bCs/>
          <w:i/>
          <w:iCs/>
          <w:sz w:val="22"/>
        </w:rPr>
        <w:t xml:space="preserve"> </w:t>
      </w:r>
      <w:proofErr w:type="gramStart"/>
      <w:r w:rsidRPr="00F634AC">
        <w:rPr>
          <w:bCs/>
          <w:i/>
          <w:iCs/>
          <w:sz w:val="22"/>
        </w:rPr>
        <w:t>British Journal of Sociology of Education</w:t>
      </w:r>
      <w:r w:rsidRPr="00F634AC">
        <w:rPr>
          <w:bCs/>
          <w:sz w:val="22"/>
        </w:rPr>
        <w:t>, 21, 4, 523-36.</w:t>
      </w:r>
      <w:proofErr w:type="gramEnd"/>
      <w:r w:rsidRPr="00F634AC">
        <w:rPr>
          <w:bCs/>
          <w:sz w:val="22"/>
        </w:rPr>
        <w:t xml:space="preserve"> </w:t>
      </w:r>
    </w:p>
    <w:p w:rsidR="00517D9D" w:rsidRPr="00F634AC" w:rsidRDefault="00517D9D" w:rsidP="00517D9D">
      <w:pPr>
        <w:pStyle w:val="IndentedReference"/>
        <w:rPr>
          <w:bCs/>
          <w:sz w:val="22"/>
        </w:rPr>
      </w:pPr>
    </w:p>
    <w:p w:rsidR="00517D9D" w:rsidRDefault="00517D9D" w:rsidP="00517D9D"/>
    <w:p w:rsidR="00517D9D" w:rsidRDefault="00517D9D"/>
    <w:sectPr w:rsidR="00517D9D" w:rsidSect="00890B2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C39" w:rsidRDefault="00632C39" w:rsidP="00517D9D">
      <w:pPr>
        <w:spacing w:after="0" w:line="240" w:lineRule="auto"/>
      </w:pPr>
      <w:r>
        <w:separator/>
      </w:r>
    </w:p>
  </w:endnote>
  <w:endnote w:type="continuationSeparator" w:id="0">
    <w:p w:rsidR="00632C39" w:rsidRDefault="00632C39" w:rsidP="00517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430258"/>
      <w:docPartObj>
        <w:docPartGallery w:val="Page Numbers (Bottom of Page)"/>
        <w:docPartUnique/>
      </w:docPartObj>
    </w:sdtPr>
    <w:sdtContent>
      <w:p w:rsidR="00822C6D" w:rsidRDefault="0006124E">
        <w:pPr>
          <w:pStyle w:val="Footer"/>
        </w:pPr>
        <w:fldSimple w:instr=" PAGE   \* MERGEFORMAT ">
          <w:r w:rsidR="00677CC0">
            <w:rPr>
              <w:noProof/>
            </w:rPr>
            <w:t>5</w:t>
          </w:r>
        </w:fldSimple>
      </w:p>
    </w:sdtContent>
  </w:sdt>
  <w:p w:rsidR="00822C6D" w:rsidRDefault="00822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C39" w:rsidRDefault="00632C39" w:rsidP="00517D9D">
      <w:pPr>
        <w:spacing w:after="0" w:line="240" w:lineRule="auto"/>
      </w:pPr>
      <w:r>
        <w:separator/>
      </w:r>
    </w:p>
  </w:footnote>
  <w:footnote w:type="continuationSeparator" w:id="0">
    <w:p w:rsidR="00632C39" w:rsidRDefault="00632C39" w:rsidP="00517D9D">
      <w:pPr>
        <w:spacing w:after="0" w:line="240" w:lineRule="auto"/>
      </w:pPr>
      <w:r>
        <w:continuationSeparator/>
      </w:r>
    </w:p>
  </w:footnote>
  <w:footnote w:id="1">
    <w:p w:rsidR="00822C6D" w:rsidRDefault="00822C6D" w:rsidP="00517D9D">
      <w:pPr>
        <w:pStyle w:val="FootnoteText"/>
      </w:pPr>
      <w:r>
        <w:rPr>
          <w:rStyle w:val="FootnoteReference"/>
        </w:rPr>
        <w:footnoteRef/>
      </w:r>
      <w:r>
        <w:t xml:space="preserve"> Though this duality is often posited in the literature, in reality it is a false one: a phenomenon can be socially constructed yet have </w:t>
      </w:r>
      <w:r w:rsidR="00C5303F">
        <w:t>essentialist characteristics: distinctive</w:t>
      </w:r>
      <w:r>
        <w:t xml:space="preserve"> properties and </w:t>
      </w:r>
      <w:r w:rsidR="00C5303F">
        <w:t xml:space="preserve">the power to </w:t>
      </w:r>
      <w:r>
        <w:t>cause change in other phenomena. Language is one example.</w:t>
      </w:r>
    </w:p>
  </w:footnote>
  <w:footnote w:id="2">
    <w:p w:rsidR="00822C6D" w:rsidRDefault="00822C6D" w:rsidP="00EE24D8">
      <w:pPr>
        <w:pStyle w:val="FootnoteText"/>
      </w:pPr>
      <w:r>
        <w:rPr>
          <w:rStyle w:val="FootnoteReference"/>
        </w:rPr>
        <w:footnoteRef/>
      </w:r>
      <w:r>
        <w:t xml:space="preserve"> It is notable that ‘essentialism’ therefore itself is essentialist in nature: it has distinguishing properties and it is generative of other things – </w:t>
      </w:r>
      <w:r w:rsidRPr="005B254E">
        <w:rPr>
          <w:i/>
        </w:rPr>
        <w:t>causal</w:t>
      </w:r>
      <w:r>
        <w:t xml:space="preserve"> </w:t>
      </w:r>
      <w:r w:rsidRPr="005B254E">
        <w:rPr>
          <w:i/>
        </w:rPr>
        <w:t>explanations</w:t>
      </w:r>
      <w:r>
        <w:t>, which themselves have consequences.</w:t>
      </w:r>
    </w:p>
  </w:footnote>
  <w:footnote w:id="3">
    <w:p w:rsidR="00822C6D" w:rsidRDefault="00822C6D">
      <w:pPr>
        <w:pStyle w:val="FootnoteText"/>
      </w:pPr>
      <w:r>
        <w:rPr>
          <w:rStyle w:val="FootnoteReference"/>
        </w:rPr>
        <w:footnoteRef/>
      </w:r>
      <w:r>
        <w:t xml:space="preserve"> She is far from alone in this: see for example Berger (1970) or Krishnan’s account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762"/>
    <w:multiLevelType w:val="hybridMultilevel"/>
    <w:tmpl w:val="D016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efaultTabStop w:val="720"/>
  <w:characterSpacingControl w:val="doNotCompress"/>
  <w:footnotePr>
    <w:footnote w:id="-1"/>
    <w:footnote w:id="0"/>
  </w:footnotePr>
  <w:endnotePr>
    <w:endnote w:id="-1"/>
    <w:endnote w:id="0"/>
  </w:endnotePr>
  <w:compat/>
  <w:rsids>
    <w:rsidRoot w:val="00F21E14"/>
    <w:rsid w:val="00004A88"/>
    <w:rsid w:val="00037DDD"/>
    <w:rsid w:val="0006124E"/>
    <w:rsid w:val="0007025E"/>
    <w:rsid w:val="000D6826"/>
    <w:rsid w:val="001247B7"/>
    <w:rsid w:val="001624E7"/>
    <w:rsid w:val="00170C62"/>
    <w:rsid w:val="00187813"/>
    <w:rsid w:val="001B4B11"/>
    <w:rsid w:val="001E0843"/>
    <w:rsid w:val="001F600B"/>
    <w:rsid w:val="00225D6B"/>
    <w:rsid w:val="00236E2F"/>
    <w:rsid w:val="0027444D"/>
    <w:rsid w:val="002B0941"/>
    <w:rsid w:val="00326FF9"/>
    <w:rsid w:val="003416DF"/>
    <w:rsid w:val="00343915"/>
    <w:rsid w:val="003B5814"/>
    <w:rsid w:val="0044109D"/>
    <w:rsid w:val="00487DAD"/>
    <w:rsid w:val="004A03D7"/>
    <w:rsid w:val="004C0022"/>
    <w:rsid w:val="0051212F"/>
    <w:rsid w:val="00517D9D"/>
    <w:rsid w:val="00527542"/>
    <w:rsid w:val="00527855"/>
    <w:rsid w:val="005642B4"/>
    <w:rsid w:val="00584959"/>
    <w:rsid w:val="00591169"/>
    <w:rsid w:val="005B7148"/>
    <w:rsid w:val="00632C39"/>
    <w:rsid w:val="00672330"/>
    <w:rsid w:val="00677CC0"/>
    <w:rsid w:val="006C4722"/>
    <w:rsid w:val="007047F1"/>
    <w:rsid w:val="00744B3C"/>
    <w:rsid w:val="007611BB"/>
    <w:rsid w:val="00792195"/>
    <w:rsid w:val="007A0D20"/>
    <w:rsid w:val="007C113F"/>
    <w:rsid w:val="007C25B0"/>
    <w:rsid w:val="00805D6F"/>
    <w:rsid w:val="00822C6D"/>
    <w:rsid w:val="0083088E"/>
    <w:rsid w:val="00851DD1"/>
    <w:rsid w:val="00874C71"/>
    <w:rsid w:val="00890B28"/>
    <w:rsid w:val="008C1B34"/>
    <w:rsid w:val="00920236"/>
    <w:rsid w:val="00941A2F"/>
    <w:rsid w:val="00985398"/>
    <w:rsid w:val="009C6DFF"/>
    <w:rsid w:val="00A2444F"/>
    <w:rsid w:val="00A2461D"/>
    <w:rsid w:val="00A53757"/>
    <w:rsid w:val="00A739D0"/>
    <w:rsid w:val="00A74EBB"/>
    <w:rsid w:val="00A922E0"/>
    <w:rsid w:val="00B0214E"/>
    <w:rsid w:val="00BF04A1"/>
    <w:rsid w:val="00C247C0"/>
    <w:rsid w:val="00C5303F"/>
    <w:rsid w:val="00C61D69"/>
    <w:rsid w:val="00C7045B"/>
    <w:rsid w:val="00C811BC"/>
    <w:rsid w:val="00C91D2D"/>
    <w:rsid w:val="00CB71E5"/>
    <w:rsid w:val="00D12316"/>
    <w:rsid w:val="00D21EBC"/>
    <w:rsid w:val="00D456E7"/>
    <w:rsid w:val="00E067D9"/>
    <w:rsid w:val="00E1235F"/>
    <w:rsid w:val="00E5054E"/>
    <w:rsid w:val="00EE24D8"/>
    <w:rsid w:val="00F20C40"/>
    <w:rsid w:val="00F21E14"/>
    <w:rsid w:val="00F634AC"/>
    <w:rsid w:val="00FB483D"/>
    <w:rsid w:val="00FB5C1F"/>
    <w:rsid w:val="00FD32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14"/>
    <w:rPr>
      <w:rFonts w:ascii="Calibri" w:eastAsia="Calibri" w:hAnsi="Calibri" w:cs="Times New Roman"/>
      <w:sz w:val="24"/>
    </w:rPr>
  </w:style>
  <w:style w:type="paragraph" w:styleId="Heading1">
    <w:name w:val="heading 1"/>
    <w:basedOn w:val="Normal"/>
    <w:next w:val="Normal"/>
    <w:link w:val="Heading1Char"/>
    <w:autoRedefine/>
    <w:uiPriority w:val="9"/>
    <w:qFormat/>
    <w:rsid w:val="00FD32D5"/>
    <w:pPr>
      <w:keepNext/>
      <w:keepLines/>
      <w:spacing w:before="480" w:after="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autoRedefine/>
    <w:uiPriority w:val="99"/>
    <w:qFormat/>
    <w:rsid w:val="00FD32D5"/>
    <w:pPr>
      <w:keepNext/>
      <w:spacing w:before="240" w:after="60" w:line="240" w:lineRule="auto"/>
      <w:outlineLvl w:val="1"/>
    </w:pPr>
    <w:rPr>
      <w:rFonts w:eastAsia="Times New Roman"/>
      <w:b/>
      <w:bCs/>
      <w:i/>
      <w:iCs/>
      <w:color w:val="1F497D" w:themeColor="text2"/>
      <w:sz w:val="32"/>
      <w:szCs w:val="28"/>
      <w:lang w:val="en-AU" w:eastAsia="en-AU"/>
    </w:rPr>
  </w:style>
  <w:style w:type="paragraph" w:styleId="Heading3">
    <w:name w:val="heading 3"/>
    <w:basedOn w:val="Normal"/>
    <w:next w:val="Normal"/>
    <w:link w:val="Heading3Char"/>
    <w:autoRedefine/>
    <w:uiPriority w:val="9"/>
    <w:unhideWhenUsed/>
    <w:qFormat/>
    <w:rsid w:val="00FD32D5"/>
    <w:pPr>
      <w:keepNext/>
      <w:keepLines/>
      <w:spacing w:before="200" w:after="0"/>
      <w:outlineLvl w:val="2"/>
    </w:pPr>
    <w:rPr>
      <w:rFonts w:eastAsiaTheme="majorEastAsia" w:cstheme="majorBidi"/>
      <w:b/>
      <w:bCs/>
      <w:color w:val="C0504D" w:themeColor="accent2"/>
      <w:sz w:val="28"/>
    </w:rPr>
  </w:style>
  <w:style w:type="paragraph" w:styleId="Heading4">
    <w:name w:val="heading 4"/>
    <w:basedOn w:val="Normal"/>
    <w:next w:val="Normal"/>
    <w:link w:val="Heading4Char"/>
    <w:uiPriority w:val="9"/>
    <w:unhideWhenUsed/>
    <w:qFormat/>
    <w:rsid w:val="00FD32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2D5"/>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9"/>
    <w:rsid w:val="00FD32D5"/>
    <w:rPr>
      <w:rFonts w:eastAsia="Times New Roman" w:cs="Times New Roman"/>
      <w:b/>
      <w:bCs/>
      <w:i/>
      <w:iCs/>
      <w:color w:val="1F497D" w:themeColor="text2"/>
      <w:sz w:val="32"/>
      <w:szCs w:val="28"/>
      <w:lang w:val="en-AU" w:eastAsia="en-AU"/>
    </w:rPr>
  </w:style>
  <w:style w:type="character" w:customStyle="1" w:styleId="Heading3Char">
    <w:name w:val="Heading 3 Char"/>
    <w:basedOn w:val="DefaultParagraphFont"/>
    <w:link w:val="Heading3"/>
    <w:uiPriority w:val="9"/>
    <w:rsid w:val="00FD32D5"/>
    <w:rPr>
      <w:rFonts w:eastAsiaTheme="majorEastAsia" w:cstheme="majorBidi"/>
      <w:b/>
      <w:bCs/>
      <w:color w:val="C0504D" w:themeColor="accent2"/>
      <w:sz w:val="28"/>
    </w:rPr>
  </w:style>
  <w:style w:type="character" w:customStyle="1" w:styleId="Heading4Char">
    <w:name w:val="Heading 4 Char"/>
    <w:basedOn w:val="DefaultParagraphFont"/>
    <w:link w:val="Heading4"/>
    <w:uiPriority w:val="9"/>
    <w:rsid w:val="00FD32D5"/>
    <w:rPr>
      <w:rFonts w:asciiTheme="majorHAnsi" w:eastAsiaTheme="majorEastAsia" w:hAnsiTheme="majorHAnsi" w:cstheme="majorBidi"/>
      <w:b/>
      <w:bCs/>
      <w:i/>
      <w:iCs/>
      <w:color w:val="4F81BD" w:themeColor="accent1"/>
      <w:sz w:val="24"/>
    </w:rPr>
  </w:style>
  <w:style w:type="paragraph" w:styleId="Title">
    <w:name w:val="Title"/>
    <w:basedOn w:val="Normal"/>
    <w:next w:val="Normal"/>
    <w:link w:val="TitleChar"/>
    <w:uiPriority w:val="10"/>
    <w:qFormat/>
    <w:rsid w:val="00FD32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2D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D32D5"/>
    <w:pPr>
      <w:ind w:left="720"/>
      <w:contextualSpacing/>
    </w:pPr>
  </w:style>
  <w:style w:type="paragraph" w:styleId="Quote">
    <w:name w:val="Quote"/>
    <w:basedOn w:val="Normal"/>
    <w:next w:val="Normal"/>
    <w:link w:val="QuoteChar"/>
    <w:uiPriority w:val="29"/>
    <w:qFormat/>
    <w:rsid w:val="00FD32D5"/>
    <w:pPr>
      <w:spacing w:after="0" w:line="240" w:lineRule="auto"/>
      <w:ind w:left="567"/>
    </w:pPr>
    <w:rPr>
      <w:rFonts w:ascii="Times New Roman" w:eastAsia="Times New Roman" w:hAnsi="Times New Roman"/>
      <w:iCs/>
      <w:color w:val="000000"/>
      <w:szCs w:val="24"/>
      <w:lang w:eastAsia="en-GB"/>
    </w:rPr>
  </w:style>
  <w:style w:type="character" w:customStyle="1" w:styleId="QuoteChar">
    <w:name w:val="Quote Char"/>
    <w:basedOn w:val="DefaultParagraphFont"/>
    <w:link w:val="Quote"/>
    <w:uiPriority w:val="29"/>
    <w:rsid w:val="00FD32D5"/>
    <w:rPr>
      <w:rFonts w:ascii="Times New Roman" w:eastAsia="Times New Roman" w:hAnsi="Times New Roman" w:cs="Times New Roman"/>
      <w:iCs/>
      <w:color w:val="000000"/>
      <w:sz w:val="24"/>
      <w:szCs w:val="24"/>
      <w:lang w:eastAsia="en-GB"/>
    </w:rPr>
  </w:style>
  <w:style w:type="paragraph" w:styleId="TOCHeading">
    <w:name w:val="TOC Heading"/>
    <w:basedOn w:val="Heading1"/>
    <w:next w:val="Normal"/>
    <w:uiPriority w:val="39"/>
    <w:semiHidden/>
    <w:unhideWhenUsed/>
    <w:qFormat/>
    <w:rsid w:val="00FD32D5"/>
    <w:pPr>
      <w:outlineLvl w:val="9"/>
    </w:pPr>
    <w:rPr>
      <w:rFonts w:asciiTheme="majorHAnsi" w:hAnsiTheme="majorHAnsi"/>
      <w:sz w:val="28"/>
      <w:lang w:val="en-US"/>
    </w:rPr>
  </w:style>
  <w:style w:type="paragraph" w:customStyle="1" w:styleId="Referencequotation">
    <w:name w:val="Reference quotation"/>
    <w:basedOn w:val="Normal"/>
    <w:link w:val="ReferencequotationChar"/>
    <w:qFormat/>
    <w:rsid w:val="00FD32D5"/>
    <w:pPr>
      <w:ind w:left="567"/>
    </w:pPr>
  </w:style>
  <w:style w:type="character" w:customStyle="1" w:styleId="ReferencequotationChar">
    <w:name w:val="Reference quotation Char"/>
    <w:basedOn w:val="DefaultParagraphFont"/>
    <w:link w:val="Referencequotation"/>
    <w:rsid w:val="00FD32D5"/>
    <w:rPr>
      <w:sz w:val="24"/>
    </w:rPr>
  </w:style>
  <w:style w:type="paragraph" w:customStyle="1" w:styleId="RespondentQuote">
    <w:name w:val="Respondent Quote"/>
    <w:basedOn w:val="Normal"/>
    <w:link w:val="RespondentQuoteChar"/>
    <w:qFormat/>
    <w:rsid w:val="00FD32D5"/>
    <w:pPr>
      <w:spacing w:line="240" w:lineRule="auto"/>
      <w:ind w:left="567" w:right="1089"/>
    </w:pPr>
    <w:rPr>
      <w:i/>
      <w:color w:val="00B050"/>
    </w:rPr>
  </w:style>
  <w:style w:type="character" w:customStyle="1" w:styleId="RespondentQuoteChar">
    <w:name w:val="Respondent Quote Char"/>
    <w:basedOn w:val="DefaultParagraphFont"/>
    <w:link w:val="RespondentQuote"/>
    <w:rsid w:val="00FD32D5"/>
    <w:rPr>
      <w:i/>
      <w:color w:val="00B050"/>
      <w:sz w:val="24"/>
    </w:rPr>
  </w:style>
  <w:style w:type="paragraph" w:customStyle="1" w:styleId="TableandFigureTitle">
    <w:name w:val="Table and Figure Title"/>
    <w:basedOn w:val="Normal"/>
    <w:link w:val="TableandFigureTitleChar"/>
    <w:qFormat/>
    <w:rsid w:val="00FD32D5"/>
    <w:rPr>
      <w:sz w:val="28"/>
      <w:szCs w:val="28"/>
    </w:rPr>
  </w:style>
  <w:style w:type="character" w:customStyle="1" w:styleId="TableandFigureTitleChar">
    <w:name w:val="Table and Figure Title Char"/>
    <w:basedOn w:val="DefaultParagraphFont"/>
    <w:link w:val="TableandFigureTitle"/>
    <w:rsid w:val="00FD32D5"/>
    <w:rPr>
      <w:sz w:val="28"/>
      <w:szCs w:val="28"/>
    </w:rPr>
  </w:style>
  <w:style w:type="paragraph" w:customStyle="1" w:styleId="IndentedReference">
    <w:name w:val="Indented Reference"/>
    <w:basedOn w:val="Normal"/>
    <w:link w:val="IndentedReferenceChar"/>
    <w:qFormat/>
    <w:rsid w:val="00FD32D5"/>
    <w:pPr>
      <w:ind w:left="567" w:hanging="567"/>
    </w:pPr>
    <w:rPr>
      <w:rFonts w:asciiTheme="majorHAnsi" w:hAnsiTheme="majorHAnsi"/>
    </w:rPr>
  </w:style>
  <w:style w:type="character" w:customStyle="1" w:styleId="IndentedReferenceChar">
    <w:name w:val="Indented Reference Char"/>
    <w:basedOn w:val="DefaultParagraphFont"/>
    <w:link w:val="IndentedReference"/>
    <w:rsid w:val="00FD32D5"/>
    <w:rPr>
      <w:rFonts w:asciiTheme="majorHAnsi" w:hAnsiTheme="majorHAnsi"/>
      <w:sz w:val="24"/>
    </w:rPr>
  </w:style>
  <w:style w:type="paragraph" w:styleId="FootnoteText">
    <w:name w:val="footnote text"/>
    <w:basedOn w:val="Normal"/>
    <w:link w:val="FootnoteTextChar"/>
    <w:uiPriority w:val="99"/>
    <w:semiHidden/>
    <w:unhideWhenUsed/>
    <w:rsid w:val="00517D9D"/>
    <w:rPr>
      <w:sz w:val="20"/>
      <w:szCs w:val="20"/>
    </w:rPr>
  </w:style>
  <w:style w:type="character" w:customStyle="1" w:styleId="FootnoteTextChar">
    <w:name w:val="Footnote Text Char"/>
    <w:basedOn w:val="DefaultParagraphFont"/>
    <w:link w:val="FootnoteText"/>
    <w:uiPriority w:val="99"/>
    <w:semiHidden/>
    <w:rsid w:val="00517D9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17D9D"/>
    <w:rPr>
      <w:vertAlign w:val="superscript"/>
    </w:rPr>
  </w:style>
  <w:style w:type="paragraph" w:styleId="Header">
    <w:name w:val="header"/>
    <w:basedOn w:val="Normal"/>
    <w:link w:val="HeaderChar"/>
    <w:uiPriority w:val="99"/>
    <w:semiHidden/>
    <w:unhideWhenUsed/>
    <w:rsid w:val="00874C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4C71"/>
    <w:rPr>
      <w:rFonts w:ascii="Calibri" w:eastAsia="Calibri" w:hAnsi="Calibri" w:cs="Times New Roman"/>
      <w:sz w:val="24"/>
    </w:rPr>
  </w:style>
  <w:style w:type="paragraph" w:styleId="Footer">
    <w:name w:val="footer"/>
    <w:basedOn w:val="Normal"/>
    <w:link w:val="FooterChar"/>
    <w:uiPriority w:val="99"/>
    <w:unhideWhenUsed/>
    <w:rsid w:val="0087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C71"/>
    <w:rPr>
      <w:rFonts w:ascii="Calibri" w:eastAsia="Calibri" w:hAnsi="Calibri" w:cs="Times New Roman"/>
      <w:sz w:val="24"/>
    </w:rPr>
  </w:style>
  <w:style w:type="character" w:styleId="Hyperlink">
    <w:name w:val="Hyperlink"/>
    <w:basedOn w:val="DefaultParagraphFont"/>
    <w:uiPriority w:val="99"/>
    <w:unhideWhenUsed/>
    <w:rsid w:val="006723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820717">
      <w:bodyDiv w:val="1"/>
      <w:marLeft w:val="0"/>
      <w:marRight w:val="0"/>
      <w:marTop w:val="0"/>
      <w:marBottom w:val="0"/>
      <w:divBdr>
        <w:top w:val="none" w:sz="0" w:space="0" w:color="auto"/>
        <w:left w:val="none" w:sz="0" w:space="0" w:color="auto"/>
        <w:bottom w:val="none" w:sz="0" w:space="0" w:color="auto"/>
        <w:right w:val="none" w:sz="0" w:space="0" w:color="auto"/>
      </w:divBdr>
    </w:div>
    <w:div w:id="18179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ncrm.ac.uk/783/%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4046-F86E-4810-B37F-BA722D59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44</cp:revision>
  <cp:lastPrinted>2011-11-20T08:07:00Z</cp:lastPrinted>
  <dcterms:created xsi:type="dcterms:W3CDTF">2011-11-20T06:29:00Z</dcterms:created>
  <dcterms:modified xsi:type="dcterms:W3CDTF">2011-11-22T07:42:00Z</dcterms:modified>
</cp:coreProperties>
</file>