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bookmarkStart w:id="0" w:name="_GoBack"/>
      <w:bookmarkEnd w:id="0"/>
      <w:r>
        <w:rPr/>
        <w:drawing>
          <wp:inline distT="0" distB="0" distL="0" distR="0">
            <wp:extent cx="5716905" cy="1908175"/>
            <wp:effectExtent l="0" t="0" r="0" b="0"/>
            <wp:docPr id="1" name="Picture 3" descr="\\nask.man.ac.uk\home$\Desktop\RDP\Business Boost Project\Banner\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nask.man.ac.uk\home$\Desktop\RDP\Business Boost Project\Banner\Banner2.png"/>
                    <pic:cNvPicPr>
                      <a:picLocks noChangeAspect="1" noChangeArrowheads="1"/>
                    </pic:cNvPicPr>
                  </pic:nvPicPr>
                  <pic:blipFill>
                    <a:blip r:embed="rId2"/>
                    <a:stretch>
                      <a:fillRect/>
                    </a:stretch>
                  </pic:blipFill>
                  <pic:spPr bwMode="auto">
                    <a:xfrm>
                      <a:off x="0" y="0"/>
                      <a:ext cx="5716905" cy="1908175"/>
                    </a:xfrm>
                    <a:prstGeom prst="rect">
                      <a:avLst/>
                    </a:prstGeom>
                  </pic:spPr>
                </pic:pic>
              </a:graphicData>
            </a:graphic>
          </wp:inline>
        </w:drawing>
      </w:r>
    </w:p>
    <w:p>
      <w:pPr>
        <w:pStyle w:val="Heading1"/>
        <w:jc w:val="center"/>
        <w:rPr>
          <w:b/>
          <w:b/>
        </w:rPr>
      </w:pPr>
      <w:r>
        <w:rPr>
          <w:b/>
        </w:rPr>
        <w:t>Paid Research and Knowledge Exchange opportunity</w:t>
      </w:r>
    </w:p>
    <w:p>
      <w:pPr>
        <w:pStyle w:val="ListParagraph"/>
        <w:rPr>
          <w:b/>
          <w:b/>
        </w:rPr>
      </w:pPr>
      <w:r>
        <w:rPr>
          <w:b/>
        </w:rPr>
      </w:r>
    </w:p>
    <w:p>
      <w:pPr>
        <w:pStyle w:val="ListParagraph"/>
        <w:numPr>
          <w:ilvl w:val="0"/>
          <w:numId w:val="2"/>
        </w:numPr>
        <w:rPr>
          <w:b/>
          <w:b/>
        </w:rPr>
      </w:pPr>
      <w:r>
        <w:rPr>
          <w:b/>
        </w:rPr>
        <w:t xml:space="preserve">Context </w:t>
      </w:r>
    </w:p>
    <w:p>
      <w:pPr>
        <w:pStyle w:val="Normal"/>
        <w:widowControl w:val="false"/>
        <w:spacing w:lineRule="auto" w:line="360"/>
        <w:jc w:val="both"/>
        <w:rPr>
          <w:rFonts w:eastAsia="Helvetica Neue" w:cs="Helvetica Neue"/>
          <w:color w:val="343434"/>
        </w:rPr>
      </w:pPr>
      <w:r>
        <w:rPr>
          <w:rFonts w:eastAsia="Helvetica Neue" w:cs="Helvetica Neue"/>
          <w:color w:val="343434"/>
        </w:rPr>
        <w:t xml:space="preserve">The Researcher Development and Business engagement teams are working together to offer a programme of collaborative research projects bringing together early career researchers (ECRs) and business engagement partners. </w:t>
      </w:r>
    </w:p>
    <w:p>
      <w:pPr>
        <w:pStyle w:val="Normal"/>
        <w:widowControl w:val="false"/>
        <w:spacing w:lineRule="auto" w:line="360"/>
        <w:jc w:val="both"/>
        <w:rPr>
          <w:rFonts w:eastAsia="Helvetica Neue" w:cs="Helvetica Neue"/>
          <w:color w:val="343434"/>
        </w:rPr>
      </w:pPr>
      <w:r>
        <w:rPr>
          <w:rFonts w:eastAsia="Helvetica Neue" w:cs="Helvetica Neue"/>
          <w:color w:val="343434"/>
        </w:rPr>
        <w:t>Application is open to PhD and EC researchers affiliated to/recently graduated from one of the institutions of the NWSSDTP (University of Manchester, Keele University, Lancaster University and University of Liverpool).</w:t>
      </w:r>
    </w:p>
    <w:p>
      <w:pPr>
        <w:pStyle w:val="ListParagraph"/>
        <w:widowControl w:val="false"/>
        <w:numPr>
          <w:ilvl w:val="0"/>
          <w:numId w:val="2"/>
        </w:numPr>
        <w:spacing w:lineRule="auto" w:line="360"/>
        <w:jc w:val="both"/>
        <w:rPr>
          <w:b/>
          <w:b/>
        </w:rPr>
      </w:pPr>
      <w:r>
        <w:rPr>
          <w:b/>
        </w:rPr>
        <w:t xml:space="preserve">Purpose </w:t>
      </w:r>
    </w:p>
    <w:p>
      <w:pPr>
        <w:pStyle w:val="Normal"/>
        <w:widowControl w:val="false"/>
        <w:pBdr/>
        <w:spacing w:lineRule="auto" w:line="360"/>
        <w:jc w:val="both"/>
        <w:rPr>
          <w:rFonts w:eastAsia="Helvetica Neue" w:cs="Helvetica Neue"/>
          <w:color w:val="343434"/>
        </w:rPr>
      </w:pPr>
      <w:r>
        <w:rPr>
          <w:rFonts w:eastAsia="Helvetica Neue" w:cs="Helvetica Neue"/>
          <w:color w:val="343434"/>
        </w:rPr>
        <w:t>The programme has been designed to boost the employability of doctoral and postdoctoral researchers willing to acquire professional skills in research consultancy, leadership and engagement and to develop close professional ties with academic colleagues and non-academic partners in the region.</w:t>
      </w:r>
    </w:p>
    <w:p>
      <w:pPr>
        <w:pStyle w:val="ListParagraph"/>
        <w:numPr>
          <w:ilvl w:val="0"/>
          <w:numId w:val="2"/>
        </w:numPr>
        <w:rPr>
          <w:b/>
          <w:b/>
          <w:lang w:eastAsia="en-GB"/>
        </w:rPr>
      </w:pPr>
      <w:r>
        <w:rPr>
          <w:b/>
          <w:lang w:eastAsia="en-GB"/>
        </w:rPr>
        <w:t>Benefits for early career researchers.</w:t>
      </w:r>
    </w:p>
    <w:p>
      <w:pPr>
        <w:pStyle w:val="Normal"/>
        <w:widowControl w:val="false"/>
        <w:pBdr/>
        <w:spacing w:lineRule="auto" w:line="360"/>
        <w:jc w:val="both"/>
        <w:rPr>
          <w:rFonts w:eastAsia="Helvetica Neue" w:cs="Helvetica Neue"/>
          <w:color w:val="343434"/>
        </w:rPr>
      </w:pPr>
      <w:r>
        <w:rPr>
          <w:rFonts w:eastAsia="Helvetica Neue" w:cs="Helvetica Neue"/>
          <w:color w:val="343434"/>
        </w:rPr>
        <w:t xml:space="preserve">Over the course of the programme, ECRs will develop expertise in research consultancy and knowledge exchange and transform research into practice by bringing their academic expertise to tackle real-world challenges posed by business engagement partners. </w:t>
      </w:r>
    </w:p>
    <w:p>
      <w:pPr>
        <w:pStyle w:val="Normal"/>
        <w:widowControl w:val="false"/>
        <w:pBdr/>
        <w:spacing w:lineRule="auto" w:line="360"/>
        <w:jc w:val="both"/>
        <w:rPr>
          <w:rFonts w:eastAsia="Helvetica Neue" w:cs="Helvetica Neue"/>
          <w:color w:val="343434"/>
        </w:rPr>
      </w:pPr>
      <w:r>
        <w:rPr>
          <w:rFonts w:eastAsia="Helvetica Neue" w:cs="Helvetica Neue"/>
          <w:color w:val="343434"/>
        </w:rPr>
        <w:t>ECRs participating in the programme will receive</w:t>
      </w:r>
    </w:p>
    <w:p>
      <w:pPr>
        <w:pStyle w:val="Normal"/>
        <w:widowControl w:val="false"/>
        <w:pBdr/>
        <w:spacing w:lineRule="auto" w:line="360"/>
        <w:ind w:left="720" w:hanging="0"/>
        <w:jc w:val="both"/>
        <w:rPr>
          <w:rFonts w:eastAsia="Helvetica Neue" w:cs="Helvetica Neue"/>
          <w:color w:val="343434"/>
        </w:rPr>
      </w:pPr>
      <w:r>
        <w:rPr>
          <w:rFonts w:eastAsia="Helvetica Neue" w:cs="Helvetica Neue"/>
          <w:color w:val="343434"/>
        </w:rPr>
        <w:t xml:space="preserve">● </w:t>
      </w:r>
      <w:r>
        <w:rPr>
          <w:rFonts w:eastAsia="Helvetica Neue" w:cs="Helvetica Neue"/>
          <w:color w:val="343434"/>
        </w:rPr>
        <w:t>High-quality professional training led by experts in professional development, with a focus on strengthening all the skills required for effective project management, research consultancy and partner engagement within an interdisciplinary team-work environment;</w:t>
      </w:r>
    </w:p>
    <w:p>
      <w:pPr>
        <w:pStyle w:val="Normal"/>
        <w:widowControl w:val="false"/>
        <w:pBdr/>
        <w:spacing w:lineRule="auto" w:line="360"/>
        <w:ind w:left="720" w:hanging="0"/>
        <w:jc w:val="both"/>
        <w:rPr>
          <w:rFonts w:eastAsia="Helvetica Neue" w:cs="Helvetica Neue"/>
          <w:color w:val="343434"/>
        </w:rPr>
      </w:pPr>
      <w:r>
        <w:rPr>
          <w:rFonts w:eastAsia="Helvetica Neue" w:cs="Helvetica Neue"/>
          <w:color w:val="343434"/>
        </w:rPr>
        <w:t xml:space="preserve">● </w:t>
      </w:r>
      <w:r>
        <w:rPr>
          <w:rFonts w:eastAsia="Helvetica Neue" w:cs="Helvetica Neue"/>
          <w:color w:val="343434"/>
        </w:rPr>
        <w:t>Payment for their time equivalent to 40 hours at TA rates for the time spent delivering the projects</w:t>
      </w:r>
    </w:p>
    <w:p>
      <w:pPr>
        <w:pStyle w:val="ListParagraph"/>
        <w:numPr>
          <w:ilvl w:val="0"/>
          <w:numId w:val="2"/>
        </w:numPr>
        <w:rPr>
          <w:b/>
          <w:b/>
          <w:lang w:eastAsia="en-GB"/>
        </w:rPr>
      </w:pPr>
      <w:r>
        <w:rPr>
          <w:b/>
          <w:lang w:eastAsia="en-GB"/>
        </w:rPr>
        <w:t>Requirements</w:t>
      </w:r>
    </w:p>
    <w:p>
      <w:pPr>
        <w:pStyle w:val="ListParagraph"/>
        <w:rPr>
          <w:b/>
          <w:b/>
          <w:lang w:eastAsia="en-GB"/>
        </w:rPr>
      </w:pPr>
      <w:r>
        <w:rPr>
          <w:b/>
          <w:lang w:eastAsia="en-GB"/>
        </w:rPr>
      </w:r>
    </w:p>
    <w:p>
      <w:pPr>
        <w:pStyle w:val="ListParagraph"/>
        <w:numPr>
          <w:ilvl w:val="0"/>
          <w:numId w:val="1"/>
        </w:numPr>
        <w:spacing w:lineRule="auto" w:line="360"/>
        <w:rPr>
          <w:b/>
          <w:b/>
        </w:rPr>
      </w:pPr>
      <w:r>
        <w:rPr>
          <w:b/>
        </w:rPr>
        <w:t>What  you need to do</w:t>
      </w:r>
    </w:p>
    <w:p>
      <w:pPr>
        <w:pStyle w:val="ListParagraph"/>
        <w:numPr>
          <w:ilvl w:val="1"/>
          <w:numId w:val="1"/>
        </w:numPr>
        <w:spacing w:lineRule="auto" w:line="360"/>
        <w:jc w:val="both"/>
        <w:rPr>
          <w:lang w:eastAsia="en-GB"/>
        </w:rPr>
      </w:pPr>
      <w:r>
        <w:rPr>
          <w:lang w:eastAsia="en-GB"/>
        </w:rPr>
        <w:t>Business engagement partners will formulate a real-life challenge to ECRs via podcast.</w:t>
      </w:r>
      <w:r>
        <w:rPr/>
        <w:t xml:space="preserve"> Participants will be required to create a proposal to solve the challenge posed by business partners. </w:t>
      </w:r>
    </w:p>
    <w:p>
      <w:pPr>
        <w:pStyle w:val="ListParagraph"/>
        <w:numPr>
          <w:ilvl w:val="1"/>
          <w:numId w:val="1"/>
        </w:numPr>
        <w:spacing w:lineRule="auto" w:line="360"/>
        <w:rPr/>
      </w:pPr>
      <w:r>
        <w:rPr/>
        <w:t xml:space="preserve">Participants will work in groups to implement their solution and write a report with their findings. </w:t>
      </w:r>
    </w:p>
    <w:p>
      <w:pPr>
        <w:pStyle w:val="ListParagraph"/>
        <w:numPr>
          <w:ilvl w:val="1"/>
          <w:numId w:val="1"/>
        </w:numPr>
        <w:rPr>
          <w:lang w:eastAsia="en-GB"/>
        </w:rPr>
      </w:pPr>
      <w:r>
        <w:rPr>
          <w:lang w:eastAsia="en-GB"/>
        </w:rPr>
        <w:t xml:space="preserve">Participants will present their findings as a report and in a business style. </w:t>
      </w:r>
    </w:p>
    <w:p>
      <w:pPr>
        <w:pStyle w:val="ListParagraph"/>
        <w:numPr>
          <w:ilvl w:val="0"/>
          <w:numId w:val="1"/>
        </w:numPr>
        <w:rPr>
          <w:b/>
          <w:b/>
          <w:lang w:eastAsia="en-GB"/>
        </w:rPr>
      </w:pPr>
      <w:r>
        <w:rPr>
          <w:b/>
          <w:lang w:eastAsia="en-GB"/>
        </w:rPr>
        <w:t>Support</w:t>
      </w:r>
    </w:p>
    <w:p>
      <w:pPr>
        <w:pStyle w:val="ListParagraph"/>
        <w:numPr>
          <w:ilvl w:val="1"/>
          <w:numId w:val="1"/>
        </w:numPr>
        <w:rPr>
          <w:lang w:eastAsia="en-GB"/>
        </w:rPr>
      </w:pPr>
      <w:r>
        <w:rPr>
          <w:lang w:eastAsia="en-GB"/>
        </w:rPr>
        <w:t>Participants will receive bespoke training from experienced professionals (these workshops are highly recommended).</w:t>
      </w:r>
    </w:p>
    <w:p>
      <w:pPr>
        <w:pStyle w:val="ListParagraph"/>
        <w:numPr>
          <w:ilvl w:val="2"/>
          <w:numId w:val="1"/>
        </w:numPr>
        <w:rPr>
          <w:lang w:eastAsia="en-GB"/>
        </w:rPr>
      </w:pPr>
      <w:r>
        <w:rPr>
          <w:lang w:eastAsia="en-GB"/>
        </w:rPr>
        <w:t>6</w:t>
      </w:r>
      <w:r>
        <w:rPr>
          <w:vertAlign w:val="superscript"/>
          <w:lang w:eastAsia="en-GB"/>
        </w:rPr>
        <w:t>th</w:t>
      </w:r>
      <w:r>
        <w:rPr>
          <w:lang w:eastAsia="en-GB"/>
        </w:rPr>
        <w:t xml:space="preserve"> June  ‘skills for solving problem’ , Keele University</w:t>
      </w:r>
    </w:p>
    <w:p>
      <w:pPr>
        <w:pStyle w:val="ListParagraph"/>
        <w:numPr>
          <w:ilvl w:val="2"/>
          <w:numId w:val="1"/>
        </w:numPr>
        <w:rPr>
          <w:lang w:eastAsia="en-GB"/>
        </w:rPr>
      </w:pPr>
      <w:r>
        <w:rPr>
          <w:lang w:eastAsia="en-GB"/>
        </w:rPr>
        <w:t>7</w:t>
      </w:r>
      <w:r>
        <w:rPr>
          <w:vertAlign w:val="superscript"/>
          <w:lang w:eastAsia="en-GB"/>
        </w:rPr>
        <w:t>th</w:t>
      </w:r>
      <w:r>
        <w:rPr>
          <w:lang w:eastAsia="en-GB"/>
        </w:rPr>
        <w:t xml:space="preserve"> June ‘Tools and approaches for collaboration’, University of Manchester</w:t>
      </w:r>
    </w:p>
    <w:p>
      <w:pPr>
        <w:pStyle w:val="ListParagraph"/>
        <w:numPr>
          <w:ilvl w:val="2"/>
          <w:numId w:val="1"/>
        </w:numPr>
        <w:rPr>
          <w:lang w:eastAsia="en-GB"/>
        </w:rPr>
      </w:pPr>
      <w:r>
        <w:rPr>
          <w:lang w:eastAsia="en-GB"/>
        </w:rPr>
        <w:t>Week commencing 10</w:t>
      </w:r>
      <w:r>
        <w:rPr>
          <w:vertAlign w:val="superscript"/>
          <w:lang w:eastAsia="en-GB"/>
        </w:rPr>
        <w:t>th</w:t>
      </w:r>
      <w:r>
        <w:rPr>
          <w:lang w:eastAsia="en-GB"/>
        </w:rPr>
        <w:t xml:space="preserve"> June ‘Project Management made easy’</w:t>
      </w:r>
    </w:p>
    <w:p>
      <w:pPr>
        <w:pStyle w:val="ListParagraph"/>
        <w:numPr>
          <w:ilvl w:val="1"/>
          <w:numId w:val="1"/>
        </w:numPr>
        <w:rPr>
          <w:lang w:eastAsia="en-GB"/>
        </w:rPr>
      </w:pPr>
      <w:r>
        <w:rPr>
          <w:lang w:eastAsia="en-GB"/>
        </w:rPr>
        <w:t>Project Groups will receive supervision and support from the University researcher development team.</w:t>
      </w:r>
    </w:p>
    <w:p>
      <w:pPr>
        <w:pStyle w:val="ListParagraph"/>
        <w:numPr>
          <w:ilvl w:val="1"/>
          <w:numId w:val="1"/>
        </w:numPr>
        <w:rPr>
          <w:lang w:eastAsia="en-GB"/>
        </w:rPr>
      </w:pPr>
      <w:r>
        <w:rPr>
          <w:lang w:eastAsia="en-GB"/>
        </w:rPr>
        <w:t xml:space="preserve"> </w:t>
      </w:r>
      <w:r>
        <w:rPr>
          <w:lang w:eastAsia="en-GB"/>
        </w:rPr>
        <w:t xml:space="preserve">There will  be a nominated point of contact within the organisation to whom they can address questions in the first instance. </w:t>
      </w:r>
    </w:p>
    <w:p>
      <w:pPr>
        <w:pStyle w:val="ListParagraph"/>
        <w:numPr>
          <w:ilvl w:val="1"/>
          <w:numId w:val="1"/>
        </w:numPr>
        <w:rPr>
          <w:lang w:eastAsia="en-GB"/>
        </w:rPr>
      </w:pPr>
      <w:r>
        <w:rPr>
          <w:lang w:eastAsia="en-GB"/>
        </w:rPr>
        <w:t xml:space="preserve">Project groups will meet with the contact person or other representative of the organisation at least twice during the implementation phase to check progress and align objectives. </w:t>
      </w:r>
    </w:p>
    <w:p>
      <w:pPr>
        <w:pStyle w:val="ListParagraph"/>
        <w:numPr>
          <w:ilvl w:val="1"/>
          <w:numId w:val="1"/>
        </w:numPr>
        <w:rPr>
          <w:lang w:eastAsia="en-GB"/>
        </w:rPr>
      </w:pPr>
      <w:r>
        <w:rPr>
          <w:lang w:eastAsia="en-GB"/>
        </w:rPr>
        <w:t>Further meetings can be agreed as needed.</w:t>
      </w:r>
    </w:p>
    <w:p>
      <w:pPr>
        <w:pStyle w:val="ListParagraph"/>
        <w:numPr>
          <w:ilvl w:val="0"/>
          <w:numId w:val="1"/>
        </w:numPr>
        <w:spacing w:lineRule="auto" w:line="360"/>
        <w:rPr>
          <w:lang w:eastAsia="en-GB"/>
        </w:rPr>
      </w:pPr>
      <w:r>
        <w:rPr>
          <w:b/>
          <w:lang w:eastAsia="en-GB"/>
        </w:rPr>
        <w:t>Timeline</w:t>
      </w:r>
    </w:p>
    <w:p>
      <w:pPr>
        <w:pStyle w:val="ListParagraph"/>
        <w:numPr>
          <w:ilvl w:val="0"/>
          <w:numId w:val="3"/>
        </w:numPr>
        <w:spacing w:lineRule="auto" w:line="360"/>
        <w:rPr/>
      </w:pPr>
      <w:r>
        <w:rPr>
          <w:u w:val="single"/>
        </w:rPr>
        <w:t>Early June</w:t>
      </w:r>
      <w:r>
        <w:rPr/>
        <w:t xml:space="preserve">  3 half-day Training sessions</w:t>
      </w:r>
    </w:p>
    <w:p>
      <w:pPr>
        <w:pStyle w:val="ListParagraph"/>
        <w:numPr>
          <w:ilvl w:val="0"/>
          <w:numId w:val="3"/>
        </w:numPr>
        <w:spacing w:lineRule="auto" w:line="360"/>
        <w:rPr/>
      </w:pPr>
      <w:r>
        <w:rPr>
          <w:u w:val="single"/>
        </w:rPr>
        <w:t>Monday 1</w:t>
      </w:r>
      <w:r>
        <w:rPr>
          <w:u w:val="single"/>
          <w:vertAlign w:val="superscript"/>
        </w:rPr>
        <w:t>st</w:t>
      </w:r>
      <w:r>
        <w:rPr>
          <w:u w:val="single"/>
        </w:rPr>
        <w:t xml:space="preserve"> July</w:t>
      </w:r>
      <w:r>
        <w:rPr/>
        <w:t xml:space="preserve"> One day launch event will take place at Manchester where participating ECRs will see the podcasts and engage in a grouping exercise.</w:t>
      </w:r>
    </w:p>
    <w:p>
      <w:pPr>
        <w:pStyle w:val="ListParagraph"/>
        <w:numPr>
          <w:ilvl w:val="0"/>
          <w:numId w:val="3"/>
        </w:numPr>
        <w:spacing w:lineRule="auto" w:line="360"/>
        <w:rPr/>
      </w:pPr>
      <w:r>
        <w:rPr>
          <w:u w:val="single"/>
        </w:rPr>
        <w:t>Monday 8th July</w:t>
      </w:r>
      <w:r>
        <w:rPr/>
        <w:t xml:space="preserve"> Project proposals submitted</w:t>
      </w:r>
    </w:p>
    <w:p>
      <w:pPr>
        <w:pStyle w:val="ListParagraph"/>
        <w:numPr>
          <w:ilvl w:val="0"/>
          <w:numId w:val="3"/>
        </w:numPr>
        <w:spacing w:lineRule="auto" w:line="360"/>
        <w:rPr/>
      </w:pPr>
      <w:r>
        <w:rPr>
          <w:u w:val="single"/>
        </w:rPr>
        <w:t>Thursday 18</w:t>
      </w:r>
      <w:r>
        <w:rPr>
          <w:u w:val="single"/>
          <w:vertAlign w:val="superscript"/>
        </w:rPr>
        <w:t>th</w:t>
      </w:r>
      <w:r>
        <w:rPr>
          <w:u w:val="single"/>
        </w:rPr>
        <w:t xml:space="preserve">July </w:t>
      </w:r>
      <w:r>
        <w:rPr/>
        <w:t>Participants will be informed if their proposals have been approved.</w:t>
      </w:r>
    </w:p>
    <w:p>
      <w:pPr>
        <w:pStyle w:val="ListParagraph"/>
        <w:numPr>
          <w:ilvl w:val="1"/>
          <w:numId w:val="1"/>
        </w:numPr>
        <w:spacing w:lineRule="auto" w:line="360"/>
        <w:rPr/>
      </w:pPr>
      <w:r>
        <w:rPr>
          <w:u w:val="single"/>
        </w:rPr>
        <w:t>Monday 22</w:t>
      </w:r>
      <w:r>
        <w:rPr>
          <w:u w:val="single"/>
          <w:vertAlign w:val="superscript"/>
        </w:rPr>
        <w:t>th</w:t>
      </w:r>
      <w:r>
        <w:rPr>
          <w:u w:val="single"/>
        </w:rPr>
        <w:t xml:space="preserve"> July- Friday 30th August</w:t>
      </w:r>
      <w:r>
        <w:rPr/>
        <w:t xml:space="preserve"> Project phase</w:t>
      </w:r>
    </w:p>
    <w:p>
      <w:pPr>
        <w:pStyle w:val="ListParagraph"/>
        <w:numPr>
          <w:ilvl w:val="1"/>
          <w:numId w:val="1"/>
        </w:numPr>
        <w:rPr>
          <w:u w:val="single"/>
        </w:rPr>
      </w:pPr>
      <w:r>
        <w:rPr>
          <w:u w:val="single"/>
        </w:rPr>
        <w:t xml:space="preserve">Tuesday 10th September </w:t>
      </w:r>
      <w:r>
        <w:rPr/>
        <w:t>End of Project event including preliminary findings presentations and feedback/Q&amp;A from partners.</w:t>
      </w:r>
    </w:p>
    <w:p>
      <w:pPr>
        <w:pStyle w:val="ListParagraph"/>
        <w:numPr>
          <w:ilvl w:val="1"/>
          <w:numId w:val="1"/>
        </w:numPr>
        <w:spacing w:lineRule="auto" w:line="360"/>
        <w:rPr/>
      </w:pPr>
      <w:r>
        <w:rPr>
          <w:u w:val="single"/>
        </w:rPr>
        <w:t>Monday 23rd September</w:t>
      </w:r>
      <w:r>
        <w:rPr/>
        <w:t xml:space="preserve">  Deadline for final report and PR7 forms 12 noon.</w:t>
      </w:r>
    </w:p>
    <w:p>
      <w:pPr>
        <w:pStyle w:val="Normal"/>
        <w:rPr>
          <w:b/>
          <w:b/>
          <w:lang w:eastAsia="en-GB"/>
        </w:rPr>
      </w:pPr>
      <w:r>
        <w:rPr>
          <w:b/>
          <w:lang w:eastAsia="en-GB"/>
        </w:rPr>
      </w:r>
    </w:p>
    <w:p>
      <w:pPr>
        <w:pStyle w:val="Normal"/>
        <w:rPr/>
      </w:pPr>
      <w:r>
        <w:rPr>
          <w:b/>
          <w:color w:val="FF0000"/>
          <w:lang w:eastAsia="en-GB"/>
        </w:rPr>
        <w:t xml:space="preserve">Completed registration forms must be submitted to </w:t>
      </w:r>
      <w:hyperlink r:id="rId3">
        <w:r>
          <w:rPr>
            <w:rStyle w:val="InternetLink"/>
            <w:b/>
            <w:lang w:eastAsia="en-GB"/>
          </w:rPr>
          <w:t>humanities-training@manchester.ac.uk</w:t>
        </w:r>
      </w:hyperlink>
      <w:r>
        <w:rPr>
          <w:b/>
          <w:color w:val="FF0000"/>
          <w:lang w:eastAsia="en-GB"/>
        </w:rPr>
        <w:t xml:space="preserve"> by 5pm on Monday 3</w:t>
      </w:r>
      <w:r>
        <w:rPr>
          <w:b/>
          <w:color w:val="FF0000"/>
          <w:vertAlign w:val="superscript"/>
          <w:lang w:eastAsia="en-GB"/>
        </w:rPr>
        <w:t>th</w:t>
      </w:r>
      <w:r>
        <w:rPr>
          <w:b/>
          <w:color w:val="FF0000"/>
          <w:lang w:eastAsia="en-GB"/>
        </w:rPr>
        <w:t xml:space="preserve"> June. Places are limited and will be allocated on a first-come-first-served-basis</w:t>
      </w:r>
    </w:p>
    <w:p>
      <w:pPr>
        <w:pStyle w:val="Normal"/>
        <w:rPr>
          <w:lang w:eastAsia="en-GB"/>
        </w:rPr>
      </w:pPr>
      <w:r>
        <w:rPr>
          <w:b/>
          <w:lang w:eastAsia="en-GB"/>
        </w:rPr>
        <w:t xml:space="preserve">Please Note. </w:t>
      </w:r>
      <w:r>
        <w:rPr>
          <w:lang w:eastAsia="en-GB"/>
        </w:rPr>
        <w:t>Registration to the programme and atendance at the training and/or launch event is not a gaurantee of 40 hours paid work. Whilst we hope that all proposed projects will be taken up by partners, only once your project and the number of hours required has been agreed can we confirm your fee.</w:t>
      </w:r>
    </w:p>
    <w:p>
      <w:pPr>
        <w:pStyle w:val="Normal"/>
        <w:rPr/>
      </w:pPr>
      <w:r>
        <w:rPr>
          <w:lang w:eastAsia="en-GB"/>
        </w:rPr>
        <w:t>If you are employed full time (1.0 FTE) by the University of Manchester during the implementation phase we will be unable to pay a fee directly. Instead you will be recompensed by transferring money into your research account.</w:t>
      </w:r>
    </w:p>
    <w:p>
      <w:pPr>
        <w:pStyle w:val="Normal"/>
        <w:rPr>
          <w:lang w:eastAsia="en-GB"/>
        </w:rPr>
      </w:pPr>
      <w:r>
        <w:rPr/>
      </w:r>
    </w:p>
    <w:p>
      <w:pPr>
        <w:pStyle w:val="Normal"/>
        <w:rPr>
          <w:lang w:eastAsia="en-GB"/>
        </w:rPr>
      </w:pPr>
      <w:r>
        <w:rPr/>
      </w:r>
      <w:r>
        <w:br w:type="page"/>
      </w:r>
    </w:p>
    <w:p>
      <w:pPr>
        <w:pStyle w:val="Normal"/>
        <w:rPr>
          <w:lang w:eastAsia="en-GB"/>
        </w:rPr>
      </w:pPr>
      <w:r>
        <w:rPr/>
      </w:r>
    </w:p>
    <w:tbl>
      <w:tblPr>
        <w:tblW w:w="9890" w:type="dxa"/>
        <w:jc w:val="lef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70" w:type="dxa"/>
          <w:bottom w:w="0" w:type="dxa"/>
          <w:right w:w="170" w:type="dxa"/>
        </w:tblCellMar>
        <w:tblLook w:noVBand="0" w:val="01e0" w:noHBand="0" w:lastColumn="1" w:firstColumn="1" w:lastRow="1" w:firstRow="1"/>
      </w:tblPr>
      <w:tblGrid>
        <w:gridCol w:w="2437"/>
        <w:gridCol w:w="284"/>
        <w:gridCol w:w="1984"/>
        <w:gridCol w:w="852"/>
        <w:gridCol w:w="1558"/>
        <w:gridCol w:w="2774"/>
      </w:tblGrid>
      <w:tr>
        <w:trPr>
          <w:trHeight w:val="397" w:hRule="atLeast"/>
          <w:cantSplit w:val="true"/>
        </w:trPr>
        <w:tc>
          <w:tcPr>
            <w:tcW w:w="9889"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6ECF2" w:val="clear"/>
            <w:vAlign w:val="center"/>
          </w:tcPr>
          <w:p>
            <w:pPr>
              <w:pStyle w:val="Heading3"/>
              <w:spacing w:before="0" w:after="200"/>
              <w:rPr>
                <w:rFonts w:ascii="Calibri" w:hAnsi="Calibri" w:eastAsia="Arial Unicode MS" w:cs="Gautami"/>
                <w:sz w:val="20"/>
              </w:rPr>
            </w:pPr>
            <w:r>
              <w:rPr>
                <w:rFonts w:eastAsia="Arial Unicode MS" w:cs="Gautami" w:ascii="Calibri" w:hAnsi="Calibri"/>
                <w:sz w:val="24"/>
              </w:rPr>
              <w:t xml:space="preserve">REGISTRATION FORM </w:t>
            </w:r>
          </w:p>
        </w:tc>
      </w:tr>
      <w:tr>
        <w:trPr>
          <w:trHeight w:val="745" w:hRule="exact"/>
          <w:cantSplit w:val="true"/>
        </w:trPr>
        <w:tc>
          <w:tcPr>
            <w:tcW w:w="9889" w:type="dxa"/>
            <w:gridSpan w:val="6"/>
            <w:tcBorders>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rPr>
                <w:rFonts w:ascii="Calibri" w:hAnsi="Calibri" w:eastAsia="Arial Unicode MS" w:cs="Gautami"/>
                <w:b/>
                <w:b/>
                <w:color w:val="FF0000"/>
                <w:sz w:val="18"/>
              </w:rPr>
            </w:pPr>
            <w:r>
              <w:rPr>
                <w:rFonts w:eastAsia="Arial Unicode MS" w:cs="Gautami"/>
                <w:b/>
                <w:color w:val="FF0000"/>
                <w:sz w:val="18"/>
              </w:rPr>
              <w:t xml:space="preserve">You must read the guidance notes above before submitting your registration. </w:t>
            </w:r>
          </w:p>
          <w:p>
            <w:pPr>
              <w:pStyle w:val="Normal"/>
              <w:tabs>
                <w:tab w:val="left" w:pos="284" w:leader="none"/>
              </w:tabs>
              <w:spacing w:before="0" w:after="200"/>
              <w:rPr>
                <w:rFonts w:ascii="Calibri" w:hAnsi="Calibri" w:eastAsia="Arial Unicode MS" w:cs="Gautami"/>
                <w:sz w:val="18"/>
              </w:rPr>
            </w:pPr>
            <w:r>
              <w:rPr>
                <w:rFonts w:eastAsia="Arial Unicode MS" w:cs="Gautami"/>
                <w:b/>
                <w:color w:val="FF0000"/>
                <w:sz w:val="18"/>
              </w:rPr>
              <w:t>You should complete all sections of the registration form in full, with the eligibility criteria in mind.</w:t>
            </w:r>
            <w:r>
              <w:rPr>
                <w:rFonts w:eastAsia="Arial Unicode MS" w:cs="Gautami"/>
                <w:color w:val="FF0000"/>
                <w:sz w:val="18"/>
              </w:rPr>
              <w:t xml:space="preserve"> </w:t>
            </w:r>
          </w:p>
        </w:tc>
      </w:tr>
      <w:tr>
        <w:trPr>
          <w:trHeight w:val="397" w:hRule="atLeast"/>
          <w:cantSplit w:val="true"/>
        </w:trPr>
        <w:tc>
          <w:tcPr>
            <w:tcW w:w="9889"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6ECF2" w:val="clear"/>
            <w:vAlign w:val="center"/>
          </w:tcPr>
          <w:p>
            <w:pPr>
              <w:pStyle w:val="Heading3"/>
              <w:keepLines w:val="false"/>
              <w:numPr>
                <w:ilvl w:val="0"/>
                <w:numId w:val="4"/>
              </w:numPr>
              <w:spacing w:lineRule="auto" w:line="240" w:before="0" w:after="200"/>
              <w:rPr>
                <w:rFonts w:ascii="Calibri" w:hAnsi="Calibri" w:eastAsia="Arial Unicode MS" w:cs="Gautami"/>
                <w:sz w:val="20"/>
              </w:rPr>
            </w:pPr>
            <w:r>
              <w:rPr>
                <w:rFonts w:eastAsia="Arial Unicode MS" w:cs="Gautami" w:ascii="Calibri" w:hAnsi="Calibri"/>
                <w:sz w:val="20"/>
              </w:rPr>
              <w:t>Applicant Details</w:t>
            </w:r>
          </w:p>
        </w:tc>
      </w:tr>
      <w:tr>
        <w:trPr>
          <w:trHeight w:val="397" w:hRule="atLeast"/>
          <w:cantSplit w:val="true"/>
        </w:trPr>
        <w:tc>
          <w:tcPr>
            <w:tcW w:w="243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9D9D9" w:themeFill="background1" w:themeFillShade="d9"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First Name</w:t>
            </w:r>
          </w:p>
        </w:tc>
        <w:tc>
          <w:tcPr>
            <w:tcW w:w="2268"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Emma</w:t>
            </w:r>
          </w:p>
        </w:tc>
        <w:tc>
          <w:tcPr>
            <w:tcW w:w="241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widowControl/>
              <w:bidi w:val="0"/>
              <w:spacing w:lineRule="auto" w:line="276" w:before="0" w:after="200"/>
              <w:jc w:val="left"/>
              <w:rPr>
                <w:rFonts w:ascii="Calibri" w:hAnsi="Calibri" w:eastAsia="Arial Unicode MS" w:cs="Gautami"/>
                <w:sz w:val="18"/>
              </w:rPr>
            </w:pPr>
            <w:r>
              <w:rPr>
                <w:rFonts w:eastAsia="Arial Unicode MS" w:cs="Gautami"/>
                <w:sz w:val="18"/>
              </w:rPr>
              <w:t xml:space="preserve"> </w:t>
            </w:r>
            <w:r>
              <w:rPr>
                <w:rFonts w:eastAsia="Arial Unicode MS" w:cs="Gautami"/>
                <w:sz w:val="18"/>
              </w:rPr>
              <w:t>Last Name</w:t>
            </w:r>
          </w:p>
        </w:tc>
        <w:tc>
          <w:tcPr>
            <w:tcW w:w="27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Mills</w:t>
            </w:r>
          </w:p>
        </w:tc>
      </w:tr>
      <w:tr>
        <w:trPr>
          <w:trHeight w:val="397" w:hRule="atLeast"/>
          <w:cantSplit w:val="true"/>
        </w:trPr>
        <w:tc>
          <w:tcPr>
            <w:tcW w:w="243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Telephone</w:t>
            </w:r>
          </w:p>
        </w:tc>
        <w:tc>
          <w:tcPr>
            <w:tcW w:w="2268"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0794 353 5855</w:t>
            </w:r>
          </w:p>
        </w:tc>
        <w:tc>
          <w:tcPr>
            <w:tcW w:w="241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E-mail</w:t>
            </w:r>
          </w:p>
        </w:tc>
        <w:tc>
          <w:tcPr>
            <w:tcW w:w="27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rPr/>
            </w:pPr>
            <w:r>
              <w:rPr/>
            </w:r>
          </w:p>
          <w:p>
            <w:pPr>
              <w:pStyle w:val="Normal"/>
              <w:tabs>
                <w:tab w:val="left" w:pos="284" w:leader="none"/>
              </w:tabs>
              <w:rPr/>
            </w:pPr>
            <w:hyperlink r:id="rId5">
              <w:r>
                <w:rPr>
                  <w:rStyle w:val="InternetLink"/>
                </w:rPr>
                <w:t>e.mills@lancaster.ac.uk</w:t>
              </w:r>
            </w:hyperlink>
          </w:p>
          <w:p>
            <w:pPr>
              <w:pStyle w:val="Normal"/>
              <w:tabs>
                <w:tab w:val="left" w:pos="284" w:leader="none"/>
              </w:tabs>
              <w:spacing w:before="0" w:after="200"/>
              <w:rPr>
                <w:rFonts w:ascii="Calibri" w:hAnsi="Calibri" w:eastAsia="Arial Unicode MS" w:cs="Gautami"/>
                <w:sz w:val="18"/>
              </w:rPr>
            </w:pPr>
            <w:r>
              <w:rPr>
                <w:rFonts w:eastAsia="Arial Unicode MS" w:cs="Gautami"/>
                <w:sz w:val="18"/>
              </w:rPr>
            </w:r>
          </w:p>
        </w:tc>
      </w:tr>
      <w:tr>
        <w:trPr>
          <w:trHeight w:val="397" w:hRule="atLeast"/>
          <w:cantSplit w:val="true"/>
        </w:trPr>
        <w:tc>
          <w:tcPr>
            <w:tcW w:w="243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Role (ECR/PGR,etc)</w:t>
            </w:r>
          </w:p>
        </w:tc>
        <w:tc>
          <w:tcPr>
            <w:tcW w:w="2268"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PGR</w:t>
            </w:r>
          </w:p>
        </w:tc>
        <w:tc>
          <w:tcPr>
            <w:tcW w:w="241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Stage of PhD (e.g. 2nd year, submission pending, etc.)</w:t>
            </w:r>
          </w:p>
        </w:tc>
        <w:tc>
          <w:tcPr>
            <w:tcW w:w="27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rPr>
                <w:rFonts w:ascii="Calibri" w:hAnsi="Calibri" w:eastAsia="Arial Unicode MS" w:cs="Gautami"/>
                <w:sz w:val="18"/>
              </w:rPr>
            </w:pPr>
            <w:r>
              <w:rPr>
                <w:rFonts w:eastAsia="Arial Unicode MS" w:cs="Gautami"/>
                <w:sz w:val="18"/>
              </w:rPr>
            </w:r>
          </w:p>
          <w:p>
            <w:pPr>
              <w:pStyle w:val="Normal"/>
              <w:tabs>
                <w:tab w:val="left" w:pos="284" w:leader="none"/>
              </w:tabs>
              <w:rPr>
                <w:rFonts w:ascii="Calibri" w:hAnsi="Calibri" w:eastAsia="Arial Unicode MS" w:cs="Gautami"/>
                <w:sz w:val="18"/>
              </w:rPr>
            </w:pPr>
            <w:r>
              <w:rPr>
                <w:rFonts w:eastAsia="Arial Unicode MS" w:cs="Gautami"/>
                <w:sz w:val="18"/>
              </w:rPr>
              <w:t>Third year</w:t>
            </w:r>
          </w:p>
          <w:p>
            <w:pPr>
              <w:pStyle w:val="Normal"/>
              <w:tabs>
                <w:tab w:val="left" w:pos="284" w:leader="none"/>
              </w:tabs>
              <w:spacing w:before="0" w:after="200"/>
              <w:rPr>
                <w:rFonts w:ascii="Calibri" w:hAnsi="Calibri" w:eastAsia="Arial Unicode MS" w:cs="Gautami"/>
                <w:sz w:val="18"/>
              </w:rPr>
            </w:pPr>
            <w:r>
              <w:rPr>
                <w:rFonts w:eastAsia="Arial Unicode MS" w:cs="Gautami"/>
                <w:sz w:val="18"/>
              </w:rPr>
            </w:r>
          </w:p>
        </w:tc>
      </w:tr>
      <w:tr>
        <w:trPr>
          <w:trHeight w:val="397" w:hRule="atLeast"/>
          <w:cantSplit w:val="true"/>
        </w:trPr>
        <w:tc>
          <w:tcPr>
            <w:tcW w:w="243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rPr>
                <w:rFonts w:ascii="Calibri" w:hAnsi="Calibri" w:eastAsia="Arial Unicode MS" w:cs="Gautami"/>
                <w:sz w:val="18"/>
              </w:rPr>
            </w:pPr>
            <w:r>
              <w:rPr/>
            </w:r>
          </w:p>
          <w:p>
            <w:pPr>
              <w:pStyle w:val="Normal"/>
              <w:tabs>
                <w:tab w:val="left" w:pos="284" w:leader="none"/>
              </w:tabs>
              <w:spacing w:before="0" w:after="200"/>
              <w:rPr>
                <w:rFonts w:ascii="Calibri" w:hAnsi="Calibri" w:eastAsia="Arial Unicode MS" w:cs="Gautami"/>
                <w:sz w:val="18"/>
                <w:highlight w:val="magenta"/>
              </w:rPr>
            </w:pPr>
            <w:r>
              <w:rPr>
                <w:rFonts w:eastAsia="Arial Unicode MS" w:cs="Gautami"/>
                <w:sz w:val="18"/>
              </w:rPr>
              <w:t>Institution/University</w:t>
            </w:r>
          </w:p>
        </w:tc>
        <w:tc>
          <w:tcPr>
            <w:tcW w:w="2268"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rPr>
                <w:rFonts w:ascii="Calibri" w:hAnsi="Calibri" w:eastAsia="Arial Unicode MS" w:cs="Gautami"/>
                <w:sz w:val="18"/>
              </w:rPr>
            </w:pPr>
            <w:r>
              <w:rPr>
                <w:rFonts w:eastAsia="Arial Unicode MS" w:cs="Gautami"/>
                <w:sz w:val="18"/>
              </w:rPr>
            </w:r>
          </w:p>
          <w:p>
            <w:pPr>
              <w:pStyle w:val="Normal"/>
              <w:tabs>
                <w:tab w:val="left" w:pos="284" w:leader="none"/>
              </w:tabs>
              <w:spacing w:before="0" w:after="200"/>
              <w:rPr>
                <w:rFonts w:ascii="Calibri" w:hAnsi="Calibri" w:eastAsia="Arial Unicode MS" w:cs="Gautami"/>
                <w:sz w:val="18"/>
              </w:rPr>
            </w:pPr>
            <w:r>
              <w:rPr>
                <w:rFonts w:eastAsia="Arial Unicode MS" w:cs="Gautami"/>
                <w:sz w:val="18"/>
              </w:rPr>
              <w:t>Lancaster</w:t>
            </w:r>
          </w:p>
        </w:tc>
        <w:tc>
          <w:tcPr>
            <w:tcW w:w="241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rPr>
                <w:rFonts w:ascii="Calibri" w:hAnsi="Calibri" w:eastAsia="Arial Unicode MS" w:cs="Gautami"/>
                <w:sz w:val="18"/>
              </w:rPr>
            </w:pPr>
            <w:r>
              <w:rPr/>
            </w:r>
          </w:p>
          <w:p>
            <w:pPr>
              <w:pStyle w:val="Normal"/>
              <w:tabs>
                <w:tab w:val="left" w:pos="284" w:leader="none"/>
              </w:tabs>
              <w:spacing w:before="0" w:after="200"/>
              <w:rPr>
                <w:rFonts w:ascii="Calibri" w:hAnsi="Calibri" w:eastAsia="Arial Unicode MS" w:cs="Gautami"/>
                <w:sz w:val="18"/>
                <w:highlight w:val="magenta"/>
              </w:rPr>
            </w:pPr>
            <w:r>
              <w:rPr>
                <w:rFonts w:eastAsia="Arial Unicode MS" w:cs="Gautami"/>
                <w:sz w:val="18"/>
              </w:rPr>
              <w:t>Discipline</w:t>
            </w:r>
          </w:p>
        </w:tc>
        <w:tc>
          <w:tcPr>
            <w:tcW w:w="27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rPr>
                <w:rFonts w:ascii="Calibri" w:hAnsi="Calibri" w:eastAsia="Arial Unicode MS" w:cs="Gautami"/>
                <w:sz w:val="18"/>
              </w:rPr>
            </w:pPr>
            <w:r>
              <w:rPr>
                <w:rFonts w:eastAsia="Arial Unicode MS" w:cs="Gautami"/>
                <w:sz w:val="18"/>
              </w:rPr>
            </w:r>
          </w:p>
          <w:p>
            <w:pPr>
              <w:pStyle w:val="Normal"/>
              <w:tabs>
                <w:tab w:val="left" w:pos="284" w:leader="none"/>
              </w:tabs>
              <w:spacing w:before="0" w:after="200"/>
              <w:rPr>
                <w:rFonts w:ascii="Calibri" w:hAnsi="Calibri" w:eastAsia="Arial Unicode MS" w:cs="Gautami"/>
                <w:sz w:val="18"/>
              </w:rPr>
            </w:pPr>
            <w:r>
              <w:rPr>
                <w:rFonts w:eastAsia="Arial Unicode MS" w:cs="Gautami"/>
                <w:sz w:val="18"/>
              </w:rPr>
              <w:t>Psychology</w:t>
            </w:r>
          </w:p>
        </w:tc>
      </w:tr>
      <w:tr>
        <w:trPr>
          <w:trHeight w:val="397" w:hRule="atLeast"/>
          <w:cantSplit w:val="true"/>
        </w:trPr>
        <w:tc>
          <w:tcPr>
            <w:tcW w:w="243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Thesis title and/or current research project</w:t>
            </w:r>
          </w:p>
        </w:tc>
        <w:tc>
          <w:tcPr>
            <w:tcW w:w="7452"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The Psycholinguistic Predictor of Adult Literacy: do adult learners read the same way as their younger peers?</w:t>
            </w:r>
          </w:p>
        </w:tc>
      </w:tr>
      <w:tr>
        <w:trPr>
          <w:trHeight w:val="540" w:hRule="atLeast"/>
          <w:cantSplit w:val="true"/>
        </w:trPr>
        <w:tc>
          <w:tcPr>
            <w:tcW w:w="243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Are you funded by the ESRC or AHRC DTP?</w:t>
            </w:r>
          </w:p>
        </w:tc>
        <w:tc>
          <w:tcPr>
            <w:tcW w:w="7452"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spacing w:before="0" w:after="200"/>
              <w:rPr/>
            </w:pPr>
            <w:r>
              <w:fldChar w:fldCharType="begin">
                <w:ffData>
                  <w:name w:val=""/>
                  <w:enabled/>
                  <w:calcOnExit w:val="0"/>
                  <w:checkBox>
                    <w:sizeAuto/>
                    <w:checked/>
                  </w:checkBox>
                </w:ffData>
              </w:fldChar>
            </w:r>
            <w:r>
              <w:rPr/>
              <w:instrText> FORMCHECKBOX </w:instrText>
            </w:r>
            <w:r>
              <w:rPr/>
              <w:fldChar w:fldCharType="separate"/>
            </w:r>
            <w:bookmarkStart w:id="1" w:name="__Fieldmark__431_4103092364"/>
            <w:bookmarkStart w:id="2" w:name="__Fieldmark__431_4103092364"/>
            <w:bookmarkStart w:id="3" w:name="__Fieldmark__431_4103092364"/>
            <w:bookmarkEnd w:id="3"/>
            <w:r>
              <w:rPr/>
            </w:r>
            <w:r>
              <w:rPr/>
              <w:fldChar w:fldCharType="end"/>
            </w:r>
            <w:r>
              <w:rPr>
                <w:rFonts w:eastAsia="Arial Unicode MS" w:cs="Gautami"/>
                <w:sz w:val="18"/>
              </w:rPr>
              <w:t xml:space="preserve"> Yes    </w:t>
            </w:r>
            <w:r>
              <w:fldChar w:fldCharType="begin">
                <w:ffData>
                  <w:name w:val=""/>
                  <w:enabled/>
                  <w:calcOnExit w:val="0"/>
                  <w:checkBox>
                    <w:sizeAuto/>
                  </w:checkBox>
                </w:ffData>
              </w:fldChar>
            </w:r>
            <w:r>
              <w:rPr>
                <w:sz w:val="18"/>
                <w:rFonts w:eastAsia="Arial Unicode MS" w:cs="Gautami"/>
              </w:rPr>
              <w:instrText> FORMCHECKBOX </w:instrText>
            </w:r>
            <w:r>
              <w:rPr>
                <w:sz w:val="18"/>
                <w:rFonts w:eastAsia="Arial Unicode MS" w:cs="Gautami"/>
              </w:rPr>
              <w:fldChar w:fldCharType="separate"/>
            </w:r>
            <w:bookmarkStart w:id="4" w:name="__Fieldmark__434_4103092364"/>
            <w:bookmarkStart w:id="5" w:name="__Fieldmark__434_4103092364"/>
            <w:bookmarkStart w:id="6" w:name="__Fieldmark__434_4103092364"/>
            <w:bookmarkEnd w:id="6"/>
            <w:r>
              <w:rPr>
                <w:rFonts w:eastAsia="Arial Unicode MS" w:cs="Gautami"/>
                <w:sz w:val="18"/>
              </w:rPr>
            </w:r>
            <w:r>
              <w:rPr>
                <w:sz w:val="18"/>
                <w:rFonts w:eastAsia="Arial Unicode MS" w:cs="Gautami"/>
              </w:rPr>
              <w:fldChar w:fldCharType="end"/>
            </w:r>
            <w:r>
              <w:rPr>
                <w:rFonts w:eastAsia="Arial Unicode MS" w:cs="Gautami"/>
                <w:sz w:val="18"/>
              </w:rPr>
              <w:t xml:space="preserve"> No </w:t>
            </w:r>
          </w:p>
        </w:tc>
      </w:tr>
      <w:tr>
        <w:trPr>
          <w:trHeight w:val="397" w:hRule="atLeast"/>
          <w:cantSplit w:val="true"/>
        </w:trPr>
        <w:tc>
          <w:tcPr>
            <w:tcW w:w="9889"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6ECF2" w:val="clear"/>
            <w:vAlign w:val="center"/>
          </w:tcPr>
          <w:p>
            <w:pPr>
              <w:pStyle w:val="Heading3"/>
              <w:keepLines w:val="false"/>
              <w:numPr>
                <w:ilvl w:val="0"/>
                <w:numId w:val="4"/>
              </w:numPr>
              <w:spacing w:lineRule="auto" w:line="240" w:before="0" w:after="200"/>
              <w:rPr>
                <w:rFonts w:ascii="Calibri" w:hAnsi="Calibri" w:eastAsia="Arial Unicode MS" w:cs="Gautami"/>
                <w:sz w:val="20"/>
              </w:rPr>
            </w:pPr>
            <w:r>
              <w:rPr>
                <w:rFonts w:cs="Gautami" w:ascii="Calibri" w:hAnsi="Calibri"/>
                <w:sz w:val="20"/>
              </w:rPr>
              <w:t xml:space="preserve">Applicant Statement and Signature </w:t>
            </w:r>
            <w:r>
              <w:rPr>
                <w:rFonts w:cs="Gautami" w:ascii="Calibri" w:hAnsi="Calibri"/>
                <w:sz w:val="16"/>
                <w:szCs w:val="16"/>
              </w:rPr>
              <w:t>(please tick to acknowledge you agree with the following statement)</w:t>
            </w:r>
          </w:p>
        </w:tc>
      </w:tr>
      <w:tr>
        <w:trPr>
          <w:trHeight w:val="397" w:hRule="atLeast"/>
          <w:cantSplit w:val="true"/>
        </w:trPr>
        <w:tc>
          <w:tcPr>
            <w:tcW w:w="9889"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F2F2F2" w:val="clear"/>
            <w:vAlign w:val="center"/>
          </w:tcPr>
          <w:p>
            <w:pPr>
              <w:pStyle w:val="Normal"/>
              <w:tabs>
                <w:tab w:val="right" w:pos="9630" w:leader="dot"/>
              </w:tabs>
              <w:rPr>
                <w:rFonts w:ascii="Calibri" w:hAnsi="Calibri" w:eastAsia="Arial Unicode MS" w:cs="Gautami"/>
                <w:i/>
                <w:i/>
                <w:sz w:val="18"/>
              </w:rPr>
            </w:pPr>
            <w:r>
              <w:rPr>
                <w:rFonts w:eastAsia="Arial Unicode MS" w:cs="Gautami"/>
                <w:i/>
                <w:sz w:val="18"/>
              </w:rPr>
            </w:r>
          </w:p>
          <w:p>
            <w:pPr>
              <w:pStyle w:val="Normal"/>
              <w:tabs>
                <w:tab w:val="right" w:pos="9630" w:leader="dot"/>
              </w:tabs>
              <w:ind w:left="284" w:hanging="284"/>
              <w:rPr/>
            </w:pPr>
            <w:r>
              <w:fldChar w:fldCharType="begin">
                <w:ffData>
                  <w:name w:val=""/>
                  <w:enabled/>
                  <w:calcOnExit w:val="0"/>
                  <w:checkBox>
                    <w:sizeAuto/>
                    <w:checked/>
                  </w:checkBox>
                </w:ffData>
              </w:fldChar>
            </w:r>
            <w:r>
              <w:rPr/>
              <w:instrText> FORMCHECKBOX </w:instrText>
            </w:r>
            <w:r>
              <w:rPr/>
              <w:fldChar w:fldCharType="separate"/>
            </w:r>
            <w:bookmarkStart w:id="7" w:name="__Fieldmark__442_4103092364"/>
            <w:bookmarkStart w:id="8" w:name="__Fieldmark__442_4103092364"/>
            <w:bookmarkStart w:id="9" w:name="__Fieldmark__442_4103092364"/>
            <w:bookmarkEnd w:id="9"/>
            <w:r>
              <w:rPr/>
            </w:r>
            <w:r>
              <w:rPr/>
              <w:fldChar w:fldCharType="end"/>
            </w:r>
            <w:r>
              <w:rPr>
                <w:rFonts w:eastAsia="Arial Unicode MS" w:cs="Gautami"/>
                <w:sz w:val="18"/>
              </w:rPr>
              <w:t xml:space="preserve">  </w:t>
            </w:r>
            <w:r>
              <w:rPr>
                <w:rFonts w:eastAsia="Arial Unicode MS" w:cs="Gautami"/>
                <w:i/>
                <w:sz w:val="18"/>
              </w:rPr>
              <w:t xml:space="preserve">I agree to commit to 40 hours of time between Monday 22th July and  Friday 6th September  </w:t>
            </w:r>
          </w:p>
          <w:p>
            <w:pPr>
              <w:pStyle w:val="Normal"/>
              <w:tabs>
                <w:tab w:val="right" w:pos="9630" w:leader="dot"/>
              </w:tabs>
              <w:rPr>
                <w:rFonts w:ascii="Calibri" w:hAnsi="Calibri" w:eastAsia="Arial Unicode MS" w:cs="Gautami"/>
                <w:i/>
                <w:i/>
                <w:sz w:val="18"/>
              </w:rPr>
            </w:pPr>
            <w:r>
              <w:rPr>
                <w:rFonts w:eastAsia="Arial Unicode MS" w:cs="Gautami"/>
                <w:i/>
                <w:sz w:val="18"/>
              </w:rPr>
            </w:r>
          </w:p>
          <w:p>
            <w:pPr>
              <w:pStyle w:val="Normal"/>
              <w:tabs>
                <w:tab w:val="right" w:pos="9630" w:leader="dot"/>
              </w:tabs>
              <w:spacing w:before="0" w:after="200"/>
              <w:ind w:left="284" w:hanging="284"/>
              <w:rPr>
                <w:rFonts w:ascii="Calibri" w:hAnsi="Calibri" w:eastAsia="Arial Unicode MS" w:cs="Gautami"/>
                <w:i/>
                <w:i/>
                <w:sz w:val="18"/>
              </w:rPr>
            </w:pPr>
            <w:r>
              <w:rPr>
                <w:rFonts w:eastAsia="Arial Unicode MS" w:cs="Gautami"/>
                <w:i/>
                <w:sz w:val="18"/>
              </w:rPr>
            </w:r>
          </w:p>
        </w:tc>
      </w:tr>
      <w:tr>
        <w:trPr>
          <w:trHeight w:val="567" w:hRule="atLeast"/>
          <w:cantSplit w:val="true"/>
        </w:trPr>
        <w:tc>
          <w:tcPr>
            <w:tcW w:w="2721"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Applicant Signature</w:t>
            </w:r>
          </w:p>
        </w:tc>
        <w:tc>
          <w:tcPr>
            <w:tcW w:w="2836"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Emma Mills</w:t>
            </w:r>
          </w:p>
        </w:tc>
        <w:tc>
          <w:tcPr>
            <w:tcW w:w="155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DDDDDD"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Date</w:t>
            </w:r>
          </w:p>
        </w:tc>
        <w:tc>
          <w:tcPr>
            <w:tcW w:w="27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vAlign w:val="center"/>
          </w:tcPr>
          <w:p>
            <w:pPr>
              <w:pStyle w:val="Normal"/>
              <w:tabs>
                <w:tab w:val="left" w:pos="284" w:leader="none"/>
              </w:tabs>
              <w:spacing w:before="0" w:after="200"/>
              <w:rPr>
                <w:rFonts w:ascii="Calibri" w:hAnsi="Calibri" w:eastAsia="Arial Unicode MS" w:cs="Gautami"/>
                <w:sz w:val="18"/>
              </w:rPr>
            </w:pPr>
            <w:r>
              <w:rPr>
                <w:rFonts w:eastAsia="Arial Unicode MS" w:cs="Gautami"/>
                <w:sz w:val="18"/>
              </w:rPr>
              <w:t>30</w:t>
            </w:r>
            <w:r>
              <w:rPr>
                <w:rFonts w:eastAsia="Arial Unicode MS" w:cs="Gautami"/>
                <w:sz w:val="18"/>
                <w:vertAlign w:val="superscript"/>
              </w:rPr>
              <w:t>th</w:t>
            </w:r>
            <w:r>
              <w:rPr>
                <w:rFonts w:eastAsia="Arial Unicode MS" w:cs="Gautami"/>
                <w:sz w:val="18"/>
              </w:rPr>
              <w:t xml:space="preserve"> May 2019</w:t>
            </w:r>
          </w:p>
        </w:tc>
      </w:tr>
    </w:tbl>
    <w:p>
      <w:pPr>
        <w:pStyle w:val="Normal"/>
        <w:tabs>
          <w:tab w:val="right" w:pos="9630" w:leader="dot"/>
        </w:tabs>
        <w:rPr>
          <w:rFonts w:ascii="Calibri" w:hAnsi="Calibri" w:eastAsia="Arial Unicode MS" w:cs="Gautami"/>
          <w:sz w:val="16"/>
          <w:szCs w:val="18"/>
        </w:rPr>
      </w:pPr>
      <w:r>
        <w:rPr>
          <w:rFonts w:eastAsia="Arial Unicode MS" w:cs="Gautami"/>
          <w:sz w:val="16"/>
          <w:szCs w:val="18"/>
        </w:rPr>
      </w:r>
    </w:p>
    <w:p>
      <w:pPr>
        <w:pStyle w:val="Normal"/>
        <w:tabs>
          <w:tab w:val="right" w:pos="9630" w:leader="dot"/>
        </w:tabs>
        <w:rPr>
          <w:rFonts w:ascii="Calibri" w:hAnsi="Calibri" w:eastAsia="Arial Unicode MS" w:cs="Gautami"/>
          <w:b/>
          <w:b/>
          <w:sz w:val="18"/>
          <w:szCs w:val="18"/>
        </w:rPr>
      </w:pPr>
      <w:r>
        <w:rPr>
          <w:rFonts w:eastAsia="Arial Unicode MS" w:cs="Gautami"/>
          <w:b/>
          <w:sz w:val="18"/>
          <w:szCs w:val="18"/>
        </w:rPr>
      </w:r>
    </w:p>
    <w:p>
      <w:pPr>
        <w:pStyle w:val="Normal"/>
        <w:tabs>
          <w:tab w:val="right" w:pos="9630" w:leader="dot"/>
        </w:tabs>
        <w:rPr>
          <w:rFonts w:ascii="Calibri" w:hAnsi="Calibri" w:eastAsia="Arial Unicode MS" w:cs="Gautami"/>
          <w:b/>
          <w:b/>
          <w:sz w:val="18"/>
          <w:szCs w:val="18"/>
        </w:rPr>
      </w:pPr>
      <w:r>
        <w:rPr>
          <w:rFonts w:eastAsia="Arial Unicode MS" w:cs="Gautami"/>
          <w:b/>
          <w:sz w:val="18"/>
          <w:szCs w:val="18"/>
        </w:rPr>
      </w:r>
    </w:p>
    <w:p>
      <w:pPr>
        <w:pStyle w:val="Normal"/>
        <w:widowControl/>
        <w:bidi w:val="0"/>
        <w:spacing w:lineRule="auto" w:line="276" w:before="0" w:after="200"/>
        <w:jc w:val="left"/>
        <w:rPr/>
      </w:pPr>
      <w:r>
        <w:rPr>
          <w:rFonts w:eastAsia="SimSun"/>
          <w:b/>
          <w:sz w:val="18"/>
          <w:szCs w:val="18"/>
          <w:lang w:eastAsia="zh-CN"/>
        </w:rPr>
        <w:t xml:space="preserve">Completed application forms should be returned to </w:t>
      </w:r>
      <w:hyperlink r:id="rId6">
        <w:r>
          <w:rPr>
            <w:rStyle w:val="ListLabel24"/>
            <w:rFonts w:eastAsia="SimSun"/>
            <w:b/>
            <w:color w:val="0000FF"/>
            <w:sz w:val="18"/>
            <w:szCs w:val="18"/>
            <w:u w:val="single"/>
            <w:lang w:eastAsia="zh-CN"/>
          </w:rPr>
          <w:t>humanities-training@manchester.ac.uk</w:t>
        </w:r>
      </w:hyperlink>
      <w:r>
        <w:rPr>
          <w:rFonts w:eastAsia="SimSun"/>
          <w:b/>
          <w:sz w:val="18"/>
          <w:szCs w:val="18"/>
          <w:lang w:eastAsia="zh-CN"/>
        </w:rPr>
        <w:t xml:space="preserve">  no later than </w:t>
      </w:r>
      <w:r>
        <w:rPr>
          <w:rFonts w:eastAsia="SimSun"/>
          <w:b/>
          <w:color w:val="FF0000"/>
          <w:sz w:val="18"/>
          <w:szCs w:val="18"/>
          <w:u w:val="single"/>
          <w:lang w:eastAsia="zh-CN"/>
        </w:rPr>
        <w:t>17.00 (GMT) on Monday 3</w:t>
      </w:r>
      <w:r>
        <w:rPr>
          <w:rFonts w:eastAsia="SimSun"/>
          <w:b/>
          <w:color w:val="FF0000"/>
          <w:sz w:val="18"/>
          <w:szCs w:val="18"/>
          <w:u w:val="single"/>
          <w:vertAlign w:val="superscript"/>
          <w:lang w:eastAsia="zh-CN"/>
        </w:rPr>
        <w:t>th</w:t>
      </w:r>
      <w:r>
        <w:rPr>
          <w:rFonts w:eastAsia="SimSun"/>
          <w:b/>
          <w:color w:val="FF0000"/>
          <w:sz w:val="18"/>
          <w:szCs w:val="18"/>
          <w:u w:val="single"/>
          <w:lang w:eastAsia="zh-CN"/>
        </w:rPr>
        <w:t xml:space="preserve"> June</w:t>
      </w:r>
      <w:r>
        <w:rPr>
          <w:rFonts w:eastAsia="SimSun"/>
          <w:b/>
          <w:color w:val="FF0000"/>
          <w:sz w:val="18"/>
          <w:szCs w:val="18"/>
          <w:lang w:eastAsia="zh-CN"/>
        </w:rPr>
        <w:t>.</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o"/>
      <w:lvlJc w:val="left"/>
      <w:pPr>
        <w:ind w:left="1440" w:hanging="360"/>
      </w:pPr>
      <w:rPr>
        <w:rFonts w:ascii="Courier New" w:hAnsi="Courier New" w:cs="Courier New" w:hint="default"/>
        <w:rFonts w:cs="Courier New"/>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decimal"/>
      <w:lvlText w:val="%1."/>
      <w:lvlJc w:val="left"/>
      <w:pPr>
        <w:ind w:left="360" w:hanging="360"/>
      </w:pPr>
      <w:rPr>
        <w:sz w:val="20"/>
        <w:rFonts w:ascii="Calibri" w:hAnsi="Calibri"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b019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887080"/>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f47fe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85fc6"/>
    <w:rPr>
      <w:rFonts w:ascii="Tahoma" w:hAnsi="Tahoma" w:cs="Tahoma"/>
      <w:sz w:val="16"/>
      <w:szCs w:val="16"/>
    </w:rPr>
  </w:style>
  <w:style w:type="character" w:styleId="Heading1Char" w:customStyle="1">
    <w:name w:val="Heading 1 Char"/>
    <w:basedOn w:val="DefaultParagraphFont"/>
    <w:link w:val="Heading1"/>
    <w:uiPriority w:val="9"/>
    <w:qFormat/>
    <w:rsid w:val="00887080"/>
    <w:rPr>
      <w:rFonts w:ascii="Cambria" w:hAnsi="Cambria" w:eastAsia="" w:cs="" w:asciiTheme="majorHAnsi" w:cstheme="majorBidi" w:eastAsiaTheme="majorEastAsia" w:hAnsiTheme="majorHAnsi"/>
      <w:color w:val="365F91" w:themeColor="accent1" w:themeShade="bf"/>
      <w:sz w:val="32"/>
      <w:szCs w:val="32"/>
    </w:rPr>
  </w:style>
  <w:style w:type="character" w:styleId="InternetLink">
    <w:name w:val="Internet Link"/>
    <w:basedOn w:val="DefaultParagraphFont"/>
    <w:uiPriority w:val="99"/>
    <w:unhideWhenUsed/>
    <w:rsid w:val="00ba4ba9"/>
    <w:rPr>
      <w:color w:val="0000FF" w:themeColor="hyperlink"/>
      <w:u w:val="single"/>
    </w:rPr>
  </w:style>
  <w:style w:type="character" w:styleId="Heading3Char" w:customStyle="1">
    <w:name w:val="Heading 3 Char"/>
    <w:basedOn w:val="DefaultParagraphFont"/>
    <w:link w:val="Heading3"/>
    <w:uiPriority w:val="9"/>
    <w:semiHidden/>
    <w:qFormat/>
    <w:rsid w:val="00f47fe9"/>
    <w:rPr>
      <w:rFonts w:ascii="Cambria" w:hAnsi="Cambria" w:eastAsia="" w:cs="" w:asciiTheme="majorHAnsi" w:cstheme="majorBidi" w:eastAsiaTheme="majorEastAsia" w:hAnsiTheme="majorHAnsi"/>
      <w:b/>
      <w:bCs/>
      <w:color w:val="4F81BD" w:themeColor="accent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Calibri" w:hAnsi="Calibri" w:cs="Times New Roman"/>
      <w:sz w:val="20"/>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b/>
      <w:lang w:eastAsia="en-GB"/>
    </w:rPr>
  </w:style>
  <w:style w:type="character" w:styleId="ListLabel24">
    <w:name w:val="ListLabel 24"/>
    <w:qFormat/>
    <w:rPr>
      <w:rFonts w:ascii="Calibri" w:hAnsi="Calibri" w:eastAsia="SimSun"/>
      <w:b/>
      <w:color w:val="0000FF"/>
      <w:sz w:val="18"/>
      <w:szCs w:val="18"/>
      <w:u w:val="single"/>
      <w:lang w:eastAsia="zh-C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9b019b"/>
    <w:pPr>
      <w:spacing w:before="0" w:after="200"/>
      <w:ind w:left="720" w:hanging="0"/>
      <w:contextualSpacing/>
    </w:pPr>
    <w:rPr/>
  </w:style>
  <w:style w:type="paragraph" w:styleId="BalloonText">
    <w:name w:val="Balloon Text"/>
    <w:basedOn w:val="Normal"/>
    <w:link w:val="BalloonTextChar"/>
    <w:uiPriority w:val="99"/>
    <w:semiHidden/>
    <w:unhideWhenUsed/>
    <w:qFormat/>
    <w:rsid w:val="00885fc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humanities-training@manchester.ac.uk" TargetMode="External"/><Relationship Id="rId4" Type="http://schemas.openxmlformats.org/officeDocument/2006/relationships/hyperlink" Target="mailto:e.mills@lancaster.ac.uk" TargetMode="External"/><Relationship Id="rId5" Type="http://schemas.openxmlformats.org/officeDocument/2006/relationships/hyperlink" Target="" TargetMode="External"/><Relationship Id="rId6" Type="http://schemas.openxmlformats.org/officeDocument/2006/relationships/hyperlink" Target="mailto:humanities-training@manchester.ac.u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LibreOffice/6.0.7.3$Linux_X86_64 LibreOffice_project/00m0$Build-3</Application>
  <Pages>4</Pages>
  <Words>760</Words>
  <Characters>4292</Characters>
  <CharactersWithSpaces>4986</CharactersWithSpaces>
  <Paragraphs>68</Paragraphs>
  <Company>University of Manchester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2019-05-30T11:22:00Z</dcterms:created>
  <dc:creator>Hellen Parra Florez</dc:creator>
  <dc:description/>
  <dc:language>en-GB</dc:language>
  <cp:lastModifiedBy/>
  <dcterms:modified xsi:type="dcterms:W3CDTF">2019-05-30T14:17:41Z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Manchester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