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3F12" w14:textId="77777777" w:rsidR="00F10377" w:rsidRDefault="00F10377" w:rsidP="00F103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kern w:val="0"/>
          <w:sz w:val="28"/>
          <w:szCs w:val="28"/>
        </w:rPr>
        <w:t>569</w:t>
      </w:r>
    </w:p>
    <w:p w14:paraId="086E548F" w14:textId="5B50BD4C" w:rsidR="00F10377" w:rsidRDefault="00F10377" w:rsidP="00F103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kern w:val="0"/>
          <w:sz w:val="28"/>
          <w:szCs w:val="28"/>
        </w:rPr>
        <w:t>Delega</w:t>
      </w:r>
      <w:r>
        <w:rPr>
          <w:rFonts w:ascii="Calibri-Bold" w:hAnsi="Calibri-Bold" w:cs="Calibri-Bold"/>
          <w:b/>
          <w:bCs/>
          <w:kern w:val="0"/>
          <w:sz w:val="28"/>
          <w:szCs w:val="28"/>
        </w:rPr>
        <w:t>ti</w:t>
      </w:r>
      <w:r>
        <w:rPr>
          <w:rFonts w:ascii="Calibri-Bold" w:hAnsi="Calibri-Bold" w:cs="Calibri-Bold"/>
          <w:b/>
          <w:bCs/>
          <w:kern w:val="0"/>
          <w:sz w:val="28"/>
          <w:szCs w:val="28"/>
        </w:rPr>
        <w:t>ng Discharge Powers and Community Review in the Mental Health Act 1983</w:t>
      </w:r>
    </w:p>
    <w:p w14:paraId="60F26CE4" w14:textId="77777777" w:rsidR="00F10377" w:rsidRDefault="00F10377" w:rsidP="00F103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</w:rPr>
      </w:pPr>
    </w:p>
    <w:p w14:paraId="0BAE9C36" w14:textId="77777777" w:rsidR="00F10377" w:rsidRDefault="00F10377" w:rsidP="00F103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Thomas Webb</w:t>
      </w:r>
    </w:p>
    <w:p w14:paraId="5A72A275" w14:textId="44AB882D" w:rsidR="00F10377" w:rsidRDefault="00F10377" w:rsidP="00F103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ArialMT" w:hAnsi="ArialMT" w:cs="ArialMT"/>
          <w:kern w:val="0"/>
        </w:rPr>
        <w:t>Lancaster University, Lancaster, United Kingdom</w:t>
      </w:r>
    </w:p>
    <w:p w14:paraId="7C2B038D" w14:textId="77777777" w:rsidR="00F10377" w:rsidRDefault="00F10377" w:rsidP="00F103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FF914FC" w14:textId="471A63C7" w:rsidR="00837B83" w:rsidRDefault="00F10377" w:rsidP="00F10377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kern w:val="0"/>
        </w:rPr>
        <w:t>Under the Mental Health Act 1983, sec</w:t>
      </w:r>
      <w:r>
        <w:rPr>
          <w:rFonts w:ascii="Calibri" w:hAnsi="Calibri" w:cs="Calibri"/>
          <w:kern w:val="0"/>
        </w:rPr>
        <w:t>tion</w:t>
      </w:r>
      <w:r>
        <w:rPr>
          <w:rFonts w:ascii="Calibri" w:hAnsi="Calibri" w:cs="Calibri"/>
          <w:kern w:val="0"/>
        </w:rPr>
        <w:t xml:space="preserve"> 23, Hospital Manager Panels (HMPs) have the power to discharge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people from compulsory mental healthcare in hospital and the community (colloquially: discharging people from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'sec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on'). They are typically staffed by members of the community specifically appointed for that purpose –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normally referred to as </w:t>
      </w:r>
      <w:r>
        <w:rPr>
          <w:rFonts w:ascii="Calibri-Italic" w:hAnsi="Calibri-Italic" w:cs="Calibri-Italic"/>
          <w:i/>
          <w:iCs/>
          <w:kern w:val="0"/>
        </w:rPr>
        <w:t xml:space="preserve">Associate </w:t>
      </w:r>
      <w:r>
        <w:rPr>
          <w:rFonts w:ascii="Calibri" w:hAnsi="Calibri" w:cs="Calibri"/>
          <w:kern w:val="0"/>
        </w:rPr>
        <w:t>Hospital Managers (AHMs) – by the healthcare organisa</w:t>
      </w:r>
      <w:r>
        <w:rPr>
          <w:rFonts w:ascii="Calibri" w:hAnsi="Calibri" w:cs="Calibri"/>
          <w:kern w:val="0"/>
        </w:rPr>
        <w:t>tio</w:t>
      </w:r>
      <w:r>
        <w:rPr>
          <w:rFonts w:ascii="Calibri" w:hAnsi="Calibri" w:cs="Calibri"/>
          <w:kern w:val="0"/>
        </w:rPr>
        <w:t>n authorising the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'Sec</w:t>
      </w:r>
      <w:r>
        <w:rPr>
          <w:rFonts w:ascii="Calibri" w:hAnsi="Calibri" w:cs="Calibri"/>
          <w:kern w:val="0"/>
        </w:rPr>
        <w:t>tio</w:t>
      </w:r>
      <w:r>
        <w:rPr>
          <w:rFonts w:ascii="Calibri" w:hAnsi="Calibri" w:cs="Calibri"/>
          <w:kern w:val="0"/>
        </w:rPr>
        <w:t>n' (</w:t>
      </w:r>
      <w:proofErr w:type="spellStart"/>
      <w:r>
        <w:rPr>
          <w:rFonts w:ascii="Calibri" w:hAnsi="Calibri" w:cs="Calibri"/>
          <w:kern w:val="0"/>
        </w:rPr>
        <w:t>ie</w:t>
      </w:r>
      <w:proofErr w:type="spellEnd"/>
      <w:r>
        <w:rPr>
          <w:rFonts w:ascii="Calibri" w:hAnsi="Calibri" w:cs="Calibri"/>
          <w:kern w:val="0"/>
        </w:rPr>
        <w:t xml:space="preserve"> </w:t>
      </w:r>
      <w:r>
        <w:rPr>
          <w:rFonts w:ascii="Calibri-Italic" w:hAnsi="Calibri-Italic" w:cs="Calibri-Italic"/>
          <w:i/>
          <w:iCs/>
          <w:kern w:val="0"/>
        </w:rPr>
        <w:t xml:space="preserve">the </w:t>
      </w:r>
      <w:r>
        <w:rPr>
          <w:rFonts w:ascii="Calibri" w:hAnsi="Calibri" w:cs="Calibri"/>
          <w:kern w:val="0"/>
        </w:rPr>
        <w:t>Hospital Managers, such as an NHS Trust). Formally, the Hospital Managers have the power to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delegate sec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on 23 powers to AHMs, however, sec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on 23 also permits members of the managing board of the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healthcare organisa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on to sit on HMPs themselves (</w:t>
      </w:r>
      <w:proofErr w:type="spellStart"/>
      <w:r>
        <w:rPr>
          <w:rFonts w:ascii="Calibri" w:hAnsi="Calibri" w:cs="Calibri"/>
          <w:kern w:val="0"/>
        </w:rPr>
        <w:t>eg</w:t>
      </w:r>
      <w:proofErr w:type="spellEnd"/>
      <w:r>
        <w:rPr>
          <w:rFonts w:ascii="Calibri" w:hAnsi="Calibri" w:cs="Calibri"/>
          <w:kern w:val="0"/>
        </w:rPr>
        <w:t xml:space="preserve"> the Chair and Non-execu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ve Directors of an NHS Trust).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It is not understood whether, or on what basis, delega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on decisions are made. Similarly, the apparent conflict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between a Hospital Manager for a healthcare organisa</w:t>
      </w:r>
      <w:r>
        <w:rPr>
          <w:rFonts w:ascii="Calibri" w:hAnsi="Calibri" w:cs="Calibri"/>
          <w:kern w:val="0"/>
        </w:rPr>
        <w:t>tio</w:t>
      </w:r>
      <w:r>
        <w:rPr>
          <w:rFonts w:ascii="Calibri" w:hAnsi="Calibri" w:cs="Calibri"/>
          <w:kern w:val="0"/>
        </w:rPr>
        <w:t>n both providing the authority for a Sec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on, and at the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same </w:t>
      </w:r>
      <w:r>
        <w:rPr>
          <w:rFonts w:ascii="Calibri" w:eastAsia="Calibri" w:hAnsi="Calibri" w:cs="Calibri"/>
          <w:kern w:val="0"/>
        </w:rPr>
        <w:t>tim</w:t>
      </w:r>
      <w:r>
        <w:rPr>
          <w:rFonts w:ascii="Calibri" w:hAnsi="Calibri" w:cs="Calibri"/>
          <w:kern w:val="0"/>
        </w:rPr>
        <w:t>e si</w:t>
      </w:r>
      <w:r>
        <w:rPr>
          <w:rFonts w:ascii="Calibri" w:hAnsi="Calibri" w:cs="Calibri"/>
          <w:kern w:val="0"/>
        </w:rPr>
        <w:t>tti</w:t>
      </w:r>
      <w:r>
        <w:rPr>
          <w:rFonts w:ascii="Calibri" w:hAnsi="Calibri" w:cs="Calibri"/>
          <w:kern w:val="0"/>
        </w:rPr>
        <w:t>ng as part of a quasi-judicial process to review it, has been overlooked by the legal framework.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This paper addresses these issues first by drawing on data derived from Freedom of Informa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on Act requests to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62 NHS Trusts in England and Wales to understand current prac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ce. And secondly, by providing a conceptual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framework for making decisions about delega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on based on governance expecta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ons, cons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tu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onality, and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democra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c community legi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macy. These features of the proposed framework align with the func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ons of HMPs: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providing a review mechanism, safeguarding service user rights, and establishing democra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c legi</w:t>
      </w:r>
      <w:r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macy in the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mental health law framework.</w:t>
      </w:r>
    </w:p>
    <w:sectPr w:rsidR="00837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77"/>
    <w:rsid w:val="004A2618"/>
    <w:rsid w:val="00837B83"/>
    <w:rsid w:val="00B556A8"/>
    <w:rsid w:val="00F1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05AA"/>
  <w15:chartTrackingRefBased/>
  <w15:docId w15:val="{5D9F17DE-9F65-471B-BE04-2EF9E03D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3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Thomas</dc:creator>
  <cp:keywords/>
  <dc:description/>
  <cp:lastModifiedBy>Webb, Thomas</cp:lastModifiedBy>
  <cp:revision>1</cp:revision>
  <dcterms:created xsi:type="dcterms:W3CDTF">2024-06-24T15:50:00Z</dcterms:created>
  <dcterms:modified xsi:type="dcterms:W3CDTF">2024-06-24T15:54:00Z</dcterms:modified>
</cp:coreProperties>
</file>