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5A" w:rsidRDefault="003D51F0" w:rsidP="00F8405A">
      <w:pPr>
        <w:spacing w:after="0" w:line="360" w:lineRule="auto"/>
      </w:pPr>
      <w:r>
        <w:t xml:space="preserve">Ok so we take a sample, study the radiation response with different size and material content. </w:t>
      </w:r>
    </w:p>
    <w:p w:rsidR="003D51F0" w:rsidRDefault="003D51F0" w:rsidP="00F8405A">
      <w:pPr>
        <w:spacing w:after="0" w:line="360" w:lineRule="auto"/>
      </w:pPr>
      <w:r>
        <w:t xml:space="preserve">Depends on the response, training machine learning we can predict material in the sample. </w:t>
      </w:r>
    </w:p>
    <w:p w:rsidR="00F8405A" w:rsidRDefault="00F8405A" w:rsidP="00F8405A">
      <w:pPr>
        <w:pStyle w:val="ListParagraph"/>
        <w:spacing w:after="0" w:line="360" w:lineRule="auto"/>
      </w:pPr>
    </w:p>
    <w:p w:rsidR="00664CEF" w:rsidRDefault="00664CEF" w:rsidP="00F8405A">
      <w:pPr>
        <w:pStyle w:val="ListParagraph"/>
        <w:numPr>
          <w:ilvl w:val="0"/>
          <w:numId w:val="3"/>
        </w:numPr>
        <w:spacing w:after="0" w:line="360" w:lineRule="auto"/>
      </w:pPr>
      <w:r>
        <w:t>1- Samples collected in the early stage of the debris retrieval will be extremely valuable and analysis need to be carried out as completely as possible to meet decommissioning requirements.</w:t>
      </w:r>
    </w:p>
    <w:p w:rsidR="00664CEF" w:rsidRDefault="00664CEF" w:rsidP="00664CEF">
      <w:pPr>
        <w:spacing w:after="0" w:line="360" w:lineRule="auto"/>
      </w:pPr>
      <w:r>
        <w:t xml:space="preserve"> For example, </w:t>
      </w:r>
      <w:proofErr w:type="spellStart"/>
      <w:r>
        <w:t>recriticality</w:t>
      </w:r>
      <w:proofErr w:type="spellEnd"/>
      <w:r>
        <w:t xml:space="preserve"> evaluation is inevitably important for designing the debris retrieval process, which requires the accurate concentration of U, Pu, other actinides, </w:t>
      </w:r>
      <w:proofErr w:type="spellStart"/>
      <w:r>
        <w:t>Gd</w:t>
      </w:r>
      <w:proofErr w:type="spellEnd"/>
      <w:r>
        <w:t>, and other</w:t>
      </w:r>
    </w:p>
    <w:p w:rsidR="00664CEF" w:rsidRDefault="00664CEF" w:rsidP="00664CEF">
      <w:pPr>
        <w:spacing w:after="0" w:line="360" w:lineRule="auto"/>
      </w:pPr>
      <w:r>
        <w:t xml:space="preserve"> neutron absorbers and distribution of these elements, isotopic ratio etc.</w:t>
      </w:r>
    </w:p>
    <w:p w:rsidR="00664CEF" w:rsidRDefault="00664CEF" w:rsidP="00664CEF">
      <w:pPr>
        <w:spacing w:after="0" w:line="360" w:lineRule="auto"/>
      </w:pPr>
      <w:r>
        <w:t>This requires the expert combination of various analysis techniques, including chemical analysis (e.g. ICP-MS, ICP-AES, etc.), microscopic analysis (SEM/EDX, SEM/WDX, TEM, etc.),</w:t>
      </w:r>
    </w:p>
    <w:p w:rsidR="00664CEF" w:rsidRDefault="00664CEF" w:rsidP="00664CEF">
      <w:pPr>
        <w:spacing w:after="0" w:line="360" w:lineRule="auto"/>
      </w:pPr>
      <w:r>
        <w:t xml:space="preserve"> and radiation analysis (α/γ-spectrometry, neutron measurement, etc.)</w:t>
      </w:r>
    </w:p>
    <w:p w:rsidR="00664CEF" w:rsidRDefault="001520BF" w:rsidP="00664CEF">
      <w:pPr>
        <w:spacing w:after="0" w:line="360" w:lineRule="auto"/>
      </w:pPr>
      <w:r w:rsidRPr="001520BF">
        <w:drawing>
          <wp:inline distT="0" distB="0" distL="0" distR="0" wp14:anchorId="0EF981FF" wp14:editId="28422E15">
            <wp:extent cx="5731510" cy="482854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2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4C17" w:rsidRDefault="00664CEF" w:rsidP="00F8405A">
      <w:pPr>
        <w:pStyle w:val="ListParagraph"/>
        <w:numPr>
          <w:ilvl w:val="0"/>
          <w:numId w:val="2"/>
        </w:numPr>
        <w:spacing w:after="0" w:line="360" w:lineRule="auto"/>
      </w:pPr>
      <w:r>
        <w:t>2- differences in composition may be caused by the difference in formation mechanism of these particles</w:t>
      </w:r>
    </w:p>
    <w:p w:rsidR="00664CEF" w:rsidRPr="00F8405A" w:rsidRDefault="00F8405A" w:rsidP="00664CEF">
      <w:pPr>
        <w:spacing w:after="0" w:line="360" w:lineRule="auto"/>
        <w:rPr>
          <w:b/>
          <w:bCs/>
        </w:rPr>
      </w:pPr>
      <w:r w:rsidRPr="00F8405A">
        <w:rPr>
          <w:b/>
          <w:bCs/>
          <w:color w:val="000000"/>
        </w:rPr>
        <w:lastRenderedPageBreak/>
        <w:t>In the FDNPS accident, the interaction between molten fuel and concrete (MCCI: Molten core concrete interaction) might have occurred in the ex-vessel phase</w:t>
      </w:r>
    </w:p>
    <w:p w:rsidR="00664CEF" w:rsidRPr="00F8405A" w:rsidRDefault="00664CEF" w:rsidP="00F8405A">
      <w:pPr>
        <w:pStyle w:val="ListParagraph"/>
        <w:numPr>
          <w:ilvl w:val="0"/>
          <w:numId w:val="1"/>
        </w:numPr>
        <w:spacing w:after="0" w:line="360" w:lineRule="auto"/>
        <w:rPr>
          <w:color w:val="000000"/>
        </w:rPr>
      </w:pPr>
      <w:r>
        <w:t xml:space="preserve">3- </w:t>
      </w:r>
      <w:r w:rsidRPr="00F8405A">
        <w:rPr>
          <w:color w:val="000000"/>
        </w:rPr>
        <w:t>The ICP-MS and radiation analysis detected many nuclides contained in the samples, which are roughly categorized to be actinides (U, Pu, Am, Cm), cladding or channel box (</w:t>
      </w:r>
      <w:proofErr w:type="spellStart"/>
      <w:r w:rsidRPr="00F8405A">
        <w:rPr>
          <w:color w:val="000000"/>
        </w:rPr>
        <w:t>Zr</w:t>
      </w:r>
      <w:proofErr w:type="spellEnd"/>
      <w:r w:rsidRPr="00F8405A">
        <w:rPr>
          <w:color w:val="000000"/>
        </w:rPr>
        <w:t xml:space="preserve">), steel (Fe, Cr, Ni, Co, </w:t>
      </w:r>
      <w:proofErr w:type="spellStart"/>
      <w:r w:rsidRPr="00F8405A">
        <w:rPr>
          <w:color w:val="000000"/>
        </w:rPr>
        <w:t>Mn</w:t>
      </w:r>
      <w:proofErr w:type="spellEnd"/>
      <w:r w:rsidRPr="00F8405A">
        <w:rPr>
          <w:color w:val="000000"/>
        </w:rPr>
        <w:t xml:space="preserve">, Sn, </w:t>
      </w:r>
      <w:proofErr w:type="spellStart"/>
      <w:r w:rsidRPr="00F8405A">
        <w:rPr>
          <w:color w:val="000000"/>
        </w:rPr>
        <w:t>Ti</w:t>
      </w:r>
      <w:proofErr w:type="spellEnd"/>
      <w:r w:rsidRPr="00F8405A">
        <w:rPr>
          <w:color w:val="000000"/>
        </w:rPr>
        <w:t xml:space="preserve">, Cu, Mo), paint or shielding (Zn, Al, </w:t>
      </w:r>
      <w:proofErr w:type="spellStart"/>
      <w:r w:rsidRPr="00F8405A">
        <w:rPr>
          <w:color w:val="000000"/>
        </w:rPr>
        <w:t>Pb</w:t>
      </w:r>
      <w:proofErr w:type="spellEnd"/>
      <w:r w:rsidRPr="00F8405A">
        <w:rPr>
          <w:color w:val="000000"/>
        </w:rPr>
        <w:t>), fission products (</w:t>
      </w:r>
      <w:proofErr w:type="spellStart"/>
      <w:r w:rsidRPr="00F8405A">
        <w:rPr>
          <w:color w:val="000000"/>
        </w:rPr>
        <w:t>Sr</w:t>
      </w:r>
      <w:proofErr w:type="spellEnd"/>
      <w:r w:rsidRPr="00F8405A">
        <w:rPr>
          <w:color w:val="000000"/>
        </w:rPr>
        <w:t xml:space="preserve">, </w:t>
      </w:r>
      <w:proofErr w:type="spellStart"/>
      <w:r w:rsidRPr="00F8405A">
        <w:rPr>
          <w:color w:val="000000"/>
        </w:rPr>
        <w:t>Rb</w:t>
      </w:r>
      <w:proofErr w:type="spellEnd"/>
      <w:r w:rsidRPr="00F8405A">
        <w:rPr>
          <w:color w:val="000000"/>
        </w:rPr>
        <w:t xml:space="preserve">, Y, Sb, </w:t>
      </w:r>
      <w:proofErr w:type="spellStart"/>
      <w:r w:rsidRPr="00F8405A">
        <w:rPr>
          <w:color w:val="000000"/>
        </w:rPr>
        <w:t>Te</w:t>
      </w:r>
      <w:proofErr w:type="spellEnd"/>
      <w:r w:rsidRPr="00F8405A">
        <w:rPr>
          <w:color w:val="000000"/>
        </w:rPr>
        <w:t>, Cs, Ba, RE; RE = rare earth elements), light elements (B, Si, Na, Mg, Al, Ca) and others (Bi, W)</w:t>
      </w:r>
    </w:p>
    <w:p w:rsidR="00D56322" w:rsidRDefault="00D56322" w:rsidP="00664CEF">
      <w:pPr>
        <w:spacing w:after="0" w:line="360" w:lineRule="auto"/>
        <w:rPr>
          <w:color w:val="000000"/>
        </w:rPr>
      </w:pPr>
    </w:p>
    <w:p w:rsidR="00D56322" w:rsidRPr="00F8405A" w:rsidRDefault="00D56322" w:rsidP="00F8405A">
      <w:pPr>
        <w:pStyle w:val="ListParagraph"/>
        <w:numPr>
          <w:ilvl w:val="0"/>
          <w:numId w:val="1"/>
        </w:numPr>
        <w:spacing w:after="0" w:line="360" w:lineRule="auto"/>
        <w:rPr>
          <w:color w:val="000000"/>
        </w:rPr>
      </w:pPr>
      <w:r w:rsidRPr="00F8405A">
        <w:rPr>
          <w:color w:val="000000"/>
        </w:rPr>
        <w:t>a significant amount of B</w:t>
      </w:r>
      <w:r w:rsidRPr="00F8405A">
        <w:rPr>
          <w:color w:val="000000"/>
          <w:vertAlign w:val="subscript"/>
        </w:rPr>
        <w:t>4</w:t>
      </w:r>
      <w:r w:rsidRPr="00F8405A">
        <w:rPr>
          <w:color w:val="000000"/>
        </w:rPr>
        <w:t xml:space="preserve">C absorber and far larger amounts of </w:t>
      </w:r>
      <w:proofErr w:type="spellStart"/>
      <w:r w:rsidRPr="00F8405A">
        <w:rPr>
          <w:color w:val="000000"/>
        </w:rPr>
        <w:t>zircaloy</w:t>
      </w:r>
      <w:proofErr w:type="spellEnd"/>
      <w:r w:rsidRPr="00F8405A">
        <w:rPr>
          <w:color w:val="000000"/>
        </w:rPr>
        <w:t xml:space="preserve"> (</w:t>
      </w:r>
      <w:proofErr w:type="spellStart"/>
      <w:r w:rsidRPr="00F8405A">
        <w:rPr>
          <w:color w:val="000000"/>
        </w:rPr>
        <w:t>Zry</w:t>
      </w:r>
      <w:proofErr w:type="spellEnd"/>
      <w:r w:rsidRPr="00F8405A">
        <w:rPr>
          <w:color w:val="000000"/>
        </w:rPr>
        <w:t>) and stainless steel (SS) than prototypic PWR</w:t>
      </w:r>
    </w:p>
    <w:p w:rsidR="000F00D4" w:rsidRDefault="000F00D4" w:rsidP="00664CEF">
      <w:pPr>
        <w:spacing w:after="0" w:line="360" w:lineRule="auto"/>
        <w:rPr>
          <w:color w:val="000000"/>
        </w:rPr>
      </w:pPr>
    </w:p>
    <w:p w:rsidR="000F00D4" w:rsidRDefault="000F00D4" w:rsidP="00F8405A">
      <w:pPr>
        <w:pStyle w:val="ListParagraph"/>
        <w:numPr>
          <w:ilvl w:val="0"/>
          <w:numId w:val="1"/>
        </w:numPr>
        <w:spacing w:after="0" w:line="360" w:lineRule="auto"/>
      </w:pPr>
      <w:r w:rsidRPr="00F8405A">
        <w:rPr>
          <w:color w:val="000000"/>
        </w:rPr>
        <w:t xml:space="preserve">we simulate various </w:t>
      </w:r>
      <w:proofErr w:type="spellStart"/>
      <w:r w:rsidRPr="00F8405A">
        <w:rPr>
          <w:color w:val="000000"/>
        </w:rPr>
        <w:t>Zr</w:t>
      </w:r>
      <w:proofErr w:type="spellEnd"/>
      <w:r w:rsidRPr="00F8405A">
        <w:rPr>
          <w:color w:val="000000"/>
        </w:rPr>
        <w:t xml:space="preserve"> content</w:t>
      </w:r>
    </w:p>
    <w:p w:rsidR="00664CEF" w:rsidRDefault="006007CE">
      <w:r w:rsidRPr="006007CE">
        <w:drawing>
          <wp:inline distT="0" distB="0" distL="0" distR="0" wp14:anchorId="6B50E282" wp14:editId="5DC1FF04">
            <wp:extent cx="5731510" cy="342138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0AB" w:rsidRDefault="004170AB"/>
    <w:p w:rsidR="004170AB" w:rsidRDefault="004170AB">
      <w:r w:rsidRPr="004170AB">
        <w:lastRenderedPageBreak/>
        <w:drawing>
          <wp:inline distT="0" distB="0" distL="0" distR="0" wp14:anchorId="63D17B3B" wp14:editId="516ABC4E">
            <wp:extent cx="5731510" cy="362775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2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117" w:rsidRDefault="009A4117">
      <w:r w:rsidRPr="009A4117">
        <w:drawing>
          <wp:inline distT="0" distB="0" distL="0" distR="0" wp14:anchorId="140792BE" wp14:editId="1CB5F325">
            <wp:extent cx="5731510" cy="2276475"/>
            <wp:effectExtent l="0" t="0" r="254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4FC" w:rsidRDefault="00C614FC"/>
    <w:p w:rsidR="00C614FC" w:rsidRDefault="00C614FC"/>
    <w:p w:rsidR="00C614FC" w:rsidRDefault="00C614FC"/>
    <w:p w:rsidR="00C614FC" w:rsidRDefault="00C614FC"/>
    <w:p w:rsidR="00C614FC" w:rsidRDefault="00C614FC">
      <w:r w:rsidRPr="00C614FC">
        <w:lastRenderedPageBreak/>
        <w:drawing>
          <wp:inline distT="0" distB="0" distL="0" distR="0" wp14:anchorId="651D3169" wp14:editId="48303CD8">
            <wp:extent cx="5731510" cy="202628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1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41042"/>
    <w:multiLevelType w:val="hybridMultilevel"/>
    <w:tmpl w:val="99247CE8"/>
    <w:lvl w:ilvl="0" w:tplc="952C651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86CDC"/>
    <w:multiLevelType w:val="hybridMultilevel"/>
    <w:tmpl w:val="9006A0B6"/>
    <w:lvl w:ilvl="0" w:tplc="C74AE1B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958BA"/>
    <w:multiLevelType w:val="hybridMultilevel"/>
    <w:tmpl w:val="BF4A0412"/>
    <w:lvl w:ilvl="0" w:tplc="631A707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EF"/>
    <w:rsid w:val="000F00D4"/>
    <w:rsid w:val="001520BF"/>
    <w:rsid w:val="003D51F0"/>
    <w:rsid w:val="004170AB"/>
    <w:rsid w:val="006007CE"/>
    <w:rsid w:val="00664CEF"/>
    <w:rsid w:val="00994C17"/>
    <w:rsid w:val="009A4117"/>
    <w:rsid w:val="00C614FC"/>
    <w:rsid w:val="00D56322"/>
    <w:rsid w:val="00F8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2F00B"/>
  <w15:chartTrackingRefBased/>
  <w15:docId w15:val="{8782CC8A-1037-42AF-813E-658E29FB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2922</TotalTime>
  <Pages>4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Alrawash, Saed</dc:creator>
  <cp:keywords/>
  <dc:description/>
  <cp:lastModifiedBy>Alrawash, Saed</cp:lastModifiedBy>
  <cp:revision>10</cp:revision>
  <dcterms:created xsi:type="dcterms:W3CDTF">2022-06-27T21:05:00Z</dcterms:created>
  <dcterms:modified xsi:type="dcterms:W3CDTF">2022-06-29T21:47:00Z</dcterms:modified>
</cp:coreProperties>
</file>