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DA72" w14:textId="57B43C06" w:rsidR="003714FE" w:rsidRPr="003B079C" w:rsidRDefault="005E57DB" w:rsidP="00FD1EDC">
      <w:pPr>
        <w:pStyle w:val="Title"/>
        <w:jc w:val="center"/>
        <w:rPr>
          <w:smallCaps/>
        </w:rPr>
      </w:pPr>
      <w:r w:rsidRPr="003B079C">
        <w:rPr>
          <w:smallCaps/>
        </w:rPr>
        <w:t>Uninformed Reform: T</w:t>
      </w:r>
      <w:r w:rsidR="004C529C" w:rsidRPr="003B079C">
        <w:rPr>
          <w:smallCaps/>
        </w:rPr>
        <w:t>he Hospital Managers’ s.23 Discharge Power</w:t>
      </w:r>
    </w:p>
    <w:p w14:paraId="3E304B85" w14:textId="409A15B6" w:rsidR="000C6C98" w:rsidRPr="003B079C" w:rsidRDefault="003714FE" w:rsidP="009C3E43">
      <w:pPr>
        <w:pStyle w:val="Title"/>
        <w:jc w:val="center"/>
        <w:rPr>
          <w:smallCaps/>
        </w:rPr>
      </w:pPr>
      <w:r w:rsidRPr="003B079C">
        <w:rPr>
          <w:smallCaps/>
        </w:rPr>
        <w:t>U</w:t>
      </w:r>
      <w:r w:rsidR="000C6C98" w:rsidRPr="003B079C">
        <w:rPr>
          <w:smallCaps/>
        </w:rPr>
        <w:t>nder</w:t>
      </w:r>
      <w:r w:rsidR="004C529C" w:rsidRPr="003B079C">
        <w:rPr>
          <w:smallCaps/>
        </w:rPr>
        <w:t xml:space="preserve"> the Mental Health Act 1983</w:t>
      </w:r>
    </w:p>
    <w:p w14:paraId="723FC034" w14:textId="77777777" w:rsidR="009C3E43" w:rsidRPr="003B079C" w:rsidRDefault="009C3E43" w:rsidP="009C3E43"/>
    <w:p w14:paraId="6B1B89A1" w14:textId="77777777" w:rsidR="00B07733" w:rsidRPr="003B079C" w:rsidRDefault="00B07733" w:rsidP="00FD1EDC">
      <w:pPr>
        <w:pStyle w:val="Heading1"/>
      </w:pPr>
      <w:r w:rsidRPr="003B079C">
        <w:t xml:space="preserve">Abstract </w:t>
      </w:r>
    </w:p>
    <w:p w14:paraId="1A7BC806" w14:textId="4A0C04BC" w:rsidR="00B07733" w:rsidRPr="003B079C" w:rsidRDefault="00B07733" w:rsidP="00B07733">
      <w:pPr>
        <w:spacing w:line="480" w:lineRule="auto"/>
      </w:pPr>
      <w:r w:rsidRPr="003B079C">
        <w:t xml:space="preserve">Under s.23 of the Mental Health Act 1983 a person can be discharged by the managers of the hospital from compulsory care.  The limited evidence indicates that the s.23 power is normally delegated to a specially appointed panel who hold a hearing.  Unfortunately, notwithstanding the implications for the liberty, autonomy, and dignity of the compelled person, very little is known about how this process operates.  Nonetheless, since 1996 there has been a sustained effort to abolish the power.  In view of </w:t>
      </w:r>
      <w:r w:rsidR="00947DFE" w:rsidRPr="003B079C">
        <w:t xml:space="preserve">this, and </w:t>
      </w:r>
      <w:r w:rsidRPr="003B079C">
        <w:t>the proposal to reform the 1983 Act contained in the Queen’s Speech 2017, I critique the claims made in the abolition debate, and establish the conceptual gaps therein.  I argue that a much more developed understanding of the power is required before any change is made to the law in this area.</w:t>
      </w:r>
    </w:p>
    <w:p w14:paraId="030738C6" w14:textId="77777777" w:rsidR="00B07733" w:rsidRPr="003B079C" w:rsidRDefault="00B07733" w:rsidP="00E4654B">
      <w:pPr>
        <w:spacing w:line="480" w:lineRule="auto"/>
      </w:pPr>
    </w:p>
    <w:p w14:paraId="34D21FEE" w14:textId="77777777" w:rsidR="00B07733" w:rsidRPr="003B079C" w:rsidRDefault="00B07733" w:rsidP="00FD1EDC">
      <w:pPr>
        <w:pStyle w:val="Heading1"/>
      </w:pPr>
      <w:r w:rsidRPr="003B079C">
        <w:t>Keywords</w:t>
      </w:r>
    </w:p>
    <w:p w14:paraId="7C1FC5F3" w14:textId="3A188B9D" w:rsidR="00B07733" w:rsidRPr="003B079C" w:rsidRDefault="008274ED" w:rsidP="00B07733">
      <w:pPr>
        <w:spacing w:line="480" w:lineRule="auto"/>
      </w:pPr>
      <w:r w:rsidRPr="003B079C">
        <w:t xml:space="preserve">Administrative justice; Discharge; Hospital Managers; </w:t>
      </w:r>
      <w:r w:rsidR="00B07733" w:rsidRPr="003B079C">
        <w:t>Mental Health Act 1983, s.23; Mental Health Tribunal;</w:t>
      </w:r>
      <w:r w:rsidRPr="003B079C">
        <w:t xml:space="preserve"> NHS in England</w:t>
      </w:r>
      <w:r w:rsidR="00B07733" w:rsidRPr="003B079C">
        <w:t xml:space="preserve"> </w:t>
      </w:r>
    </w:p>
    <w:p w14:paraId="066D93F7" w14:textId="10DB3897" w:rsidR="00A67E0A" w:rsidRPr="003B079C" w:rsidRDefault="00A67E0A">
      <w:pPr>
        <w:spacing w:line="259" w:lineRule="auto"/>
        <w:jc w:val="left"/>
      </w:pPr>
      <w:r w:rsidRPr="003B079C">
        <w:br w:type="page"/>
      </w:r>
    </w:p>
    <w:p w14:paraId="65AF793F" w14:textId="0560F49A" w:rsidR="006461B6" w:rsidRPr="003B079C" w:rsidRDefault="00FD1EDC" w:rsidP="00FD1EDC">
      <w:pPr>
        <w:pStyle w:val="Heading1"/>
      </w:pPr>
      <w:r w:rsidRPr="003B079C">
        <w:lastRenderedPageBreak/>
        <w:t>I</w:t>
      </w:r>
      <w:r w:rsidR="00A43091" w:rsidRPr="003B079C">
        <w:t xml:space="preserve"> </w:t>
      </w:r>
      <w:r w:rsidR="006461B6" w:rsidRPr="003B079C">
        <w:t>Intro</w:t>
      </w:r>
      <w:r w:rsidR="004C529C" w:rsidRPr="003B079C">
        <w:t>duction</w:t>
      </w:r>
    </w:p>
    <w:p w14:paraId="402D3E15" w14:textId="4A1E7843" w:rsidR="00121EA5" w:rsidRPr="003B079C" w:rsidRDefault="00947DFE" w:rsidP="00E4654B">
      <w:pPr>
        <w:spacing w:line="480" w:lineRule="auto"/>
      </w:pPr>
      <w:r w:rsidRPr="003B079C">
        <w:t>In England, i</w:t>
      </w:r>
      <w:r w:rsidR="005E57DB" w:rsidRPr="003B079C">
        <w:t xml:space="preserve">n addition to discharge by </w:t>
      </w:r>
      <w:r w:rsidR="0050260F" w:rsidRPr="003B079C">
        <w:t xml:space="preserve">a </w:t>
      </w:r>
      <w:r w:rsidR="005E57DB" w:rsidRPr="003B079C">
        <w:t>Responsible Clinician,</w:t>
      </w:r>
      <w:r w:rsidR="00923B27" w:rsidRPr="003B079C">
        <w:rPr>
          <w:rStyle w:val="FootnoteReference"/>
        </w:rPr>
        <w:footnoteReference w:id="2"/>
      </w:r>
      <w:r w:rsidR="005E57DB" w:rsidRPr="003B079C">
        <w:t xml:space="preserve"> and the successful application</w:t>
      </w:r>
      <w:r w:rsidR="00923B27" w:rsidRPr="003B079C">
        <w:t xml:space="preserve"> for discharge by</w:t>
      </w:r>
      <w:r w:rsidR="005E57DB" w:rsidRPr="003B079C">
        <w:t xml:space="preserve"> </w:t>
      </w:r>
      <w:r w:rsidR="0050260F" w:rsidRPr="003B079C">
        <w:t xml:space="preserve">a </w:t>
      </w:r>
      <w:r w:rsidR="005E57DB" w:rsidRPr="003B079C">
        <w:t>Nearest Relative,</w:t>
      </w:r>
      <w:r w:rsidR="00923B27" w:rsidRPr="003B079C">
        <w:rPr>
          <w:rStyle w:val="FootnoteReference"/>
        </w:rPr>
        <w:footnoteReference w:id="3"/>
      </w:r>
      <w:r w:rsidR="005E57DB" w:rsidRPr="003B079C">
        <w:t xml:space="preserve"> there are two other routes </w:t>
      </w:r>
      <w:r w:rsidR="00386AA7" w:rsidRPr="003B079C">
        <w:t>to discharge from</w:t>
      </w:r>
      <w:r w:rsidR="005E57DB" w:rsidRPr="003B079C">
        <w:t xml:space="preserve"> compulsory care under the Mental Healt</w:t>
      </w:r>
      <w:r w:rsidR="00386AA7" w:rsidRPr="003B079C">
        <w:t>h Act 1983</w:t>
      </w:r>
      <w:r w:rsidR="00A0408E" w:rsidRPr="003B079C">
        <w:t xml:space="preserve"> (MHA 1983)</w:t>
      </w:r>
      <w:r w:rsidR="00386AA7" w:rsidRPr="003B079C">
        <w:t>.  The first is</w:t>
      </w:r>
      <w:r w:rsidR="005E57DB" w:rsidRPr="003B079C">
        <w:t xml:space="preserve"> the Mental Health Tribunal</w:t>
      </w:r>
      <w:r w:rsidR="00F50B20" w:rsidRPr="003B079C">
        <w:t xml:space="preserve"> (‘the Tribunal’)</w:t>
      </w:r>
      <w:r w:rsidR="00386AA7" w:rsidRPr="003B079C">
        <w:t>.</w:t>
      </w:r>
      <w:r w:rsidR="005E57DB" w:rsidRPr="003B079C">
        <w:t xml:space="preserve"> </w:t>
      </w:r>
      <w:r w:rsidR="00386AA7" w:rsidRPr="003B079C">
        <w:t>T</w:t>
      </w:r>
      <w:r w:rsidR="005E57DB" w:rsidRPr="003B079C">
        <w:t xml:space="preserve">he Tribunal sits in panels of three members, is chaired by a legal professional, and benefits from the </w:t>
      </w:r>
      <w:r w:rsidR="00DE4DE4" w:rsidRPr="003B079C">
        <w:t xml:space="preserve">presence </w:t>
      </w:r>
      <w:r w:rsidR="005E57DB" w:rsidRPr="003B079C">
        <w:t>of a medical wing member.</w:t>
      </w:r>
      <w:r w:rsidR="00D80B49" w:rsidRPr="003B079C">
        <w:t xml:space="preserve">  A compelled person can request a </w:t>
      </w:r>
      <w:r w:rsidR="00DE4DE4" w:rsidRPr="003B079C">
        <w:t xml:space="preserve">Tribunal </w:t>
      </w:r>
      <w:r w:rsidR="00626265" w:rsidRPr="003B079C">
        <w:t xml:space="preserve">hearing </w:t>
      </w:r>
      <w:r w:rsidR="00D80B49" w:rsidRPr="003B079C">
        <w:rPr>
          <w:i/>
        </w:rPr>
        <w:t>once</w:t>
      </w:r>
      <w:r w:rsidR="00D80B49" w:rsidRPr="003B079C">
        <w:t xml:space="preserve"> in any detention period; it is a period</w:t>
      </w:r>
      <w:r w:rsidR="008B3ED0" w:rsidRPr="003B079C">
        <w:t>ic</w:t>
      </w:r>
      <w:r w:rsidR="00D80B49" w:rsidRPr="003B079C">
        <w:t xml:space="preserve"> power</w:t>
      </w:r>
      <w:r w:rsidR="00F206FA" w:rsidRPr="003B079C">
        <w:t xml:space="preserve"> of discharge</w:t>
      </w:r>
      <w:r w:rsidR="00D80B49" w:rsidRPr="003B079C">
        <w:t>.</w:t>
      </w:r>
      <w:r w:rsidR="008B3ED0" w:rsidRPr="003B079C">
        <w:rPr>
          <w:rStyle w:val="FootnoteReference"/>
        </w:rPr>
        <w:footnoteReference w:id="4"/>
      </w:r>
      <w:r w:rsidR="00931178" w:rsidRPr="003B079C">
        <w:t xml:space="preserve">  The second </w:t>
      </w:r>
      <w:r w:rsidR="00386AA7" w:rsidRPr="003B079C">
        <w:t xml:space="preserve">is </w:t>
      </w:r>
      <w:r w:rsidR="005E57DB" w:rsidRPr="003B079C">
        <w:t>a Hospital Managers’ hearing</w:t>
      </w:r>
      <w:r w:rsidR="007A0467" w:rsidRPr="003B079C">
        <w:t xml:space="preserve"> under s.23 </w:t>
      </w:r>
      <w:r w:rsidR="00B07733" w:rsidRPr="003B079C">
        <w:t xml:space="preserve">MHA 1983 </w:t>
      </w:r>
      <w:r w:rsidR="00C205FD" w:rsidRPr="003B079C">
        <w:t>(‘the Managers’)</w:t>
      </w:r>
      <w:r w:rsidR="005E57DB" w:rsidRPr="003B079C">
        <w:t>.</w:t>
      </w:r>
      <w:r w:rsidR="00486457" w:rsidRPr="003B079C">
        <w:rPr>
          <w:rStyle w:val="FootnoteReference"/>
        </w:rPr>
        <w:footnoteReference w:id="5"/>
      </w:r>
      <w:r w:rsidR="006F06ED" w:rsidRPr="003B079C">
        <w:t xml:space="preserve">  </w:t>
      </w:r>
      <w:r w:rsidR="00D80B49" w:rsidRPr="003B079C">
        <w:t>Like the Tribunal, the Managers tend to sit in panels of three,</w:t>
      </w:r>
      <w:r w:rsidR="00D80B49" w:rsidRPr="003B079C">
        <w:rPr>
          <w:vertAlign w:val="superscript"/>
        </w:rPr>
        <w:footnoteReference w:id="6"/>
      </w:r>
      <w:r w:rsidR="00D80B49" w:rsidRPr="003B079C">
        <w:t xml:space="preserve"> assess the written and oral evidence received against the relevant admissions criteria that justify compulsory </w:t>
      </w:r>
      <w:r w:rsidR="0012006D" w:rsidRPr="003B079C">
        <w:t>care</w:t>
      </w:r>
      <w:r w:rsidR="00D80B49" w:rsidRPr="003B079C">
        <w:t>,</w:t>
      </w:r>
      <w:r w:rsidR="00D80B49" w:rsidRPr="003B079C">
        <w:rPr>
          <w:vertAlign w:val="superscript"/>
        </w:rPr>
        <w:footnoteReference w:id="7"/>
      </w:r>
      <w:r w:rsidR="00D80B49" w:rsidRPr="003B079C">
        <w:t xml:space="preserve"> and provide reasons for their decision.</w:t>
      </w:r>
      <w:r w:rsidR="00D80B49" w:rsidRPr="003B079C">
        <w:rPr>
          <w:vertAlign w:val="superscript"/>
        </w:rPr>
        <w:footnoteReference w:id="8"/>
      </w:r>
      <w:r w:rsidR="00D80B49" w:rsidRPr="003B079C">
        <w:t xml:space="preserve">  There are restrictions on who can be appointed in terms of their independence,</w:t>
      </w:r>
      <w:r w:rsidR="00D80B49" w:rsidRPr="003B079C">
        <w:rPr>
          <w:vertAlign w:val="superscript"/>
        </w:rPr>
        <w:footnoteReference w:id="9"/>
      </w:r>
      <w:r w:rsidR="00D80B49" w:rsidRPr="003B079C">
        <w:t xml:space="preserve"> but there is no requirement that those appointed as Managers possess any legal or medical expertise.</w:t>
      </w:r>
      <w:r w:rsidR="00D80B49" w:rsidRPr="003B079C">
        <w:rPr>
          <w:vertAlign w:val="superscript"/>
        </w:rPr>
        <w:footnoteReference w:id="10"/>
      </w:r>
      <w:r w:rsidR="00D80B49" w:rsidRPr="003B079C">
        <w:t xml:space="preserve">  Unlike the Tribunal</w:t>
      </w:r>
      <w:r w:rsidR="00C205FD" w:rsidRPr="003B079C">
        <w:t>,</w:t>
      </w:r>
      <w:r w:rsidR="00D80B49" w:rsidRPr="003B079C">
        <w:t xml:space="preserve"> a person can request a hearing as many times as practicable in any given detention period; it is a continuing power.</w:t>
      </w:r>
    </w:p>
    <w:p w14:paraId="3F9F7559" w14:textId="12BD89F9" w:rsidR="007031C3" w:rsidRPr="003B079C" w:rsidRDefault="007031C3" w:rsidP="00E4654B">
      <w:pPr>
        <w:spacing w:line="480" w:lineRule="auto"/>
      </w:pPr>
      <w:r w:rsidRPr="003B079C">
        <w:t>In this paper I examine the</w:t>
      </w:r>
      <w:r w:rsidR="006F06ED" w:rsidRPr="003B079C">
        <w:t xml:space="preserve"> </w:t>
      </w:r>
      <w:r w:rsidRPr="003B079C">
        <w:t>arguments made in support</w:t>
      </w:r>
      <w:r w:rsidR="00923B27" w:rsidRPr="003B079C">
        <w:t xml:space="preserve"> of and against</w:t>
      </w:r>
      <w:r w:rsidR="0050260F" w:rsidRPr="003B079C">
        <w:t>,</w:t>
      </w:r>
      <w:r w:rsidRPr="003B079C">
        <w:t xml:space="preserve"> </w:t>
      </w:r>
      <w:r w:rsidR="006F06ED" w:rsidRPr="003B079C">
        <w:t xml:space="preserve">the effort to abolish </w:t>
      </w:r>
      <w:r w:rsidR="008B3ED0" w:rsidRPr="003B079C">
        <w:t>the s.23</w:t>
      </w:r>
      <w:r w:rsidR="006F06ED" w:rsidRPr="003B079C">
        <w:t xml:space="preserve"> </w:t>
      </w:r>
      <w:r w:rsidRPr="003B079C">
        <w:t>mechanism since the mid-1990s.  Although th</w:t>
      </w:r>
      <w:r w:rsidR="00923B27" w:rsidRPr="003B079C">
        <w:t>is</w:t>
      </w:r>
      <w:r w:rsidRPr="003B079C">
        <w:t xml:space="preserve"> debate appeared to end with the passage of the Mental Health Act 2007</w:t>
      </w:r>
      <w:r w:rsidR="00980ED1" w:rsidRPr="003B079C">
        <w:t xml:space="preserve"> (MHA 2007)</w:t>
      </w:r>
      <w:r w:rsidRPr="003B079C">
        <w:t xml:space="preserve">, leading commentators have continued to call for the abolition of the </w:t>
      </w:r>
      <w:r w:rsidR="00DE4DE4" w:rsidRPr="003B079C">
        <w:t xml:space="preserve">Managers’ </w:t>
      </w:r>
      <w:r w:rsidRPr="003B079C">
        <w:t>s.23 power</w:t>
      </w:r>
      <w:r w:rsidR="00A23E20" w:rsidRPr="003B079C">
        <w:t>.</w:t>
      </w:r>
      <w:r w:rsidR="0012006D" w:rsidRPr="003B079C">
        <w:rPr>
          <w:rStyle w:val="FootnoteReference"/>
        </w:rPr>
        <w:footnoteReference w:id="11"/>
      </w:r>
      <w:r w:rsidR="00A23E20" w:rsidRPr="003B079C">
        <w:t xml:space="preserve"> T</w:t>
      </w:r>
      <w:r w:rsidR="00923B27" w:rsidRPr="003B079C">
        <w:t xml:space="preserve">aken in conjunction with the </w:t>
      </w:r>
      <w:r w:rsidR="006811CB" w:rsidRPr="003B079C">
        <w:t>government</w:t>
      </w:r>
      <w:r w:rsidR="00923B27" w:rsidRPr="003B079C">
        <w:t>’s willingness</w:t>
      </w:r>
      <w:r w:rsidRPr="003B079C">
        <w:t xml:space="preserve"> </w:t>
      </w:r>
      <w:r w:rsidR="00923B27" w:rsidRPr="003B079C">
        <w:t xml:space="preserve">to resume the effort of reforming the </w:t>
      </w:r>
      <w:r w:rsidR="00626265" w:rsidRPr="003B079C">
        <w:t xml:space="preserve">MHA </w:t>
      </w:r>
      <w:r w:rsidR="00923B27" w:rsidRPr="003B079C">
        <w:t xml:space="preserve">1983, </w:t>
      </w:r>
      <w:r w:rsidR="00626265" w:rsidRPr="003B079C">
        <w:t xml:space="preserve">it is evident that </w:t>
      </w:r>
      <w:r w:rsidR="00DE4DE4" w:rsidRPr="003B079C">
        <w:t>s.23 abolition</w:t>
      </w:r>
      <w:r w:rsidRPr="003B079C">
        <w:t xml:space="preserve"> remains a live issue.</w:t>
      </w:r>
      <w:r w:rsidRPr="003B079C">
        <w:rPr>
          <w:vertAlign w:val="superscript"/>
        </w:rPr>
        <w:footnoteReference w:id="12"/>
      </w:r>
      <w:r w:rsidR="00C13EAC" w:rsidRPr="003B079C">
        <w:t xml:space="preserve">  However, a</w:t>
      </w:r>
      <w:r w:rsidR="003644C7" w:rsidRPr="003B079C">
        <w:t>s I discuss in what follows, a</w:t>
      </w:r>
      <w:r w:rsidR="00923B27" w:rsidRPr="003B079C">
        <w:t>bolition</w:t>
      </w:r>
      <w:r w:rsidR="00B178B9" w:rsidRPr="003B079C">
        <w:t xml:space="preserve"> of s.23 </w:t>
      </w:r>
      <w:r w:rsidRPr="003B079C">
        <w:t xml:space="preserve">is inadvisable.  </w:t>
      </w:r>
      <w:r w:rsidR="00AF2FCA" w:rsidRPr="003B079C">
        <w:t xml:space="preserve">This is not because a positive case can be made for not doing so.  Instead, it is </w:t>
      </w:r>
      <w:r w:rsidR="00B178B9" w:rsidRPr="003B079C">
        <w:t>because</w:t>
      </w:r>
      <w:r w:rsidR="00121EA5" w:rsidRPr="003B079C">
        <w:t xml:space="preserve"> </w:t>
      </w:r>
      <w:r w:rsidR="00A0408E" w:rsidRPr="003B079C">
        <w:t>there is such a paucity of evidence regarding</w:t>
      </w:r>
      <w:r w:rsidR="00121EA5" w:rsidRPr="003B079C">
        <w:t xml:space="preserve"> how the s.23 process operates</w:t>
      </w:r>
      <w:r w:rsidR="00A0408E" w:rsidRPr="003B079C">
        <w:t xml:space="preserve">, who sits as a Manager, and the policies relating to the administration of </w:t>
      </w:r>
      <w:r w:rsidR="00DE4DE4" w:rsidRPr="003B079C">
        <w:t>the</w:t>
      </w:r>
      <w:r w:rsidR="00A0408E" w:rsidRPr="003B079C">
        <w:t xml:space="preserve"> power by NHS </w:t>
      </w:r>
      <w:r w:rsidR="001A633F" w:rsidRPr="003B079C">
        <w:t>t</w:t>
      </w:r>
      <w:r w:rsidR="00A0408E" w:rsidRPr="003B079C">
        <w:t xml:space="preserve">rusts and </w:t>
      </w:r>
      <w:r w:rsidR="001A633F" w:rsidRPr="003B079C">
        <w:t>i</w:t>
      </w:r>
      <w:r w:rsidR="00A0408E" w:rsidRPr="003B079C">
        <w:t xml:space="preserve">ndependent </w:t>
      </w:r>
      <w:r w:rsidR="001A633F" w:rsidRPr="003B079C">
        <w:t>h</w:t>
      </w:r>
      <w:r w:rsidR="00A0408E" w:rsidRPr="003B079C">
        <w:t>ospitals (administration of the system is devolved to individual organisations)</w:t>
      </w:r>
      <w:r w:rsidR="00121EA5" w:rsidRPr="003B079C">
        <w:t>.</w:t>
      </w:r>
      <w:r w:rsidR="00A0408E" w:rsidRPr="003B079C">
        <w:rPr>
          <w:vertAlign w:val="superscript"/>
        </w:rPr>
        <w:footnoteReference w:id="13"/>
      </w:r>
      <w:r w:rsidR="00121EA5" w:rsidRPr="003B079C">
        <w:t xml:space="preserve">  </w:t>
      </w:r>
      <w:r w:rsidR="00A0408E" w:rsidRPr="003B079C">
        <w:t>Furthermore, there is little case law,</w:t>
      </w:r>
      <w:r w:rsidR="0059061B" w:rsidRPr="003B079C">
        <w:rPr>
          <w:rStyle w:val="FootnoteReference"/>
        </w:rPr>
        <w:footnoteReference w:id="14"/>
      </w:r>
      <w:r w:rsidR="00A0408E" w:rsidRPr="003B079C">
        <w:t xml:space="preserve"> and the understanding of s.23 in </w:t>
      </w:r>
      <w:r w:rsidR="00B07733" w:rsidRPr="003B079C">
        <w:t>Parliament is</w:t>
      </w:r>
      <w:r w:rsidR="00A0408E" w:rsidRPr="003B079C">
        <w:t>, at best, mixed.</w:t>
      </w:r>
      <w:r w:rsidR="00A0408E" w:rsidRPr="003B079C">
        <w:rPr>
          <w:vertAlign w:val="superscript"/>
        </w:rPr>
        <w:footnoteReference w:id="15"/>
      </w:r>
      <w:r w:rsidR="00A0408E" w:rsidRPr="003B079C">
        <w:t xml:space="preserve">  The same can also be said of the professions.</w:t>
      </w:r>
      <w:r w:rsidR="00A0408E" w:rsidRPr="003B079C">
        <w:rPr>
          <w:vertAlign w:val="superscript"/>
        </w:rPr>
        <w:footnoteReference w:id="16"/>
      </w:r>
      <w:r w:rsidR="00A0408E" w:rsidRPr="003B079C">
        <w:t xml:space="preserve">  </w:t>
      </w:r>
      <w:r w:rsidR="00B07733" w:rsidRPr="003B079C">
        <w:t xml:space="preserve">In consequence, </w:t>
      </w:r>
      <w:r w:rsidR="005E63B1" w:rsidRPr="003B079C">
        <w:t>efforts</w:t>
      </w:r>
      <w:r w:rsidR="00B07733" w:rsidRPr="003B079C">
        <w:t xml:space="preserve"> aimed towards either retaining or abolishing s.23</w:t>
      </w:r>
      <w:r w:rsidR="005E63B1" w:rsidRPr="003B079C">
        <w:t xml:space="preserve"> are undermined</w:t>
      </w:r>
      <w:r w:rsidR="00121EA5" w:rsidRPr="003B079C">
        <w:t xml:space="preserve"> by the present impossibility of supporting them with anything more than assertion and anecdotal evidence. </w:t>
      </w:r>
      <w:r w:rsidR="007D16D0" w:rsidRPr="003B079C">
        <w:t xml:space="preserve"> </w:t>
      </w:r>
      <w:r w:rsidRPr="003B079C">
        <w:t>Against this backdrop</w:t>
      </w:r>
      <w:r w:rsidR="00626265" w:rsidRPr="003B079C">
        <w:t xml:space="preserve"> the Managers are rendered ‘relatively invisible’</w:t>
      </w:r>
      <w:r w:rsidRPr="003B079C">
        <w:t>,</w:t>
      </w:r>
      <w:r w:rsidR="00626265" w:rsidRPr="003B079C">
        <w:rPr>
          <w:vertAlign w:val="superscript"/>
        </w:rPr>
        <w:footnoteReference w:id="17"/>
      </w:r>
      <w:r w:rsidRPr="003B079C">
        <w:t xml:space="preserve"> </w:t>
      </w:r>
      <w:r w:rsidR="00626265" w:rsidRPr="003B079C">
        <w:t xml:space="preserve">and as such </w:t>
      </w:r>
      <w:r w:rsidR="004B17B8" w:rsidRPr="003B079C">
        <w:t xml:space="preserve">it is not possible to make a positive case for either </w:t>
      </w:r>
      <w:r w:rsidR="00626265" w:rsidRPr="003B079C">
        <w:t>abolition or retention of s.23</w:t>
      </w:r>
      <w:r w:rsidR="009F0A35" w:rsidRPr="003B079C">
        <w:t>, and so I will not do so.</w:t>
      </w:r>
    </w:p>
    <w:p w14:paraId="6365AD0C" w14:textId="3D02F7E3" w:rsidR="007031C3" w:rsidRPr="003B079C" w:rsidRDefault="00B74AF2" w:rsidP="00E4654B">
      <w:pPr>
        <w:spacing w:line="480" w:lineRule="auto"/>
      </w:pPr>
      <w:r w:rsidRPr="003B079C">
        <w:t>T</w:t>
      </w:r>
      <w:r w:rsidR="007031C3" w:rsidRPr="003B079C">
        <w:t xml:space="preserve">he fact that the s.23 power has largely escaped academic, parliamentary, and judicial consideration, might lead one to believe that it is a relatively minor </w:t>
      </w:r>
      <w:r w:rsidR="005E63B1" w:rsidRPr="003B079C">
        <w:t xml:space="preserve">outcrop </w:t>
      </w:r>
      <w:r w:rsidR="007031C3" w:rsidRPr="003B079C">
        <w:t xml:space="preserve">in the landscape of mental health law.  Such a view is incorrect.  </w:t>
      </w:r>
      <w:r w:rsidR="005E63B1" w:rsidRPr="003B079C">
        <w:t xml:space="preserve">Although we do not know how many hearings take place a year, </w:t>
      </w:r>
      <w:r w:rsidR="007031C3" w:rsidRPr="003B079C">
        <w:t xml:space="preserve">the </w:t>
      </w:r>
      <w:r w:rsidR="006811CB" w:rsidRPr="003B079C">
        <w:t>government</w:t>
      </w:r>
      <w:r w:rsidR="007031C3" w:rsidRPr="003B079C">
        <w:t xml:space="preserve"> estimated that over 10,000 s.23 hearings </w:t>
      </w:r>
      <w:r w:rsidR="00DE4DE4" w:rsidRPr="003B079C">
        <w:t xml:space="preserve">were held </w:t>
      </w:r>
      <w:r w:rsidR="007D16D0" w:rsidRPr="003B079C">
        <w:t xml:space="preserve">in </w:t>
      </w:r>
      <w:r w:rsidR="00C13EAC" w:rsidRPr="003B079C">
        <w:t>2003/04</w:t>
      </w:r>
      <w:r w:rsidR="0071444A" w:rsidRPr="003B079C">
        <w:t xml:space="preserve">, a similar figure to the number of tribunals </w:t>
      </w:r>
      <w:r w:rsidR="00C13EAC" w:rsidRPr="003B079C">
        <w:t>convened</w:t>
      </w:r>
      <w:r w:rsidR="007031C3" w:rsidRPr="003B079C">
        <w:t>.</w:t>
      </w:r>
      <w:r w:rsidR="007031C3" w:rsidRPr="003B079C">
        <w:rPr>
          <w:vertAlign w:val="superscript"/>
        </w:rPr>
        <w:footnoteReference w:id="18"/>
      </w:r>
      <w:r w:rsidR="007031C3" w:rsidRPr="003B079C">
        <w:t xml:space="preserve">  </w:t>
      </w:r>
      <w:r w:rsidR="00AF2FCA" w:rsidRPr="003B079C">
        <w:t xml:space="preserve">On any measure this </w:t>
      </w:r>
      <w:r w:rsidR="00A32F7D" w:rsidRPr="003B079C">
        <w:t xml:space="preserve">entails a significant </w:t>
      </w:r>
      <w:r w:rsidR="007D16D0" w:rsidRPr="003B079C">
        <w:t>volume</w:t>
      </w:r>
      <w:r w:rsidR="00A32F7D" w:rsidRPr="003B079C">
        <w:t xml:space="preserve"> of quasi-judicial activity</w:t>
      </w:r>
      <w:r w:rsidR="00B53E39" w:rsidRPr="003B079C">
        <w:t xml:space="preserve">, and gives some sense of the scale </w:t>
      </w:r>
      <w:r w:rsidR="007D16D0" w:rsidRPr="003B079C">
        <w:t>of</w:t>
      </w:r>
      <w:r w:rsidR="00B53E39" w:rsidRPr="003B079C">
        <w:t xml:space="preserve"> the s.23 process.  </w:t>
      </w:r>
      <w:r w:rsidR="007D16D0" w:rsidRPr="003B079C">
        <w:t>Unfortunately</w:t>
      </w:r>
      <w:r w:rsidR="00626265" w:rsidRPr="003B079C">
        <w:t>,</w:t>
      </w:r>
      <w:r w:rsidR="007D16D0" w:rsidRPr="003B079C">
        <w:t xml:space="preserve"> this estimate was not based on any data because</w:t>
      </w:r>
      <w:r w:rsidR="00B53E39" w:rsidRPr="003B079C">
        <w:t xml:space="preserve"> </w:t>
      </w:r>
      <w:r w:rsidR="003644C7" w:rsidRPr="003B079C">
        <w:t xml:space="preserve">‘no formal statistical </w:t>
      </w:r>
      <w:r w:rsidR="00DA6CA5" w:rsidRPr="003B079C">
        <w:t>returns for [M</w:t>
      </w:r>
      <w:r w:rsidR="003644C7" w:rsidRPr="003B079C">
        <w:t>anagers’ hearings]</w:t>
      </w:r>
      <w:r w:rsidR="00B53E39" w:rsidRPr="003B079C">
        <w:t>’ are collected</w:t>
      </w:r>
      <w:r w:rsidR="00DA6CA5" w:rsidRPr="003B079C">
        <w:t>.</w:t>
      </w:r>
      <w:r w:rsidR="00DA6CA5" w:rsidRPr="003B079C">
        <w:rPr>
          <w:rStyle w:val="FootnoteReference"/>
        </w:rPr>
        <w:footnoteReference w:id="19"/>
      </w:r>
      <w:r w:rsidR="003644C7" w:rsidRPr="003B079C">
        <w:t xml:space="preserve">  </w:t>
      </w:r>
      <w:r w:rsidR="00626265" w:rsidRPr="003B079C">
        <w:t>Furthermore, t</w:t>
      </w:r>
      <w:r w:rsidR="00A32F7D" w:rsidRPr="003B079C">
        <w:t xml:space="preserve">he only </w:t>
      </w:r>
      <w:r w:rsidR="00C13EAC" w:rsidRPr="003B079C">
        <w:t>other information</w:t>
      </w:r>
      <w:r w:rsidR="00A32F7D" w:rsidRPr="003B079C">
        <w:t xml:space="preserve"> available on the intensity with which s.23 is used are the limited </w:t>
      </w:r>
      <w:r w:rsidR="0063425D" w:rsidRPr="003B079C">
        <w:t xml:space="preserve">data </w:t>
      </w:r>
      <w:r w:rsidR="00A32F7D" w:rsidRPr="003B079C">
        <w:t xml:space="preserve">which were occasionally gathered by </w:t>
      </w:r>
      <w:r w:rsidR="00AF2FCA" w:rsidRPr="003B079C">
        <w:t>the Mental Health Act Commission (</w:t>
      </w:r>
      <w:r w:rsidR="001F23D8" w:rsidRPr="003B079C">
        <w:t>MHAC</w:t>
      </w:r>
      <w:r w:rsidR="00AF2FCA" w:rsidRPr="003B079C">
        <w:t>)</w:t>
      </w:r>
      <w:r w:rsidR="0063425D" w:rsidRPr="003B079C">
        <w:t>.</w:t>
      </w:r>
      <w:r w:rsidR="001F23D8" w:rsidRPr="003B079C">
        <w:rPr>
          <w:rStyle w:val="FootnoteReference"/>
        </w:rPr>
        <w:footnoteReference w:id="20"/>
      </w:r>
      <w:r w:rsidR="00A32F7D" w:rsidRPr="003B079C">
        <w:t xml:space="preserve">  The Care Quality Commission</w:t>
      </w:r>
      <w:r w:rsidR="00AF2FCA" w:rsidRPr="003B079C">
        <w:t xml:space="preserve"> (CQC)</w:t>
      </w:r>
      <w:r w:rsidR="00A32F7D" w:rsidRPr="003B079C">
        <w:t xml:space="preserve"> does not appear to have gathered any data, and only occasionally mentions the Managers in their annual reports.</w:t>
      </w:r>
      <w:r w:rsidR="00A32F7D" w:rsidRPr="003B079C">
        <w:rPr>
          <w:rStyle w:val="FootnoteReference"/>
        </w:rPr>
        <w:footnoteReference w:id="21"/>
      </w:r>
      <w:r w:rsidR="00486457" w:rsidRPr="003B079C">
        <w:t xml:space="preserve">  Whatever the precise figure, g</w:t>
      </w:r>
      <w:r w:rsidR="007031C3" w:rsidRPr="003B079C">
        <w:t>iven that the number of uses of compulsory powers</w:t>
      </w:r>
      <w:r w:rsidR="000A295E" w:rsidRPr="003B079C">
        <w:t xml:space="preserve"> under the 1983 Act</w:t>
      </w:r>
      <w:r w:rsidR="007031C3" w:rsidRPr="003B079C">
        <w:t xml:space="preserve"> has increased year-on-year over the last decade, it is likely that there has been a concomitant increase </w:t>
      </w:r>
      <w:r w:rsidR="001330E1" w:rsidRPr="003B079C">
        <w:t xml:space="preserve">in </w:t>
      </w:r>
      <w:r w:rsidR="00486457" w:rsidRPr="003B079C">
        <w:t>s.23 activity</w:t>
      </w:r>
      <w:r w:rsidR="007031C3" w:rsidRPr="003B079C">
        <w:t>.</w:t>
      </w:r>
      <w:r w:rsidR="007031C3" w:rsidRPr="003B079C">
        <w:rPr>
          <w:vertAlign w:val="superscript"/>
        </w:rPr>
        <w:footnoteReference w:id="22"/>
      </w:r>
      <w:r w:rsidR="007031C3" w:rsidRPr="003B079C">
        <w:t xml:space="preserve">  Having regard to the</w:t>
      </w:r>
      <w:r w:rsidR="007D16D0" w:rsidRPr="003B079C">
        <w:t xml:space="preserve"> probable</w:t>
      </w:r>
      <w:r w:rsidR="007031C3" w:rsidRPr="003B079C">
        <w:t xml:space="preserve"> scale of the activity concerned</w:t>
      </w:r>
      <w:r w:rsidR="00C13EAC" w:rsidRPr="003B079C">
        <w:t xml:space="preserve"> – no one contested the government’s </w:t>
      </w:r>
      <w:r w:rsidR="00626265" w:rsidRPr="003B079C">
        <w:t xml:space="preserve">2004 </w:t>
      </w:r>
      <w:r w:rsidR="00C13EAC" w:rsidRPr="003B079C">
        <w:t xml:space="preserve">estimate – </w:t>
      </w:r>
      <w:r w:rsidR="007031C3" w:rsidRPr="003B079C">
        <w:t xml:space="preserve">and the particular gravity of the issues </w:t>
      </w:r>
      <w:r w:rsidR="00DE4DE4" w:rsidRPr="003B079C">
        <w:t xml:space="preserve">involved </w:t>
      </w:r>
      <w:r w:rsidR="007031C3" w:rsidRPr="003B079C">
        <w:t>– no less than the liberty, autonomy and bodily integrity of individuals – s.23 represents anything but a minor issue.  In view of this, and the fact that the debate has hitherto been conducted in the absence of either a conceptual framework, or the necessary data to support it, my arguments in this paper are as much an invitation to proponents of both positions to pause ahead of the possible pending legislative reconsideration of the matter,</w:t>
      </w:r>
      <w:r w:rsidR="001330E1" w:rsidRPr="003B079C">
        <w:rPr>
          <w:rStyle w:val="FootnoteReference"/>
        </w:rPr>
        <w:footnoteReference w:id="23"/>
      </w:r>
      <w:r w:rsidR="007031C3" w:rsidRPr="003B079C">
        <w:t xml:space="preserve"> as </w:t>
      </w:r>
      <w:r w:rsidR="00F206FA" w:rsidRPr="003B079C">
        <w:t>they are</w:t>
      </w:r>
      <w:r w:rsidR="007031C3" w:rsidRPr="003B079C">
        <w:t xml:space="preserve"> a critique of their </w:t>
      </w:r>
      <w:r w:rsidR="00626265" w:rsidRPr="003B079C">
        <w:t>claims</w:t>
      </w:r>
      <w:r w:rsidR="007031C3" w:rsidRPr="003B079C">
        <w:t>.</w:t>
      </w:r>
    </w:p>
    <w:p w14:paraId="154C644C" w14:textId="45BEFC52" w:rsidR="007031C3" w:rsidRPr="003B079C" w:rsidRDefault="004643C3" w:rsidP="00E4654B">
      <w:pPr>
        <w:spacing w:line="480" w:lineRule="auto"/>
      </w:pPr>
      <w:r w:rsidRPr="003B079C">
        <w:t xml:space="preserve">It </w:t>
      </w:r>
      <w:r w:rsidR="00B102C6" w:rsidRPr="003B079C">
        <w:t>is possible to discern three sites of contention</w:t>
      </w:r>
      <w:r w:rsidRPr="003B079C">
        <w:t xml:space="preserve"> in the debate</w:t>
      </w:r>
      <w:r w:rsidR="00B102C6" w:rsidRPr="003B079C">
        <w:t>.</w:t>
      </w:r>
      <w:r w:rsidR="007031C3" w:rsidRPr="003B079C">
        <w:t xml:space="preserve"> First, th</w:t>
      </w:r>
      <w:r w:rsidR="00623FAA" w:rsidRPr="003B079C">
        <w:t>at the Managers lack</w:t>
      </w:r>
      <w:r w:rsidR="004D5191" w:rsidRPr="003B079C">
        <w:t xml:space="preserve"> expertise</w:t>
      </w:r>
      <w:r w:rsidR="00C005DE" w:rsidRPr="003B079C">
        <w:t>;</w:t>
      </w:r>
      <w:r w:rsidR="007031C3" w:rsidRPr="003B079C">
        <w:t xml:space="preserve"> secondly </w:t>
      </w:r>
      <w:r w:rsidR="004D5191" w:rsidRPr="003B079C">
        <w:t>th</w:t>
      </w:r>
      <w:r w:rsidR="00623FAA" w:rsidRPr="003B079C">
        <w:t>at they are not</w:t>
      </w:r>
      <w:r w:rsidR="007031C3" w:rsidRPr="003B079C">
        <w:t xml:space="preserve"> independen</w:t>
      </w:r>
      <w:r w:rsidR="00623FAA" w:rsidRPr="003B079C">
        <w:t>t</w:t>
      </w:r>
      <w:r w:rsidR="007031C3" w:rsidRPr="003B079C">
        <w:t>, and</w:t>
      </w:r>
      <w:r w:rsidR="00C005DE" w:rsidRPr="003B079C">
        <w:t>, finally</w:t>
      </w:r>
      <w:r w:rsidR="007031C3" w:rsidRPr="003B079C">
        <w:t xml:space="preserve">, </w:t>
      </w:r>
      <w:r w:rsidR="004D5191" w:rsidRPr="003B079C">
        <w:t>whether</w:t>
      </w:r>
      <w:r w:rsidR="007031C3" w:rsidRPr="003B079C">
        <w:t xml:space="preserve"> the process duplicates the efforts of the Tribunal.</w:t>
      </w:r>
      <w:r w:rsidR="00623FAA" w:rsidRPr="003B079C">
        <w:rPr>
          <w:rStyle w:val="FootnoteReference"/>
        </w:rPr>
        <w:footnoteReference w:id="24"/>
      </w:r>
      <w:r w:rsidR="007031C3" w:rsidRPr="003B079C">
        <w:t xml:space="preserve">  </w:t>
      </w:r>
      <w:r w:rsidRPr="003B079C">
        <w:t>I will examine the serious weaknesses in the evidential base underpinning debate in these areas below.  H</w:t>
      </w:r>
      <w:r w:rsidR="00B102C6" w:rsidRPr="003B079C">
        <w:t>owever,</w:t>
      </w:r>
      <w:r w:rsidR="007031C3" w:rsidRPr="003B079C">
        <w:t xml:space="preserve"> in view of the</w:t>
      </w:r>
      <w:r w:rsidR="00B102C6" w:rsidRPr="003B079C">
        <w:t xml:space="preserve"> Managers’</w:t>
      </w:r>
      <w:r w:rsidR="007031C3" w:rsidRPr="003B079C">
        <w:t xml:space="preserve"> ‘invisible’ </w:t>
      </w:r>
      <w:r w:rsidR="00B102C6" w:rsidRPr="003B079C">
        <w:t>character</w:t>
      </w:r>
      <w:r w:rsidR="007031C3" w:rsidRPr="003B079C">
        <w:t xml:space="preserve">, </w:t>
      </w:r>
      <w:r w:rsidR="00C005DE" w:rsidRPr="003B079C">
        <w:t xml:space="preserve">a </w:t>
      </w:r>
      <w:r w:rsidR="007031C3" w:rsidRPr="003B079C">
        <w:t>brief discussion of their nature and history is warranted.</w:t>
      </w:r>
    </w:p>
    <w:p w14:paraId="448826D5" w14:textId="05F81F9B" w:rsidR="007031C3" w:rsidRPr="003B079C" w:rsidRDefault="00FD1EDC" w:rsidP="00FD1EDC">
      <w:pPr>
        <w:pStyle w:val="Heading1"/>
      </w:pPr>
      <w:r w:rsidRPr="003B079C">
        <w:t>II</w:t>
      </w:r>
      <w:r w:rsidR="007031C3" w:rsidRPr="003B079C">
        <w:t xml:space="preserve"> The Hospital Managers</w:t>
      </w:r>
      <w:r w:rsidR="00B42177" w:rsidRPr="003B079C">
        <w:t xml:space="preserve"> and the </w:t>
      </w:r>
      <w:r w:rsidR="009156FB" w:rsidRPr="003B079C">
        <w:t>e</w:t>
      </w:r>
      <w:r w:rsidR="00B42177" w:rsidRPr="003B079C">
        <w:t xml:space="preserve">ffort to </w:t>
      </w:r>
      <w:r w:rsidR="009156FB" w:rsidRPr="003B079C">
        <w:t>a</w:t>
      </w:r>
      <w:r w:rsidR="00B42177" w:rsidRPr="003B079C">
        <w:t>bolish</w:t>
      </w:r>
      <w:r w:rsidR="004F749E" w:rsidRPr="003B079C">
        <w:t xml:space="preserve"> </w:t>
      </w:r>
      <w:r w:rsidR="009156FB" w:rsidRPr="003B079C">
        <w:t>t</w:t>
      </w:r>
      <w:r w:rsidR="004F749E" w:rsidRPr="003B079C">
        <w:t>hem</w:t>
      </w:r>
    </w:p>
    <w:p w14:paraId="3350008A" w14:textId="4AE2B6BF" w:rsidR="005E57DB" w:rsidRPr="003B079C" w:rsidRDefault="00B102C6" w:rsidP="00E4654B">
      <w:pPr>
        <w:spacing w:line="480" w:lineRule="auto"/>
      </w:pPr>
      <w:r w:rsidRPr="003B079C">
        <w:t>Due to historical reforms which</w:t>
      </w:r>
      <w:r w:rsidR="006C39EC" w:rsidRPr="003B079C">
        <w:t xml:space="preserve">, </w:t>
      </w:r>
      <w:r w:rsidRPr="003B079C">
        <w:t>viewed today</w:t>
      </w:r>
      <w:r w:rsidR="006C39EC" w:rsidRPr="003B079C">
        <w:t>,</w:t>
      </w:r>
      <w:r w:rsidRPr="003B079C">
        <w:t xml:space="preserve"> seem to have been</w:t>
      </w:r>
      <w:r w:rsidR="006C39EC" w:rsidRPr="003B079C">
        <w:t xml:space="preserve"> </w:t>
      </w:r>
      <w:r w:rsidR="009D6923" w:rsidRPr="003B079C">
        <w:t xml:space="preserve">designed </w:t>
      </w:r>
      <w:r w:rsidR="006C39EC" w:rsidRPr="003B079C">
        <w:t>to conf</w:t>
      </w:r>
      <w:r w:rsidR="004F749E" w:rsidRPr="003B079C">
        <w:t>use</w:t>
      </w:r>
      <w:r w:rsidR="006C39EC" w:rsidRPr="003B079C">
        <w:t xml:space="preserve"> the uninitiated from the outset,</w:t>
      </w:r>
      <w:r w:rsidR="00980096" w:rsidRPr="003B079C">
        <w:rPr>
          <w:rStyle w:val="FootnoteReference"/>
        </w:rPr>
        <w:footnoteReference w:id="25"/>
      </w:r>
      <w:r w:rsidR="006C39EC" w:rsidRPr="003B079C">
        <w:t xml:space="preserve"> t</w:t>
      </w:r>
      <w:r w:rsidR="005E57DB" w:rsidRPr="003B079C">
        <w:t>he Managers tend not to be the managers of the hospital</w:t>
      </w:r>
      <w:r w:rsidR="006C39EC" w:rsidRPr="003B079C">
        <w:t>.</w:t>
      </w:r>
      <w:r w:rsidR="00386AA7" w:rsidRPr="003B079C">
        <w:rPr>
          <w:rStyle w:val="FootnoteReference"/>
        </w:rPr>
        <w:footnoteReference w:id="26"/>
      </w:r>
      <w:r w:rsidR="007031C3" w:rsidRPr="003B079C">
        <w:t xml:space="preserve"> </w:t>
      </w:r>
      <w:r w:rsidR="005E57DB" w:rsidRPr="003B079C">
        <w:t xml:space="preserve"> </w:t>
      </w:r>
      <w:r w:rsidR="006C39EC" w:rsidRPr="003B079C">
        <w:t>I</w:t>
      </w:r>
      <w:r w:rsidR="005E57DB" w:rsidRPr="003B079C">
        <w:t>nstead</w:t>
      </w:r>
      <w:r w:rsidR="001B5C33" w:rsidRPr="003B079C">
        <w:t>,</w:t>
      </w:r>
      <w:r w:rsidR="005E57DB" w:rsidRPr="003B079C">
        <w:t xml:space="preserve"> the</w:t>
      </w:r>
      <w:r w:rsidR="00F50B20" w:rsidRPr="003B079C">
        <w:t xml:space="preserve"> evidence suggests that they</w:t>
      </w:r>
      <w:r w:rsidR="005E57DB" w:rsidRPr="003B079C">
        <w:t xml:space="preserve"> are normally specially appointed by the organisation</w:t>
      </w:r>
      <w:r w:rsidR="006C39EC" w:rsidRPr="003B079C">
        <w:t xml:space="preserve"> – the managers –</w:t>
      </w:r>
      <w:r w:rsidR="00C005DE" w:rsidRPr="003B079C">
        <w:t xml:space="preserve"> </w:t>
      </w:r>
      <w:r w:rsidR="00E5444C" w:rsidRPr="003B079C">
        <w:t xml:space="preserve">who then delegate the s.23 power </w:t>
      </w:r>
      <w:r w:rsidR="004F749E" w:rsidRPr="003B079C">
        <w:t xml:space="preserve">to </w:t>
      </w:r>
      <w:r w:rsidR="007031C3" w:rsidRPr="003B079C">
        <w:t xml:space="preserve">review the legality of compulsory </w:t>
      </w:r>
      <w:r w:rsidR="004E0C07" w:rsidRPr="003B079C">
        <w:t xml:space="preserve">care </w:t>
      </w:r>
      <w:r w:rsidR="00E5444C" w:rsidRPr="003B079C">
        <w:t>to those persons</w:t>
      </w:r>
      <w:r w:rsidR="00980096" w:rsidRPr="003B079C">
        <w:t xml:space="preserve"> – the Managers</w:t>
      </w:r>
      <w:r w:rsidR="006C39EC" w:rsidRPr="003B079C">
        <w:t>.</w:t>
      </w:r>
      <w:r w:rsidR="00980096" w:rsidRPr="003B079C">
        <w:rPr>
          <w:rStyle w:val="FootnoteReference"/>
        </w:rPr>
        <w:footnoteReference w:id="27"/>
      </w:r>
      <w:r w:rsidR="006C39EC" w:rsidRPr="003B079C">
        <w:t xml:space="preserve"> </w:t>
      </w:r>
      <w:r w:rsidR="00D80B49" w:rsidRPr="003B079C">
        <w:t xml:space="preserve"> Thus, </w:t>
      </w:r>
      <w:r w:rsidR="003F7630" w:rsidRPr="003B079C">
        <w:t>a hearing before the</w:t>
      </w:r>
      <w:r w:rsidR="00D80B49" w:rsidRPr="003B079C">
        <w:t xml:space="preserve"> </w:t>
      </w:r>
      <w:r w:rsidR="00980096" w:rsidRPr="003B079C">
        <w:t>Managers do</w:t>
      </w:r>
      <w:r w:rsidR="003F7630" w:rsidRPr="003B079C">
        <w:t>es</w:t>
      </w:r>
      <w:r w:rsidR="00980096" w:rsidRPr="003B079C">
        <w:t xml:space="preserve"> not </w:t>
      </w:r>
      <w:r w:rsidR="003F7630" w:rsidRPr="003B079C">
        <w:t xml:space="preserve">constitute </w:t>
      </w:r>
      <w:r w:rsidR="00980096" w:rsidRPr="003B079C">
        <w:t xml:space="preserve">an “appeal” against </w:t>
      </w:r>
      <w:r w:rsidR="00833C42" w:rsidRPr="003B079C">
        <w:t xml:space="preserve">compulsory </w:t>
      </w:r>
      <w:r w:rsidR="004E0C07" w:rsidRPr="003B079C">
        <w:t>care</w:t>
      </w:r>
      <w:r w:rsidR="004D5191" w:rsidRPr="003B079C">
        <w:t>, instead</w:t>
      </w:r>
      <w:r w:rsidR="00980096" w:rsidRPr="003B079C">
        <w:t xml:space="preserve"> </w:t>
      </w:r>
      <w:r w:rsidR="004D5191" w:rsidRPr="003B079C">
        <w:t>t</w:t>
      </w:r>
      <w:r w:rsidR="00980096" w:rsidRPr="003B079C">
        <w:t xml:space="preserve">hey </w:t>
      </w:r>
      <w:r w:rsidR="007D16D0" w:rsidRPr="003B079C">
        <w:t xml:space="preserve">review </w:t>
      </w:r>
      <w:r w:rsidR="004643C3" w:rsidRPr="003B079C">
        <w:t>the decision of the clinical team</w:t>
      </w:r>
      <w:r w:rsidR="007D16D0" w:rsidRPr="003B079C">
        <w:t xml:space="preserve"> and </w:t>
      </w:r>
      <w:r w:rsidR="00980096" w:rsidRPr="003B079C">
        <w:t xml:space="preserve">consider whether to exercise a </w:t>
      </w:r>
      <w:r w:rsidR="007D16D0" w:rsidRPr="003B079C">
        <w:t>delegated</w:t>
      </w:r>
      <w:r w:rsidR="004643C3" w:rsidRPr="003B079C">
        <w:t>,</w:t>
      </w:r>
      <w:r w:rsidR="007D16D0" w:rsidRPr="003B079C">
        <w:t xml:space="preserve"> </w:t>
      </w:r>
      <w:r w:rsidR="00980096" w:rsidRPr="003B079C">
        <w:t>discretionary power</w:t>
      </w:r>
      <w:r w:rsidR="00833C42" w:rsidRPr="003B079C">
        <w:t xml:space="preserve"> to discharge</w:t>
      </w:r>
      <w:r w:rsidR="00980096" w:rsidRPr="003B079C">
        <w:t>.</w:t>
      </w:r>
      <w:r w:rsidR="004D5191" w:rsidRPr="003B079C">
        <w:rPr>
          <w:vertAlign w:val="superscript"/>
        </w:rPr>
        <w:footnoteReference w:id="28"/>
      </w:r>
      <w:r w:rsidR="00EE5532" w:rsidRPr="003B079C">
        <w:t xml:space="preserve">  They are making a decision</w:t>
      </w:r>
      <w:r w:rsidR="00F206FA" w:rsidRPr="003B079C">
        <w:t xml:space="preserve"> on behalf of</w:t>
      </w:r>
      <w:r w:rsidR="00EE5532" w:rsidRPr="003B079C">
        <w:t>, not a recommendation</w:t>
      </w:r>
      <w:r w:rsidR="00F206FA" w:rsidRPr="003B079C">
        <w:t xml:space="preserve"> to the delegating organisation</w:t>
      </w:r>
      <w:r w:rsidR="00EE5532" w:rsidRPr="003B079C">
        <w:t>.</w:t>
      </w:r>
      <w:r w:rsidR="00EE5532" w:rsidRPr="003B079C">
        <w:rPr>
          <w:rStyle w:val="FootnoteReference"/>
        </w:rPr>
        <w:footnoteReference w:id="29"/>
      </w:r>
      <w:r w:rsidR="003F7630" w:rsidRPr="003B079C">
        <w:t xml:space="preserve">  </w:t>
      </w:r>
      <w:r w:rsidRPr="003B079C">
        <w:t xml:space="preserve">As such, the only recourse open to those </w:t>
      </w:r>
      <w:r w:rsidR="00980096" w:rsidRPr="003B079C">
        <w:t>dissatisfied with the decision of the Managers</w:t>
      </w:r>
      <w:r w:rsidRPr="003B079C">
        <w:t xml:space="preserve"> is judicial review by the</w:t>
      </w:r>
      <w:r w:rsidR="0031025B" w:rsidRPr="003B079C">
        <w:t xml:space="preserve"> High Court.</w:t>
      </w:r>
      <w:r w:rsidR="0031025B" w:rsidRPr="003B079C">
        <w:rPr>
          <w:rStyle w:val="FootnoteReference"/>
        </w:rPr>
        <w:footnoteReference w:id="30"/>
      </w:r>
      <w:r w:rsidR="00980096" w:rsidRPr="003B079C">
        <w:t xml:space="preserve">  </w:t>
      </w:r>
      <w:r w:rsidR="006C39EC" w:rsidRPr="003B079C">
        <w:t xml:space="preserve">Beyond this, it is sufficient for now to say that the </w:t>
      </w:r>
      <w:r w:rsidR="001268A7" w:rsidRPr="003B079C">
        <w:t>Managers</w:t>
      </w:r>
      <w:r w:rsidR="004F749E" w:rsidRPr="003B079C">
        <w:t>’</w:t>
      </w:r>
      <w:r w:rsidR="001268A7" w:rsidRPr="003B079C">
        <w:t xml:space="preserve"> </w:t>
      </w:r>
      <w:r w:rsidR="00011D5B" w:rsidRPr="003B079C">
        <w:t>discretionary power allows them to</w:t>
      </w:r>
      <w:r w:rsidR="001268A7" w:rsidRPr="003B079C">
        <w:t xml:space="preserve"> discharge persons from numerous compulsory </w:t>
      </w:r>
      <w:r w:rsidR="004E0C07" w:rsidRPr="003B079C">
        <w:t xml:space="preserve">care </w:t>
      </w:r>
      <w:r w:rsidR="001268A7" w:rsidRPr="003B079C">
        <w:t xml:space="preserve">provisions </w:t>
      </w:r>
      <w:r w:rsidR="001268A7" w:rsidRPr="003B079C">
        <w:rPr>
          <w:i/>
        </w:rPr>
        <w:t>against</w:t>
      </w:r>
      <w:r w:rsidR="001268A7" w:rsidRPr="003B079C">
        <w:t xml:space="preserve"> medical advice</w:t>
      </w:r>
      <w:r w:rsidR="00825696" w:rsidRPr="003B079C">
        <w:t>,</w:t>
      </w:r>
      <w:r w:rsidR="001268A7" w:rsidRPr="003B079C">
        <w:rPr>
          <w:vertAlign w:val="superscript"/>
        </w:rPr>
        <w:footnoteReference w:id="31"/>
      </w:r>
      <w:r w:rsidR="00825696" w:rsidRPr="003B079C">
        <w:t xml:space="preserve"> even where the criteria </w:t>
      </w:r>
      <w:r w:rsidR="004643C3" w:rsidRPr="003B079C">
        <w:t xml:space="preserve">permitting compulsory care </w:t>
      </w:r>
      <w:r w:rsidR="00825696" w:rsidRPr="003B079C">
        <w:t xml:space="preserve">provided in the 1983 Act </w:t>
      </w:r>
      <w:r w:rsidR="00825696" w:rsidRPr="003B079C">
        <w:rPr>
          <w:i/>
        </w:rPr>
        <w:t>are</w:t>
      </w:r>
      <w:r w:rsidR="00825696" w:rsidRPr="003B079C">
        <w:t xml:space="preserve"> met.</w:t>
      </w:r>
      <w:r w:rsidR="00825696" w:rsidRPr="003B079C">
        <w:rPr>
          <w:vertAlign w:val="superscript"/>
        </w:rPr>
        <w:footnoteReference w:id="32"/>
      </w:r>
      <w:r w:rsidR="00825696" w:rsidRPr="003B079C">
        <w:t xml:space="preserve">  I</w:t>
      </w:r>
      <w:r w:rsidR="006C39EC" w:rsidRPr="003B079C">
        <w:t xml:space="preserve">t is the </w:t>
      </w:r>
      <w:r w:rsidR="006C39EC" w:rsidRPr="003B079C">
        <w:rPr>
          <w:i/>
        </w:rPr>
        <w:t>sine qua non</w:t>
      </w:r>
      <w:r w:rsidR="006C39EC" w:rsidRPr="003B079C">
        <w:t xml:space="preserve"> of</w:t>
      </w:r>
      <w:r w:rsidR="00386AA7" w:rsidRPr="003B079C">
        <w:t xml:space="preserve"> a</w:t>
      </w:r>
      <w:r w:rsidR="006C39EC" w:rsidRPr="003B079C">
        <w:t xml:space="preserve"> decision to exercise the</w:t>
      </w:r>
      <w:r w:rsidR="004643C3" w:rsidRPr="003B079C">
        <w:t xml:space="preserve"> Managers’</w:t>
      </w:r>
      <w:r w:rsidR="006C39EC" w:rsidRPr="003B079C">
        <w:t xml:space="preserve"> s.23 discharge power that it run</w:t>
      </w:r>
      <w:r w:rsidR="00C005DE" w:rsidRPr="003B079C">
        <w:t>s</w:t>
      </w:r>
      <w:r w:rsidR="006C39EC" w:rsidRPr="003B079C">
        <w:t xml:space="preserve"> contrary to professional </w:t>
      </w:r>
      <w:r w:rsidR="00833C42" w:rsidRPr="003B079C">
        <w:t xml:space="preserve">medical </w:t>
      </w:r>
      <w:r w:rsidR="006C39EC" w:rsidRPr="003B079C">
        <w:t>opinion.</w:t>
      </w:r>
      <w:r w:rsidR="004D5191" w:rsidRPr="003B079C">
        <w:rPr>
          <w:rStyle w:val="FootnoteReference"/>
        </w:rPr>
        <w:footnoteReference w:id="33"/>
      </w:r>
    </w:p>
    <w:p w14:paraId="5ECB4613" w14:textId="17BA9AE6" w:rsidR="00011D5B" w:rsidRPr="003B079C" w:rsidRDefault="001268A7" w:rsidP="00E4654B">
      <w:pPr>
        <w:spacing w:line="480" w:lineRule="auto"/>
      </w:pPr>
      <w:r w:rsidRPr="003B079C">
        <w:t xml:space="preserve">The origins of the </w:t>
      </w:r>
      <w:r w:rsidR="008F2B53" w:rsidRPr="003B079C">
        <w:t xml:space="preserve">parliamentary </w:t>
      </w:r>
      <w:r w:rsidRPr="003B079C">
        <w:t xml:space="preserve">effort to abolish the Managers can be found in the statement </w:t>
      </w:r>
      <w:r w:rsidR="00FA3DB6" w:rsidRPr="003B079C">
        <w:t xml:space="preserve">on mental health services </w:t>
      </w:r>
      <w:r w:rsidRPr="003B079C">
        <w:t>made by the then Secretary of State for Health, Stephen Dorrell MP, to the Commons in February 1996.</w:t>
      </w:r>
      <w:r w:rsidRPr="003B079C">
        <w:rPr>
          <w:vertAlign w:val="superscript"/>
        </w:rPr>
        <w:footnoteReference w:id="34"/>
      </w:r>
      <w:r w:rsidRPr="003B079C">
        <w:t xml:space="preserve">  He discussed, </w:t>
      </w:r>
      <w:r w:rsidRPr="003B079C">
        <w:rPr>
          <w:i/>
        </w:rPr>
        <w:t>inter alia</w:t>
      </w:r>
      <w:r w:rsidRPr="003B079C">
        <w:t>, the ‘disquiet about the arrangements that allow hospital managers to discharge patients from detention.’</w:t>
      </w:r>
      <w:r w:rsidRPr="003B079C">
        <w:rPr>
          <w:vertAlign w:val="superscript"/>
        </w:rPr>
        <w:footnoteReference w:id="35"/>
      </w:r>
      <w:r w:rsidRPr="003B079C">
        <w:t xml:space="preserve">  H</w:t>
      </w:r>
      <w:r w:rsidR="004643C3" w:rsidRPr="003B079C">
        <w:t>e</w:t>
      </w:r>
      <w:r w:rsidRPr="003B079C">
        <w:t xml:space="preserve"> </w:t>
      </w:r>
      <w:r w:rsidR="007A0467" w:rsidRPr="003B079C">
        <w:t>focussed solely on the example of</w:t>
      </w:r>
      <w:r w:rsidRPr="003B079C">
        <w:t xml:space="preserve"> Glen Grant</w:t>
      </w:r>
      <w:r w:rsidR="007A0467" w:rsidRPr="003B079C">
        <w:t>, who was released</w:t>
      </w:r>
      <w:r w:rsidRPr="003B079C">
        <w:t xml:space="preserve"> from Cane Hill Hospital, Surrey</w:t>
      </w:r>
      <w:r w:rsidR="007D16D0" w:rsidRPr="003B079C">
        <w:t>.</w:t>
      </w:r>
      <w:r w:rsidR="007B76CF" w:rsidRPr="003B079C">
        <w:rPr>
          <w:rStyle w:val="FootnoteReference"/>
        </w:rPr>
        <w:footnoteReference w:id="36"/>
      </w:r>
      <w:r w:rsidRPr="003B079C">
        <w:t xml:space="preserve">  Grant had been convicted of multiple</w:t>
      </w:r>
      <w:r w:rsidR="007D16D0" w:rsidRPr="003B079C">
        <w:t>, violent</w:t>
      </w:r>
      <w:r w:rsidRPr="003B079C">
        <w:t xml:space="preserve"> crimes</w:t>
      </w:r>
      <w:r w:rsidR="007D16D0" w:rsidRPr="003B079C">
        <w:t>, which</w:t>
      </w:r>
      <w:r w:rsidR="001F2612" w:rsidRPr="003B079C">
        <w:t xml:space="preserve"> took</w:t>
      </w:r>
      <w:r w:rsidRPr="003B079C">
        <w:t xml:space="preserve"> place shortly after </w:t>
      </w:r>
      <w:r w:rsidR="00FA3DB6" w:rsidRPr="003B079C">
        <w:t>a panel of</w:t>
      </w:r>
      <w:r w:rsidRPr="003B079C">
        <w:t xml:space="preserve"> Managers discharged him from hospital against medical advice.</w:t>
      </w:r>
      <w:r w:rsidRPr="003B079C">
        <w:rPr>
          <w:vertAlign w:val="superscript"/>
        </w:rPr>
        <w:footnoteReference w:id="37"/>
      </w:r>
      <w:r w:rsidRPr="003B079C">
        <w:t xml:space="preserve">  </w:t>
      </w:r>
      <w:r w:rsidR="008F2B53" w:rsidRPr="003B079C">
        <w:t>Dorrell</w:t>
      </w:r>
      <w:r w:rsidRPr="003B079C">
        <w:t xml:space="preserve"> established a Working Group to consider the operation of the discharge power,</w:t>
      </w:r>
      <w:r w:rsidRPr="003B079C">
        <w:rPr>
          <w:vertAlign w:val="superscript"/>
        </w:rPr>
        <w:footnoteReference w:id="38"/>
      </w:r>
      <w:r w:rsidRPr="003B079C">
        <w:t xml:space="preserve"> and stated that he hoped that their recommendations would enable him to propose ‘adequate safeguards [re s.23] to command public confidence.’</w:t>
      </w:r>
      <w:r w:rsidRPr="003B079C">
        <w:rPr>
          <w:vertAlign w:val="superscript"/>
        </w:rPr>
        <w:footnoteReference w:id="39"/>
      </w:r>
      <w:r w:rsidRPr="003B079C">
        <w:t xml:space="preserve">  </w:t>
      </w:r>
      <w:r w:rsidR="003C6C74" w:rsidRPr="003B079C">
        <w:t>Debate on the statement when it was repeated in the House of Lords was</w:t>
      </w:r>
      <w:r w:rsidR="00D71D53" w:rsidRPr="003B079C">
        <w:t xml:space="preserve"> less measured</w:t>
      </w:r>
      <w:r w:rsidR="00B80BE3" w:rsidRPr="003B079C">
        <w:t>.</w:t>
      </w:r>
      <w:r w:rsidR="003C6C74" w:rsidRPr="003B079C">
        <w:rPr>
          <w:rStyle w:val="FootnoteReference"/>
        </w:rPr>
        <w:footnoteReference w:id="40"/>
      </w:r>
      <w:r w:rsidR="00B80BE3" w:rsidRPr="003B079C">
        <w:t xml:space="preserve">  Lord Strabolgi, for example, decried ‘the so-called anonymous lay [M</w:t>
      </w:r>
      <w:r w:rsidR="00710219" w:rsidRPr="003B079C">
        <w:t>anagers</w:t>
      </w:r>
      <w:r w:rsidR="001F2612" w:rsidRPr="003B079C">
        <w:t>]</w:t>
      </w:r>
      <w:r w:rsidR="00B80BE3" w:rsidRPr="003B079C">
        <w:t>’ who ‘have overruled the views of professional doctors’, and demanded ‘Who are they? Why are they allowed to remain anonymous? Why are they allowed to overrule the professionals?’</w:t>
      </w:r>
      <w:r w:rsidR="00B80BE3" w:rsidRPr="003B079C">
        <w:rPr>
          <w:vertAlign w:val="superscript"/>
        </w:rPr>
        <w:footnoteReference w:id="41"/>
      </w:r>
      <w:r w:rsidR="003C6C74" w:rsidRPr="003B079C">
        <w:t xml:space="preserve"> </w:t>
      </w:r>
      <w:r w:rsidR="00B80BE3" w:rsidRPr="003B079C">
        <w:t xml:space="preserve"> </w:t>
      </w:r>
      <w:r w:rsidR="00461C48" w:rsidRPr="003B079C">
        <w:t xml:space="preserve">There was also some confusion as to the legal basis of the Managers’ power.  </w:t>
      </w:r>
      <w:r w:rsidR="00B80BE3" w:rsidRPr="003B079C">
        <w:t>At one point the minister, Baroness Cumberlege, seemed to suggest that, whereas the Tribunals’ power was contained in the</w:t>
      </w:r>
      <w:r w:rsidR="004643C3" w:rsidRPr="003B079C">
        <w:t xml:space="preserve"> MHA 1983</w:t>
      </w:r>
      <w:r w:rsidR="00B80BE3" w:rsidRPr="003B079C">
        <w:t>, the Managers’ was not.</w:t>
      </w:r>
      <w:r w:rsidR="003C6C74" w:rsidRPr="003B079C">
        <w:rPr>
          <w:vertAlign w:val="superscript"/>
        </w:rPr>
        <w:footnoteReference w:id="42"/>
      </w:r>
      <w:r w:rsidR="00B80BE3" w:rsidRPr="003B079C">
        <w:t xml:space="preserve">  </w:t>
      </w:r>
    </w:p>
    <w:p w14:paraId="4AAEFAFB" w14:textId="58A110FE" w:rsidR="001268A7" w:rsidRPr="003B079C" w:rsidRDefault="001268A7" w:rsidP="00E4654B">
      <w:pPr>
        <w:spacing w:line="480" w:lineRule="auto"/>
      </w:pPr>
      <w:r w:rsidRPr="003B079C">
        <w:t xml:space="preserve">The Working Group’s Report, published in July 1996, </w:t>
      </w:r>
      <w:r w:rsidR="008F2B53" w:rsidRPr="003B079C">
        <w:t xml:space="preserve">was </w:t>
      </w:r>
      <w:r w:rsidRPr="003B079C">
        <w:t>at most agnostic about the removal of the s.23 power</w:t>
      </w:r>
      <w:r w:rsidR="00B80BE3" w:rsidRPr="003B079C">
        <w:t xml:space="preserve">, conceding only that future consideration should be given to whether having two routes of </w:t>
      </w:r>
      <w:r w:rsidR="00D71D53" w:rsidRPr="003B079C">
        <w:t xml:space="preserve">challenge </w:t>
      </w:r>
      <w:r w:rsidR="00B80BE3" w:rsidRPr="003B079C">
        <w:t>was ‘beneficial.’</w:t>
      </w:r>
      <w:r w:rsidRPr="003B079C">
        <w:rPr>
          <w:vertAlign w:val="superscript"/>
        </w:rPr>
        <w:footnoteReference w:id="43"/>
      </w:r>
      <w:r w:rsidRPr="003B079C">
        <w:t xml:space="preserve">  However, although the Secretary of State had </w:t>
      </w:r>
      <w:r w:rsidR="00FA3DB6" w:rsidRPr="003B079C">
        <w:t>said</w:t>
      </w:r>
      <w:r w:rsidR="00011D5B" w:rsidRPr="003B079C">
        <w:t xml:space="preserve"> he intended</w:t>
      </w:r>
      <w:r w:rsidRPr="003B079C">
        <w:t xml:space="preserve"> to be guided by the Group’s findings,</w:t>
      </w:r>
      <w:r w:rsidRPr="003B079C">
        <w:rPr>
          <w:vertAlign w:val="superscript"/>
        </w:rPr>
        <w:footnoteReference w:id="44"/>
      </w:r>
      <w:r w:rsidRPr="003B079C">
        <w:t xml:space="preserve"> his proposals were more forthright.</w:t>
      </w:r>
      <w:r w:rsidRPr="003B079C">
        <w:rPr>
          <w:vertAlign w:val="superscript"/>
        </w:rPr>
        <w:footnoteReference w:id="45"/>
      </w:r>
      <w:r w:rsidRPr="003B079C">
        <w:t xml:space="preserve">  He did not feel that there was ‘a valid role for lay managers in this area</w:t>
      </w:r>
      <w:r w:rsidR="003C5F19" w:rsidRPr="003B079C">
        <w:t>.</w:t>
      </w:r>
      <w:r w:rsidRPr="003B079C">
        <w:t>’</w:t>
      </w:r>
      <w:r w:rsidRPr="003B079C">
        <w:rPr>
          <w:vertAlign w:val="superscript"/>
        </w:rPr>
        <w:footnoteReference w:id="46"/>
      </w:r>
      <w:r w:rsidRPr="003B079C">
        <w:t xml:space="preserve">  The basis of his argument was that, because of the ‘completely separate’ </w:t>
      </w:r>
      <w:r w:rsidR="004E0C07" w:rsidRPr="003B079C">
        <w:t>t</w:t>
      </w:r>
      <w:r w:rsidRPr="003B079C">
        <w:t>ribunal route, the Managers’ power was apt to ‘create confusion for patients and duplication of effort</w:t>
      </w:r>
      <w:r w:rsidR="004643C3" w:rsidRPr="003B079C">
        <w:t xml:space="preserve"> [for professionals]</w:t>
      </w:r>
      <w:r w:rsidRPr="003B079C">
        <w:t>.’</w:t>
      </w:r>
      <w:r w:rsidRPr="003B079C">
        <w:rPr>
          <w:vertAlign w:val="superscript"/>
        </w:rPr>
        <w:footnoteReference w:id="47"/>
      </w:r>
      <w:r w:rsidRPr="003B079C">
        <w:t xml:space="preserve">  The Secretary of State promised to legislate to </w:t>
      </w:r>
      <w:r w:rsidR="00FA3DB6" w:rsidRPr="003B079C">
        <w:t xml:space="preserve">abolish </w:t>
      </w:r>
      <w:r w:rsidRPr="003B079C">
        <w:t>the power.</w:t>
      </w:r>
    </w:p>
    <w:p w14:paraId="35DF58D5" w14:textId="0C9F4BC9" w:rsidR="001268A7" w:rsidRPr="003B079C" w:rsidRDefault="001268A7" w:rsidP="00E4654B">
      <w:pPr>
        <w:spacing w:line="480" w:lineRule="auto"/>
      </w:pPr>
      <w:r w:rsidRPr="003B079C">
        <w:t xml:space="preserve">In the event, the Conservative Party lost the 1997 General Election and the impetus behind the abolition </w:t>
      </w:r>
      <w:r w:rsidR="00833C42" w:rsidRPr="003B079C">
        <w:t xml:space="preserve">effort </w:t>
      </w:r>
      <w:r w:rsidRPr="003B079C">
        <w:t xml:space="preserve">faltered.  However, in October </w:t>
      </w:r>
      <w:r w:rsidR="007529D2" w:rsidRPr="003B079C">
        <w:t xml:space="preserve">of the following year </w:t>
      </w:r>
      <w:r w:rsidRPr="003B079C">
        <w:t xml:space="preserve">the Labour </w:t>
      </w:r>
      <w:r w:rsidR="006811CB" w:rsidRPr="003B079C">
        <w:t>G</w:t>
      </w:r>
      <w:r w:rsidRPr="003B079C">
        <w:t>overnment established an Expert Committee to review the existing mental health legislation.</w:t>
      </w:r>
      <w:r w:rsidRPr="003B079C">
        <w:rPr>
          <w:vertAlign w:val="superscript"/>
        </w:rPr>
        <w:footnoteReference w:id="48"/>
      </w:r>
      <w:r w:rsidRPr="003B079C">
        <w:t xml:space="preserve">  Chief among the Committee’s recommendations</w:t>
      </w:r>
      <w:r w:rsidR="00C005DE" w:rsidRPr="003B079C">
        <w:t>,</w:t>
      </w:r>
      <w:r w:rsidRPr="003B079C">
        <w:t xml:space="preserve"> </w:t>
      </w:r>
      <w:r w:rsidR="007529D2" w:rsidRPr="003B079C">
        <w:t>when it reported in 1999</w:t>
      </w:r>
      <w:r w:rsidR="00C005DE" w:rsidRPr="003B079C">
        <w:t>,</w:t>
      </w:r>
      <w:r w:rsidR="007529D2" w:rsidRPr="003B079C">
        <w:t xml:space="preserve"> </w:t>
      </w:r>
      <w:r w:rsidRPr="003B079C">
        <w:t>was the creation of a ‘multi-disciplinary tribunal’ which would</w:t>
      </w:r>
      <w:r w:rsidR="001F2612" w:rsidRPr="003B079C">
        <w:t xml:space="preserve"> authorise and review</w:t>
      </w:r>
      <w:r w:rsidRPr="003B079C">
        <w:t xml:space="preserve"> the legality of the initial medical decision to detain shortly after it was made.</w:t>
      </w:r>
      <w:r w:rsidRPr="003B079C">
        <w:rPr>
          <w:vertAlign w:val="superscript"/>
        </w:rPr>
        <w:footnoteReference w:id="49"/>
      </w:r>
      <w:r w:rsidRPr="003B079C">
        <w:t xml:space="preserve">  In view of the creation of a new version of the Tribunal</w:t>
      </w:r>
      <w:r w:rsidR="00C005DE" w:rsidRPr="003B079C">
        <w:t>,</w:t>
      </w:r>
      <w:r w:rsidRPr="003B079C">
        <w:t xml:space="preserve"> the Committee concluded that the Managers should ‘cease to be a feature of future mental health legislation.’</w:t>
      </w:r>
      <w:r w:rsidRPr="003B079C">
        <w:rPr>
          <w:vertAlign w:val="superscript"/>
        </w:rPr>
        <w:footnoteReference w:id="50"/>
      </w:r>
      <w:r w:rsidRPr="003B079C">
        <w:t xml:space="preserve">  Echoing the views of the former Secretary of State f</w:t>
      </w:r>
      <w:r w:rsidR="00833C42" w:rsidRPr="003B079C">
        <w:t>or</w:t>
      </w:r>
      <w:r w:rsidRPr="003B079C">
        <w:t xml:space="preserve"> Health</w:t>
      </w:r>
      <w:r w:rsidR="007529D2" w:rsidRPr="003B079C">
        <w:t>,</w:t>
      </w:r>
      <w:r w:rsidRPr="003B079C">
        <w:t xml:space="preserve"> the Committee </w:t>
      </w:r>
      <w:r w:rsidR="00DB53DB" w:rsidRPr="003B079C">
        <w:t xml:space="preserve">contended </w:t>
      </w:r>
      <w:r w:rsidRPr="003B079C">
        <w:t xml:space="preserve">that because the </w:t>
      </w:r>
      <w:r w:rsidR="00DB53DB" w:rsidRPr="003B079C">
        <w:t xml:space="preserve">purported </w:t>
      </w:r>
      <w:r w:rsidRPr="003B079C">
        <w:t>duplication of effort ‘tended to impose considerable burdens on the clinical team</w:t>
      </w:r>
      <w:r w:rsidR="00F56173" w:rsidRPr="003B079C">
        <w:t>,</w:t>
      </w:r>
      <w:r w:rsidRPr="003B079C">
        <w:t>’ while producing ‘little obvious benefit to the patient in terms of early discharge</w:t>
      </w:r>
      <w:r w:rsidR="00FA3DB6" w:rsidRPr="003B079C">
        <w:t>,</w:t>
      </w:r>
      <w:r w:rsidRPr="003B079C">
        <w:t>’ and because the dual route for review was ‘confusing for patients,’ the power should be abolished.</w:t>
      </w:r>
      <w:r w:rsidRPr="003B079C">
        <w:rPr>
          <w:vertAlign w:val="superscript"/>
        </w:rPr>
        <w:footnoteReference w:id="51"/>
      </w:r>
      <w:r w:rsidRPr="003B079C">
        <w:t xml:space="preserve">  The Committee</w:t>
      </w:r>
      <w:r w:rsidR="00DB53DB" w:rsidRPr="003B079C">
        <w:t xml:space="preserve"> failed to provide evidence to substantiate their claims</w:t>
      </w:r>
      <w:r w:rsidRPr="003B079C">
        <w:t>.</w:t>
      </w:r>
      <w:r w:rsidR="00DB53DB" w:rsidRPr="003B079C">
        <w:rPr>
          <w:rStyle w:val="FootnoteReference"/>
        </w:rPr>
        <w:footnoteReference w:id="52"/>
      </w:r>
      <w:r w:rsidRPr="003B079C">
        <w:t xml:space="preserve">  However, </w:t>
      </w:r>
      <w:r w:rsidR="00833C42" w:rsidRPr="003B079C">
        <w:t>it</w:t>
      </w:r>
      <w:r w:rsidRPr="003B079C">
        <w:t xml:space="preserve"> did acknowledge that </w:t>
      </w:r>
      <w:r w:rsidR="00251089" w:rsidRPr="003B079C">
        <w:t>there was some support for</w:t>
      </w:r>
      <w:r w:rsidRPr="003B079C">
        <w:t xml:space="preserve"> the continuation of the Managers’ role because it provide</w:t>
      </w:r>
      <w:r w:rsidR="00DB53DB" w:rsidRPr="003B079C">
        <w:t>s</w:t>
      </w:r>
      <w:r w:rsidRPr="003B079C">
        <w:t xml:space="preserve"> ‘an important lay element’ as well as ‘a link with the local community’ in ‘a uniquely informal’ setting that allow</w:t>
      </w:r>
      <w:r w:rsidR="00DB53DB" w:rsidRPr="003B079C">
        <w:t>s</w:t>
      </w:r>
      <w:r w:rsidRPr="003B079C">
        <w:t xml:space="preserve"> ‘the patient … to hear the opinion of the care team.’</w:t>
      </w:r>
      <w:r w:rsidR="00833C42" w:rsidRPr="003B079C">
        <w:rPr>
          <w:rStyle w:val="FootnoteReference"/>
        </w:rPr>
        <w:footnoteReference w:id="53"/>
      </w:r>
      <w:r w:rsidRPr="003B079C">
        <w:t xml:space="preserve">  </w:t>
      </w:r>
    </w:p>
    <w:p w14:paraId="046E7381" w14:textId="6CD53501" w:rsidR="001268A7" w:rsidRPr="003B079C" w:rsidRDefault="001268A7" w:rsidP="00E4654B">
      <w:pPr>
        <w:spacing w:line="480" w:lineRule="auto"/>
      </w:pPr>
      <w:r w:rsidRPr="003B079C">
        <w:t xml:space="preserve">The White Paper, </w:t>
      </w:r>
      <w:r w:rsidRPr="003B079C">
        <w:rPr>
          <w:i/>
        </w:rPr>
        <w:t>Reforming the Mental Health Act</w:t>
      </w:r>
      <w:r w:rsidRPr="003B079C">
        <w:t xml:space="preserve">, as well as the draft Bill and consultation documents that were published in 2002, also demonstrated support for </w:t>
      </w:r>
      <w:r w:rsidR="00251089" w:rsidRPr="003B079C">
        <w:t>a</w:t>
      </w:r>
      <w:r w:rsidR="00D71D53" w:rsidRPr="003B079C">
        <w:t>n</w:t>
      </w:r>
      <w:r w:rsidRPr="003B079C">
        <w:t xml:space="preserve"> independent tribunal </w:t>
      </w:r>
      <w:r w:rsidR="00833C42" w:rsidRPr="003B079C">
        <w:t>and the removal of the Managers</w:t>
      </w:r>
      <w:r w:rsidRPr="003B079C">
        <w:t>.</w:t>
      </w:r>
      <w:r w:rsidR="003146A6" w:rsidRPr="003B079C">
        <w:rPr>
          <w:rStyle w:val="FootnoteReference"/>
        </w:rPr>
        <w:footnoteReference w:id="54"/>
      </w:r>
      <w:r w:rsidRPr="003B079C">
        <w:t xml:space="preserve">  Again, however, the evidential basis for these claims was limited.</w:t>
      </w:r>
      <w:r w:rsidRPr="003B079C">
        <w:rPr>
          <w:vertAlign w:val="superscript"/>
        </w:rPr>
        <w:footnoteReference w:id="55"/>
      </w:r>
      <w:r w:rsidRPr="003B079C">
        <w:t xml:space="preserve">  This is unsurprising given the brevity of the discussion</w:t>
      </w:r>
      <w:r w:rsidR="00251089" w:rsidRPr="003B079C">
        <w:t xml:space="preserve"> </w:t>
      </w:r>
      <w:r w:rsidR="007529D2" w:rsidRPr="003B079C">
        <w:t>regarding</w:t>
      </w:r>
      <w:r w:rsidR="00251089" w:rsidRPr="003B079C">
        <w:t xml:space="preserve"> the Managers</w:t>
      </w:r>
      <w:r w:rsidRPr="003B079C">
        <w:t xml:space="preserve"> in the White Paper.</w:t>
      </w:r>
      <w:r w:rsidRPr="003B079C">
        <w:rPr>
          <w:vertAlign w:val="superscript"/>
        </w:rPr>
        <w:footnoteReference w:id="56"/>
      </w:r>
      <w:r w:rsidRPr="003B079C">
        <w:t xml:space="preserve">  The 2002 Bill was opposed on many fronts, though not because of the proposals </w:t>
      </w:r>
      <w:r w:rsidR="004643C3" w:rsidRPr="003B079C">
        <w:t xml:space="preserve">relating to </w:t>
      </w:r>
      <w:r w:rsidRPr="003B079C">
        <w:t>the Managers</w:t>
      </w:r>
      <w:r w:rsidR="00251089" w:rsidRPr="003B079C">
        <w:t>.</w:t>
      </w:r>
      <w:r w:rsidRPr="003B079C">
        <w:t xml:space="preserve"> </w:t>
      </w:r>
      <w:r w:rsidR="00251089" w:rsidRPr="003B079C">
        <w:t xml:space="preserve"> T</w:t>
      </w:r>
      <w:r w:rsidRPr="003B079C">
        <w:t xml:space="preserve">he government </w:t>
      </w:r>
      <w:r w:rsidR="00B42177" w:rsidRPr="003B079C">
        <w:t>took time</w:t>
      </w:r>
      <w:r w:rsidRPr="003B079C">
        <w:t xml:space="preserve"> to reconsider</w:t>
      </w:r>
      <w:r w:rsidR="00B42177" w:rsidRPr="003B079C">
        <w:t xml:space="preserve"> their position</w:t>
      </w:r>
      <w:r w:rsidR="00D528F9" w:rsidRPr="003B079C">
        <w:t xml:space="preserve"> and in </w:t>
      </w:r>
      <w:r w:rsidRPr="003B079C">
        <w:t xml:space="preserve">2004, </w:t>
      </w:r>
      <w:r w:rsidR="007529D2" w:rsidRPr="003B079C">
        <w:t xml:space="preserve">again reflecting </w:t>
      </w:r>
      <w:r w:rsidR="00F56173" w:rsidRPr="003B079C">
        <w:t xml:space="preserve">the 2002 Draft Bill and </w:t>
      </w:r>
      <w:r w:rsidR="00B42177" w:rsidRPr="003B079C">
        <w:t xml:space="preserve">the arguments made by the Expert Committee, </w:t>
      </w:r>
      <w:r w:rsidRPr="003B079C">
        <w:t xml:space="preserve">returned with new proposals which retained the aim of removing the </w:t>
      </w:r>
      <w:r w:rsidR="00251089" w:rsidRPr="003B079C">
        <w:t xml:space="preserve">Managers’ </w:t>
      </w:r>
      <w:r w:rsidRPr="003B079C">
        <w:t xml:space="preserve">s.23 powers as part of the creation of a new </w:t>
      </w:r>
      <w:r w:rsidR="004E0C07" w:rsidRPr="003B079C">
        <w:t>t</w:t>
      </w:r>
      <w:r w:rsidRPr="003B079C">
        <w:t>ribunal.</w:t>
      </w:r>
      <w:r w:rsidRPr="003B079C">
        <w:rPr>
          <w:vertAlign w:val="superscript"/>
        </w:rPr>
        <w:footnoteReference w:id="57"/>
      </w:r>
    </w:p>
    <w:p w14:paraId="43069F58" w14:textId="07D22B4F" w:rsidR="00B42177" w:rsidRPr="003B079C" w:rsidRDefault="00B42177" w:rsidP="00E4654B">
      <w:pPr>
        <w:spacing w:line="480" w:lineRule="auto"/>
      </w:pPr>
      <w:r w:rsidRPr="003B079C">
        <w:t>The 2004 Bill was followed</w:t>
      </w:r>
      <w:r w:rsidR="00E24760" w:rsidRPr="003B079C">
        <w:t xml:space="preserve"> by a more modest amending Bill</w:t>
      </w:r>
      <w:r w:rsidRPr="003B079C">
        <w:t xml:space="preserve"> i</w:t>
      </w:r>
      <w:r w:rsidR="001268A7" w:rsidRPr="003B079C">
        <w:t>n 2006.</w:t>
      </w:r>
      <w:r w:rsidR="00FA7CD9" w:rsidRPr="003B079C">
        <w:rPr>
          <w:rStyle w:val="FootnoteReference"/>
        </w:rPr>
        <w:footnoteReference w:id="58"/>
      </w:r>
      <w:r w:rsidR="001268A7" w:rsidRPr="003B079C">
        <w:t xml:space="preserve">  In the interim</w:t>
      </w:r>
      <w:r w:rsidR="00FA7CD9" w:rsidRPr="003B079C">
        <w:t>,</w:t>
      </w:r>
      <w:r w:rsidR="001268A7" w:rsidRPr="003B079C">
        <w:t xml:space="preserve"> all efforts to abolish the Managers’ s</w:t>
      </w:r>
      <w:r w:rsidR="00E24760" w:rsidRPr="003B079C">
        <w:t>.</w:t>
      </w:r>
      <w:r w:rsidR="001268A7" w:rsidRPr="003B079C">
        <w:t xml:space="preserve">23 power appear to have fallen by the wayside.  The </w:t>
      </w:r>
      <w:r w:rsidR="00025A82" w:rsidRPr="003B079C">
        <w:t>Managers’</w:t>
      </w:r>
      <w:r w:rsidR="001268A7" w:rsidRPr="003B079C">
        <w:t xml:space="preserve"> only appearance in the 2006 Bill, later the </w:t>
      </w:r>
      <w:r w:rsidR="00980ED1" w:rsidRPr="003B079C">
        <w:t>MHA</w:t>
      </w:r>
      <w:r w:rsidR="001268A7" w:rsidRPr="003B079C">
        <w:t xml:space="preserve"> 2007, was a clause to correct a previous legislative oversight in relation to </w:t>
      </w:r>
      <w:r w:rsidR="00F56173" w:rsidRPr="003B079C">
        <w:t>NHS foundation trusts</w:t>
      </w:r>
      <w:r w:rsidR="001268A7" w:rsidRPr="003B079C">
        <w:t xml:space="preserve"> and s.23.</w:t>
      </w:r>
      <w:r w:rsidR="001268A7" w:rsidRPr="003B079C">
        <w:rPr>
          <w:vertAlign w:val="superscript"/>
        </w:rPr>
        <w:footnoteReference w:id="59"/>
      </w:r>
      <w:r w:rsidR="001268A7" w:rsidRPr="003B079C">
        <w:t xml:space="preserve">  The s.23 power was otherwise left intact.  </w:t>
      </w:r>
      <w:r w:rsidRPr="003B079C">
        <w:t xml:space="preserve">Having briefly outlined the context in which the </w:t>
      </w:r>
      <w:r w:rsidR="00F0137F" w:rsidRPr="003B079C">
        <w:t xml:space="preserve">effort towards securing </w:t>
      </w:r>
      <w:r w:rsidRPr="003B079C">
        <w:t>abolition</w:t>
      </w:r>
      <w:r w:rsidR="00F0137F" w:rsidRPr="003B079C">
        <w:t xml:space="preserve"> </w:t>
      </w:r>
      <w:r w:rsidRPr="003B079C">
        <w:t xml:space="preserve">has taken place, I will now consider the first </w:t>
      </w:r>
      <w:r w:rsidR="00623FAA" w:rsidRPr="003B079C">
        <w:t>of the abolitionists’ contentions</w:t>
      </w:r>
      <w:r w:rsidRPr="003B079C">
        <w:t>, the question of the Managers’ expertise.</w:t>
      </w:r>
    </w:p>
    <w:p w14:paraId="29B2EB9B" w14:textId="7B53F745" w:rsidR="00E505E9" w:rsidRPr="003B079C" w:rsidRDefault="00FD1EDC" w:rsidP="00FD1EDC">
      <w:pPr>
        <w:pStyle w:val="Heading1"/>
      </w:pPr>
      <w:r w:rsidRPr="003B079C">
        <w:t>III</w:t>
      </w:r>
      <w:r w:rsidR="00156B03" w:rsidRPr="003B079C">
        <w:t xml:space="preserve"> </w:t>
      </w:r>
      <w:r w:rsidR="00E505E9" w:rsidRPr="003B079C">
        <w:t>Expertise</w:t>
      </w:r>
    </w:p>
    <w:p w14:paraId="46F2F783" w14:textId="2AA18612" w:rsidR="00F56173" w:rsidRPr="003B079C" w:rsidRDefault="00870B70" w:rsidP="00E4654B">
      <w:pPr>
        <w:spacing w:line="480" w:lineRule="auto"/>
      </w:pPr>
      <w:r w:rsidRPr="003B079C">
        <w:t>Before the Joint Committee</w:t>
      </w:r>
      <w:r w:rsidR="00461C48" w:rsidRPr="003B079C">
        <w:t xml:space="preserve"> on the Draft Mental Health Bill (the Joint Committee) in 2004</w:t>
      </w:r>
      <w:r w:rsidRPr="003B079C">
        <w:t xml:space="preserve"> the Institute of Mental</w:t>
      </w:r>
      <w:r w:rsidR="005E293F" w:rsidRPr="003B079C">
        <w:t xml:space="preserve"> Health Act Practitioners</w:t>
      </w:r>
      <w:r w:rsidR="00C877FC" w:rsidRPr="003B079C">
        <w:t xml:space="preserve"> (IMHAP)</w:t>
      </w:r>
      <w:r w:rsidR="005E293F" w:rsidRPr="003B079C">
        <w:t xml:space="preserve"> </w:t>
      </w:r>
      <w:r w:rsidRPr="003B079C">
        <w:t>observed that one of the central requirements for a person to be considered eligible to sit as a Manager was that they should have ‘suitable experience and qualifications</w:t>
      </w:r>
      <w:r w:rsidR="00991A81" w:rsidRPr="003B079C">
        <w:t>.</w:t>
      </w:r>
      <w:r w:rsidRPr="003B079C">
        <w:t>’</w:t>
      </w:r>
      <w:r w:rsidRPr="003B079C">
        <w:rPr>
          <w:vertAlign w:val="superscript"/>
        </w:rPr>
        <w:footnoteReference w:id="60"/>
      </w:r>
      <w:r w:rsidR="00991A81" w:rsidRPr="003B079C">
        <w:t xml:space="preserve">  </w:t>
      </w:r>
      <w:r w:rsidR="00F56173" w:rsidRPr="003B079C">
        <w:t>The government also acknowledged that that the Managers generally do</w:t>
      </w:r>
      <w:r w:rsidR="00710219" w:rsidRPr="003B079C">
        <w:t xml:space="preserve"> </w:t>
      </w:r>
      <w:r w:rsidR="00991A81" w:rsidRPr="003B079C">
        <w:t>possess relevant ‘experience and expertise.’</w:t>
      </w:r>
      <w:r w:rsidRPr="003B079C">
        <w:rPr>
          <w:vertAlign w:val="superscript"/>
        </w:rPr>
        <w:footnoteReference w:id="61"/>
      </w:r>
      <w:r w:rsidRPr="003B079C">
        <w:t xml:space="preserve">  </w:t>
      </w:r>
      <w:r w:rsidR="007150F3" w:rsidRPr="003B079C">
        <w:t>Nevertheless, t</w:t>
      </w:r>
      <w:r w:rsidRPr="003B079C">
        <w:t xml:space="preserve">his has not prevented </w:t>
      </w:r>
      <w:r w:rsidR="00372487" w:rsidRPr="003B079C">
        <w:t>proponents of abolition</w:t>
      </w:r>
      <w:r w:rsidR="00F56173" w:rsidRPr="003B079C">
        <w:t>, including the government,</w:t>
      </w:r>
      <w:r w:rsidRPr="003B079C">
        <w:t xml:space="preserve"> from promoting the </w:t>
      </w:r>
      <w:r w:rsidR="00623FAA" w:rsidRPr="003B079C">
        <w:t xml:space="preserve">assertion </w:t>
      </w:r>
      <w:r w:rsidRPr="003B079C">
        <w:t xml:space="preserve">that ‘the “lay” </w:t>
      </w:r>
      <w:r w:rsidR="000A295E" w:rsidRPr="003B079C">
        <w:t>m</w:t>
      </w:r>
      <w:r w:rsidRPr="003B079C">
        <w:t>anagers usually have no mental health background or experience.’</w:t>
      </w:r>
      <w:r w:rsidRPr="003B079C">
        <w:rPr>
          <w:vertAlign w:val="superscript"/>
        </w:rPr>
        <w:footnoteReference w:id="62"/>
      </w:r>
      <w:r w:rsidRPr="003B079C">
        <w:t xml:space="preserve">  </w:t>
      </w:r>
      <w:r w:rsidR="00F56173" w:rsidRPr="003B079C">
        <w:t>The arguments of b</w:t>
      </w:r>
      <w:r w:rsidR="00991A81" w:rsidRPr="003B079C">
        <w:t xml:space="preserve">oth </w:t>
      </w:r>
      <w:r w:rsidR="00F56173" w:rsidRPr="003B079C">
        <w:t xml:space="preserve">those in favour of and opposed to abolition </w:t>
      </w:r>
      <w:r w:rsidR="00832BD9" w:rsidRPr="003B079C">
        <w:t>can</w:t>
      </w:r>
      <w:r w:rsidR="007150F3" w:rsidRPr="003B079C">
        <w:t>,</w:t>
      </w:r>
      <w:r w:rsidR="00832BD9" w:rsidRPr="003B079C">
        <w:t xml:space="preserve"> at present</w:t>
      </w:r>
      <w:r w:rsidR="007150F3" w:rsidRPr="003B079C">
        <w:t>,</w:t>
      </w:r>
      <w:r w:rsidR="00832BD9" w:rsidRPr="003B079C">
        <w:t xml:space="preserve"> have little status beyond that of conjecture because there are no publicly available statistics detailing the educational and professional background of</w:t>
      </w:r>
      <w:r w:rsidR="00F56173" w:rsidRPr="003B079C">
        <w:t xml:space="preserve"> those sitting as</w:t>
      </w:r>
      <w:r w:rsidR="00832BD9" w:rsidRPr="003B079C">
        <w:t xml:space="preserve"> Managers.  </w:t>
      </w:r>
      <w:r w:rsidR="00991A81" w:rsidRPr="003B079C">
        <w:t>In addition, t</w:t>
      </w:r>
      <w:r w:rsidR="006654C5" w:rsidRPr="003B079C">
        <w:t>he proponents of abolition have never been clear about w</w:t>
      </w:r>
      <w:r w:rsidR="006D7CCC" w:rsidRPr="003B079C">
        <w:t xml:space="preserve">hat </w:t>
      </w:r>
      <w:r w:rsidR="006654C5" w:rsidRPr="003B079C">
        <w:t>they</w:t>
      </w:r>
      <w:r w:rsidR="006D7CCC" w:rsidRPr="003B079C">
        <w:t xml:space="preserve"> mean by expertise.</w:t>
      </w:r>
      <w:r w:rsidR="00991A81" w:rsidRPr="003B079C">
        <w:t xml:space="preserve">  </w:t>
      </w:r>
      <w:r w:rsidR="00B46952" w:rsidRPr="003B079C">
        <w:t xml:space="preserve">The opponents of abolition fare a little better as regards principled justifications for offering an alternative process, </w:t>
      </w:r>
      <w:r w:rsidR="007C45CA" w:rsidRPr="003B079C">
        <w:t>for example, that it is community orientated,</w:t>
      </w:r>
      <w:r w:rsidR="007C45CA" w:rsidRPr="003B079C">
        <w:rPr>
          <w:rStyle w:val="FootnoteReference"/>
        </w:rPr>
        <w:footnoteReference w:id="63"/>
      </w:r>
      <w:r w:rsidR="007C45CA" w:rsidRPr="003B079C">
        <w:t xml:space="preserve"> </w:t>
      </w:r>
      <w:r w:rsidR="00B46952" w:rsidRPr="003B079C">
        <w:t xml:space="preserve">but </w:t>
      </w:r>
      <w:r w:rsidR="00980ED1" w:rsidRPr="003B079C">
        <w:t xml:space="preserve">their claims </w:t>
      </w:r>
      <w:r w:rsidR="00372487" w:rsidRPr="003B079C">
        <w:t xml:space="preserve">are otherwise similarly </w:t>
      </w:r>
      <w:r w:rsidR="00980ED1" w:rsidRPr="003B079C">
        <w:t>underdeveloped and not supported by</w:t>
      </w:r>
      <w:r w:rsidR="00B46952" w:rsidRPr="003B079C">
        <w:t xml:space="preserve"> evidence.</w:t>
      </w:r>
    </w:p>
    <w:p w14:paraId="7D9E4134" w14:textId="11A13390" w:rsidR="007C45CA" w:rsidRPr="003B079C" w:rsidRDefault="000870BA" w:rsidP="00E4654B">
      <w:pPr>
        <w:spacing w:line="480" w:lineRule="auto"/>
      </w:pPr>
      <w:r w:rsidRPr="003B079C">
        <w:t>It is therefore necessary to first discern what is meant by “expertise” in this context.</w:t>
      </w:r>
      <w:r w:rsidR="00980ED1" w:rsidRPr="003B079C">
        <w:t xml:space="preserve">  In short, t</w:t>
      </w:r>
      <w:r w:rsidR="00466DD0" w:rsidRPr="003B079C">
        <w:t>wo conceptions of expertise emerge from the arguments made in the abolition debate.  First, that</w:t>
      </w:r>
      <w:r w:rsidR="006D7CCC" w:rsidRPr="003B079C">
        <w:t xml:space="preserve"> the relevant experience which qualifies a person to sit </w:t>
      </w:r>
      <w:r w:rsidR="00457E57" w:rsidRPr="003B079C">
        <w:t xml:space="preserve">as </w:t>
      </w:r>
      <w:r w:rsidR="006D7CCC" w:rsidRPr="003B079C">
        <w:t>a Manager</w:t>
      </w:r>
      <w:r w:rsidR="006654C5" w:rsidRPr="003B079C">
        <w:t>, when</w:t>
      </w:r>
      <w:r w:rsidR="006D7CCC" w:rsidRPr="003B079C">
        <w:t xml:space="preserve"> coupled with the specific</w:t>
      </w:r>
      <w:r w:rsidR="00073081" w:rsidRPr="003B079C">
        <w:t xml:space="preserve"> training undertaken</w:t>
      </w:r>
      <w:r w:rsidR="00A6271E" w:rsidRPr="003B079C">
        <w:t>,</w:t>
      </w:r>
      <w:r w:rsidR="00073081" w:rsidRPr="003B079C">
        <w:t xml:space="preserve"> and</w:t>
      </w:r>
      <w:r w:rsidR="006D7CCC" w:rsidRPr="003B079C">
        <w:t xml:space="preserve"> experience gained by </w:t>
      </w:r>
      <w:r w:rsidR="00457E57" w:rsidRPr="003B079C">
        <w:t>participating in</w:t>
      </w:r>
      <w:r w:rsidR="006D7CCC" w:rsidRPr="003B079C">
        <w:t xml:space="preserve"> the s.23 process</w:t>
      </w:r>
      <w:r w:rsidR="006654C5" w:rsidRPr="003B079C">
        <w:t>,</w:t>
      </w:r>
      <w:r w:rsidR="006D7CCC" w:rsidRPr="003B079C">
        <w:t xml:space="preserve"> render </w:t>
      </w:r>
      <w:r w:rsidR="00457E57" w:rsidRPr="003B079C">
        <w:t xml:space="preserve">that </w:t>
      </w:r>
      <w:r w:rsidR="006D7CCC" w:rsidRPr="003B079C">
        <w:t>person an expert</w:t>
      </w:r>
      <w:r w:rsidR="00466DD0" w:rsidRPr="003B079C">
        <w:t xml:space="preserve"> in</w:t>
      </w:r>
      <w:r w:rsidR="006D7CCC" w:rsidRPr="003B079C">
        <w:t xml:space="preserve"> that process.</w:t>
      </w:r>
      <w:r w:rsidR="00025A82" w:rsidRPr="003B079C">
        <w:rPr>
          <w:rStyle w:val="FootnoteReference"/>
        </w:rPr>
        <w:footnoteReference w:id="64"/>
      </w:r>
      <w:r w:rsidR="006D7CCC" w:rsidRPr="003B079C">
        <w:t xml:space="preserve">  </w:t>
      </w:r>
      <w:r w:rsidR="007150F3" w:rsidRPr="003B079C">
        <w:t>A</w:t>
      </w:r>
      <w:r w:rsidR="007529D2" w:rsidRPr="003B079C">
        <w:t>lternatively</w:t>
      </w:r>
      <w:r w:rsidR="00466DD0" w:rsidRPr="003B079C">
        <w:t xml:space="preserve">, </w:t>
      </w:r>
      <w:r w:rsidR="006D7CCC" w:rsidRPr="003B079C">
        <w:t xml:space="preserve">that only those specially trained in </w:t>
      </w:r>
      <w:r w:rsidR="00372487" w:rsidRPr="003B079C">
        <w:t xml:space="preserve">specific </w:t>
      </w:r>
      <w:r w:rsidR="006D7CCC" w:rsidRPr="003B079C">
        <w:t>professions</w:t>
      </w:r>
      <w:r w:rsidRPr="003B079C">
        <w:t xml:space="preserve"> (law and medicine)</w:t>
      </w:r>
      <w:r w:rsidR="006D7CCC" w:rsidRPr="003B079C">
        <w:t xml:space="preserve"> possess the necessary expertise to enable them to consider whether discharge is appropriate.</w:t>
      </w:r>
      <w:r w:rsidR="00D914FA" w:rsidRPr="003B079C">
        <w:rPr>
          <w:rStyle w:val="FootnoteReference"/>
        </w:rPr>
        <w:footnoteReference w:id="65"/>
      </w:r>
      <w:r w:rsidR="006D7CCC" w:rsidRPr="003B079C">
        <w:t xml:space="preserve">  </w:t>
      </w:r>
      <w:r w:rsidR="00466DD0" w:rsidRPr="003B079C">
        <w:t>T</w:t>
      </w:r>
      <w:r w:rsidR="006D7CCC" w:rsidRPr="003B079C">
        <w:t>he former</w:t>
      </w:r>
      <w:r w:rsidR="00466DD0" w:rsidRPr="003B079C">
        <w:t xml:space="preserve"> view</w:t>
      </w:r>
      <w:r w:rsidR="006D7CCC" w:rsidRPr="003B079C">
        <w:t xml:space="preserve"> enables non-professionals to participate in the decision-making process, whereas the latter confines </w:t>
      </w:r>
      <w:r w:rsidR="00A6271E" w:rsidRPr="003B079C">
        <w:t>this</w:t>
      </w:r>
      <w:r w:rsidR="006D7CCC" w:rsidRPr="003B079C">
        <w:t xml:space="preserve"> to the professional sphere.  </w:t>
      </w:r>
    </w:p>
    <w:p w14:paraId="6F74590E" w14:textId="07D4D7A3" w:rsidR="00515007" w:rsidRPr="003B079C" w:rsidRDefault="00FD1EDC" w:rsidP="00E4654B">
      <w:pPr>
        <w:pStyle w:val="Heading2"/>
        <w:spacing w:line="480" w:lineRule="auto"/>
      </w:pPr>
      <w:r w:rsidRPr="003B079C">
        <w:t>III(</w:t>
      </w:r>
      <w:r w:rsidR="00905A46" w:rsidRPr="003B079C">
        <w:t>A</w:t>
      </w:r>
      <w:r w:rsidRPr="003B079C">
        <w:t>)</w:t>
      </w:r>
      <w:r w:rsidR="00515007" w:rsidRPr="003B079C">
        <w:t xml:space="preserve"> Expertise in </w:t>
      </w:r>
      <w:r w:rsidRPr="003B079C">
        <w:t>R</w:t>
      </w:r>
      <w:r w:rsidR="00515007" w:rsidRPr="003B079C">
        <w:t xml:space="preserve">isk </w:t>
      </w:r>
      <w:r w:rsidRPr="003B079C">
        <w:t>A</w:t>
      </w:r>
      <w:r w:rsidR="00515007" w:rsidRPr="003B079C">
        <w:t>ssessment</w:t>
      </w:r>
      <w:r w:rsidR="0025224C" w:rsidRPr="003B079C">
        <w:t>?</w:t>
      </w:r>
    </w:p>
    <w:p w14:paraId="4B76BAA6" w14:textId="75DC5BFB" w:rsidR="00A61D01" w:rsidRPr="003B079C" w:rsidRDefault="0006374D" w:rsidP="00E4654B">
      <w:pPr>
        <w:spacing w:line="480" w:lineRule="auto"/>
      </w:pPr>
      <w:r w:rsidRPr="003B079C">
        <w:t>Although abolitionists question the expertise of the Managers</w:t>
      </w:r>
      <w:r w:rsidR="001E21FD" w:rsidRPr="003B079C">
        <w:t xml:space="preserve"> in general</w:t>
      </w:r>
      <w:r w:rsidRPr="003B079C">
        <w:t>,</w:t>
      </w:r>
      <w:r w:rsidR="00372487" w:rsidRPr="003B079C">
        <w:t xml:space="preserve"> which, as I have said, is difficult to assess in the absence of evidential support,</w:t>
      </w:r>
      <w:r w:rsidRPr="003B079C">
        <w:t xml:space="preserve"> their specific concern</w:t>
      </w:r>
      <w:r w:rsidR="00372487" w:rsidRPr="003B079C">
        <w:t xml:space="preserve"> regarding expertise</w:t>
      </w:r>
      <w:r w:rsidRPr="003B079C">
        <w:t xml:space="preserve"> is directed towards</w:t>
      </w:r>
      <w:r w:rsidR="00372487" w:rsidRPr="003B079C">
        <w:t xml:space="preserve"> </w:t>
      </w:r>
      <w:r w:rsidRPr="003B079C">
        <w:t>whether</w:t>
      </w:r>
      <w:r w:rsidR="006749C9" w:rsidRPr="003B079C">
        <w:t xml:space="preserve"> the</w:t>
      </w:r>
      <w:r w:rsidR="00372487" w:rsidRPr="003B079C">
        <w:t xml:space="preserve"> Managers</w:t>
      </w:r>
      <w:r w:rsidR="006749C9" w:rsidRPr="003B079C">
        <w:t xml:space="preserve"> are </w:t>
      </w:r>
      <w:r w:rsidRPr="003B079C">
        <w:t xml:space="preserve">capable of properly assessing </w:t>
      </w:r>
      <w:r w:rsidR="006749C9" w:rsidRPr="003B079C">
        <w:t>risk.</w:t>
      </w:r>
      <w:r w:rsidR="00E505E9" w:rsidRPr="003B079C">
        <w:t xml:space="preserve">  </w:t>
      </w:r>
      <w:r w:rsidR="00A61D01" w:rsidRPr="003B079C">
        <w:t>The germ of</w:t>
      </w:r>
      <w:r w:rsidR="004266BC" w:rsidRPr="003B079C">
        <w:t xml:space="preserve"> this claim</w:t>
      </w:r>
      <w:r w:rsidR="00A61D01" w:rsidRPr="003B079C">
        <w:t xml:space="preserve"> is found in the events surrounding Grant’s </w:t>
      </w:r>
      <w:r w:rsidR="004266BC" w:rsidRPr="003B079C">
        <w:t xml:space="preserve">aforementioned </w:t>
      </w:r>
      <w:r w:rsidR="00A61D01" w:rsidRPr="003B079C">
        <w:t>release in 1996.</w:t>
      </w:r>
      <w:r w:rsidR="00A61D01" w:rsidRPr="003B079C">
        <w:rPr>
          <w:vertAlign w:val="superscript"/>
        </w:rPr>
        <w:footnoteReference w:id="66"/>
      </w:r>
      <w:r w:rsidR="00A61D01" w:rsidRPr="003B079C">
        <w:t xml:space="preserve">  At the time</w:t>
      </w:r>
      <w:r w:rsidR="00372487" w:rsidRPr="003B079C">
        <w:t>,</w:t>
      </w:r>
      <w:r w:rsidR="00A61D01" w:rsidRPr="003B079C">
        <w:t xml:space="preserve"> the criticism directed at the Managers was especially concerned with their failure to keep the public safe from harm due to a purported inability to assess risk.</w:t>
      </w:r>
      <w:r w:rsidR="00A61D01" w:rsidRPr="003B079C">
        <w:rPr>
          <w:vertAlign w:val="superscript"/>
        </w:rPr>
        <w:footnoteReference w:id="67"/>
      </w:r>
      <w:r w:rsidR="00A61D01" w:rsidRPr="003B079C">
        <w:t xml:space="preserve">  The implication was that, whereas psychiatrists and lawyers are regularly required to make an assessment of risk as part of their professional duties, and so have extensive experience in this area, the Managers are not</w:t>
      </w:r>
      <w:r w:rsidR="004266BC" w:rsidRPr="003B079C">
        <w:t>,</w:t>
      </w:r>
      <w:r w:rsidR="00A61D01" w:rsidRPr="003B079C">
        <w:t xml:space="preserve"> and so do not.</w:t>
      </w:r>
    </w:p>
    <w:p w14:paraId="3770ABE0" w14:textId="5BDB0007" w:rsidR="00BC7992" w:rsidRPr="003B079C" w:rsidRDefault="001E21FD" w:rsidP="00A61D01">
      <w:pPr>
        <w:spacing w:line="480" w:lineRule="auto"/>
      </w:pPr>
      <w:r w:rsidRPr="003B079C">
        <w:t>A</w:t>
      </w:r>
      <w:r w:rsidR="00030163" w:rsidRPr="003B079C">
        <w:t xml:space="preserve"> requirement that</w:t>
      </w:r>
      <w:r w:rsidR="005E293F" w:rsidRPr="003B079C">
        <w:t xml:space="preserve"> must be</w:t>
      </w:r>
      <w:r w:rsidR="00E04D88" w:rsidRPr="003B079C">
        <w:t xml:space="preserve"> met when considering whether</w:t>
      </w:r>
      <w:r w:rsidR="005E293F" w:rsidRPr="003B079C">
        <w:t xml:space="preserve"> to continue compuls</w:t>
      </w:r>
      <w:r w:rsidR="00030163" w:rsidRPr="003B079C">
        <w:t>ory care</w:t>
      </w:r>
      <w:r w:rsidR="005E293F" w:rsidRPr="003B079C">
        <w:t xml:space="preserve"> is the risk of harm </w:t>
      </w:r>
      <w:r w:rsidRPr="003B079C">
        <w:t xml:space="preserve">that </w:t>
      </w:r>
      <w:r w:rsidR="005E293F" w:rsidRPr="003B079C">
        <w:t>a person might pose to themselves or others.</w:t>
      </w:r>
      <w:r w:rsidR="005E293F" w:rsidRPr="003B079C">
        <w:rPr>
          <w:vertAlign w:val="superscript"/>
        </w:rPr>
        <w:footnoteReference w:id="68"/>
      </w:r>
      <w:r w:rsidR="005E293F" w:rsidRPr="003B079C">
        <w:t xml:space="preserve">  As such, the ability to assess risk is an integral, though conceptually challenging,</w:t>
      </w:r>
      <w:r w:rsidR="005E293F" w:rsidRPr="003B079C">
        <w:rPr>
          <w:vertAlign w:val="superscript"/>
        </w:rPr>
        <w:footnoteReference w:id="69"/>
      </w:r>
      <w:r w:rsidR="005E293F" w:rsidRPr="003B079C">
        <w:t xml:space="preserve"> component of </w:t>
      </w:r>
      <w:r w:rsidR="00E04D88" w:rsidRPr="003B079C">
        <w:t>the</w:t>
      </w:r>
      <w:r w:rsidR="005E293F" w:rsidRPr="003B079C">
        <w:t xml:space="preserve"> review process.  </w:t>
      </w:r>
      <w:r w:rsidR="00BC7992" w:rsidRPr="003B079C">
        <w:t>The question of asse</w:t>
      </w:r>
      <w:r w:rsidR="00A61D01" w:rsidRPr="003B079C">
        <w:t xml:space="preserve">ssing the </w:t>
      </w:r>
      <w:r w:rsidR="00CF5E6C" w:rsidRPr="003B079C">
        <w:t xml:space="preserve">Managers’ ability to gauge the </w:t>
      </w:r>
      <w:r w:rsidR="00A61D01" w:rsidRPr="003B079C">
        <w:t xml:space="preserve">risk of harm is made </w:t>
      </w:r>
      <w:r w:rsidR="00BC7992" w:rsidRPr="003B079C">
        <w:t>more complicated by the categories of persons who can be reviewed by the Managers.  On the one hand, the Managers are not permitted to review the compulsory care of those under s.37/41 restriction orders, only the Tribunal may do this.</w:t>
      </w:r>
      <w:r w:rsidR="00BC7992" w:rsidRPr="003B079C">
        <w:rPr>
          <w:vertAlign w:val="superscript"/>
        </w:rPr>
        <w:footnoteReference w:id="70"/>
      </w:r>
      <w:r w:rsidR="00BC7992" w:rsidRPr="003B079C">
        <w:t xml:space="preserve">  These orders are placed on </w:t>
      </w:r>
      <w:r w:rsidR="00372487" w:rsidRPr="003B079C">
        <w:t xml:space="preserve">particular </w:t>
      </w:r>
      <w:r w:rsidR="00BC7992" w:rsidRPr="003B079C">
        <w:t>individuals who come to the mental health system via the criminal courts</w:t>
      </w:r>
      <w:r w:rsidR="00CF5E6C" w:rsidRPr="003B079C">
        <w:t xml:space="preserve">.  </w:t>
      </w:r>
      <w:r w:rsidRPr="003B079C">
        <w:t>However, t</w:t>
      </w:r>
      <w:r w:rsidR="00BC7992" w:rsidRPr="003B079C">
        <w:t>his does not mean that the Managers are prevented from reviewing the compulsory care of individuals who are claimed to be “dangerous.”  An individual subject to compulsory care</w:t>
      </w:r>
      <w:r w:rsidR="00CF5E6C" w:rsidRPr="003B079C">
        <w:t xml:space="preserve"> under s.3 </w:t>
      </w:r>
      <w:r w:rsidR="00372487" w:rsidRPr="003B079C">
        <w:t xml:space="preserve">MHA 1983 </w:t>
      </w:r>
      <w:r w:rsidR="00CF5E6C" w:rsidRPr="003B079C">
        <w:t>for example</w:t>
      </w:r>
      <w:r w:rsidR="00BC7992" w:rsidRPr="003B079C">
        <w:t>, can be discharged by their Nearest Relative.</w:t>
      </w:r>
      <w:r w:rsidR="00BC7992" w:rsidRPr="003B079C">
        <w:rPr>
          <w:vertAlign w:val="superscript"/>
        </w:rPr>
        <w:footnoteReference w:id="71"/>
      </w:r>
      <w:r w:rsidR="00BC7992" w:rsidRPr="003B079C">
        <w:t xml:space="preserve">  To prevent this, the Responsible Clinician can issue a</w:t>
      </w:r>
      <w:r w:rsidR="00A61D01" w:rsidRPr="003B079C">
        <w:t>n</w:t>
      </w:r>
      <w:r w:rsidR="00BC7992" w:rsidRPr="003B079C">
        <w:t xml:space="preserve"> s.25 barring order indicating that the patient would pose a danger (</w:t>
      </w:r>
      <w:r w:rsidR="00CF5E6C" w:rsidRPr="003B079C">
        <w:t xml:space="preserve">a higher threshold </w:t>
      </w:r>
      <w:r w:rsidR="00F2721A" w:rsidRPr="003B079C">
        <w:t>than a</w:t>
      </w:r>
      <w:r w:rsidR="00BC7992" w:rsidRPr="003B079C">
        <w:t xml:space="preserve"> risk) to themselves or others.</w:t>
      </w:r>
      <w:r w:rsidR="00B36F3B" w:rsidRPr="003B079C">
        <w:rPr>
          <w:rStyle w:val="FootnoteReference"/>
        </w:rPr>
        <w:footnoteReference w:id="72"/>
      </w:r>
      <w:r w:rsidR="00BC7992" w:rsidRPr="003B079C">
        <w:t xml:space="preserve">  The appropriateness of this order</w:t>
      </w:r>
      <w:r w:rsidRPr="003B079C">
        <w:t>, and thus the claim of dangerousness,</w:t>
      </w:r>
      <w:r w:rsidR="00BC7992" w:rsidRPr="003B079C">
        <w:t xml:space="preserve"> may then be reviewed by the Managers.</w:t>
      </w:r>
      <w:r w:rsidR="00BC7992" w:rsidRPr="003B079C">
        <w:rPr>
          <w:rStyle w:val="FootnoteReference"/>
        </w:rPr>
        <w:footnoteReference w:id="73"/>
      </w:r>
      <w:r w:rsidR="00BC7992" w:rsidRPr="003B079C">
        <w:t xml:space="preserve">  Similarly, the Managers may also review the compulsory care of individuals who came into the mental health system </w:t>
      </w:r>
      <w:r w:rsidR="00CF5E6C" w:rsidRPr="003B079C">
        <w:t xml:space="preserve">from the criminal justice system </w:t>
      </w:r>
      <w:r w:rsidR="00BC7992" w:rsidRPr="003B079C">
        <w:t xml:space="preserve">via </w:t>
      </w:r>
      <w:r w:rsidR="009C3E43" w:rsidRPr="003B079C">
        <w:t>an</w:t>
      </w:r>
      <w:r w:rsidR="00A61D01" w:rsidRPr="003B079C">
        <w:t xml:space="preserve"> s.37 </w:t>
      </w:r>
      <w:r w:rsidR="00BC7992" w:rsidRPr="003B079C">
        <w:t>order.</w:t>
      </w:r>
      <w:r w:rsidR="00BC7992" w:rsidRPr="003B079C">
        <w:rPr>
          <w:vertAlign w:val="superscript"/>
        </w:rPr>
        <w:footnoteReference w:id="74"/>
      </w:r>
      <w:r w:rsidR="00A61D01" w:rsidRPr="003B079C">
        <w:t xml:space="preserve">  Thus, the Managers may encounter cases involving similar </w:t>
      </w:r>
      <w:r w:rsidR="00CF5E6C" w:rsidRPr="003B079C">
        <w:t xml:space="preserve">individuals </w:t>
      </w:r>
      <w:r w:rsidR="00A61D01" w:rsidRPr="003B079C">
        <w:t xml:space="preserve">to those considered by the Tribunal.  On the one hand this demonstrates the importance of considering whether the Managers can properly assess risk, while on the other it shows that this aspect of the review mechanisms available under the </w:t>
      </w:r>
      <w:r w:rsidR="00CF5E6C" w:rsidRPr="003B079C">
        <w:t xml:space="preserve"> MHA</w:t>
      </w:r>
      <w:r w:rsidR="00A61D01" w:rsidRPr="003B079C">
        <w:t xml:space="preserve">1983 </w:t>
      </w:r>
      <w:r w:rsidR="00CF5E6C" w:rsidRPr="003B079C">
        <w:t>are somewhat</w:t>
      </w:r>
      <w:r w:rsidR="00A61D01" w:rsidRPr="003B079C">
        <w:t xml:space="preserve"> incoherent.</w:t>
      </w:r>
    </w:p>
    <w:p w14:paraId="7EC7A443" w14:textId="7B9CE6C1" w:rsidR="00F57576" w:rsidRPr="003B079C" w:rsidRDefault="001E21FD" w:rsidP="00E4654B">
      <w:pPr>
        <w:spacing w:line="480" w:lineRule="auto"/>
      </w:pPr>
      <w:r w:rsidRPr="003B079C">
        <w:t xml:space="preserve">Of course, fixating on risk in the abstract may be inappropriate.  </w:t>
      </w:r>
      <w:r w:rsidR="00214C2C" w:rsidRPr="003B079C">
        <w:t xml:space="preserve">Speaking before the Joint Committee, </w:t>
      </w:r>
      <w:r w:rsidR="005E293F" w:rsidRPr="003B079C">
        <w:t>IMHAP</w:t>
      </w:r>
      <w:r w:rsidR="00214C2C" w:rsidRPr="003B079C">
        <w:t xml:space="preserve"> argued </w:t>
      </w:r>
      <w:r w:rsidR="000C405D" w:rsidRPr="003B079C">
        <w:t>that focussing on the</w:t>
      </w:r>
      <w:r w:rsidR="00E505E9" w:rsidRPr="003B079C">
        <w:t xml:space="preserve"> </w:t>
      </w:r>
      <w:r w:rsidR="005E293F" w:rsidRPr="003B079C">
        <w:t>M</w:t>
      </w:r>
      <w:r w:rsidR="00E505E9" w:rsidRPr="003B079C">
        <w:t>anagers</w:t>
      </w:r>
      <w:r w:rsidR="00156B03" w:rsidRPr="003B079C">
        <w:t>’ abilit</w:t>
      </w:r>
      <w:r w:rsidR="0076557B" w:rsidRPr="003B079C">
        <w:t>y to assess risk</w:t>
      </w:r>
      <w:r w:rsidR="000C405D" w:rsidRPr="003B079C">
        <w:t xml:space="preserve"> was </w:t>
      </w:r>
      <w:r w:rsidRPr="003B079C">
        <w:t>wrong</w:t>
      </w:r>
      <w:r w:rsidR="000C405D" w:rsidRPr="003B079C">
        <w:t>, because risk could never be eliminated</w:t>
      </w:r>
      <w:r w:rsidR="00372487" w:rsidRPr="003B079C">
        <w:t>,</w:t>
      </w:r>
      <w:r w:rsidRPr="003B079C">
        <w:t xml:space="preserve"> ‘no amount of new legislation can improve foresight.’</w:t>
      </w:r>
      <w:r w:rsidRPr="003B079C">
        <w:rPr>
          <w:vertAlign w:val="superscript"/>
        </w:rPr>
        <w:footnoteReference w:id="75"/>
      </w:r>
      <w:r w:rsidRPr="003B079C">
        <w:t xml:space="preserve">  Instead, IMHAP called for a focus on the benefits of multiple review routes.  They argued</w:t>
      </w:r>
      <w:r w:rsidR="000C405D" w:rsidRPr="003B079C">
        <w:t xml:space="preserve"> that the impact on risk to others </w:t>
      </w:r>
      <w:r w:rsidRPr="003B079C">
        <w:t>from</w:t>
      </w:r>
      <w:r w:rsidR="000C405D" w:rsidRPr="003B079C">
        <w:t xml:space="preserve"> eliminating the Managers</w:t>
      </w:r>
      <w:r w:rsidRPr="003B079C">
        <w:t>’ powers</w:t>
      </w:r>
      <w:r w:rsidR="000C405D" w:rsidRPr="003B079C">
        <w:t xml:space="preserve"> would </w:t>
      </w:r>
      <w:r w:rsidR="00372487" w:rsidRPr="003B079C">
        <w:t xml:space="preserve">be </w:t>
      </w:r>
      <w:r w:rsidR="000C405D" w:rsidRPr="003B079C">
        <w:t xml:space="preserve">‘minimal’, and would be ‘outweighed by the protection afforded to citizens’, </w:t>
      </w:r>
      <w:r w:rsidR="00372487" w:rsidRPr="003B079C">
        <w:t xml:space="preserve">that is, </w:t>
      </w:r>
      <w:r w:rsidR="000C405D" w:rsidRPr="003B079C">
        <w:t>the reduction of the risk that the rights</w:t>
      </w:r>
      <w:r w:rsidR="00372487" w:rsidRPr="003B079C">
        <w:t xml:space="preserve"> of those subject to compulsory care</w:t>
      </w:r>
      <w:r w:rsidR="000C405D" w:rsidRPr="003B079C">
        <w:t xml:space="preserve"> would be overridden.</w:t>
      </w:r>
      <w:r w:rsidR="000C405D" w:rsidRPr="003B079C">
        <w:rPr>
          <w:rStyle w:val="FootnoteReference"/>
        </w:rPr>
        <w:footnoteReference w:id="76"/>
      </w:r>
      <w:r w:rsidR="00E505E9" w:rsidRPr="003B079C">
        <w:t xml:space="preserve">  In any event,</w:t>
      </w:r>
      <w:r w:rsidR="005E293F" w:rsidRPr="003B079C">
        <w:t xml:space="preserve"> </w:t>
      </w:r>
      <w:r w:rsidR="00BF5BCD" w:rsidRPr="003B079C">
        <w:t>i</w:t>
      </w:r>
      <w:r w:rsidR="00F57576" w:rsidRPr="003B079C">
        <w:t>n a rebuttal to the contention that Managers were poor judges of risk</w:t>
      </w:r>
      <w:r w:rsidR="001F6633" w:rsidRPr="003B079C">
        <w:t>,</w:t>
      </w:r>
      <w:r w:rsidR="00F57576" w:rsidRPr="003B079C">
        <w:t xml:space="preserve"> IMHAP argued that the Managers ‘have an excellent record in terms of risk when compared to consultants or patients’ responsible medical officers and Mental Health Review Tribunals.</w:t>
      </w:r>
      <w:r w:rsidR="002F2468" w:rsidRPr="003B079C">
        <w:t>’</w:t>
      </w:r>
      <w:r w:rsidR="00F57576" w:rsidRPr="003B079C">
        <w:rPr>
          <w:vertAlign w:val="superscript"/>
        </w:rPr>
        <w:footnoteReference w:id="77"/>
      </w:r>
      <w:r w:rsidR="00F57576" w:rsidRPr="003B079C">
        <w:t xml:space="preserve">  </w:t>
      </w:r>
      <w:r w:rsidR="002F2468" w:rsidRPr="003B079C">
        <w:t>Unfortunately</w:t>
      </w:r>
      <w:r w:rsidR="001F6633" w:rsidRPr="003B079C">
        <w:t>,</w:t>
      </w:r>
      <w:r w:rsidR="002F2468" w:rsidRPr="003B079C">
        <w:t xml:space="preserve"> little evidence exists to justify either the contention that the Managers represent a significantly riskier safeguarding process than the alternatives, or that they are less risky.</w:t>
      </w:r>
    </w:p>
    <w:p w14:paraId="764176FE" w14:textId="77777777" w:rsidR="00177837" w:rsidRPr="003B079C" w:rsidRDefault="00177837" w:rsidP="00E4654B">
      <w:pPr>
        <w:spacing w:line="480" w:lineRule="auto"/>
      </w:pPr>
      <w:r w:rsidRPr="003B079C">
        <w:t>We might also consider that, if experience in assessing risk is valued, then experience of conducting reviews may improve the ability of a reviewer to assess risk.  The case law supports this position, suggesting that the Managers’ value lies partly in their experience of conducting reviews.  The courts have indicated that because the task of the Tribunal, and by implication that of the Managers, is of a relatively repetitive nature, this will breed a degree of expertise as regards ‘the nature of [the] task.’</w:t>
      </w:r>
      <w:r w:rsidRPr="003B079C">
        <w:rPr>
          <w:rStyle w:val="FootnoteReference"/>
        </w:rPr>
        <w:footnoteReference w:id="78"/>
      </w:r>
      <w:r w:rsidRPr="003B079C">
        <w:t xml:space="preserve">  That is, once a decision-maker grasps the requirements of the review, they are able to participate in the process in a way that ensures the care team are made to appropriately justify their decision to continue compulsory care.  Consequently, it can be argued that reviewers gain competence to independently weigh the expert evidence put to them and the question of risk against the legal criteria by virtue of their on-going experience of conducting reviews.</w:t>
      </w:r>
      <w:r w:rsidRPr="003B079C">
        <w:rPr>
          <w:rStyle w:val="FootnoteReference"/>
        </w:rPr>
        <w:footnoteReference w:id="79"/>
      </w:r>
      <w:r w:rsidRPr="003B079C">
        <w:t xml:space="preserve">  </w:t>
      </w:r>
    </w:p>
    <w:p w14:paraId="55273C77" w14:textId="5C6601E8" w:rsidR="00E505E9" w:rsidRPr="003B079C" w:rsidRDefault="00177837" w:rsidP="00E4654B">
      <w:pPr>
        <w:spacing w:line="480" w:lineRule="auto"/>
      </w:pPr>
      <w:r w:rsidRPr="003B079C">
        <w:t xml:space="preserve">Although these arguments do not necessarily support the view that Managers are the </w:t>
      </w:r>
      <w:r w:rsidRPr="003B079C">
        <w:rPr>
          <w:i/>
        </w:rPr>
        <w:t xml:space="preserve">best </w:t>
      </w:r>
      <w:r w:rsidRPr="003B079C">
        <w:t>equipped people to make these decisions, it calls into question the abolitionists’ claim that specific professional expertise is required to review decisions.</w:t>
      </w:r>
      <w:r w:rsidRPr="003B079C">
        <w:rPr>
          <w:rStyle w:val="FootnoteReference"/>
        </w:rPr>
        <w:footnoteReference w:id="80"/>
      </w:r>
      <w:r w:rsidRPr="003B079C">
        <w:t xml:space="preserve">  </w:t>
      </w:r>
      <w:r w:rsidR="002F2468" w:rsidRPr="003B079C">
        <w:t>I</w:t>
      </w:r>
      <w:r w:rsidR="00F57576" w:rsidRPr="003B079C">
        <w:t xml:space="preserve">n the absence of empirical evidence to enable a comparison of the ability of, for example, the Tribunal and the Managers to assess risk, </w:t>
      </w:r>
      <w:r w:rsidR="002F2468" w:rsidRPr="003B079C">
        <w:t>it is not</w:t>
      </w:r>
      <w:r w:rsidRPr="003B079C">
        <w:t xml:space="preserve"> presently </w:t>
      </w:r>
      <w:r w:rsidR="002F2468" w:rsidRPr="003B079C">
        <w:t>possible to justify the position of either side.</w:t>
      </w:r>
      <w:r w:rsidR="00F57576" w:rsidRPr="003B079C">
        <w:t xml:space="preserve">  </w:t>
      </w:r>
      <w:r w:rsidR="002F2468" w:rsidRPr="003B079C">
        <w:t>W</w:t>
      </w:r>
      <w:r w:rsidR="00E505E9" w:rsidRPr="003B079C">
        <w:t xml:space="preserve">hile each might have some </w:t>
      </w:r>
      <w:r w:rsidR="00655293" w:rsidRPr="003B079C">
        <w:t>anecdotal evidence based on</w:t>
      </w:r>
      <w:r w:rsidR="00E04D88" w:rsidRPr="003B079C">
        <w:t xml:space="preserve"> their individual</w:t>
      </w:r>
      <w:r w:rsidR="00655293" w:rsidRPr="003B079C">
        <w:t xml:space="preserve"> </w:t>
      </w:r>
      <w:r w:rsidR="00E505E9" w:rsidRPr="003B079C">
        <w:t>experience of how effectively they have assessed risk</w:t>
      </w:r>
      <w:r w:rsidR="00F3084D" w:rsidRPr="003B079C">
        <w:t xml:space="preserve"> in the past</w:t>
      </w:r>
      <w:r w:rsidR="00F57576" w:rsidRPr="003B079C">
        <w:t>,</w:t>
      </w:r>
      <w:r w:rsidR="00655293" w:rsidRPr="003B079C">
        <w:t xml:space="preserve"> no comprehensive picture exists</w:t>
      </w:r>
      <w:r w:rsidR="00E505E9" w:rsidRPr="003B079C">
        <w:t>.</w:t>
      </w:r>
      <w:r w:rsidR="0025224C" w:rsidRPr="003B079C">
        <w:t xml:space="preserve"> </w:t>
      </w:r>
    </w:p>
    <w:p w14:paraId="3EDDA8E2" w14:textId="5064169E" w:rsidR="00A72F18" w:rsidRPr="003B079C" w:rsidRDefault="00FD1EDC" w:rsidP="00E4654B">
      <w:pPr>
        <w:pStyle w:val="Heading2"/>
        <w:spacing w:line="480" w:lineRule="auto"/>
      </w:pPr>
      <w:r w:rsidRPr="003B079C">
        <w:t>(III)(</w:t>
      </w:r>
      <w:r w:rsidR="001E21FD" w:rsidRPr="003B079C">
        <w:t>B</w:t>
      </w:r>
      <w:r w:rsidRPr="003B079C">
        <w:t xml:space="preserve">) </w:t>
      </w:r>
      <w:r w:rsidR="00A72F18" w:rsidRPr="003B079C">
        <w:t xml:space="preserve">A </w:t>
      </w:r>
      <w:r w:rsidRPr="003B079C">
        <w:t>M</w:t>
      </w:r>
      <w:r w:rsidR="00A72F18" w:rsidRPr="003B079C">
        <w:t xml:space="preserve">ore </w:t>
      </w:r>
      <w:r w:rsidRPr="003B079C">
        <w:t>E</w:t>
      </w:r>
      <w:r w:rsidR="00A72F18" w:rsidRPr="003B079C">
        <w:t xml:space="preserve">xpert </w:t>
      </w:r>
      <w:r w:rsidRPr="003B079C">
        <w:t>T</w:t>
      </w:r>
      <w:r w:rsidR="00A72F18" w:rsidRPr="003B079C">
        <w:t>ribunal?</w:t>
      </w:r>
    </w:p>
    <w:p w14:paraId="6592EE0D" w14:textId="38E447F6" w:rsidR="0066051E" w:rsidRPr="003B079C" w:rsidRDefault="006C58C7" w:rsidP="00E4654B">
      <w:pPr>
        <w:spacing w:line="480" w:lineRule="auto"/>
      </w:pPr>
      <w:r w:rsidRPr="003B079C">
        <w:t>The argument</w:t>
      </w:r>
      <w:r w:rsidR="00A72F18" w:rsidRPr="003B079C">
        <w:t xml:space="preserve"> in the first part of this section</w:t>
      </w:r>
      <w:r w:rsidRPr="003B079C">
        <w:t xml:space="preserve"> </w:t>
      </w:r>
      <w:r w:rsidR="00D15F90" w:rsidRPr="003B079C">
        <w:t xml:space="preserve">has </w:t>
      </w:r>
      <w:r w:rsidR="00A72F18" w:rsidRPr="003B079C">
        <w:t>show</w:t>
      </w:r>
      <w:r w:rsidR="00D15F90" w:rsidRPr="003B079C">
        <w:t>n</w:t>
      </w:r>
      <w:r w:rsidRPr="003B079C">
        <w:t xml:space="preserve"> </w:t>
      </w:r>
      <w:r w:rsidR="00A72F18" w:rsidRPr="003B079C">
        <w:t>that there is</w:t>
      </w:r>
      <w:r w:rsidR="0066051E" w:rsidRPr="003B079C">
        <w:t xml:space="preserve"> currently</w:t>
      </w:r>
      <w:r w:rsidR="00A72F18" w:rsidRPr="003B079C">
        <w:t xml:space="preserve"> no way to distinguish between the risk-assessment abilities of the professionals, the Tribunal </w:t>
      </w:r>
      <w:r w:rsidR="001F6633" w:rsidRPr="003B079C">
        <w:t>or</w:t>
      </w:r>
      <w:r w:rsidR="00A72F18" w:rsidRPr="003B079C">
        <w:t xml:space="preserve"> the Managers.  </w:t>
      </w:r>
      <w:r w:rsidR="00C075E2" w:rsidRPr="003B079C">
        <w:t xml:space="preserve">A separate abolitionist contention is that the Tribunal is more expert.  </w:t>
      </w:r>
      <w:r w:rsidR="0066051E" w:rsidRPr="003B079C">
        <w:t>In demonstrating that this</w:t>
      </w:r>
      <w:r w:rsidR="00C075E2" w:rsidRPr="003B079C">
        <w:t xml:space="preserve"> argument is logically flawed</w:t>
      </w:r>
      <w:r w:rsidR="0066051E" w:rsidRPr="003B079C">
        <w:t>, I will show that conceptually there is, at minimum, the potential for the Managers to possess the requisite expertise to conduct reviews of compulsory care under the MHA 1983</w:t>
      </w:r>
      <w:r w:rsidRPr="003B079C">
        <w:t>.</w:t>
      </w:r>
    </w:p>
    <w:p w14:paraId="4948BA28" w14:textId="28A96D4E" w:rsidR="00055DEF" w:rsidRPr="003B079C" w:rsidRDefault="0066051E" w:rsidP="00E4654B">
      <w:pPr>
        <w:spacing w:line="480" w:lineRule="auto"/>
      </w:pPr>
      <w:r w:rsidRPr="003B079C">
        <w:t xml:space="preserve">As I noted at the start of </w:t>
      </w:r>
      <w:r w:rsidR="00905A46" w:rsidRPr="003B079C">
        <w:t>section III</w:t>
      </w:r>
      <w:r w:rsidRPr="003B079C">
        <w:t>, abolitionists argue</w:t>
      </w:r>
      <w:r w:rsidR="006C58C7" w:rsidRPr="003B079C">
        <w:t xml:space="preserve"> that </w:t>
      </w:r>
      <w:r w:rsidR="000C079D" w:rsidRPr="003B079C">
        <w:t>the</w:t>
      </w:r>
      <w:r w:rsidR="006C58C7" w:rsidRPr="003B079C">
        <w:t xml:space="preserve"> Managers lack the expertise to challenge the clinician authorising detention because they are not themselves </w:t>
      </w:r>
      <w:r w:rsidRPr="003B079C">
        <w:t xml:space="preserve">experts in the field of mental health medicine; they are not </w:t>
      </w:r>
      <w:r w:rsidR="006C58C7" w:rsidRPr="003B079C">
        <w:t>clinicians</w:t>
      </w:r>
      <w:r w:rsidRPr="003B079C">
        <w:t>.</w:t>
      </w:r>
      <w:r w:rsidR="006C58C7" w:rsidRPr="003B079C">
        <w:rPr>
          <w:vertAlign w:val="superscript"/>
        </w:rPr>
        <w:footnoteReference w:id="81"/>
      </w:r>
      <w:r w:rsidR="006C58C7" w:rsidRPr="003B079C">
        <w:t xml:space="preserve"> </w:t>
      </w:r>
      <w:r w:rsidRPr="003B079C">
        <w:t xml:space="preserve"> This argument overlooks the composition of the Tribunal which, although there have been changes in the scope of the powers accorded to it, has remained stable</w:t>
      </w:r>
      <w:r w:rsidR="001F6633" w:rsidRPr="003B079C">
        <w:t xml:space="preserve"> in terms  of its composition</w:t>
      </w:r>
      <w:r w:rsidRPr="003B079C">
        <w:t xml:space="preserve"> since it was established under the Mental Health Act 1959 (MHA 1959).</w:t>
      </w:r>
      <w:r w:rsidRPr="003B079C">
        <w:rPr>
          <w:rStyle w:val="FootnoteReference"/>
        </w:rPr>
        <w:footnoteReference w:id="82"/>
      </w:r>
      <w:r w:rsidRPr="003B079C">
        <w:t xml:space="preserve">  If medical expertise is a prerequisite for effective review, </w:t>
      </w:r>
      <w:r w:rsidR="006C58C7" w:rsidRPr="003B079C">
        <w:t xml:space="preserve">this must also disqualify the legal and third member of the </w:t>
      </w:r>
      <w:r w:rsidR="000C079D" w:rsidRPr="003B079C">
        <w:t>T</w:t>
      </w:r>
      <w:r w:rsidR="006C58C7" w:rsidRPr="003B079C">
        <w:t xml:space="preserve">ribunal from interrogating the evidence presented by the </w:t>
      </w:r>
      <w:r w:rsidRPr="003B079C">
        <w:t xml:space="preserve">Responsible Clinician </w:t>
      </w:r>
      <w:r w:rsidR="006C58C7" w:rsidRPr="003B079C">
        <w:t>(and, arguably, the other professional report authors).</w:t>
      </w:r>
      <w:r w:rsidR="00FE3579" w:rsidRPr="003B079C">
        <w:rPr>
          <w:rStyle w:val="FootnoteReference"/>
        </w:rPr>
        <w:footnoteReference w:id="83"/>
      </w:r>
      <w:r w:rsidR="006C58C7" w:rsidRPr="003B079C">
        <w:t xml:space="preserve">  </w:t>
      </w:r>
    </w:p>
    <w:p w14:paraId="2342B6FB" w14:textId="09C09493" w:rsidR="006C58C7" w:rsidRPr="003B079C" w:rsidRDefault="00055DEF" w:rsidP="00E4654B">
      <w:pPr>
        <w:spacing w:line="480" w:lineRule="auto"/>
      </w:pPr>
      <w:r w:rsidRPr="003B079C">
        <w:t>The abolitionists are thus seeking to subscribe to two contradictory propositions</w:t>
      </w:r>
      <w:r w:rsidR="00905A46" w:rsidRPr="003B079C">
        <w:t>,</w:t>
      </w:r>
      <w:r w:rsidRPr="003B079C">
        <w:t xml:space="preserve"> </w:t>
      </w:r>
      <w:r w:rsidR="006D5E6D" w:rsidRPr="003B079C">
        <w:t>only</w:t>
      </w:r>
      <w:r w:rsidR="006C58C7" w:rsidRPr="003B079C">
        <w:t xml:space="preserve"> one of</w:t>
      </w:r>
      <w:r w:rsidR="00424895" w:rsidRPr="003B079C">
        <w:t xml:space="preserve"> which</w:t>
      </w:r>
      <w:r w:rsidR="006C58C7" w:rsidRPr="003B079C">
        <w:t xml:space="preserve"> can be true.  First, each member of </w:t>
      </w:r>
      <w:r w:rsidR="004E0C07" w:rsidRPr="003B079C">
        <w:t>a tribunal</w:t>
      </w:r>
      <w:r w:rsidR="006C58C7" w:rsidRPr="003B079C">
        <w:t xml:space="preserve"> </w:t>
      </w:r>
      <w:r w:rsidR="006C58C7" w:rsidRPr="003B079C">
        <w:rPr>
          <w:i/>
        </w:rPr>
        <w:t>is</w:t>
      </w:r>
      <w:r w:rsidR="006C58C7" w:rsidRPr="003B079C">
        <w:t xml:space="preserve"> capable of interrogating the evidence offered by the clinician and other professionals, can do so on the basis of their own expertise and experience, and is not reliant on the views of the medical member.</w:t>
      </w:r>
      <w:r w:rsidR="00905A46" w:rsidRPr="003B079C">
        <w:rPr>
          <w:rStyle w:val="FootnoteReference"/>
        </w:rPr>
        <w:footnoteReference w:id="84"/>
      </w:r>
      <w:r w:rsidR="006C58C7" w:rsidRPr="003B079C">
        <w:t xml:space="preserve">  Or</w:t>
      </w:r>
      <w:r w:rsidR="000C079D" w:rsidRPr="003B079C">
        <w:t>,</w:t>
      </w:r>
      <w:r w:rsidR="006C58C7" w:rsidRPr="003B079C">
        <w:t xml:space="preserve"> secondly, that </w:t>
      </w:r>
      <w:r w:rsidR="006C58C7" w:rsidRPr="003B079C">
        <w:rPr>
          <w:i/>
        </w:rPr>
        <w:t>only</w:t>
      </w:r>
      <w:r w:rsidR="006C58C7" w:rsidRPr="003B079C">
        <w:t xml:space="preserve"> the medical member is capable of interrogating the evidence presented by the clinician, and so all conclusions reached</w:t>
      </w:r>
      <w:r w:rsidR="00FE3579" w:rsidRPr="003B079C">
        <w:t xml:space="preserve"> by the Tribunal</w:t>
      </w:r>
      <w:r w:rsidR="006C58C7" w:rsidRPr="003B079C">
        <w:t xml:space="preserve"> about the accuracy of the clinician’s </w:t>
      </w:r>
      <w:r w:rsidR="00FE3579" w:rsidRPr="003B079C">
        <w:t xml:space="preserve">medical </w:t>
      </w:r>
      <w:r w:rsidR="006C58C7" w:rsidRPr="003B079C">
        <w:t xml:space="preserve">opinion are </w:t>
      </w:r>
      <w:r w:rsidR="006C58C7" w:rsidRPr="003B079C">
        <w:rPr>
          <w:i/>
        </w:rPr>
        <w:t xml:space="preserve">de facto </w:t>
      </w:r>
      <w:r w:rsidR="006C58C7" w:rsidRPr="003B079C">
        <w:t xml:space="preserve">the sole conclusions of the medical member.  If the former proposition is preferred, then </w:t>
      </w:r>
      <w:r w:rsidR="000C079D" w:rsidRPr="003B079C">
        <w:t>it</w:t>
      </w:r>
      <w:r w:rsidR="006C58C7" w:rsidRPr="003B079C">
        <w:t xml:space="preserve"> must </w:t>
      </w:r>
      <w:r w:rsidR="000C079D" w:rsidRPr="003B079C">
        <w:t xml:space="preserve">be </w:t>
      </w:r>
      <w:r w:rsidR="006C58C7" w:rsidRPr="003B079C">
        <w:t>also conclude</w:t>
      </w:r>
      <w:r w:rsidR="000C079D" w:rsidRPr="003B079C">
        <w:t>d</w:t>
      </w:r>
      <w:r w:rsidR="006C58C7" w:rsidRPr="003B079C">
        <w:t xml:space="preserve"> that anyone with suitable experience is capable of interrogating the clinician’s opinion.  If the latter is preferred, then the process is a charade in which one medical opinion </w:t>
      </w:r>
      <w:r w:rsidR="00FE3579" w:rsidRPr="003B079C">
        <w:t>competes with</w:t>
      </w:r>
      <w:r w:rsidR="006C58C7" w:rsidRPr="003B079C">
        <w:t xml:space="preserve"> another.  </w:t>
      </w:r>
      <w:r w:rsidRPr="003B079C">
        <w:t xml:space="preserve">Put this way, the proposition that medical expertise is essential, and that no other knowledge is appropriate </w:t>
      </w:r>
      <w:r w:rsidR="00424895" w:rsidRPr="003B079C">
        <w:t>appears</w:t>
      </w:r>
      <w:r w:rsidRPr="003B079C">
        <w:t xml:space="preserve"> a little farcical</w:t>
      </w:r>
      <w:r w:rsidR="001F6633" w:rsidRPr="003B079C">
        <w:t>,</w:t>
      </w:r>
      <w:r w:rsidRPr="003B079C">
        <w:t xml:space="preserve"> and</w:t>
      </w:r>
      <w:r w:rsidR="001F6633" w:rsidRPr="003B079C">
        <w:t xml:space="preserve"> is</w:t>
      </w:r>
      <w:r w:rsidR="00424895" w:rsidRPr="003B079C">
        <w:t xml:space="preserve"> out of line with </w:t>
      </w:r>
      <w:r w:rsidRPr="003B079C">
        <w:t>the Leggatt Review.</w:t>
      </w:r>
      <w:r w:rsidRPr="003B079C">
        <w:rPr>
          <w:rStyle w:val="FootnoteReference"/>
        </w:rPr>
        <w:footnoteReference w:id="85"/>
      </w:r>
      <w:r w:rsidRPr="003B079C">
        <w:t xml:space="preserve">  </w:t>
      </w:r>
    </w:p>
    <w:p w14:paraId="30B7EB22" w14:textId="25F03705" w:rsidR="006C58C7" w:rsidRPr="003B079C" w:rsidRDefault="006C58C7" w:rsidP="00E4654B">
      <w:pPr>
        <w:spacing w:line="480" w:lineRule="auto"/>
      </w:pPr>
      <w:r w:rsidRPr="003B079C">
        <w:t xml:space="preserve">The unattractive illogic of the latter proposition </w:t>
      </w:r>
      <w:r w:rsidR="00AB604B" w:rsidRPr="003B079C">
        <w:t xml:space="preserve">suggests </w:t>
      </w:r>
      <w:r w:rsidRPr="003B079C">
        <w:t xml:space="preserve">that the </w:t>
      </w:r>
      <w:r w:rsidR="00FE3579" w:rsidRPr="003B079C">
        <w:t xml:space="preserve">former </w:t>
      </w:r>
      <w:r w:rsidR="000C079D" w:rsidRPr="003B079C">
        <w:t>should be preferred i</w:t>
      </w:r>
      <w:r w:rsidRPr="003B079C">
        <w:t>n the absence of contrary evidence</w:t>
      </w:r>
      <w:r w:rsidR="00424895" w:rsidRPr="003B079C">
        <w:t xml:space="preserve">.  </w:t>
      </w:r>
      <w:r w:rsidRPr="003B079C">
        <w:t xml:space="preserve">The </w:t>
      </w:r>
      <w:r w:rsidR="000C079D" w:rsidRPr="003B079C">
        <w:rPr>
          <w:i/>
        </w:rPr>
        <w:t>MHA</w:t>
      </w:r>
      <w:r w:rsidR="000C079D" w:rsidRPr="003B079C">
        <w:t xml:space="preserve"> </w:t>
      </w:r>
      <w:r w:rsidRPr="003B079C">
        <w:rPr>
          <w:i/>
        </w:rPr>
        <w:t xml:space="preserve">Code of Practice </w:t>
      </w:r>
      <w:r w:rsidR="000C079D" w:rsidRPr="003B079C">
        <w:t xml:space="preserve">(the </w:t>
      </w:r>
      <w:r w:rsidR="000C079D" w:rsidRPr="003B079C">
        <w:rPr>
          <w:i/>
        </w:rPr>
        <w:t>Code</w:t>
      </w:r>
      <w:r w:rsidR="000C079D" w:rsidRPr="003B079C">
        <w:t>)</w:t>
      </w:r>
      <w:r w:rsidRPr="003B079C">
        <w:t xml:space="preserve"> appears to be in agreement with this view.</w:t>
      </w:r>
      <w:r w:rsidR="001F6633" w:rsidRPr="003B079C">
        <w:rPr>
          <w:rStyle w:val="FootnoteReference"/>
        </w:rPr>
        <w:footnoteReference w:id="86"/>
      </w:r>
      <w:r w:rsidRPr="003B079C">
        <w:t xml:space="preserve">  While the </w:t>
      </w:r>
      <w:r w:rsidRPr="003B079C">
        <w:rPr>
          <w:i/>
        </w:rPr>
        <w:t xml:space="preserve">Code </w:t>
      </w:r>
      <w:r w:rsidRPr="003B079C">
        <w:t xml:space="preserve">states that </w:t>
      </w:r>
      <w:r w:rsidR="000C079D" w:rsidRPr="003B079C">
        <w:t>the</w:t>
      </w:r>
      <w:r w:rsidRPr="003B079C">
        <w:t xml:space="preserve"> Managers ‘will not normally be qualified to form clinical assessments of their own’, the same paragraph </w:t>
      </w:r>
      <w:r w:rsidR="001F6633" w:rsidRPr="003B079C">
        <w:t xml:space="preserve">indicates </w:t>
      </w:r>
      <w:r w:rsidRPr="003B079C">
        <w:t xml:space="preserve">that they will be required to ‘reach an independent judgment based on the evidence that they hear’ </w:t>
      </w:r>
      <w:r w:rsidR="00E57043" w:rsidRPr="003B079C">
        <w:t xml:space="preserve">and that </w:t>
      </w:r>
      <w:r w:rsidRPr="003B079C">
        <w:t xml:space="preserve">if there is disagreement among the </w:t>
      </w:r>
      <w:r w:rsidR="00FE3579" w:rsidRPr="003B079C">
        <w:t xml:space="preserve">care </w:t>
      </w:r>
      <w:r w:rsidRPr="003B079C">
        <w:t>professional</w:t>
      </w:r>
      <w:r w:rsidR="00FE3579" w:rsidRPr="003B079C">
        <w:t>s</w:t>
      </w:r>
      <w:r w:rsidRPr="003B079C">
        <w:t>, they may ‘seek further medical or other professional advice’.</w:t>
      </w:r>
      <w:r w:rsidRPr="003B079C">
        <w:rPr>
          <w:vertAlign w:val="superscript"/>
        </w:rPr>
        <w:footnoteReference w:id="87"/>
      </w:r>
      <w:r w:rsidRPr="003B079C">
        <w:t xml:space="preserve">  Any disagreement between the original and </w:t>
      </w:r>
      <w:r w:rsidR="00FE3579" w:rsidRPr="003B079C">
        <w:t>additional</w:t>
      </w:r>
      <w:r w:rsidRPr="003B079C">
        <w:t xml:space="preserve"> opinion </w:t>
      </w:r>
      <w:r w:rsidR="001F6633" w:rsidRPr="003B079C">
        <w:t xml:space="preserve">can </w:t>
      </w:r>
      <w:r w:rsidRPr="003B079C">
        <w:t>only be resolved by the independent judg</w:t>
      </w:r>
      <w:r w:rsidR="000C079D" w:rsidRPr="003B079C">
        <w:t>e</w:t>
      </w:r>
      <w:r w:rsidRPr="003B079C">
        <w:t>ment of the Managers.  Such a statement is</w:t>
      </w:r>
      <w:r w:rsidR="000C079D" w:rsidRPr="003B079C">
        <w:t>,</w:t>
      </w:r>
      <w:r w:rsidRPr="003B079C">
        <w:t xml:space="preserve"> at minimum</w:t>
      </w:r>
      <w:r w:rsidR="000C079D" w:rsidRPr="003B079C">
        <w:t>,</w:t>
      </w:r>
      <w:r w:rsidRPr="003B079C">
        <w:t xml:space="preserve"> a tacit acknowledgment that the Department of Health accepts that </w:t>
      </w:r>
      <w:r w:rsidR="000C079D" w:rsidRPr="003B079C">
        <w:t>the</w:t>
      </w:r>
      <w:r w:rsidRPr="003B079C">
        <w:t xml:space="preserve"> Managers </w:t>
      </w:r>
      <w:r w:rsidRPr="003B079C">
        <w:rPr>
          <w:i/>
        </w:rPr>
        <w:t>are</w:t>
      </w:r>
      <w:r w:rsidRPr="003B079C">
        <w:t xml:space="preserve"> qualified to assess professional opinion.</w:t>
      </w:r>
    </w:p>
    <w:p w14:paraId="309EB915" w14:textId="1C176455" w:rsidR="004E2243" w:rsidRPr="003B079C" w:rsidRDefault="00E57043" w:rsidP="00E4654B">
      <w:pPr>
        <w:spacing w:line="480" w:lineRule="auto"/>
      </w:pPr>
      <w:r w:rsidRPr="003B079C">
        <w:t>Although</w:t>
      </w:r>
      <w:r w:rsidR="00F577C1" w:rsidRPr="003B079C">
        <w:t xml:space="preserve"> those speaking in defence of the </w:t>
      </w:r>
      <w:r w:rsidR="00A72F18" w:rsidRPr="003B079C">
        <w:t>M</w:t>
      </w:r>
      <w:r w:rsidR="00F577C1" w:rsidRPr="003B079C">
        <w:t xml:space="preserve">anagers’ power have met the criticisms made of them </w:t>
      </w:r>
      <w:r w:rsidR="001F6633" w:rsidRPr="003B079C">
        <w:t>regarding</w:t>
      </w:r>
      <w:r w:rsidR="00F577C1" w:rsidRPr="003B079C">
        <w:t xml:space="preserve"> the expertise of the panel members with little </w:t>
      </w:r>
      <w:r w:rsidR="00214C2C" w:rsidRPr="003B079C">
        <w:t>concrete</w:t>
      </w:r>
      <w:r w:rsidR="00F577C1" w:rsidRPr="003B079C">
        <w:t xml:space="preserve"> evidence, the same is true of those opposed to the </w:t>
      </w:r>
      <w:r w:rsidR="006D5E6D" w:rsidRPr="003B079C">
        <w:t>M</w:t>
      </w:r>
      <w:r w:rsidR="00F577C1" w:rsidRPr="003B079C">
        <w:t xml:space="preserve">anagers’ exercise of the s.23 discharge power.  </w:t>
      </w:r>
      <w:r w:rsidR="00905A46" w:rsidRPr="003B079C">
        <w:t>Furthermore, no evidence has been offered which rebuts the proposition that the Managers are capable of producing</w:t>
      </w:r>
      <w:r w:rsidR="00177837" w:rsidRPr="003B079C">
        <w:t xml:space="preserve"> good decisions</w:t>
      </w:r>
      <w:r w:rsidRPr="003B079C">
        <w:t xml:space="preserve">, in the sense of </w:t>
      </w:r>
      <w:r w:rsidR="00BF5BCD" w:rsidRPr="003B079C">
        <w:t xml:space="preserve">decisions </w:t>
      </w:r>
      <w:r w:rsidRPr="003B079C">
        <w:t>being</w:t>
      </w:r>
      <w:r w:rsidR="00905A46" w:rsidRPr="003B079C">
        <w:t xml:space="preserve"> aware of the relevant risks,</w:t>
      </w:r>
      <w:r w:rsidRPr="003B079C">
        <w:t xml:space="preserve"> reasoned, rational, and proportionate</w:t>
      </w:r>
      <w:r w:rsidR="00431B2D" w:rsidRPr="003B079C">
        <w:t>.  This is not to say that professional expertise is not also essential</w:t>
      </w:r>
      <w:r w:rsidR="006163EE" w:rsidRPr="003B079C">
        <w:t>;</w:t>
      </w:r>
      <w:r w:rsidR="00431B2D" w:rsidRPr="003B079C">
        <w:t xml:space="preserve"> both the </w:t>
      </w:r>
      <w:r w:rsidR="00214C2C" w:rsidRPr="003B079C">
        <w:t>T</w:t>
      </w:r>
      <w:r w:rsidR="00431B2D" w:rsidRPr="003B079C">
        <w:t xml:space="preserve">ribunal and the </w:t>
      </w:r>
      <w:r w:rsidR="00214C2C" w:rsidRPr="003B079C">
        <w:t>M</w:t>
      </w:r>
      <w:r w:rsidR="00431B2D" w:rsidRPr="003B079C">
        <w:t xml:space="preserve">anagers rely on the </w:t>
      </w:r>
      <w:r w:rsidR="001F6633" w:rsidRPr="003B079C">
        <w:t xml:space="preserve">details </w:t>
      </w:r>
      <w:r w:rsidR="00431B2D" w:rsidRPr="003B079C">
        <w:t>provided by</w:t>
      </w:r>
      <w:r w:rsidRPr="003B079C">
        <w:t xml:space="preserve"> each of the report authors</w:t>
      </w:r>
      <w:r w:rsidR="00431B2D" w:rsidRPr="003B079C">
        <w:t xml:space="preserve"> to give them access to all the information </w:t>
      </w:r>
      <w:r w:rsidR="00FE3579" w:rsidRPr="003B079C">
        <w:t>needed</w:t>
      </w:r>
      <w:r w:rsidR="00431B2D" w:rsidRPr="003B079C">
        <w:t xml:space="preserve"> to reach a</w:t>
      </w:r>
      <w:r w:rsidR="00414EEF" w:rsidRPr="003B079C">
        <w:t xml:space="preserve"> </w:t>
      </w:r>
      <w:r w:rsidR="00431B2D" w:rsidRPr="003B079C">
        <w:t xml:space="preserve">decision, but </w:t>
      </w:r>
      <w:r w:rsidR="00214C2C" w:rsidRPr="003B079C">
        <w:t>the available evidence</w:t>
      </w:r>
      <w:r w:rsidR="00431B2D" w:rsidRPr="003B079C">
        <w:t xml:space="preserve"> does not </w:t>
      </w:r>
      <w:r w:rsidR="00CB239F" w:rsidRPr="003B079C">
        <w:t>currently</w:t>
      </w:r>
      <w:r w:rsidR="00431B2D" w:rsidRPr="003B079C">
        <w:t xml:space="preserve"> </w:t>
      </w:r>
      <w:r w:rsidR="00214C2C" w:rsidRPr="003B079C">
        <w:t>show t</w:t>
      </w:r>
      <w:r w:rsidR="00431B2D" w:rsidRPr="003B079C">
        <w:t xml:space="preserve">hat </w:t>
      </w:r>
      <w:r w:rsidR="004E2243" w:rsidRPr="003B079C">
        <w:t xml:space="preserve">a narrow understanding of </w:t>
      </w:r>
      <w:r w:rsidR="00431B2D" w:rsidRPr="003B079C">
        <w:t xml:space="preserve">professional </w:t>
      </w:r>
      <w:r w:rsidR="004E2243" w:rsidRPr="003B079C">
        <w:t xml:space="preserve">expertise (law or medicine) </w:t>
      </w:r>
      <w:r w:rsidR="00431B2D" w:rsidRPr="003B079C">
        <w:t>is essential to understand</w:t>
      </w:r>
      <w:r w:rsidR="00A75438" w:rsidRPr="003B079C">
        <w:t>ing</w:t>
      </w:r>
      <w:r w:rsidR="00431B2D" w:rsidRPr="003B079C">
        <w:t xml:space="preserve"> whether a</w:t>
      </w:r>
      <w:r w:rsidR="00905A46" w:rsidRPr="003B079C">
        <w:t>n</w:t>
      </w:r>
      <w:r w:rsidR="00431B2D" w:rsidRPr="003B079C">
        <w:t xml:space="preserve"> argument for continued compuls</w:t>
      </w:r>
      <w:r w:rsidR="00414EEF" w:rsidRPr="003B079C">
        <w:t>ory care</w:t>
      </w:r>
      <w:r w:rsidR="00431B2D" w:rsidRPr="003B079C">
        <w:t xml:space="preserve"> satisfies the legal requirements of the </w:t>
      </w:r>
      <w:r w:rsidR="005547D1" w:rsidRPr="003B079C">
        <w:t>MHA 1983</w:t>
      </w:r>
      <w:r w:rsidR="00365412" w:rsidRPr="003B079C">
        <w:t>.</w:t>
      </w:r>
    </w:p>
    <w:p w14:paraId="1B57670F" w14:textId="6CCB3862" w:rsidR="00E505E9" w:rsidRPr="003B079C" w:rsidRDefault="00FD1EDC" w:rsidP="00FD1EDC">
      <w:pPr>
        <w:pStyle w:val="Heading1"/>
      </w:pPr>
      <w:r w:rsidRPr="003B079C">
        <w:t>IV</w:t>
      </w:r>
      <w:r w:rsidR="00A43091" w:rsidRPr="003B079C">
        <w:t xml:space="preserve"> </w:t>
      </w:r>
      <w:r w:rsidR="00E505E9" w:rsidRPr="003B079C">
        <w:t>Independence</w:t>
      </w:r>
    </w:p>
    <w:p w14:paraId="319F5D48" w14:textId="0B724535" w:rsidR="005547D1" w:rsidRPr="003B079C" w:rsidRDefault="001F6633" w:rsidP="00DD6075">
      <w:pPr>
        <w:spacing w:line="480" w:lineRule="auto"/>
      </w:pPr>
      <w:r w:rsidRPr="003B079C">
        <w:t>T</w:t>
      </w:r>
      <w:r w:rsidR="00905A46" w:rsidRPr="003B079C">
        <w:t xml:space="preserve">he positions assumed by </w:t>
      </w:r>
      <w:r w:rsidR="00414EEF" w:rsidRPr="003B079C">
        <w:t xml:space="preserve">both </w:t>
      </w:r>
      <w:r w:rsidR="00905A46" w:rsidRPr="003B079C">
        <w:t>abolitionists and their opponents</w:t>
      </w:r>
      <w:r w:rsidR="00414EEF" w:rsidRPr="003B079C">
        <w:t xml:space="preserve"> demonstrate</w:t>
      </w:r>
      <w:r w:rsidR="0003794E" w:rsidRPr="003B079C">
        <w:t xml:space="preserve"> that it is difficult to substantiate either </w:t>
      </w:r>
      <w:r w:rsidR="00905A46" w:rsidRPr="003B079C">
        <w:t>view of the Managers’ expertise</w:t>
      </w:r>
      <w:r w:rsidRPr="003B079C">
        <w:t>.</w:t>
      </w:r>
      <w:r w:rsidR="00D92AFB" w:rsidRPr="003B079C">
        <w:t xml:space="preserve"> </w:t>
      </w:r>
      <w:r w:rsidRPr="003B079C">
        <w:t xml:space="preserve"> A</w:t>
      </w:r>
      <w:r w:rsidR="00D92AFB" w:rsidRPr="003B079C">
        <w:t xml:space="preserve">rguments have </w:t>
      </w:r>
      <w:r w:rsidRPr="003B079C">
        <w:t xml:space="preserve">also </w:t>
      </w:r>
      <w:r w:rsidR="00D92AFB" w:rsidRPr="003B079C">
        <w:t xml:space="preserve">been made on </w:t>
      </w:r>
      <w:r w:rsidR="005818C3" w:rsidRPr="003B079C">
        <w:t xml:space="preserve">two </w:t>
      </w:r>
      <w:r w:rsidR="00D92AFB" w:rsidRPr="003B079C">
        <w:t>other grounds</w:t>
      </w:r>
      <w:r w:rsidR="005818C3" w:rsidRPr="003B079C">
        <w:t>:</w:t>
      </w:r>
      <w:r w:rsidR="00D92AFB" w:rsidRPr="003B079C">
        <w:t xml:space="preserve"> independence and duplication.  </w:t>
      </w:r>
      <w:r w:rsidR="00E505E9" w:rsidRPr="003B079C">
        <w:t>Th</w:t>
      </w:r>
      <w:r w:rsidR="00D92AFB" w:rsidRPr="003B079C">
        <w:t>e independence argument</w:t>
      </w:r>
      <w:r w:rsidR="00E505E9" w:rsidRPr="003B079C">
        <w:t xml:space="preserve"> is less straightforward than that concerning expertise.</w:t>
      </w:r>
      <w:r w:rsidR="00ED37F9" w:rsidRPr="003B079C">
        <w:t xml:space="preserve">  This is because the parliamentary understanding of the Managers’ </w:t>
      </w:r>
      <w:r w:rsidR="005547D1" w:rsidRPr="003B079C">
        <w:t>position relative to the managers</w:t>
      </w:r>
      <w:r w:rsidR="00ED37F9" w:rsidRPr="003B079C">
        <w:t xml:space="preserve"> was, as I will show below, unsettled from at least 1990 until 2007.  </w:t>
      </w:r>
      <w:r w:rsidR="00DD6075" w:rsidRPr="003B079C">
        <w:t>This situation was likely both created and subsequently compounded by the failure of Parliament to articulate either the practical or principled basis for the Managers’ independence as created by the statutory framework.  Notwithstanding this absence, the Managers independence, or conversely, the lack thereof,</w:t>
      </w:r>
      <w:r w:rsidR="00B35E37" w:rsidRPr="003B079C">
        <w:t xml:space="preserve"> has been presented as an important reason for retaining the Managers</w:t>
      </w:r>
      <w:r w:rsidR="00DD6075" w:rsidRPr="003B079C">
        <w:t>.</w:t>
      </w:r>
      <w:r w:rsidR="00B35E37" w:rsidRPr="003B079C">
        <w:rPr>
          <w:vertAlign w:val="superscript"/>
        </w:rPr>
        <w:footnoteReference w:id="88"/>
      </w:r>
    </w:p>
    <w:p w14:paraId="784D5296" w14:textId="093F42DB" w:rsidR="00DD5189" w:rsidRPr="003B079C" w:rsidRDefault="004A496A" w:rsidP="00E4654B">
      <w:pPr>
        <w:spacing w:line="480" w:lineRule="auto"/>
      </w:pPr>
      <w:r w:rsidRPr="003B079C">
        <w:t xml:space="preserve">Taken in conjunction with the wider ignorance about the Managers, the </w:t>
      </w:r>
      <w:r w:rsidR="00DD6075" w:rsidRPr="003B079C">
        <w:t>lack</w:t>
      </w:r>
      <w:r w:rsidRPr="003B079C">
        <w:t xml:space="preserve"> of either a concrete or conceptual basis for their independence is problematic.  For example, it has made it possible</w:t>
      </w:r>
      <w:r w:rsidR="00ED37F9" w:rsidRPr="003B079C">
        <w:t xml:space="preserve"> for the government to argue that</w:t>
      </w:r>
      <w:r w:rsidR="00E505E9" w:rsidRPr="003B079C">
        <w:t xml:space="preserve"> because the </w:t>
      </w:r>
      <w:r w:rsidR="004955DA" w:rsidRPr="003B079C">
        <w:t>h</w:t>
      </w:r>
      <w:r w:rsidR="00E505E9" w:rsidRPr="003B079C">
        <w:t xml:space="preserve">ospital </w:t>
      </w:r>
      <w:r w:rsidR="004955DA" w:rsidRPr="003B079C">
        <w:t>m</w:t>
      </w:r>
      <w:r w:rsidR="00D92AFB" w:rsidRPr="003B079C">
        <w:t xml:space="preserve">anagers </w:t>
      </w:r>
      <w:r w:rsidRPr="003B079C">
        <w:t>a</w:t>
      </w:r>
      <w:r w:rsidR="00E505E9" w:rsidRPr="003B079C">
        <w:t>re the</w:t>
      </w:r>
      <w:r w:rsidRPr="003B079C">
        <w:t xml:space="preserve"> body authorising compulsory care</w:t>
      </w:r>
      <w:r w:rsidR="00E505E9" w:rsidRPr="003B079C">
        <w:t xml:space="preserve">, they </w:t>
      </w:r>
      <w:r w:rsidR="00D41B2E" w:rsidRPr="003B079C">
        <w:t xml:space="preserve">could not be </w:t>
      </w:r>
      <w:r w:rsidR="004955DA" w:rsidRPr="003B079C">
        <w:t>independent</w:t>
      </w:r>
      <w:r w:rsidRPr="003B079C">
        <w:t xml:space="preserve"> for the purposes of review</w:t>
      </w:r>
      <w:r w:rsidR="00E505E9" w:rsidRPr="003B079C">
        <w:t>.</w:t>
      </w:r>
      <w:r w:rsidR="004955DA" w:rsidRPr="003B079C">
        <w:rPr>
          <w:rStyle w:val="FootnoteReference"/>
        </w:rPr>
        <w:footnoteReference w:id="89"/>
      </w:r>
      <w:r w:rsidR="00E505E9" w:rsidRPr="003B079C">
        <w:t xml:space="preserve">  </w:t>
      </w:r>
      <w:r w:rsidRPr="003B079C">
        <w:t>The government failed to recognise</w:t>
      </w:r>
      <w:r w:rsidR="00ED37F9" w:rsidRPr="003B079C">
        <w:t xml:space="preserve"> that there is a differen</w:t>
      </w:r>
      <w:r w:rsidR="00B35E37" w:rsidRPr="003B079C">
        <w:t>ce</w:t>
      </w:r>
      <w:r w:rsidR="00ED37F9" w:rsidRPr="003B079C">
        <w:t xml:space="preserve"> between the hospital managers and the Managers</w:t>
      </w:r>
      <w:r w:rsidR="00D41B2E" w:rsidRPr="003B079C">
        <w:t xml:space="preserve">, </w:t>
      </w:r>
      <w:r w:rsidR="00DD6075" w:rsidRPr="003B079C">
        <w:t>but</w:t>
      </w:r>
      <w:r w:rsidR="00D41B2E" w:rsidRPr="003B079C">
        <w:t xml:space="preserve"> their claim went unchallenged</w:t>
      </w:r>
      <w:r w:rsidR="00ED37F9" w:rsidRPr="003B079C">
        <w:t xml:space="preserve">.  </w:t>
      </w:r>
      <w:r w:rsidR="00D41B2E" w:rsidRPr="003B079C">
        <w:t>The oversight was convenient because at the time</w:t>
      </w:r>
      <w:r w:rsidR="00ED37F9" w:rsidRPr="003B079C">
        <w:t xml:space="preserve"> the government </w:t>
      </w:r>
      <w:r w:rsidR="004955DA" w:rsidRPr="003B079C">
        <w:t>were</w:t>
      </w:r>
      <w:r w:rsidR="00953B70" w:rsidRPr="003B079C">
        <w:t xml:space="preserve"> proposing that the </w:t>
      </w:r>
      <w:r w:rsidR="005818C3" w:rsidRPr="003B079C">
        <w:t>T</w:t>
      </w:r>
      <w:r w:rsidR="00953B70" w:rsidRPr="003B079C">
        <w:t xml:space="preserve">ribunal </w:t>
      </w:r>
      <w:r w:rsidR="005818C3" w:rsidRPr="003B079C">
        <w:t>should</w:t>
      </w:r>
      <w:r w:rsidR="00953B70" w:rsidRPr="003B079C">
        <w:t xml:space="preserve"> become the </w:t>
      </w:r>
      <w:r w:rsidR="00D41B2E" w:rsidRPr="003B079C">
        <w:t xml:space="preserve">body responsible for authorising </w:t>
      </w:r>
      <w:r w:rsidR="00D41B2E" w:rsidRPr="003B079C">
        <w:rPr>
          <w:i/>
        </w:rPr>
        <w:t>and</w:t>
      </w:r>
      <w:r w:rsidR="00953B70" w:rsidRPr="003B079C">
        <w:t xml:space="preserve"> reviewing </w:t>
      </w:r>
      <w:r w:rsidR="00D41B2E" w:rsidRPr="003B079C">
        <w:t>compulsory care</w:t>
      </w:r>
      <w:r w:rsidR="004955DA" w:rsidRPr="003B079C">
        <w:t xml:space="preserve">.  </w:t>
      </w:r>
      <w:r w:rsidR="00667531" w:rsidRPr="003B079C">
        <w:t>Their claim about the Managers’</w:t>
      </w:r>
      <w:r w:rsidR="00D41B2E" w:rsidRPr="003B079C">
        <w:t xml:space="preserve"> purported lack of </w:t>
      </w:r>
      <w:r w:rsidR="00667531" w:rsidRPr="003B079C">
        <w:t>independence</w:t>
      </w:r>
      <w:r w:rsidR="00D41B2E" w:rsidRPr="003B079C">
        <w:t xml:space="preserve"> from the managers</w:t>
      </w:r>
      <w:r w:rsidR="00667531" w:rsidRPr="003B079C">
        <w:t xml:space="preserve"> allowed the government to present the old system as flawed, and the new system as better</w:t>
      </w:r>
      <w:r w:rsidR="00D41B2E" w:rsidRPr="003B079C">
        <w:t xml:space="preserve"> because it would be carried out by an independent judicial body</w:t>
      </w:r>
      <w:r w:rsidR="00667531" w:rsidRPr="003B079C">
        <w:t xml:space="preserve">.  </w:t>
      </w:r>
      <w:r w:rsidR="00D41B2E" w:rsidRPr="003B079C">
        <w:t>The lack of a principled and practical understanding of the Managers’ role allowed the government</w:t>
      </w:r>
      <w:r w:rsidR="00667531" w:rsidRPr="003B079C">
        <w:t xml:space="preserve"> to avoid acknowledging the contradiction</w:t>
      </w:r>
      <w:r w:rsidR="004955DA" w:rsidRPr="003B079C">
        <w:t xml:space="preserve"> between the</w:t>
      </w:r>
      <w:r w:rsidR="00ED37F9" w:rsidRPr="003B079C">
        <w:t>ir statement about the Managers</w:t>
      </w:r>
      <w:r w:rsidR="00667531" w:rsidRPr="003B079C">
        <w:t>’ independence</w:t>
      </w:r>
      <w:r w:rsidR="00ED37F9" w:rsidRPr="003B079C">
        <w:t>, and the</w:t>
      </w:r>
      <w:r w:rsidR="00667531" w:rsidRPr="003B079C">
        <w:t>ir</w:t>
      </w:r>
      <w:r w:rsidR="00ED37F9" w:rsidRPr="003B079C">
        <w:t xml:space="preserve"> proposal </w:t>
      </w:r>
      <w:r w:rsidR="005547D1" w:rsidRPr="003B079C">
        <w:t>to combine</w:t>
      </w:r>
      <w:r w:rsidR="00667531" w:rsidRPr="003B079C">
        <w:t xml:space="preserve"> authorisation and review into a single process</w:t>
      </w:r>
      <w:r w:rsidR="00ED37F9" w:rsidRPr="003B079C">
        <w:t>.</w:t>
      </w:r>
    </w:p>
    <w:p w14:paraId="3ED4657E" w14:textId="68C87170" w:rsidR="00327D10" w:rsidRPr="003B079C" w:rsidRDefault="00667531" w:rsidP="00E4654B">
      <w:pPr>
        <w:spacing w:line="480" w:lineRule="auto"/>
      </w:pPr>
      <w:r w:rsidRPr="003B079C">
        <w:t>As the</w:t>
      </w:r>
      <w:r w:rsidR="00327D10" w:rsidRPr="003B079C">
        <w:t xml:space="preserve"> central contention of this paper is that we should not make significant changes to the framework of safeguards in the MHA 1983 without properly understanding the systems we seek to alter, I propose to </w:t>
      </w:r>
      <w:r w:rsidR="00B11A77" w:rsidRPr="003B079C">
        <w:t>explore the</w:t>
      </w:r>
      <w:r w:rsidR="005547D1" w:rsidRPr="003B079C">
        <w:t xml:space="preserve"> official understanding of the Managers’ independence</w:t>
      </w:r>
      <w:r w:rsidR="00B11A77" w:rsidRPr="003B079C">
        <w:t>, with a view to unpacking the implications of this for the abolition debate</w:t>
      </w:r>
      <w:r w:rsidR="00F2721A" w:rsidRPr="003B079C">
        <w:t>.</w:t>
      </w:r>
      <w:r w:rsidR="00327D10" w:rsidRPr="003B079C">
        <w:t xml:space="preserve">  I do not propose to enter debate about the substantive value of </w:t>
      </w:r>
      <w:r w:rsidR="005547D1" w:rsidRPr="003B079C">
        <w:t>such</w:t>
      </w:r>
      <w:r w:rsidR="00327D10" w:rsidRPr="003B079C">
        <w:t xml:space="preserve"> independence, because that presupposes that we have a clear understanding of </w:t>
      </w:r>
      <w:r w:rsidR="005547D1" w:rsidRPr="003B079C">
        <w:t>the extent to which s.23 practice deviates from the official understanding</w:t>
      </w:r>
      <w:r w:rsidR="00327D10" w:rsidRPr="003B079C">
        <w:t>, which we do not.  Instead, I seek to establish what independence they are thought to have</w:t>
      </w:r>
      <w:r w:rsidR="00DD6075" w:rsidRPr="003B079C">
        <w:t xml:space="preserve"> under the MHA 1983</w:t>
      </w:r>
      <w:r w:rsidR="00327D10" w:rsidRPr="003B079C">
        <w:t xml:space="preserve">.  This entails considering two things.  First, having regard to the legislative development of the s.23 power, is </w:t>
      </w:r>
      <w:r w:rsidR="009C3E43" w:rsidRPr="003B079C">
        <w:t>the direction</w:t>
      </w:r>
      <w:r w:rsidR="00327D10" w:rsidRPr="003B079C">
        <w:t xml:space="preserve"> of travel towards </w:t>
      </w:r>
      <w:r w:rsidR="00DD6075" w:rsidRPr="003B079C">
        <w:t xml:space="preserve">growing </w:t>
      </w:r>
      <w:r w:rsidR="00327D10" w:rsidRPr="003B079C">
        <w:t xml:space="preserve">independence?  Secondly, </w:t>
      </w:r>
      <w:r w:rsidR="005547D1" w:rsidRPr="003B079C">
        <w:t xml:space="preserve">if yes, </w:t>
      </w:r>
      <w:r w:rsidR="00327D10" w:rsidRPr="003B079C">
        <w:t>what is the nature of that independence?</w:t>
      </w:r>
    </w:p>
    <w:p w14:paraId="7B608331" w14:textId="5A0D11AE" w:rsidR="00524EB0" w:rsidRPr="003B079C" w:rsidRDefault="00FD1EDC" w:rsidP="00E4654B">
      <w:pPr>
        <w:pStyle w:val="Heading2"/>
        <w:spacing w:line="480" w:lineRule="auto"/>
      </w:pPr>
      <w:r w:rsidRPr="003B079C">
        <w:t>IV(A)</w:t>
      </w:r>
      <w:r w:rsidR="00524EB0" w:rsidRPr="003B079C">
        <w:t xml:space="preserve"> </w:t>
      </w:r>
      <w:r w:rsidR="006749C4" w:rsidRPr="003B079C">
        <w:t xml:space="preserve">Historical </w:t>
      </w:r>
      <w:r w:rsidRPr="003B079C">
        <w:t>D</w:t>
      </w:r>
      <w:r w:rsidR="006749C4" w:rsidRPr="003B079C">
        <w:t xml:space="preserve">evelopment of </w:t>
      </w:r>
      <w:r w:rsidRPr="003B079C">
        <w:t>I</w:t>
      </w:r>
      <w:r w:rsidR="00524EB0" w:rsidRPr="003B079C">
        <w:t>ndependence</w:t>
      </w:r>
    </w:p>
    <w:p w14:paraId="77EDC0B2" w14:textId="22237C75" w:rsidR="006153DB" w:rsidRPr="003B079C" w:rsidRDefault="006153DB" w:rsidP="00E4654B">
      <w:pPr>
        <w:spacing w:line="480" w:lineRule="auto"/>
      </w:pPr>
      <w:r w:rsidRPr="003B079C">
        <w:t>It has not always been the case that the managers and the Managers were separate entities.</w:t>
      </w:r>
      <w:r w:rsidR="001D2099" w:rsidRPr="003B079C">
        <w:t xml:space="preserve">  </w:t>
      </w:r>
      <w:r w:rsidRPr="003B079C">
        <w:t>In view of the fact that the s.23 discharge power, and earlier incarnations of it were always exercised locally</w:t>
      </w:r>
      <w:r w:rsidR="00694830" w:rsidRPr="003B079C">
        <w:t xml:space="preserve">, the </w:t>
      </w:r>
      <w:r w:rsidR="004F5C92" w:rsidRPr="003B079C">
        <w:t xml:space="preserve">precise moment of </w:t>
      </w:r>
      <w:r w:rsidR="001D2099" w:rsidRPr="003B079C">
        <w:t xml:space="preserve">transition from </w:t>
      </w:r>
      <w:r w:rsidR="002901FB" w:rsidRPr="003B079C">
        <w:t>relative overlap to relative separation</w:t>
      </w:r>
      <w:r w:rsidRPr="003B079C">
        <w:t xml:space="preserve"> between managers and Managers</w:t>
      </w:r>
      <w:r w:rsidR="00694830" w:rsidRPr="003B079C">
        <w:t xml:space="preserve"> varied depending on</w:t>
      </w:r>
      <w:r w:rsidR="001D2099" w:rsidRPr="003B079C">
        <w:t xml:space="preserve"> local circumstance as much as </w:t>
      </w:r>
      <w:r w:rsidR="0044779C" w:rsidRPr="003B079C">
        <w:t>the legal framework</w:t>
      </w:r>
      <w:r w:rsidR="001D2099" w:rsidRPr="003B079C">
        <w:t>.</w:t>
      </w:r>
      <w:r w:rsidRPr="003B079C">
        <w:t xml:space="preserve">  However, as I discuss below, by</w:t>
      </w:r>
      <w:r w:rsidR="00B11A77" w:rsidRPr="003B079C">
        <w:t xml:space="preserve"> the time with which </w:t>
      </w:r>
      <w:r w:rsidR="0044779C" w:rsidRPr="003B079C">
        <w:t>I am</w:t>
      </w:r>
      <w:r w:rsidR="00B11A77" w:rsidRPr="003B079C">
        <w:t xml:space="preserve"> concerned in this paper,</w:t>
      </w:r>
      <w:r w:rsidRPr="003B079C">
        <w:t xml:space="preserve"> the</w:t>
      </w:r>
      <w:r w:rsidR="00B11A77" w:rsidRPr="003B079C">
        <w:t xml:space="preserve"> mid-1990s to the mid-2000s, the transition was largely complete</w:t>
      </w:r>
      <w:r w:rsidRPr="003B079C">
        <w:t>.</w:t>
      </w:r>
      <w:r w:rsidR="00694830" w:rsidRPr="003B079C">
        <w:t xml:space="preserve">  </w:t>
      </w:r>
      <w:r w:rsidRPr="003B079C">
        <w:t>To understand how the legal framework establish</w:t>
      </w:r>
      <w:r w:rsidR="005547D1" w:rsidRPr="003B079C">
        <w:t>ed</w:t>
      </w:r>
      <w:r w:rsidRPr="003B079C">
        <w:t xml:space="preserve"> independence in principle</w:t>
      </w:r>
      <w:r w:rsidR="005547D1" w:rsidRPr="003B079C">
        <w:t>, i</w:t>
      </w:r>
      <w:r w:rsidRPr="003B079C">
        <w:t>t is necessary to briefly consider the origins of the s.23 discharge power.</w:t>
      </w:r>
    </w:p>
    <w:p w14:paraId="22F68E73" w14:textId="3136B735" w:rsidR="00B237B6" w:rsidRPr="003B079C" w:rsidRDefault="00E505E9" w:rsidP="00E4654B">
      <w:pPr>
        <w:spacing w:line="480" w:lineRule="auto"/>
      </w:pPr>
      <w:r w:rsidRPr="003B079C">
        <w:t xml:space="preserve">It is often contended, incorrectly, that the origins of the </w:t>
      </w:r>
      <w:r w:rsidR="00C41529" w:rsidRPr="003B079C">
        <w:t>M</w:t>
      </w:r>
      <w:r w:rsidRPr="003B079C">
        <w:t>anagers lie in the MHA 1959.</w:t>
      </w:r>
      <w:r w:rsidR="00B91D62" w:rsidRPr="003B079C">
        <w:rPr>
          <w:vertAlign w:val="superscript"/>
        </w:rPr>
        <w:footnoteReference w:id="90"/>
      </w:r>
      <w:r w:rsidR="00B91D62" w:rsidRPr="003B079C">
        <w:t xml:space="preserve"> </w:t>
      </w:r>
      <w:r w:rsidRPr="003B079C">
        <w:t xml:space="preserve"> In fact, the power of discharge </w:t>
      </w:r>
      <w:r w:rsidR="0044779C" w:rsidRPr="003B079C">
        <w:t xml:space="preserve">today </w:t>
      </w:r>
      <w:r w:rsidRPr="003B079C">
        <w:t xml:space="preserve">exercised by the </w:t>
      </w:r>
      <w:r w:rsidR="00C41529" w:rsidRPr="003B079C">
        <w:t xml:space="preserve">Managers </w:t>
      </w:r>
      <w:r w:rsidRPr="003B079C">
        <w:t xml:space="preserve">historically attached to the Justices of the Peace </w:t>
      </w:r>
      <w:r w:rsidR="00B11A77" w:rsidRPr="003B079C">
        <w:t xml:space="preserve">in Quarter Session </w:t>
      </w:r>
      <w:r w:rsidR="00C41529" w:rsidRPr="003B079C">
        <w:t>who</w:t>
      </w:r>
      <w:r w:rsidR="00182A7E" w:rsidRPr="003B079C">
        <w:t xml:space="preserve">, as part of their responsibilities for administering what passed for local government </w:t>
      </w:r>
      <w:r w:rsidR="00F96539" w:rsidRPr="003B079C">
        <w:t>in the nineteenth century</w:t>
      </w:r>
      <w:r w:rsidR="00182A7E" w:rsidRPr="003B079C">
        <w:t>,</w:t>
      </w:r>
      <w:r w:rsidR="00C41529" w:rsidRPr="003B079C">
        <w:t xml:space="preserve"> sat on </w:t>
      </w:r>
      <w:r w:rsidRPr="003B079C">
        <w:t>the Visiting Committee</w:t>
      </w:r>
      <w:r w:rsidR="002901FB" w:rsidRPr="003B079C">
        <w:t>s</w:t>
      </w:r>
      <w:r w:rsidRPr="003B079C">
        <w:t xml:space="preserve"> of the local county asylum</w:t>
      </w:r>
      <w:r w:rsidR="002901FB" w:rsidRPr="003B079C">
        <w:t>s</w:t>
      </w:r>
      <w:r w:rsidR="00710219" w:rsidRPr="003B079C">
        <w:t>.</w:t>
      </w:r>
      <w:r w:rsidRPr="003B079C">
        <w:t xml:space="preserve">  </w:t>
      </w:r>
      <w:r w:rsidR="00B11A77" w:rsidRPr="003B079C">
        <w:t>T</w:t>
      </w:r>
      <w:r w:rsidR="00182A7E" w:rsidRPr="003B079C">
        <w:t xml:space="preserve">he Justices were not only </w:t>
      </w:r>
      <w:r w:rsidRPr="003B079C">
        <w:t>closely implicated in the administration of the asylums</w:t>
      </w:r>
      <w:r w:rsidR="00182A7E" w:rsidRPr="003B079C">
        <w:t>,</w:t>
      </w:r>
      <w:r w:rsidR="000D6873" w:rsidRPr="003B079C">
        <w:rPr>
          <w:rStyle w:val="FootnoteReference"/>
        </w:rPr>
        <w:footnoteReference w:id="91"/>
      </w:r>
      <w:r w:rsidR="00182A7E" w:rsidRPr="003B079C">
        <w:t xml:space="preserve"> but also possessed a power of discharge</w:t>
      </w:r>
      <w:r w:rsidRPr="003B079C">
        <w:t>.</w:t>
      </w:r>
      <w:r w:rsidR="004F5C92" w:rsidRPr="003B079C">
        <w:rPr>
          <w:rStyle w:val="FootnoteReference"/>
        </w:rPr>
        <w:footnoteReference w:id="92"/>
      </w:r>
      <w:r w:rsidRPr="003B079C">
        <w:t xml:space="preserve">  </w:t>
      </w:r>
      <w:r w:rsidR="00182A7E" w:rsidRPr="003B079C">
        <w:t>At the time it was also the function of the Justices, as magistrates, to certify persons as suitable for admission to an asylum.  In this way, those authorising admission, continuation of compulsory care, and discharg</w:t>
      </w:r>
      <w:r w:rsidR="006153DB" w:rsidRPr="003B079C">
        <w:t xml:space="preserve">e </w:t>
      </w:r>
      <w:r w:rsidR="00F96539" w:rsidRPr="003B079C">
        <w:t>were one and the same</w:t>
      </w:r>
      <w:r w:rsidR="006153DB" w:rsidRPr="003B079C">
        <w:t xml:space="preserve">, and cannot be said to </w:t>
      </w:r>
      <w:r w:rsidR="00F96539" w:rsidRPr="003B079C">
        <w:t xml:space="preserve">have </w:t>
      </w:r>
      <w:r w:rsidR="006153DB" w:rsidRPr="003B079C">
        <w:t>be</w:t>
      </w:r>
      <w:r w:rsidR="00F96539" w:rsidRPr="003B079C">
        <w:t>en</w:t>
      </w:r>
      <w:r w:rsidR="006153DB" w:rsidRPr="003B079C">
        <w:t xml:space="preserve"> independent. </w:t>
      </w:r>
      <w:r w:rsidR="0030244E" w:rsidRPr="003B079C">
        <w:t xml:space="preserve"> T</w:t>
      </w:r>
      <w:r w:rsidR="006153DB" w:rsidRPr="003B079C">
        <w:t>he motivation behind</w:t>
      </w:r>
      <w:r w:rsidR="0030244E" w:rsidRPr="003B079C">
        <w:t xml:space="preserve"> providing</w:t>
      </w:r>
      <w:r w:rsidR="006153DB" w:rsidRPr="003B079C">
        <w:t xml:space="preserve"> the Visiting Justices</w:t>
      </w:r>
      <w:r w:rsidR="0030244E" w:rsidRPr="003B079C">
        <w:t xml:space="preserve"> with a power of discharge likely had little to do with </w:t>
      </w:r>
      <w:r w:rsidR="006153DB" w:rsidRPr="003B079C">
        <w:t>safeguarding individual rights, but rather</w:t>
      </w:r>
      <w:r w:rsidR="00F96539" w:rsidRPr="003B079C">
        <w:t>, as with their other powers,</w:t>
      </w:r>
      <w:r w:rsidR="006153DB" w:rsidRPr="003B079C">
        <w:t xml:space="preserve"> the administration of public funds associated with</w:t>
      </w:r>
      <w:r w:rsidR="00F96539" w:rsidRPr="003B079C">
        <w:t xml:space="preserve"> the</w:t>
      </w:r>
      <w:r w:rsidR="006153DB" w:rsidRPr="003B079C">
        <w:t xml:space="preserve"> </w:t>
      </w:r>
      <w:r w:rsidR="00F96539" w:rsidRPr="003B079C">
        <w:t>asylums</w:t>
      </w:r>
      <w:r w:rsidR="0030244E" w:rsidRPr="003B079C">
        <w:t>.</w:t>
      </w:r>
      <w:r w:rsidR="0030244E" w:rsidRPr="003B079C">
        <w:rPr>
          <w:rStyle w:val="FootnoteReference"/>
        </w:rPr>
        <w:footnoteReference w:id="93"/>
      </w:r>
    </w:p>
    <w:p w14:paraId="7E942602" w14:textId="183E6A80" w:rsidR="00E505E9" w:rsidRPr="003B079C" w:rsidRDefault="00E505E9" w:rsidP="00E4654B">
      <w:pPr>
        <w:spacing w:line="480" w:lineRule="auto"/>
      </w:pPr>
      <w:r w:rsidRPr="003B079C">
        <w:t xml:space="preserve">Little changed following the passage of the Local Government Act 1888 and the Lunacy Act </w:t>
      </w:r>
      <w:r w:rsidR="00953B70" w:rsidRPr="003B079C">
        <w:t>1890</w:t>
      </w:r>
      <w:r w:rsidR="00B237B6" w:rsidRPr="003B079C">
        <w:t>.  T</w:t>
      </w:r>
      <w:r w:rsidR="00953B70" w:rsidRPr="003B079C">
        <w:t xml:space="preserve">he </w:t>
      </w:r>
      <w:r w:rsidR="005818C3" w:rsidRPr="003B079C">
        <w:t>1890 Act</w:t>
      </w:r>
      <w:r w:rsidR="00953B70" w:rsidRPr="003B079C">
        <w:t xml:space="preserve"> </w:t>
      </w:r>
      <w:r w:rsidRPr="003B079C">
        <w:t>transferred the powers held by the Visiting Justices to the</w:t>
      </w:r>
      <w:r w:rsidR="00C41529" w:rsidRPr="003B079C">
        <w:t xml:space="preserve"> </w:t>
      </w:r>
      <w:r w:rsidRPr="003B079C">
        <w:t>County Council</w:t>
      </w:r>
      <w:r w:rsidR="00953B70" w:rsidRPr="003B079C">
        <w:t>s</w:t>
      </w:r>
      <w:r w:rsidR="004F5C92" w:rsidRPr="003B079C">
        <w:t xml:space="preserve"> created by the </w:t>
      </w:r>
      <w:r w:rsidR="005818C3" w:rsidRPr="003B079C">
        <w:t>1888 Act</w:t>
      </w:r>
      <w:r w:rsidR="00B237B6" w:rsidRPr="003B079C">
        <w:t xml:space="preserve">, </w:t>
      </w:r>
      <w:r w:rsidR="00F96539" w:rsidRPr="003B079C">
        <w:t>including responsibility</w:t>
      </w:r>
      <w:r w:rsidR="00B237B6" w:rsidRPr="003B079C">
        <w:t xml:space="preserve"> for administering asylums as well as exercising a power of discharge.</w:t>
      </w:r>
      <w:r w:rsidR="000B4082" w:rsidRPr="003B079C">
        <w:rPr>
          <w:rStyle w:val="FootnoteReference"/>
        </w:rPr>
        <w:footnoteReference w:id="94"/>
      </w:r>
      <w:r w:rsidR="00B237B6" w:rsidRPr="003B079C">
        <w:t xml:space="preserve">  </w:t>
      </w:r>
      <w:r w:rsidR="00F96539" w:rsidRPr="003B079C">
        <w:t>M</w:t>
      </w:r>
      <w:r w:rsidRPr="003B079C">
        <w:t xml:space="preserve">any of the </w:t>
      </w:r>
      <w:r w:rsidR="00B237B6" w:rsidRPr="003B079C">
        <w:t xml:space="preserve">members of the County Council Visiting Committees were </w:t>
      </w:r>
      <w:r w:rsidRPr="003B079C">
        <w:t xml:space="preserve">Justices </w:t>
      </w:r>
      <w:r w:rsidR="00B237B6" w:rsidRPr="003B079C">
        <w:t>who had previously sat on the old Visiting Committees, and who were then</w:t>
      </w:r>
      <w:r w:rsidRPr="003B079C">
        <w:t xml:space="preserve"> re-appointed as </w:t>
      </w:r>
      <w:r w:rsidRPr="003B079C">
        <w:rPr>
          <w:i/>
        </w:rPr>
        <w:t>ex officio</w:t>
      </w:r>
      <w:r w:rsidRPr="003B079C">
        <w:t xml:space="preserve"> members of the County Councils.</w:t>
      </w:r>
      <w:r w:rsidR="00953B70" w:rsidRPr="003B079C">
        <w:rPr>
          <w:rStyle w:val="FootnoteReference"/>
        </w:rPr>
        <w:footnoteReference w:id="95"/>
      </w:r>
      <w:r w:rsidRPr="003B079C">
        <w:t xml:space="preserve">  There may have started to be some </w:t>
      </w:r>
      <w:r w:rsidR="008A3E12" w:rsidRPr="003B079C">
        <w:t>disaggregation</w:t>
      </w:r>
      <w:r w:rsidRPr="003B079C">
        <w:t xml:space="preserve"> from the County Council as a consequence of the Mental Treatment Act 1930, which permitted individuals</w:t>
      </w:r>
      <w:r w:rsidR="00953B70" w:rsidRPr="003B079C">
        <w:t xml:space="preserve"> who were n</w:t>
      </w:r>
      <w:r w:rsidR="002901FB" w:rsidRPr="003B079C">
        <w:t>either</w:t>
      </w:r>
      <w:r w:rsidR="00953B70" w:rsidRPr="003B079C">
        <w:t xml:space="preserve"> elected </w:t>
      </w:r>
      <w:r w:rsidR="002901FB" w:rsidRPr="003B079C">
        <w:t>n</w:t>
      </w:r>
      <w:r w:rsidR="00953B70" w:rsidRPr="003B079C">
        <w:t xml:space="preserve">or </w:t>
      </w:r>
      <w:r w:rsidR="00953B70" w:rsidRPr="003B079C">
        <w:rPr>
          <w:i/>
        </w:rPr>
        <w:t>ex officio</w:t>
      </w:r>
      <w:r w:rsidR="00953B70" w:rsidRPr="003B079C">
        <w:t xml:space="preserve"> members of the County Council</w:t>
      </w:r>
      <w:r w:rsidRPr="003B079C">
        <w:t xml:space="preserve"> </w:t>
      </w:r>
      <w:r w:rsidR="001D2099" w:rsidRPr="003B079C">
        <w:t xml:space="preserve">(external persons) </w:t>
      </w:r>
      <w:r w:rsidRPr="003B079C">
        <w:t>to be co-opted onto the Visiting Committees,</w:t>
      </w:r>
      <w:r w:rsidR="004F5C92" w:rsidRPr="003B079C">
        <w:rPr>
          <w:rStyle w:val="FootnoteReference"/>
        </w:rPr>
        <w:footnoteReference w:id="96"/>
      </w:r>
      <w:r w:rsidRPr="003B079C">
        <w:t xml:space="preserve"> but</w:t>
      </w:r>
      <w:r w:rsidR="001D2099" w:rsidRPr="003B079C">
        <w:t xml:space="preserve"> there was inconsistency</w:t>
      </w:r>
      <w:r w:rsidR="00EB14CD" w:rsidRPr="003B079C">
        <w:t xml:space="preserve"> between localities</w:t>
      </w:r>
      <w:r w:rsidR="0044779C" w:rsidRPr="003B079C">
        <w:t xml:space="preserve"> here</w:t>
      </w:r>
      <w:r w:rsidRPr="003B079C">
        <w:t>.</w:t>
      </w:r>
      <w:r w:rsidR="004F5C92" w:rsidRPr="003B079C">
        <w:rPr>
          <w:rStyle w:val="FootnoteReference"/>
        </w:rPr>
        <w:footnoteReference w:id="97"/>
      </w:r>
      <w:r w:rsidR="003D3B08" w:rsidRPr="003B079C">
        <w:t xml:space="preserve">  However, the 1930 Act mark</w:t>
      </w:r>
      <w:r w:rsidR="00E759E1" w:rsidRPr="003B079C">
        <w:t>ed</w:t>
      </w:r>
      <w:r w:rsidR="003D3B08" w:rsidRPr="003B079C">
        <w:t xml:space="preserve"> the first time </w:t>
      </w:r>
      <w:r w:rsidR="001D2099" w:rsidRPr="003B079C">
        <w:t>that</w:t>
      </w:r>
      <w:r w:rsidR="003D3B08" w:rsidRPr="003B079C">
        <w:t xml:space="preserve"> the independence of those who were not involved in the</w:t>
      </w:r>
      <w:r w:rsidR="00DA0B8B" w:rsidRPr="003B079C">
        <w:t xml:space="preserve"> management of the </w:t>
      </w:r>
      <w:r w:rsidR="00EB14CD" w:rsidRPr="003B079C">
        <w:t>hospital</w:t>
      </w:r>
      <w:r w:rsidR="003D3B08" w:rsidRPr="003B079C">
        <w:t xml:space="preserve">, but had the power to discharge them, was made legally </w:t>
      </w:r>
      <w:r w:rsidR="003D3B08" w:rsidRPr="003B079C">
        <w:rPr>
          <w:i/>
        </w:rPr>
        <w:t>possible</w:t>
      </w:r>
      <w:r w:rsidR="003D3B08" w:rsidRPr="003B079C">
        <w:t>.</w:t>
      </w:r>
    </w:p>
    <w:p w14:paraId="291E45DB" w14:textId="7BFE60A6" w:rsidR="00E10A23" w:rsidRPr="003B079C" w:rsidRDefault="00E505E9" w:rsidP="00E4654B">
      <w:pPr>
        <w:spacing w:line="480" w:lineRule="auto"/>
      </w:pPr>
      <w:r w:rsidRPr="003B079C">
        <w:t>The</w:t>
      </w:r>
      <w:r w:rsidR="0030244E" w:rsidRPr="003B079C">
        <w:t xml:space="preserve"> </w:t>
      </w:r>
      <w:r w:rsidR="00E15C5E" w:rsidRPr="003B079C">
        <w:t xml:space="preserve">National Health Service (NHS) Act </w:t>
      </w:r>
      <w:r w:rsidR="0030244E" w:rsidRPr="003B079C">
        <w:t>1946</w:t>
      </w:r>
      <w:r w:rsidRPr="003B079C">
        <w:t>, which created the NHS, remove</w:t>
      </w:r>
      <w:r w:rsidR="004F5C92" w:rsidRPr="003B079C">
        <w:t>d</w:t>
      </w:r>
      <w:r w:rsidRPr="003B079C">
        <w:t xml:space="preserve"> the power of </w:t>
      </w:r>
      <w:r w:rsidR="00953B70" w:rsidRPr="003B079C">
        <w:t xml:space="preserve">discharge </w:t>
      </w:r>
      <w:r w:rsidRPr="003B079C">
        <w:t xml:space="preserve">from the local authority Visiting Committees, but only to transfer </w:t>
      </w:r>
      <w:r w:rsidR="001D2099" w:rsidRPr="003B079C">
        <w:t>it</w:t>
      </w:r>
      <w:r w:rsidR="004E2243" w:rsidRPr="003B079C">
        <w:t>,</w:t>
      </w:r>
      <w:r w:rsidRPr="003B079C">
        <w:t xml:space="preserve"> along with other powers and responsibilities</w:t>
      </w:r>
      <w:r w:rsidR="00953B70" w:rsidRPr="003B079C">
        <w:t xml:space="preserve"> including the administration of </w:t>
      </w:r>
      <w:r w:rsidR="00F96539" w:rsidRPr="003B079C">
        <w:t xml:space="preserve">mental </w:t>
      </w:r>
      <w:r w:rsidR="00953B70" w:rsidRPr="003B079C">
        <w:t>hospitals</w:t>
      </w:r>
      <w:r w:rsidR="00E759E1" w:rsidRPr="003B079C">
        <w:t>,</w:t>
      </w:r>
      <w:r w:rsidR="00F96539" w:rsidRPr="003B079C">
        <w:rPr>
          <w:rStyle w:val="FootnoteReference"/>
        </w:rPr>
        <w:footnoteReference w:id="98"/>
      </w:r>
      <w:r w:rsidRPr="003B079C">
        <w:t xml:space="preserve"> to Hospital Management Committees</w:t>
      </w:r>
      <w:r w:rsidR="00953B70" w:rsidRPr="003B079C">
        <w:t xml:space="preserve"> (HMCs)</w:t>
      </w:r>
      <w:r w:rsidR="00E15C5E" w:rsidRPr="003B079C">
        <w:t>.</w:t>
      </w:r>
      <w:r w:rsidR="00C54283" w:rsidRPr="003B079C">
        <w:rPr>
          <w:rStyle w:val="FootnoteReference"/>
        </w:rPr>
        <w:footnoteReference w:id="99"/>
      </w:r>
      <w:r w:rsidR="00E15C5E" w:rsidRPr="003B079C">
        <w:t xml:space="preserve">  The MHA 1959 adopted the same position.</w:t>
      </w:r>
      <w:r w:rsidR="00E15C5E" w:rsidRPr="003B079C">
        <w:rPr>
          <w:rStyle w:val="FootnoteReference"/>
        </w:rPr>
        <w:footnoteReference w:id="100"/>
      </w:r>
      <w:r w:rsidRPr="003B079C">
        <w:t xml:space="preserve">  </w:t>
      </w:r>
      <w:r w:rsidR="003D3B08" w:rsidRPr="003B079C">
        <w:t>Like the Visiting Committees before them,</w:t>
      </w:r>
      <w:r w:rsidRPr="003B079C">
        <w:t xml:space="preserve"> </w:t>
      </w:r>
      <w:r w:rsidR="002901FB" w:rsidRPr="003B079C">
        <w:t xml:space="preserve">HMCs were ultimately responsible for </w:t>
      </w:r>
      <w:r w:rsidR="00E759E1" w:rsidRPr="003B079C">
        <w:t xml:space="preserve">the </w:t>
      </w:r>
      <w:r w:rsidR="002901FB" w:rsidRPr="003B079C">
        <w:t xml:space="preserve">day-to-day administration of </w:t>
      </w:r>
      <w:r w:rsidR="009D6923" w:rsidRPr="003B079C">
        <w:t>the</w:t>
      </w:r>
      <w:r w:rsidR="00F96539" w:rsidRPr="003B079C">
        <w:t xml:space="preserve"> </w:t>
      </w:r>
      <w:r w:rsidR="002901FB" w:rsidRPr="003B079C">
        <w:t>hospitals, and</w:t>
      </w:r>
      <w:r w:rsidRPr="003B079C">
        <w:t xml:space="preserve"> could delegate their authority to sub-committees</w:t>
      </w:r>
      <w:r w:rsidR="00953B70" w:rsidRPr="003B079C">
        <w:t>,</w:t>
      </w:r>
      <w:r w:rsidRPr="003B079C">
        <w:t xml:space="preserve"> including </w:t>
      </w:r>
      <w:r w:rsidR="00953B70" w:rsidRPr="003B079C">
        <w:t xml:space="preserve">to </w:t>
      </w:r>
      <w:r w:rsidRPr="003B079C">
        <w:t>co-opted</w:t>
      </w:r>
      <w:r w:rsidR="004E2243" w:rsidRPr="003B079C">
        <w:t xml:space="preserve"> external</w:t>
      </w:r>
      <w:r w:rsidRPr="003B079C">
        <w:t xml:space="preserve"> members</w:t>
      </w:r>
      <w:r w:rsidR="002901FB" w:rsidRPr="003B079C">
        <w:t xml:space="preserve">. </w:t>
      </w:r>
      <w:r w:rsidR="003D3B08" w:rsidRPr="003B079C">
        <w:t xml:space="preserve"> </w:t>
      </w:r>
      <w:r w:rsidR="00E759E1" w:rsidRPr="003B079C">
        <w:t>I</w:t>
      </w:r>
      <w:r w:rsidR="003D3B08" w:rsidRPr="003B079C">
        <w:t xml:space="preserve">t remains unclear whether </w:t>
      </w:r>
      <w:r w:rsidRPr="003B079C">
        <w:t>those reaching decisions about exercising the power of discharge were</w:t>
      </w:r>
      <w:r w:rsidR="001D2099" w:rsidRPr="003B079C">
        <w:t xml:space="preserve"> also</w:t>
      </w:r>
      <w:r w:rsidRPr="003B079C">
        <w:t xml:space="preserve"> </w:t>
      </w:r>
      <w:r w:rsidR="004C4452" w:rsidRPr="003B079C">
        <w:t xml:space="preserve">involved </w:t>
      </w:r>
      <w:r w:rsidRPr="003B079C">
        <w:t xml:space="preserve">in </w:t>
      </w:r>
      <w:r w:rsidR="009D6923" w:rsidRPr="003B079C">
        <w:t xml:space="preserve">hospital </w:t>
      </w:r>
      <w:r w:rsidR="00EB14CD" w:rsidRPr="003B079C">
        <w:t>administration</w:t>
      </w:r>
      <w:r w:rsidR="0030244E" w:rsidRPr="003B079C">
        <w:t>, again, local practice is likely to have varied because of the lack of centrally promulgated guidance</w:t>
      </w:r>
      <w:r w:rsidR="003D3B08" w:rsidRPr="003B079C">
        <w:t>.</w:t>
      </w:r>
      <w:r w:rsidR="00E10A23" w:rsidRPr="003B079C">
        <w:t xml:space="preserve">  </w:t>
      </w:r>
    </w:p>
    <w:p w14:paraId="3347F082" w14:textId="139BAA17" w:rsidR="009F3206" w:rsidRPr="003B079C" w:rsidRDefault="0030244E" w:rsidP="00E4654B">
      <w:pPr>
        <w:spacing w:line="480" w:lineRule="auto"/>
      </w:pPr>
      <w:r w:rsidRPr="003B079C">
        <w:t>There is a lack of data regarding whether delegation too</w:t>
      </w:r>
      <w:r w:rsidR="009D6923" w:rsidRPr="003B079C">
        <w:t>k</w:t>
      </w:r>
      <w:r w:rsidRPr="003B079C">
        <w:t xml:space="preserve"> place in practice following the passage of the 1983 Act,</w:t>
      </w:r>
      <w:r w:rsidR="00E15C5E" w:rsidRPr="003B079C">
        <w:t xml:space="preserve"> which itself echoed the wording of the MHA 1959 provisions,</w:t>
      </w:r>
      <w:r w:rsidR="00E15C5E" w:rsidRPr="003B079C">
        <w:rPr>
          <w:vertAlign w:val="superscript"/>
        </w:rPr>
        <w:footnoteReference w:id="101"/>
      </w:r>
      <w:r w:rsidRPr="003B079C">
        <w:t xml:space="preserve"> and contemporaneous official sources are in dispute with one another</w:t>
      </w:r>
      <w:r w:rsidR="004F5CE9" w:rsidRPr="003B079C">
        <w:t xml:space="preserve"> as to whether delegation was permitted</w:t>
      </w:r>
      <w:r w:rsidRPr="003B079C">
        <w:t>.</w:t>
      </w:r>
      <w:r w:rsidR="00EB14CD" w:rsidRPr="003B079C">
        <w:rPr>
          <w:rStyle w:val="FootnoteReference"/>
        </w:rPr>
        <w:footnoteReference w:id="102"/>
      </w:r>
      <w:r w:rsidR="00EB14CD" w:rsidRPr="003B079C">
        <w:t xml:space="preserve"> </w:t>
      </w:r>
      <w:r w:rsidR="009F3206" w:rsidRPr="003B079C">
        <w:t xml:space="preserve">As such, it is again difficult to establish whether delegation to external independent persons </w:t>
      </w:r>
      <w:r w:rsidR="009D6923" w:rsidRPr="003B079C">
        <w:t>occurred</w:t>
      </w:r>
      <w:r w:rsidR="009F3206" w:rsidRPr="003B079C">
        <w:t xml:space="preserve">.  </w:t>
      </w:r>
      <w:r w:rsidR="00EB14CD" w:rsidRPr="003B079C">
        <w:t>Th</w:t>
      </w:r>
      <w:r w:rsidR="009F3206" w:rsidRPr="003B079C">
        <w:t>e</w:t>
      </w:r>
      <w:r w:rsidR="00EB14CD" w:rsidRPr="003B079C">
        <w:t xml:space="preserve"> confused picture</w:t>
      </w:r>
      <w:r w:rsidRPr="003B079C">
        <w:t xml:space="preserve"> in the years following the passage of the MHA 1983</w:t>
      </w:r>
      <w:r w:rsidR="00EB14CD" w:rsidRPr="003B079C">
        <w:t xml:space="preserve"> may have been due to the </w:t>
      </w:r>
      <w:r w:rsidR="009F3206" w:rsidRPr="003B079C">
        <w:t>failure of Parliament to consider</w:t>
      </w:r>
      <w:r w:rsidR="00EB14CD" w:rsidRPr="003B079C">
        <w:t xml:space="preserve"> the Managers’ discharge power </w:t>
      </w:r>
      <w:r w:rsidR="009F3206" w:rsidRPr="003B079C">
        <w:t>during the passage of the Mental Health (Amendment) Act 1982</w:t>
      </w:r>
      <w:r w:rsidR="00AF2FCA" w:rsidRPr="003B079C">
        <w:t>,</w:t>
      </w:r>
      <w:r w:rsidR="009F3206" w:rsidRPr="003B079C">
        <w:rPr>
          <w:rStyle w:val="FootnoteReference"/>
        </w:rPr>
        <w:footnoteReference w:id="103"/>
      </w:r>
      <w:r w:rsidR="009F3206" w:rsidRPr="003B079C">
        <w:t xml:space="preserve"> </w:t>
      </w:r>
      <w:r w:rsidR="00AF2FCA" w:rsidRPr="003B079C">
        <w:t>and the lack of a standardised procedure for carrying out hearings.</w:t>
      </w:r>
      <w:r w:rsidR="00AF2FCA" w:rsidRPr="003B079C">
        <w:rPr>
          <w:rStyle w:val="FootnoteReference"/>
        </w:rPr>
        <w:footnoteReference w:id="104"/>
      </w:r>
    </w:p>
    <w:p w14:paraId="7BC05D03" w14:textId="466A57CA" w:rsidR="00C858B3" w:rsidRPr="003B079C" w:rsidRDefault="00E10A23" w:rsidP="00E4654B">
      <w:pPr>
        <w:spacing w:line="480" w:lineRule="auto"/>
      </w:pPr>
      <w:r w:rsidRPr="003B079C">
        <w:t xml:space="preserve">However in the first half of the 1990s, the picture became </w:t>
      </w:r>
      <w:r w:rsidR="009D6923" w:rsidRPr="003B079C">
        <w:t xml:space="preserve">a little more </w:t>
      </w:r>
      <w:r w:rsidRPr="003B079C">
        <w:t xml:space="preserve">settled with the evident expectation that delegation to external persons </w:t>
      </w:r>
      <w:r w:rsidR="004F5CE9" w:rsidRPr="003B079C">
        <w:t xml:space="preserve">was </w:t>
      </w:r>
      <w:r w:rsidRPr="003B079C">
        <w:t>ordinary.</w:t>
      </w:r>
      <w:r w:rsidRPr="003B079C">
        <w:rPr>
          <w:rStyle w:val="FootnoteReference"/>
        </w:rPr>
        <w:footnoteReference w:id="105"/>
      </w:r>
      <w:r w:rsidR="009F3206" w:rsidRPr="003B079C">
        <w:t xml:space="preserve">  Nonetheless, while delegation </w:t>
      </w:r>
      <w:r w:rsidR="004F5CE9" w:rsidRPr="003B079C">
        <w:t>occurred</w:t>
      </w:r>
      <w:r w:rsidR="009F3206" w:rsidRPr="003B079C">
        <w:t xml:space="preserve">, this does not mean that those in receipt of the delegation were independent of those delegating </w:t>
      </w:r>
      <w:r w:rsidR="009D6923" w:rsidRPr="003B079C">
        <w:t>s.23</w:t>
      </w:r>
      <w:r w:rsidR="009F3206" w:rsidRPr="003B079C">
        <w:t xml:space="preserve"> authority.  </w:t>
      </w:r>
      <w:r w:rsidR="00707280" w:rsidRPr="003B079C">
        <w:t>For example, t</w:t>
      </w:r>
      <w:r w:rsidR="00C54283" w:rsidRPr="003B079C">
        <w:t xml:space="preserve">here </w:t>
      </w:r>
      <w:r w:rsidR="00E759E1" w:rsidRPr="003B079C">
        <w:t>was</w:t>
      </w:r>
      <w:r w:rsidR="00B80E9A" w:rsidRPr="003B079C">
        <w:t xml:space="preserve"> no require</w:t>
      </w:r>
      <w:r w:rsidR="007B4603" w:rsidRPr="003B079C">
        <w:t xml:space="preserve">ment in the first or second editions of the </w:t>
      </w:r>
      <w:r w:rsidR="007B4603" w:rsidRPr="003B079C">
        <w:rPr>
          <w:i/>
        </w:rPr>
        <w:t xml:space="preserve">Code </w:t>
      </w:r>
      <w:r w:rsidR="007B4603" w:rsidRPr="003B079C">
        <w:t>that</w:t>
      </w:r>
      <w:r w:rsidR="00E759E1" w:rsidRPr="003B079C">
        <w:t xml:space="preserve"> those</w:t>
      </w:r>
      <w:r w:rsidR="007B4603" w:rsidRPr="003B079C">
        <w:t xml:space="preserve"> exercising the s.23 power should</w:t>
      </w:r>
      <w:r w:rsidRPr="003B079C">
        <w:t xml:space="preserve"> be independent of the </w:t>
      </w:r>
      <w:r w:rsidR="005F3F24" w:rsidRPr="003B079C">
        <w:t xml:space="preserve">compelling </w:t>
      </w:r>
      <w:r w:rsidR="0064493A" w:rsidRPr="003B079C">
        <w:t>authority</w:t>
      </w:r>
      <w:r w:rsidR="007B4603" w:rsidRPr="003B079C">
        <w:t>.</w:t>
      </w:r>
      <w:r w:rsidR="006749C4" w:rsidRPr="003B079C">
        <w:rPr>
          <w:rStyle w:val="FootnoteReference"/>
        </w:rPr>
        <w:footnoteReference w:id="106"/>
      </w:r>
      <w:r w:rsidR="007B4603" w:rsidRPr="003B079C">
        <w:t xml:space="preserve">  </w:t>
      </w:r>
      <w:r w:rsidR="009F3206" w:rsidRPr="003B079C">
        <w:t xml:space="preserve">Furthermore, although </w:t>
      </w:r>
      <w:r w:rsidR="007B4603" w:rsidRPr="003B079C">
        <w:t xml:space="preserve">the principle </w:t>
      </w:r>
      <w:r w:rsidR="00E759E1" w:rsidRPr="003B079C">
        <w:t>was included</w:t>
      </w:r>
      <w:r w:rsidR="007B4603" w:rsidRPr="003B079C">
        <w:t xml:space="preserve"> in the third edition,</w:t>
      </w:r>
      <w:r w:rsidR="007B4603" w:rsidRPr="003B079C">
        <w:rPr>
          <w:rStyle w:val="FootnoteReference"/>
        </w:rPr>
        <w:footnoteReference w:id="107"/>
      </w:r>
      <w:r w:rsidR="007B4603" w:rsidRPr="003B079C">
        <w:t xml:space="preserve"> </w:t>
      </w:r>
      <w:r w:rsidR="00A155B1" w:rsidRPr="003B079C">
        <w:t>the</w:t>
      </w:r>
      <w:r w:rsidR="007B4603" w:rsidRPr="003B079C">
        <w:t xml:space="preserve"> emphasis</w:t>
      </w:r>
      <w:r w:rsidR="004C4452" w:rsidRPr="003B079C">
        <w:t xml:space="preserve"> in the text</w:t>
      </w:r>
      <w:r w:rsidR="007B4603" w:rsidRPr="003B079C">
        <w:t xml:space="preserve"> </w:t>
      </w:r>
      <w:r w:rsidR="00A155B1" w:rsidRPr="003B079C">
        <w:t xml:space="preserve">was </w:t>
      </w:r>
      <w:r w:rsidR="007B4603" w:rsidRPr="003B079C">
        <w:t>on the final decision resting with the</w:t>
      </w:r>
      <w:r w:rsidR="005F3F24" w:rsidRPr="003B079C">
        <w:t xml:space="preserve"> compelling</w:t>
      </w:r>
      <w:r w:rsidR="007B4603" w:rsidRPr="003B079C">
        <w:t xml:space="preserve"> authority.</w:t>
      </w:r>
      <w:r w:rsidR="007B4603" w:rsidRPr="003B079C">
        <w:rPr>
          <w:rStyle w:val="FootnoteReference"/>
        </w:rPr>
        <w:footnoteReference w:id="108"/>
      </w:r>
      <w:r w:rsidR="007B4603" w:rsidRPr="003B079C">
        <w:t xml:space="preserve">  </w:t>
      </w:r>
      <w:r w:rsidR="009F3206" w:rsidRPr="003B079C">
        <w:t xml:space="preserve">Taken in conjunction with the patchy practice of delegation throughout the twentieth century, </w:t>
      </w:r>
      <w:r w:rsidR="00C858B3" w:rsidRPr="003B079C">
        <w:t xml:space="preserve">the development of the </w:t>
      </w:r>
      <w:r w:rsidR="00C858B3" w:rsidRPr="003B079C">
        <w:rPr>
          <w:i/>
        </w:rPr>
        <w:t>Code</w:t>
      </w:r>
      <w:r w:rsidR="00C858B3" w:rsidRPr="003B079C">
        <w:t xml:space="preserve"> throughout the 1990s</w:t>
      </w:r>
      <w:r w:rsidR="009F3206" w:rsidRPr="003B079C">
        <w:t xml:space="preserve"> would appear to</w:t>
      </w:r>
      <w:r w:rsidR="004C4452" w:rsidRPr="003B079C">
        <w:t xml:space="preserve"> support the abolitionist </w:t>
      </w:r>
      <w:r w:rsidR="009F3206" w:rsidRPr="003B079C">
        <w:t>contention that the Managers are not independent.  In particular, that they appear to lack</w:t>
      </w:r>
      <w:r w:rsidR="00C858B3" w:rsidRPr="003B079C">
        <w:t xml:space="preserve"> decisional independence</w:t>
      </w:r>
      <w:r w:rsidR="00707280" w:rsidRPr="003B079C">
        <w:rPr>
          <w:rStyle w:val="FootnoteReference"/>
        </w:rPr>
        <w:footnoteReference w:id="109"/>
      </w:r>
      <w:r w:rsidR="009D6923" w:rsidRPr="003B079C">
        <w:t xml:space="preserve"> – </w:t>
      </w:r>
      <w:r w:rsidR="00707280" w:rsidRPr="003B079C">
        <w:t>the ability to make decisions free from external influence</w:t>
      </w:r>
      <w:r w:rsidR="00C858B3" w:rsidRPr="003B079C">
        <w:t>.  However,</w:t>
      </w:r>
      <w:r w:rsidR="009F3206" w:rsidRPr="003B079C">
        <w:t xml:space="preserve"> this </w:t>
      </w:r>
      <w:r w:rsidR="004F5CE9" w:rsidRPr="003B079C">
        <w:t>view</w:t>
      </w:r>
      <w:r w:rsidR="004F5CE9" w:rsidRPr="003B079C">
        <w:rPr>
          <w:i/>
        </w:rPr>
        <w:t xml:space="preserve"> </w:t>
      </w:r>
      <w:r w:rsidR="00C858B3" w:rsidRPr="003B079C">
        <w:t xml:space="preserve">is confounded by </w:t>
      </w:r>
      <w:r w:rsidR="007573A5" w:rsidRPr="003B079C">
        <w:t xml:space="preserve">the contemporary </w:t>
      </w:r>
      <w:r w:rsidR="00C858B3" w:rsidRPr="003B079C">
        <w:t>practices described in Hansard.</w:t>
      </w:r>
    </w:p>
    <w:p w14:paraId="42BAE27C" w14:textId="69358D81" w:rsidR="00AC69CC" w:rsidRPr="003B079C" w:rsidRDefault="00A155B1" w:rsidP="00E4654B">
      <w:pPr>
        <w:spacing w:line="480" w:lineRule="auto"/>
      </w:pPr>
      <w:r w:rsidRPr="003B079C">
        <w:t>A</w:t>
      </w:r>
      <w:r w:rsidR="009F3206" w:rsidRPr="003B079C">
        <w:t>n examination of</w:t>
      </w:r>
      <w:r w:rsidR="004C4452" w:rsidRPr="003B079C">
        <w:t xml:space="preserve"> </w:t>
      </w:r>
      <w:r w:rsidR="009D6923" w:rsidRPr="003B079C">
        <w:t>the parliamentary record</w:t>
      </w:r>
      <w:r w:rsidR="004C4452" w:rsidRPr="003B079C">
        <w:t xml:space="preserve"> </w:t>
      </w:r>
      <w:r w:rsidR="009F3206" w:rsidRPr="003B079C">
        <w:t>indicates</w:t>
      </w:r>
      <w:r w:rsidR="004C4452" w:rsidRPr="003B079C">
        <w:t xml:space="preserve"> that</w:t>
      </w:r>
      <w:r w:rsidR="00C858B3" w:rsidRPr="003B079C">
        <w:t xml:space="preserve">, from at least 1990, </w:t>
      </w:r>
      <w:r w:rsidR="00FA0F59" w:rsidRPr="003B079C">
        <w:t>Parliament</w:t>
      </w:r>
      <w:r w:rsidR="00707280" w:rsidRPr="003B079C">
        <w:t>’s intention was understood to be that</w:t>
      </w:r>
      <w:r w:rsidR="00C858B3" w:rsidRPr="003B079C">
        <w:t xml:space="preserve"> individual organisations</w:t>
      </w:r>
      <w:r w:rsidR="007573A5" w:rsidRPr="003B079C">
        <w:t xml:space="preserve"> gave</w:t>
      </w:r>
      <w:r w:rsidR="006749C4" w:rsidRPr="003B079C">
        <w:t xml:space="preserve"> </w:t>
      </w:r>
      <w:r w:rsidR="00AA4BDE" w:rsidRPr="003B079C">
        <w:t>the</w:t>
      </w:r>
      <w:r w:rsidR="006749C4" w:rsidRPr="003B079C">
        <w:t xml:space="preserve"> Managers</w:t>
      </w:r>
      <w:r w:rsidR="00C858B3" w:rsidRPr="003B079C">
        <w:t xml:space="preserve"> decisional independence</w:t>
      </w:r>
      <w:r w:rsidR="004C4452" w:rsidRPr="003B079C">
        <w:t>.</w:t>
      </w:r>
      <w:r w:rsidR="00112254" w:rsidRPr="003B079C">
        <w:t xml:space="preserve"> </w:t>
      </w:r>
      <w:r w:rsidR="004C4452" w:rsidRPr="003B079C">
        <w:t xml:space="preserve"> </w:t>
      </w:r>
      <w:r w:rsidR="00D04D96" w:rsidRPr="003B079C">
        <w:t>I</w:t>
      </w:r>
      <w:r w:rsidR="00707280" w:rsidRPr="003B079C">
        <w:t>n</w:t>
      </w:r>
      <w:r w:rsidR="004C4452" w:rsidRPr="003B079C">
        <w:t xml:space="preserve"> </w:t>
      </w:r>
      <w:r w:rsidR="00347EB9" w:rsidRPr="003B079C">
        <w:t>two</w:t>
      </w:r>
      <w:r w:rsidR="00E505E9" w:rsidRPr="003B079C">
        <w:t xml:space="preserve"> period</w:t>
      </w:r>
      <w:r w:rsidR="00347EB9" w:rsidRPr="003B079C">
        <w:t>s</w:t>
      </w:r>
      <w:r w:rsidR="004C4452" w:rsidRPr="003B079C">
        <w:t>, 1990-1994</w:t>
      </w:r>
      <w:r w:rsidR="00D04D96" w:rsidRPr="003B079C">
        <w:t xml:space="preserve"> </w:t>
      </w:r>
      <w:r w:rsidR="004C4452" w:rsidRPr="003B079C">
        <w:t>and 2003-2007,</w:t>
      </w:r>
      <w:r w:rsidR="007573A5" w:rsidRPr="003B079C">
        <w:t xml:space="preserve"> </w:t>
      </w:r>
      <w:r w:rsidR="00E505E9" w:rsidRPr="003B079C">
        <w:t xml:space="preserve">the </w:t>
      </w:r>
      <w:r w:rsidR="006749C4" w:rsidRPr="003B079C">
        <w:t xml:space="preserve">Managers </w:t>
      </w:r>
      <w:r w:rsidR="00E505E9" w:rsidRPr="003B079C">
        <w:t>were</w:t>
      </w:r>
      <w:r w:rsidR="00C54283" w:rsidRPr="003B079C">
        <w:t xml:space="preserve"> </w:t>
      </w:r>
      <w:r w:rsidR="007573A5" w:rsidRPr="003B079C">
        <w:t>not</w:t>
      </w:r>
      <w:r w:rsidR="00E505E9" w:rsidRPr="003B079C">
        <w:t xml:space="preserve"> independent of the </w:t>
      </w:r>
      <w:r w:rsidR="00F2721A" w:rsidRPr="003B079C">
        <w:t>managers</w:t>
      </w:r>
      <w:r w:rsidR="00707280" w:rsidRPr="003B079C">
        <w:t xml:space="preserve">.  </w:t>
      </w:r>
      <w:r w:rsidR="00D04D96" w:rsidRPr="003B079C">
        <w:t>However, Parliament’s reaction to this state of affairs indicates that this was not the inten</w:t>
      </w:r>
      <w:r w:rsidR="00A67C89" w:rsidRPr="003B079C">
        <w:t>ded position</w:t>
      </w:r>
      <w:r w:rsidR="00D04D96" w:rsidRPr="003B079C">
        <w:t xml:space="preserve">.  </w:t>
      </w:r>
      <w:r w:rsidR="00AC69CC" w:rsidRPr="003B079C">
        <w:t>T</w:t>
      </w:r>
      <w:r w:rsidRPr="003B079C">
        <w:t>here are t</w:t>
      </w:r>
      <w:r w:rsidR="00AC69CC" w:rsidRPr="003B079C">
        <w:t xml:space="preserve">wo caveats here.  </w:t>
      </w:r>
      <w:r w:rsidR="009D6923" w:rsidRPr="003B079C">
        <w:t>F</w:t>
      </w:r>
      <w:r w:rsidR="00AC69CC" w:rsidRPr="003B079C">
        <w:t>irst</w:t>
      </w:r>
      <w:r w:rsidR="009D6923" w:rsidRPr="003B079C">
        <w:t>,</w:t>
      </w:r>
      <w:r w:rsidR="00AC69CC" w:rsidRPr="003B079C">
        <w:t xml:space="preserve"> the</w:t>
      </w:r>
      <w:r w:rsidR="00D04D96" w:rsidRPr="003B079C">
        <w:t xml:space="preserve"> legislation</w:t>
      </w:r>
      <w:r w:rsidR="00AC69CC" w:rsidRPr="003B079C">
        <w:t xml:space="preserve"> only affected those organisations which </w:t>
      </w:r>
      <w:r w:rsidR="00A16B79" w:rsidRPr="003B079C">
        <w:t xml:space="preserve">had transitioned </w:t>
      </w:r>
      <w:r w:rsidR="00AC69CC" w:rsidRPr="003B079C">
        <w:t>to the new administrative structure</w:t>
      </w:r>
      <w:r w:rsidR="00A16B79" w:rsidRPr="003B079C">
        <w:t xml:space="preserve"> </w:t>
      </w:r>
      <w:r w:rsidR="00AC69CC" w:rsidRPr="003B079C">
        <w:t>created by the Act</w:t>
      </w:r>
      <w:r w:rsidR="00C54283" w:rsidRPr="003B079C">
        <w:t>s in question</w:t>
      </w:r>
      <w:r w:rsidR="00AC69CC" w:rsidRPr="003B079C">
        <w:t>.</w:t>
      </w:r>
      <w:r w:rsidR="00C54283" w:rsidRPr="003B079C">
        <w:rPr>
          <w:rStyle w:val="FootnoteReference"/>
        </w:rPr>
        <w:footnoteReference w:id="110"/>
      </w:r>
      <w:r w:rsidR="00AC69CC" w:rsidRPr="003B079C">
        <w:t xml:space="preserve">  The second is more significant.  </w:t>
      </w:r>
      <w:r w:rsidR="00C602D9" w:rsidRPr="003B079C">
        <w:t>Although within the two periods</w:t>
      </w:r>
      <w:r w:rsidRPr="003B079C">
        <w:t>, as I show below,</w:t>
      </w:r>
      <w:r w:rsidR="00C602D9" w:rsidRPr="003B079C">
        <w:t xml:space="preserve"> </w:t>
      </w:r>
      <w:r w:rsidR="00D04D96" w:rsidRPr="003B079C">
        <w:t>Parliament intended that the Managers possess</w:t>
      </w:r>
      <w:r w:rsidR="00C602D9" w:rsidRPr="003B079C">
        <w:t xml:space="preserve"> </w:t>
      </w:r>
      <w:r w:rsidRPr="003B079C">
        <w:t>decisional</w:t>
      </w:r>
      <w:r w:rsidR="00C602D9" w:rsidRPr="003B079C">
        <w:t xml:space="preserve"> independence, </w:t>
      </w:r>
      <w:r w:rsidR="00AC69CC" w:rsidRPr="003B079C">
        <w:t>in the years between 1994 and 2003 and especially in 1996, Parliament took a different view.</w:t>
      </w:r>
      <w:r w:rsidR="00AC69CC" w:rsidRPr="003B079C">
        <w:rPr>
          <w:rStyle w:val="FootnoteReference"/>
        </w:rPr>
        <w:footnoteReference w:id="111"/>
      </w:r>
      <w:r w:rsidR="00AC69CC" w:rsidRPr="003B079C">
        <w:t xml:space="preserve">  This suggests that Parliament’s intention vis-à-vis the Managers’ was unsettled </w:t>
      </w:r>
      <w:r w:rsidR="00C602D9" w:rsidRPr="003B079C">
        <w:t>throughout the</w:t>
      </w:r>
      <w:r w:rsidR="00AC69CC" w:rsidRPr="003B079C">
        <w:t xml:space="preserve"> period</w:t>
      </w:r>
      <w:r w:rsidR="00C602D9" w:rsidRPr="003B079C">
        <w:t xml:space="preserve"> from 1990 to 2007</w:t>
      </w:r>
      <w:r w:rsidR="00AC69CC" w:rsidRPr="003B079C">
        <w:t>.</w:t>
      </w:r>
    </w:p>
    <w:p w14:paraId="5937B3D1" w14:textId="78B6BE91" w:rsidR="00E505E9" w:rsidRPr="003B079C" w:rsidRDefault="00E505E9" w:rsidP="00E4654B">
      <w:pPr>
        <w:spacing w:line="480" w:lineRule="auto"/>
      </w:pPr>
      <w:r w:rsidRPr="003B079C">
        <w:t xml:space="preserve">The </w:t>
      </w:r>
      <w:r w:rsidR="0064493A" w:rsidRPr="003B079C">
        <w:t xml:space="preserve">root cause </w:t>
      </w:r>
      <w:r w:rsidR="00AC69CC" w:rsidRPr="003B079C">
        <w:t>of the difficulties</w:t>
      </w:r>
      <w:r w:rsidR="00A16B79" w:rsidRPr="003B079C">
        <w:t xml:space="preserve"> </w:t>
      </w:r>
      <w:r w:rsidR="00AC69CC" w:rsidRPr="003B079C">
        <w:t>between 1990-1994 and 2003-2007</w:t>
      </w:r>
      <w:r w:rsidR="00A155B1" w:rsidRPr="003B079C">
        <w:t>,</w:t>
      </w:r>
      <w:r w:rsidR="00AC69CC" w:rsidRPr="003B079C">
        <w:t xml:space="preserve"> </w:t>
      </w:r>
      <w:r w:rsidR="00B844E1" w:rsidRPr="003B079C">
        <w:t>lies</w:t>
      </w:r>
      <w:r w:rsidRPr="003B079C">
        <w:t xml:space="preserve"> in </w:t>
      </w:r>
      <w:r w:rsidR="00AC69CC" w:rsidRPr="003B079C">
        <w:t xml:space="preserve">the failure to amend </w:t>
      </w:r>
      <w:r w:rsidRPr="003B079C">
        <w:t xml:space="preserve">s.145 of the </w:t>
      </w:r>
      <w:r w:rsidR="009D6923" w:rsidRPr="003B079C">
        <w:t>MHA 1983</w:t>
      </w:r>
      <w:r w:rsidR="00AC69CC" w:rsidRPr="003B079C">
        <w:t xml:space="preserve"> to reflect administrative changes to the </w:t>
      </w:r>
      <w:r w:rsidR="00D90A8D" w:rsidRPr="003B079C">
        <w:t xml:space="preserve">structure of the </w:t>
      </w:r>
      <w:r w:rsidR="00AC69CC" w:rsidRPr="003B079C">
        <w:t>NHS</w:t>
      </w:r>
      <w:r w:rsidR="00B844E1" w:rsidRPr="003B079C">
        <w:t>.  As enacted, s.145</w:t>
      </w:r>
      <w:r w:rsidRPr="003B079C">
        <w:t xml:space="preserve"> provide</w:t>
      </w:r>
      <w:r w:rsidR="00B844E1" w:rsidRPr="003B079C">
        <w:t>d</w:t>
      </w:r>
      <w:r w:rsidRPr="003B079C">
        <w:t xml:space="preserve"> that a hospital </w:t>
      </w:r>
      <w:r w:rsidR="00B844E1" w:rsidRPr="003B079C">
        <w:t xml:space="preserve">was an </w:t>
      </w:r>
      <w:r w:rsidRPr="003B079C">
        <w:t>organisation operating under the</w:t>
      </w:r>
      <w:r w:rsidR="00BF69ED" w:rsidRPr="003B079C">
        <w:t xml:space="preserve"> NHS</w:t>
      </w:r>
      <w:r w:rsidRPr="003B079C">
        <w:t xml:space="preserve"> </w:t>
      </w:r>
      <w:r w:rsidR="00BF69ED" w:rsidRPr="003B079C">
        <w:t>Act</w:t>
      </w:r>
      <w:r w:rsidR="009D6923" w:rsidRPr="003B079C">
        <w:t xml:space="preserve"> </w:t>
      </w:r>
      <w:r w:rsidRPr="003B079C">
        <w:t>1977,</w:t>
      </w:r>
      <w:r w:rsidR="00B844E1" w:rsidRPr="003B079C">
        <w:rPr>
          <w:rStyle w:val="FootnoteReference"/>
        </w:rPr>
        <w:footnoteReference w:id="112"/>
      </w:r>
      <w:r w:rsidRPr="003B079C">
        <w:t xml:space="preserve"> and </w:t>
      </w:r>
      <w:r w:rsidR="009449F9" w:rsidRPr="003B079C">
        <w:t xml:space="preserve">defined the </w:t>
      </w:r>
      <w:r w:rsidRPr="003B079C">
        <w:t>managers</w:t>
      </w:r>
      <w:r w:rsidR="00AC69CC" w:rsidRPr="003B079C">
        <w:t xml:space="preserve"> of the hospital</w:t>
      </w:r>
      <w:r w:rsidRPr="003B079C">
        <w:t xml:space="preserve"> as the</w:t>
      </w:r>
      <w:r w:rsidR="00B844E1" w:rsidRPr="003B079C">
        <w:t xml:space="preserve"> corporate body</w:t>
      </w:r>
      <w:r w:rsidR="00AC69CC" w:rsidRPr="003B079C">
        <w:t xml:space="preserve"> itself</w:t>
      </w:r>
      <w:r w:rsidRPr="003B079C">
        <w:t>.  Th</w:t>
      </w:r>
      <w:r w:rsidR="00A155B1" w:rsidRPr="003B079C">
        <w:t>is</w:t>
      </w:r>
      <w:r w:rsidR="00AC69CC" w:rsidRPr="003B079C">
        <w:t xml:space="preserve"> </w:t>
      </w:r>
      <w:r w:rsidRPr="003B079C">
        <w:t>definition is relevant because only those fulfilling the</w:t>
      </w:r>
      <w:r w:rsidR="00AC69CC" w:rsidRPr="003B079C">
        <w:t>se</w:t>
      </w:r>
      <w:r w:rsidRPr="003B079C">
        <w:t xml:space="preserve"> criteria</w:t>
      </w:r>
      <w:r w:rsidR="00FA4941" w:rsidRPr="003B079C">
        <w:t xml:space="preserve">, and those to whom the power </w:t>
      </w:r>
      <w:r w:rsidR="00D04D96" w:rsidRPr="003B079C">
        <w:t xml:space="preserve">can </w:t>
      </w:r>
      <w:r w:rsidR="00FA4941" w:rsidRPr="003B079C">
        <w:t>be delegated,</w:t>
      </w:r>
      <w:r w:rsidRPr="003B079C">
        <w:t xml:space="preserve"> </w:t>
      </w:r>
      <w:r w:rsidR="00D04D96" w:rsidRPr="003B079C">
        <w:t>can</w:t>
      </w:r>
      <w:r w:rsidR="00FD47CC" w:rsidRPr="003B079C">
        <w:t xml:space="preserve"> exercise</w:t>
      </w:r>
      <w:r w:rsidRPr="003B079C">
        <w:t xml:space="preserve"> the</w:t>
      </w:r>
      <w:r w:rsidR="00B844E1" w:rsidRPr="003B079C">
        <w:t xml:space="preserve"> </w:t>
      </w:r>
      <w:r w:rsidR="00D90A8D" w:rsidRPr="003B079C">
        <w:t xml:space="preserve">MHA </w:t>
      </w:r>
      <w:r w:rsidR="00AC69CC" w:rsidRPr="003B079C">
        <w:t>1983 s.23 powers</w:t>
      </w:r>
      <w:r w:rsidRPr="003B079C">
        <w:t>.</w:t>
      </w:r>
      <w:r w:rsidR="00347EB9" w:rsidRPr="003B079C">
        <w:t xml:space="preserve">  Thus</w:t>
      </w:r>
      <w:r w:rsidR="00A155B1" w:rsidRPr="003B079C">
        <w:t>,</w:t>
      </w:r>
      <w:r w:rsidR="00347EB9" w:rsidRPr="003B079C">
        <w:t xml:space="preserve"> who or what constitute</w:t>
      </w:r>
      <w:r w:rsidR="00D04D96" w:rsidRPr="003B079C">
        <w:t>s</w:t>
      </w:r>
      <w:r w:rsidR="00347EB9" w:rsidRPr="003B079C">
        <w:t xml:space="preserve"> a manager </w:t>
      </w:r>
      <w:r w:rsidR="00D04D96" w:rsidRPr="003B079C">
        <w:t>i</w:t>
      </w:r>
      <w:r w:rsidR="00347EB9" w:rsidRPr="003B079C">
        <w:t>s important.</w:t>
      </w:r>
      <w:r w:rsidR="007573A5" w:rsidRPr="003B079C">
        <w:t xml:space="preserve">  In 1990 and again in 2003, the NHS underwent reorganisation</w:t>
      </w:r>
      <w:r w:rsidR="00D04D96" w:rsidRPr="003B079C">
        <w:t>s</w:t>
      </w:r>
      <w:r w:rsidR="007573A5" w:rsidRPr="003B079C">
        <w:t xml:space="preserve"> which had the effect of creating new organisations </w:t>
      </w:r>
      <w:r w:rsidR="009D6923" w:rsidRPr="003B079C">
        <w:t>(</w:t>
      </w:r>
      <w:r w:rsidR="007573A5" w:rsidRPr="003B079C">
        <w:t>managers</w:t>
      </w:r>
      <w:r w:rsidR="009D6923" w:rsidRPr="003B079C">
        <w:t>)</w:t>
      </w:r>
      <w:r w:rsidR="00AC69CC" w:rsidRPr="003B079C">
        <w:t xml:space="preserve"> </w:t>
      </w:r>
      <w:r w:rsidR="00AC69CC" w:rsidRPr="003B079C">
        <w:rPr>
          <w:i/>
        </w:rPr>
        <w:t>not</w:t>
      </w:r>
      <w:r w:rsidR="00AC69CC" w:rsidRPr="003B079C">
        <w:t xml:space="preserve"> covered by s.145</w:t>
      </w:r>
      <w:r w:rsidR="00E15CB3" w:rsidRPr="003B079C">
        <w:t>.</w:t>
      </w:r>
      <w:r w:rsidR="00A16B79" w:rsidRPr="003B079C">
        <w:rPr>
          <w:rStyle w:val="FootnoteReference"/>
        </w:rPr>
        <w:footnoteReference w:id="113"/>
      </w:r>
    </w:p>
    <w:p w14:paraId="48FA4F16" w14:textId="15B9A6E2" w:rsidR="00E505E9" w:rsidRPr="003B079C" w:rsidRDefault="00E505E9" w:rsidP="00E4654B">
      <w:pPr>
        <w:spacing w:line="480" w:lineRule="auto"/>
      </w:pPr>
      <w:r w:rsidRPr="003B079C">
        <w:t>The NHS and Community Care Act 1990 created</w:t>
      </w:r>
      <w:r w:rsidR="0054405D" w:rsidRPr="003B079C">
        <w:t>, among other things,</w:t>
      </w:r>
      <w:r w:rsidRPr="003B079C">
        <w:t xml:space="preserve"> NHS </w:t>
      </w:r>
      <w:r w:rsidR="001A633F" w:rsidRPr="003B079C">
        <w:t>t</w:t>
      </w:r>
      <w:r w:rsidRPr="003B079C">
        <w:t>rusts</w:t>
      </w:r>
      <w:r w:rsidR="00E0066F" w:rsidRPr="003B079C">
        <w:t xml:space="preserve"> with boards that included Non-Executive Directors</w:t>
      </w:r>
      <w:r w:rsidRPr="003B079C">
        <w:t>.</w:t>
      </w:r>
      <w:r w:rsidRPr="003B079C">
        <w:rPr>
          <w:vertAlign w:val="superscript"/>
        </w:rPr>
        <w:footnoteReference w:id="114"/>
      </w:r>
      <w:r w:rsidRPr="003B079C">
        <w:t xml:space="preserve">  In view </w:t>
      </w:r>
      <w:r w:rsidR="0064493A" w:rsidRPr="003B079C">
        <w:t xml:space="preserve">of </w:t>
      </w:r>
      <w:r w:rsidR="007573A5" w:rsidRPr="003B079C">
        <w:t>previous</w:t>
      </w:r>
      <w:r w:rsidRPr="003B079C">
        <w:t xml:space="preserve"> reorganisation</w:t>
      </w:r>
      <w:r w:rsidR="007573A5" w:rsidRPr="003B079C">
        <w:t>s</w:t>
      </w:r>
      <w:r w:rsidRPr="003B079C">
        <w:t xml:space="preserve">, one would </w:t>
      </w:r>
      <w:r w:rsidR="0064493A" w:rsidRPr="003B079C">
        <w:t xml:space="preserve">have </w:t>
      </w:r>
      <w:r w:rsidRPr="003B079C">
        <w:t>expect</w:t>
      </w:r>
      <w:r w:rsidR="0064493A" w:rsidRPr="003B079C">
        <w:t>ed</w:t>
      </w:r>
      <w:r w:rsidRPr="003B079C">
        <w:t xml:space="preserve"> the 1990 Act to have </w:t>
      </w:r>
      <w:r w:rsidR="007573A5" w:rsidRPr="003B079C">
        <w:t xml:space="preserve">replicated the existing authority to delegate s.23 powers, and </w:t>
      </w:r>
      <w:r w:rsidR="00C602D9" w:rsidRPr="003B079C">
        <w:t xml:space="preserve">to have </w:t>
      </w:r>
      <w:r w:rsidR="007573A5" w:rsidRPr="003B079C">
        <w:t xml:space="preserve">amended the definition of ‘manager’ </w:t>
      </w:r>
      <w:r w:rsidR="003C0029" w:rsidRPr="003B079C">
        <w:t>in s.145</w:t>
      </w:r>
      <w:r w:rsidR="00D11EF4" w:rsidRPr="003B079C">
        <w:t xml:space="preserve"> MHA 1983 accordingly</w:t>
      </w:r>
      <w:r w:rsidRPr="003B079C">
        <w:t xml:space="preserve">.  Yet, buried within Schedule 9 of the </w:t>
      </w:r>
      <w:r w:rsidR="00C602D9" w:rsidRPr="003B079C">
        <w:t xml:space="preserve">1990 </w:t>
      </w:r>
      <w:r w:rsidRPr="003B079C">
        <w:t>Act lay three seemingly innocuous words</w:t>
      </w:r>
      <w:r w:rsidR="00FA4941" w:rsidRPr="003B079C">
        <w:t xml:space="preserve"> –</w:t>
      </w:r>
      <w:r w:rsidRPr="003B079C">
        <w:t xml:space="preserve"> ‘the directors of’ </w:t>
      </w:r>
      <w:r w:rsidR="00FA4941" w:rsidRPr="003B079C">
        <w:t>–</w:t>
      </w:r>
      <w:r w:rsidR="00C602D9" w:rsidRPr="003B079C">
        <w:t xml:space="preserve"> </w:t>
      </w:r>
      <w:r w:rsidRPr="003B079C">
        <w:t xml:space="preserve">to be inserted into s.145 </w:t>
      </w:r>
      <w:r w:rsidR="00D11EF4" w:rsidRPr="003B079C">
        <w:t>MHA</w:t>
      </w:r>
      <w:r w:rsidRPr="003B079C">
        <w:t xml:space="preserve"> 1983.  The amendment </w:t>
      </w:r>
      <w:r w:rsidR="0064493A" w:rsidRPr="003B079C">
        <w:t>was</w:t>
      </w:r>
      <w:r w:rsidR="002D66E0" w:rsidRPr="003B079C">
        <w:t xml:space="preserve"> </w:t>
      </w:r>
      <w:r w:rsidRPr="003B079C">
        <w:t>presented</w:t>
      </w:r>
      <w:r w:rsidR="0064493A" w:rsidRPr="003B079C">
        <w:t xml:space="preserve"> with </w:t>
      </w:r>
      <w:r w:rsidR="003C0029" w:rsidRPr="003B079C">
        <w:t xml:space="preserve">a collection of </w:t>
      </w:r>
      <w:r w:rsidR="0064493A" w:rsidRPr="003B079C">
        <w:t>other amendments</w:t>
      </w:r>
      <w:r w:rsidR="003C0029" w:rsidRPr="003B079C">
        <w:t xml:space="preserve"> </w:t>
      </w:r>
      <w:r w:rsidR="0064493A" w:rsidRPr="003B079C">
        <w:t>as</w:t>
      </w:r>
      <w:r w:rsidRPr="003B079C">
        <w:t xml:space="preserve"> ‘minor changes to existing legislation consequential on the setting up of </w:t>
      </w:r>
      <w:r w:rsidR="003C0029" w:rsidRPr="003B079C">
        <w:t>[NHS]</w:t>
      </w:r>
      <w:r w:rsidRPr="003B079C">
        <w:t xml:space="preserve"> </w:t>
      </w:r>
      <w:r w:rsidR="00D11EF4" w:rsidRPr="003B079C">
        <w:t>t</w:t>
      </w:r>
      <w:r w:rsidRPr="003B079C">
        <w:t>rusts’</w:t>
      </w:r>
      <w:r w:rsidR="0064493A" w:rsidRPr="003B079C">
        <w:t>;</w:t>
      </w:r>
      <w:r w:rsidRPr="003B079C">
        <w:rPr>
          <w:vertAlign w:val="superscript"/>
        </w:rPr>
        <w:footnoteReference w:id="115"/>
      </w:r>
      <w:r w:rsidRPr="003B079C">
        <w:t xml:space="preserve"> </w:t>
      </w:r>
      <w:r w:rsidR="00FD47CC" w:rsidRPr="003B079C">
        <w:t>a housekeeping</w:t>
      </w:r>
      <w:r w:rsidR="0064493A" w:rsidRPr="003B079C">
        <w:t>, continuity</w:t>
      </w:r>
      <w:r w:rsidR="00FD47CC" w:rsidRPr="003B079C">
        <w:t xml:space="preserve"> amendment.</w:t>
      </w:r>
      <w:r w:rsidR="007117A9" w:rsidRPr="003B079C">
        <w:rPr>
          <w:rStyle w:val="FootnoteReference"/>
        </w:rPr>
        <w:footnoteReference w:id="116"/>
      </w:r>
      <w:r w:rsidR="00FD47CC" w:rsidRPr="003B079C">
        <w:t xml:space="preserve">  </w:t>
      </w:r>
      <w:r w:rsidR="0064493A" w:rsidRPr="003B079C">
        <w:t>T</w:t>
      </w:r>
      <w:r w:rsidRPr="003B079C">
        <w:t xml:space="preserve">he amendment was </w:t>
      </w:r>
      <w:r w:rsidR="00A67C89" w:rsidRPr="003B079C">
        <w:t xml:space="preserve">subsequently </w:t>
      </w:r>
      <w:r w:rsidRPr="003B079C">
        <w:t xml:space="preserve">considered summarily and left to stand when the </w:t>
      </w:r>
      <w:r w:rsidR="003C0029" w:rsidRPr="003B079C">
        <w:t xml:space="preserve">Lords’ </w:t>
      </w:r>
      <w:r w:rsidRPr="003B079C">
        <w:t>amendments were returned to the Commons.</w:t>
      </w:r>
      <w:r w:rsidRPr="003B079C">
        <w:rPr>
          <w:vertAlign w:val="superscript"/>
        </w:rPr>
        <w:footnoteReference w:id="117"/>
      </w:r>
    </w:p>
    <w:p w14:paraId="5C13B65A" w14:textId="0E43D64A" w:rsidR="002D66E0" w:rsidRPr="003B079C" w:rsidRDefault="00E505E9" w:rsidP="00E4654B">
      <w:pPr>
        <w:spacing w:line="480" w:lineRule="auto"/>
      </w:pPr>
      <w:r w:rsidRPr="003B079C">
        <w:t xml:space="preserve">The consequences of these words </w:t>
      </w:r>
      <w:r w:rsidR="00A67C89" w:rsidRPr="003B079C">
        <w:t xml:space="preserve">were </w:t>
      </w:r>
      <w:r w:rsidR="00BC5567" w:rsidRPr="003B079C">
        <w:t>significant</w:t>
      </w:r>
      <w:r w:rsidRPr="003B079C">
        <w:t xml:space="preserve">.  </w:t>
      </w:r>
      <w:r w:rsidR="002D66E0" w:rsidRPr="003B079C">
        <w:t xml:space="preserve">In view of the historical format of s.145, the specification of </w:t>
      </w:r>
      <w:r w:rsidR="00BC5567" w:rsidRPr="003B079C">
        <w:t>t</w:t>
      </w:r>
      <w:r w:rsidR="002D66E0" w:rsidRPr="003B079C">
        <w:t>rust directors</w:t>
      </w:r>
      <w:r w:rsidR="00BC5567" w:rsidRPr="003B079C">
        <w:t>, not the trusts themselves,</w:t>
      </w:r>
      <w:r w:rsidR="002D66E0" w:rsidRPr="003B079C">
        <w:t xml:space="preserve"> as the </w:t>
      </w:r>
      <w:r w:rsidR="00860090" w:rsidRPr="003B079C">
        <w:t>M</w:t>
      </w:r>
      <w:r w:rsidR="002D66E0" w:rsidRPr="003B079C">
        <w:t xml:space="preserve">anagers, and the absence of any indication that the authority could be delegated, the only way to read these words was to require that the directors </w:t>
      </w:r>
      <w:r w:rsidR="0064493A" w:rsidRPr="003B079C">
        <w:rPr>
          <w:i/>
        </w:rPr>
        <w:t>personally</w:t>
      </w:r>
      <w:r w:rsidR="0064493A" w:rsidRPr="003B079C">
        <w:t xml:space="preserve"> </w:t>
      </w:r>
      <w:r w:rsidR="002D66E0" w:rsidRPr="003B079C">
        <w:t xml:space="preserve">carry out the s.23 process.  </w:t>
      </w:r>
      <w:r w:rsidR="00860090" w:rsidRPr="003B079C">
        <w:t>Following a written question from Liz Lynne MP, the then Under-Secretary of State for Health John Bowis MP responded that primary legislation would be necessary to correct the ‘problem.’</w:t>
      </w:r>
      <w:r w:rsidR="00860090" w:rsidRPr="003B079C">
        <w:rPr>
          <w:vertAlign w:val="superscript"/>
        </w:rPr>
        <w:footnoteReference w:id="118"/>
      </w:r>
      <w:r w:rsidR="00860090" w:rsidRPr="003B079C">
        <w:t xml:space="preserve">  From 1990 until the passage of corrective legislation in 1994,</w:t>
      </w:r>
      <w:r w:rsidR="00860090" w:rsidRPr="003B079C">
        <w:rPr>
          <w:rStyle w:val="FootnoteReference"/>
        </w:rPr>
        <w:footnoteReference w:id="119"/>
      </w:r>
      <w:r w:rsidR="002D66E0" w:rsidRPr="003B079C">
        <w:t xml:space="preserve"> the</w:t>
      </w:r>
      <w:r w:rsidR="00860090" w:rsidRPr="003B079C">
        <w:t xml:space="preserve"> three</w:t>
      </w:r>
      <w:r w:rsidR="002D66E0" w:rsidRPr="003B079C">
        <w:t xml:space="preserve"> words created severe difficulties for the</w:t>
      </w:r>
      <w:r w:rsidR="0064493A" w:rsidRPr="003B079C">
        <w:t xml:space="preserve"> </w:t>
      </w:r>
      <w:r w:rsidR="002D66E0" w:rsidRPr="003B079C">
        <w:t xml:space="preserve">Chairs and </w:t>
      </w:r>
      <w:r w:rsidR="00BF69ED" w:rsidRPr="003B079C">
        <w:t>N</w:t>
      </w:r>
      <w:r w:rsidR="002D66E0" w:rsidRPr="003B079C">
        <w:t>on-</w:t>
      </w:r>
      <w:r w:rsidR="00BF69ED" w:rsidRPr="003B079C">
        <w:t>E</w:t>
      </w:r>
      <w:r w:rsidR="002D66E0" w:rsidRPr="003B079C">
        <w:t xml:space="preserve">xecutive </w:t>
      </w:r>
      <w:r w:rsidR="00BF69ED" w:rsidRPr="003B079C">
        <w:t>D</w:t>
      </w:r>
      <w:r w:rsidR="002D66E0" w:rsidRPr="003B079C">
        <w:t xml:space="preserve">irectors of all NHS </w:t>
      </w:r>
      <w:r w:rsidR="001A633F" w:rsidRPr="003B079C">
        <w:t>t</w:t>
      </w:r>
      <w:r w:rsidR="002D66E0" w:rsidRPr="003B079C">
        <w:t xml:space="preserve">rusts treating </w:t>
      </w:r>
      <w:r w:rsidR="00860090" w:rsidRPr="003B079C">
        <w:t>people under</w:t>
      </w:r>
      <w:r w:rsidR="002D66E0" w:rsidRPr="003B079C">
        <w:t xml:space="preserve"> the 1983 Act.</w:t>
      </w:r>
      <w:r w:rsidR="002D66E0" w:rsidRPr="003B079C">
        <w:rPr>
          <w:vertAlign w:val="superscript"/>
        </w:rPr>
        <w:footnoteReference w:id="120"/>
      </w:r>
      <w:r w:rsidR="002D66E0" w:rsidRPr="003B079C">
        <w:t xml:space="preserve"> </w:t>
      </w:r>
      <w:r w:rsidR="00860090" w:rsidRPr="003B079C">
        <w:t xml:space="preserve"> </w:t>
      </w:r>
      <w:r w:rsidR="00EE4990" w:rsidRPr="003B079C">
        <w:t xml:space="preserve">There were only a handful of such managers in each </w:t>
      </w:r>
      <w:r w:rsidR="001A633F" w:rsidRPr="003B079C">
        <w:t>t</w:t>
      </w:r>
      <w:r w:rsidR="00EE4990" w:rsidRPr="003B079C">
        <w:t>rust,</w:t>
      </w:r>
      <w:r w:rsidR="00560958" w:rsidRPr="003B079C">
        <w:rPr>
          <w:rStyle w:val="FootnoteReference"/>
        </w:rPr>
        <w:footnoteReference w:id="121"/>
      </w:r>
      <w:r w:rsidR="00EE4990" w:rsidRPr="003B079C">
        <w:t xml:space="preserve"> and they had other responsibilities connected with its administration.  Unsurprisingly</w:t>
      </w:r>
      <w:r w:rsidR="00A155B1" w:rsidRPr="003B079C">
        <w:t>,</w:t>
      </w:r>
      <w:r w:rsidR="00EE4990" w:rsidRPr="003B079C">
        <w:t xml:space="preserve"> the shortage of persons authorised to use the s.23 powers caused considerable delays in holding hearings</w:t>
      </w:r>
      <w:r w:rsidR="00C602D9" w:rsidRPr="003B079C">
        <w:t xml:space="preserve"> in some organisations</w:t>
      </w:r>
      <w:r w:rsidR="00EE4990" w:rsidRPr="003B079C">
        <w:t>.</w:t>
      </w:r>
      <w:r w:rsidR="00EE4990" w:rsidRPr="003B079C">
        <w:rPr>
          <w:vertAlign w:val="superscript"/>
        </w:rPr>
        <w:footnoteReference w:id="122"/>
      </w:r>
      <w:r w:rsidR="00860090" w:rsidRPr="003B079C">
        <w:t xml:space="preserve">  The Mental Health (Amendment) Act 1994, removed the phrase ‘the directors of’ and so allowed the </w:t>
      </w:r>
      <w:r w:rsidR="00D11EF4" w:rsidRPr="003B079C">
        <w:t>t</w:t>
      </w:r>
      <w:r w:rsidR="00860090" w:rsidRPr="003B079C">
        <w:t xml:space="preserve">rusts as corporate </w:t>
      </w:r>
      <w:r w:rsidR="00D11EF4" w:rsidRPr="003B079C">
        <w:t xml:space="preserve">bodies </w:t>
      </w:r>
      <w:r w:rsidR="00860090" w:rsidRPr="003B079C">
        <w:t>to be defined as the managers, reflecting earlier practice.</w:t>
      </w:r>
      <w:r w:rsidR="00860090" w:rsidRPr="003B079C">
        <w:rPr>
          <w:vertAlign w:val="superscript"/>
        </w:rPr>
        <w:footnoteReference w:id="123"/>
      </w:r>
    </w:p>
    <w:p w14:paraId="61F5776F" w14:textId="5B809279" w:rsidR="00E505E9" w:rsidRPr="003B079C" w:rsidRDefault="00A60C11" w:rsidP="00E4654B">
      <w:pPr>
        <w:spacing w:line="480" w:lineRule="auto"/>
      </w:pPr>
      <w:r w:rsidRPr="003B079C">
        <w:t>W</w:t>
      </w:r>
      <w:r w:rsidR="002D66E0" w:rsidRPr="003B079C">
        <w:t>hat is important about these changes</w:t>
      </w:r>
      <w:r w:rsidR="000478C6" w:rsidRPr="003B079C">
        <w:t>, beyond the evident lack of proper legislative scrutiny,</w:t>
      </w:r>
      <w:r w:rsidR="002D66E0" w:rsidRPr="003B079C">
        <w:t xml:space="preserve"> is the</w:t>
      </w:r>
      <w:r w:rsidR="00EE4990" w:rsidRPr="003B079C">
        <w:t xml:space="preserve"> unintentional, but</w:t>
      </w:r>
      <w:r w:rsidR="002D66E0" w:rsidRPr="003B079C">
        <w:t xml:space="preserve"> palpable shift </w:t>
      </w:r>
      <w:r w:rsidR="00EE4990" w:rsidRPr="003B079C">
        <w:t>the 1990 Act</w:t>
      </w:r>
      <w:r w:rsidR="002D66E0" w:rsidRPr="003B079C">
        <w:t xml:space="preserve"> appears to have caused in</w:t>
      </w:r>
      <w:r w:rsidR="00EE4990" w:rsidRPr="003B079C">
        <w:t xml:space="preserve"> ordinary</w:t>
      </w:r>
      <w:r w:rsidR="00A67C89" w:rsidRPr="003B079C">
        <w:t xml:space="preserve"> s.23</w:t>
      </w:r>
      <w:r w:rsidR="002D66E0" w:rsidRPr="003B079C">
        <w:t xml:space="preserve"> practice.  </w:t>
      </w:r>
      <w:r w:rsidR="00E505E9" w:rsidRPr="003B079C">
        <w:t>Previously</w:t>
      </w:r>
      <w:r w:rsidR="00A155B1" w:rsidRPr="003B079C">
        <w:t>,</w:t>
      </w:r>
      <w:r w:rsidR="00E505E9" w:rsidRPr="003B079C">
        <w:t xml:space="preserve"> </w:t>
      </w:r>
      <w:r w:rsidR="00EE4990" w:rsidRPr="003B079C">
        <w:t xml:space="preserve">not only </w:t>
      </w:r>
      <w:r w:rsidR="00860090" w:rsidRPr="003B079C">
        <w:t>was it</w:t>
      </w:r>
      <w:r w:rsidR="00EE4990" w:rsidRPr="003B079C">
        <w:t xml:space="preserve"> possible to delegate the power to specially appointed persons, as suggested above,</w:t>
      </w:r>
      <w:r w:rsidR="000478C6" w:rsidRPr="003B079C">
        <w:rPr>
          <w:rStyle w:val="FootnoteReference"/>
        </w:rPr>
        <w:footnoteReference w:id="124"/>
      </w:r>
      <w:r w:rsidR="00EE4990" w:rsidRPr="003B079C">
        <w:t xml:space="preserve"> but </w:t>
      </w:r>
      <w:r w:rsidR="00860090" w:rsidRPr="003B079C">
        <w:t xml:space="preserve">it appears </w:t>
      </w:r>
      <w:r w:rsidR="00EE4990" w:rsidRPr="003B079C">
        <w:t xml:space="preserve">that </w:t>
      </w:r>
      <w:r w:rsidR="00D90A8D" w:rsidRPr="003B079C">
        <w:t xml:space="preserve">Parliament thought </w:t>
      </w:r>
      <w:r w:rsidR="00EE4990" w:rsidRPr="003B079C">
        <w:t xml:space="preserve">it </w:t>
      </w:r>
      <w:r w:rsidR="00E505E9" w:rsidRPr="003B079C">
        <w:rPr>
          <w:i/>
        </w:rPr>
        <w:t>ordinary</w:t>
      </w:r>
      <w:r w:rsidR="00E505E9" w:rsidRPr="003B079C">
        <w:t xml:space="preserve"> </w:t>
      </w:r>
      <w:r w:rsidR="00EE4990" w:rsidRPr="003B079C">
        <w:t>to do so.</w:t>
      </w:r>
      <w:r w:rsidR="00EE4990" w:rsidRPr="003B079C">
        <w:rPr>
          <w:vertAlign w:val="superscript"/>
        </w:rPr>
        <w:footnoteReference w:id="125"/>
      </w:r>
      <w:r w:rsidR="00EE4990" w:rsidRPr="003B079C">
        <w:t xml:space="preserve">  This conclusion is only further confirmed by </w:t>
      </w:r>
      <w:r w:rsidR="000478C6" w:rsidRPr="003B079C">
        <w:t>Parliament’s</w:t>
      </w:r>
      <w:r w:rsidR="00EE4990" w:rsidRPr="003B079C">
        <w:t xml:space="preserve"> reaction to the consequences of the 1990 Act.</w:t>
      </w:r>
      <w:r w:rsidR="00EE4990" w:rsidRPr="003B079C" w:rsidDel="00EE4990">
        <w:t xml:space="preserve"> </w:t>
      </w:r>
      <w:r w:rsidRPr="003B079C">
        <w:t xml:space="preserve"> </w:t>
      </w:r>
      <w:r w:rsidR="00860090" w:rsidRPr="003B079C">
        <w:t>Hansard details the various</w:t>
      </w:r>
      <w:r w:rsidR="00E505E9" w:rsidRPr="003B079C">
        <w:t xml:space="preserve"> difficulties </w:t>
      </w:r>
      <w:r w:rsidR="00860090" w:rsidRPr="003B079C">
        <w:t xml:space="preserve">that </w:t>
      </w:r>
      <w:r w:rsidR="00D11EF4" w:rsidRPr="003B079C">
        <w:t xml:space="preserve">arose </w:t>
      </w:r>
      <w:r w:rsidR="00E505E9" w:rsidRPr="003B079C">
        <w:t>‘owing to a mistake in the drafting of Schedule 9</w:t>
      </w:r>
      <w:r w:rsidR="00D11EF4" w:rsidRPr="003B079C">
        <w:t>.</w:t>
      </w:r>
      <w:r w:rsidR="00E505E9" w:rsidRPr="003B079C">
        <w:t>’</w:t>
      </w:r>
      <w:r w:rsidR="00E505E9" w:rsidRPr="003B079C">
        <w:rPr>
          <w:vertAlign w:val="superscript"/>
        </w:rPr>
        <w:footnoteReference w:id="126"/>
      </w:r>
      <w:r w:rsidR="00E505E9" w:rsidRPr="003B079C">
        <w:t xml:space="preserve"> </w:t>
      </w:r>
      <w:r w:rsidR="00BC5567" w:rsidRPr="003B079C">
        <w:t xml:space="preserve"> </w:t>
      </w:r>
      <w:r w:rsidR="00D11EF4" w:rsidRPr="003B079C">
        <w:t>For example, in some trusts the problems were so extensive that Non-Executive Directors ‘had to leave their sickbeds to conduct appeals</w:t>
      </w:r>
      <w:r w:rsidR="00BC5567" w:rsidRPr="003B079C">
        <w:t>.</w:t>
      </w:r>
      <w:r w:rsidR="00D11EF4" w:rsidRPr="003B079C">
        <w:t>’</w:t>
      </w:r>
      <w:r w:rsidR="00D11EF4" w:rsidRPr="003B079C">
        <w:rPr>
          <w:vertAlign w:val="superscript"/>
        </w:rPr>
        <w:footnoteReference w:id="127"/>
      </w:r>
      <w:r w:rsidR="00D11EF4" w:rsidRPr="003B079C">
        <w:t xml:space="preserve">  Parliament’s shock stems from the fact that it had assumed </w:t>
      </w:r>
      <w:r w:rsidR="00E505E9" w:rsidRPr="003B079C">
        <w:t xml:space="preserve">that </w:t>
      </w:r>
      <w:r w:rsidR="00D11EF4" w:rsidRPr="003B079C">
        <w:t>t</w:t>
      </w:r>
      <w:r w:rsidR="00E505E9" w:rsidRPr="003B079C">
        <w:t xml:space="preserve">rusts </w:t>
      </w:r>
      <w:r w:rsidR="00E505E9" w:rsidRPr="003B079C">
        <w:rPr>
          <w:i/>
        </w:rPr>
        <w:t>would be in the same position</w:t>
      </w:r>
      <w:r w:rsidR="00E505E9" w:rsidRPr="003B079C">
        <w:t xml:space="preserve"> as their predecessor authorities.</w:t>
      </w:r>
      <w:r w:rsidR="00E505E9" w:rsidRPr="003B079C">
        <w:rPr>
          <w:vertAlign w:val="superscript"/>
        </w:rPr>
        <w:footnoteReference w:id="128"/>
      </w:r>
      <w:r w:rsidR="00D11EF4" w:rsidRPr="003B079C" w:rsidDel="00D11EF4">
        <w:t xml:space="preserve"> </w:t>
      </w:r>
    </w:p>
    <w:p w14:paraId="06FBDA5D" w14:textId="6372389F" w:rsidR="00BC5567" w:rsidRPr="003B079C" w:rsidRDefault="00D90A8D" w:rsidP="00E4654B">
      <w:pPr>
        <w:spacing w:line="480" w:lineRule="auto"/>
      </w:pPr>
      <w:r w:rsidRPr="003B079C">
        <w:t>Regrettably</w:t>
      </w:r>
      <w:r w:rsidR="006E0183" w:rsidRPr="003B079C">
        <w:t>, l</w:t>
      </w:r>
      <w:r w:rsidR="00A60C11" w:rsidRPr="003B079C">
        <w:t>essons were not learn</w:t>
      </w:r>
      <w:r w:rsidR="006E0183" w:rsidRPr="003B079C">
        <w:t>t</w:t>
      </w:r>
      <w:r w:rsidR="00A60C11" w:rsidRPr="003B079C">
        <w:t xml:space="preserve"> from the</w:t>
      </w:r>
      <w:r w:rsidR="00E505E9" w:rsidRPr="003B079C">
        <w:t xml:space="preserve"> 1990-1994 debacle.  Schedule 4 paragraph 53(c) of th</w:t>
      </w:r>
      <w:r w:rsidR="001D10C1" w:rsidRPr="003B079C">
        <w:t>e</w:t>
      </w:r>
      <w:r w:rsidR="00D11EF4" w:rsidRPr="003B079C">
        <w:t xml:space="preserve"> Health and Social Care (Community Health and Standards) Act 2003</w:t>
      </w:r>
      <w:r w:rsidR="00E505E9" w:rsidRPr="003B079C">
        <w:t xml:space="preserve"> inserted new material into s.23 of the 1983</w:t>
      </w:r>
      <w:r w:rsidR="00524EB0" w:rsidRPr="003B079C">
        <w:t xml:space="preserve"> Act</w:t>
      </w:r>
      <w:r w:rsidR="00E505E9" w:rsidRPr="003B079C">
        <w:t xml:space="preserve"> which explicitly</w:t>
      </w:r>
      <w:r w:rsidR="006E0183" w:rsidRPr="003B079C">
        <w:t>,</w:t>
      </w:r>
      <w:r w:rsidR="001D10C1" w:rsidRPr="003B079C">
        <w:t xml:space="preserve"> and </w:t>
      </w:r>
      <w:r w:rsidR="00D11EF4" w:rsidRPr="003B079C">
        <w:t xml:space="preserve">inexplicably, </w:t>
      </w:r>
      <w:r w:rsidR="00A67C89" w:rsidRPr="003B079C">
        <w:t xml:space="preserve">distinguished </w:t>
      </w:r>
      <w:r w:rsidR="00E505E9" w:rsidRPr="003B079C">
        <w:t xml:space="preserve">NHS </w:t>
      </w:r>
      <w:r w:rsidR="001A633F" w:rsidRPr="003B079C">
        <w:t>f</w:t>
      </w:r>
      <w:r w:rsidR="00E505E9" w:rsidRPr="003B079C">
        <w:t xml:space="preserve">oundation </w:t>
      </w:r>
      <w:r w:rsidR="001A633F" w:rsidRPr="003B079C">
        <w:t>t</w:t>
      </w:r>
      <w:r w:rsidR="00E505E9" w:rsidRPr="003B079C">
        <w:t>rusts from all other forms of hospital organisation</w:t>
      </w:r>
      <w:r w:rsidR="00524EB0" w:rsidRPr="003B079C">
        <w:t xml:space="preserve"> as regards </w:t>
      </w:r>
      <w:r w:rsidR="000F747D" w:rsidRPr="003B079C">
        <w:t>defining the manager</w:t>
      </w:r>
      <w:r w:rsidR="00E505E9" w:rsidRPr="003B079C">
        <w:t xml:space="preserve">.  </w:t>
      </w:r>
      <w:r w:rsidR="00BC5567" w:rsidRPr="003B079C">
        <w:t>Once again</w:t>
      </w:r>
      <w:r w:rsidR="00F2721A" w:rsidRPr="003B079C">
        <w:t xml:space="preserve">, </w:t>
      </w:r>
      <w:r w:rsidR="00BC5567" w:rsidRPr="003B079C">
        <w:t>t</w:t>
      </w:r>
      <w:r w:rsidR="00E505E9" w:rsidRPr="003B079C">
        <w:t>he provisions pre</w:t>
      </w:r>
      <w:r w:rsidR="009E0648" w:rsidRPr="003B079C">
        <w:t>vented</w:t>
      </w:r>
      <w:r w:rsidR="00E505E9" w:rsidRPr="003B079C">
        <w:t xml:space="preserve"> anyone </w:t>
      </w:r>
      <w:r w:rsidR="00E505E9" w:rsidRPr="003B079C">
        <w:rPr>
          <w:i/>
        </w:rPr>
        <w:t>but</w:t>
      </w:r>
      <w:r w:rsidR="00E505E9" w:rsidRPr="003B079C">
        <w:t xml:space="preserve"> the </w:t>
      </w:r>
      <w:r w:rsidR="0056515E" w:rsidRPr="003B079C">
        <w:t xml:space="preserve">Chair and Non-Executive Directors </w:t>
      </w:r>
      <w:r w:rsidR="00E505E9" w:rsidRPr="003B079C">
        <w:t>from exercising the s.23</w:t>
      </w:r>
      <w:r w:rsidR="00A67C89" w:rsidRPr="003B079C">
        <w:t xml:space="preserve"> discharge</w:t>
      </w:r>
      <w:r w:rsidR="00E505E9" w:rsidRPr="003B079C">
        <w:t xml:space="preserve"> power.</w:t>
      </w:r>
      <w:r w:rsidR="00331424" w:rsidRPr="003B079C" w:rsidDel="00331424">
        <w:t xml:space="preserve"> </w:t>
      </w:r>
      <w:r w:rsidR="00D11EF4" w:rsidRPr="003B079C">
        <w:t xml:space="preserve"> </w:t>
      </w:r>
      <w:r w:rsidR="001D10C1" w:rsidRPr="003B079C">
        <w:t>An opportunity to correct the problem was missed in the passage of the NHS Act 2006</w:t>
      </w:r>
      <w:r w:rsidR="00331424" w:rsidRPr="003B079C">
        <w:t>.</w:t>
      </w:r>
      <w:r w:rsidR="00A67C89" w:rsidRPr="003B079C">
        <w:rPr>
          <w:vertAlign w:val="superscript"/>
        </w:rPr>
        <w:footnoteReference w:id="129"/>
      </w:r>
      <w:r w:rsidR="00331424" w:rsidRPr="003B079C">
        <w:t xml:space="preserve">  Instead,</w:t>
      </w:r>
      <w:r w:rsidR="00E505E9" w:rsidRPr="003B079C">
        <w:t xml:space="preserve"> Schedule 7 paragraph 15(3) </w:t>
      </w:r>
      <w:r w:rsidR="000F747D" w:rsidRPr="003B079C">
        <w:t xml:space="preserve">of the 2006 Act </w:t>
      </w:r>
      <w:r w:rsidR="00A67C89" w:rsidRPr="003B079C">
        <w:t xml:space="preserve">restated </w:t>
      </w:r>
      <w:r w:rsidR="00E505E9" w:rsidRPr="003B079C">
        <w:t>the position under the 2003 Act.</w:t>
      </w:r>
    </w:p>
    <w:p w14:paraId="20F3C614" w14:textId="6D6331A0" w:rsidR="00E505E9" w:rsidRPr="003B079C" w:rsidRDefault="00A67C89" w:rsidP="00E4654B">
      <w:pPr>
        <w:spacing w:line="480" w:lineRule="auto"/>
      </w:pPr>
      <w:r w:rsidRPr="003B079C">
        <w:t>C</w:t>
      </w:r>
      <w:r w:rsidR="00C602D9" w:rsidRPr="003B079C">
        <w:t>onfirmation</w:t>
      </w:r>
      <w:r w:rsidR="00E505E9" w:rsidRPr="003B079C">
        <w:t xml:space="preserve"> that it had not corrected the issue </w:t>
      </w:r>
      <w:r w:rsidR="00C602D9" w:rsidRPr="003B079C">
        <w:t xml:space="preserve">can be seen </w:t>
      </w:r>
      <w:r w:rsidR="00E505E9" w:rsidRPr="003B079C">
        <w:t>during the Second Reading debate in the House of Lords on the new Mental Health Bill 2006</w:t>
      </w:r>
      <w:r w:rsidR="00C602D9" w:rsidRPr="003B079C">
        <w:t>.  During the debate</w:t>
      </w:r>
      <w:r w:rsidR="006E0183" w:rsidRPr="003B079C">
        <w:t>,</w:t>
      </w:r>
      <w:r w:rsidR="00E505E9" w:rsidRPr="003B079C">
        <w:t xml:space="preserve"> Baroness Meacher was moved to lament that there was:</w:t>
      </w:r>
    </w:p>
    <w:p w14:paraId="43029E32" w14:textId="477768C4" w:rsidR="00E505E9" w:rsidRPr="003B079C" w:rsidRDefault="000F747D" w:rsidP="00E4654B">
      <w:pPr>
        <w:spacing w:line="480" w:lineRule="auto"/>
        <w:ind w:left="1134" w:right="1134"/>
      </w:pPr>
      <w:r w:rsidRPr="003B079C">
        <w:t xml:space="preserve">… </w:t>
      </w:r>
      <w:r w:rsidR="00E505E9" w:rsidRPr="003B079C">
        <w:t>an urgent need to deal with the unsustainable position of foundation trusts that cannot delegate the functions of Mental Health Act managers from non-executive directors. That is a small technical point, but one that is causing absolute havoc around the country.</w:t>
      </w:r>
      <w:r w:rsidR="00E505E9" w:rsidRPr="003B079C">
        <w:rPr>
          <w:vertAlign w:val="superscript"/>
        </w:rPr>
        <w:footnoteReference w:id="130"/>
      </w:r>
    </w:p>
    <w:p w14:paraId="6FAAD01A" w14:textId="2FF30AB2" w:rsidR="00D851F0" w:rsidRPr="003B079C" w:rsidRDefault="00E505E9" w:rsidP="00E4654B">
      <w:pPr>
        <w:spacing w:line="480" w:lineRule="auto"/>
      </w:pPr>
      <w:r w:rsidRPr="003B079C">
        <w:t>Evidently no one disagreed with Baroness Meacher because the amendments to correct the difficulty</w:t>
      </w:r>
      <w:r w:rsidR="0056515E" w:rsidRPr="003B079C">
        <w:t xml:space="preserve"> </w:t>
      </w:r>
      <w:r w:rsidRPr="003B079C">
        <w:t>enjoyed an undisturbed passage through</w:t>
      </w:r>
      <w:r w:rsidR="00524EB0" w:rsidRPr="003B079C">
        <w:t>out</w:t>
      </w:r>
      <w:r w:rsidRPr="003B079C">
        <w:t xml:space="preserve"> the rest of the parliamentary process.</w:t>
      </w:r>
      <w:r w:rsidRPr="003B079C">
        <w:rPr>
          <w:vertAlign w:val="superscript"/>
        </w:rPr>
        <w:footnoteReference w:id="131"/>
      </w:r>
      <w:r w:rsidRPr="003B079C">
        <w:t xml:space="preserve">  </w:t>
      </w:r>
      <w:r w:rsidR="001D10C1" w:rsidRPr="003B079C">
        <w:t xml:space="preserve">As </w:t>
      </w:r>
      <w:r w:rsidR="00331424" w:rsidRPr="003B079C">
        <w:t>in</w:t>
      </w:r>
      <w:r w:rsidR="001D10C1" w:rsidRPr="003B079C">
        <w:t xml:space="preserve"> 1990-1994, the 2003-2007 difficulties demonstrate that </w:t>
      </w:r>
      <w:r w:rsidR="00C602D9" w:rsidRPr="003B079C">
        <w:t>Parliament</w:t>
      </w:r>
      <w:r w:rsidR="00D11EF4" w:rsidRPr="003B079C">
        <w:t xml:space="preserve"> </w:t>
      </w:r>
      <w:r w:rsidR="006E0183" w:rsidRPr="003B079C">
        <w:t>understood</w:t>
      </w:r>
      <w:r w:rsidR="00C602D9" w:rsidRPr="003B079C">
        <w:t xml:space="preserve"> </w:t>
      </w:r>
      <w:r w:rsidR="001D10C1" w:rsidRPr="003B079C">
        <w:t>ordinary practice</w:t>
      </w:r>
      <w:r w:rsidR="00C602D9" w:rsidRPr="003B079C">
        <w:t xml:space="preserve"> to be that</w:t>
      </w:r>
      <w:r w:rsidR="001D10C1" w:rsidRPr="003B079C">
        <w:t xml:space="preserve"> the hospital managers </w:t>
      </w:r>
      <w:r w:rsidR="00C602D9" w:rsidRPr="003B079C">
        <w:t xml:space="preserve">tended </w:t>
      </w:r>
      <w:r w:rsidR="001D10C1" w:rsidRPr="003B079C">
        <w:t>to delegate responsibility to specially appointed Managers</w:t>
      </w:r>
      <w:r w:rsidR="00BC5567" w:rsidRPr="003B079C">
        <w:t>.</w:t>
      </w:r>
    </w:p>
    <w:p w14:paraId="2B008476" w14:textId="7047BFF4" w:rsidR="00515C9A" w:rsidRPr="003B079C" w:rsidRDefault="00C602D9" w:rsidP="00E4654B">
      <w:pPr>
        <w:spacing w:line="480" w:lineRule="auto"/>
      </w:pPr>
      <w:r w:rsidRPr="003B079C">
        <w:t xml:space="preserve">In these two periods it </w:t>
      </w:r>
      <w:r w:rsidR="00C32607" w:rsidRPr="003B079C">
        <w:t xml:space="preserve">is clear that the legislative intention of Parliament </w:t>
      </w:r>
      <w:r w:rsidR="00B5265C" w:rsidRPr="003B079C">
        <w:t>regarding</w:t>
      </w:r>
      <w:r w:rsidR="00C32607" w:rsidRPr="003B079C">
        <w:t xml:space="preserve"> ss.23 and 145 </w:t>
      </w:r>
      <w:r w:rsidR="00BC5567" w:rsidRPr="003B079C">
        <w:t>MHA 1983</w:t>
      </w:r>
      <w:r w:rsidR="0056515E" w:rsidRPr="003B079C">
        <w:t xml:space="preserve"> </w:t>
      </w:r>
      <w:r w:rsidRPr="003B079C">
        <w:t>was</w:t>
      </w:r>
      <w:r w:rsidR="00C32607" w:rsidRPr="003B079C">
        <w:t xml:space="preserve"> understood as being that the Managers </w:t>
      </w:r>
      <w:r w:rsidRPr="003B079C">
        <w:t>were</w:t>
      </w:r>
      <w:r w:rsidR="00C32607" w:rsidRPr="003B079C">
        <w:t xml:space="preserve"> independent of the organisation delegating </w:t>
      </w:r>
      <w:r w:rsidR="009E0648" w:rsidRPr="003B079C">
        <w:t>the s.23</w:t>
      </w:r>
      <w:r w:rsidR="00C32607" w:rsidRPr="003B079C">
        <w:t xml:space="preserve"> power.  </w:t>
      </w:r>
      <w:r w:rsidR="002835AC" w:rsidRPr="003B079C">
        <w:t>Nonetheless</w:t>
      </w:r>
      <w:r w:rsidR="00B5265C" w:rsidRPr="003B079C">
        <w:t>,</w:t>
      </w:r>
      <w:r w:rsidR="00310AF6" w:rsidRPr="003B079C">
        <w:t xml:space="preserve"> </w:t>
      </w:r>
      <w:r w:rsidRPr="003B079C">
        <w:t>Parliament’</w:t>
      </w:r>
      <w:r w:rsidR="00350A0B" w:rsidRPr="003B079C">
        <w:t xml:space="preserve">s intention </w:t>
      </w:r>
      <w:r w:rsidR="006E0183" w:rsidRPr="003B079C">
        <w:t>was</w:t>
      </w:r>
      <w:r w:rsidR="00350A0B" w:rsidRPr="003B079C">
        <w:t xml:space="preserve"> </w:t>
      </w:r>
      <w:r w:rsidR="00BC5567" w:rsidRPr="003B079C">
        <w:t xml:space="preserve">unsettled </w:t>
      </w:r>
      <w:r w:rsidRPr="003B079C">
        <w:t xml:space="preserve">when the </w:t>
      </w:r>
      <w:r w:rsidR="00BC5567" w:rsidRPr="003B079C">
        <w:t xml:space="preserve">whole </w:t>
      </w:r>
      <w:r w:rsidRPr="003B079C">
        <w:t>period from 1990-2007</w:t>
      </w:r>
      <w:r w:rsidR="004B17B8" w:rsidRPr="003B079C">
        <w:t>, taking in the events of 1996,</w:t>
      </w:r>
      <w:r w:rsidR="000F747D" w:rsidRPr="003B079C">
        <w:rPr>
          <w:rStyle w:val="FootnoteReference"/>
        </w:rPr>
        <w:footnoteReference w:id="132"/>
      </w:r>
      <w:r w:rsidRPr="003B079C">
        <w:t xml:space="preserve"> is considered.</w:t>
      </w:r>
      <w:r w:rsidR="00350A0B" w:rsidRPr="003B079C">
        <w:t xml:space="preserve">  </w:t>
      </w:r>
      <w:r w:rsidR="00FE04BC" w:rsidRPr="003B079C">
        <w:t xml:space="preserve">Had </w:t>
      </w:r>
      <w:r w:rsidRPr="003B079C">
        <w:t>either side in the abolition debate</w:t>
      </w:r>
      <w:r w:rsidR="00FE04BC" w:rsidRPr="003B079C">
        <w:t xml:space="preserve"> </w:t>
      </w:r>
      <w:r w:rsidR="009C3E43" w:rsidRPr="003B079C">
        <w:t>examined</w:t>
      </w:r>
      <w:r w:rsidR="000F747D" w:rsidRPr="003B079C">
        <w:t xml:space="preserve"> </w:t>
      </w:r>
      <w:r w:rsidR="00FE04BC" w:rsidRPr="003B079C">
        <w:t>the</w:t>
      </w:r>
      <w:r w:rsidR="00B5265C" w:rsidRPr="003B079C">
        <w:t xml:space="preserve"> variability of Parliament’s</w:t>
      </w:r>
      <w:r w:rsidR="00FE04BC" w:rsidRPr="003B079C">
        <w:t xml:space="preserve"> intentions in more detail, this might have provoked a more substantive discussion about the principled justifications for Parliament’s</w:t>
      </w:r>
      <w:r w:rsidRPr="003B079C">
        <w:t xml:space="preserve"> variable position; </w:t>
      </w:r>
      <w:r w:rsidR="00FE04BC" w:rsidRPr="003B079C">
        <w:t>Hansard</w:t>
      </w:r>
      <w:r w:rsidRPr="003B079C">
        <w:t xml:space="preserve"> discloses no such </w:t>
      </w:r>
      <w:r w:rsidR="00032A6C" w:rsidRPr="003B079C">
        <w:t>consideration</w:t>
      </w:r>
      <w:r w:rsidR="00710219" w:rsidRPr="003B079C">
        <w:t>.</w:t>
      </w:r>
      <w:r w:rsidR="00350A0B" w:rsidRPr="003B079C">
        <w:t xml:space="preserve">  As </w:t>
      </w:r>
      <w:r w:rsidR="006E0183" w:rsidRPr="003B079C">
        <w:t>I have emphasised</w:t>
      </w:r>
      <w:r w:rsidR="00350A0B" w:rsidRPr="003B079C">
        <w:t xml:space="preserve"> throughout my examination of this debate, both sides are hampered by the lack of evidence</w:t>
      </w:r>
      <w:r w:rsidR="00BC5567" w:rsidRPr="003B079C">
        <w:t xml:space="preserve"> and a conceptual framework</w:t>
      </w:r>
      <w:r w:rsidR="00350A0B" w:rsidRPr="003B079C">
        <w:t xml:space="preserve"> to support their claims.  This is likely to be both a cause as well as a consequence of the</w:t>
      </w:r>
      <w:r w:rsidR="006A20FA" w:rsidRPr="003B079C">
        <w:t xml:space="preserve"> unsettled parliamentary picture</w:t>
      </w:r>
      <w:r w:rsidR="00710219" w:rsidRPr="003B079C">
        <w:t xml:space="preserve"> </w:t>
      </w:r>
      <w:r w:rsidR="00515C9A" w:rsidRPr="003B079C">
        <w:t>in this period</w:t>
      </w:r>
      <w:r w:rsidR="00350A0B" w:rsidRPr="003B079C">
        <w:t>.</w:t>
      </w:r>
    </w:p>
    <w:p w14:paraId="18C66688" w14:textId="587FF565" w:rsidR="00FE04BC" w:rsidRPr="003B079C" w:rsidRDefault="002D5ED8" w:rsidP="00E4654B">
      <w:pPr>
        <w:spacing w:line="480" w:lineRule="auto"/>
      </w:pPr>
      <w:r w:rsidRPr="003B079C">
        <w:t xml:space="preserve">Taking an even wider historical perspective, from 1990 to 2016, it can be seen that while Parliament’s intention may have appeared to be unsettled in the 1990s, because of the discussion in 1996 regarding Glen Grant and the establishment of the Working Group, this was something of an </w:t>
      </w:r>
      <w:r w:rsidR="000F747D" w:rsidRPr="003B079C">
        <w:t>aberration</w:t>
      </w:r>
      <w:r w:rsidRPr="003B079C">
        <w:t xml:space="preserve">.  </w:t>
      </w:r>
      <w:r w:rsidR="00515C9A" w:rsidRPr="003B079C">
        <w:t>Following the passage of the MHA 2007, s.45 of which correct</w:t>
      </w:r>
      <w:r w:rsidR="00BC5567" w:rsidRPr="003B079C">
        <w:t>ed</w:t>
      </w:r>
      <w:r w:rsidR="00515C9A" w:rsidRPr="003B079C">
        <w:t xml:space="preserve"> the difficulties caused by the 2003 Act</w:t>
      </w:r>
      <w:r w:rsidRPr="003B079C">
        <w:t xml:space="preserve"> regarding delegation in foundation trusts</w:t>
      </w:r>
      <w:r w:rsidR="00515C9A" w:rsidRPr="003B079C">
        <w:t xml:space="preserve">, it appears that the parliamentary position is that the managers may delegate the s.23 power to external persons.  The </w:t>
      </w:r>
      <w:r w:rsidRPr="003B079C">
        <w:t>2016</w:t>
      </w:r>
      <w:r w:rsidR="00515C9A" w:rsidRPr="003B079C">
        <w:t xml:space="preserve"> judgment in </w:t>
      </w:r>
      <w:r w:rsidR="00515C9A" w:rsidRPr="003B079C">
        <w:rPr>
          <w:i/>
        </w:rPr>
        <w:t>AU</w:t>
      </w:r>
      <w:r w:rsidR="00515C9A" w:rsidRPr="003B079C">
        <w:t xml:space="preserve"> not only confirms that s.23(6) specifically enables delegation in </w:t>
      </w:r>
      <w:r w:rsidR="001A633F" w:rsidRPr="003B079C">
        <w:t>f</w:t>
      </w:r>
      <w:r w:rsidR="00515C9A" w:rsidRPr="003B079C">
        <w:t xml:space="preserve">oundation </w:t>
      </w:r>
      <w:r w:rsidR="001A633F" w:rsidRPr="003B079C">
        <w:t>t</w:t>
      </w:r>
      <w:r w:rsidR="00515C9A" w:rsidRPr="003B079C">
        <w:t>rusts, but that the parliamentary intention behind s.23 as a whole was to establish ‘an independent decision-making entity’ to which power could be delegated.</w:t>
      </w:r>
      <w:r w:rsidR="00515C9A" w:rsidRPr="003B079C">
        <w:rPr>
          <w:rStyle w:val="FootnoteReference"/>
        </w:rPr>
        <w:footnoteReference w:id="133"/>
      </w:r>
      <w:r w:rsidR="00515C9A" w:rsidRPr="003B079C">
        <w:t xml:space="preserve">  Although the court did not reflect on the fact that s.23 does not preclude hospital managers from acting as Managers, the court’s interpretation of the statute indicates that where the power is delegated, the body should be independent of the organisation.</w:t>
      </w:r>
      <w:r w:rsidRPr="003B079C">
        <w:t xml:space="preserve">  Therefore, according to the statutory framework, the Managers are intended to be independent in the ordinary judicial sense of the term.</w:t>
      </w:r>
    </w:p>
    <w:p w14:paraId="39AB5514" w14:textId="48D9CEC4" w:rsidR="00524EB0" w:rsidRPr="003B079C" w:rsidRDefault="00FD1EDC" w:rsidP="00E4654B">
      <w:pPr>
        <w:pStyle w:val="Heading2"/>
        <w:spacing w:line="480" w:lineRule="auto"/>
      </w:pPr>
      <w:r w:rsidRPr="003B079C">
        <w:t>IV(B)</w:t>
      </w:r>
      <w:r w:rsidR="00524EB0" w:rsidRPr="003B079C">
        <w:t xml:space="preserve"> Independence in </w:t>
      </w:r>
      <w:r w:rsidRPr="003B079C">
        <w:t>P</w:t>
      </w:r>
      <w:r w:rsidR="00524EB0" w:rsidRPr="003B079C">
        <w:t>ractice</w:t>
      </w:r>
    </w:p>
    <w:p w14:paraId="2A0E8282" w14:textId="5A857E85" w:rsidR="00515C9A" w:rsidRPr="003B079C" w:rsidRDefault="0056091D" w:rsidP="0056091D">
      <w:pPr>
        <w:spacing w:line="480" w:lineRule="auto"/>
      </w:pPr>
      <w:r w:rsidRPr="003B079C">
        <w:t>T</w:t>
      </w:r>
      <w:r w:rsidR="00032A6C" w:rsidRPr="003B079C">
        <w:t xml:space="preserve">he foregoing discussion establishes the </w:t>
      </w:r>
      <w:r w:rsidRPr="003B079C">
        <w:t xml:space="preserve">route by which </w:t>
      </w:r>
      <w:r w:rsidR="00BC5567" w:rsidRPr="003B079C">
        <w:t xml:space="preserve">the </w:t>
      </w:r>
      <w:r w:rsidR="00032A6C" w:rsidRPr="003B079C">
        <w:t xml:space="preserve">practice of delegating </w:t>
      </w:r>
      <w:r w:rsidR="00BC5567" w:rsidRPr="003B079C">
        <w:t xml:space="preserve">discharge </w:t>
      </w:r>
      <w:r w:rsidR="00032A6C" w:rsidRPr="003B079C">
        <w:t xml:space="preserve">authority to </w:t>
      </w:r>
      <w:r w:rsidR="00BC5567" w:rsidRPr="003B079C">
        <w:t xml:space="preserve">external </w:t>
      </w:r>
      <w:r w:rsidR="00032A6C" w:rsidRPr="003B079C">
        <w:t>persons has become normal practice</w:t>
      </w:r>
      <w:r w:rsidR="000F747D" w:rsidRPr="003B079C">
        <w:t>, though</w:t>
      </w:r>
      <w:r w:rsidRPr="003B079C">
        <w:t xml:space="preserve"> neither Parliament nor any other body</w:t>
      </w:r>
      <w:r w:rsidR="000F747D" w:rsidRPr="003B079C">
        <w:t xml:space="preserve"> has</w:t>
      </w:r>
      <w:r w:rsidRPr="003B079C">
        <w:t xml:space="preserve"> presented any justification for this course of action</w:t>
      </w:r>
      <w:r w:rsidR="00032A6C" w:rsidRPr="003B079C">
        <w:t>.</w:t>
      </w:r>
      <w:r w:rsidRPr="003B079C">
        <w:t xml:space="preserve">  </w:t>
      </w:r>
      <w:r w:rsidR="000F747D" w:rsidRPr="003B079C">
        <w:t xml:space="preserve">Furthermore, </w:t>
      </w:r>
      <w:r w:rsidR="002D5ED8" w:rsidRPr="003B079C">
        <w:t xml:space="preserve">notwithstanding the MHA 2007 and the judgment in </w:t>
      </w:r>
      <w:r w:rsidR="002D5ED8" w:rsidRPr="003B079C">
        <w:rPr>
          <w:i/>
        </w:rPr>
        <w:t>AU</w:t>
      </w:r>
      <w:r w:rsidR="002D5ED8" w:rsidRPr="003B079C">
        <w:t>,</w:t>
      </w:r>
      <w:r w:rsidR="002D5ED8" w:rsidRPr="003B079C" w:rsidDel="002D5ED8">
        <w:t xml:space="preserve"> </w:t>
      </w:r>
      <w:r w:rsidRPr="003B079C">
        <w:t>it</w:t>
      </w:r>
      <w:r w:rsidR="000F747D" w:rsidRPr="003B079C">
        <w:t xml:space="preserve"> also</w:t>
      </w:r>
      <w:r w:rsidRPr="003B079C">
        <w:t xml:space="preserve"> remains unclear whether the Managers capitalise on their apparent independence in practice.  </w:t>
      </w:r>
      <w:r w:rsidR="002B5714" w:rsidRPr="003B079C">
        <w:t>Independence in this context requires more</w:t>
      </w:r>
      <w:r w:rsidRPr="003B079C">
        <w:t xml:space="preserve"> than</w:t>
      </w:r>
      <w:r w:rsidR="000F747D" w:rsidRPr="003B079C">
        <w:t xml:space="preserve"> a theoretical capacity for</w:t>
      </w:r>
      <w:r w:rsidRPr="003B079C">
        <w:t xml:space="preserve"> decisional independence</w:t>
      </w:r>
      <w:r w:rsidR="002D5ED8" w:rsidRPr="003B079C">
        <w:t>,</w:t>
      </w:r>
      <w:r w:rsidR="002B5714" w:rsidRPr="003B079C">
        <w:t xml:space="preserve"> </w:t>
      </w:r>
      <w:r w:rsidR="002D5ED8" w:rsidRPr="003B079C">
        <w:t>i</w:t>
      </w:r>
      <w:r w:rsidR="002B5714" w:rsidRPr="003B079C">
        <w:t>t requires that Managers are able to form an independent</w:t>
      </w:r>
      <w:r w:rsidRPr="003B079C">
        <w:t xml:space="preserve"> view</w:t>
      </w:r>
      <w:r w:rsidR="002D5ED8" w:rsidRPr="003B079C">
        <w:t xml:space="preserve"> in practice</w:t>
      </w:r>
      <w:r w:rsidRPr="003B079C">
        <w:t>.</w:t>
      </w:r>
    </w:p>
    <w:p w14:paraId="1373C323" w14:textId="1C816069" w:rsidR="00917F45" w:rsidRPr="003B079C" w:rsidRDefault="0056091D" w:rsidP="00E4654B">
      <w:pPr>
        <w:spacing w:line="480" w:lineRule="auto"/>
      </w:pPr>
      <w:r w:rsidRPr="003B079C">
        <w:t>To answer this question it is again useful to begin with some historical context.</w:t>
      </w:r>
      <w:r w:rsidR="00966989" w:rsidRPr="003B079C">
        <w:t xml:space="preserve">  </w:t>
      </w:r>
      <w:r w:rsidR="005035B3" w:rsidRPr="003B079C">
        <w:t xml:space="preserve">The ability </w:t>
      </w:r>
      <w:r w:rsidRPr="003B079C">
        <w:t xml:space="preserve">of those exercising the s.23 power, or its earlier incarnations, </w:t>
      </w:r>
      <w:r w:rsidR="005035B3" w:rsidRPr="003B079C">
        <w:t>to think independently</w:t>
      </w:r>
      <w:r w:rsidRPr="003B079C">
        <w:t xml:space="preserve"> of medical professionals</w:t>
      </w:r>
      <w:r w:rsidR="005035B3" w:rsidRPr="003B079C">
        <w:t xml:space="preserve"> </w:t>
      </w:r>
      <w:r w:rsidRPr="003B079C">
        <w:t>was not</w:t>
      </w:r>
      <w:r w:rsidR="005035B3" w:rsidRPr="003B079C">
        <w:t xml:space="preserve"> considered a desirable</w:t>
      </w:r>
      <w:r w:rsidR="009307DA" w:rsidRPr="003B079C">
        <w:t xml:space="preserve"> feature </w:t>
      </w:r>
      <w:r w:rsidRPr="003B079C">
        <w:t>by</w:t>
      </w:r>
      <w:r w:rsidR="00E505E9" w:rsidRPr="003B079C">
        <w:t xml:space="preserve"> the Macmillan Commission (1926), the Royal Commission which </w:t>
      </w:r>
      <w:r w:rsidR="004932A2" w:rsidRPr="003B079C">
        <w:t>preceded</w:t>
      </w:r>
      <w:r w:rsidR="00151E0E" w:rsidRPr="003B079C">
        <w:t xml:space="preserve"> the </w:t>
      </w:r>
      <w:r w:rsidR="00E505E9" w:rsidRPr="003B079C">
        <w:t>Mental Treatment Act 1930</w:t>
      </w:r>
      <w:r w:rsidRPr="003B079C">
        <w:t>.  The Commission</w:t>
      </w:r>
      <w:r w:rsidR="00E505E9" w:rsidRPr="003B079C">
        <w:t xml:space="preserve"> </w:t>
      </w:r>
      <w:r w:rsidR="00984D40" w:rsidRPr="003B079C">
        <w:t xml:space="preserve">stated </w:t>
      </w:r>
      <w:r w:rsidR="00D55307" w:rsidRPr="003B079C">
        <w:t>that</w:t>
      </w:r>
      <w:r w:rsidR="00E505E9" w:rsidRPr="003B079C">
        <w:t xml:space="preserve"> the Visiting Committees </w:t>
      </w:r>
      <w:r w:rsidR="00D55307" w:rsidRPr="003B079C">
        <w:t>sh</w:t>
      </w:r>
      <w:r w:rsidR="00E505E9" w:rsidRPr="003B079C">
        <w:t>ould be ‘</w:t>
      </w:r>
      <w:r w:rsidR="00E505E9" w:rsidRPr="003B079C">
        <w:rPr>
          <w:i/>
        </w:rPr>
        <w:t>guided largely</w:t>
      </w:r>
      <w:r w:rsidR="00E505E9" w:rsidRPr="003B079C">
        <w:t xml:space="preserve"> by the advice of the medical superintendent’ </w:t>
      </w:r>
      <w:r w:rsidR="00D55307" w:rsidRPr="003B079C">
        <w:t xml:space="preserve">when </w:t>
      </w:r>
      <w:r w:rsidR="00E505E9" w:rsidRPr="003B079C">
        <w:t>considering</w:t>
      </w:r>
      <w:r w:rsidR="00D55307" w:rsidRPr="003B079C">
        <w:t xml:space="preserve"> </w:t>
      </w:r>
      <w:r w:rsidR="00E505E9" w:rsidRPr="003B079C">
        <w:t>discharge.</w:t>
      </w:r>
      <w:r w:rsidR="00E505E9" w:rsidRPr="003B079C">
        <w:rPr>
          <w:vertAlign w:val="superscript"/>
        </w:rPr>
        <w:footnoteReference w:id="134"/>
      </w:r>
      <w:r w:rsidR="00E505E9" w:rsidRPr="003B079C">
        <w:t xml:space="preserve">  </w:t>
      </w:r>
      <w:r w:rsidR="004932A2" w:rsidRPr="003B079C">
        <w:t xml:space="preserve">This was </w:t>
      </w:r>
      <w:r w:rsidR="00984D40" w:rsidRPr="003B079C">
        <w:t>not</w:t>
      </w:r>
      <w:r w:rsidR="004932A2" w:rsidRPr="003B079C">
        <w:t xml:space="preserve"> a radical </w:t>
      </w:r>
      <w:r w:rsidR="000F747D" w:rsidRPr="003B079C">
        <w:t>position</w:t>
      </w:r>
      <w:r w:rsidR="00CB70B1" w:rsidRPr="003B079C">
        <w:t>.</w:t>
      </w:r>
      <w:r w:rsidR="00EF65F8" w:rsidRPr="003B079C">
        <w:rPr>
          <w:rStyle w:val="FootnoteReference"/>
        </w:rPr>
        <w:footnoteReference w:id="135"/>
      </w:r>
      <w:r w:rsidR="00CB70B1" w:rsidRPr="003B079C">
        <w:t xml:space="preserve"> </w:t>
      </w:r>
      <w:r w:rsidR="00E505E9" w:rsidRPr="003B079C">
        <w:t xml:space="preserve"> </w:t>
      </w:r>
      <w:r w:rsidR="006F24D9" w:rsidRPr="003B079C">
        <w:t>Thirty years later, t</w:t>
      </w:r>
      <w:r w:rsidR="00E505E9" w:rsidRPr="003B079C">
        <w:t xml:space="preserve">he Percy Commission, </w:t>
      </w:r>
      <w:r w:rsidR="00741FF7" w:rsidRPr="003B079C">
        <w:t>which informed</w:t>
      </w:r>
      <w:r w:rsidR="00E505E9" w:rsidRPr="003B079C">
        <w:t xml:space="preserve"> the MHA 1959,</w:t>
      </w:r>
      <w:r w:rsidR="004932A2" w:rsidRPr="003B079C">
        <w:t xml:space="preserve"> took a different view and</w:t>
      </w:r>
      <w:r w:rsidR="00E505E9" w:rsidRPr="003B079C">
        <w:t xml:space="preserve"> </w:t>
      </w:r>
      <w:r w:rsidR="004932A2" w:rsidRPr="003B079C">
        <w:t xml:space="preserve">considered </w:t>
      </w:r>
      <w:r w:rsidR="00E505E9" w:rsidRPr="003B079C">
        <w:t>th</w:t>
      </w:r>
      <w:r w:rsidR="002B5714" w:rsidRPr="003B079C">
        <w:t>at</w:t>
      </w:r>
      <w:r w:rsidR="00E505E9" w:rsidRPr="003B079C">
        <w:t xml:space="preserve"> </w:t>
      </w:r>
      <w:r w:rsidR="000F747D" w:rsidRPr="003B079C">
        <w:t xml:space="preserve">reliance of </w:t>
      </w:r>
      <w:r w:rsidR="00CB70B1" w:rsidRPr="003B079C">
        <w:t>HMCs</w:t>
      </w:r>
      <w:r w:rsidR="00E505E9" w:rsidRPr="003B079C">
        <w:t xml:space="preserve"> on the advice of the </w:t>
      </w:r>
      <w:r w:rsidR="004932A2" w:rsidRPr="003B079C">
        <w:t xml:space="preserve">medical </w:t>
      </w:r>
      <w:r w:rsidR="00E505E9" w:rsidRPr="003B079C">
        <w:t xml:space="preserve">superintendent </w:t>
      </w:r>
      <w:r w:rsidR="002B5714" w:rsidRPr="003B079C">
        <w:t>was</w:t>
      </w:r>
      <w:r w:rsidR="00741FF7" w:rsidRPr="003B079C">
        <w:t xml:space="preserve"> </w:t>
      </w:r>
      <w:r w:rsidR="00CB70B1" w:rsidRPr="003B079C">
        <w:t>problematic</w:t>
      </w:r>
      <w:r w:rsidR="00E505E9" w:rsidRPr="003B079C">
        <w:t>.</w:t>
      </w:r>
      <w:r w:rsidR="00E505E9" w:rsidRPr="003B079C">
        <w:rPr>
          <w:vertAlign w:val="superscript"/>
        </w:rPr>
        <w:footnoteReference w:id="136"/>
      </w:r>
      <w:r w:rsidR="00917F45" w:rsidRPr="003B079C">
        <w:t xml:space="preserve">  </w:t>
      </w:r>
      <w:r w:rsidR="00494BB1" w:rsidRPr="003B079C">
        <w:t>I</w:t>
      </w:r>
      <w:r w:rsidR="00917F45" w:rsidRPr="003B079C">
        <w:t xml:space="preserve">n the light of the </w:t>
      </w:r>
      <w:r w:rsidR="000F747D" w:rsidRPr="003B079C">
        <w:t xml:space="preserve">Percy </w:t>
      </w:r>
      <w:r w:rsidR="00917F45" w:rsidRPr="003B079C">
        <w:t>Commission’s recommendation that a panel of three HMC members should continue to possess a power of discharge</w:t>
      </w:r>
      <w:r w:rsidR="002A728A" w:rsidRPr="003B079C">
        <w:t xml:space="preserve"> against medical advice,</w:t>
      </w:r>
      <w:r w:rsidR="002A728A" w:rsidRPr="003B079C">
        <w:rPr>
          <w:vertAlign w:val="superscript"/>
        </w:rPr>
        <w:footnoteReference w:id="137"/>
      </w:r>
      <w:r w:rsidR="002A728A" w:rsidRPr="003B079C">
        <w:t xml:space="preserve"> their criticism might be seen as a call to strengthen the independence</w:t>
      </w:r>
      <w:r w:rsidR="00494BB1" w:rsidRPr="003B079C">
        <w:t xml:space="preserve"> of HMC members</w:t>
      </w:r>
      <w:r w:rsidR="002A728A" w:rsidRPr="003B079C">
        <w:t>.</w:t>
      </w:r>
      <w:r w:rsidR="00917F45" w:rsidRPr="003B079C">
        <w:t xml:space="preserve"> </w:t>
      </w:r>
    </w:p>
    <w:p w14:paraId="1A1F0279" w14:textId="13AACD37" w:rsidR="006D19EC" w:rsidRPr="003B079C" w:rsidRDefault="00494BB1" w:rsidP="00E4654B">
      <w:pPr>
        <w:spacing w:line="480" w:lineRule="auto"/>
      </w:pPr>
      <w:r w:rsidRPr="003B079C">
        <w:t xml:space="preserve">The Percy Commission’s views were not universally accepted.  </w:t>
      </w:r>
      <w:r w:rsidR="00151E0E" w:rsidRPr="003B079C">
        <w:t>S</w:t>
      </w:r>
      <w:r w:rsidR="00E505E9" w:rsidRPr="003B079C">
        <w:t>ome of the contributions to the parliamentary debates</w:t>
      </w:r>
      <w:r w:rsidR="00151E0E" w:rsidRPr="003B079C">
        <w:t xml:space="preserve"> which followed</w:t>
      </w:r>
      <w:r w:rsidR="00917F45" w:rsidRPr="003B079C">
        <w:t xml:space="preserve"> the</w:t>
      </w:r>
      <w:r w:rsidR="000F747D" w:rsidRPr="003B079C">
        <w:t>ir</w:t>
      </w:r>
      <w:r w:rsidR="00917F45" w:rsidRPr="003B079C">
        <w:t xml:space="preserve"> 1957 Report</w:t>
      </w:r>
      <w:r w:rsidR="00E505E9" w:rsidRPr="003B079C">
        <w:t xml:space="preserve"> suggested that lay persons </w:t>
      </w:r>
      <w:r w:rsidR="00741FF7" w:rsidRPr="003B079C">
        <w:t xml:space="preserve">(i.e. non-psychiatrists) </w:t>
      </w:r>
      <w:r w:rsidR="00E505E9" w:rsidRPr="003B079C">
        <w:t>should not</w:t>
      </w:r>
      <w:r w:rsidR="00151E0E" w:rsidRPr="003B079C">
        <w:t xml:space="preserve"> </w:t>
      </w:r>
      <w:r w:rsidR="00E505E9" w:rsidRPr="003B079C">
        <w:t>be permitted to exercise an independent judg</w:t>
      </w:r>
      <w:r w:rsidR="00984D40" w:rsidRPr="003B079C">
        <w:t>e</w:t>
      </w:r>
      <w:r w:rsidR="00E505E9" w:rsidRPr="003B079C">
        <w:t>ment.  Reginald Sorensen</w:t>
      </w:r>
      <w:r w:rsidR="009307DA" w:rsidRPr="003B079C">
        <w:t xml:space="preserve"> MP</w:t>
      </w:r>
      <w:r w:rsidR="00E505E9" w:rsidRPr="003B079C">
        <w:t xml:space="preserve"> </w:t>
      </w:r>
      <w:r w:rsidR="008B2151" w:rsidRPr="003B079C">
        <w:t>(unsuccessfully)</w:t>
      </w:r>
      <w:r w:rsidR="00E505E9" w:rsidRPr="003B079C">
        <w:t xml:space="preserve"> </w:t>
      </w:r>
      <w:r w:rsidR="00966989" w:rsidRPr="003B079C">
        <w:t xml:space="preserve">asserted </w:t>
      </w:r>
      <w:r w:rsidR="00E505E9" w:rsidRPr="003B079C">
        <w:t>that if lay persons were allowed to be independently minded</w:t>
      </w:r>
      <w:r w:rsidR="00984D40" w:rsidRPr="003B079C">
        <w:t>,</w:t>
      </w:r>
      <w:r w:rsidR="00E505E9" w:rsidRPr="003B079C">
        <w:t xml:space="preserve"> the result would</w:t>
      </w:r>
      <w:r w:rsidR="002B5714" w:rsidRPr="003B079C">
        <w:t xml:space="preserve"> </w:t>
      </w:r>
      <w:r w:rsidR="00E505E9" w:rsidRPr="003B079C">
        <w:t>be ‘lamentable</w:t>
      </w:r>
      <w:r w:rsidRPr="003B079C">
        <w:t>.</w:t>
      </w:r>
      <w:r w:rsidR="00E505E9" w:rsidRPr="003B079C">
        <w:t xml:space="preserve">’ </w:t>
      </w:r>
      <w:r w:rsidR="00984D40" w:rsidRPr="003B079C">
        <w:t>I</w:t>
      </w:r>
      <w:r w:rsidR="00E505E9" w:rsidRPr="003B079C">
        <w:t>nstead</w:t>
      </w:r>
      <w:r w:rsidR="00984D40" w:rsidRPr="003B079C">
        <w:t>,</w:t>
      </w:r>
      <w:r w:rsidR="00E505E9" w:rsidRPr="003B079C">
        <w:t xml:space="preserve"> he argued that ‘the doctor </w:t>
      </w:r>
      <w:r w:rsidR="00E505E9" w:rsidRPr="003B079C">
        <w:rPr>
          <w:i/>
        </w:rPr>
        <w:t>must</w:t>
      </w:r>
      <w:r w:rsidR="00E505E9" w:rsidRPr="003B079C">
        <w:t xml:space="preserve"> be relied upon to give advice which laymen should</w:t>
      </w:r>
      <w:r w:rsidR="00E505E9" w:rsidRPr="003B079C">
        <w:rPr>
          <w:i/>
        </w:rPr>
        <w:t xml:space="preserve"> </w:t>
      </w:r>
      <w:r w:rsidR="00E505E9" w:rsidRPr="003B079C">
        <w:t>accept</w:t>
      </w:r>
      <w:r w:rsidR="000F747D" w:rsidRPr="003B079C">
        <w:t>.</w:t>
      </w:r>
      <w:r w:rsidR="00E505E9" w:rsidRPr="003B079C">
        <w:t>’</w:t>
      </w:r>
      <w:r w:rsidR="00E505E9" w:rsidRPr="003B079C">
        <w:rPr>
          <w:vertAlign w:val="superscript"/>
        </w:rPr>
        <w:footnoteReference w:id="138"/>
      </w:r>
      <w:r w:rsidR="00917F45" w:rsidRPr="003B079C">
        <w:t xml:space="preserve">  This was a more extreme position than the </w:t>
      </w:r>
      <w:r w:rsidR="00CB70B1" w:rsidRPr="003B079C">
        <w:t xml:space="preserve">already </w:t>
      </w:r>
      <w:r w:rsidR="00C578E1" w:rsidRPr="003B079C">
        <w:t>high-bar proposed</w:t>
      </w:r>
      <w:r w:rsidR="00917F45" w:rsidRPr="003B079C">
        <w:t xml:space="preserve"> by the</w:t>
      </w:r>
      <w:r w:rsidR="00E505E9" w:rsidRPr="003B079C">
        <w:t xml:space="preserve"> Macmillan Commission</w:t>
      </w:r>
      <w:r w:rsidR="00984D40" w:rsidRPr="003B079C">
        <w:t>, which</w:t>
      </w:r>
      <w:r w:rsidR="00E505E9" w:rsidRPr="003B079C">
        <w:t xml:space="preserve"> had recommended</w:t>
      </w:r>
      <w:r w:rsidR="00917F45" w:rsidRPr="003B079C">
        <w:t xml:space="preserve"> (</w:t>
      </w:r>
      <w:r w:rsidR="00520C76" w:rsidRPr="003B079C">
        <w:t xml:space="preserve">also </w:t>
      </w:r>
      <w:r w:rsidR="00917F45" w:rsidRPr="003B079C">
        <w:t>unsuccessfully)</w:t>
      </w:r>
      <w:r w:rsidR="00E505E9" w:rsidRPr="003B079C">
        <w:t xml:space="preserve"> that </w:t>
      </w:r>
      <w:r w:rsidR="00917F45" w:rsidRPr="003B079C">
        <w:t xml:space="preserve">only </w:t>
      </w:r>
      <w:r w:rsidR="00E505E9" w:rsidRPr="003B079C">
        <w:t>the unanimous approval of the whole Visiting Committee</w:t>
      </w:r>
      <w:r w:rsidR="00917F45" w:rsidRPr="003B079C">
        <w:t>,</w:t>
      </w:r>
      <w:r w:rsidR="00E505E9" w:rsidRPr="003B079C">
        <w:t xml:space="preserve"> rather than the ordinary panel of three</w:t>
      </w:r>
      <w:r w:rsidR="00917F45" w:rsidRPr="003B079C">
        <w:t>,</w:t>
      </w:r>
      <w:r w:rsidR="00E505E9" w:rsidRPr="003B079C">
        <w:t xml:space="preserve"> </w:t>
      </w:r>
      <w:r w:rsidR="00917F45" w:rsidRPr="003B079C">
        <w:t>would be sufficient</w:t>
      </w:r>
      <w:r w:rsidR="00E505E9" w:rsidRPr="003B079C">
        <w:t xml:space="preserve"> to override the decision of the doctor.</w:t>
      </w:r>
      <w:r w:rsidR="00E505E9" w:rsidRPr="003B079C">
        <w:rPr>
          <w:vertAlign w:val="superscript"/>
        </w:rPr>
        <w:footnoteReference w:id="139"/>
      </w:r>
      <w:r w:rsidR="00E505E9" w:rsidRPr="003B079C">
        <w:t xml:space="preserve">  </w:t>
      </w:r>
      <w:r w:rsidR="00CB70B1" w:rsidRPr="003B079C">
        <w:t xml:space="preserve">Quite what purpose would be served by having the clinician’s view reviewed by persons who </w:t>
      </w:r>
      <w:r w:rsidR="00984D40" w:rsidRPr="003B079C">
        <w:t>would</w:t>
      </w:r>
      <w:r w:rsidR="00CB70B1" w:rsidRPr="003B079C">
        <w:t xml:space="preserve"> </w:t>
      </w:r>
      <w:r w:rsidR="00C578E1" w:rsidRPr="003B079C">
        <w:t xml:space="preserve">ultimately </w:t>
      </w:r>
      <w:r w:rsidR="00984D40" w:rsidRPr="003B079C">
        <w:t xml:space="preserve">have to </w:t>
      </w:r>
      <w:r w:rsidR="00CB70B1" w:rsidRPr="003B079C">
        <w:t xml:space="preserve">defer to the clinician </w:t>
      </w:r>
      <w:r w:rsidR="00C578E1" w:rsidRPr="003B079C">
        <w:t xml:space="preserve">was not </w:t>
      </w:r>
      <w:r w:rsidR="000F747D" w:rsidRPr="003B079C">
        <w:t>explained</w:t>
      </w:r>
      <w:r w:rsidR="00CB70B1" w:rsidRPr="003B079C">
        <w:t>.</w:t>
      </w:r>
      <w:r w:rsidR="0003794E" w:rsidRPr="003B079C">
        <w:t xml:space="preserve">  </w:t>
      </w:r>
      <w:r w:rsidR="006F24D9" w:rsidRPr="003B079C">
        <w:t>More recently</w:t>
      </w:r>
      <w:r w:rsidR="00984D40" w:rsidRPr="003B079C">
        <w:t>,</w:t>
      </w:r>
      <w:r w:rsidR="00520C76" w:rsidRPr="003B079C">
        <w:t xml:space="preserve"> it has been </w:t>
      </w:r>
      <w:r w:rsidR="006F24D9" w:rsidRPr="003B079C">
        <w:t>recognised</w:t>
      </w:r>
      <w:r w:rsidR="002A728A" w:rsidRPr="003B079C">
        <w:t xml:space="preserve"> that </w:t>
      </w:r>
      <w:r w:rsidR="006F24D9" w:rsidRPr="003B079C">
        <w:t xml:space="preserve">deciding </w:t>
      </w:r>
      <w:r w:rsidR="00C4476B" w:rsidRPr="003B079C">
        <w:t xml:space="preserve">to </w:t>
      </w:r>
      <w:r w:rsidR="002A728A" w:rsidRPr="003B079C">
        <w:t>discharge against medical advice ‘is virtually the definition of a discharge at a Managers’ hearing.’</w:t>
      </w:r>
      <w:r w:rsidR="002A728A" w:rsidRPr="003B079C">
        <w:rPr>
          <w:vertAlign w:val="superscript"/>
        </w:rPr>
        <w:footnoteReference w:id="140"/>
      </w:r>
    </w:p>
    <w:p w14:paraId="7248E2B3" w14:textId="77777777" w:rsidR="00EB391E" w:rsidRPr="003B079C" w:rsidRDefault="00494BB1" w:rsidP="00E4654B">
      <w:pPr>
        <w:spacing w:line="480" w:lineRule="auto"/>
      </w:pPr>
      <w:r w:rsidRPr="003B079C">
        <w:t xml:space="preserve">This historical summary gives some sense of the tensions involved in the exercise of the s.23 power, but it does not tell us whether the Managers typically </w:t>
      </w:r>
      <w:r w:rsidR="00520C76" w:rsidRPr="003B079C">
        <w:t>do override the decision of</w:t>
      </w:r>
      <w:r w:rsidRPr="003B079C">
        <w:t xml:space="preserve"> the clinician</w:t>
      </w:r>
      <w:r w:rsidR="008B1871" w:rsidRPr="003B079C">
        <w:t xml:space="preserve"> today</w:t>
      </w:r>
      <w:r w:rsidRPr="003B079C">
        <w:t xml:space="preserve">.  </w:t>
      </w:r>
      <w:r w:rsidR="00C4476B" w:rsidRPr="003B079C">
        <w:t>In the absence of other evidence</w:t>
      </w:r>
      <w:r w:rsidR="00984D40" w:rsidRPr="003B079C">
        <w:t>,</w:t>
      </w:r>
      <w:r w:rsidR="00C4476B" w:rsidRPr="003B079C">
        <w:t xml:space="preserve"> the best available indicator of </w:t>
      </w:r>
      <w:r w:rsidR="00CB70B1" w:rsidRPr="003B079C">
        <w:t xml:space="preserve">the </w:t>
      </w:r>
      <w:r w:rsidR="00FD6B12" w:rsidRPr="003B079C">
        <w:t xml:space="preserve">Managers’ </w:t>
      </w:r>
      <w:r w:rsidR="00CB70B1" w:rsidRPr="003B079C">
        <w:t xml:space="preserve">ability </w:t>
      </w:r>
      <w:r w:rsidR="00FD6B12" w:rsidRPr="003B079C">
        <w:t xml:space="preserve">to form an independent view </w:t>
      </w:r>
      <w:r w:rsidR="00CB70B1" w:rsidRPr="003B079C">
        <w:t>are</w:t>
      </w:r>
      <w:r w:rsidR="00FD6B12" w:rsidRPr="003B079C">
        <w:t xml:space="preserve"> the rates of discharge by Managers.</w:t>
      </w:r>
      <w:r w:rsidR="006D19EC" w:rsidRPr="003B079C">
        <w:t xml:space="preserve">  Unfortunately, </w:t>
      </w:r>
      <w:r w:rsidRPr="003B079C">
        <w:t>even on this fundamental point</w:t>
      </w:r>
      <w:r w:rsidR="00520C76" w:rsidRPr="003B079C">
        <w:t>,</w:t>
      </w:r>
      <w:r w:rsidRPr="003B079C">
        <w:t xml:space="preserve"> only very</w:t>
      </w:r>
      <w:r w:rsidR="00E505E9" w:rsidRPr="003B079C">
        <w:t xml:space="preserve"> limited statistical evidence</w:t>
      </w:r>
      <w:r w:rsidR="00151E0E" w:rsidRPr="003B079C">
        <w:t xml:space="preserve"> </w:t>
      </w:r>
      <w:r w:rsidR="00CB70B1" w:rsidRPr="003B079C">
        <w:t xml:space="preserve">is </w:t>
      </w:r>
      <w:r w:rsidR="00C4476B" w:rsidRPr="003B079C">
        <w:t>available</w:t>
      </w:r>
      <w:r w:rsidR="00E505E9" w:rsidRPr="003B079C">
        <w:t>.</w:t>
      </w:r>
      <w:r w:rsidR="007F55E9" w:rsidRPr="003B079C">
        <w:rPr>
          <w:rStyle w:val="FootnoteReference"/>
        </w:rPr>
        <w:footnoteReference w:id="141"/>
      </w:r>
      <w:r w:rsidRPr="003B079C">
        <w:t xml:space="preserve">  </w:t>
      </w:r>
      <w:r w:rsidR="009B7525" w:rsidRPr="003B079C">
        <w:t>The first of the sources available is the Report of th</w:t>
      </w:r>
      <w:r w:rsidR="00E505E9" w:rsidRPr="003B079C">
        <w:t>e 1996 Working Group</w:t>
      </w:r>
      <w:r w:rsidR="009B7525" w:rsidRPr="003B079C">
        <w:t>.  The Group</w:t>
      </w:r>
      <w:r w:rsidR="00E505E9" w:rsidRPr="003B079C">
        <w:t xml:space="preserve"> conducted a study </w:t>
      </w:r>
      <w:r w:rsidR="00CB70B1" w:rsidRPr="003B079C">
        <w:t>involving</w:t>
      </w:r>
      <w:r w:rsidR="00E505E9" w:rsidRPr="003B079C">
        <w:t xml:space="preserve"> a </w:t>
      </w:r>
      <w:r w:rsidR="002368BD" w:rsidRPr="003B079C">
        <w:t xml:space="preserve">small, though </w:t>
      </w:r>
      <w:r w:rsidR="00CB70B1" w:rsidRPr="003B079C">
        <w:t>nominally</w:t>
      </w:r>
      <w:r w:rsidR="002368BD" w:rsidRPr="003B079C">
        <w:t xml:space="preserve"> representative</w:t>
      </w:r>
      <w:r w:rsidR="00984D40" w:rsidRPr="003B079C">
        <w:t>,</w:t>
      </w:r>
      <w:r w:rsidR="002368BD" w:rsidRPr="003B079C">
        <w:t xml:space="preserve"> number </w:t>
      </w:r>
      <w:r w:rsidR="00E505E9" w:rsidRPr="003B079C">
        <w:t xml:space="preserve">of hospitals and concluded that </w:t>
      </w:r>
      <w:r w:rsidR="00C4476B" w:rsidRPr="003B079C">
        <w:t>‘</w:t>
      </w:r>
      <w:r w:rsidR="00E505E9" w:rsidRPr="003B079C">
        <w:t>the number of patients discharged against medical advice … is very small (5 per cent)’, with even</w:t>
      </w:r>
      <w:r w:rsidR="00C578E1" w:rsidRPr="003B079C">
        <w:t xml:space="preserve"> fewer</w:t>
      </w:r>
      <w:r w:rsidR="00E505E9" w:rsidRPr="003B079C">
        <w:t xml:space="preserve"> discharged </w:t>
      </w:r>
      <w:r w:rsidR="009B7525" w:rsidRPr="003B079C">
        <w:t xml:space="preserve">following an </w:t>
      </w:r>
      <w:r w:rsidR="009307DA" w:rsidRPr="003B079C">
        <w:t>s.20</w:t>
      </w:r>
      <w:r w:rsidR="009B7525" w:rsidRPr="003B079C">
        <w:t xml:space="preserve"> MHA 1983</w:t>
      </w:r>
      <w:r w:rsidR="009307DA" w:rsidRPr="003B079C">
        <w:t xml:space="preserve"> </w:t>
      </w:r>
      <w:r w:rsidR="00E505E9" w:rsidRPr="003B079C">
        <w:t>renewal (‘2 per cent’).</w:t>
      </w:r>
      <w:r w:rsidR="00E505E9" w:rsidRPr="003B079C">
        <w:rPr>
          <w:vertAlign w:val="superscript"/>
        </w:rPr>
        <w:footnoteReference w:id="142"/>
      </w:r>
      <w:r w:rsidR="00E505E9" w:rsidRPr="003B079C">
        <w:t xml:space="preserve">  This</w:t>
      </w:r>
      <w:r w:rsidR="00C578E1" w:rsidRPr="003B079C">
        <w:t xml:space="preserve"> figure</w:t>
      </w:r>
      <w:r w:rsidR="00E505E9" w:rsidRPr="003B079C">
        <w:t xml:space="preserve"> </w:t>
      </w:r>
      <w:r w:rsidR="009B7525" w:rsidRPr="003B079C">
        <w:t>is</w:t>
      </w:r>
      <w:r w:rsidR="00E505E9" w:rsidRPr="003B079C">
        <w:t xml:space="preserve"> in keeping with </w:t>
      </w:r>
      <w:r w:rsidR="00C578E1" w:rsidRPr="003B079C">
        <w:t xml:space="preserve">that </w:t>
      </w:r>
      <w:r w:rsidR="00E505E9" w:rsidRPr="003B079C">
        <w:t>reported by IMHAP before the Joint Committee in 2004 that ‘approximately 3-4% of hearings’ result in the lifting of the section</w:t>
      </w:r>
      <w:r w:rsidR="00984D40" w:rsidRPr="003B079C">
        <w:t>.</w:t>
      </w:r>
      <w:r w:rsidR="00B64BA3" w:rsidRPr="003B079C">
        <w:rPr>
          <w:rStyle w:val="FootnoteReference"/>
        </w:rPr>
        <w:footnoteReference w:id="143"/>
      </w:r>
      <w:r w:rsidR="00984D40" w:rsidRPr="003B079C">
        <w:t xml:space="preserve">  </w:t>
      </w:r>
      <w:r w:rsidR="00520C76" w:rsidRPr="003B079C">
        <w:t>It is regrettable that t</w:t>
      </w:r>
      <w:r w:rsidR="00E505E9" w:rsidRPr="003B079C">
        <w:t>he</w:t>
      </w:r>
      <w:r w:rsidR="002368BD" w:rsidRPr="003B079C">
        <w:t xml:space="preserve"> statistical</w:t>
      </w:r>
      <w:r w:rsidR="00E505E9" w:rsidRPr="003B079C">
        <w:t xml:space="preserve"> evidence </w:t>
      </w:r>
      <w:r w:rsidR="009B7525" w:rsidRPr="003B079C">
        <w:t>to</w:t>
      </w:r>
      <w:r w:rsidR="00E505E9" w:rsidRPr="003B079C">
        <w:t xml:space="preserve"> support </w:t>
      </w:r>
      <w:r w:rsidR="009B7525" w:rsidRPr="003B079C">
        <w:t>IMHAP’s</w:t>
      </w:r>
      <w:r w:rsidR="00E505E9" w:rsidRPr="003B079C">
        <w:t xml:space="preserve"> claim was not produced.</w:t>
      </w:r>
      <w:r w:rsidR="00E505E9" w:rsidRPr="003B079C">
        <w:rPr>
          <w:vertAlign w:val="superscript"/>
        </w:rPr>
        <w:footnoteReference w:id="144"/>
      </w:r>
      <w:r w:rsidR="002368BD" w:rsidRPr="003B079C">
        <w:t xml:space="preserve">  </w:t>
      </w:r>
      <w:r w:rsidR="00520C76" w:rsidRPr="003B079C">
        <w:t>The picture is further confused in view of the fact that the figures of both the Working Group and IMHAP</w:t>
      </w:r>
      <w:r w:rsidR="00C26DC5" w:rsidRPr="003B079C">
        <w:t xml:space="preserve"> are </w:t>
      </w:r>
      <w:r w:rsidR="0031025B" w:rsidRPr="003B079C">
        <w:t>lower than</w:t>
      </w:r>
      <w:r w:rsidR="00C26DC5" w:rsidRPr="003B079C">
        <w:t xml:space="preserve"> those produced by </w:t>
      </w:r>
      <w:r w:rsidR="009B7525" w:rsidRPr="003B079C">
        <w:t>MHAC</w:t>
      </w:r>
      <w:r w:rsidR="00C26DC5" w:rsidRPr="003B079C">
        <w:t xml:space="preserve"> for 1997-1998</w:t>
      </w:r>
      <w:r w:rsidR="00520C76" w:rsidRPr="003B079C">
        <w:t xml:space="preserve"> (8.4 per cent discharge rate at contested hearings)</w:t>
      </w:r>
      <w:r w:rsidR="00ED258A" w:rsidRPr="003B079C">
        <w:t>.</w:t>
      </w:r>
      <w:r w:rsidR="00ED258A" w:rsidRPr="003B079C">
        <w:rPr>
          <w:rStyle w:val="FootnoteReference"/>
        </w:rPr>
        <w:footnoteReference w:id="145"/>
      </w:r>
    </w:p>
    <w:p w14:paraId="10CAF763" w14:textId="76F0CE1F" w:rsidR="00ED436B" w:rsidRPr="003B079C" w:rsidRDefault="00A5532D" w:rsidP="00E4654B">
      <w:pPr>
        <w:spacing w:line="480" w:lineRule="auto"/>
      </w:pPr>
      <w:r w:rsidRPr="003B079C">
        <w:t>Each of the figures above is limited by the fact that it generally provided a snapshot that disclosed no sense of the trend over time.  A study by Singh and Moncrieff is more</w:t>
      </w:r>
      <w:r w:rsidR="00E505E9" w:rsidRPr="003B079C">
        <w:t xml:space="preserve"> chronologically comprehensive</w:t>
      </w:r>
      <w:r w:rsidR="00023FCD" w:rsidRPr="003B079C">
        <w:t>.</w:t>
      </w:r>
      <w:r w:rsidRPr="003B079C">
        <w:rPr>
          <w:rStyle w:val="FootnoteReference"/>
        </w:rPr>
        <w:footnoteReference w:id="146"/>
      </w:r>
      <w:r w:rsidR="00E505E9" w:rsidRPr="003B079C">
        <w:t xml:space="preserve"> </w:t>
      </w:r>
      <w:r w:rsidR="00023FCD" w:rsidRPr="003B079C">
        <w:t xml:space="preserve"> </w:t>
      </w:r>
      <w:r w:rsidR="00CA7E87" w:rsidRPr="003B079C">
        <w:t>T</w:t>
      </w:r>
      <w:r w:rsidR="00C4476B" w:rsidRPr="003B079C">
        <w:t>he</w:t>
      </w:r>
      <w:r w:rsidR="00023FCD" w:rsidRPr="003B079C">
        <w:t>ir</w:t>
      </w:r>
      <w:r w:rsidR="00C4476B" w:rsidRPr="003B079C">
        <w:t xml:space="preserve"> study </w:t>
      </w:r>
      <w:r w:rsidR="00520C76" w:rsidRPr="003B079C">
        <w:t>covered</w:t>
      </w:r>
      <w:r w:rsidR="00C4476B" w:rsidRPr="003B079C">
        <w:t xml:space="preserve"> 1997-2007</w:t>
      </w:r>
      <w:r w:rsidR="00CA7E87" w:rsidRPr="003B079C">
        <w:t>, but</w:t>
      </w:r>
      <w:r w:rsidR="00C4476B" w:rsidRPr="003B079C">
        <w:t xml:space="preserve"> it did not</w:t>
      </w:r>
      <w:r w:rsidR="00E505E9" w:rsidRPr="003B079C">
        <w:t xml:space="preserve"> distinguish between those discharges granted by the</w:t>
      </w:r>
      <w:r w:rsidR="002368BD" w:rsidRPr="003B079C">
        <w:t xml:space="preserve"> then</w:t>
      </w:r>
      <w:r w:rsidR="00E505E9" w:rsidRPr="003B079C">
        <w:t xml:space="preserve"> Mental Health</w:t>
      </w:r>
      <w:r w:rsidR="00E87712" w:rsidRPr="003B079C">
        <w:t xml:space="preserve"> Review</w:t>
      </w:r>
      <w:r w:rsidR="00E505E9" w:rsidRPr="003B079C">
        <w:t xml:space="preserve"> Tribunal and those by the Managers</w:t>
      </w:r>
      <w:r w:rsidR="00C4476B" w:rsidRPr="003B079C">
        <w:t>.  As such, it is hard to discern which element of the total discharge</w:t>
      </w:r>
      <w:r w:rsidR="00B64BA3" w:rsidRPr="003B079C">
        <w:t xml:space="preserve"> rate</w:t>
      </w:r>
      <w:r w:rsidR="008B1871" w:rsidRPr="003B079C">
        <w:t xml:space="preserve"> recorded</w:t>
      </w:r>
      <w:r w:rsidR="00B64BA3" w:rsidRPr="003B079C">
        <w:t>, approximately 12 per cent,</w:t>
      </w:r>
      <w:r w:rsidR="00C4476B" w:rsidRPr="003B079C">
        <w:t xml:space="preserve"> </w:t>
      </w:r>
      <w:r w:rsidR="008B1871" w:rsidRPr="003B079C">
        <w:t>is attributable to</w:t>
      </w:r>
      <w:r w:rsidR="00C4476B" w:rsidRPr="003B079C">
        <w:t xml:space="preserve"> the Managers</w:t>
      </w:r>
      <w:r w:rsidR="00E505E9" w:rsidRPr="003B079C">
        <w:t>.</w:t>
      </w:r>
      <w:r w:rsidR="00E505E9" w:rsidRPr="003B079C">
        <w:rPr>
          <w:vertAlign w:val="superscript"/>
        </w:rPr>
        <w:footnoteReference w:id="147"/>
      </w:r>
      <w:r w:rsidR="00E505E9" w:rsidRPr="003B079C">
        <w:t xml:space="preserve"> </w:t>
      </w:r>
      <w:r w:rsidR="00ED436B" w:rsidRPr="003B079C">
        <w:t xml:space="preserve"> </w:t>
      </w:r>
      <w:r w:rsidRPr="003B079C">
        <w:t xml:space="preserve">Although there is inconsistency between </w:t>
      </w:r>
      <w:r w:rsidR="00EB391E" w:rsidRPr="003B079C">
        <w:t xml:space="preserve">all of </w:t>
      </w:r>
      <w:r w:rsidRPr="003B079C">
        <w:t>the studies discussed, they all suggest that the rates of discharge are lower than we might expect if Managers were regularly challenging the views of clinicians.</w:t>
      </w:r>
    </w:p>
    <w:p w14:paraId="700A9A2B" w14:textId="0F207DA4" w:rsidR="00ED436B" w:rsidRPr="003B079C" w:rsidRDefault="00ED436B" w:rsidP="00E4654B">
      <w:pPr>
        <w:spacing w:line="480" w:lineRule="auto"/>
      </w:pPr>
      <w:r w:rsidRPr="003B079C">
        <w:t>This conclusion</w:t>
      </w:r>
      <w:r w:rsidR="00520C76" w:rsidRPr="003B079C">
        <w:t xml:space="preserve"> is simplistic because it</w:t>
      </w:r>
      <w:r w:rsidRPr="003B079C">
        <w:t xml:space="preserve"> ignores </w:t>
      </w:r>
      <w:r w:rsidR="00EB391E" w:rsidRPr="003B079C">
        <w:t xml:space="preserve">other </w:t>
      </w:r>
      <w:r w:rsidRPr="003B079C">
        <w:t>factors</w:t>
      </w:r>
      <w:r w:rsidR="00520C76" w:rsidRPr="003B079C">
        <w:t xml:space="preserve"> which may explain the low rate of discharge</w:t>
      </w:r>
      <w:r w:rsidR="00096412" w:rsidRPr="003B079C">
        <w:t xml:space="preserve">.  </w:t>
      </w:r>
      <w:r w:rsidR="00A5532D" w:rsidRPr="003B079C">
        <w:t>First</w:t>
      </w:r>
      <w:r w:rsidR="00096412" w:rsidRPr="003B079C">
        <w:t xml:space="preserve">, none of the studies recorded the number of discharges following a </w:t>
      </w:r>
      <w:r w:rsidR="00096412" w:rsidRPr="003B079C">
        <w:rPr>
          <w:i/>
        </w:rPr>
        <w:t xml:space="preserve">request </w:t>
      </w:r>
      <w:r w:rsidR="00096412" w:rsidRPr="003B079C">
        <w:t xml:space="preserve">for a hearing but preceding the hearing itself.  One anecdotal, </w:t>
      </w:r>
      <w:r w:rsidR="00023FCD" w:rsidRPr="003B079C">
        <w:t xml:space="preserve">though </w:t>
      </w:r>
      <w:r w:rsidR="00096412" w:rsidRPr="003B079C">
        <w:t>dated</w:t>
      </w:r>
      <w:r w:rsidR="00023FCD" w:rsidRPr="003B079C">
        <w:t>,</w:t>
      </w:r>
      <w:r w:rsidR="00096412" w:rsidRPr="003B079C">
        <w:t xml:space="preserve"> example of </w:t>
      </w:r>
      <w:r w:rsidR="00A5532D" w:rsidRPr="003B079C">
        <w:t>discharge ahead of a request</w:t>
      </w:r>
      <w:r w:rsidR="00432018" w:rsidRPr="003B079C">
        <w:t>ed</w:t>
      </w:r>
      <w:r w:rsidR="00A5532D" w:rsidRPr="003B079C">
        <w:t xml:space="preserve"> hearing</w:t>
      </w:r>
      <w:r w:rsidR="00096412" w:rsidRPr="003B079C">
        <w:t xml:space="preserve"> is discussed in Hansard,</w:t>
      </w:r>
      <w:r w:rsidR="00EA3374" w:rsidRPr="003B079C">
        <w:rPr>
          <w:vertAlign w:val="superscript"/>
        </w:rPr>
        <w:footnoteReference w:id="148"/>
      </w:r>
      <w:r w:rsidR="00096412" w:rsidRPr="003B079C">
        <w:t xml:space="preserve"> but more recent, comprehensive statistical data is</w:t>
      </w:r>
      <w:r w:rsidR="00A5532D" w:rsidRPr="003B079C">
        <w:t xml:space="preserve"> limited.  The only </w:t>
      </w:r>
      <w:r w:rsidR="00096412" w:rsidRPr="003B079C">
        <w:t>publicly available</w:t>
      </w:r>
      <w:r w:rsidR="00A5532D" w:rsidRPr="003B079C">
        <w:t xml:space="preserve"> example is an MHAC study of five service providers in 2006/07.</w:t>
      </w:r>
      <w:r w:rsidRPr="003B079C">
        <w:rPr>
          <w:rStyle w:val="FootnoteReference"/>
        </w:rPr>
        <w:footnoteReference w:id="149"/>
      </w:r>
      <w:r w:rsidR="00A5532D" w:rsidRPr="003B079C">
        <w:t xml:space="preserve">  </w:t>
      </w:r>
      <w:r w:rsidRPr="003B079C">
        <w:t>The study indicates a discharge rate at hearings of 5 per cent from 443 hearings, a similar figure to those above, but it also says that 195 discharges were made prior to the hearing.  Taken with other figures in the table, the total number of requested hearings was 732, meaning that in</w:t>
      </w:r>
      <w:r w:rsidR="00432018" w:rsidRPr="003B079C">
        <w:t xml:space="preserve"> approximately</w:t>
      </w:r>
      <w:r w:rsidRPr="003B079C">
        <w:t xml:space="preserve"> 27 per cent of cases, a patient was discharged prior to their hearing, but following a request for a hearing. </w:t>
      </w:r>
      <w:r w:rsidR="00EA3374" w:rsidRPr="003B079C">
        <w:t xml:space="preserve"> </w:t>
      </w:r>
      <w:r w:rsidRPr="003B079C">
        <w:t>T</w:t>
      </w:r>
      <w:r w:rsidR="00EA3374" w:rsidRPr="003B079C">
        <w:t xml:space="preserve">his </w:t>
      </w:r>
      <w:r w:rsidRPr="003B079C">
        <w:t xml:space="preserve">undermines </w:t>
      </w:r>
      <w:r w:rsidR="00EA3374" w:rsidRPr="003B079C">
        <w:t xml:space="preserve">the contention of the Expert Committee and the </w:t>
      </w:r>
      <w:r w:rsidR="006811CB" w:rsidRPr="003B079C">
        <w:t>government</w:t>
      </w:r>
      <w:r w:rsidR="00EA3374" w:rsidRPr="003B079C">
        <w:t xml:space="preserve"> that the </w:t>
      </w:r>
      <w:r w:rsidR="00CA7E87" w:rsidRPr="003B079C">
        <w:t>s</w:t>
      </w:r>
      <w:r w:rsidRPr="003B079C">
        <w:t>.</w:t>
      </w:r>
      <w:r w:rsidR="00CA7E87" w:rsidRPr="003B079C">
        <w:t xml:space="preserve">23 </w:t>
      </w:r>
      <w:r w:rsidR="00EA3374" w:rsidRPr="003B079C">
        <w:t>process is of ‘little obvious benefit to the patient in terms of early discharge.’</w:t>
      </w:r>
      <w:r w:rsidR="00EA3374" w:rsidRPr="003B079C">
        <w:rPr>
          <w:vertAlign w:val="superscript"/>
        </w:rPr>
        <w:footnoteReference w:id="150"/>
      </w:r>
      <w:r w:rsidRPr="003B079C">
        <w:t xml:space="preserve">  If a request prompts a clinician to</w:t>
      </w:r>
      <w:r w:rsidR="001F39E6" w:rsidRPr="003B079C">
        <w:t xml:space="preserve"> discharge a person from compulsory care, this suggests that they perceive the Managers to constitute</w:t>
      </w:r>
      <w:r w:rsidRPr="003B079C">
        <w:t xml:space="preserve"> an informed, reasonable decision-mak</w:t>
      </w:r>
      <w:r w:rsidR="001F39E6" w:rsidRPr="003B079C">
        <w:t>ing body that, given access to the same evidence as the clinician, is capable of reaching the same conclusion</w:t>
      </w:r>
      <w:r w:rsidR="00432018" w:rsidRPr="003B079C">
        <w:t xml:space="preserve"> </w:t>
      </w:r>
      <w:r w:rsidRPr="003B079C">
        <w:t>that a person no longer meets the criteria for compuls</w:t>
      </w:r>
      <w:r w:rsidR="00432018" w:rsidRPr="003B079C">
        <w:t>ory care</w:t>
      </w:r>
      <w:r w:rsidR="001F39E6" w:rsidRPr="003B079C">
        <w:t xml:space="preserve">.  In the event that a clinician were not to discharge a person, a body which was not capable of thinking independently would be </w:t>
      </w:r>
      <w:r w:rsidR="00432018" w:rsidRPr="003B079C">
        <w:t>un</w:t>
      </w:r>
      <w:r w:rsidR="001F39E6" w:rsidRPr="003B079C">
        <w:t>likely to reach such a decision, and would instead rubber-stamp the clinician’s view.</w:t>
      </w:r>
    </w:p>
    <w:p w14:paraId="7749955B" w14:textId="6C80B226" w:rsidR="00F03E3D" w:rsidRPr="003B079C" w:rsidRDefault="00A5532D" w:rsidP="00E4654B">
      <w:pPr>
        <w:spacing w:line="480" w:lineRule="auto"/>
      </w:pPr>
      <w:r w:rsidRPr="003B079C">
        <w:t>Secondly, i</w:t>
      </w:r>
      <w:r w:rsidR="0041545C" w:rsidRPr="003B079C">
        <w:t xml:space="preserve">t should be acknowledged that while requests might be made for s.23 hearings, </w:t>
      </w:r>
      <w:r w:rsidR="00CA7E87" w:rsidRPr="003B079C">
        <w:t>some</w:t>
      </w:r>
      <w:r w:rsidR="0041545C" w:rsidRPr="003B079C">
        <w:t xml:space="preserve"> of these will have little prospect of success.  </w:t>
      </w:r>
      <w:r w:rsidR="001F39E6" w:rsidRPr="003B079C">
        <w:t>A</w:t>
      </w:r>
      <w:r w:rsidR="0041545C" w:rsidRPr="003B079C">
        <w:t xml:space="preserve"> person who lacks sufficient insight into their mental health may bring a weak case, leading the Managers to agree with that compuls</w:t>
      </w:r>
      <w:r w:rsidR="001F39E6" w:rsidRPr="003B079C">
        <w:t>ory care</w:t>
      </w:r>
      <w:r w:rsidR="0041545C" w:rsidRPr="003B079C">
        <w:t xml:space="preserve"> should continue.  </w:t>
      </w:r>
      <w:r w:rsidR="00023FCD" w:rsidRPr="003B079C">
        <w:t xml:space="preserve">Added to this is the </w:t>
      </w:r>
      <w:r w:rsidR="0041545C" w:rsidRPr="003B079C">
        <w:t xml:space="preserve">assumption that all professionals are acting in good faith, and </w:t>
      </w:r>
      <w:r w:rsidR="00023FCD" w:rsidRPr="003B079C">
        <w:t>have</w:t>
      </w:r>
      <w:r w:rsidR="0041545C" w:rsidRPr="003B079C">
        <w:t xml:space="preserve"> cogent</w:t>
      </w:r>
      <w:r w:rsidR="001F39E6" w:rsidRPr="003B079C">
        <w:t>, evidenced</w:t>
      </w:r>
      <w:r w:rsidR="00023FCD" w:rsidRPr="003B079C">
        <w:t xml:space="preserve"> reasons</w:t>
      </w:r>
      <w:r w:rsidR="0041545C" w:rsidRPr="003B079C">
        <w:t xml:space="preserve"> to make the case for compulsion.  Thus, </w:t>
      </w:r>
      <w:r w:rsidR="001F39E6" w:rsidRPr="003B079C">
        <w:t xml:space="preserve">in addition to their safeguarding role, </w:t>
      </w:r>
      <w:r w:rsidR="0041545C" w:rsidRPr="003B079C">
        <w:t>the Managers’ hearings</w:t>
      </w:r>
      <w:r w:rsidR="001F39E6" w:rsidRPr="003B079C">
        <w:t xml:space="preserve"> also serve as a means</w:t>
      </w:r>
      <w:r w:rsidR="0041545C" w:rsidRPr="003B079C">
        <w:t xml:space="preserve"> to locate those cases where an </w:t>
      </w:r>
      <w:r w:rsidR="00522F4C" w:rsidRPr="003B079C">
        <w:t>inadverte</w:t>
      </w:r>
      <w:r w:rsidR="00E4654B" w:rsidRPr="003B079C">
        <w:t>nt</w:t>
      </w:r>
      <w:r w:rsidR="00522F4C" w:rsidRPr="003B079C">
        <w:t xml:space="preserve"> </w:t>
      </w:r>
      <w:r w:rsidR="0041545C" w:rsidRPr="003B079C">
        <w:t>error in reasoning has been made, or where a case falls into the grey area where either a decision to discharge or to continue compuls</w:t>
      </w:r>
      <w:r w:rsidR="001F39E6" w:rsidRPr="003B079C">
        <w:t>ory care</w:t>
      </w:r>
      <w:r w:rsidR="0041545C" w:rsidRPr="003B079C">
        <w:t xml:space="preserve"> could be justified.</w:t>
      </w:r>
      <w:r w:rsidR="00522F4C" w:rsidRPr="003B079C">
        <w:rPr>
          <w:rStyle w:val="FootnoteReference"/>
        </w:rPr>
        <w:footnoteReference w:id="151"/>
      </w:r>
      <w:r w:rsidR="0059772B" w:rsidRPr="003B079C">
        <w:t xml:space="preserve">  </w:t>
      </w:r>
      <w:r w:rsidR="0041545C" w:rsidRPr="003B079C">
        <w:t>Given that it is estimated that many thousands of Managers’ hearings take place annually,</w:t>
      </w:r>
      <w:r w:rsidR="0041545C" w:rsidRPr="003B079C">
        <w:rPr>
          <w:vertAlign w:val="superscript"/>
        </w:rPr>
        <w:footnoteReference w:id="152"/>
      </w:r>
      <w:r w:rsidR="0041545C" w:rsidRPr="003B079C">
        <w:t xml:space="preserve"> </w:t>
      </w:r>
      <w:r w:rsidR="00287E96" w:rsidRPr="003B079C">
        <w:t>a</w:t>
      </w:r>
      <w:r w:rsidR="0041545C" w:rsidRPr="003B079C">
        <w:t xml:space="preserve"> 3-5</w:t>
      </w:r>
      <w:r w:rsidR="00522F4C" w:rsidRPr="003B079C">
        <w:t xml:space="preserve"> </w:t>
      </w:r>
      <w:r w:rsidR="00EF51BE" w:rsidRPr="003B079C">
        <w:t xml:space="preserve">per cent </w:t>
      </w:r>
      <w:r w:rsidR="0041545C" w:rsidRPr="003B079C">
        <w:t>discharge rate</w:t>
      </w:r>
      <w:r w:rsidR="001F39E6" w:rsidRPr="003B079C">
        <w:t xml:space="preserve"> at hearing, plus a substantial number of discharges following a request for a hearing,</w:t>
      </w:r>
      <w:r w:rsidR="0041545C" w:rsidRPr="003B079C">
        <w:t xml:space="preserve"> </w:t>
      </w:r>
      <w:r w:rsidR="001F39E6" w:rsidRPr="003B079C">
        <w:t xml:space="preserve">amounts to many </w:t>
      </w:r>
      <w:r w:rsidR="0041545C" w:rsidRPr="003B079C">
        <w:t>hundred</w:t>
      </w:r>
      <w:r w:rsidR="001F39E6" w:rsidRPr="003B079C">
        <w:t>s of</w:t>
      </w:r>
      <w:r w:rsidR="0041545C" w:rsidRPr="003B079C">
        <w:t xml:space="preserve"> cases a year</w:t>
      </w:r>
      <w:r w:rsidR="00F2721A" w:rsidRPr="003B079C">
        <w:t>.</w:t>
      </w:r>
      <w:r w:rsidR="00432018" w:rsidRPr="003B079C">
        <w:t xml:space="preserve">  This is significant</w:t>
      </w:r>
      <w:r w:rsidR="0041545C" w:rsidRPr="003B079C">
        <w:t xml:space="preserve"> </w:t>
      </w:r>
      <w:r w:rsidR="00EB391E" w:rsidRPr="003B079C">
        <w:t>when it is considered</w:t>
      </w:r>
      <w:r w:rsidR="0041545C" w:rsidRPr="003B079C">
        <w:t xml:space="preserve"> that every such case represents a decision to protect the liberty of the person subject to compulsion.</w:t>
      </w:r>
      <w:r w:rsidR="00F03E3D" w:rsidRPr="003B079C">
        <w:t xml:space="preserve">  Taken together with the earlier discussion about discharge rates, and the expectation that the decision-making power will often be delegated to external persons, the Managers</w:t>
      </w:r>
      <w:r w:rsidR="0059772B" w:rsidRPr="003B079C">
        <w:t xml:space="preserve"> appear to</w:t>
      </w:r>
      <w:r w:rsidR="00F03E3D" w:rsidRPr="003B079C">
        <w:t xml:space="preserve"> possess many characteristics that render them independent.  At this stage</w:t>
      </w:r>
      <w:r w:rsidR="0059772B" w:rsidRPr="003B079C">
        <w:t xml:space="preserve"> however,</w:t>
      </w:r>
      <w:r w:rsidR="00F03E3D" w:rsidRPr="003B079C">
        <w:t xml:space="preserve"> it is only possible to say that the abolitionist contention that the Managers lack independence as regards their personnel and decision-making capacity </w:t>
      </w:r>
      <w:r w:rsidR="0059772B" w:rsidRPr="003B079C">
        <w:t>is</w:t>
      </w:r>
      <w:r w:rsidR="00F03E3D" w:rsidRPr="003B079C">
        <w:t xml:space="preserve"> in doubt.  We need more information about who sits as a Manager, and how the s.23 process operates before we can compare them to, </w:t>
      </w:r>
      <w:r w:rsidR="00F03E3D" w:rsidRPr="003B079C">
        <w:rPr>
          <w:i/>
        </w:rPr>
        <w:t>inter alia</w:t>
      </w:r>
      <w:r w:rsidR="00F03E3D" w:rsidRPr="003B079C">
        <w:t>, the Tribunal and Responsible Clinician’s discharge power.</w:t>
      </w:r>
    </w:p>
    <w:p w14:paraId="6991ED7F" w14:textId="557075D2" w:rsidR="00E505E9" w:rsidRPr="003B079C" w:rsidRDefault="00FD1EDC" w:rsidP="00FD1EDC">
      <w:pPr>
        <w:pStyle w:val="Heading1"/>
      </w:pPr>
      <w:r w:rsidRPr="003B079C">
        <w:t>V</w:t>
      </w:r>
      <w:r w:rsidR="00846765" w:rsidRPr="003B079C">
        <w:t xml:space="preserve"> </w:t>
      </w:r>
      <w:r w:rsidR="00E505E9" w:rsidRPr="003B079C">
        <w:t>Duplication</w:t>
      </w:r>
    </w:p>
    <w:p w14:paraId="620E7660" w14:textId="203F5724" w:rsidR="00647001" w:rsidRPr="003B079C" w:rsidRDefault="00112254" w:rsidP="00E4654B">
      <w:pPr>
        <w:spacing w:line="480" w:lineRule="auto"/>
      </w:pPr>
      <w:r w:rsidRPr="003B079C">
        <w:t xml:space="preserve">From the foregoing </w:t>
      </w:r>
      <w:r w:rsidR="00EB18B8" w:rsidRPr="003B079C">
        <w:t>discussion</w:t>
      </w:r>
      <w:r w:rsidRPr="003B079C">
        <w:t xml:space="preserve"> it is c</w:t>
      </w:r>
      <w:r w:rsidR="003264FD" w:rsidRPr="003B079C">
        <w:t>lear that</w:t>
      </w:r>
      <w:r w:rsidR="009B16F9" w:rsidRPr="003B079C">
        <w:t xml:space="preserve">, primarily due to a lack of data </w:t>
      </w:r>
      <w:r w:rsidR="0049356A" w:rsidRPr="003B079C">
        <w:t>and</w:t>
      </w:r>
      <w:r w:rsidR="009B16F9" w:rsidRPr="003B079C">
        <w:t xml:space="preserve"> other evidence,</w:t>
      </w:r>
      <w:r w:rsidR="003264FD" w:rsidRPr="003B079C">
        <w:t xml:space="preserve"> </w:t>
      </w:r>
      <w:r w:rsidR="00EB18B8" w:rsidRPr="003B079C">
        <w:t xml:space="preserve">understanding </w:t>
      </w:r>
      <w:r w:rsidR="001E308A" w:rsidRPr="003B079C">
        <w:t xml:space="preserve">of </w:t>
      </w:r>
      <w:r w:rsidR="00EB18B8" w:rsidRPr="003B079C">
        <w:t xml:space="preserve">the </w:t>
      </w:r>
      <w:r w:rsidR="005C4D57" w:rsidRPr="003B079C">
        <w:t>s.23</w:t>
      </w:r>
      <w:r w:rsidR="00EB18B8" w:rsidRPr="003B079C">
        <w:t xml:space="preserve"> power</w:t>
      </w:r>
      <w:r w:rsidR="001E308A" w:rsidRPr="003B079C">
        <w:t xml:space="preserve"> is limited</w:t>
      </w:r>
      <w:r w:rsidR="009B16F9" w:rsidRPr="003B079C">
        <w:t xml:space="preserve">.  </w:t>
      </w:r>
      <w:r w:rsidR="0049356A" w:rsidRPr="003B079C">
        <w:t>This has led to underdeveloped, often unsubstantiated claims regarding both the independence and expertise of the Managers.  Th</w:t>
      </w:r>
      <w:r w:rsidR="00287E96" w:rsidRPr="003B079C">
        <w:t>is difficulty also affects the</w:t>
      </w:r>
      <w:r w:rsidR="0049356A" w:rsidRPr="003B079C">
        <w:t xml:space="preserve"> third limb of the abolition argument</w:t>
      </w:r>
      <w:r w:rsidR="00AF2FC1" w:rsidRPr="003B079C">
        <w:t>:</w:t>
      </w:r>
      <w:r w:rsidR="0049356A" w:rsidRPr="003B079C">
        <w:t xml:space="preserve"> that the Managers </w:t>
      </w:r>
      <w:r w:rsidR="0089032C" w:rsidRPr="003B079C">
        <w:t>duplicate the process and</w:t>
      </w:r>
      <w:r w:rsidR="006019F7" w:rsidRPr="003B079C">
        <w:t>,</w:t>
      </w:r>
      <w:r w:rsidR="0089032C" w:rsidRPr="003B079C">
        <w:t xml:space="preserve"> thus, </w:t>
      </w:r>
      <w:r w:rsidR="006019F7" w:rsidRPr="003B079C">
        <w:t>the</w:t>
      </w:r>
      <w:r w:rsidR="0089032C" w:rsidRPr="003B079C">
        <w:t xml:space="preserve"> effort of the Tribunal</w:t>
      </w:r>
      <w:r w:rsidR="0049356A" w:rsidRPr="003B079C">
        <w:t>.</w:t>
      </w:r>
      <w:r w:rsidR="0059772B" w:rsidRPr="003B079C">
        <w:rPr>
          <w:vertAlign w:val="superscript"/>
        </w:rPr>
        <w:footnoteReference w:id="153"/>
      </w:r>
      <w:r w:rsidR="0049356A" w:rsidRPr="003B079C">
        <w:t xml:space="preserve">  </w:t>
      </w:r>
      <w:r w:rsidR="00E76B3A" w:rsidRPr="003B079C">
        <w:t>As I said above</w:t>
      </w:r>
      <w:r w:rsidR="001E308A" w:rsidRPr="003B079C">
        <w:t>,</w:t>
      </w:r>
      <w:r w:rsidR="00177E73" w:rsidRPr="003B079C">
        <w:rPr>
          <w:rStyle w:val="FootnoteReference"/>
        </w:rPr>
        <w:footnoteReference w:id="154"/>
      </w:r>
      <w:r w:rsidR="00E76B3A" w:rsidRPr="003B079C">
        <w:t xml:space="preserve"> while the </w:t>
      </w:r>
      <w:r w:rsidR="008F2B53" w:rsidRPr="003B079C">
        <w:t xml:space="preserve">Tribunal </w:t>
      </w:r>
      <w:r w:rsidR="00E76B3A" w:rsidRPr="003B079C">
        <w:t xml:space="preserve">and the </w:t>
      </w:r>
      <w:r w:rsidR="008F2B53" w:rsidRPr="003B079C">
        <w:t>Managers</w:t>
      </w:r>
      <w:r w:rsidR="00E76B3A" w:rsidRPr="003B079C">
        <w:t xml:space="preserve"> appear to </w:t>
      </w:r>
      <w:r w:rsidR="001E308A" w:rsidRPr="003B079C">
        <w:t xml:space="preserve">share </w:t>
      </w:r>
      <w:r w:rsidR="008F2B53" w:rsidRPr="003B079C">
        <w:t xml:space="preserve">certain </w:t>
      </w:r>
      <w:r w:rsidR="00287E96" w:rsidRPr="003B079C">
        <w:t>procedural</w:t>
      </w:r>
      <w:r w:rsidR="008F2B53" w:rsidRPr="003B079C">
        <w:t xml:space="preserve"> </w:t>
      </w:r>
      <w:r w:rsidR="001E308A" w:rsidRPr="003B079C">
        <w:t>characteristics</w:t>
      </w:r>
      <w:r w:rsidR="00E76B3A" w:rsidRPr="003B079C">
        <w:t>, this does not preclude the possibility that they are substantively different</w:t>
      </w:r>
      <w:r w:rsidR="0089032C" w:rsidRPr="003B079C">
        <w:t>.</w:t>
      </w:r>
      <w:r w:rsidR="00AF2FC1" w:rsidRPr="003B079C">
        <w:t xml:space="preserve">  </w:t>
      </w:r>
      <w:r w:rsidR="00EB391E" w:rsidRPr="003B079C">
        <w:t>In consequence</w:t>
      </w:r>
      <w:r w:rsidR="00C725BC" w:rsidRPr="003B079C">
        <w:t>, although abolitionists could point to</w:t>
      </w:r>
      <w:r w:rsidR="0089032C" w:rsidRPr="003B079C">
        <w:t xml:space="preserve"> the Report of the </w:t>
      </w:r>
      <w:r w:rsidR="008A5C5E" w:rsidRPr="003B079C">
        <w:t xml:space="preserve">Working Group which </w:t>
      </w:r>
      <w:r w:rsidR="00EF4DF4" w:rsidRPr="003B079C">
        <w:t>found that</w:t>
      </w:r>
      <w:r w:rsidR="008A5C5E" w:rsidRPr="003B079C">
        <w:t xml:space="preserve"> 68 per cent of </w:t>
      </w:r>
      <w:r w:rsidR="00177E73" w:rsidRPr="003B079C">
        <w:t>those subject to compulsory care</w:t>
      </w:r>
      <w:r w:rsidR="008A5C5E" w:rsidRPr="003B079C">
        <w:t xml:space="preserve"> </w:t>
      </w:r>
      <w:r w:rsidR="00ED258A" w:rsidRPr="003B079C">
        <w:t>applied</w:t>
      </w:r>
      <w:r w:rsidR="008A5C5E" w:rsidRPr="003B079C">
        <w:t xml:space="preserve"> to both mechanisms</w:t>
      </w:r>
      <w:r w:rsidR="00C725BC" w:rsidRPr="003B079C">
        <w:t>,</w:t>
      </w:r>
      <w:r w:rsidR="008A5C5E" w:rsidRPr="003B079C">
        <w:rPr>
          <w:vertAlign w:val="superscript"/>
        </w:rPr>
        <w:footnoteReference w:id="155"/>
      </w:r>
      <w:r w:rsidR="00C725BC" w:rsidRPr="003B079C">
        <w:t xml:space="preserve"> this figure oversimplifies the duplication question.</w:t>
      </w:r>
    </w:p>
    <w:p w14:paraId="73EB3B7B" w14:textId="7B152BC0" w:rsidR="004A6CA6" w:rsidRPr="003B079C" w:rsidRDefault="00C725BC" w:rsidP="00E4654B">
      <w:pPr>
        <w:spacing w:line="480" w:lineRule="auto"/>
      </w:pPr>
      <w:r w:rsidRPr="003B079C">
        <w:t xml:space="preserve">First, the Group did not explore why two purportedly duplicative processes had been permitted to continue to co-exist despite major reform – the passage of the MHA 1983.  The membership of the Group was such that it was well-placed to speculate on this point, even if it could not provide concrete answers.  Raising these questions may have provoked the kind of substantive consideration of the purpose of review mechanisms under the MHA 1983 which I have already demonstrated has not occurred.  Secondly, the </w:t>
      </w:r>
      <w:r w:rsidR="00DD3ABE" w:rsidRPr="003B079C">
        <w:t>R</w:t>
      </w:r>
      <w:r w:rsidR="008A5C5E" w:rsidRPr="003B079C">
        <w:t xml:space="preserve">eport </w:t>
      </w:r>
      <w:r w:rsidRPr="003B079C">
        <w:t xml:space="preserve">oversimplifies the nature of a person’s mental health.  The </w:t>
      </w:r>
      <w:r w:rsidR="004A6CA6" w:rsidRPr="003B079C">
        <w:t>fact</w:t>
      </w:r>
      <w:r w:rsidRPr="003B079C">
        <w:t xml:space="preserve"> </w:t>
      </w:r>
      <w:r w:rsidR="004A6CA6" w:rsidRPr="003B079C">
        <w:t xml:space="preserve">that </w:t>
      </w:r>
      <w:r w:rsidRPr="003B079C">
        <w:t xml:space="preserve">68 per cent of </w:t>
      </w:r>
      <w:r w:rsidR="004A6CA6" w:rsidRPr="003B079C">
        <w:t xml:space="preserve">those </w:t>
      </w:r>
      <w:r w:rsidRPr="003B079C">
        <w:t xml:space="preserve">subject to </w:t>
      </w:r>
      <w:r w:rsidR="004A6CA6" w:rsidRPr="003B079C">
        <w:t xml:space="preserve">compulsion surveyed </w:t>
      </w:r>
      <w:r w:rsidR="00EB391E" w:rsidRPr="003B079C">
        <w:t>used</w:t>
      </w:r>
      <w:r w:rsidR="004A6CA6" w:rsidRPr="003B079C">
        <w:t xml:space="preserve"> both mechanisms says nothing about when their applications</w:t>
      </w:r>
      <w:r w:rsidR="00EB391E" w:rsidRPr="003B079C">
        <w:t xml:space="preserve"> to each</w:t>
      </w:r>
      <w:r w:rsidR="004A6CA6" w:rsidRPr="003B079C">
        <w:t xml:space="preserve"> were made.  If they were not proximate in time, then the fact that they applied to both mechanisms is unlikely to have caused any duplication, because </w:t>
      </w:r>
      <w:r w:rsidR="00647001" w:rsidRPr="003B079C">
        <w:t>a person’s mental health</w:t>
      </w:r>
      <w:r w:rsidR="004A6CA6" w:rsidRPr="003B079C">
        <w:t xml:space="preserve"> is dynamic and so </w:t>
      </w:r>
      <w:r w:rsidR="00647001" w:rsidRPr="003B079C">
        <w:t xml:space="preserve">may </w:t>
      </w:r>
      <w:r w:rsidR="004A6CA6" w:rsidRPr="003B079C">
        <w:t>change between hearings</w:t>
      </w:r>
      <w:r w:rsidR="00EB391E" w:rsidRPr="003B079C">
        <w:t>, requiring new reports to be produced</w:t>
      </w:r>
      <w:r w:rsidR="004A6CA6" w:rsidRPr="003B079C">
        <w:t>.</w:t>
      </w:r>
    </w:p>
    <w:p w14:paraId="1E510FF5" w14:textId="5C49EA33" w:rsidR="00E505E9" w:rsidRPr="003B079C" w:rsidRDefault="005978FD" w:rsidP="00E4654B">
      <w:pPr>
        <w:spacing w:line="480" w:lineRule="auto"/>
      </w:pPr>
      <w:r w:rsidRPr="003B079C">
        <w:t>Finally</w:t>
      </w:r>
      <w:r w:rsidR="00DD3ABE" w:rsidRPr="003B079C">
        <w:t>,</w:t>
      </w:r>
      <w:r w:rsidR="005C410F" w:rsidRPr="003B079C">
        <w:t xml:space="preserve"> the Group did not interrogate the reasons why a person might apply to both processes.  The absence of investigation suggests that the Group assumed that because the procedure and nature of the power are </w:t>
      </w:r>
      <w:r w:rsidR="005C410F" w:rsidRPr="003B079C">
        <w:rPr>
          <w:i/>
        </w:rPr>
        <w:t>superficially</w:t>
      </w:r>
      <w:r w:rsidR="005C410F" w:rsidRPr="003B079C">
        <w:t xml:space="preserve"> similar</w:t>
      </w:r>
      <w:r w:rsidR="004A6CA6" w:rsidRPr="003B079C">
        <w:rPr>
          <w:i/>
        </w:rPr>
        <w:t xml:space="preserve"> </w:t>
      </w:r>
      <w:r w:rsidR="004A6CA6" w:rsidRPr="003B079C">
        <w:t xml:space="preserve">– in that both permit discharge – </w:t>
      </w:r>
      <w:r w:rsidR="005C410F" w:rsidRPr="003B079C">
        <w:t xml:space="preserve">the value and purpose of the routes to </w:t>
      </w:r>
      <w:r w:rsidR="00C725BC" w:rsidRPr="003B079C">
        <w:t>the individual</w:t>
      </w:r>
      <w:r w:rsidR="005C410F" w:rsidRPr="003B079C">
        <w:t xml:space="preserve"> and to the legal system must be </w:t>
      </w:r>
      <w:r w:rsidR="005C410F" w:rsidRPr="003B079C">
        <w:rPr>
          <w:i/>
        </w:rPr>
        <w:t xml:space="preserve">substantively </w:t>
      </w:r>
      <w:r w:rsidR="005C410F" w:rsidRPr="003B079C">
        <w:t xml:space="preserve">the </w:t>
      </w:r>
      <w:r w:rsidR="005C410F" w:rsidRPr="003B079C">
        <w:rPr>
          <w:i/>
        </w:rPr>
        <w:t>same</w:t>
      </w:r>
      <w:r w:rsidR="005C410F" w:rsidRPr="003B079C">
        <w:t>.</w:t>
      </w:r>
      <w:r w:rsidR="004D6BCA" w:rsidRPr="003B079C">
        <w:rPr>
          <w:rStyle w:val="FootnoteReference"/>
        </w:rPr>
        <w:footnoteReference w:id="156"/>
      </w:r>
      <w:r w:rsidR="004D2470" w:rsidRPr="003B079C">
        <w:t xml:space="preserve"> </w:t>
      </w:r>
      <w:r w:rsidR="00EF4DF4" w:rsidRPr="003B079C">
        <w:t xml:space="preserve"> </w:t>
      </w:r>
      <w:r w:rsidR="00C725BC" w:rsidRPr="003B079C">
        <w:t xml:space="preserve">In view of the fact that neither society nor the legislative process have ever </w:t>
      </w:r>
      <w:r w:rsidR="004A6CA6" w:rsidRPr="003B079C">
        <w:t>considered</w:t>
      </w:r>
      <w:r w:rsidR="00C725BC" w:rsidRPr="003B079C">
        <w:t xml:space="preserve"> the intended function of the s.23 discharge power</w:t>
      </w:r>
      <w:r w:rsidR="004A6CA6" w:rsidRPr="003B079C">
        <w:t xml:space="preserve">, this assertion is difficult to substantiate. </w:t>
      </w:r>
      <w:r w:rsidR="00C725BC" w:rsidRPr="003B079C">
        <w:t xml:space="preserve"> </w:t>
      </w:r>
      <w:r w:rsidRPr="003B079C">
        <w:t>In consequence, the figure of 68</w:t>
      </w:r>
      <w:r w:rsidR="00874743" w:rsidRPr="003B079C">
        <w:t xml:space="preserve"> per cent</w:t>
      </w:r>
      <w:r w:rsidRPr="003B079C">
        <w:t xml:space="preserve"> offered by the Report does not provide a complete picture.  </w:t>
      </w:r>
      <w:r w:rsidR="004A6CA6" w:rsidRPr="003B079C">
        <w:t xml:space="preserve">To </w:t>
      </w:r>
      <w:r w:rsidR="00647001" w:rsidRPr="003B079C">
        <w:t xml:space="preserve">further </w:t>
      </w:r>
      <w:r w:rsidR="004A6CA6" w:rsidRPr="003B079C">
        <w:t>demonstrate why this is the case, each of these limitations</w:t>
      </w:r>
      <w:r w:rsidRPr="003B079C">
        <w:t xml:space="preserve"> </w:t>
      </w:r>
      <w:r w:rsidR="004A6CA6" w:rsidRPr="003B079C">
        <w:t xml:space="preserve">can be examined </w:t>
      </w:r>
      <w:r w:rsidR="00302165" w:rsidRPr="003B079C">
        <w:t xml:space="preserve">in more detail.  This </w:t>
      </w:r>
      <w:r w:rsidR="004A6CA6" w:rsidRPr="003B079C">
        <w:t>will show</w:t>
      </w:r>
      <w:r w:rsidR="00302165" w:rsidRPr="003B079C">
        <w:t xml:space="preserve"> that</w:t>
      </w:r>
      <w:r w:rsidR="00594C26" w:rsidRPr="003B079C">
        <w:t>,</w:t>
      </w:r>
      <w:r w:rsidR="00302165" w:rsidRPr="003B079C">
        <w:t xml:space="preserve"> to date</w:t>
      </w:r>
      <w:r w:rsidR="00594C26" w:rsidRPr="003B079C">
        <w:t>,</w:t>
      </w:r>
      <w:r w:rsidR="00302165" w:rsidRPr="003B079C">
        <w:t xml:space="preserve"> the duplication argument has been presented in a binary way</w:t>
      </w:r>
      <w:r w:rsidR="008B2151" w:rsidRPr="003B079C">
        <w:t>,</w:t>
      </w:r>
      <w:r w:rsidR="00302165" w:rsidRPr="003B079C">
        <w:t xml:space="preserve"> when the situation is considerably more nuanced.</w:t>
      </w:r>
    </w:p>
    <w:p w14:paraId="3F1B6975" w14:textId="6FF90AAB" w:rsidR="00710219" w:rsidRPr="003B079C" w:rsidRDefault="00FD1EDC" w:rsidP="00B64BA3">
      <w:pPr>
        <w:pStyle w:val="Heading2"/>
      </w:pPr>
      <w:r w:rsidRPr="003B079C">
        <w:t>V(A)</w:t>
      </w:r>
      <w:r w:rsidR="00846765" w:rsidRPr="003B079C">
        <w:t xml:space="preserve"> Origins of the </w:t>
      </w:r>
      <w:r w:rsidRPr="003B079C">
        <w:t>D</w:t>
      </w:r>
      <w:r w:rsidR="00302165" w:rsidRPr="003B079C">
        <w:t xml:space="preserve">ischarge </w:t>
      </w:r>
      <w:r w:rsidRPr="003B079C">
        <w:t>P</w:t>
      </w:r>
      <w:r w:rsidR="00302165" w:rsidRPr="003B079C">
        <w:t>ower</w:t>
      </w:r>
    </w:p>
    <w:p w14:paraId="615B2B41" w14:textId="0256604B" w:rsidR="00E505E9" w:rsidRPr="003B079C" w:rsidRDefault="00E505E9" w:rsidP="00E4654B">
      <w:pPr>
        <w:spacing w:line="480" w:lineRule="auto"/>
      </w:pPr>
      <w:r w:rsidRPr="003B079C">
        <w:t xml:space="preserve">I have already </w:t>
      </w:r>
      <w:r w:rsidR="00981A46" w:rsidRPr="003B079C">
        <w:t>shown</w:t>
      </w:r>
      <w:r w:rsidRPr="003B079C">
        <w:t xml:space="preserve"> </w:t>
      </w:r>
      <w:r w:rsidR="00F06946" w:rsidRPr="003B079C">
        <w:t>above</w:t>
      </w:r>
      <w:r w:rsidR="00594C26" w:rsidRPr="003B079C">
        <w:t xml:space="preserve"> </w:t>
      </w:r>
      <w:r w:rsidRPr="003B079C">
        <w:t xml:space="preserve">that the </w:t>
      </w:r>
      <w:r w:rsidR="004A6CA6" w:rsidRPr="003B079C">
        <w:t>s.23 discharge</w:t>
      </w:r>
      <w:r w:rsidRPr="003B079C">
        <w:t xml:space="preserve"> power predates that of the </w:t>
      </w:r>
      <w:r w:rsidR="00E87712" w:rsidRPr="003B079C">
        <w:t xml:space="preserve">earliest incarnation of the </w:t>
      </w:r>
      <w:r w:rsidR="00594C26" w:rsidRPr="003B079C">
        <w:t>T</w:t>
      </w:r>
      <w:r w:rsidRPr="003B079C">
        <w:t xml:space="preserve">ribunals.  </w:t>
      </w:r>
      <w:r w:rsidR="00874743" w:rsidRPr="003B079C">
        <w:t>Furthermore</w:t>
      </w:r>
      <w:r w:rsidRPr="003B079C">
        <w:t>, if the deliberations of the Percy Commission</w:t>
      </w:r>
      <w:r w:rsidR="000E5D8D" w:rsidRPr="003B079C">
        <w:t xml:space="preserve"> </w:t>
      </w:r>
      <w:r w:rsidR="00594C26" w:rsidRPr="003B079C">
        <w:t xml:space="preserve">are examined, </w:t>
      </w:r>
      <w:r w:rsidRPr="003B079C">
        <w:t>it is possible not only to reconfirm that</w:t>
      </w:r>
      <w:r w:rsidR="0062269D" w:rsidRPr="003B079C">
        <w:t xml:space="preserve"> what became</w:t>
      </w:r>
      <w:r w:rsidRPr="003B079C">
        <w:t xml:space="preserve"> the </w:t>
      </w:r>
      <w:r w:rsidR="000E5D8D" w:rsidRPr="003B079C">
        <w:t xml:space="preserve">Managers’ </w:t>
      </w:r>
      <w:r w:rsidRPr="003B079C">
        <w:t xml:space="preserve">power of discharge predates the 1959 Act, but also that a specific concern was expressed </w:t>
      </w:r>
      <w:r w:rsidR="004A6CA6" w:rsidRPr="003B079C">
        <w:t xml:space="preserve">that the proposed </w:t>
      </w:r>
      <w:r w:rsidR="00E87712" w:rsidRPr="003B079C">
        <w:rPr>
          <w:i/>
        </w:rPr>
        <w:t>t</w:t>
      </w:r>
      <w:r w:rsidR="004A6CA6" w:rsidRPr="003B079C">
        <w:rPr>
          <w:i/>
        </w:rPr>
        <w:t>ribunal</w:t>
      </w:r>
      <w:r w:rsidR="004A6CA6" w:rsidRPr="003B079C">
        <w:t xml:space="preserve"> would duplicate pre-existing discharge power possessed by </w:t>
      </w:r>
      <w:r w:rsidRPr="003B079C">
        <w:t xml:space="preserve">the </w:t>
      </w:r>
      <w:r w:rsidR="000E5D8D" w:rsidRPr="003B079C">
        <w:rPr>
          <w:i/>
        </w:rPr>
        <w:t>M</w:t>
      </w:r>
      <w:r w:rsidRPr="003B079C">
        <w:rPr>
          <w:i/>
        </w:rPr>
        <w:t>anagers’</w:t>
      </w:r>
      <w:r w:rsidRPr="003B079C">
        <w:t xml:space="preserve"> </w:t>
      </w:r>
      <w:r w:rsidR="00981A46" w:rsidRPr="003B079C">
        <w:t>(then HMCs’)</w:t>
      </w:r>
      <w:r w:rsidRPr="003B079C">
        <w:t>.</w:t>
      </w:r>
      <w:r w:rsidR="008B2261" w:rsidRPr="003B079C">
        <w:rPr>
          <w:rStyle w:val="FootnoteReference"/>
        </w:rPr>
        <w:footnoteReference w:id="157"/>
      </w:r>
      <w:r w:rsidR="00874743" w:rsidRPr="003B079C">
        <w:t xml:space="preserve">  </w:t>
      </w:r>
      <w:r w:rsidRPr="003B079C">
        <w:t>The</w:t>
      </w:r>
      <w:r w:rsidR="00260AB3" w:rsidRPr="003B079C">
        <w:t xml:space="preserve"> tribunal</w:t>
      </w:r>
      <w:r w:rsidR="00A5536D" w:rsidRPr="003B079C">
        <w:t>s</w:t>
      </w:r>
      <w:r w:rsidRPr="003B079C">
        <w:t xml:space="preserve"> proposed by the Commission, and found in the 1959 Act</w:t>
      </w:r>
      <w:r w:rsidR="004F749E" w:rsidRPr="003B079C">
        <w:t>,</w:t>
      </w:r>
      <w:r w:rsidRPr="003B079C">
        <w:t xml:space="preserve"> were based along the geographical boundaries of the </w:t>
      </w:r>
      <w:r w:rsidR="00594C26" w:rsidRPr="003B079C">
        <w:t>14</w:t>
      </w:r>
      <w:r w:rsidR="001B5931" w:rsidRPr="003B079C">
        <w:t xml:space="preserve"> </w:t>
      </w:r>
      <w:r w:rsidRPr="003B079C">
        <w:t xml:space="preserve">Regional Hospital Boards created under the NHS Act 1946.  They </w:t>
      </w:r>
      <w:r w:rsidR="00981A46" w:rsidRPr="003B079C">
        <w:t xml:space="preserve">were </w:t>
      </w:r>
      <w:r w:rsidRPr="003B079C">
        <w:t>in this sense local, but decidedly less so than the H</w:t>
      </w:r>
      <w:r w:rsidR="000E5D8D" w:rsidRPr="003B079C">
        <w:t>MCs</w:t>
      </w:r>
      <w:r w:rsidRPr="003B079C">
        <w:t xml:space="preserve"> which</w:t>
      </w:r>
      <w:r w:rsidR="0062269D" w:rsidRPr="003B079C">
        <w:t xml:space="preserve"> already held a discharge power and</w:t>
      </w:r>
      <w:r w:rsidRPr="003B079C">
        <w:t xml:space="preserve"> were </w:t>
      </w:r>
      <w:r w:rsidR="000E5D8D" w:rsidRPr="003B079C">
        <w:t>associated with</w:t>
      </w:r>
      <w:r w:rsidRPr="003B079C">
        <w:t xml:space="preserve"> individual hospitals or groups of hospitals within a Board’s area.  </w:t>
      </w:r>
      <w:r w:rsidR="00A5536D" w:rsidRPr="003B079C">
        <w:t>T</w:t>
      </w:r>
      <w:r w:rsidRPr="003B079C">
        <w:t>he Commission</w:t>
      </w:r>
      <w:r w:rsidR="00A5536D" w:rsidRPr="003B079C">
        <w:t xml:space="preserve"> was concerned</w:t>
      </w:r>
      <w:r w:rsidRPr="003B079C">
        <w:t xml:space="preserve"> about the legitimacy of a body with a jurisdiction covering a larger geographical area to exercise a </w:t>
      </w:r>
      <w:r w:rsidRPr="003B079C">
        <w:rPr>
          <w:i/>
        </w:rPr>
        <w:t>continuing</w:t>
      </w:r>
      <w:r w:rsidRPr="003B079C">
        <w:t xml:space="preserve"> power of discharge equivalent to that of </w:t>
      </w:r>
      <w:r w:rsidR="000E5D8D" w:rsidRPr="003B079C">
        <w:t>the HMCs</w:t>
      </w:r>
      <w:r w:rsidRPr="003B079C">
        <w:t>.  Indeed, this</w:t>
      </w:r>
      <w:r w:rsidR="00260AB3" w:rsidRPr="003B079C">
        <w:t xml:space="preserve"> </w:t>
      </w:r>
      <w:r w:rsidR="004F749E" w:rsidRPr="003B079C">
        <w:t>may</w:t>
      </w:r>
      <w:r w:rsidR="00260AB3" w:rsidRPr="003B079C">
        <w:t xml:space="preserve"> be the</w:t>
      </w:r>
      <w:r w:rsidRPr="003B079C">
        <w:t xml:space="preserve"> historical reason why the </w:t>
      </w:r>
      <w:r w:rsidR="0062269D" w:rsidRPr="003B079C">
        <w:t xml:space="preserve">present </w:t>
      </w:r>
      <w:r w:rsidRPr="003B079C">
        <w:t>Tribunal and its predecessors</w:t>
      </w:r>
      <w:r w:rsidR="008B2261" w:rsidRPr="003B079C">
        <w:t xml:space="preserve"> </w:t>
      </w:r>
      <w:r w:rsidRPr="003B079C">
        <w:t xml:space="preserve">were entrusted only with a </w:t>
      </w:r>
      <w:r w:rsidRPr="003B079C">
        <w:rPr>
          <w:i/>
        </w:rPr>
        <w:t>periodic</w:t>
      </w:r>
      <w:r w:rsidRPr="003B079C">
        <w:t xml:space="preserve"> power of discharge</w:t>
      </w:r>
      <w:r w:rsidR="00594C26" w:rsidRPr="003B079C">
        <w:t>,</w:t>
      </w:r>
      <w:r w:rsidR="001B5931" w:rsidRPr="003B079C">
        <w:t xml:space="preserve"> </w:t>
      </w:r>
      <w:r w:rsidR="000E5D8D" w:rsidRPr="003B079C">
        <w:t xml:space="preserve">even if </w:t>
      </w:r>
      <w:r w:rsidR="001B5931" w:rsidRPr="003B079C">
        <w:t>today the practicalities of managing case volume</w:t>
      </w:r>
      <w:r w:rsidR="000E5D8D" w:rsidRPr="003B079C">
        <w:t>s</w:t>
      </w:r>
      <w:r w:rsidR="001B5931" w:rsidRPr="003B079C">
        <w:t xml:space="preserve"> are likely the main factor</w:t>
      </w:r>
      <w:r w:rsidRPr="003B079C">
        <w:t>.</w:t>
      </w:r>
      <w:r w:rsidR="001B5931" w:rsidRPr="003B079C">
        <w:rPr>
          <w:rStyle w:val="FootnoteReference"/>
        </w:rPr>
        <w:footnoteReference w:id="158"/>
      </w:r>
      <w:r w:rsidRPr="003B079C">
        <w:t xml:space="preserve">  In the light of modern contentions that the Managers duplicate the functions of the Tribunal</w:t>
      </w:r>
      <w:r w:rsidR="00594C26" w:rsidRPr="003B079C">
        <w:t>,</w:t>
      </w:r>
      <w:r w:rsidRPr="003B079C">
        <w:t xml:space="preserve"> it is ironic that the </w:t>
      </w:r>
      <w:r w:rsidR="00594C26" w:rsidRPr="003B079C">
        <w:t>T</w:t>
      </w:r>
      <w:r w:rsidRPr="003B079C">
        <w:t>ribunal created under the 1959 Act w</w:t>
      </w:r>
      <w:r w:rsidR="008607F6" w:rsidRPr="003B079C">
        <w:t>as</w:t>
      </w:r>
      <w:r w:rsidRPr="003B079C">
        <w:t xml:space="preserve"> not </w:t>
      </w:r>
      <w:r w:rsidR="001A633F" w:rsidRPr="003B079C">
        <w:t xml:space="preserve">imbued </w:t>
      </w:r>
      <w:r w:rsidRPr="003B079C">
        <w:t xml:space="preserve">with a continuing power of discharge because it was thought that they would be seen </w:t>
      </w:r>
      <w:r w:rsidR="00A5536D" w:rsidRPr="003B079C">
        <w:t>as</w:t>
      </w:r>
      <w:r w:rsidRPr="003B079C">
        <w:t xml:space="preserve"> duplicating the role of </w:t>
      </w:r>
      <w:r w:rsidR="000E5D8D" w:rsidRPr="003B079C">
        <w:t xml:space="preserve">a </w:t>
      </w:r>
      <w:r w:rsidRPr="003B079C">
        <w:t>more local bod</w:t>
      </w:r>
      <w:r w:rsidR="000E5D8D" w:rsidRPr="003B079C">
        <w:t>y</w:t>
      </w:r>
      <w:r w:rsidRPr="003B079C">
        <w:t>.</w:t>
      </w:r>
      <w:r w:rsidRPr="003B079C">
        <w:rPr>
          <w:vertAlign w:val="superscript"/>
        </w:rPr>
        <w:footnoteReference w:id="159"/>
      </w:r>
      <w:r w:rsidR="008607F6" w:rsidRPr="003B079C">
        <w:t xml:space="preserve">  This</w:t>
      </w:r>
      <w:r w:rsidR="0062269D" w:rsidRPr="003B079C">
        <w:t xml:space="preserve"> suggests</w:t>
      </w:r>
      <w:r w:rsidR="00A43091" w:rsidRPr="003B079C">
        <w:t xml:space="preserve"> </w:t>
      </w:r>
      <w:r w:rsidR="003E270E" w:rsidRPr="003B079C">
        <w:t xml:space="preserve">that </w:t>
      </w:r>
      <w:r w:rsidRPr="003B079C">
        <w:t xml:space="preserve">the type of power exercised by the </w:t>
      </w:r>
      <w:r w:rsidR="000E5D8D" w:rsidRPr="003B079C">
        <w:t>M</w:t>
      </w:r>
      <w:r w:rsidRPr="003B079C">
        <w:t xml:space="preserve">anagers and the </w:t>
      </w:r>
      <w:r w:rsidR="000E5D8D" w:rsidRPr="003B079C">
        <w:t>T</w:t>
      </w:r>
      <w:r w:rsidRPr="003B079C">
        <w:t>ribuna</w:t>
      </w:r>
      <w:r w:rsidR="00E87712" w:rsidRPr="003B079C">
        <w:t>l</w:t>
      </w:r>
      <w:r w:rsidRPr="003B079C">
        <w:t xml:space="preserve"> was</w:t>
      </w:r>
      <w:r w:rsidR="000E5D8D" w:rsidRPr="003B079C">
        <w:t xml:space="preserve"> historically intended to be</w:t>
      </w:r>
      <w:r w:rsidRPr="003B079C">
        <w:t xml:space="preserve"> different</w:t>
      </w:r>
      <w:r w:rsidR="008607F6" w:rsidRPr="003B079C">
        <w:t>, at least in terms of the locus of their legitimacy</w:t>
      </w:r>
      <w:r w:rsidRPr="003B079C">
        <w:t>.</w:t>
      </w:r>
    </w:p>
    <w:p w14:paraId="01975A1F" w14:textId="46B8CFD3" w:rsidR="00E505E9" w:rsidRPr="003B079C" w:rsidRDefault="00A261A6" w:rsidP="00E4654B">
      <w:pPr>
        <w:spacing w:line="480" w:lineRule="auto"/>
      </w:pPr>
      <w:r w:rsidRPr="003B079C">
        <w:t xml:space="preserve">While </w:t>
      </w:r>
      <w:r w:rsidR="0035673B" w:rsidRPr="003B079C">
        <w:t>this</w:t>
      </w:r>
      <w:r w:rsidR="00ED4E19" w:rsidRPr="003B079C">
        <w:t xml:space="preserve"> shows that historically the difference between the two powers was concerned with issues of local legitimacy,</w:t>
      </w:r>
      <w:r w:rsidRPr="003B079C">
        <w:t xml:space="preserve"> this does not preclude it from being viewed as </w:t>
      </w:r>
      <w:r w:rsidR="00ED4E19" w:rsidRPr="003B079C">
        <w:t>a procedural</w:t>
      </w:r>
      <w:r w:rsidR="0035673B" w:rsidRPr="003B079C">
        <w:t>,</w:t>
      </w:r>
      <w:r w:rsidR="00ED4E19" w:rsidRPr="003B079C">
        <w:t xml:space="preserve"> case management issue</w:t>
      </w:r>
      <w:r w:rsidRPr="003B079C">
        <w:t xml:space="preserve"> today.  Thus, the modern understanding of the nature of the two powers </w:t>
      </w:r>
      <w:r w:rsidR="00594C26" w:rsidRPr="003B079C">
        <w:t>merits</w:t>
      </w:r>
      <w:r w:rsidR="007C01A9" w:rsidRPr="003B079C">
        <w:t xml:space="preserve"> some</w:t>
      </w:r>
      <w:r w:rsidRPr="003B079C">
        <w:t xml:space="preserve"> further examination.</w:t>
      </w:r>
      <w:r w:rsidR="005D5AC8" w:rsidRPr="003B079C">
        <w:rPr>
          <w:rStyle w:val="FootnoteReference"/>
        </w:rPr>
        <w:footnoteReference w:id="160"/>
      </w:r>
      <w:r w:rsidR="00A5536D" w:rsidRPr="003B079C">
        <w:t xml:space="preserve">  </w:t>
      </w:r>
      <w:r w:rsidR="00ED4E19" w:rsidRPr="003B079C">
        <w:t xml:space="preserve">In </w:t>
      </w:r>
      <w:r w:rsidR="00ED4E19" w:rsidRPr="003B079C">
        <w:rPr>
          <w:i/>
        </w:rPr>
        <w:t xml:space="preserve">AU </w:t>
      </w:r>
      <w:r w:rsidR="00ED4E19" w:rsidRPr="003B079C">
        <w:t>Cranston J conclude</w:t>
      </w:r>
      <w:r w:rsidR="00A5536D" w:rsidRPr="003B079C">
        <w:t>d</w:t>
      </w:r>
      <w:r w:rsidR="00ED4E19" w:rsidRPr="003B079C">
        <w:t xml:space="preserve"> that</w:t>
      </w:r>
      <w:r w:rsidR="00E505E9" w:rsidRPr="003B079C">
        <w:t xml:space="preserve"> the apparent intention of ‘the Parliamentary design is to confer wholly separate discharge powers</w:t>
      </w:r>
      <w:r w:rsidR="00981A46" w:rsidRPr="003B079C">
        <w:t>’</w:t>
      </w:r>
      <w:r w:rsidR="00D818A1" w:rsidRPr="003B079C">
        <w:t xml:space="preserve"> on the</w:t>
      </w:r>
      <w:r w:rsidR="00ED4E19" w:rsidRPr="003B079C">
        <w:t xml:space="preserve"> Tribunal and Managers,</w:t>
      </w:r>
      <w:r w:rsidR="007037BC" w:rsidRPr="003B079C">
        <w:rPr>
          <w:vertAlign w:val="superscript"/>
        </w:rPr>
        <w:footnoteReference w:id="161"/>
      </w:r>
      <w:r w:rsidR="00ED4E19" w:rsidRPr="003B079C">
        <w:t xml:space="preserve"> such that one need pay no attention to the other</w:t>
      </w:r>
      <w:r w:rsidR="00E505E9" w:rsidRPr="003B079C">
        <w:t>.</w:t>
      </w:r>
      <w:r w:rsidR="007037BC" w:rsidRPr="003B079C">
        <w:rPr>
          <w:rStyle w:val="FootnoteReference"/>
        </w:rPr>
        <w:footnoteReference w:id="162"/>
      </w:r>
      <w:r w:rsidR="00E505E9" w:rsidRPr="003B079C">
        <w:t xml:space="preserve">  </w:t>
      </w:r>
      <w:r w:rsidR="00ED4E19" w:rsidRPr="003B079C">
        <w:t>T</w:t>
      </w:r>
      <w:r w:rsidR="00302165" w:rsidRPr="003B079C">
        <w:t xml:space="preserve">his </w:t>
      </w:r>
      <w:r w:rsidR="00E505E9" w:rsidRPr="003B079C">
        <w:t>difference</w:t>
      </w:r>
      <w:r w:rsidR="00ED4E19" w:rsidRPr="003B079C">
        <w:t xml:space="preserve"> would be of</w:t>
      </w:r>
      <w:r w:rsidR="00E505E9" w:rsidRPr="003B079C">
        <w:t xml:space="preserve"> little consequence</w:t>
      </w:r>
      <w:r w:rsidR="00ED4E19" w:rsidRPr="003B079C">
        <w:t xml:space="preserve"> </w:t>
      </w:r>
      <w:r w:rsidR="00E505E9" w:rsidRPr="003B079C">
        <w:t xml:space="preserve">if a </w:t>
      </w:r>
      <w:r w:rsidR="005D076A" w:rsidRPr="003B079C">
        <w:t>M</w:t>
      </w:r>
      <w:r w:rsidR="00E505E9" w:rsidRPr="003B079C">
        <w:t>anagers</w:t>
      </w:r>
      <w:r w:rsidR="005D076A" w:rsidRPr="003B079C">
        <w:t>’</w:t>
      </w:r>
      <w:r w:rsidR="00E505E9" w:rsidRPr="003B079C">
        <w:t xml:space="preserve"> hearing and a </w:t>
      </w:r>
      <w:r w:rsidR="00E87712" w:rsidRPr="003B079C">
        <w:t>t</w:t>
      </w:r>
      <w:r w:rsidR="005D076A" w:rsidRPr="003B079C">
        <w:t>ribunal</w:t>
      </w:r>
      <w:r w:rsidR="00E505E9" w:rsidRPr="003B079C">
        <w:t xml:space="preserve"> a</w:t>
      </w:r>
      <w:r w:rsidRPr="003B079C">
        <w:t>re</w:t>
      </w:r>
      <w:r w:rsidR="00E505E9" w:rsidRPr="003B079C">
        <w:t xml:space="preserve"> scheduled to be held </w:t>
      </w:r>
      <w:r w:rsidR="00ED4E19" w:rsidRPr="003B079C">
        <w:t>close together</w:t>
      </w:r>
      <w:r w:rsidR="00E505E9" w:rsidRPr="003B079C">
        <w:t>,</w:t>
      </w:r>
      <w:r w:rsidR="005D076A" w:rsidRPr="003B079C">
        <w:t xml:space="preserve"> because the criteria </w:t>
      </w:r>
      <w:r w:rsidR="00FA0F59" w:rsidRPr="003B079C">
        <w:t>applied by each</w:t>
      </w:r>
      <w:r w:rsidR="005D076A" w:rsidRPr="003B079C">
        <w:t xml:space="preserve"> is the same.</w:t>
      </w:r>
      <w:r w:rsidR="00ED4E19" w:rsidRPr="003B079C">
        <w:t xml:space="preserve">  I</w:t>
      </w:r>
      <w:r w:rsidR="00E505E9" w:rsidRPr="003B079C">
        <w:t xml:space="preserve">n anticipation of </w:t>
      </w:r>
      <w:r w:rsidR="00ED4E19" w:rsidRPr="003B079C">
        <w:t xml:space="preserve">the concern that </w:t>
      </w:r>
      <w:r w:rsidR="007037BC" w:rsidRPr="003B079C">
        <w:t xml:space="preserve">proximity in time would duplicate the liberty safeguarding element of the process, </w:t>
      </w:r>
      <w:r w:rsidR="00E505E9" w:rsidRPr="003B079C">
        <w:t xml:space="preserve">the </w:t>
      </w:r>
      <w:r w:rsidR="00E505E9" w:rsidRPr="003B079C">
        <w:rPr>
          <w:i/>
        </w:rPr>
        <w:t>Code</w:t>
      </w:r>
      <w:r w:rsidR="00E505E9" w:rsidRPr="003B079C">
        <w:t xml:space="preserve"> stipulates that the </w:t>
      </w:r>
      <w:r w:rsidR="005D076A" w:rsidRPr="003B079C">
        <w:t xml:space="preserve">Managers </w:t>
      </w:r>
      <w:r w:rsidR="00E505E9" w:rsidRPr="003B079C">
        <w:t>have a discretion not to hold a hearing or</w:t>
      </w:r>
      <w:r w:rsidR="00EB4DAB" w:rsidRPr="003B079C">
        <w:t>,</w:t>
      </w:r>
      <w:r w:rsidR="00E505E9" w:rsidRPr="003B079C">
        <w:t xml:space="preserve"> impliedly</w:t>
      </w:r>
      <w:r w:rsidR="00981A46" w:rsidRPr="003B079C">
        <w:t>,</w:t>
      </w:r>
      <w:r w:rsidR="00E505E9" w:rsidRPr="003B079C">
        <w:t xml:space="preserve"> to defer holding </w:t>
      </w:r>
      <w:r w:rsidR="00A5536D" w:rsidRPr="003B079C">
        <w:t>a</w:t>
      </w:r>
      <w:r w:rsidR="00E505E9" w:rsidRPr="003B079C">
        <w:t xml:space="preserve"> hearing if</w:t>
      </w:r>
      <w:r w:rsidR="00E87712" w:rsidRPr="003B079C">
        <w:t xml:space="preserve"> the</w:t>
      </w:r>
      <w:r w:rsidR="00E505E9" w:rsidRPr="003B079C">
        <w:t xml:space="preserve"> Tribunal ‘has recently considered the patient</w:t>
      </w:r>
      <w:r w:rsidR="00FA0F59" w:rsidRPr="003B079C">
        <w:t>’</w:t>
      </w:r>
      <w:r w:rsidR="00E505E9" w:rsidRPr="003B079C">
        <w:t>s case or is due to do so in the near future.’</w:t>
      </w:r>
      <w:r w:rsidR="00E505E9" w:rsidRPr="003B079C">
        <w:rPr>
          <w:vertAlign w:val="superscript"/>
        </w:rPr>
        <w:footnoteReference w:id="163"/>
      </w:r>
      <w:r w:rsidR="00E505E9" w:rsidRPr="003B079C">
        <w:t xml:space="preserve">  Procedurally, therefore, there is a means to avoid unnecessarily</w:t>
      </w:r>
      <w:r w:rsidR="00E505E9" w:rsidRPr="003B079C">
        <w:rPr>
          <w:i/>
        </w:rPr>
        <w:t xml:space="preserve"> </w:t>
      </w:r>
      <w:r w:rsidR="00E505E9" w:rsidRPr="003B079C">
        <w:t xml:space="preserve">holding review hearings.  </w:t>
      </w:r>
      <w:r w:rsidR="007037BC" w:rsidRPr="003B079C">
        <w:t>There is no data available on how frequently a refusal to hold a hearing on temporal proximity grounds occurs.</w:t>
      </w:r>
    </w:p>
    <w:p w14:paraId="26691441" w14:textId="73B808D0" w:rsidR="00E505E9" w:rsidRPr="003B079C" w:rsidRDefault="0035673B" w:rsidP="00E4654B">
      <w:pPr>
        <w:spacing w:line="480" w:lineRule="auto"/>
      </w:pPr>
      <w:r w:rsidRPr="003B079C">
        <w:t>Taken in combination, t</w:t>
      </w:r>
      <w:r w:rsidR="007C01A9" w:rsidRPr="003B079C">
        <w:t xml:space="preserve">he fact that </w:t>
      </w:r>
      <w:r w:rsidR="005D076A" w:rsidRPr="003B079C">
        <w:t>the Percy Commission</w:t>
      </w:r>
      <w:r w:rsidR="007C01A9" w:rsidRPr="003B079C">
        <w:t xml:space="preserve"> considered that the nature of the legitimacy of the Tribunal and Managers’ powers</w:t>
      </w:r>
      <w:r w:rsidRPr="003B079C">
        <w:t xml:space="preserve"> was different, and that the </w:t>
      </w:r>
      <w:r w:rsidRPr="003B079C">
        <w:rPr>
          <w:i/>
        </w:rPr>
        <w:t>Code</w:t>
      </w:r>
      <w:r w:rsidRPr="003B079C">
        <w:t xml:space="preserve"> provides a</w:t>
      </w:r>
      <w:r w:rsidR="007C01A9" w:rsidRPr="003B079C">
        <w:t xml:space="preserve"> framework </w:t>
      </w:r>
      <w:r w:rsidRPr="003B079C">
        <w:t>to avoid</w:t>
      </w:r>
      <w:r w:rsidR="007C01A9" w:rsidRPr="003B079C">
        <w:t xml:space="preserve"> duplication</w:t>
      </w:r>
      <w:r w:rsidR="00EB4DAB" w:rsidRPr="003B079C">
        <w:t>,</w:t>
      </w:r>
      <w:r w:rsidR="005D076A" w:rsidRPr="003B079C">
        <w:t xml:space="preserve"> suggest</w:t>
      </w:r>
      <w:r w:rsidRPr="003B079C">
        <w:t>s</w:t>
      </w:r>
      <w:r w:rsidR="005D076A" w:rsidRPr="003B079C">
        <w:t xml:space="preserve"> that the situation is more complex than the </w:t>
      </w:r>
      <w:r w:rsidR="00E07760" w:rsidRPr="003B079C">
        <w:t xml:space="preserve">abolitionists’ </w:t>
      </w:r>
      <w:r w:rsidR="005D076A" w:rsidRPr="003B079C">
        <w:t>duplication objection</w:t>
      </w:r>
      <w:r w:rsidRPr="003B079C">
        <w:t xml:space="preserve"> implies</w:t>
      </w:r>
      <w:r w:rsidR="005D076A" w:rsidRPr="003B079C">
        <w:t>.</w:t>
      </w:r>
      <w:r w:rsidR="007037BC" w:rsidRPr="003B079C">
        <w:t xml:space="preserve">  However, given that it is the Managers’ s.23 power that has been the target of abolition attempts, it is worth examining</w:t>
      </w:r>
      <w:r w:rsidR="006A03D0" w:rsidRPr="003B079C">
        <w:t xml:space="preserve"> whether the implementation of s.23 has the potential to produce value that</w:t>
      </w:r>
      <w:r w:rsidR="007037BC" w:rsidRPr="003B079C">
        <w:t xml:space="preserve"> the Tribunal cannot</w:t>
      </w:r>
      <w:r w:rsidRPr="003B079C">
        <w:t>, in order</w:t>
      </w:r>
      <w:r w:rsidR="00261882" w:rsidRPr="003B079C">
        <w:t xml:space="preserve"> </w:t>
      </w:r>
      <w:r w:rsidR="00E07760" w:rsidRPr="003B079C">
        <w:t>to</w:t>
      </w:r>
      <w:r w:rsidR="00261882" w:rsidRPr="003B079C">
        <w:t xml:space="preserve"> justify the claims of th</w:t>
      </w:r>
      <w:r w:rsidR="00E07760" w:rsidRPr="003B079C">
        <w:t>ose in favour of retaining s.23</w:t>
      </w:r>
      <w:r w:rsidR="007037BC" w:rsidRPr="003B079C">
        <w:t>.</w:t>
      </w:r>
    </w:p>
    <w:p w14:paraId="09AFCB5D" w14:textId="072467BF" w:rsidR="004D644E" w:rsidRPr="003B079C" w:rsidRDefault="00FD1EDC" w:rsidP="00E4654B">
      <w:pPr>
        <w:pStyle w:val="Heading2"/>
        <w:spacing w:line="480" w:lineRule="auto"/>
      </w:pPr>
      <w:r w:rsidRPr="003B079C">
        <w:t>V(B)</w:t>
      </w:r>
      <w:r w:rsidR="00846765" w:rsidRPr="003B079C">
        <w:t xml:space="preserve"> The </w:t>
      </w:r>
      <w:r w:rsidRPr="003B079C">
        <w:t>N</w:t>
      </w:r>
      <w:r w:rsidR="00846765" w:rsidRPr="003B079C">
        <w:t xml:space="preserve">ature of the </w:t>
      </w:r>
      <w:r w:rsidRPr="003B079C">
        <w:t>P</w:t>
      </w:r>
      <w:r w:rsidR="00846765" w:rsidRPr="003B079C">
        <w:t>rocess</w:t>
      </w:r>
    </w:p>
    <w:p w14:paraId="7107C553" w14:textId="7636F784" w:rsidR="004D644E" w:rsidRPr="003B079C" w:rsidRDefault="003E270E" w:rsidP="00E4654B">
      <w:pPr>
        <w:spacing w:line="480" w:lineRule="auto"/>
      </w:pPr>
      <w:r w:rsidRPr="003B079C">
        <w:t>Whatever the apparent difference in the nature of the</w:t>
      </w:r>
      <w:r w:rsidR="007037BC" w:rsidRPr="003B079C">
        <w:t xml:space="preserve"> discharge</w:t>
      </w:r>
      <w:r w:rsidRPr="003B079C">
        <w:t xml:space="preserve"> power</w:t>
      </w:r>
      <w:r w:rsidR="007037BC" w:rsidRPr="003B079C">
        <w:t>s</w:t>
      </w:r>
      <w:r w:rsidRPr="003B079C">
        <w:t>,</w:t>
      </w:r>
      <w:r w:rsidR="000F3073" w:rsidRPr="003B079C">
        <w:t xml:space="preserve"> abolitionists could argue that</w:t>
      </w:r>
      <w:r w:rsidRPr="003B079C">
        <w:t xml:space="preserve"> the means by which</w:t>
      </w:r>
      <w:r w:rsidR="007037BC" w:rsidRPr="003B079C">
        <w:t xml:space="preserve"> the s.23 power</w:t>
      </w:r>
      <w:r w:rsidRPr="003B079C">
        <w:t xml:space="preserve"> is implemented </w:t>
      </w:r>
      <w:r w:rsidR="000F3073" w:rsidRPr="003B079C">
        <w:t>– the nature of the process –</w:t>
      </w:r>
      <w:r w:rsidR="00782540" w:rsidRPr="003B079C">
        <w:t xml:space="preserve"> </w:t>
      </w:r>
      <w:r w:rsidRPr="003B079C">
        <w:t>provide</w:t>
      </w:r>
      <w:r w:rsidR="000F3073" w:rsidRPr="003B079C">
        <w:t>s</w:t>
      </w:r>
      <w:r w:rsidRPr="003B079C">
        <w:t xml:space="preserve"> credence to the</w:t>
      </w:r>
      <w:r w:rsidR="004E5792" w:rsidRPr="003B079C">
        <w:t>ir</w:t>
      </w:r>
      <w:r w:rsidRPr="003B079C">
        <w:t xml:space="preserve"> duplication </w:t>
      </w:r>
      <w:r w:rsidR="000F3073" w:rsidRPr="003B079C">
        <w:t>claim</w:t>
      </w:r>
      <w:r w:rsidRPr="003B079C">
        <w:t>.</w:t>
      </w:r>
      <w:r w:rsidR="00E505E9" w:rsidRPr="003B079C">
        <w:t xml:space="preserve">  </w:t>
      </w:r>
      <w:r w:rsidR="00860011" w:rsidRPr="003B079C">
        <w:t>Superficially</w:t>
      </w:r>
      <w:r w:rsidR="00EB4DAB" w:rsidRPr="003B079C">
        <w:t>,</w:t>
      </w:r>
      <w:r w:rsidR="00860011" w:rsidRPr="003B079C">
        <w:t xml:space="preserve"> the </w:t>
      </w:r>
      <w:r w:rsidR="007037BC" w:rsidRPr="003B079C">
        <w:t>two</w:t>
      </w:r>
      <w:r w:rsidR="00860011" w:rsidRPr="003B079C">
        <w:t xml:space="preserve"> </w:t>
      </w:r>
      <w:r w:rsidR="00805FEF" w:rsidRPr="003B079C">
        <w:t>route</w:t>
      </w:r>
      <w:r w:rsidR="007037BC" w:rsidRPr="003B079C">
        <w:t>s</w:t>
      </w:r>
      <w:r w:rsidR="00860011" w:rsidRPr="003B079C">
        <w:t xml:space="preserve"> are the same.  Both require the same written reports, hear oral evidence, sit as a panel</w:t>
      </w:r>
      <w:r w:rsidR="004E5792" w:rsidRPr="003B079C">
        <w:t>, and</w:t>
      </w:r>
      <w:r w:rsidR="00860011" w:rsidRPr="003B079C">
        <w:t xml:space="preserve"> make decision</w:t>
      </w:r>
      <w:r w:rsidR="004E5792" w:rsidRPr="003B079C">
        <w:t>s</w:t>
      </w:r>
      <w:r w:rsidR="00860011" w:rsidRPr="003B079C">
        <w:t xml:space="preserve"> on the same criteria.  However, </w:t>
      </w:r>
      <w:r w:rsidR="008B64CD" w:rsidRPr="003B079C">
        <w:t>just</w:t>
      </w:r>
      <w:r w:rsidR="00860011" w:rsidRPr="003B079C">
        <w:t xml:space="preserve"> because both mechanisms employ what is a functionally similar process with similar possible outcomes does not mean that t</w:t>
      </w:r>
      <w:r w:rsidR="007C01A9" w:rsidRPr="003B079C">
        <w:t>hey</w:t>
      </w:r>
      <w:r w:rsidR="00860011" w:rsidRPr="003B079C">
        <w:t xml:space="preserve"> have the same value and meaning in substantive terms, or that the power is exercised for the same purpose.  </w:t>
      </w:r>
      <w:r w:rsidR="00261882" w:rsidRPr="003B079C">
        <w:t>T</w:t>
      </w:r>
      <w:r w:rsidRPr="003B079C">
        <w:t xml:space="preserve">o understand why </w:t>
      </w:r>
      <w:r w:rsidR="006C709E" w:rsidRPr="003B079C">
        <w:t>th</w:t>
      </w:r>
      <w:r w:rsidR="00261882" w:rsidRPr="003B079C">
        <w:t xml:space="preserve">e abolitionists claim </w:t>
      </w:r>
      <w:r w:rsidRPr="003B079C">
        <w:t xml:space="preserve">is </w:t>
      </w:r>
      <w:r w:rsidR="0035673B" w:rsidRPr="003B079C">
        <w:t>potentially problematic</w:t>
      </w:r>
      <w:r w:rsidRPr="003B079C">
        <w:t>, i</w:t>
      </w:r>
      <w:r w:rsidR="00E505E9" w:rsidRPr="003B079C">
        <w:t>t is helpful to</w:t>
      </w:r>
      <w:r w:rsidR="00860011" w:rsidRPr="003B079C">
        <w:t xml:space="preserve"> consider</w:t>
      </w:r>
      <w:r w:rsidR="008B64CD" w:rsidRPr="003B079C">
        <w:t xml:space="preserve"> two aspects of</w:t>
      </w:r>
      <w:r w:rsidR="00860011" w:rsidRPr="003B079C">
        <w:t xml:space="preserve"> the Managers’ operational context.  First, proponents of retaining the s.23 power contend that the Managers are a locally orientated body with a particular interest in supporting their community.  Secondly, </w:t>
      </w:r>
      <w:r w:rsidR="004E5792" w:rsidRPr="003B079C">
        <w:t xml:space="preserve">they claim that </w:t>
      </w:r>
      <w:r w:rsidR="00860011" w:rsidRPr="003B079C">
        <w:t>the Managers represent a less formal, more accessible process</w:t>
      </w:r>
      <w:r w:rsidR="00F24BB8" w:rsidRPr="003B079C">
        <w:t xml:space="preserve"> for the individual subject to compulsory care</w:t>
      </w:r>
      <w:r w:rsidR="00B64BA3" w:rsidRPr="003B079C">
        <w:t>, which may be considered important in view of the power disparity between the</w:t>
      </w:r>
      <w:r w:rsidR="004E5792" w:rsidRPr="003B079C">
        <w:t>m</w:t>
      </w:r>
      <w:r w:rsidR="00B64BA3" w:rsidRPr="003B079C">
        <w:t>, and those exercising powers</w:t>
      </w:r>
      <w:r w:rsidR="004E5792" w:rsidRPr="003B079C">
        <w:t xml:space="preserve"> under the MHA 1983</w:t>
      </w:r>
      <w:r w:rsidR="00B64BA3" w:rsidRPr="003B079C">
        <w:t xml:space="preserve">. </w:t>
      </w:r>
    </w:p>
    <w:p w14:paraId="0FF47C64" w14:textId="0F831639" w:rsidR="003819F4" w:rsidRPr="003B079C" w:rsidRDefault="00E505E9" w:rsidP="00E4654B">
      <w:pPr>
        <w:spacing w:line="480" w:lineRule="auto"/>
      </w:pPr>
      <w:r w:rsidRPr="003B079C">
        <w:t>In its evidence submitted to the 2004 Joint Committee</w:t>
      </w:r>
      <w:r w:rsidR="00805FEF" w:rsidRPr="003B079C">
        <w:t>,</w:t>
      </w:r>
      <w:r w:rsidRPr="003B079C">
        <w:t xml:space="preserve"> the </w:t>
      </w:r>
      <w:r w:rsidR="00675763" w:rsidRPr="003B079C">
        <w:t xml:space="preserve">Hospital Managers’ Committee of </w:t>
      </w:r>
      <w:r w:rsidR="00AD25E1" w:rsidRPr="003B079C">
        <w:t xml:space="preserve">the </w:t>
      </w:r>
      <w:r w:rsidRPr="003B079C">
        <w:t xml:space="preserve">North East London Mental Health Trust </w:t>
      </w:r>
      <w:r w:rsidR="006A03D0" w:rsidRPr="003B079C">
        <w:t>(NELHMC)</w:t>
      </w:r>
      <w:r w:rsidRPr="003B079C">
        <w:t xml:space="preserve"> said that the </w:t>
      </w:r>
      <w:r w:rsidR="006A03D0" w:rsidRPr="003B079C">
        <w:t>M</w:t>
      </w:r>
      <w:r w:rsidRPr="003B079C">
        <w:t>anagers’ continuing power of discharge enable</w:t>
      </w:r>
      <w:r w:rsidR="00AD25E1" w:rsidRPr="003B079C">
        <w:t>s them</w:t>
      </w:r>
      <w:r w:rsidRPr="003B079C">
        <w:t xml:space="preserve"> to follow up on the long-term care of patients</w:t>
      </w:r>
      <w:r w:rsidR="006C709E" w:rsidRPr="003B079C">
        <w:t>, and</w:t>
      </w:r>
      <w:r w:rsidRPr="003B079C">
        <w:t xml:space="preserve"> to ensure that progress is being made on their care</w:t>
      </w:r>
      <w:r w:rsidR="004D644E" w:rsidRPr="003B079C">
        <w:t xml:space="preserve">, because </w:t>
      </w:r>
      <w:r w:rsidR="008B2151" w:rsidRPr="003B079C">
        <w:t xml:space="preserve">they </w:t>
      </w:r>
      <w:r w:rsidR="004D644E" w:rsidRPr="003B079C">
        <w:t>could instigate a hearing on their own initiative</w:t>
      </w:r>
      <w:r w:rsidRPr="003B079C">
        <w:t>.</w:t>
      </w:r>
      <w:r w:rsidR="00805FEF" w:rsidRPr="003B079C">
        <w:rPr>
          <w:vertAlign w:val="superscript"/>
        </w:rPr>
        <w:footnoteReference w:id="164"/>
      </w:r>
      <w:r w:rsidRPr="003B079C">
        <w:t xml:space="preserve">  </w:t>
      </w:r>
      <w:r w:rsidR="00805FEF" w:rsidRPr="003B079C">
        <w:t>They stated</w:t>
      </w:r>
      <w:r w:rsidR="00261882" w:rsidRPr="003B079C">
        <w:t xml:space="preserve"> </w:t>
      </w:r>
      <w:r w:rsidR="008B64CD" w:rsidRPr="003B079C">
        <w:t>that t</w:t>
      </w:r>
      <w:r w:rsidRPr="003B079C">
        <w:t xml:space="preserve">he </w:t>
      </w:r>
      <w:r w:rsidR="007C01A9" w:rsidRPr="003B079C">
        <w:t xml:space="preserve">independent, though somewhat collegial </w:t>
      </w:r>
      <w:r w:rsidRPr="003B079C">
        <w:t xml:space="preserve">position of the </w:t>
      </w:r>
      <w:r w:rsidR="006A03D0" w:rsidRPr="003B079C">
        <w:t>M</w:t>
      </w:r>
      <w:r w:rsidRPr="003B079C">
        <w:t>anagers allowed them to ‘exert pressure’</w:t>
      </w:r>
      <w:r w:rsidR="00675763" w:rsidRPr="003B079C">
        <w:t xml:space="preserve"> to secure funding </w:t>
      </w:r>
      <w:r w:rsidR="007C01A9" w:rsidRPr="003B079C">
        <w:t>for care from the compelling authority</w:t>
      </w:r>
      <w:r w:rsidR="00675763" w:rsidRPr="003B079C">
        <w:t xml:space="preserve"> </w:t>
      </w:r>
      <w:r w:rsidRPr="003B079C">
        <w:t xml:space="preserve">where the Tribunal </w:t>
      </w:r>
      <w:r w:rsidR="00E87712" w:rsidRPr="003B079C">
        <w:t>was thought to be</w:t>
      </w:r>
      <w:r w:rsidRPr="003B079C">
        <w:t xml:space="preserve"> ‘unwilling to do so’</w:t>
      </w:r>
      <w:r w:rsidR="008B64CD" w:rsidRPr="003B079C">
        <w:t>, though examples of what this might entail were not given</w:t>
      </w:r>
      <w:r w:rsidRPr="003B079C">
        <w:t xml:space="preserve">. </w:t>
      </w:r>
      <w:r w:rsidR="00261882" w:rsidRPr="003B079C">
        <w:t>The Managers’</w:t>
      </w:r>
      <w:r w:rsidR="00637130" w:rsidRPr="003B079C">
        <w:t xml:space="preserve"> </w:t>
      </w:r>
      <w:r w:rsidRPr="003B079C">
        <w:t>motivation for undertaking such activities</w:t>
      </w:r>
      <w:r w:rsidR="00261882" w:rsidRPr="003B079C">
        <w:t xml:space="preserve"> was attributed</w:t>
      </w:r>
      <w:r w:rsidRPr="003B079C">
        <w:t xml:space="preserve"> to their ‘local community interest</w:t>
      </w:r>
      <w:r w:rsidR="00261882" w:rsidRPr="003B079C">
        <w:t>,</w:t>
      </w:r>
      <w:r w:rsidRPr="003B079C">
        <w:t>’ which the Tribunal</w:t>
      </w:r>
      <w:r w:rsidR="0035673B" w:rsidRPr="003B079C">
        <w:t>,</w:t>
      </w:r>
      <w:r w:rsidR="003819F4" w:rsidRPr="003B079C">
        <w:t xml:space="preserve"> as a centrally regulated process</w:t>
      </w:r>
      <w:r w:rsidR="0035673B" w:rsidRPr="003B079C">
        <w:t>,</w:t>
      </w:r>
      <w:r w:rsidR="003819F4" w:rsidRPr="003B079C">
        <w:t xml:space="preserve"> was</w:t>
      </w:r>
      <w:r w:rsidR="00637130" w:rsidRPr="003B079C">
        <w:t xml:space="preserve"> said to lack</w:t>
      </w:r>
      <w:r w:rsidRPr="003B079C">
        <w:t>.</w:t>
      </w:r>
      <w:r w:rsidRPr="003B079C">
        <w:rPr>
          <w:vertAlign w:val="superscript"/>
        </w:rPr>
        <w:footnoteReference w:id="165"/>
      </w:r>
      <w:r w:rsidRPr="003B079C">
        <w:t xml:space="preserve"> </w:t>
      </w:r>
      <w:r w:rsidR="003819F4" w:rsidRPr="003B079C">
        <w:t xml:space="preserve">This assertion was not rebuffed by proponents of the </w:t>
      </w:r>
      <w:r w:rsidR="00805FEF" w:rsidRPr="003B079C">
        <w:t>T</w:t>
      </w:r>
      <w:r w:rsidR="003819F4" w:rsidRPr="003B079C">
        <w:t>ribunal system.  No</w:t>
      </w:r>
      <w:r w:rsidR="004E5792" w:rsidRPr="003B079C">
        <w:t>r though did proponents of retaining s.23</w:t>
      </w:r>
      <w:r w:rsidR="003819F4" w:rsidRPr="003B079C">
        <w:t xml:space="preserve"> articulate why being less local makes one disinterested in compelling an organisation to provide appropriate care promptly.</w:t>
      </w:r>
      <w:r w:rsidR="004B6C55" w:rsidRPr="003B079C">
        <w:t xml:space="preserve"> </w:t>
      </w:r>
      <w:r w:rsidR="00A21883" w:rsidRPr="003B079C">
        <w:t xml:space="preserve">The tension between the relative values of centralised, standardised operations and local, community-responsive decision-making can only be debated when more is known about the </w:t>
      </w:r>
      <w:r w:rsidR="009C3E43" w:rsidRPr="003B079C">
        <w:t>how the Managers operate locally</w:t>
      </w:r>
      <w:r w:rsidR="00A21883" w:rsidRPr="003B079C">
        <w:t>.</w:t>
      </w:r>
      <w:r w:rsidR="00A21883" w:rsidRPr="003B079C">
        <w:rPr>
          <w:vertAlign w:val="superscript"/>
        </w:rPr>
        <w:footnoteReference w:id="166"/>
      </w:r>
    </w:p>
    <w:p w14:paraId="00FA1F32" w14:textId="1E826D1F" w:rsidR="00E505E9" w:rsidRPr="003B079C" w:rsidRDefault="004B6C55" w:rsidP="00E4654B">
      <w:pPr>
        <w:spacing w:line="480" w:lineRule="auto"/>
      </w:pPr>
      <w:r w:rsidRPr="003B079C">
        <w:t xml:space="preserve">Those in favour of retaining the Managers’ hearings have </w:t>
      </w:r>
      <w:r w:rsidR="00B93F0D" w:rsidRPr="003B079C">
        <w:t xml:space="preserve">also </w:t>
      </w:r>
      <w:r w:rsidRPr="003B079C">
        <w:t>argued that the</w:t>
      </w:r>
      <w:r w:rsidR="00A21883" w:rsidRPr="003B079C">
        <w:t>y</w:t>
      </w:r>
      <w:r w:rsidRPr="003B079C">
        <w:t xml:space="preserve"> afford the compelled person the opportunity to ask questions of their care team, to hear questions put by the Managers, and to have those questions answered.</w:t>
      </w:r>
      <w:r w:rsidRPr="003B079C">
        <w:rPr>
          <w:vertAlign w:val="superscript"/>
        </w:rPr>
        <w:footnoteReference w:id="167"/>
      </w:r>
      <w:r w:rsidRPr="003B079C">
        <w:t xml:space="preserve">  The implication is that the Tribunal process, while it might permit the </w:t>
      </w:r>
      <w:r w:rsidR="00E87712" w:rsidRPr="003B079C">
        <w:t>panel</w:t>
      </w:r>
      <w:r w:rsidRPr="003B079C">
        <w:t xml:space="preserve"> </w:t>
      </w:r>
      <w:r w:rsidR="00A21883" w:rsidRPr="003B079C">
        <w:t xml:space="preserve">members </w:t>
      </w:r>
      <w:r w:rsidRPr="003B079C">
        <w:t xml:space="preserve">to challenge the care team, does not necessarily enable the </w:t>
      </w:r>
      <w:r w:rsidR="00A21883" w:rsidRPr="003B079C">
        <w:t>compelled person</w:t>
      </w:r>
      <w:r w:rsidRPr="003B079C">
        <w:t xml:space="preserve"> to participate.</w:t>
      </w:r>
      <w:r w:rsidR="007F55E9" w:rsidRPr="003B079C">
        <w:rPr>
          <w:rStyle w:val="FootnoteReference"/>
        </w:rPr>
        <w:footnoteReference w:id="168"/>
      </w:r>
      <w:r w:rsidRPr="003B079C">
        <w:t xml:space="preserve">  </w:t>
      </w:r>
      <w:r w:rsidR="004E5792" w:rsidRPr="003B079C">
        <w:t>Additionally, w</w:t>
      </w:r>
      <w:r w:rsidR="00C34E89" w:rsidRPr="003B079C">
        <w:t>hile</w:t>
      </w:r>
      <w:r w:rsidR="00A21883" w:rsidRPr="003B079C">
        <w:t xml:space="preserve"> the Expert Committee</w:t>
      </w:r>
      <w:r w:rsidR="00C34E89" w:rsidRPr="003B079C">
        <w:t xml:space="preserve"> did not endorse the view, </w:t>
      </w:r>
      <w:r w:rsidR="004E5792" w:rsidRPr="003B079C">
        <w:t xml:space="preserve">it noted that </w:t>
      </w:r>
      <w:r w:rsidR="00C34E89" w:rsidRPr="003B079C">
        <w:t xml:space="preserve">some of the witnesses appearing before it argued ‘that a </w:t>
      </w:r>
      <w:r w:rsidR="00B93F0D" w:rsidRPr="003B079C">
        <w:t>[Managers’]</w:t>
      </w:r>
      <w:r w:rsidR="00C34E89" w:rsidRPr="003B079C">
        <w:t xml:space="preserve"> hearing provides a uniquely informal occasion at which the patient is able to hear the opinion of the care team.’</w:t>
      </w:r>
      <w:r w:rsidR="00C34E89" w:rsidRPr="003B079C">
        <w:rPr>
          <w:vertAlign w:val="superscript"/>
        </w:rPr>
        <w:footnoteReference w:id="169"/>
      </w:r>
      <w:r w:rsidR="00C34E89" w:rsidRPr="003B079C">
        <w:t xml:space="preserve"> </w:t>
      </w:r>
      <w:r w:rsidR="00A662C0" w:rsidRPr="003B079C">
        <w:t xml:space="preserve"> Conversely, it has been argued that, the risk of moving to a Tribunal-only system, as was proposed in 2004 and as must be the implicit aspiration of those in favour of abolition of the Managers’ power, is that the process could become ‘more formal, more adversarial, more rooted in the rules’ and that this ‘will tend to exclude the patient.’</w:t>
      </w:r>
      <w:r w:rsidR="00A662C0" w:rsidRPr="003B079C">
        <w:rPr>
          <w:vertAlign w:val="superscript"/>
        </w:rPr>
        <w:footnoteReference w:id="170"/>
      </w:r>
      <w:r w:rsidR="00A662C0" w:rsidRPr="003B079C">
        <w:t xml:space="preserve"> These are not trivial concerns.  The legal process </w:t>
      </w:r>
      <w:r w:rsidR="00A662C0" w:rsidRPr="003B079C">
        <w:rPr>
          <w:i/>
        </w:rPr>
        <w:t>must</w:t>
      </w:r>
      <w:r w:rsidR="00A662C0" w:rsidRPr="003B079C">
        <w:t xml:space="preserve"> be sensitive to its context, and be conscious that at the centre of the legal framework is a person subject to, or at risk of being subject to, compulsory medical care.  Just as the value of preventing inappropriate compulsion through</w:t>
      </w:r>
      <w:r w:rsidR="0035673B" w:rsidRPr="003B079C">
        <w:t xml:space="preserve"> formalised</w:t>
      </w:r>
      <w:r w:rsidR="00A662C0" w:rsidRPr="003B079C">
        <w:t xml:space="preserve"> judicial protection is high, so too is the ability of the individual person to engage with th</w:t>
      </w:r>
      <w:r w:rsidR="0035673B" w:rsidRPr="003B079C">
        <w:t>at</w:t>
      </w:r>
      <w:r w:rsidR="00A662C0" w:rsidRPr="003B079C">
        <w:t xml:space="preserve"> process.  A process which is too legalistic, and inhibits the participatory opportunity that the Managers’ hearing purports to represent, may doubly disempower individuals, leaving them excluded by both legalism and their subordination to the powers of the</w:t>
      </w:r>
      <w:r w:rsidR="0035673B" w:rsidRPr="003B079C">
        <w:t xml:space="preserve"> MHA 1983</w:t>
      </w:r>
      <w:r w:rsidR="00A662C0" w:rsidRPr="003B079C">
        <w:t xml:space="preserve">.  </w:t>
      </w:r>
      <w:r w:rsidR="00A21883" w:rsidRPr="003B079C">
        <w:t>Of course, due to a lack of data, it is difficult to assess the extent to which individuals are empowered and supported to speak at Managers’ (or Tribunal) hearings, or how often</w:t>
      </w:r>
      <w:r w:rsidR="0035673B" w:rsidRPr="003B079C">
        <w:t>,</w:t>
      </w:r>
      <w:r w:rsidR="00A21883" w:rsidRPr="003B079C">
        <w:t xml:space="preserve"> and why they do not attend.  It is similarly unclear whether people are regularly supported by relatives, Independent Mental Health Act Advocates, legal representatives or others.</w:t>
      </w:r>
    </w:p>
    <w:p w14:paraId="7EF54A06" w14:textId="570AD267" w:rsidR="00E505E9" w:rsidRPr="003B079C" w:rsidRDefault="00A662C0" w:rsidP="00E4654B">
      <w:pPr>
        <w:spacing w:line="480" w:lineRule="auto"/>
      </w:pPr>
      <w:r w:rsidRPr="003B079C">
        <w:t>Notwithstanding the limited empirical basis for such a claim, it</w:t>
      </w:r>
      <w:r w:rsidR="00E546DD" w:rsidRPr="003B079C">
        <w:t xml:space="preserve"> appears</w:t>
      </w:r>
      <w:r w:rsidR="008478C3" w:rsidRPr="003B079C">
        <w:t xml:space="preserve"> that the Managers</w:t>
      </w:r>
      <w:r w:rsidR="00E546DD" w:rsidRPr="003B079C">
        <w:t xml:space="preserve"> may</w:t>
      </w:r>
      <w:r w:rsidR="008478C3" w:rsidRPr="003B079C">
        <w:t xml:space="preserve"> have a separate value to their purely adjudicative function which is distinct from, and therefore not replicated by the Tribunal</w:t>
      </w:r>
      <w:r w:rsidR="00E546DD" w:rsidRPr="003B079C">
        <w:t>.  However,</w:t>
      </w:r>
      <w:r w:rsidR="008478C3" w:rsidRPr="003B079C">
        <w:t xml:space="preserve"> the operation of the NELHMC hearings</w:t>
      </w:r>
      <w:r w:rsidR="00E546DD" w:rsidRPr="003B079C">
        <w:t xml:space="preserve"> and other positive experiences discussed </w:t>
      </w:r>
      <w:r w:rsidR="00F86297" w:rsidRPr="003B079C">
        <w:t xml:space="preserve">in this section </w:t>
      </w:r>
      <w:r w:rsidR="008478C3" w:rsidRPr="003B079C">
        <w:t xml:space="preserve">may have been the result of the governance arrangements within </w:t>
      </w:r>
      <w:r w:rsidRPr="003B079C">
        <w:t xml:space="preserve">the </w:t>
      </w:r>
      <w:r w:rsidR="00E546DD" w:rsidRPr="003B079C">
        <w:t>organisation</w:t>
      </w:r>
      <w:r w:rsidRPr="003B079C">
        <w:t>s concerned</w:t>
      </w:r>
      <w:r w:rsidR="008478C3" w:rsidRPr="003B079C">
        <w:t xml:space="preserve"> at that particular time.  </w:t>
      </w:r>
      <w:r w:rsidR="00A21883" w:rsidRPr="003B079C">
        <w:t>Equally, there may well be undesirable practices and instances of poor training</w:t>
      </w:r>
      <w:r w:rsidR="00D10EC3" w:rsidRPr="003B079C">
        <w:t xml:space="preserve"> in other organisations</w:t>
      </w:r>
      <w:r w:rsidR="00A21883" w:rsidRPr="003B079C">
        <w:t>.</w:t>
      </w:r>
      <w:r w:rsidR="00A21883" w:rsidRPr="003B079C">
        <w:rPr>
          <w:vertAlign w:val="superscript"/>
        </w:rPr>
        <w:footnoteReference w:id="171"/>
      </w:r>
      <w:r w:rsidR="00A21883" w:rsidRPr="003B079C">
        <w:t xml:space="preserve">  The</w:t>
      </w:r>
      <w:r w:rsidR="00D10EC3" w:rsidRPr="003B079C">
        <w:t xml:space="preserve"> effectiveness of the s.23 power, whatever function is ascribed to it,</w:t>
      </w:r>
      <w:r w:rsidR="00D10EC3" w:rsidRPr="003B079C" w:rsidDel="00D10EC3">
        <w:t xml:space="preserve"> </w:t>
      </w:r>
      <w:r w:rsidR="00A21883" w:rsidRPr="003B079C">
        <w:t>will be dependent on</w:t>
      </w:r>
      <w:r w:rsidR="00D10EC3" w:rsidRPr="003B079C">
        <w:t xml:space="preserve"> </w:t>
      </w:r>
      <w:r w:rsidRPr="003B079C">
        <w:t xml:space="preserve">the </w:t>
      </w:r>
      <w:r w:rsidR="00D10EC3" w:rsidRPr="003B079C">
        <w:t>local</w:t>
      </w:r>
      <w:r w:rsidR="00A21883" w:rsidRPr="003B079C">
        <w:t xml:space="preserve"> constitutional arrangements, convention</w:t>
      </w:r>
      <w:r w:rsidRPr="003B079C">
        <w:t>al</w:t>
      </w:r>
      <w:r w:rsidR="00A21883" w:rsidRPr="003B079C">
        <w:t xml:space="preserve"> practices and pro forma</w:t>
      </w:r>
      <w:r w:rsidR="00D10EC3" w:rsidRPr="003B079C">
        <w:t xml:space="preserve"> </w:t>
      </w:r>
      <w:r w:rsidRPr="003B079C">
        <w:t>employed</w:t>
      </w:r>
      <w:r w:rsidR="00805FEF" w:rsidRPr="003B079C">
        <w:t>.  I</w:t>
      </w:r>
      <w:r w:rsidR="00A21883" w:rsidRPr="003B079C">
        <w:t>nformation on these matters is not readily available.</w:t>
      </w:r>
      <w:r w:rsidR="00522F4C" w:rsidRPr="003B079C">
        <w:t xml:space="preserve"> </w:t>
      </w:r>
      <w:r w:rsidR="00E546DD" w:rsidRPr="003B079C">
        <w:t>Th</w:t>
      </w:r>
      <w:r w:rsidR="00D10EC3" w:rsidRPr="003B079C">
        <w:t xml:space="preserve">is </w:t>
      </w:r>
      <w:r w:rsidR="00E546DD" w:rsidRPr="003B079C">
        <w:t xml:space="preserve">difficulty </w:t>
      </w:r>
      <w:r w:rsidR="00D10EC3" w:rsidRPr="003B079C">
        <w:t>arises because</w:t>
      </w:r>
      <w:r w:rsidR="00E47692" w:rsidRPr="003B079C">
        <w:t xml:space="preserve"> </w:t>
      </w:r>
      <w:r w:rsidR="00E546DD" w:rsidRPr="003B079C">
        <w:t>administration of the s.23 power is comprehensively devolved to individual organisations</w:t>
      </w:r>
      <w:r w:rsidR="00E47692" w:rsidRPr="003B079C">
        <w:t>,</w:t>
      </w:r>
      <w:r w:rsidR="00D10EC3" w:rsidRPr="003B079C">
        <w:t xml:space="preserve"> and</w:t>
      </w:r>
      <w:r w:rsidR="00E546DD" w:rsidRPr="003B079C">
        <w:t xml:space="preserve"> little information is available on </w:t>
      </w:r>
      <w:r w:rsidR="00D10EC3" w:rsidRPr="003B079C">
        <w:t xml:space="preserve">the </w:t>
      </w:r>
      <w:r w:rsidR="00E546DD" w:rsidRPr="003B079C">
        <w:t xml:space="preserve">degree of consistency </w:t>
      </w:r>
      <w:r w:rsidR="00D10EC3" w:rsidRPr="003B079C">
        <w:t>which exists</w:t>
      </w:r>
      <w:r w:rsidR="00E546DD" w:rsidRPr="003B079C">
        <w:t xml:space="preserve"> between their practices nationally.</w:t>
      </w:r>
      <w:r w:rsidR="008478C3" w:rsidRPr="003B079C">
        <w:t xml:space="preserve">  </w:t>
      </w:r>
      <w:r w:rsidR="00D10EC3" w:rsidRPr="003B079C">
        <w:t>In consequence, b</w:t>
      </w:r>
      <w:r w:rsidR="008478C3" w:rsidRPr="003B079C">
        <w:t>road, simplistic statements by either side as to the relative merits and demerits of the Managers’ process belie the evident complexity of such a decentralised mechanism</w:t>
      </w:r>
      <w:r w:rsidR="00E6513A" w:rsidRPr="003B079C">
        <w:t xml:space="preserve">.  </w:t>
      </w:r>
      <w:r w:rsidR="00D10EC3" w:rsidRPr="003B079C">
        <w:t>B</w:t>
      </w:r>
      <w:r w:rsidR="00E6513A" w:rsidRPr="003B079C">
        <w:t xml:space="preserve">oth the proponents and </w:t>
      </w:r>
      <w:r w:rsidR="006F06ED" w:rsidRPr="003B079C">
        <w:t xml:space="preserve">opponents of abolition fail to take account of the complexity of the system to which they have addressed their remarks.  This has been enabled by a lack of public understanding and </w:t>
      </w:r>
      <w:r w:rsidR="008C34A6" w:rsidRPr="003B079C">
        <w:t xml:space="preserve">a lack of </w:t>
      </w:r>
      <w:r w:rsidR="006F06ED" w:rsidRPr="003B079C">
        <w:t>data</w:t>
      </w:r>
      <w:r w:rsidR="008C34A6" w:rsidRPr="003B079C">
        <w:t>.  T</w:t>
      </w:r>
      <w:r w:rsidR="006F06ED" w:rsidRPr="003B079C">
        <w:t>he true nature of the s.23 process</w:t>
      </w:r>
      <w:r w:rsidR="008C34A6" w:rsidRPr="003B079C">
        <w:t xml:space="preserve"> remains hidden.</w:t>
      </w:r>
    </w:p>
    <w:p w14:paraId="2325C5CD" w14:textId="6089078E" w:rsidR="00E505E9" w:rsidRPr="003B079C" w:rsidRDefault="00FD1EDC" w:rsidP="00FD1EDC">
      <w:pPr>
        <w:pStyle w:val="Heading1"/>
      </w:pPr>
      <w:bookmarkStart w:id="0" w:name="_GoBack"/>
      <w:bookmarkEnd w:id="0"/>
      <w:r w:rsidRPr="003B079C">
        <w:t>VI</w:t>
      </w:r>
      <w:r w:rsidR="00C655CC" w:rsidRPr="003B079C">
        <w:t xml:space="preserve"> </w:t>
      </w:r>
      <w:r w:rsidR="00A40A4A" w:rsidRPr="003B079C">
        <w:t>Conclusion</w:t>
      </w:r>
    </w:p>
    <w:p w14:paraId="35B06908" w14:textId="65F3BB5A" w:rsidR="004A26F1" w:rsidRPr="003B079C" w:rsidRDefault="00805FEF" w:rsidP="00E4654B">
      <w:pPr>
        <w:spacing w:line="480" w:lineRule="auto"/>
      </w:pPr>
      <w:r w:rsidRPr="003B079C">
        <w:t>M</w:t>
      </w:r>
      <w:r w:rsidR="00402E58" w:rsidRPr="003B079C">
        <w:t>y observations in</w:t>
      </w:r>
      <w:r w:rsidR="000210FE" w:rsidRPr="003B079C">
        <w:t xml:space="preserve"> this paper may have offered incidental support to those </w:t>
      </w:r>
      <w:r w:rsidR="00211523" w:rsidRPr="003B079C">
        <w:t>opposed to</w:t>
      </w:r>
      <w:r w:rsidR="000210FE" w:rsidRPr="003B079C">
        <w:t xml:space="preserve"> the abolition of the s.23 discharge power, </w:t>
      </w:r>
      <w:r w:rsidRPr="003B079C">
        <w:t xml:space="preserve">but </w:t>
      </w:r>
      <w:r w:rsidR="000210FE" w:rsidRPr="003B079C">
        <w:t xml:space="preserve">it is hard not to also be critical of the proponents of </w:t>
      </w:r>
      <w:r w:rsidR="00476ED5" w:rsidRPr="003B079C">
        <w:t>retaining s.23 in its current form</w:t>
      </w:r>
      <w:r w:rsidR="000210FE" w:rsidRPr="003B079C">
        <w:t>.  The</w:t>
      </w:r>
      <w:r w:rsidR="00211523" w:rsidRPr="003B079C">
        <w:t xml:space="preserve"> </w:t>
      </w:r>
      <w:r w:rsidR="000210FE" w:rsidRPr="003B079C">
        <w:t>Joint Committee noted that it is a characteristic of all aspect</w:t>
      </w:r>
      <w:r w:rsidR="00C37E01" w:rsidRPr="003B079C">
        <w:t>s</w:t>
      </w:r>
      <w:r w:rsidR="000210FE" w:rsidRPr="003B079C">
        <w:t xml:space="preserve"> of mental health services that there is a lack of data on how they operate,</w:t>
      </w:r>
      <w:r w:rsidR="008259B8" w:rsidRPr="003B079C">
        <w:rPr>
          <w:vertAlign w:val="superscript"/>
        </w:rPr>
        <w:footnoteReference w:id="172"/>
      </w:r>
      <w:r w:rsidR="000210FE" w:rsidRPr="003B079C">
        <w:t xml:space="preserve"> and this </w:t>
      </w:r>
      <w:r w:rsidR="006F06ED" w:rsidRPr="003B079C">
        <w:t>is</w:t>
      </w:r>
      <w:r w:rsidR="000210FE" w:rsidRPr="003B079C">
        <w:t xml:space="preserve"> </w:t>
      </w:r>
      <w:r w:rsidR="00A662C0" w:rsidRPr="003B079C">
        <w:t xml:space="preserve">emphatically </w:t>
      </w:r>
      <w:r w:rsidR="000210FE" w:rsidRPr="003B079C">
        <w:t>true</w:t>
      </w:r>
      <w:r w:rsidR="004A26F1" w:rsidRPr="003B079C">
        <w:t xml:space="preserve"> in relation to </w:t>
      </w:r>
      <w:r w:rsidR="000210FE" w:rsidRPr="003B079C">
        <w:t>the Managers.  Th</w:t>
      </w:r>
      <w:r w:rsidR="00476ED5" w:rsidRPr="003B079C">
        <w:t>e absence</w:t>
      </w:r>
      <w:r w:rsidR="000210FE" w:rsidRPr="003B079C">
        <w:t xml:space="preserve"> of data </w:t>
      </w:r>
      <w:r w:rsidR="0001749E" w:rsidRPr="003B079C">
        <w:t xml:space="preserve">and wider understanding </w:t>
      </w:r>
      <w:r w:rsidR="000210FE" w:rsidRPr="003B079C">
        <w:t>ha</w:t>
      </w:r>
      <w:r w:rsidR="006F06ED" w:rsidRPr="003B079C">
        <w:t>s</w:t>
      </w:r>
      <w:r w:rsidR="000210FE" w:rsidRPr="003B079C">
        <w:t xml:space="preserve"> contributed to a general lack of awareness, certainly in centrally organised legislative and public policy circles, as to just what the </w:t>
      </w:r>
      <w:r w:rsidR="00211523" w:rsidRPr="003B079C">
        <w:t xml:space="preserve">Managers </w:t>
      </w:r>
      <w:r w:rsidR="000210FE" w:rsidRPr="003B079C">
        <w:t>are</w:t>
      </w:r>
      <w:r w:rsidR="00A662C0" w:rsidRPr="003B079C">
        <w:t>,</w:t>
      </w:r>
      <w:r w:rsidR="000210FE" w:rsidRPr="003B079C">
        <w:t xml:space="preserve"> and what their function is</w:t>
      </w:r>
      <w:r w:rsidR="00211523" w:rsidRPr="003B079C">
        <w:t>.  This</w:t>
      </w:r>
      <w:r w:rsidR="00A662C0" w:rsidRPr="003B079C">
        <w:t xml:space="preserve"> has</w:t>
      </w:r>
      <w:r w:rsidRPr="003B079C">
        <w:t>,</w:t>
      </w:r>
      <w:r w:rsidR="00211523" w:rsidRPr="003B079C">
        <w:t xml:space="preserve"> in turn</w:t>
      </w:r>
      <w:r w:rsidRPr="003B079C">
        <w:t>,</w:t>
      </w:r>
      <w:r w:rsidR="004A26F1" w:rsidRPr="003B079C">
        <w:t xml:space="preserve"> allowed the weakly supported arguments made by both sides to go largely unchallenged</w:t>
      </w:r>
      <w:r w:rsidR="000210FE" w:rsidRPr="003B079C">
        <w:t>.</w:t>
      </w:r>
    </w:p>
    <w:p w14:paraId="42034588" w14:textId="444A0F5A" w:rsidR="00B64BA3" w:rsidRPr="003B079C" w:rsidRDefault="00D10EC3" w:rsidP="00E4654B">
      <w:pPr>
        <w:spacing w:line="480" w:lineRule="auto"/>
      </w:pPr>
      <w:r w:rsidRPr="003B079C">
        <w:t>At the same time, even if the qualified nature of the data set out above is put aside, the observations</w:t>
      </w:r>
      <w:r w:rsidR="00D74D2D" w:rsidRPr="003B079C">
        <w:t xml:space="preserve"> made in this paper</w:t>
      </w:r>
      <w:r w:rsidRPr="003B079C">
        <w:t xml:space="preserve"> speak only to the broadest goals of any review mechanism, assessing the probity of decision making</w:t>
      </w:r>
      <w:r w:rsidR="00D74D2D" w:rsidRPr="003B079C">
        <w:t>, and demonstrate the failure of either proponents or opponents of abolition to engage with the substantive issues raised by the s.23 process.</w:t>
      </w:r>
      <w:r w:rsidRPr="003B079C">
        <w:t xml:space="preserve">  Indeed, </w:t>
      </w:r>
      <w:r w:rsidR="00D74D2D" w:rsidRPr="003B079C">
        <w:t>the argument around expertise, independence and duplication has largely</w:t>
      </w:r>
      <w:r w:rsidRPr="003B079C">
        <w:t xml:space="preserve"> assume</w:t>
      </w:r>
      <w:r w:rsidR="00D74D2D" w:rsidRPr="003B079C">
        <w:t>d</w:t>
      </w:r>
      <w:r w:rsidRPr="003B079C">
        <w:t xml:space="preserve"> that it is the primary</w:t>
      </w:r>
      <w:r w:rsidR="00D74D2D" w:rsidRPr="003B079C">
        <w:t>, perhaps even the sole,</w:t>
      </w:r>
      <w:r w:rsidRPr="003B079C">
        <w:t xml:space="preserve"> function of the Managers to protect the liberty of the person subject to compulsory care.  The failure of Parliament and others to articulate and justify the function of the Managers means that alternative possibilities have never been examined.</w:t>
      </w:r>
      <w:r w:rsidR="00B64BA3" w:rsidRPr="003B079C">
        <w:t xml:space="preserve">  This perhaps also explains why </w:t>
      </w:r>
      <w:r w:rsidR="000F6F17" w:rsidRPr="003B079C">
        <w:t>the question of whether the Managers’ s.23 power should be retained or abolished has been presented as a binary choice, and conducted in a way which belies the evident complexity of the situation, and seriousness of the subject matter concerned.</w:t>
      </w:r>
    </w:p>
    <w:p w14:paraId="684D8B36" w14:textId="52675B30" w:rsidR="00D10EC3" w:rsidRPr="003B079C" w:rsidRDefault="00D10EC3" w:rsidP="00E4654B">
      <w:pPr>
        <w:spacing w:line="480" w:lineRule="auto"/>
      </w:pPr>
      <w:r w:rsidRPr="003B079C">
        <w:t>An independent review mechanism could fulfil a number of other functions.  If it is purely a liberty protection mechanism, then the existence of a less formal, more accessible</w:t>
      </w:r>
      <w:r w:rsidR="0001749E" w:rsidRPr="003B079C">
        <w:t>,</w:t>
      </w:r>
      <w:r w:rsidRPr="003B079C">
        <w:t xml:space="preserve"> independent process like the Managers’ could </w:t>
      </w:r>
      <w:r w:rsidR="00476ED5" w:rsidRPr="003B079C">
        <w:t xml:space="preserve">be said to </w:t>
      </w:r>
      <w:r w:rsidRPr="003B079C">
        <w:t xml:space="preserve">relieve some of the burden that would otherwise fall on the Tribunal.  If the Managers’ are to be distinguished from the Tribunal, then a community membership may </w:t>
      </w:r>
      <w:r w:rsidR="00476ED5" w:rsidRPr="003B079C">
        <w:t xml:space="preserve">offer </w:t>
      </w:r>
      <w:r w:rsidRPr="003B079C">
        <w:t xml:space="preserve">a means of regulating the behaviour of clinicians by exposing professional norms to community </w:t>
      </w:r>
      <w:r w:rsidR="00476ED5" w:rsidRPr="003B079C">
        <w:t>values</w:t>
      </w:r>
      <w:r w:rsidRPr="003B079C">
        <w:t xml:space="preserve">.  The mechanism could also provide protection for the organisations delegating the s.23 power by ensuring decision-making is consistent, that organisations avoid poor decisions leading to unlawful compulsory care, and that the compulsory order in place represents the least restrictive option available.  One way in which they might guarantee compulsory care is appropriate is by utilising their power to call a hearing on their own initiative to monitor those subject compulsion over a period of time outside of the s.20 renewal process, and to follow up on actions proposed by the clinical team in previous hearings.  Precisely what the Managers </w:t>
      </w:r>
      <w:r w:rsidRPr="003B079C">
        <w:rPr>
          <w:i/>
        </w:rPr>
        <w:t xml:space="preserve">should </w:t>
      </w:r>
      <w:r w:rsidRPr="003B079C">
        <w:t xml:space="preserve">be is a different question to that </w:t>
      </w:r>
      <w:r w:rsidR="00F41E07" w:rsidRPr="003B079C">
        <w:t xml:space="preserve">which I have </w:t>
      </w:r>
      <w:r w:rsidRPr="003B079C">
        <w:t>addressed in this paper.  The obstacle which we must overcome before making claims about wh</w:t>
      </w:r>
      <w:r w:rsidR="00F41E07" w:rsidRPr="003B079C">
        <w:t>ich</w:t>
      </w:r>
      <w:r w:rsidRPr="003B079C">
        <w:t xml:space="preserve"> mechanism is best suited to protecting liberty, or any of the other objectives mentioned, is our collective ignorance of just how s.23 operates internally, and relative to other mechanisms</w:t>
      </w:r>
      <w:r w:rsidR="00D74D2D" w:rsidRPr="003B079C">
        <w:t>.</w:t>
      </w:r>
    </w:p>
    <w:p w14:paraId="58A65946" w14:textId="52D6D53A" w:rsidR="008C34A6" w:rsidRPr="003B079C" w:rsidRDefault="00065CBF" w:rsidP="00E4654B">
      <w:pPr>
        <w:spacing w:line="480" w:lineRule="auto"/>
      </w:pPr>
      <w:r w:rsidRPr="003B079C">
        <w:t>Notwithstanding</w:t>
      </w:r>
      <w:r w:rsidR="00C37E01" w:rsidRPr="003B079C">
        <w:t xml:space="preserve"> their apparent invisibility, </w:t>
      </w:r>
      <w:r w:rsidR="004A26F1" w:rsidRPr="003B079C">
        <w:t xml:space="preserve">the </w:t>
      </w:r>
      <w:r w:rsidR="00211523" w:rsidRPr="003B079C">
        <w:t>M</w:t>
      </w:r>
      <w:r w:rsidR="004A26F1" w:rsidRPr="003B079C">
        <w:t xml:space="preserve">anagers constitute a </w:t>
      </w:r>
      <w:r w:rsidR="00211523" w:rsidRPr="003B079C">
        <w:t>s</w:t>
      </w:r>
      <w:r w:rsidR="004A26F1" w:rsidRPr="003B079C">
        <w:t xml:space="preserve">ignificant component of the </w:t>
      </w:r>
      <w:r w:rsidR="00C655CC" w:rsidRPr="003B079C">
        <w:t>mental health review system</w:t>
      </w:r>
      <w:r w:rsidR="00211523" w:rsidRPr="003B079C">
        <w:t xml:space="preserve">.  </w:t>
      </w:r>
      <w:r w:rsidR="006F06ED" w:rsidRPr="003B079C">
        <w:t>D</w:t>
      </w:r>
      <w:r w:rsidR="00211523" w:rsidRPr="003B079C">
        <w:t>espite this</w:t>
      </w:r>
      <w:r w:rsidR="006F06ED" w:rsidRPr="003B079C">
        <w:t>,</w:t>
      </w:r>
      <w:r w:rsidR="00D10EC3" w:rsidRPr="003B079C">
        <w:t xml:space="preserve"> I have shown that</w:t>
      </w:r>
      <w:r w:rsidR="00C655CC" w:rsidRPr="003B079C">
        <w:t xml:space="preserve"> </w:t>
      </w:r>
      <w:r w:rsidR="00D10EC3" w:rsidRPr="003B079C">
        <w:t>there have been regular attempts to</w:t>
      </w:r>
      <w:r w:rsidR="00C655CC" w:rsidRPr="003B079C">
        <w:t xml:space="preserve"> reform this aspect of the </w:t>
      </w:r>
      <w:r w:rsidRPr="003B079C">
        <w:t>law</w:t>
      </w:r>
      <w:r w:rsidR="00C655CC" w:rsidRPr="003B079C">
        <w:t xml:space="preserve"> with</w:t>
      </w:r>
      <w:r w:rsidR="00D10EC3" w:rsidRPr="003B079C">
        <w:t>out regard for the almost complete lack of evidence to justify such action, and thus little or no</w:t>
      </w:r>
      <w:r w:rsidR="00C655CC" w:rsidRPr="003B079C">
        <w:t xml:space="preserve"> understanding of how the</w:t>
      </w:r>
      <w:r w:rsidR="006F06ED" w:rsidRPr="003B079C">
        <w:t xml:space="preserve"> Managers operate</w:t>
      </w:r>
      <w:r w:rsidR="00C655CC" w:rsidRPr="003B079C">
        <w:t xml:space="preserve">, what </w:t>
      </w:r>
      <w:r w:rsidR="006F06ED" w:rsidRPr="003B079C">
        <w:t xml:space="preserve">works </w:t>
      </w:r>
      <w:r w:rsidR="00C655CC" w:rsidRPr="003B079C">
        <w:t>well, and wh</w:t>
      </w:r>
      <w:r w:rsidRPr="003B079C">
        <w:t>at</w:t>
      </w:r>
      <w:r w:rsidR="00C655CC" w:rsidRPr="003B079C">
        <w:t xml:space="preserve"> we </w:t>
      </w:r>
      <w:r w:rsidRPr="003B079C">
        <w:t>c</w:t>
      </w:r>
      <w:r w:rsidR="00C655CC" w:rsidRPr="003B079C">
        <w:t>ould eliminate</w:t>
      </w:r>
      <w:r w:rsidR="00476ED5" w:rsidRPr="003B079C">
        <w:t xml:space="preserve"> or modify</w:t>
      </w:r>
      <w:r w:rsidR="00C655CC" w:rsidRPr="003B079C">
        <w:t xml:space="preserve">.  Given the disempowerment and loss of autonomy entailed by subjecting a person to compulsory </w:t>
      </w:r>
      <w:r w:rsidR="004E0C07" w:rsidRPr="003B079C">
        <w:t>care</w:t>
      </w:r>
      <w:r w:rsidR="00C655CC" w:rsidRPr="003B079C">
        <w:t>,</w:t>
      </w:r>
      <w:r w:rsidR="008C34A6" w:rsidRPr="003B079C">
        <w:t xml:space="preserve"> notwithstanding the good intentions connected with this action,</w:t>
      </w:r>
      <w:r w:rsidR="00C655CC" w:rsidRPr="003B079C">
        <w:t xml:space="preserve"> </w:t>
      </w:r>
      <w:r w:rsidR="00D10EC3" w:rsidRPr="003B079C">
        <w:t xml:space="preserve">the </w:t>
      </w:r>
      <w:r w:rsidR="00C655CC" w:rsidRPr="003B079C">
        <w:t xml:space="preserve">failure to understand the mechanisms by which individuals can productively engage with and also challenge their </w:t>
      </w:r>
      <w:r w:rsidR="004E0C07" w:rsidRPr="003B079C">
        <w:t xml:space="preserve">care </w:t>
      </w:r>
      <w:r w:rsidR="00C655CC" w:rsidRPr="003B079C">
        <w:t xml:space="preserve">is to be deplored.  </w:t>
      </w:r>
      <w:r w:rsidR="008C34A6" w:rsidRPr="003B079C">
        <w:t xml:space="preserve">Similarly, </w:t>
      </w:r>
      <w:r w:rsidR="00D10EC3" w:rsidRPr="003B079C">
        <w:t xml:space="preserve">the </w:t>
      </w:r>
      <w:r w:rsidR="008C34A6" w:rsidRPr="003B079C">
        <w:t>failure to develop a better understanding of this process permits poor practice to continue and</w:t>
      </w:r>
      <w:r w:rsidR="00476ED5" w:rsidRPr="003B079C">
        <w:t xml:space="preserve"> prevents sharing of</w:t>
      </w:r>
      <w:r w:rsidR="008C34A6" w:rsidRPr="003B079C">
        <w:t xml:space="preserve"> best practice.  This is </w:t>
      </w:r>
      <w:r w:rsidR="00805FEF" w:rsidRPr="003B079C">
        <w:t>un</w:t>
      </w:r>
      <w:r w:rsidR="008C34A6" w:rsidRPr="003B079C">
        <w:t xml:space="preserve">professional </w:t>
      </w:r>
      <w:r w:rsidR="00805FEF" w:rsidRPr="003B079C">
        <w:t>and</w:t>
      </w:r>
      <w:r w:rsidR="008C34A6" w:rsidRPr="003B079C">
        <w:t xml:space="preserve"> unethical.  Poor practice </w:t>
      </w:r>
      <w:r w:rsidR="009242BC" w:rsidRPr="003B079C">
        <w:t xml:space="preserve">in Managers’ hearings </w:t>
      </w:r>
      <w:r w:rsidR="008C34A6" w:rsidRPr="003B079C">
        <w:t xml:space="preserve">may also contravene public law principles, </w:t>
      </w:r>
      <w:r w:rsidR="009242BC" w:rsidRPr="003B079C">
        <w:t xml:space="preserve">such as reasonableness and proportionality, </w:t>
      </w:r>
      <w:r w:rsidR="008C34A6" w:rsidRPr="003B079C">
        <w:t xml:space="preserve">increasing the possibility of legal challenges to the decisions of </w:t>
      </w:r>
      <w:r w:rsidR="00805FEF" w:rsidRPr="003B079C">
        <w:t xml:space="preserve">the </w:t>
      </w:r>
      <w:r w:rsidR="008C34A6" w:rsidRPr="003B079C">
        <w:t>Managers at unnecessary cost to the public purse.</w:t>
      </w:r>
    </w:p>
    <w:p w14:paraId="0D3B17B8" w14:textId="6210FBD5" w:rsidR="00D10EC3" w:rsidRDefault="00C655CC" w:rsidP="00D10EC3">
      <w:pPr>
        <w:spacing w:line="480" w:lineRule="auto"/>
      </w:pPr>
      <w:r w:rsidRPr="003B079C">
        <w:t>Whatever the particular motivations of those in favour of abolition,</w:t>
      </w:r>
      <w:r w:rsidR="00211523" w:rsidRPr="003B079C">
        <w:t xml:space="preserve"> which </w:t>
      </w:r>
      <w:r w:rsidR="00A205EC" w:rsidRPr="003B079C">
        <w:t>is</w:t>
      </w:r>
      <w:r w:rsidR="00211523" w:rsidRPr="003B079C">
        <w:t xml:space="preserve"> a separate matter,</w:t>
      </w:r>
      <w:r w:rsidRPr="003B079C">
        <w:t xml:space="preserve"> the claims of both sides </w:t>
      </w:r>
      <w:r w:rsidR="00211523" w:rsidRPr="003B079C">
        <w:t>have been shown to be</w:t>
      </w:r>
      <w:r w:rsidRPr="003B079C">
        <w:t xml:space="preserve"> insufficiently robust in terms of either their data or underlying principled position.</w:t>
      </w:r>
      <w:r w:rsidR="00595885" w:rsidRPr="003B079C">
        <w:t xml:space="preserve">  The only means to remedy this situation is a comprehensive effort on the part of users and observers of the</w:t>
      </w:r>
      <w:r w:rsidR="00476ED5" w:rsidRPr="003B079C">
        <w:t xml:space="preserve"> s.23 process</w:t>
      </w:r>
      <w:r w:rsidR="00595885" w:rsidRPr="003B079C">
        <w:t xml:space="preserve">, as well as legislators and </w:t>
      </w:r>
      <w:r w:rsidR="00805FEF" w:rsidRPr="003B079C">
        <w:t>the</w:t>
      </w:r>
      <w:r w:rsidR="00595885" w:rsidRPr="003B079C">
        <w:t xml:space="preserve"> </w:t>
      </w:r>
      <w:r w:rsidR="006811CB" w:rsidRPr="003B079C">
        <w:t>government</w:t>
      </w:r>
      <w:r w:rsidR="00595885" w:rsidRPr="003B079C">
        <w:t>, to consolidate what existing local data there is and to increase our understanding of this fundamental aspect of the</w:t>
      </w:r>
      <w:r w:rsidR="006811CB" w:rsidRPr="003B079C">
        <w:t xml:space="preserve"> 1983</w:t>
      </w:r>
      <w:r w:rsidR="00595885" w:rsidRPr="003B079C">
        <w:t xml:space="preserve"> Act.</w:t>
      </w:r>
      <w:r w:rsidR="006F06ED" w:rsidRPr="003B079C">
        <w:t xml:space="preserve">  Our current collective understanding of the process is no basis upon which to conduct further reform of the law in this area.</w:t>
      </w:r>
    </w:p>
    <w:sectPr w:rsidR="00D10E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7FCD" w14:textId="77777777" w:rsidR="005061FB" w:rsidRDefault="005061FB" w:rsidP="006065B2">
      <w:r>
        <w:separator/>
      </w:r>
    </w:p>
  </w:endnote>
  <w:endnote w:type="continuationSeparator" w:id="0">
    <w:p w14:paraId="628D0E20" w14:textId="77777777" w:rsidR="005061FB" w:rsidRDefault="005061FB" w:rsidP="006065B2">
      <w:r>
        <w:continuationSeparator/>
      </w:r>
    </w:p>
  </w:endnote>
  <w:endnote w:type="continuationNotice" w:id="1">
    <w:p w14:paraId="0671A684" w14:textId="77777777" w:rsidR="005061FB" w:rsidRDefault="00506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235019"/>
      <w:docPartObj>
        <w:docPartGallery w:val="Page Numbers (Bottom of Page)"/>
        <w:docPartUnique/>
      </w:docPartObj>
    </w:sdtPr>
    <w:sdtEndPr>
      <w:rPr>
        <w:noProof/>
      </w:rPr>
    </w:sdtEndPr>
    <w:sdtContent>
      <w:p w14:paraId="3946F232" w14:textId="6676B937" w:rsidR="000F747D" w:rsidRDefault="000F747D">
        <w:pPr>
          <w:pStyle w:val="Footer"/>
          <w:jc w:val="center"/>
        </w:pPr>
        <w:r>
          <w:fldChar w:fldCharType="begin"/>
        </w:r>
        <w:r>
          <w:instrText xml:space="preserve"> PAGE   \* MERGEFORMAT </w:instrText>
        </w:r>
        <w:r>
          <w:fldChar w:fldCharType="separate"/>
        </w:r>
        <w:r w:rsidR="005061FB">
          <w:rPr>
            <w:noProof/>
          </w:rPr>
          <w:t>1</w:t>
        </w:r>
        <w:r>
          <w:rPr>
            <w:noProof/>
          </w:rPr>
          <w:fldChar w:fldCharType="end"/>
        </w:r>
      </w:p>
    </w:sdtContent>
  </w:sdt>
  <w:p w14:paraId="43D78114" w14:textId="77777777" w:rsidR="000F747D" w:rsidRDefault="000F747D" w:rsidP="001F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77F7" w14:textId="77777777" w:rsidR="005061FB" w:rsidRDefault="005061FB" w:rsidP="006065B2">
      <w:r>
        <w:separator/>
      </w:r>
    </w:p>
  </w:footnote>
  <w:footnote w:type="continuationSeparator" w:id="0">
    <w:p w14:paraId="76A25C1C" w14:textId="77777777" w:rsidR="005061FB" w:rsidRDefault="005061FB" w:rsidP="006065B2">
      <w:r>
        <w:continuationSeparator/>
      </w:r>
    </w:p>
  </w:footnote>
  <w:footnote w:type="continuationNotice" w:id="1">
    <w:p w14:paraId="254F1912" w14:textId="77777777" w:rsidR="005061FB" w:rsidRDefault="005061FB">
      <w:pPr>
        <w:spacing w:after="0" w:line="240" w:lineRule="auto"/>
      </w:pPr>
    </w:p>
  </w:footnote>
  <w:footnote w:id="2">
    <w:p w14:paraId="0C4F5B31" w14:textId="0AC2E055" w:rsidR="000F747D" w:rsidRPr="003B079C" w:rsidRDefault="000F747D" w:rsidP="004B17B8">
      <w:pPr>
        <w:pStyle w:val="FootnoteText"/>
        <w:spacing w:line="480" w:lineRule="auto"/>
      </w:pPr>
      <w:r w:rsidRPr="003B079C">
        <w:rPr>
          <w:rStyle w:val="FootnoteReference"/>
        </w:rPr>
        <w:footnoteRef/>
      </w:r>
      <w:r w:rsidRPr="003B079C">
        <w:t xml:space="preserve"> Mental Health Act 1983, s.23(2)(a)-(c).</w:t>
      </w:r>
    </w:p>
  </w:footnote>
  <w:footnote w:id="3">
    <w:p w14:paraId="4AC782D6" w14:textId="18B36149"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see also s.25.</w:t>
      </w:r>
    </w:p>
  </w:footnote>
  <w:footnote w:id="4">
    <w:p w14:paraId="470866F7" w14:textId="4C4C9367" w:rsidR="000F747D" w:rsidRPr="003B079C" w:rsidRDefault="000F747D" w:rsidP="004B17B8">
      <w:pPr>
        <w:pStyle w:val="FootnoteText"/>
        <w:spacing w:line="480" w:lineRule="auto"/>
      </w:pPr>
      <w:r w:rsidRPr="003B079C">
        <w:rPr>
          <w:rStyle w:val="FootnoteReference"/>
        </w:rPr>
        <w:footnoteRef/>
      </w:r>
      <w:r w:rsidRPr="003B079C">
        <w:rPr>
          <w:sz w:val="22"/>
          <w:szCs w:val="22"/>
        </w:rPr>
        <w:t xml:space="preserve"> A</w:t>
      </w:r>
      <w:r w:rsidRPr="003B079C">
        <w:t xml:space="preserve"> table of eligibility periods is provided by Mental Health Law Online &lt;</w:t>
      </w:r>
      <w:hyperlink r:id="rId1" w:history="1">
        <w:r w:rsidRPr="003B079C">
          <w:rPr>
            <w:rStyle w:val="Hyperlink"/>
          </w:rPr>
          <w:t>http://www.mentalhealthlaw.co.uk/Eligibility_periods</w:t>
        </w:r>
      </w:hyperlink>
      <w:r w:rsidRPr="003B079C">
        <w:rPr>
          <w:rStyle w:val="Hyperlink"/>
          <w:u w:val="none"/>
        </w:rPr>
        <w:t>&gt;</w:t>
      </w:r>
      <w:r w:rsidRPr="003B079C">
        <w:t xml:space="preserve"> accessed </w:t>
      </w:r>
      <w:r w:rsidR="003078CB" w:rsidRPr="003B079C">
        <w:t>6 September</w:t>
      </w:r>
      <w:r w:rsidRPr="003B079C">
        <w:t xml:space="preserve"> 2017.</w:t>
      </w:r>
    </w:p>
  </w:footnote>
  <w:footnote w:id="5">
    <w:p w14:paraId="2BC5B77C" w14:textId="2E7C6094" w:rsidR="000F747D" w:rsidRPr="003B079C" w:rsidRDefault="000F747D" w:rsidP="004B17B8">
      <w:pPr>
        <w:pStyle w:val="FootnoteText"/>
        <w:spacing w:line="480" w:lineRule="auto"/>
      </w:pPr>
      <w:r w:rsidRPr="003B079C">
        <w:rPr>
          <w:rStyle w:val="FootnoteReference"/>
        </w:rPr>
        <w:footnoteRef/>
      </w:r>
      <w:r w:rsidRPr="003B079C">
        <w:t xml:space="preserve"> Throughout the paper the panel considering the use of s.23 are referred to as ‘the Managers’, capitalised as written.  They can almost always be distinguished from the managers of the hospital, the hospital managers (not capitalised).  See further, </w:t>
      </w:r>
      <w:r w:rsidR="003078CB" w:rsidRPr="003B079C">
        <w:t>section II</w:t>
      </w:r>
      <w:r w:rsidRPr="003B079C">
        <w:t xml:space="preserve"> below.</w:t>
      </w:r>
    </w:p>
  </w:footnote>
  <w:footnote w:id="6">
    <w:p w14:paraId="53006E6C" w14:textId="0FDFEF53" w:rsidR="000F747D" w:rsidRPr="003B079C" w:rsidRDefault="000F747D" w:rsidP="004B17B8">
      <w:pPr>
        <w:pStyle w:val="FootnoteText"/>
        <w:spacing w:line="480" w:lineRule="auto"/>
      </w:pPr>
      <w:r w:rsidRPr="003B079C">
        <w:rPr>
          <w:rStyle w:val="FootnoteReference"/>
        </w:rPr>
        <w:footnoteRef/>
      </w:r>
      <w:r w:rsidRPr="003B079C">
        <w:t xml:space="preserve"> See </w:t>
      </w:r>
      <w:r w:rsidRPr="003B079C">
        <w:rPr>
          <w:i/>
        </w:rPr>
        <w:t xml:space="preserve">R (T-T) v The Hospital Managers of the Park Royal Centre </w:t>
      </w:r>
      <w:r w:rsidRPr="003B079C">
        <w:t>[2003] EWCA Civ 330 [4], [9], [26] (Pill LJ); [29-30] (Laws LJ); [36-37] (Arden LJ); and in the High Court [2002] EWHC 2803 Admin</w:t>
      </w:r>
      <w:r w:rsidRPr="003B079C">
        <w:rPr>
          <w:i/>
        </w:rPr>
        <w:t xml:space="preserve"> </w:t>
      </w:r>
      <w:r w:rsidRPr="003B079C">
        <w:t xml:space="preserve">[8], [27] (Forbes J); the legislation also specifies a </w:t>
      </w:r>
      <w:r w:rsidRPr="003B079C">
        <w:rPr>
          <w:i/>
        </w:rPr>
        <w:t>minimum</w:t>
      </w:r>
      <w:r w:rsidRPr="003B079C">
        <w:t xml:space="preserve"> of three persons, MHA 1983 s.23(4).</w:t>
      </w:r>
    </w:p>
  </w:footnote>
  <w:footnote w:id="7">
    <w:p w14:paraId="529910C1" w14:textId="7665E899" w:rsidR="000F747D" w:rsidRPr="003B079C" w:rsidRDefault="000F747D" w:rsidP="004B17B8">
      <w:pPr>
        <w:pStyle w:val="FootnoteText"/>
        <w:spacing w:line="480" w:lineRule="auto"/>
      </w:pPr>
      <w:r w:rsidRPr="003B079C">
        <w:rPr>
          <w:rStyle w:val="FootnoteReference"/>
        </w:rPr>
        <w:footnoteRef/>
      </w:r>
      <w:r w:rsidRPr="003B079C">
        <w:t xml:space="preserve"> This varies depending on the order in question, see Department of Health (DH)</w:t>
      </w:r>
      <w:r w:rsidRPr="003B079C">
        <w:rPr>
          <w:i/>
        </w:rPr>
        <w:t xml:space="preserve">, Mental Health Act 1983: Code of Practice </w:t>
      </w:r>
      <w:r w:rsidRPr="003B079C">
        <w:t>(London: HMSO, 2015) paras. 38.11-38.23.</w:t>
      </w:r>
    </w:p>
  </w:footnote>
  <w:footnote w:id="8">
    <w:p w14:paraId="5524AF0D" w14:textId="409E4AD6" w:rsidR="000F747D" w:rsidRPr="003B079C" w:rsidRDefault="000F747D" w:rsidP="004B17B8">
      <w:pPr>
        <w:pStyle w:val="FootnoteText"/>
        <w:spacing w:line="480" w:lineRule="auto"/>
      </w:pPr>
      <w:r w:rsidRPr="003B079C">
        <w:rPr>
          <w:rStyle w:val="FootnoteReference"/>
        </w:rPr>
        <w:footnoteRef/>
      </w:r>
      <w:r w:rsidRPr="003B079C">
        <w:t xml:space="preserve"> On the requirement for managers to give adequate reasons see </w:t>
      </w:r>
      <w:r w:rsidRPr="003B079C">
        <w:rPr>
          <w:i/>
        </w:rPr>
        <w:t xml:space="preserve">R (O) </w:t>
      </w:r>
      <w:r w:rsidRPr="003B079C">
        <w:t xml:space="preserve">v </w:t>
      </w:r>
      <w:r w:rsidRPr="003B079C">
        <w:rPr>
          <w:i/>
        </w:rPr>
        <w:t xml:space="preserve">West London Mental Health NHS Trust </w:t>
      </w:r>
      <w:r w:rsidRPr="003B079C">
        <w:t>[2005] EWHC 604 (Admin) (‘</w:t>
      </w:r>
      <w:r w:rsidRPr="003B079C">
        <w:rPr>
          <w:i/>
        </w:rPr>
        <w:t>O</w:t>
      </w:r>
      <w:r w:rsidRPr="003B079C">
        <w:t xml:space="preserve">’); and on their quality, </w:t>
      </w:r>
      <w:r w:rsidRPr="003B079C">
        <w:rPr>
          <w:i/>
        </w:rPr>
        <w:t xml:space="preserve">R (SR, by her Litigation Friend) </w:t>
      </w:r>
      <w:r w:rsidRPr="003B079C">
        <w:t xml:space="preserve">v </w:t>
      </w:r>
      <w:r w:rsidRPr="003B079C">
        <w:rPr>
          <w:i/>
        </w:rPr>
        <w:t xml:space="preserve">Huntercombe Maidenhead Hospital </w:t>
      </w:r>
      <w:r w:rsidRPr="003B079C">
        <w:t xml:space="preserve">v </w:t>
      </w:r>
      <w:r w:rsidRPr="003B079C">
        <w:rPr>
          <w:i/>
        </w:rPr>
        <w:t xml:space="preserve">MR (Nearest Relative) </w:t>
      </w:r>
      <w:r w:rsidRPr="003B079C">
        <w:t>[2005] EWHC 2361 (Admin) especially [22]-[30] (‘</w:t>
      </w:r>
      <w:r w:rsidRPr="003B079C">
        <w:rPr>
          <w:i/>
        </w:rPr>
        <w:t>SR</w:t>
      </w:r>
      <w:r w:rsidRPr="003B079C">
        <w:t xml:space="preserve">’); Mental Health Act Commission (MHAC), </w:t>
      </w:r>
      <w:r w:rsidRPr="003B079C">
        <w:rPr>
          <w:i/>
        </w:rPr>
        <w:t xml:space="preserve">Thirteenth Biennial Report 2007-2009: Coercion and consent </w:t>
      </w:r>
      <w:r w:rsidRPr="003B079C">
        <w:t xml:space="preserve">(London: TSO, 2009), paras. 2.93-2.94.  On the giving of reasons by the Tribunal see </w:t>
      </w:r>
      <w:r w:rsidRPr="003B079C">
        <w:rPr>
          <w:i/>
        </w:rPr>
        <w:t xml:space="preserve">JLG </w:t>
      </w:r>
      <w:r w:rsidRPr="003B079C">
        <w:t xml:space="preserve">v </w:t>
      </w:r>
      <w:r w:rsidRPr="003B079C">
        <w:rPr>
          <w:i/>
        </w:rPr>
        <w:t xml:space="preserve">Managers of Llanarth Court &amp; Secretary of State for Justice </w:t>
      </w:r>
      <w:r w:rsidRPr="003B079C">
        <w:t>[2011] UKUT 62 (AAC),  [3(v)], and also [6]-[9] (‘</w:t>
      </w:r>
      <w:r w:rsidRPr="003B079C">
        <w:rPr>
          <w:i/>
        </w:rPr>
        <w:t>JLG</w:t>
      </w:r>
      <w:r w:rsidRPr="003B079C">
        <w:t>’).</w:t>
      </w:r>
    </w:p>
  </w:footnote>
  <w:footnote w:id="9">
    <w:p w14:paraId="7B5C77FC" w14:textId="1FF5FD05" w:rsidR="000F747D" w:rsidRPr="003B079C" w:rsidRDefault="000F747D" w:rsidP="004B17B8">
      <w:pPr>
        <w:pStyle w:val="FootnoteText"/>
        <w:spacing w:line="480" w:lineRule="auto"/>
      </w:pPr>
      <w:r w:rsidRPr="003B079C">
        <w:rPr>
          <w:rStyle w:val="FootnoteReference"/>
        </w:rPr>
        <w:footnoteRef/>
      </w:r>
      <w:r w:rsidRPr="003B079C">
        <w:t xml:space="preserve"> DH (n 6), paras.38.6-38.7.</w:t>
      </w:r>
    </w:p>
  </w:footnote>
  <w:footnote w:id="10">
    <w:p w14:paraId="2573FED3" w14:textId="50016AE4" w:rsidR="000F747D" w:rsidRPr="003B079C" w:rsidRDefault="000F747D" w:rsidP="004B17B8">
      <w:pPr>
        <w:pStyle w:val="FootnoteText"/>
        <w:spacing w:line="480" w:lineRule="auto"/>
      </w:pPr>
      <w:r w:rsidRPr="003B079C">
        <w:rPr>
          <w:rStyle w:val="FootnoteReference"/>
        </w:rPr>
        <w:footnoteRef/>
      </w:r>
      <w:r w:rsidRPr="003B079C">
        <w:t xml:space="preserve"> But note </w:t>
      </w:r>
      <w:r w:rsidRPr="003B079C">
        <w:rPr>
          <w:i/>
        </w:rPr>
        <w:t>ibid</w:t>
      </w:r>
      <w:r w:rsidRPr="003B079C">
        <w:t>., para.38.8.</w:t>
      </w:r>
    </w:p>
  </w:footnote>
  <w:footnote w:id="11">
    <w:p w14:paraId="328D8E6E" w14:textId="1C202359" w:rsidR="000F747D" w:rsidRPr="003B079C" w:rsidRDefault="000F747D" w:rsidP="004B17B8">
      <w:pPr>
        <w:pStyle w:val="FootnoteText"/>
        <w:spacing w:line="480" w:lineRule="auto"/>
      </w:pPr>
      <w:r w:rsidRPr="003B079C">
        <w:rPr>
          <w:rStyle w:val="FootnoteReference"/>
        </w:rPr>
        <w:footnoteRef/>
      </w:r>
      <w:r w:rsidRPr="003B079C">
        <w:t xml:space="preserve"> For example, R. Jones </w:t>
      </w:r>
      <w:r w:rsidRPr="003B079C">
        <w:rPr>
          <w:i/>
        </w:rPr>
        <w:t xml:space="preserve">Mental Health Act Manual </w:t>
      </w:r>
      <w:r w:rsidRPr="003B079C">
        <w:t xml:space="preserve">(London: Sweet &amp; Maxwell, 2016), </w:t>
      </w:r>
      <w:r w:rsidRPr="003B079C">
        <w:rPr>
          <w:i/>
        </w:rPr>
        <w:t>v-vi</w:t>
      </w:r>
      <w:r w:rsidRPr="003B079C">
        <w:t>.</w:t>
      </w:r>
    </w:p>
  </w:footnote>
  <w:footnote w:id="12">
    <w:p w14:paraId="6480B183" w14:textId="4EDAA307" w:rsidR="000F747D" w:rsidRPr="003B079C" w:rsidRDefault="000F747D" w:rsidP="004B17B8">
      <w:pPr>
        <w:pStyle w:val="FootnoteText"/>
        <w:spacing w:line="480" w:lineRule="auto"/>
      </w:pPr>
      <w:r w:rsidRPr="003B079C">
        <w:rPr>
          <w:rStyle w:val="FootnoteReference"/>
        </w:rPr>
        <w:footnoteRef/>
      </w:r>
      <w:r w:rsidRPr="003B079C">
        <w:t xml:space="preserve"> Queen’s Speech.  Full text at &lt;</w:t>
      </w:r>
      <w:hyperlink r:id="rId2" w:history="1">
        <w:r w:rsidRPr="003B079C">
          <w:rPr>
            <w:rStyle w:val="Hyperlink"/>
          </w:rPr>
          <w:t>https://ww</w:t>
        </w:r>
        <w:r w:rsidRPr="003B079C">
          <w:rPr>
            <w:rStyle w:val="Hyperlink"/>
          </w:rPr>
          <w:t>w</w:t>
        </w:r>
        <w:r w:rsidRPr="003B079C">
          <w:rPr>
            <w:rStyle w:val="Hyperlink"/>
          </w:rPr>
          <w:t>.gov.uk/government/speeches/queens-speech-2017</w:t>
        </w:r>
      </w:hyperlink>
      <w:r w:rsidRPr="003B079C">
        <w:t xml:space="preserve">&gt; accessed 6 </w:t>
      </w:r>
      <w:r w:rsidR="003078CB" w:rsidRPr="003B079C">
        <w:t>September</w:t>
      </w:r>
      <w:r w:rsidRPr="003B079C">
        <w:t xml:space="preserve"> 2017.</w:t>
      </w:r>
    </w:p>
  </w:footnote>
  <w:footnote w:id="13">
    <w:p w14:paraId="32061C70" w14:textId="3B8AE95A" w:rsidR="000F747D" w:rsidRPr="003B079C" w:rsidRDefault="000F747D" w:rsidP="004B17B8">
      <w:pPr>
        <w:pStyle w:val="FootnoteText"/>
        <w:spacing w:line="480" w:lineRule="auto"/>
      </w:pPr>
      <w:r w:rsidRPr="003B079C">
        <w:rPr>
          <w:rStyle w:val="FootnoteReference"/>
        </w:rPr>
        <w:footnoteRef/>
      </w:r>
      <w:r w:rsidRPr="003B079C">
        <w:t xml:space="preserve"> A fact highlighted, but not elaborated upon in P Gregory, ‘Who can best protect patients’ rights?’ (2000) 24 </w:t>
      </w:r>
      <w:r w:rsidRPr="003B079C">
        <w:rPr>
          <w:i/>
        </w:rPr>
        <w:t xml:space="preserve">Psychiatric Bulletin </w:t>
      </w:r>
      <w:r w:rsidRPr="003B079C">
        <w:t>366-367, 366-367.</w:t>
      </w:r>
    </w:p>
  </w:footnote>
  <w:footnote w:id="14">
    <w:p w14:paraId="3F055DD8" w14:textId="4502C366" w:rsidR="000F747D" w:rsidRPr="003B079C" w:rsidRDefault="000F747D" w:rsidP="004B17B8">
      <w:pPr>
        <w:pStyle w:val="FootnoteText"/>
        <w:spacing w:line="480" w:lineRule="auto"/>
      </w:pPr>
      <w:r w:rsidRPr="003B079C">
        <w:rPr>
          <w:rStyle w:val="FootnoteReference"/>
        </w:rPr>
        <w:footnoteRef/>
      </w:r>
      <w:r w:rsidRPr="003B079C">
        <w:t xml:space="preserve"> An almost complete list can be found at &lt;</w:t>
      </w:r>
      <w:hyperlink r:id="rId3" w:history="1">
        <w:r w:rsidRPr="003B079C">
          <w:rPr>
            <w:rStyle w:val="Hyperlink"/>
          </w:rPr>
          <w:t>http://www.mentalhealthlaw.co.</w:t>
        </w:r>
        <w:r w:rsidRPr="003B079C">
          <w:rPr>
            <w:rStyle w:val="Hyperlink"/>
          </w:rPr>
          <w:t>u</w:t>
        </w:r>
        <w:r w:rsidRPr="003B079C">
          <w:rPr>
            <w:rStyle w:val="Hyperlink"/>
          </w:rPr>
          <w:t>k/Category:Hospital_managers_hearings</w:t>
        </w:r>
      </w:hyperlink>
      <w:r w:rsidRPr="003B079C">
        <w:t xml:space="preserve">&gt; accessed 6 </w:t>
      </w:r>
      <w:r w:rsidR="003078CB" w:rsidRPr="003B079C">
        <w:t>September</w:t>
      </w:r>
      <w:r w:rsidRPr="003B079C">
        <w:t xml:space="preserve"> 2017.</w:t>
      </w:r>
    </w:p>
  </w:footnote>
  <w:footnote w:id="15">
    <w:p w14:paraId="4A897EF6" w14:textId="60DD8A96" w:rsidR="000F747D" w:rsidRPr="003B079C" w:rsidRDefault="000F747D" w:rsidP="004B17B8">
      <w:pPr>
        <w:pStyle w:val="FootnoteText"/>
        <w:spacing w:line="480" w:lineRule="auto"/>
      </w:pPr>
      <w:r w:rsidRPr="003B079C">
        <w:rPr>
          <w:rStyle w:val="FootnoteReference"/>
        </w:rPr>
        <w:footnoteRef/>
      </w:r>
      <w:r w:rsidRPr="003B079C">
        <w:t xml:space="preserve"> See </w:t>
      </w:r>
      <w:r w:rsidR="003078CB" w:rsidRPr="003B079C">
        <w:t>section IV(A)</w:t>
      </w:r>
      <w:r w:rsidRPr="003B079C">
        <w:t xml:space="preserve"> below.</w:t>
      </w:r>
    </w:p>
  </w:footnote>
  <w:footnote w:id="16">
    <w:p w14:paraId="17D87737" w14:textId="67F492A9" w:rsidR="000F747D" w:rsidRPr="003B079C" w:rsidRDefault="000F747D" w:rsidP="004B17B8">
      <w:pPr>
        <w:pStyle w:val="FootnoteText"/>
        <w:spacing w:line="480" w:lineRule="auto"/>
      </w:pPr>
      <w:r w:rsidRPr="003B079C">
        <w:rPr>
          <w:rStyle w:val="FootnoteReference"/>
        </w:rPr>
        <w:footnoteRef/>
      </w:r>
      <w:r w:rsidRPr="003B079C">
        <w:t xml:space="preserve"> See A Fraser and M Winston, ‘NHS managers and clinical management’ (1992) 16 </w:t>
      </w:r>
      <w:r w:rsidRPr="003B079C">
        <w:rPr>
          <w:i/>
        </w:rPr>
        <w:t xml:space="preserve">Psychiatric Bulletin </w:t>
      </w:r>
      <w:r w:rsidRPr="003B079C">
        <w:t xml:space="preserve">567-568; P Power-Smith and M Evans, ‘Managers Tribunals’ (1993) 17(1) </w:t>
      </w:r>
      <w:r w:rsidRPr="003B079C">
        <w:rPr>
          <w:i/>
        </w:rPr>
        <w:t xml:space="preserve">Psychiatric Bulletin </w:t>
      </w:r>
      <w:r w:rsidRPr="003B079C">
        <w:t xml:space="preserve">47-48; Gregory (n 12); H Kennedy, ‘Managers’ hearings: dialectic and maternalism’ (2000) 24 </w:t>
      </w:r>
      <w:r w:rsidRPr="003B079C">
        <w:rPr>
          <w:i/>
        </w:rPr>
        <w:t>Psychiatric Bulletin</w:t>
      </w:r>
      <w:r w:rsidRPr="003B079C">
        <w:t xml:space="preserve"> 361-362.</w:t>
      </w:r>
    </w:p>
  </w:footnote>
  <w:footnote w:id="17">
    <w:p w14:paraId="3388BF4B" w14:textId="77777777" w:rsidR="000F747D" w:rsidRPr="003B079C" w:rsidRDefault="000F747D" w:rsidP="00626265">
      <w:pPr>
        <w:pStyle w:val="FootnoteText"/>
        <w:spacing w:line="480" w:lineRule="auto"/>
      </w:pPr>
      <w:r w:rsidRPr="003B079C">
        <w:rPr>
          <w:rStyle w:val="FootnoteReference"/>
        </w:rPr>
        <w:footnoteRef/>
      </w:r>
      <w:r w:rsidRPr="003B079C">
        <w:t xml:space="preserve"> P Bartlett and R Sandland, </w:t>
      </w:r>
      <w:r w:rsidRPr="003B079C">
        <w:rPr>
          <w:i/>
        </w:rPr>
        <w:t>Mental Health Law: Policy and Practice</w:t>
      </w:r>
      <w:r w:rsidRPr="003B079C">
        <w:t xml:space="preserve"> (Oxford: OUP, 4</w:t>
      </w:r>
      <w:r w:rsidRPr="003B079C">
        <w:rPr>
          <w:vertAlign w:val="superscript"/>
        </w:rPr>
        <w:t>th</w:t>
      </w:r>
      <w:r w:rsidRPr="003B079C">
        <w:t xml:space="preserve"> edition 2014), 503.</w:t>
      </w:r>
    </w:p>
  </w:footnote>
  <w:footnote w:id="18">
    <w:p w14:paraId="4F2D646F" w14:textId="7DE07FF5" w:rsidR="000F747D" w:rsidRPr="003B079C" w:rsidRDefault="000F747D" w:rsidP="004B17B8">
      <w:pPr>
        <w:pStyle w:val="FootnoteText"/>
        <w:spacing w:line="480" w:lineRule="auto"/>
      </w:pPr>
      <w:r w:rsidRPr="003B079C">
        <w:rPr>
          <w:rStyle w:val="FootnoteReference"/>
        </w:rPr>
        <w:footnoteRef/>
      </w:r>
      <w:r w:rsidRPr="003B079C">
        <w:t xml:space="preserve"> This has to be deduced from the headline figure by subtracting the number of tribunal hearings (12,735) from the total combined number of Managers’ and Tribunal hearings (22,800) in Joint Committee on the Draft Mental Health Bill, </w:t>
      </w:r>
      <w:r w:rsidRPr="003B079C">
        <w:rPr>
          <w:i/>
        </w:rPr>
        <w:t>Volume I: Report</w:t>
      </w:r>
      <w:r w:rsidRPr="003B079C">
        <w:t>, (Session 2004-05, HL 79-I/HC 95-I), paras. 307 and 301.</w:t>
      </w:r>
    </w:p>
  </w:footnote>
  <w:footnote w:id="19">
    <w:p w14:paraId="2F7190A6" w14:textId="4BC226B9" w:rsidR="000F747D" w:rsidRPr="003B079C" w:rsidRDefault="000F747D" w:rsidP="004B17B8">
      <w:pPr>
        <w:pStyle w:val="FootnoteText"/>
        <w:spacing w:line="480" w:lineRule="auto"/>
      </w:pPr>
      <w:r w:rsidRPr="003B079C">
        <w:rPr>
          <w:rStyle w:val="FootnoteReference"/>
        </w:rPr>
        <w:footnoteRef/>
      </w:r>
      <w:r w:rsidRPr="003B079C">
        <w:t xml:space="preserve"> DH evidence to the Joint Committee </w:t>
      </w:r>
      <w:r w:rsidR="00E02E0B" w:rsidRPr="003B079C">
        <w:t>on the Draft Mental Health Bill in</w:t>
      </w:r>
      <w:r w:rsidRPr="003B079C">
        <w:t xml:space="preserve"> </w:t>
      </w:r>
      <w:r w:rsidRPr="003B079C">
        <w:rPr>
          <w:i/>
        </w:rPr>
        <w:t>Volume II: Oral and Written Evidence</w:t>
      </w:r>
      <w:r w:rsidRPr="003B079C">
        <w:t xml:space="preserve">, (Session 2004-05, HL 79-II/HC 95-II), EV491; MHAC also stated it did not gather data, see MHAC, </w:t>
      </w:r>
      <w:r w:rsidRPr="003B079C">
        <w:rPr>
          <w:i/>
        </w:rPr>
        <w:t xml:space="preserve">Twelfth Biennial Report 2005-2007: Risk, Rights Recovery </w:t>
      </w:r>
      <w:r w:rsidRPr="003B079C">
        <w:t xml:space="preserve">(London: TSO, 2007), para. 4.96; but </w:t>
      </w:r>
      <w:r w:rsidRPr="003B079C">
        <w:rPr>
          <w:i/>
        </w:rPr>
        <w:t xml:space="preserve">cf </w:t>
      </w:r>
      <w:r w:rsidRPr="003B079C">
        <w:t xml:space="preserve">Correspondence on Gregory (n 12), published unsigned in (2001) 25(6) </w:t>
      </w:r>
      <w:r w:rsidRPr="003B079C">
        <w:rPr>
          <w:i/>
        </w:rPr>
        <w:t>The Psychiatrist</w:t>
      </w:r>
      <w:r w:rsidRPr="003B079C">
        <w:t xml:space="preserve"> 237-238.  </w:t>
      </w:r>
    </w:p>
  </w:footnote>
  <w:footnote w:id="20">
    <w:p w14:paraId="34A615B5" w14:textId="21748A38" w:rsidR="000F747D" w:rsidRPr="003B079C" w:rsidRDefault="000F747D" w:rsidP="004B17B8">
      <w:pPr>
        <w:pStyle w:val="FootnoteText"/>
        <w:spacing w:line="480" w:lineRule="auto"/>
      </w:pPr>
      <w:r w:rsidRPr="003B079C">
        <w:rPr>
          <w:rStyle w:val="FootnoteReference"/>
        </w:rPr>
        <w:footnoteRef/>
      </w:r>
      <w:r w:rsidRPr="003B079C">
        <w:t xml:space="preserve"> Examples include MHAC, </w:t>
      </w:r>
      <w:r w:rsidRPr="003B079C">
        <w:rPr>
          <w:i/>
        </w:rPr>
        <w:t>Eighth Biennial Report 1997-1999</w:t>
      </w:r>
      <w:r w:rsidRPr="003B079C">
        <w:t xml:space="preserve">, para. 4.88 which stated that 3,598 hearings were held in 1997/98; and MHAC (n 18), fig. 55, p.180; local data may have been gathered, see C Williamson and C Vellenoweth,  </w:t>
      </w:r>
      <w:r w:rsidRPr="003B079C">
        <w:rPr>
          <w:i/>
          <w:iCs/>
        </w:rPr>
        <w:t xml:space="preserve">Directors Guide: Duties of managers for the review of detention under the provisions of the Mental Health Act </w:t>
      </w:r>
      <w:r w:rsidRPr="003B079C">
        <w:t xml:space="preserve">(London: National Association of Health Authorities and Trusts, 1996), p.23; also C Williamson, </w:t>
      </w:r>
      <w:r w:rsidRPr="003B079C">
        <w:rPr>
          <w:i/>
        </w:rPr>
        <w:t xml:space="preserve">Members’ Information Pamphlet No.2: Hearing patients’ appeals against continued compulsory detention </w:t>
      </w:r>
      <w:r w:rsidRPr="003B079C">
        <w:t xml:space="preserve">(Birmingham: National Association of Health Authorities, 1985), 12-13; C Williamson, </w:t>
      </w:r>
      <w:r w:rsidRPr="003B079C">
        <w:rPr>
          <w:i/>
        </w:rPr>
        <w:t xml:space="preserve">NAHAT Information Pamphlet Number 1: Hearing patients’ appeals against continued compulsory detention </w:t>
      </w:r>
      <w:r w:rsidRPr="003B079C">
        <w:t>(United Kingdom: National Association of Health Authorities and Trusts, 2</w:t>
      </w:r>
      <w:r w:rsidRPr="003B079C">
        <w:rPr>
          <w:vertAlign w:val="superscript"/>
        </w:rPr>
        <w:t>nd</w:t>
      </w:r>
      <w:r w:rsidRPr="003B079C">
        <w:t xml:space="preserve"> edition 1991), 17.</w:t>
      </w:r>
    </w:p>
  </w:footnote>
  <w:footnote w:id="21">
    <w:p w14:paraId="16648705" w14:textId="148F40E1" w:rsidR="000F747D" w:rsidRPr="003B079C" w:rsidRDefault="000F747D" w:rsidP="004B17B8">
      <w:pPr>
        <w:pStyle w:val="FootnoteText"/>
        <w:spacing w:line="480" w:lineRule="auto"/>
      </w:pPr>
      <w:r w:rsidRPr="003B079C">
        <w:rPr>
          <w:rStyle w:val="FootnoteReference"/>
        </w:rPr>
        <w:footnoteRef/>
      </w:r>
      <w:r w:rsidRPr="003B079C">
        <w:t xml:space="preserve"> For example CQC, </w:t>
      </w:r>
      <w:r w:rsidRPr="003B079C">
        <w:rPr>
          <w:i/>
        </w:rPr>
        <w:t>Monitoring the Mental Health Act in 2014/15</w:t>
      </w:r>
      <w:r w:rsidRPr="003B079C">
        <w:t xml:space="preserve"> (London: HMSO, 2015), 59.</w:t>
      </w:r>
    </w:p>
  </w:footnote>
  <w:footnote w:id="22">
    <w:p w14:paraId="1B72D64F" w14:textId="218974DE" w:rsidR="000F747D" w:rsidRPr="003B079C" w:rsidRDefault="000F747D" w:rsidP="004B17B8">
      <w:pPr>
        <w:pStyle w:val="FootnoteText"/>
        <w:spacing w:line="480" w:lineRule="auto"/>
      </w:pPr>
      <w:r w:rsidRPr="003B079C">
        <w:rPr>
          <w:rStyle w:val="FootnoteReference"/>
        </w:rPr>
        <w:footnoteRef/>
      </w:r>
      <w:r w:rsidRPr="003B079C">
        <w:t xml:space="preserve"> CQC, </w:t>
      </w:r>
      <w:r w:rsidRPr="003B079C">
        <w:rPr>
          <w:i/>
        </w:rPr>
        <w:t xml:space="preserve">Monitoring the Mental Health Act 2015/16 </w:t>
      </w:r>
      <w:r w:rsidRPr="003B079C">
        <w:t xml:space="preserve">(London: HMSO, November 2016), 18, showing year-on-year increases in detentions under the MHA 1983 between 2008/09 (30,913) and 2014/15 (54,225). </w:t>
      </w:r>
    </w:p>
  </w:footnote>
  <w:footnote w:id="23">
    <w:p w14:paraId="4D507FE0" w14:textId="1425420E" w:rsidR="000F747D" w:rsidRPr="003B079C" w:rsidRDefault="000F747D" w:rsidP="004B17B8">
      <w:pPr>
        <w:pStyle w:val="FootnoteText"/>
        <w:spacing w:line="480" w:lineRule="auto"/>
      </w:pPr>
      <w:r w:rsidRPr="003B079C">
        <w:rPr>
          <w:rStyle w:val="FootnoteReference"/>
        </w:rPr>
        <w:footnoteRef/>
      </w:r>
      <w:r w:rsidRPr="003B079C">
        <w:t xml:space="preserve"> Queen’s Speech (n 11).</w:t>
      </w:r>
    </w:p>
  </w:footnote>
  <w:footnote w:id="24">
    <w:p w14:paraId="349965B4" w14:textId="3F171A9C" w:rsidR="000F747D" w:rsidRPr="003B079C" w:rsidRDefault="000F747D" w:rsidP="004B17B8">
      <w:pPr>
        <w:pStyle w:val="FootnoteText"/>
        <w:spacing w:line="480" w:lineRule="auto"/>
      </w:pPr>
      <w:r w:rsidRPr="003B079C">
        <w:rPr>
          <w:rStyle w:val="FootnoteReference"/>
        </w:rPr>
        <w:footnoteRef/>
      </w:r>
      <w:r w:rsidRPr="003B079C">
        <w:t xml:space="preserve"> These claims are a common feature of all abolition arguments, but are most succinctly encapsulated in DH, </w:t>
      </w:r>
      <w:r w:rsidRPr="003B079C">
        <w:rPr>
          <w:i/>
        </w:rPr>
        <w:t>Improving Mental Health Law: Towards a New Mental Health Act</w:t>
      </w:r>
      <w:r w:rsidRPr="003B079C">
        <w:t xml:space="preserve"> (Cm 6305) (London: HMSO, 2004), para. 3.58.</w:t>
      </w:r>
    </w:p>
  </w:footnote>
  <w:footnote w:id="25">
    <w:p w14:paraId="43EB799D" w14:textId="6C357AD6" w:rsidR="000F747D" w:rsidRPr="003B079C" w:rsidRDefault="000F747D" w:rsidP="004B17B8">
      <w:pPr>
        <w:pStyle w:val="FootnoteText"/>
        <w:spacing w:line="480" w:lineRule="auto"/>
      </w:pPr>
      <w:r w:rsidRPr="003B079C">
        <w:rPr>
          <w:rStyle w:val="FootnoteReference"/>
        </w:rPr>
        <w:footnoteRef/>
      </w:r>
      <w:r w:rsidRPr="003B079C">
        <w:t xml:space="preserve"> See </w:t>
      </w:r>
      <w:r w:rsidR="003078CB" w:rsidRPr="003B079C">
        <w:t xml:space="preserve">section IV(A) </w:t>
      </w:r>
      <w:r w:rsidRPr="003B079C">
        <w:t xml:space="preserve">below. See also </w:t>
      </w:r>
      <w:r w:rsidRPr="003B079C">
        <w:rPr>
          <w:i/>
        </w:rPr>
        <w:t xml:space="preserve">South Staffordshire and Shropshire Healthcare NHS Foundation Trust, Dr Whitworth </w:t>
      </w:r>
      <w:r w:rsidRPr="003B079C">
        <w:t xml:space="preserve">v </w:t>
      </w:r>
      <w:r w:rsidRPr="003B079C">
        <w:rPr>
          <w:i/>
        </w:rPr>
        <w:t xml:space="preserve">The Hospital Managers of St George’s Hospital </w:t>
      </w:r>
      <w:r w:rsidRPr="003B079C">
        <w:t xml:space="preserve">v </w:t>
      </w:r>
      <w:r w:rsidRPr="003B079C">
        <w:rPr>
          <w:i/>
        </w:rPr>
        <w:t xml:space="preserve">AU </w:t>
      </w:r>
      <w:r w:rsidRPr="003B079C">
        <w:t>[2016] EWHC 1196 (Admin), [19] (Cranston J) (‘</w:t>
      </w:r>
      <w:r w:rsidRPr="003B079C">
        <w:rPr>
          <w:i/>
        </w:rPr>
        <w:t>AU</w:t>
      </w:r>
      <w:r w:rsidRPr="003B079C">
        <w:t>’).</w:t>
      </w:r>
    </w:p>
  </w:footnote>
  <w:footnote w:id="26">
    <w:p w14:paraId="695AA1D8" w14:textId="5654A296" w:rsidR="000F747D" w:rsidRPr="003B079C" w:rsidRDefault="000F747D" w:rsidP="004B17B8">
      <w:pPr>
        <w:pStyle w:val="FootnoteText"/>
        <w:spacing w:line="480" w:lineRule="auto"/>
      </w:pPr>
      <w:r w:rsidRPr="003B079C">
        <w:rPr>
          <w:rStyle w:val="FootnoteReference"/>
        </w:rPr>
        <w:footnoteRef/>
      </w:r>
      <w:r w:rsidRPr="003B079C">
        <w:t xml:space="preserve"> See DH (n 6),</w:t>
      </w:r>
      <w:r w:rsidRPr="003B079C">
        <w:rPr>
          <w:i/>
        </w:rPr>
        <w:t xml:space="preserve"> </w:t>
      </w:r>
      <w:r w:rsidRPr="003B079C">
        <w:t>chapters 37 and 38.</w:t>
      </w:r>
    </w:p>
  </w:footnote>
  <w:footnote w:id="27">
    <w:p w14:paraId="0B7E53DF" w14:textId="07EE4005"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para. 38.4.</w:t>
      </w:r>
    </w:p>
  </w:footnote>
  <w:footnote w:id="28">
    <w:p w14:paraId="6C4DA44F" w14:textId="2A6BFD90" w:rsidR="000F747D" w:rsidRPr="003B079C" w:rsidRDefault="000F747D" w:rsidP="004B17B8">
      <w:pPr>
        <w:pStyle w:val="FootnoteText"/>
        <w:spacing w:line="480" w:lineRule="auto"/>
      </w:pPr>
      <w:r w:rsidRPr="003B079C">
        <w:rPr>
          <w:rStyle w:val="FootnoteReference"/>
        </w:rPr>
        <w:footnoteRef/>
      </w:r>
      <w:r w:rsidRPr="003B079C">
        <w:t xml:space="preserve"> See A Eldergill, </w:t>
      </w:r>
      <w:r w:rsidRPr="003B079C">
        <w:rPr>
          <w:i/>
        </w:rPr>
        <w:t xml:space="preserve">Mental Health Review Tribunals Law and Practice </w:t>
      </w:r>
      <w:r w:rsidRPr="003B079C">
        <w:t xml:space="preserve">(London: Sweet &amp; Maxwell, 1997), 144; see also MHAC, </w:t>
      </w:r>
      <w:r w:rsidRPr="003B079C">
        <w:rPr>
          <w:i/>
        </w:rPr>
        <w:t>The First Biennial Report of the Mental Health Act Commission 1983-1985</w:t>
      </w:r>
      <w:r w:rsidRPr="003B079C">
        <w:t>, para. 8.13.</w:t>
      </w:r>
    </w:p>
  </w:footnote>
  <w:footnote w:id="29">
    <w:p w14:paraId="13332C60" w14:textId="0895DF81" w:rsidR="000F747D" w:rsidRPr="003B079C" w:rsidRDefault="000F747D" w:rsidP="004B17B8">
      <w:pPr>
        <w:pStyle w:val="FootnoteText"/>
        <w:spacing w:line="480" w:lineRule="auto"/>
      </w:pPr>
      <w:r w:rsidRPr="003B079C">
        <w:rPr>
          <w:rStyle w:val="FootnoteReference"/>
        </w:rPr>
        <w:footnoteRef/>
      </w:r>
      <w:r w:rsidRPr="003B079C">
        <w:t xml:space="preserve"> See Williamson and Vellenoweth (n 19), 16-17.</w:t>
      </w:r>
    </w:p>
  </w:footnote>
  <w:footnote w:id="30">
    <w:p w14:paraId="49A91802" w14:textId="315529F3" w:rsidR="000F747D" w:rsidRPr="003B079C" w:rsidRDefault="000F747D" w:rsidP="004B17B8">
      <w:pPr>
        <w:pStyle w:val="FootnoteText"/>
        <w:spacing w:line="480" w:lineRule="auto"/>
      </w:pPr>
      <w:r w:rsidRPr="003B079C">
        <w:rPr>
          <w:rStyle w:val="FootnoteReference"/>
        </w:rPr>
        <w:footnoteRef/>
      </w:r>
      <w:r w:rsidRPr="003B079C">
        <w:t xml:space="preserve"> Alternatives, such as one Managers’ panel overturning the decision of another may be problematic, see MHAC (n 18)</w:t>
      </w:r>
      <w:r w:rsidRPr="003B079C">
        <w:rPr>
          <w:i/>
        </w:rPr>
        <w:t xml:space="preserve"> </w:t>
      </w:r>
      <w:r w:rsidRPr="003B079C">
        <w:t>para. 4.95; the application must also be made to the High Court, not the Upper Tribunal, see</w:t>
      </w:r>
      <w:r w:rsidRPr="003B079C">
        <w:rPr>
          <w:i/>
          <w:sz w:val="22"/>
          <w:szCs w:val="22"/>
        </w:rPr>
        <w:t xml:space="preserve"> </w:t>
      </w:r>
      <w:r w:rsidRPr="003B079C">
        <w:rPr>
          <w:i/>
        </w:rPr>
        <w:t xml:space="preserve">AU </w:t>
      </w:r>
      <w:r w:rsidRPr="003B079C">
        <w:t xml:space="preserve">(n 24) [40] (Cranston J). </w:t>
      </w:r>
    </w:p>
  </w:footnote>
  <w:footnote w:id="31">
    <w:p w14:paraId="3125F1FC" w14:textId="29C55844" w:rsidR="000F747D" w:rsidRPr="003B079C" w:rsidRDefault="000F747D" w:rsidP="004B17B8">
      <w:pPr>
        <w:pStyle w:val="FootnoteText"/>
        <w:spacing w:line="480" w:lineRule="auto"/>
      </w:pPr>
      <w:r w:rsidRPr="003B079C">
        <w:rPr>
          <w:rStyle w:val="FootnoteReference"/>
        </w:rPr>
        <w:footnoteRef/>
      </w:r>
      <w:r w:rsidRPr="003B079C">
        <w:t xml:space="preserve"> DH (n 6), para. 38.2. But see also</w:t>
      </w:r>
      <w:r w:rsidR="003078CB" w:rsidRPr="003B079C">
        <w:t xml:space="preserve"> section III(B)</w:t>
      </w:r>
      <w:r w:rsidRPr="003B079C">
        <w:t xml:space="preserve"> below.</w:t>
      </w:r>
    </w:p>
  </w:footnote>
  <w:footnote w:id="32">
    <w:p w14:paraId="13BB625D" w14:textId="3F1F2085" w:rsidR="000F747D" w:rsidRPr="003B079C" w:rsidRDefault="000F747D" w:rsidP="004B17B8">
      <w:pPr>
        <w:pStyle w:val="FootnoteText"/>
        <w:spacing w:line="480" w:lineRule="auto"/>
      </w:pPr>
      <w:r w:rsidRPr="003B079C">
        <w:rPr>
          <w:rStyle w:val="FootnoteReference"/>
        </w:rPr>
        <w:footnoteRef/>
      </w:r>
      <w:r w:rsidRPr="003B079C">
        <w:t xml:space="preserve"> See </w:t>
      </w:r>
      <w:r w:rsidRPr="003B079C">
        <w:rPr>
          <w:i/>
        </w:rPr>
        <w:t xml:space="preserve">R </w:t>
      </w:r>
      <w:r w:rsidRPr="003B079C">
        <w:t xml:space="preserve">v </w:t>
      </w:r>
      <w:r w:rsidRPr="003B079C">
        <w:rPr>
          <w:i/>
        </w:rPr>
        <w:t xml:space="preserve">Riverside Mental Health Trust, ex parte Huzzey </w:t>
      </w:r>
      <w:r w:rsidRPr="003B079C">
        <w:t>[1998] 43 BMLR 167, p.173 (Latham J) (‘</w:t>
      </w:r>
      <w:r w:rsidRPr="003B079C">
        <w:rPr>
          <w:i/>
        </w:rPr>
        <w:t>Huzzey</w:t>
      </w:r>
      <w:r w:rsidRPr="003B079C">
        <w:t xml:space="preserve">’), see also </w:t>
      </w:r>
      <w:r w:rsidRPr="003B079C">
        <w:rPr>
          <w:i/>
        </w:rPr>
        <w:t xml:space="preserve">SR </w:t>
      </w:r>
      <w:r w:rsidRPr="003B079C">
        <w:t>(n 7)</w:t>
      </w:r>
      <w:r w:rsidRPr="003B079C">
        <w:rPr>
          <w:i/>
        </w:rPr>
        <w:t xml:space="preserve"> </w:t>
      </w:r>
      <w:r w:rsidRPr="003B079C">
        <w:t>[19]-[20].</w:t>
      </w:r>
    </w:p>
  </w:footnote>
  <w:footnote w:id="33">
    <w:p w14:paraId="3F9FA58E" w14:textId="1F728000" w:rsidR="000F747D" w:rsidRPr="003B079C" w:rsidRDefault="000F747D" w:rsidP="004B17B8">
      <w:pPr>
        <w:pStyle w:val="FootnoteText"/>
        <w:spacing w:line="480" w:lineRule="auto"/>
      </w:pPr>
      <w:r w:rsidRPr="003B079C">
        <w:rPr>
          <w:rStyle w:val="FootnoteReference"/>
        </w:rPr>
        <w:footnoteRef/>
      </w:r>
      <w:r w:rsidRPr="003B079C">
        <w:t xml:space="preserve"> N Turner, </w:t>
      </w:r>
      <w:r w:rsidRPr="003B079C">
        <w:rPr>
          <w:i/>
        </w:rPr>
        <w:t>Hyper</w:t>
      </w:r>
      <w:r w:rsidRPr="003B079C">
        <w:t>Guide to the Mental Health Act, News Items, 18 September 1996, &lt;</w:t>
      </w:r>
      <w:hyperlink r:id="rId4" w:history="1">
        <w:r w:rsidRPr="003B079C">
          <w:rPr>
            <w:rStyle w:val="Hyperlink"/>
          </w:rPr>
          <w:t>https://web-beta.archive.org/web/19970716201321/http:/</w:t>
        </w:r>
        <w:r w:rsidRPr="003B079C">
          <w:rPr>
            <w:rStyle w:val="Hyperlink"/>
          </w:rPr>
          <w:t>/</w:t>
        </w:r>
        <w:r w:rsidRPr="003B079C">
          <w:rPr>
            <w:rStyle w:val="Hyperlink"/>
          </w:rPr>
          <w:t>www.hyperguide.co.uk:80/mha/news1.htm</w:t>
        </w:r>
      </w:hyperlink>
      <w:r w:rsidRPr="003B079C">
        <w:rPr>
          <w:rStyle w:val="Hyperlink"/>
          <w:u w:val="none"/>
        </w:rPr>
        <w:t>&gt;</w:t>
      </w:r>
      <w:r w:rsidRPr="003B079C">
        <w:t xml:space="preserve"> accessed, 6 </w:t>
      </w:r>
      <w:r w:rsidR="000C667D">
        <w:t>September</w:t>
      </w:r>
      <w:r w:rsidRPr="003B079C">
        <w:t xml:space="preserve"> 2017.</w:t>
      </w:r>
    </w:p>
  </w:footnote>
  <w:footnote w:id="34">
    <w:p w14:paraId="6D5CFFE8" w14:textId="3BDB8DCD" w:rsidR="000F747D" w:rsidRPr="003B079C" w:rsidRDefault="000F747D" w:rsidP="004B17B8">
      <w:pPr>
        <w:pStyle w:val="FootnoteText"/>
        <w:spacing w:line="480" w:lineRule="auto"/>
      </w:pPr>
      <w:r w:rsidRPr="003B079C">
        <w:rPr>
          <w:rStyle w:val="FootnoteReference"/>
        </w:rPr>
        <w:footnoteRef/>
      </w:r>
      <w:r w:rsidRPr="003B079C">
        <w:t xml:space="preserve"> Stephen Dorrell MP, HC Deb 20 February 1996 vol.272. cc.175-187.</w:t>
      </w:r>
    </w:p>
  </w:footnote>
  <w:footnote w:id="35">
    <w:p w14:paraId="23D257D3" w14:textId="3AA93285"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xml:space="preserve"> c.176.</w:t>
      </w:r>
    </w:p>
  </w:footnote>
  <w:footnote w:id="36">
    <w:p w14:paraId="42F88451" w14:textId="25F32E4B" w:rsidR="000F747D" w:rsidRPr="003B079C" w:rsidRDefault="000F747D" w:rsidP="004B17B8">
      <w:pPr>
        <w:pStyle w:val="FootnoteText"/>
        <w:spacing w:line="480" w:lineRule="auto"/>
      </w:pPr>
      <w:r w:rsidRPr="003B079C">
        <w:rPr>
          <w:rStyle w:val="FootnoteReference"/>
        </w:rPr>
        <w:footnoteRef/>
      </w:r>
      <w:r w:rsidRPr="003B079C">
        <w:t xml:space="preserve"> According to Turner (n 32); other sources suggest he was discharged from Broadmoor, see D Brindle ‘Mental health “lay” appeals to be axed’, </w:t>
      </w:r>
      <w:r w:rsidRPr="003B079C">
        <w:rPr>
          <w:i/>
        </w:rPr>
        <w:t>The Guardian</w:t>
      </w:r>
      <w:r w:rsidRPr="003B079C">
        <w:t xml:space="preserve">, 18 September 1996; for other examples of incidents following release by Managers see Fraser and Winston (n 15) and Power-Smith and Evans (n 15). </w:t>
      </w:r>
    </w:p>
  </w:footnote>
  <w:footnote w:id="37">
    <w:p w14:paraId="57800CE6" w14:textId="11672721" w:rsidR="000F747D" w:rsidRPr="003B079C" w:rsidRDefault="000F747D" w:rsidP="004B17B8">
      <w:pPr>
        <w:pStyle w:val="FootnoteText"/>
        <w:spacing w:line="480" w:lineRule="auto"/>
      </w:pPr>
      <w:r w:rsidRPr="003B079C">
        <w:rPr>
          <w:rStyle w:val="FootnoteReference"/>
        </w:rPr>
        <w:footnoteRef/>
      </w:r>
      <w:r w:rsidRPr="003B079C">
        <w:t xml:space="preserve"> Turner (n 32).</w:t>
      </w:r>
    </w:p>
  </w:footnote>
  <w:footnote w:id="38">
    <w:p w14:paraId="667BA5D3" w14:textId="5A1AA607" w:rsidR="000F747D" w:rsidRPr="003B079C" w:rsidRDefault="000F747D" w:rsidP="004B17B8">
      <w:pPr>
        <w:pStyle w:val="FootnoteText"/>
        <w:spacing w:line="480" w:lineRule="auto"/>
      </w:pPr>
      <w:r w:rsidRPr="003B079C">
        <w:rPr>
          <w:rStyle w:val="FootnoteReference"/>
        </w:rPr>
        <w:footnoteRef/>
      </w:r>
      <w:r w:rsidRPr="003B079C">
        <w:t xml:space="preserve"> MHAC, National Association of Health Authorities and Trusts (NAHAT), NHS Federation, Royal College of Psychiatrists, </w:t>
      </w:r>
      <w:r w:rsidRPr="003B079C">
        <w:rPr>
          <w:i/>
        </w:rPr>
        <w:t>Working Group Report on Managers’ Review of Detention Under the Mental Health Act</w:t>
      </w:r>
      <w:r w:rsidRPr="003B079C">
        <w:t xml:space="preserve"> (July 1996).</w:t>
      </w:r>
    </w:p>
  </w:footnote>
  <w:footnote w:id="39">
    <w:p w14:paraId="30957A6D" w14:textId="4B604CCF" w:rsidR="000F747D" w:rsidRPr="003B079C" w:rsidRDefault="000F747D" w:rsidP="004B17B8">
      <w:pPr>
        <w:pStyle w:val="FootnoteText"/>
        <w:spacing w:line="480" w:lineRule="auto"/>
      </w:pPr>
      <w:r w:rsidRPr="003B079C">
        <w:rPr>
          <w:rStyle w:val="FootnoteReference"/>
        </w:rPr>
        <w:footnoteRef/>
      </w:r>
      <w:r w:rsidRPr="003B079C">
        <w:t xml:space="preserve"> Dorrell (n 33) c.185; see also Baroness Cumberlege, HL Deb 20 February 1996 vol 569 c.1001.</w:t>
      </w:r>
    </w:p>
  </w:footnote>
  <w:footnote w:id="40">
    <w:p w14:paraId="1D581349" w14:textId="19AA7440" w:rsidR="000F747D" w:rsidRPr="003B079C" w:rsidRDefault="000F747D" w:rsidP="004B17B8">
      <w:pPr>
        <w:pStyle w:val="FootnoteText"/>
        <w:spacing w:line="480" w:lineRule="auto"/>
      </w:pPr>
      <w:r w:rsidRPr="003B079C">
        <w:rPr>
          <w:rStyle w:val="FootnoteReference"/>
        </w:rPr>
        <w:footnoteRef/>
      </w:r>
      <w:r w:rsidRPr="003B079C">
        <w:t xml:space="preserve"> Lord Hayhoe’s brief intervention is the exception, HL Deb 20 February 1996 vol 569 cc.1003-1004.</w:t>
      </w:r>
    </w:p>
  </w:footnote>
  <w:footnote w:id="41">
    <w:p w14:paraId="7D9D608A" w14:textId="77D2E02C" w:rsidR="000F747D" w:rsidRPr="003B079C" w:rsidRDefault="000F747D" w:rsidP="004B17B8">
      <w:pPr>
        <w:pStyle w:val="FootnoteText"/>
        <w:spacing w:line="480" w:lineRule="auto"/>
      </w:pPr>
      <w:r w:rsidRPr="003B079C">
        <w:rPr>
          <w:rStyle w:val="FootnoteReference"/>
        </w:rPr>
        <w:footnoteRef/>
      </w:r>
      <w:r w:rsidRPr="003B079C">
        <w:t xml:space="preserve"> Lord Strabolgi, HL Deb 20 February 1996 vol.569 c.1001.</w:t>
      </w:r>
    </w:p>
  </w:footnote>
  <w:footnote w:id="42">
    <w:p w14:paraId="322BF31F" w14:textId="6FEEF39D" w:rsidR="000F747D" w:rsidRPr="003B079C" w:rsidRDefault="000F747D" w:rsidP="004B17B8">
      <w:pPr>
        <w:pStyle w:val="FootnoteText"/>
        <w:spacing w:line="480" w:lineRule="auto"/>
      </w:pPr>
      <w:r w:rsidRPr="003B079C">
        <w:rPr>
          <w:rStyle w:val="FootnoteReference"/>
        </w:rPr>
        <w:footnoteRef/>
      </w:r>
      <w:r w:rsidRPr="003B079C">
        <w:t xml:space="preserve"> Cumberlege (n 38) c.1003; the Managers’ discharge power is found in s.23 MHA 1983.</w:t>
      </w:r>
    </w:p>
  </w:footnote>
  <w:footnote w:id="43">
    <w:p w14:paraId="71867B37" w14:textId="7ABF5F0B" w:rsidR="000F747D" w:rsidRPr="003B079C" w:rsidRDefault="000F747D" w:rsidP="004B17B8">
      <w:pPr>
        <w:pStyle w:val="FootnoteText"/>
        <w:spacing w:line="480" w:lineRule="auto"/>
      </w:pPr>
      <w:r w:rsidRPr="003B079C">
        <w:rPr>
          <w:rStyle w:val="FootnoteReference"/>
        </w:rPr>
        <w:footnoteRef/>
      </w:r>
      <w:r w:rsidRPr="003B079C">
        <w:t xml:space="preserve"> MHAC</w:t>
      </w:r>
      <w:r w:rsidRPr="003B079C">
        <w:rPr>
          <w:i/>
        </w:rPr>
        <w:t xml:space="preserve"> et al</w:t>
      </w:r>
      <w:r w:rsidRPr="003B079C">
        <w:t xml:space="preserve"> (n 37), 10-11.</w:t>
      </w:r>
    </w:p>
  </w:footnote>
  <w:footnote w:id="44">
    <w:p w14:paraId="4F31E218" w14:textId="3360B1D0" w:rsidR="000F747D" w:rsidRPr="003B079C" w:rsidRDefault="000F747D" w:rsidP="004B17B8">
      <w:pPr>
        <w:pStyle w:val="FootnoteText"/>
        <w:spacing w:line="480" w:lineRule="auto"/>
      </w:pPr>
      <w:r w:rsidRPr="003B079C">
        <w:rPr>
          <w:rStyle w:val="FootnoteReference"/>
        </w:rPr>
        <w:footnoteRef/>
      </w:r>
      <w:r w:rsidRPr="003B079C">
        <w:t xml:space="preserve"> Dorrell (n 33) c.177.</w:t>
      </w:r>
    </w:p>
  </w:footnote>
  <w:footnote w:id="45">
    <w:p w14:paraId="47BB88F6" w14:textId="0E1B3B8C" w:rsidR="000F747D" w:rsidRPr="003B079C" w:rsidRDefault="000F747D" w:rsidP="004B17B8">
      <w:pPr>
        <w:pStyle w:val="FootnoteText"/>
        <w:spacing w:line="480" w:lineRule="auto"/>
      </w:pPr>
      <w:r w:rsidRPr="003B079C">
        <w:rPr>
          <w:rStyle w:val="FootnoteReference"/>
        </w:rPr>
        <w:footnoteRef/>
      </w:r>
      <w:r w:rsidRPr="003B079C">
        <w:t xml:space="preserve"> Issued in a press release on 17</w:t>
      </w:r>
      <w:r w:rsidRPr="003B079C">
        <w:rPr>
          <w:vertAlign w:val="superscript"/>
        </w:rPr>
        <w:t>th</w:t>
      </w:r>
      <w:r w:rsidRPr="003B079C">
        <w:t xml:space="preserve"> September 1996. The full text of the statement is available via Turner (n 32).</w:t>
      </w:r>
    </w:p>
  </w:footnote>
  <w:footnote w:id="46">
    <w:p w14:paraId="008221D5" w14:textId="46F3E433"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xml:space="preserve">. </w:t>
      </w:r>
    </w:p>
  </w:footnote>
  <w:footnote w:id="47">
    <w:p w14:paraId="1B58A167" w14:textId="2B372170"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xml:space="preserve">; the situation was probably not helped by conflation of terminology, for example Power-Smith and Evans (n 15) 47-48; and that some authorities set up the managers as a ‘shadow Tribunal’ see S Blumenthal and S Wessely, </w:t>
      </w:r>
      <w:r w:rsidRPr="003B079C">
        <w:rPr>
          <w:i/>
        </w:rPr>
        <w:t xml:space="preserve">The pattern of delays in Mental Health Review Tribunals </w:t>
      </w:r>
      <w:r w:rsidRPr="003B079C">
        <w:t>(London: Department of Health, HMSO, 1993), para. 4.2.4.</w:t>
      </w:r>
    </w:p>
  </w:footnote>
  <w:footnote w:id="48">
    <w:p w14:paraId="3234A8AA" w14:textId="45C8340A" w:rsidR="000F747D" w:rsidRPr="003B079C" w:rsidRDefault="000F747D" w:rsidP="004B17B8">
      <w:pPr>
        <w:pStyle w:val="FootnoteText"/>
        <w:spacing w:line="480" w:lineRule="auto"/>
      </w:pPr>
      <w:r w:rsidRPr="003B079C">
        <w:rPr>
          <w:rStyle w:val="FootnoteReference"/>
        </w:rPr>
        <w:footnoteRef/>
      </w:r>
      <w:r w:rsidRPr="003B079C">
        <w:t xml:space="preserve"> Richardson Committee, </w:t>
      </w:r>
      <w:r w:rsidRPr="003B079C">
        <w:rPr>
          <w:i/>
        </w:rPr>
        <w:t xml:space="preserve">Report of the Expert Committee Review of the Mental Health Act 1983 </w:t>
      </w:r>
      <w:r w:rsidRPr="003B079C">
        <w:t>(London: HMSO, November 1999), ‘The Expert Committee’.</w:t>
      </w:r>
    </w:p>
  </w:footnote>
  <w:footnote w:id="49">
    <w:p w14:paraId="2937423C" w14:textId="2922D39B"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paras. 16-24.</w:t>
      </w:r>
    </w:p>
  </w:footnote>
  <w:footnote w:id="50">
    <w:p w14:paraId="47F4CA08" w14:textId="741D6844"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para. 12.1; also para. 33.</w:t>
      </w:r>
    </w:p>
  </w:footnote>
  <w:footnote w:id="51">
    <w:p w14:paraId="14F76904" w14:textId="419637E1"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 xml:space="preserve">ibid., </w:t>
      </w:r>
      <w:r w:rsidRPr="003B079C">
        <w:t xml:space="preserve">paras. 5.127-5.128; a view supported by the government, see DH, </w:t>
      </w:r>
      <w:r w:rsidRPr="003B079C">
        <w:rPr>
          <w:i/>
        </w:rPr>
        <w:t xml:space="preserve">Reform of the Mental Health Act 1983: Proposals for Consultation </w:t>
      </w:r>
      <w:r w:rsidRPr="003B079C">
        <w:t>(Cm 4480) (London: HMSO, 1999), paras.7.8 and 10.6.</w:t>
      </w:r>
    </w:p>
  </w:footnote>
  <w:footnote w:id="52">
    <w:p w14:paraId="438C67D6" w14:textId="6ACEE7CD" w:rsidR="000F747D" w:rsidRPr="003B079C" w:rsidRDefault="000F747D" w:rsidP="004B17B8">
      <w:pPr>
        <w:pStyle w:val="FootnoteText"/>
        <w:spacing w:line="480" w:lineRule="auto"/>
      </w:pPr>
      <w:r w:rsidRPr="003B079C">
        <w:rPr>
          <w:rStyle w:val="FootnoteReference"/>
        </w:rPr>
        <w:footnoteRef/>
      </w:r>
      <w:r w:rsidRPr="003B079C">
        <w:t xml:space="preserve"> For limitations of the 1996 Working Group’s evidence (n 37) upon which some of the claims may have been based, see </w:t>
      </w:r>
      <w:r w:rsidR="00D20D4C" w:rsidRPr="003B079C">
        <w:t>sections IV(B) and V below</w:t>
      </w:r>
      <w:r w:rsidRPr="003B079C">
        <w:t>.</w:t>
      </w:r>
    </w:p>
  </w:footnote>
  <w:footnote w:id="53">
    <w:p w14:paraId="54345D37" w14:textId="04E099A7" w:rsidR="000F747D" w:rsidRPr="003B079C" w:rsidRDefault="000F747D" w:rsidP="004B17B8">
      <w:pPr>
        <w:pStyle w:val="FootnoteText"/>
        <w:spacing w:line="480" w:lineRule="auto"/>
      </w:pPr>
      <w:r w:rsidRPr="003B079C">
        <w:rPr>
          <w:rStyle w:val="FootnoteReference"/>
        </w:rPr>
        <w:footnoteRef/>
      </w:r>
      <w:r w:rsidRPr="003B079C">
        <w:t xml:space="preserve"> Expert Committee (n 47), para. 5.128; see further Williamson (1985)</w:t>
      </w:r>
      <w:r w:rsidRPr="003B079C">
        <w:rPr>
          <w:i/>
        </w:rPr>
        <w:t xml:space="preserve"> </w:t>
      </w:r>
      <w:r w:rsidRPr="003B079C">
        <w:t>(n 19), 3-4; Williamson and Vellenoweth (n 19), 17-18.</w:t>
      </w:r>
    </w:p>
  </w:footnote>
  <w:footnote w:id="54">
    <w:p w14:paraId="27B845D5" w14:textId="52C35FF4" w:rsidR="000F747D" w:rsidRPr="003B079C" w:rsidRDefault="000F747D" w:rsidP="004B17B8">
      <w:pPr>
        <w:pStyle w:val="FootnoteText"/>
        <w:spacing w:line="480" w:lineRule="auto"/>
      </w:pPr>
      <w:r w:rsidRPr="003B079C">
        <w:rPr>
          <w:rStyle w:val="FootnoteReference"/>
        </w:rPr>
        <w:footnoteRef/>
      </w:r>
      <w:r w:rsidRPr="003B079C">
        <w:t xml:space="preserve"> Home Office and DH, </w:t>
      </w:r>
      <w:r w:rsidRPr="003B079C">
        <w:rPr>
          <w:i/>
        </w:rPr>
        <w:t xml:space="preserve">Executive Summary to Reforming the Mental Health Act – Part 1: The new legal framework </w:t>
      </w:r>
      <w:r w:rsidRPr="003B079C">
        <w:t xml:space="preserve">(Cm 5016) (London: HMSO, 2000), para. 7.7; DH, </w:t>
      </w:r>
      <w:r w:rsidRPr="003B079C">
        <w:rPr>
          <w:i/>
        </w:rPr>
        <w:t xml:space="preserve">Mental Health Bill Consultation Document </w:t>
      </w:r>
      <w:r w:rsidRPr="003B079C">
        <w:t>(Cm 5538-III) (London: HMSO, 2002), para. 2.3.</w:t>
      </w:r>
    </w:p>
  </w:footnote>
  <w:footnote w:id="55">
    <w:p w14:paraId="31DD3DE0" w14:textId="09131B3C"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w:t>
      </w:r>
      <w:r w:rsidRPr="003B079C">
        <w:rPr>
          <w:i/>
        </w:rPr>
        <w:t xml:space="preserve"> </w:t>
      </w:r>
      <w:r w:rsidRPr="003B079C">
        <w:t>Home Office and DH, para. 9.</w:t>
      </w:r>
    </w:p>
  </w:footnote>
  <w:footnote w:id="56">
    <w:p w14:paraId="0F9B9711" w14:textId="09643A01"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para. 7.7.</w:t>
      </w:r>
    </w:p>
  </w:footnote>
  <w:footnote w:id="57">
    <w:p w14:paraId="6AAB0061" w14:textId="6AC7F610" w:rsidR="000F747D" w:rsidRPr="003B079C" w:rsidRDefault="000F747D" w:rsidP="004B17B8">
      <w:pPr>
        <w:pStyle w:val="FootnoteText"/>
        <w:spacing w:line="480" w:lineRule="auto"/>
      </w:pPr>
      <w:r w:rsidRPr="003B079C">
        <w:rPr>
          <w:rStyle w:val="FootnoteReference"/>
        </w:rPr>
        <w:footnoteRef/>
      </w:r>
      <w:r w:rsidRPr="003B079C">
        <w:t xml:space="preserve"> DH (n 23), paras. 3.57-3.58.</w:t>
      </w:r>
    </w:p>
  </w:footnote>
  <w:footnote w:id="58">
    <w:p w14:paraId="72FF3EEB" w14:textId="63172661" w:rsidR="000F747D" w:rsidRPr="003B079C" w:rsidRDefault="000F747D" w:rsidP="004B17B8">
      <w:pPr>
        <w:pStyle w:val="FootnoteText"/>
        <w:spacing w:line="480" w:lineRule="auto"/>
      </w:pPr>
      <w:r w:rsidRPr="003B079C">
        <w:rPr>
          <w:rStyle w:val="FootnoteReference"/>
        </w:rPr>
        <w:footnoteRef/>
      </w:r>
      <w:r w:rsidRPr="003B079C">
        <w:t xml:space="preserve"> Government Statement available in J Roll and M Whittaker, House of Commons Library, ‘The Mental Health Bill [HL] Bill 76 of 2006-2007’, Research Paper 07/33, 15-17.</w:t>
      </w:r>
    </w:p>
  </w:footnote>
  <w:footnote w:id="59">
    <w:p w14:paraId="04D23E1D" w14:textId="1B350645" w:rsidR="000F747D" w:rsidRPr="003B079C" w:rsidRDefault="000F747D" w:rsidP="004B17B8">
      <w:pPr>
        <w:pStyle w:val="FootnoteText"/>
        <w:spacing w:line="480" w:lineRule="auto"/>
      </w:pPr>
      <w:r w:rsidRPr="003B079C">
        <w:rPr>
          <w:rStyle w:val="FootnoteReference"/>
        </w:rPr>
        <w:footnoteRef/>
      </w:r>
      <w:r w:rsidRPr="003B079C">
        <w:t xml:space="preserve"> See MHA 2007, s.45; </w:t>
      </w:r>
      <w:r w:rsidR="00D20D4C" w:rsidRPr="003B079C">
        <w:t>also section IV(B) below</w:t>
      </w:r>
    </w:p>
  </w:footnote>
  <w:footnote w:id="60">
    <w:p w14:paraId="784BFA49" w14:textId="3C58E807" w:rsidR="000F747D" w:rsidRPr="003B079C" w:rsidRDefault="000F747D" w:rsidP="004B17B8">
      <w:pPr>
        <w:pStyle w:val="FootnoteText"/>
        <w:spacing w:line="480" w:lineRule="auto"/>
      </w:pPr>
      <w:r w:rsidRPr="003B079C">
        <w:rPr>
          <w:rStyle w:val="FootnoteReference"/>
        </w:rPr>
        <w:footnoteRef/>
      </w:r>
      <w:r w:rsidRPr="003B079C">
        <w:t xml:space="preserve"> IMHAP</w:t>
      </w:r>
      <w:r w:rsidR="00E02E0B" w:rsidRPr="003B079C">
        <w:t xml:space="preserve"> in</w:t>
      </w:r>
      <w:r w:rsidRPr="003B079C">
        <w:t xml:space="preserve"> evidence to the Joint Committee </w:t>
      </w:r>
      <w:r w:rsidR="00E02E0B" w:rsidRPr="003B079C">
        <w:t>(n 18)</w:t>
      </w:r>
      <w:r w:rsidRPr="003B079C">
        <w:t>, EV101.</w:t>
      </w:r>
    </w:p>
  </w:footnote>
  <w:footnote w:id="61">
    <w:p w14:paraId="15CDA85A" w14:textId="5F1B8C33" w:rsidR="000F747D" w:rsidRPr="003B079C" w:rsidRDefault="000F747D" w:rsidP="004B17B8">
      <w:pPr>
        <w:pStyle w:val="FootnoteText"/>
        <w:spacing w:line="480" w:lineRule="auto"/>
      </w:pPr>
      <w:r w:rsidRPr="003B079C">
        <w:rPr>
          <w:rStyle w:val="FootnoteReference"/>
        </w:rPr>
        <w:footnoteRef/>
      </w:r>
      <w:r w:rsidRPr="003B079C">
        <w:t xml:space="preserve"> Home Office and DH (n 53), para. 7.7; see also DH (n 23), para. 11.15; but note MHAC,</w:t>
      </w:r>
      <w:r w:rsidRPr="003B079C">
        <w:rPr>
          <w:i/>
        </w:rPr>
        <w:t xml:space="preserve"> Seventh Biennial Report 1995-1997 </w:t>
      </w:r>
      <w:r w:rsidRPr="003B079C">
        <w:t>(London: HMSO, 1997), para. 3.1.4.</w:t>
      </w:r>
    </w:p>
  </w:footnote>
  <w:footnote w:id="62">
    <w:p w14:paraId="0DC0327B" w14:textId="000C5C85" w:rsidR="000F747D" w:rsidRPr="003B079C" w:rsidRDefault="000F747D" w:rsidP="004B17B8">
      <w:pPr>
        <w:pStyle w:val="FootnoteText"/>
        <w:spacing w:line="480" w:lineRule="auto"/>
      </w:pPr>
      <w:r w:rsidRPr="003B079C">
        <w:rPr>
          <w:rStyle w:val="FootnoteReference"/>
        </w:rPr>
        <w:footnoteRef/>
      </w:r>
      <w:r w:rsidRPr="003B079C">
        <w:t xml:space="preserve"> Kennedy (n15); also Blumenthal and Wessely (n 46), para. 4.2.4; but see </w:t>
      </w:r>
      <w:r w:rsidRPr="003B079C">
        <w:rPr>
          <w:i/>
        </w:rPr>
        <w:t xml:space="preserve">AU </w:t>
      </w:r>
      <w:r w:rsidRPr="003B079C">
        <w:t xml:space="preserve">(n 24), [10] (Cranston J); and Williamson and Vellenoweth (n 19), p.18.  For abolitionists, “lay person” can mean either a person who is neither medical doctor nor a legal professional, or specifically not a psychiatrists. </w:t>
      </w:r>
    </w:p>
  </w:footnote>
  <w:footnote w:id="63">
    <w:p w14:paraId="6AC80915" w14:textId="12520767" w:rsidR="000F747D" w:rsidRPr="003B079C" w:rsidRDefault="000F747D" w:rsidP="004B17B8">
      <w:pPr>
        <w:pStyle w:val="FootnoteText"/>
        <w:spacing w:line="480" w:lineRule="auto"/>
      </w:pPr>
      <w:r w:rsidRPr="003B079C">
        <w:rPr>
          <w:rStyle w:val="FootnoteReference"/>
        </w:rPr>
        <w:footnoteRef/>
      </w:r>
      <w:r w:rsidRPr="003B079C">
        <w:t xml:space="preserve"> </w:t>
      </w:r>
      <w:r w:rsidR="00E02E0B" w:rsidRPr="003B079C">
        <w:t>IMHAP (n 59</w:t>
      </w:r>
      <w:r w:rsidRPr="003B079C">
        <w:t>), EV101.</w:t>
      </w:r>
    </w:p>
  </w:footnote>
  <w:footnote w:id="64">
    <w:p w14:paraId="4C229061" w14:textId="10D92892" w:rsidR="000F747D" w:rsidRPr="003B079C" w:rsidRDefault="000F747D" w:rsidP="004B17B8">
      <w:pPr>
        <w:pStyle w:val="FootnoteText"/>
        <w:spacing w:line="480" w:lineRule="auto"/>
      </w:pPr>
      <w:r w:rsidRPr="003B079C">
        <w:rPr>
          <w:rStyle w:val="FootnoteReference"/>
        </w:rPr>
        <w:footnoteRef/>
      </w:r>
      <w:r w:rsidRPr="003B079C">
        <w:t xml:space="preserve"> For example, Nottinghamshire Healthcare NHS Trust in Joint Committee on the Draft Mental Health Bill, </w:t>
      </w:r>
      <w:r w:rsidRPr="003B079C">
        <w:rPr>
          <w:i/>
        </w:rPr>
        <w:t>Volume III: Written Evidence</w:t>
      </w:r>
      <w:r w:rsidRPr="003B079C">
        <w:t xml:space="preserve">, (Session 2004-05, HL 79-III/HC 95-III), EV1023-EV1024; see also IMHAP (n 59), EV101; </w:t>
      </w:r>
      <w:r w:rsidRPr="003B079C">
        <w:rPr>
          <w:i/>
        </w:rPr>
        <w:t>AU</w:t>
      </w:r>
      <w:r w:rsidRPr="003B079C">
        <w:t xml:space="preserve"> (n 24), [10] [33-34] (Cranston J); </w:t>
      </w:r>
      <w:r w:rsidRPr="003B079C">
        <w:rPr>
          <w:i/>
        </w:rPr>
        <w:t xml:space="preserve">JLG </w:t>
      </w:r>
      <w:r w:rsidRPr="003B079C">
        <w:t>(n 7), [7].</w:t>
      </w:r>
    </w:p>
  </w:footnote>
  <w:footnote w:id="65">
    <w:p w14:paraId="55DC8587" w14:textId="156EDB53" w:rsidR="000F747D" w:rsidRPr="003B079C" w:rsidRDefault="000F747D" w:rsidP="004B17B8">
      <w:pPr>
        <w:pStyle w:val="FootnoteText"/>
        <w:spacing w:line="480" w:lineRule="auto"/>
      </w:pPr>
      <w:r w:rsidRPr="003B079C">
        <w:rPr>
          <w:rStyle w:val="FootnoteReference"/>
        </w:rPr>
        <w:footnoteRef/>
      </w:r>
      <w:r w:rsidRPr="003B079C">
        <w:t xml:space="preserve"> See, for example, DH (n 23), paras. 3.54-3.58; Joint Committee (n 17), Annex 4, Clause 35(a), Government Response, 194; and Clause 54(a), Government Response, 203.</w:t>
      </w:r>
    </w:p>
  </w:footnote>
  <w:footnote w:id="66">
    <w:p w14:paraId="5923D5B5" w14:textId="4B034781" w:rsidR="000F747D" w:rsidRPr="003B079C" w:rsidRDefault="000F747D" w:rsidP="004B17B8">
      <w:pPr>
        <w:pStyle w:val="FootnoteText"/>
        <w:spacing w:line="480" w:lineRule="auto"/>
      </w:pPr>
      <w:r w:rsidRPr="003B079C">
        <w:rPr>
          <w:rStyle w:val="FootnoteReference"/>
        </w:rPr>
        <w:footnoteRef/>
      </w:r>
      <w:r w:rsidRPr="003B079C">
        <w:t xml:space="preserve"> </w:t>
      </w:r>
      <w:r w:rsidR="00E02E0B" w:rsidRPr="003B079C">
        <w:t>See again, (n 35), and Dorrell (n 33)</w:t>
      </w:r>
    </w:p>
  </w:footnote>
  <w:footnote w:id="67">
    <w:p w14:paraId="4ECA70FF" w14:textId="495A1995" w:rsidR="000F747D" w:rsidRPr="003B079C" w:rsidRDefault="000F747D" w:rsidP="004B17B8">
      <w:pPr>
        <w:pStyle w:val="FootnoteText"/>
        <w:spacing w:line="480" w:lineRule="auto"/>
      </w:pPr>
      <w:r w:rsidRPr="003B079C">
        <w:rPr>
          <w:rStyle w:val="FootnoteReference"/>
        </w:rPr>
        <w:footnoteRef/>
      </w:r>
      <w:r w:rsidRPr="003B079C">
        <w:t xml:space="preserve"> R Pacitti, 'Political Footballs? Stephen Dorrell's threat to the hospital managers' (1997) 83(Jan/Feb) </w:t>
      </w:r>
      <w:r w:rsidRPr="003B079C">
        <w:rPr>
          <w:i/>
          <w:iCs/>
        </w:rPr>
        <w:t xml:space="preserve">Openmind </w:t>
      </w:r>
      <w:r w:rsidRPr="003B079C">
        <w:t>6-6, 6; see also comments from Jim Callaghan MP and Dorrell’s reply, HC Deb 20 February 1996 vol. 272 c.185; and Lord Strabolgi (n 40), c.1001 giving a sensationalist example of ‘dangerous mental patients [who] have been allowed back into the community, without adequate supervision, to murder and rape.’</w:t>
      </w:r>
    </w:p>
  </w:footnote>
  <w:footnote w:id="68">
    <w:p w14:paraId="4AAAAB68" w14:textId="3CA27CDD" w:rsidR="000F747D" w:rsidRPr="003B079C" w:rsidRDefault="000F747D" w:rsidP="004B17B8">
      <w:pPr>
        <w:pStyle w:val="FootnoteText"/>
        <w:spacing w:line="480" w:lineRule="auto"/>
      </w:pPr>
      <w:r w:rsidRPr="003B079C">
        <w:rPr>
          <w:rStyle w:val="FootnoteReference"/>
        </w:rPr>
        <w:footnoteRef/>
      </w:r>
      <w:r w:rsidRPr="003B079C">
        <w:t xml:space="preserve"> See, for example, MHA 1983 s.3(2)(c); </w:t>
      </w:r>
      <w:r w:rsidRPr="003B079C">
        <w:rPr>
          <w:i/>
        </w:rPr>
        <w:t xml:space="preserve">Huzzey </w:t>
      </w:r>
      <w:r w:rsidRPr="003B079C">
        <w:t>(n 31), 173 (Latham J); and DH (n 6), paras. 38.15-38.23.</w:t>
      </w:r>
    </w:p>
  </w:footnote>
  <w:footnote w:id="69">
    <w:p w14:paraId="107E8D0D" w14:textId="4A6A8919" w:rsidR="000F747D" w:rsidRPr="003B079C" w:rsidRDefault="000F747D" w:rsidP="004B17B8">
      <w:pPr>
        <w:pStyle w:val="FootnoteText"/>
        <w:spacing w:line="480" w:lineRule="auto"/>
      </w:pPr>
      <w:r w:rsidRPr="003B079C">
        <w:rPr>
          <w:rStyle w:val="FootnoteReference"/>
        </w:rPr>
        <w:footnoteRef/>
      </w:r>
      <w:r w:rsidRPr="003B079C">
        <w:t xml:space="preserve"> E Perkins, </w:t>
      </w:r>
      <w:r w:rsidRPr="003B079C">
        <w:rPr>
          <w:i/>
        </w:rPr>
        <w:t>Decision-Making in Mental Health Review Tribunals</w:t>
      </w:r>
      <w:r w:rsidRPr="003B079C">
        <w:t xml:space="preserve"> (Gateshead: Policy Studies Institute, 2003),</w:t>
      </w:r>
      <w:r w:rsidRPr="003B079C">
        <w:rPr>
          <w:i/>
        </w:rPr>
        <w:t xml:space="preserve"> </w:t>
      </w:r>
      <w:r w:rsidRPr="003B079C">
        <w:t>67-68.</w:t>
      </w:r>
    </w:p>
  </w:footnote>
  <w:footnote w:id="70">
    <w:p w14:paraId="6D2C71F6" w14:textId="227BBB91" w:rsidR="000F747D" w:rsidRPr="003B079C" w:rsidRDefault="000F747D" w:rsidP="004B17B8">
      <w:pPr>
        <w:pStyle w:val="FootnoteText"/>
        <w:spacing w:line="480" w:lineRule="auto"/>
      </w:pPr>
      <w:r w:rsidRPr="003B079C">
        <w:rPr>
          <w:rStyle w:val="FootnoteReference"/>
        </w:rPr>
        <w:footnoteRef/>
      </w:r>
      <w:r w:rsidRPr="003B079C">
        <w:t xml:space="preserve"> MHA 1983 ss.37 and 41.</w:t>
      </w:r>
    </w:p>
  </w:footnote>
  <w:footnote w:id="71">
    <w:p w14:paraId="5D1CE326" w14:textId="741A6B8E" w:rsidR="000F747D" w:rsidRPr="003B079C" w:rsidRDefault="000F747D" w:rsidP="004B17B8">
      <w:pPr>
        <w:pStyle w:val="FootnoteText"/>
        <w:spacing w:line="480" w:lineRule="auto"/>
      </w:pPr>
      <w:r w:rsidRPr="003B079C">
        <w:rPr>
          <w:rStyle w:val="FootnoteReference"/>
        </w:rPr>
        <w:footnoteRef/>
      </w:r>
      <w:r w:rsidRPr="003B079C">
        <w:t xml:space="preserve"> This power is also to be found in s.23 MHA 1983.</w:t>
      </w:r>
    </w:p>
  </w:footnote>
  <w:footnote w:id="72">
    <w:p w14:paraId="76DB2721" w14:textId="080B4AB5" w:rsidR="000F747D" w:rsidRPr="003B079C" w:rsidRDefault="000F747D" w:rsidP="004B17B8">
      <w:pPr>
        <w:pStyle w:val="FootnoteText"/>
        <w:spacing w:line="480" w:lineRule="auto"/>
      </w:pPr>
      <w:r w:rsidRPr="003B079C">
        <w:rPr>
          <w:rStyle w:val="FootnoteReference"/>
        </w:rPr>
        <w:footnoteRef/>
      </w:r>
      <w:r w:rsidRPr="003B079C">
        <w:t xml:space="preserve"> See further </w:t>
      </w:r>
      <w:r w:rsidRPr="003B079C">
        <w:rPr>
          <w:i/>
        </w:rPr>
        <w:t xml:space="preserve">Huzzey </w:t>
      </w:r>
      <w:r w:rsidRPr="003B079C">
        <w:t>(n 31), 173 (Latham J);</w:t>
      </w:r>
      <w:r w:rsidRPr="003B079C">
        <w:rPr>
          <w:i/>
        </w:rPr>
        <w:t xml:space="preserve"> SR </w:t>
      </w:r>
      <w:r w:rsidRPr="003B079C">
        <w:t>(n 7), [4-7] (Jackson J).</w:t>
      </w:r>
    </w:p>
  </w:footnote>
  <w:footnote w:id="73">
    <w:p w14:paraId="7EDF1083" w14:textId="30AA9DCA"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xml:space="preserve">., </w:t>
      </w:r>
      <w:r w:rsidRPr="003B079C">
        <w:rPr>
          <w:i/>
        </w:rPr>
        <w:t xml:space="preserve">Huzzey </w:t>
      </w:r>
      <w:r w:rsidRPr="003B079C">
        <w:t xml:space="preserve">and </w:t>
      </w:r>
      <w:r w:rsidRPr="003B079C">
        <w:rPr>
          <w:i/>
        </w:rPr>
        <w:t xml:space="preserve">O </w:t>
      </w:r>
      <w:r w:rsidRPr="003B079C">
        <w:t>(n 7).</w:t>
      </w:r>
    </w:p>
  </w:footnote>
  <w:footnote w:id="74">
    <w:p w14:paraId="38432184" w14:textId="7D5F87CC" w:rsidR="000F747D" w:rsidRPr="003B079C" w:rsidRDefault="000F747D" w:rsidP="004B17B8">
      <w:pPr>
        <w:pStyle w:val="FootnoteText"/>
        <w:spacing w:line="480" w:lineRule="auto"/>
      </w:pPr>
      <w:r w:rsidRPr="003B079C">
        <w:rPr>
          <w:rStyle w:val="FootnoteReference"/>
        </w:rPr>
        <w:footnoteRef/>
      </w:r>
      <w:r w:rsidRPr="003B079C">
        <w:t xml:space="preserve"> i.e. without </w:t>
      </w:r>
      <w:r w:rsidR="009C3E43" w:rsidRPr="003B079C">
        <w:t>an</w:t>
      </w:r>
      <w:r w:rsidRPr="003B079C">
        <w:t xml:space="preserve"> s.41 restriction.</w:t>
      </w:r>
    </w:p>
  </w:footnote>
  <w:footnote w:id="75">
    <w:p w14:paraId="3461A24A" w14:textId="6BFC9E81" w:rsidR="000F747D" w:rsidRPr="003B079C" w:rsidRDefault="000F747D" w:rsidP="004B17B8">
      <w:pPr>
        <w:pStyle w:val="FootnoteText"/>
        <w:spacing w:line="480" w:lineRule="auto"/>
      </w:pPr>
      <w:r w:rsidRPr="003B079C">
        <w:rPr>
          <w:rStyle w:val="FootnoteReference"/>
        </w:rPr>
        <w:footnoteRef/>
      </w:r>
      <w:r w:rsidRPr="003B079C">
        <w:t xml:space="preserve"> </w:t>
      </w:r>
      <w:r w:rsidR="009F0B09" w:rsidRPr="003B079C">
        <w:t>IMHAP (n 59)</w:t>
      </w:r>
      <w:r w:rsidRPr="003B079C">
        <w:t>, EV103; also Pacitti (n 81), 6.</w:t>
      </w:r>
    </w:p>
  </w:footnote>
  <w:footnote w:id="76">
    <w:p w14:paraId="2D3595D3" w14:textId="6C925BD1" w:rsidR="000F747D" w:rsidRPr="003B079C" w:rsidRDefault="000F747D" w:rsidP="004B17B8">
      <w:pPr>
        <w:pStyle w:val="FootnoteText"/>
        <w:spacing w:line="480" w:lineRule="auto"/>
      </w:pPr>
      <w:r w:rsidRPr="003B079C">
        <w:rPr>
          <w:rStyle w:val="FootnoteReference"/>
        </w:rPr>
        <w:footnoteRef/>
      </w:r>
      <w:r w:rsidR="009F0B09" w:rsidRPr="003B079C">
        <w:rPr>
          <w:i/>
        </w:rPr>
        <w:t xml:space="preserve"> ibid</w:t>
      </w:r>
      <w:r w:rsidR="009F0B09" w:rsidRPr="003B079C">
        <w:t>.</w:t>
      </w:r>
      <w:r w:rsidRPr="003B079C">
        <w:t>, EV104.</w:t>
      </w:r>
    </w:p>
  </w:footnote>
  <w:footnote w:id="77">
    <w:p w14:paraId="7D22F687" w14:textId="23C90024"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xml:space="preserve">., EV114; also </w:t>
      </w:r>
      <w:r w:rsidRPr="003B079C">
        <w:rPr>
          <w:i/>
        </w:rPr>
        <w:t xml:space="preserve">AU </w:t>
      </w:r>
      <w:r w:rsidRPr="003B079C">
        <w:t xml:space="preserve">(n 24), [41] (Cranston J); see also Pacitti (n </w:t>
      </w:r>
      <w:r w:rsidR="009F0B09" w:rsidRPr="003B079C">
        <w:t>66</w:t>
      </w:r>
      <w:r w:rsidRPr="003B079C">
        <w:t>), 6.</w:t>
      </w:r>
    </w:p>
  </w:footnote>
  <w:footnote w:id="78">
    <w:p w14:paraId="01757644" w14:textId="77777777"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 xml:space="preserve">JLG </w:t>
      </w:r>
      <w:r w:rsidRPr="003B079C">
        <w:t xml:space="preserve">(n 7), [7], and a similar point was made in relation to Managers: </w:t>
      </w:r>
      <w:r w:rsidRPr="003B079C">
        <w:rPr>
          <w:i/>
        </w:rPr>
        <w:t xml:space="preserve">AU </w:t>
      </w:r>
      <w:r w:rsidRPr="003B079C">
        <w:t>(n 24) [10], [33-34] (Cranston J).</w:t>
      </w:r>
    </w:p>
  </w:footnote>
  <w:footnote w:id="79">
    <w:p w14:paraId="1246BBAA" w14:textId="22C44AAB" w:rsidR="000F747D" w:rsidRPr="003B079C" w:rsidRDefault="000F747D" w:rsidP="004B17B8">
      <w:pPr>
        <w:pStyle w:val="FootnoteText"/>
        <w:spacing w:line="480" w:lineRule="auto"/>
      </w:pPr>
      <w:r w:rsidRPr="003B079C">
        <w:rPr>
          <w:rStyle w:val="FootnoteReference"/>
        </w:rPr>
        <w:footnoteRef/>
      </w:r>
      <w:r w:rsidRPr="003B079C">
        <w:t xml:space="preserve"> See also </w:t>
      </w:r>
      <w:r w:rsidR="00D20D4C" w:rsidRPr="003B079C">
        <w:t>III(B)</w:t>
      </w:r>
      <w:r w:rsidRPr="003B079C">
        <w:t xml:space="preserve"> below.</w:t>
      </w:r>
    </w:p>
  </w:footnote>
  <w:footnote w:id="80">
    <w:p w14:paraId="3E9A1BA3" w14:textId="77777777" w:rsidR="000F747D" w:rsidRPr="003B079C" w:rsidRDefault="000F747D" w:rsidP="004B17B8">
      <w:pPr>
        <w:pStyle w:val="FootnoteText"/>
        <w:spacing w:line="480" w:lineRule="auto"/>
      </w:pPr>
      <w:r w:rsidRPr="003B079C">
        <w:rPr>
          <w:rStyle w:val="FootnoteReference"/>
        </w:rPr>
        <w:footnoteRef/>
      </w:r>
      <w:r w:rsidRPr="003B079C">
        <w:t xml:space="preserve"> See also DH (n 23), para.3.58. </w:t>
      </w:r>
    </w:p>
  </w:footnote>
  <w:footnote w:id="81">
    <w:p w14:paraId="5091F361" w14:textId="3136F855" w:rsidR="000F747D" w:rsidRPr="003B079C" w:rsidRDefault="000F747D" w:rsidP="004B17B8">
      <w:pPr>
        <w:pStyle w:val="FootnoteText"/>
        <w:spacing w:line="480" w:lineRule="auto"/>
      </w:pPr>
      <w:r w:rsidRPr="003B079C">
        <w:rPr>
          <w:rStyle w:val="FootnoteReference"/>
        </w:rPr>
        <w:footnoteRef/>
      </w:r>
      <w:r w:rsidRPr="003B079C">
        <w:t xml:space="preserve">  But read in full DH (n 6), para. 38.37; leaving aside our lack of knowledge of </w:t>
      </w:r>
      <w:r w:rsidRPr="003B079C">
        <w:rPr>
          <w:i/>
        </w:rPr>
        <w:t>who</w:t>
      </w:r>
      <w:r w:rsidRPr="003B079C">
        <w:t xml:space="preserve"> sits as a Manager, see above at III</w:t>
      </w:r>
      <w:r w:rsidRPr="003B079C">
        <w:rPr>
          <w:i/>
        </w:rPr>
        <w:t>.</w:t>
      </w:r>
    </w:p>
  </w:footnote>
  <w:footnote w:id="82">
    <w:p w14:paraId="38E11257" w14:textId="77777777" w:rsidR="000F747D" w:rsidRPr="003B079C" w:rsidRDefault="000F747D" w:rsidP="004B17B8">
      <w:pPr>
        <w:pStyle w:val="FootnoteText"/>
        <w:spacing w:line="480" w:lineRule="auto"/>
      </w:pPr>
      <w:r w:rsidRPr="003B079C">
        <w:rPr>
          <w:rStyle w:val="FootnoteReference"/>
        </w:rPr>
        <w:footnoteRef/>
      </w:r>
      <w:r w:rsidRPr="003B079C">
        <w:t xml:space="preserve"> See MHA 1959 s.3 and sch.1; compare with MHA 1983 Part V and sch. 2, and MHA 2007 s.38.</w:t>
      </w:r>
    </w:p>
  </w:footnote>
  <w:footnote w:id="83">
    <w:p w14:paraId="6BBAB84E" w14:textId="3B238576" w:rsidR="000F747D" w:rsidRPr="003B079C" w:rsidRDefault="000F747D" w:rsidP="004B17B8">
      <w:pPr>
        <w:pStyle w:val="FootnoteText"/>
        <w:spacing w:line="480" w:lineRule="auto"/>
      </w:pPr>
      <w:r w:rsidRPr="003B079C">
        <w:rPr>
          <w:rStyle w:val="FootnoteReference"/>
        </w:rPr>
        <w:footnoteRef/>
      </w:r>
      <w:r w:rsidRPr="003B079C">
        <w:t xml:space="preserve"> In many respects this runs contrary to other areas of the law dealing with medical expertise.  For example </w:t>
      </w:r>
      <w:r w:rsidRPr="003B079C">
        <w:rPr>
          <w:i/>
        </w:rPr>
        <w:t xml:space="preserve">Bolitho </w:t>
      </w:r>
      <w:r w:rsidRPr="003B079C">
        <w:t xml:space="preserve">v </w:t>
      </w:r>
      <w:r w:rsidRPr="003B079C">
        <w:rPr>
          <w:i/>
        </w:rPr>
        <w:t xml:space="preserve">City and Hackney Health Authority </w:t>
      </w:r>
      <w:r w:rsidRPr="003B079C">
        <w:t>[1998] AC 232, 241-242 (Lord Browne-Wilkinson).</w:t>
      </w:r>
    </w:p>
  </w:footnote>
  <w:footnote w:id="84">
    <w:p w14:paraId="5B4486FE" w14:textId="1165DF55" w:rsidR="000F747D" w:rsidRPr="003B079C" w:rsidRDefault="000F747D" w:rsidP="004B17B8">
      <w:pPr>
        <w:pStyle w:val="FootnoteText"/>
        <w:spacing w:line="480" w:lineRule="auto"/>
      </w:pPr>
      <w:r w:rsidRPr="003B079C">
        <w:rPr>
          <w:rStyle w:val="FootnoteReference"/>
        </w:rPr>
        <w:footnoteRef/>
      </w:r>
      <w:r w:rsidRPr="003B079C">
        <w:t xml:space="preserve"> See also Perkins (n 83), 27-30, 41-48.</w:t>
      </w:r>
    </w:p>
  </w:footnote>
  <w:footnote w:id="85">
    <w:p w14:paraId="3D0BA1CB" w14:textId="4D670068" w:rsidR="000F747D" w:rsidRPr="003B079C" w:rsidRDefault="000F747D" w:rsidP="004B17B8">
      <w:pPr>
        <w:pStyle w:val="FootnoteText"/>
        <w:spacing w:line="480" w:lineRule="auto"/>
      </w:pPr>
      <w:r w:rsidRPr="003B079C">
        <w:rPr>
          <w:rStyle w:val="FootnoteReference"/>
        </w:rPr>
        <w:footnoteRef/>
      </w:r>
      <w:r w:rsidRPr="003B079C">
        <w:t xml:space="preserve"> Perkins (n </w:t>
      </w:r>
      <w:r w:rsidR="009F0B09" w:rsidRPr="003B079C">
        <w:t>68</w:t>
      </w:r>
      <w:r w:rsidRPr="003B079C">
        <w:t xml:space="preserve">), 126, citing Leggatt, Report of the Review of Tribunals, </w:t>
      </w:r>
      <w:r w:rsidRPr="003B079C">
        <w:rPr>
          <w:i/>
        </w:rPr>
        <w:t xml:space="preserve">Tribunals for Users: One System, One Service </w:t>
      </w:r>
      <w:r w:rsidRPr="003B079C">
        <w:t>(London: HMSO, 2001), para. 1.2.</w:t>
      </w:r>
    </w:p>
  </w:footnote>
  <w:footnote w:id="86">
    <w:p w14:paraId="5DDDC68F" w14:textId="03877DF0" w:rsidR="000F747D" w:rsidRPr="003B079C" w:rsidRDefault="000F747D">
      <w:pPr>
        <w:pStyle w:val="FootnoteText"/>
      </w:pPr>
      <w:r w:rsidRPr="003B079C">
        <w:rPr>
          <w:rStyle w:val="FootnoteReference"/>
        </w:rPr>
        <w:footnoteRef/>
      </w:r>
      <w:r w:rsidRPr="003B079C">
        <w:t xml:space="preserve"> DH (n 6) above</w:t>
      </w:r>
      <w:r w:rsidR="009F0B09" w:rsidRPr="003B079C">
        <w:t>.</w:t>
      </w:r>
    </w:p>
  </w:footnote>
  <w:footnote w:id="87">
    <w:p w14:paraId="268533BA" w14:textId="1D3017FD" w:rsidR="000F747D" w:rsidRPr="003B079C" w:rsidRDefault="000F747D" w:rsidP="004B17B8">
      <w:pPr>
        <w:pStyle w:val="FootnoteText"/>
        <w:spacing w:line="480" w:lineRule="auto"/>
      </w:pPr>
      <w:r w:rsidRPr="003B079C">
        <w:rPr>
          <w:rStyle w:val="FootnoteReference"/>
        </w:rPr>
        <w:footnoteRef/>
      </w:r>
      <w:r w:rsidRPr="003B079C">
        <w:t xml:space="preserve"> </w:t>
      </w:r>
      <w:r w:rsidR="009F0B09" w:rsidRPr="003B079C">
        <w:rPr>
          <w:i/>
        </w:rPr>
        <w:t>ibid</w:t>
      </w:r>
      <w:r w:rsidR="009F0B09" w:rsidRPr="003B079C">
        <w:t>.,</w:t>
      </w:r>
      <w:r w:rsidRPr="003B079C">
        <w:t xml:space="preserve"> para. 38.37.</w:t>
      </w:r>
    </w:p>
  </w:footnote>
  <w:footnote w:id="88">
    <w:p w14:paraId="150A979A" w14:textId="70D6712C" w:rsidR="000F747D" w:rsidRPr="003B079C" w:rsidRDefault="000F747D" w:rsidP="004B17B8">
      <w:pPr>
        <w:pStyle w:val="FootnoteText"/>
        <w:spacing w:line="480" w:lineRule="auto"/>
      </w:pPr>
      <w:r w:rsidRPr="003B079C">
        <w:rPr>
          <w:rStyle w:val="FootnoteReference"/>
        </w:rPr>
        <w:footnoteRef/>
      </w:r>
      <w:r w:rsidRPr="003B079C">
        <w:t xml:space="preserve"> See IMHAP (n 59), EV101.</w:t>
      </w:r>
    </w:p>
  </w:footnote>
  <w:footnote w:id="89">
    <w:p w14:paraId="3C2B1047" w14:textId="1932B5D8" w:rsidR="000F747D" w:rsidRPr="003B079C" w:rsidRDefault="000F747D" w:rsidP="004B17B8">
      <w:pPr>
        <w:pStyle w:val="FootnoteText"/>
        <w:spacing w:line="480" w:lineRule="auto"/>
      </w:pPr>
      <w:r w:rsidRPr="003B079C">
        <w:rPr>
          <w:rStyle w:val="FootnoteReference"/>
        </w:rPr>
        <w:footnoteRef/>
      </w:r>
      <w:r w:rsidRPr="003B079C">
        <w:t xml:space="preserve"> Referring to the managers of the hospital, Joint Committee (n 17), Annex 4, Clause 247(q), Government Response, 246.</w:t>
      </w:r>
    </w:p>
  </w:footnote>
  <w:footnote w:id="90">
    <w:p w14:paraId="65F64434" w14:textId="68E3A863" w:rsidR="000F747D" w:rsidRPr="003B079C" w:rsidRDefault="000F747D" w:rsidP="004B17B8">
      <w:pPr>
        <w:pStyle w:val="FootnoteText"/>
        <w:spacing w:line="480" w:lineRule="auto"/>
      </w:pPr>
      <w:r w:rsidRPr="003B079C">
        <w:rPr>
          <w:rStyle w:val="FootnoteReference"/>
        </w:rPr>
        <w:footnoteRef/>
      </w:r>
      <w:r w:rsidRPr="003B079C">
        <w:t xml:space="preserve"> For example, the Expert Committee (n 47) para. 12.1.</w:t>
      </w:r>
    </w:p>
  </w:footnote>
  <w:footnote w:id="91">
    <w:p w14:paraId="002DD6E6" w14:textId="526B5273" w:rsidR="000F747D" w:rsidRPr="003B079C" w:rsidRDefault="000F747D" w:rsidP="004B17B8">
      <w:pPr>
        <w:pStyle w:val="FootnoteText"/>
        <w:spacing w:line="480" w:lineRule="auto"/>
      </w:pPr>
      <w:r w:rsidRPr="003B079C">
        <w:rPr>
          <w:rStyle w:val="FootnoteReference"/>
        </w:rPr>
        <w:footnoteRef/>
      </w:r>
      <w:r w:rsidRPr="003B079C">
        <w:t xml:space="preserve"> For discussion see P Bartlett, ‘Legal madness in the Nineteenth Century’ (2001) 14(1) </w:t>
      </w:r>
      <w:r w:rsidRPr="003B079C">
        <w:rPr>
          <w:i/>
        </w:rPr>
        <w:t>Social History of Medicine</w:t>
      </w:r>
      <w:r w:rsidRPr="003B079C">
        <w:t xml:space="preserve"> 107-131, 126; K Jones, </w:t>
      </w:r>
      <w:r w:rsidRPr="003B079C">
        <w:rPr>
          <w:i/>
        </w:rPr>
        <w:t>Asylums and after: a revised history of the mental health services: from the early 18</w:t>
      </w:r>
      <w:r w:rsidRPr="003B079C">
        <w:rPr>
          <w:i/>
          <w:vertAlign w:val="superscript"/>
        </w:rPr>
        <w:t>th</w:t>
      </w:r>
      <w:r w:rsidRPr="003B079C">
        <w:rPr>
          <w:i/>
        </w:rPr>
        <w:t xml:space="preserve"> century to the 1990s</w:t>
      </w:r>
      <w:r w:rsidRPr="003B079C">
        <w:t xml:space="preserve"> (London: Athlone Press 1993), 71, 77, 81;</w:t>
      </w:r>
      <w:r w:rsidRPr="003B079C">
        <w:rPr>
          <w:i/>
        </w:rPr>
        <w:t xml:space="preserve"> </w:t>
      </w:r>
      <w:r w:rsidRPr="003B079C">
        <w:t xml:space="preserve">A Suzuki, ‘The politics and ideology of non-restraint: the case of the Hanwell Asylum’ (1995) 39 </w:t>
      </w:r>
      <w:r w:rsidRPr="003B079C">
        <w:rPr>
          <w:i/>
        </w:rPr>
        <w:t xml:space="preserve">Medical History </w:t>
      </w:r>
      <w:r w:rsidRPr="003B079C">
        <w:t>1-17, 6-11.</w:t>
      </w:r>
    </w:p>
  </w:footnote>
  <w:footnote w:id="92">
    <w:p w14:paraId="39D5309A" w14:textId="5AF6736C"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w:t>
      </w:r>
      <w:r w:rsidRPr="003B079C">
        <w:rPr>
          <w:i/>
        </w:rPr>
        <w:t xml:space="preserve"> </w:t>
      </w:r>
      <w:r w:rsidRPr="003B079C">
        <w:t>Jones, 92</w:t>
      </w:r>
      <w:r w:rsidRPr="003B079C">
        <w:rPr>
          <w:iCs/>
        </w:rPr>
        <w:t>.</w:t>
      </w:r>
    </w:p>
  </w:footnote>
  <w:footnote w:id="93">
    <w:p w14:paraId="30FD712F" w14:textId="7B36CF1B"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w:t>
      </w:r>
    </w:p>
  </w:footnote>
  <w:footnote w:id="94">
    <w:p w14:paraId="141C3006" w14:textId="1B1F3B9B" w:rsidR="000F747D" w:rsidRPr="003B079C" w:rsidRDefault="000F747D" w:rsidP="004B17B8">
      <w:pPr>
        <w:pStyle w:val="FootnoteText"/>
        <w:spacing w:line="480" w:lineRule="auto"/>
      </w:pPr>
      <w:r w:rsidRPr="003B079C">
        <w:rPr>
          <w:rStyle w:val="FootnoteReference"/>
        </w:rPr>
        <w:footnoteRef/>
      </w:r>
      <w:r w:rsidRPr="003B079C">
        <w:t xml:space="preserve"> See Local Government Act 1888, s.3(vi), and also ss.44, 86 and 111; Lunacy Act 1890, ss. 77, 169-176</w:t>
      </w:r>
    </w:p>
  </w:footnote>
  <w:footnote w:id="95">
    <w:p w14:paraId="590688C9" w14:textId="2100A840" w:rsidR="000F747D" w:rsidRPr="003B079C" w:rsidRDefault="000F747D" w:rsidP="004B17B8">
      <w:pPr>
        <w:pStyle w:val="FootnoteText"/>
        <w:spacing w:line="480" w:lineRule="auto"/>
      </w:pPr>
      <w:r w:rsidRPr="003B079C">
        <w:rPr>
          <w:rStyle w:val="FootnoteReference"/>
        </w:rPr>
        <w:footnoteRef/>
      </w:r>
      <w:r w:rsidRPr="003B079C">
        <w:t xml:space="preserve"> See J P D Dunbabin, 'The politics of the establishment of county councils' (1963) 6(2) </w:t>
      </w:r>
      <w:r w:rsidRPr="003B079C">
        <w:rPr>
          <w:i/>
          <w:iCs/>
        </w:rPr>
        <w:t xml:space="preserve">The Historical Journal </w:t>
      </w:r>
      <w:r w:rsidRPr="003B079C">
        <w:t xml:space="preserve">226-252, 249, 249; B Forsythe, J Melling and R Adair, 'Politics of lunacy: central state regulation and the Devon Pauper Lunatic Asylum, 1845-1914' in B Forsythe and J Melling (eds.) </w:t>
      </w:r>
      <w:r w:rsidRPr="003B079C">
        <w:rPr>
          <w:i/>
          <w:iCs/>
        </w:rPr>
        <w:t xml:space="preserve">Insanity, Institutions and Society, 1800-1914: A social history of madness in comparative perspective </w:t>
      </w:r>
      <w:r w:rsidRPr="003B079C">
        <w:t xml:space="preserve">(London: Routledge, 1999), 80; J Melling and R Turner ‘The road to the asylum: institutions, distance and the administration of pauper lunacy in Devon, 1845-1914’ (1999) 25(3) </w:t>
      </w:r>
      <w:r w:rsidRPr="003B079C">
        <w:rPr>
          <w:i/>
          <w:iCs/>
        </w:rPr>
        <w:t xml:space="preserve">Journal of Historical Geography </w:t>
      </w:r>
      <w:r w:rsidRPr="003B079C">
        <w:t xml:space="preserve">298-332, especially, 332; but this trend was not universal, see S Cherry, </w:t>
      </w:r>
      <w:r w:rsidRPr="003B079C">
        <w:rPr>
          <w:i/>
          <w:iCs/>
        </w:rPr>
        <w:t xml:space="preserve">Mental Health Care in Modern England: The Norfolk Lunatic Asylum, St Andrew's Hospital, 1810-1998 </w:t>
      </w:r>
      <w:r w:rsidRPr="003B079C">
        <w:t>(Woodbridge, Suffolk: Boydell Press, 2003), 112.</w:t>
      </w:r>
    </w:p>
  </w:footnote>
  <w:footnote w:id="96">
    <w:p w14:paraId="2390D118" w14:textId="4AA2A676" w:rsidR="000F747D" w:rsidRPr="003B079C" w:rsidRDefault="000F747D" w:rsidP="004B17B8">
      <w:pPr>
        <w:pStyle w:val="FootnoteText"/>
        <w:spacing w:line="480" w:lineRule="auto"/>
      </w:pPr>
      <w:r w:rsidRPr="003B079C">
        <w:rPr>
          <w:rStyle w:val="FootnoteReference"/>
        </w:rPr>
        <w:footnoteRef/>
      </w:r>
      <w:r w:rsidRPr="003B079C">
        <w:t xml:space="preserve"> Mental Treatment Act 1930, s.7(4).</w:t>
      </w:r>
    </w:p>
  </w:footnote>
  <w:footnote w:id="97">
    <w:p w14:paraId="0A95CA44" w14:textId="28FC92CF" w:rsidR="000F747D" w:rsidRPr="003B079C" w:rsidRDefault="000F747D" w:rsidP="004B17B8">
      <w:pPr>
        <w:pStyle w:val="FootnoteText"/>
        <w:spacing w:line="480" w:lineRule="auto"/>
      </w:pPr>
      <w:r w:rsidRPr="003B079C">
        <w:rPr>
          <w:rStyle w:val="FootnoteReference"/>
        </w:rPr>
        <w:footnoteRef/>
      </w:r>
      <w:r w:rsidRPr="003B079C">
        <w:t xml:space="preserve"> See Melling and Turner (n </w:t>
      </w:r>
      <w:r w:rsidR="009F0B09" w:rsidRPr="003B079C">
        <w:t>94</w:t>
      </w:r>
      <w:r w:rsidRPr="003B079C">
        <w:t>).</w:t>
      </w:r>
    </w:p>
  </w:footnote>
  <w:footnote w:id="98">
    <w:p w14:paraId="5F41B53A" w14:textId="7575C099" w:rsidR="000F747D" w:rsidRPr="003B079C" w:rsidRDefault="000F747D" w:rsidP="004B17B8">
      <w:pPr>
        <w:pStyle w:val="FootnoteText"/>
        <w:spacing w:line="480" w:lineRule="auto"/>
      </w:pPr>
      <w:r w:rsidRPr="003B079C">
        <w:rPr>
          <w:rStyle w:val="FootnoteReference"/>
        </w:rPr>
        <w:footnoteRef/>
      </w:r>
      <w:r w:rsidRPr="003B079C">
        <w:t xml:space="preserve"> As they were renamed under s.20 of the Mental Treatment Act 1930.</w:t>
      </w:r>
    </w:p>
  </w:footnote>
  <w:footnote w:id="99">
    <w:p w14:paraId="73DB1AF7" w14:textId="0CDB683A" w:rsidR="000F747D" w:rsidRPr="003B079C" w:rsidRDefault="000F747D" w:rsidP="004B17B8">
      <w:pPr>
        <w:pStyle w:val="FootnoteText"/>
        <w:spacing w:line="480" w:lineRule="auto"/>
      </w:pPr>
      <w:r w:rsidRPr="003B079C">
        <w:rPr>
          <w:rStyle w:val="FootnoteReference"/>
        </w:rPr>
        <w:footnoteRef/>
      </w:r>
      <w:r w:rsidRPr="003B079C">
        <w:t xml:space="preserve"> NHS Act 1946, s.78(a) and sch.9 (</w:t>
      </w:r>
      <w:r w:rsidR="009F0B09" w:rsidRPr="003B079C">
        <w:t>P</w:t>
      </w:r>
      <w:r w:rsidRPr="003B079C">
        <w:t>art 1).</w:t>
      </w:r>
    </w:p>
  </w:footnote>
  <w:footnote w:id="100">
    <w:p w14:paraId="223C2B12" w14:textId="0C5C6EB7" w:rsidR="000F747D" w:rsidRPr="003B079C" w:rsidRDefault="000F747D" w:rsidP="004B17B8">
      <w:pPr>
        <w:pStyle w:val="FootnoteText"/>
        <w:spacing w:line="480" w:lineRule="auto"/>
        <w:rPr>
          <w:b/>
        </w:rPr>
      </w:pPr>
      <w:r w:rsidRPr="003B079C">
        <w:rPr>
          <w:rStyle w:val="FootnoteReference"/>
        </w:rPr>
        <w:footnoteRef/>
      </w:r>
      <w:r w:rsidRPr="003B079C">
        <w:t xml:space="preserve"> MHA 1959 s.47, especially s.47(4), and s.59</w:t>
      </w:r>
    </w:p>
  </w:footnote>
  <w:footnote w:id="101">
    <w:p w14:paraId="1EACED04" w14:textId="342FB131" w:rsidR="000F747D" w:rsidRPr="003B079C" w:rsidRDefault="000F747D" w:rsidP="004B17B8">
      <w:pPr>
        <w:pStyle w:val="FootnoteText"/>
        <w:spacing w:line="480" w:lineRule="auto"/>
      </w:pPr>
      <w:r w:rsidRPr="003B079C">
        <w:rPr>
          <w:rStyle w:val="FootnoteReference"/>
        </w:rPr>
        <w:footnoteRef/>
      </w:r>
      <w:r w:rsidRPr="003B079C">
        <w:t xml:space="preserve"> MHA 1983 s.23, especially s.23(4), ss.142B and 145.</w:t>
      </w:r>
    </w:p>
  </w:footnote>
  <w:footnote w:id="102">
    <w:p w14:paraId="05F2000F" w14:textId="1398045E" w:rsidR="000F747D" w:rsidRPr="003B079C" w:rsidRDefault="000F747D" w:rsidP="004B17B8">
      <w:pPr>
        <w:pStyle w:val="FootnoteText"/>
        <w:spacing w:line="480" w:lineRule="auto"/>
      </w:pPr>
      <w:r w:rsidRPr="003B079C">
        <w:rPr>
          <w:rStyle w:val="FootnoteReference"/>
        </w:rPr>
        <w:footnoteRef/>
      </w:r>
      <w:r w:rsidRPr="003B079C">
        <w:t xml:space="preserve"> Some argued that it was not permitted, see Williamson (1985) (n 19), 4-5, 7, in contrast to Department of Health and Social Security, Home Office, Welsh Office, </w:t>
      </w:r>
      <w:r w:rsidRPr="003B079C">
        <w:rPr>
          <w:i/>
        </w:rPr>
        <w:t xml:space="preserve">Review of the Mental Health Act 1959 </w:t>
      </w:r>
      <w:r w:rsidRPr="003B079C">
        <w:t>(cmnd 7320) (London: HMSO, 1978), para. 3.18.</w:t>
      </w:r>
    </w:p>
  </w:footnote>
  <w:footnote w:id="103">
    <w:p w14:paraId="60EFC56A" w14:textId="39885EA2" w:rsidR="000F747D" w:rsidRPr="003B079C" w:rsidRDefault="000F747D" w:rsidP="004B17B8">
      <w:pPr>
        <w:pStyle w:val="FootnoteText"/>
        <w:spacing w:line="480" w:lineRule="auto"/>
      </w:pPr>
      <w:r w:rsidRPr="003B079C">
        <w:rPr>
          <w:rStyle w:val="FootnoteReference"/>
        </w:rPr>
        <w:footnoteRef/>
      </w:r>
      <w:r w:rsidRPr="003B079C">
        <w:t xml:space="preserve"> There were only brief exchanges, which themselves disclose a lack of understanding, for example, House of Commons Special Standing Committee on the Mental Health Act Bill 1981-92 (22nd April - 29th June 1982) in </w:t>
      </w:r>
      <w:r w:rsidRPr="003B079C">
        <w:rPr>
          <w:i/>
          <w:iCs/>
        </w:rPr>
        <w:t>Parliamentary Debates, House of Commons Official Report, Standing Committees, Session 1981-82, Volume XI</w:t>
      </w:r>
      <w:r w:rsidRPr="003B079C">
        <w:t xml:space="preserve"> (London: HMSO), 171-172.</w:t>
      </w:r>
    </w:p>
  </w:footnote>
  <w:footnote w:id="104">
    <w:p w14:paraId="7B4B6418" w14:textId="416AA073" w:rsidR="000F747D" w:rsidRPr="003B079C" w:rsidRDefault="000F747D" w:rsidP="004B17B8">
      <w:pPr>
        <w:pStyle w:val="FootnoteText"/>
        <w:spacing w:line="480" w:lineRule="auto"/>
      </w:pPr>
      <w:r w:rsidRPr="003B079C">
        <w:rPr>
          <w:rStyle w:val="FootnoteReference"/>
        </w:rPr>
        <w:footnoteRef/>
      </w:r>
      <w:r w:rsidRPr="003B079C">
        <w:t xml:space="preserve"> This led others to suggest an unofficial framework, see C Williamson, ‘Patients’ appeals against compulsory detention: a systematic procedure for applying the Mental Health Act 1983’ (1984) 80(4) </w:t>
      </w:r>
      <w:r w:rsidRPr="003B079C">
        <w:rPr>
          <w:i/>
        </w:rPr>
        <w:t xml:space="preserve">Hospital and Health Services Review </w:t>
      </w:r>
      <w:r w:rsidRPr="003B079C">
        <w:t>179-181.</w:t>
      </w:r>
    </w:p>
  </w:footnote>
  <w:footnote w:id="105">
    <w:p w14:paraId="4C2901BA" w14:textId="75CE2621" w:rsidR="000F747D" w:rsidRPr="003B079C" w:rsidRDefault="000F747D" w:rsidP="004B17B8">
      <w:pPr>
        <w:pStyle w:val="FootnoteText"/>
        <w:spacing w:line="480" w:lineRule="auto"/>
      </w:pPr>
      <w:r w:rsidRPr="003B079C">
        <w:rPr>
          <w:rStyle w:val="FootnoteReference"/>
        </w:rPr>
        <w:footnoteRef/>
      </w:r>
      <w:r w:rsidRPr="003B079C">
        <w:t xml:space="preserve"> See Williamson (1991) (n 19), 4; and also MHAC, </w:t>
      </w:r>
      <w:r w:rsidRPr="003B079C">
        <w:rPr>
          <w:i/>
        </w:rPr>
        <w:t xml:space="preserve">Sixth Biennial Report 1993-1995 </w:t>
      </w:r>
      <w:r w:rsidRPr="003B079C">
        <w:t>(London: HMSO, 1995), para. 3.7.</w:t>
      </w:r>
    </w:p>
  </w:footnote>
  <w:footnote w:id="106">
    <w:p w14:paraId="5842B5C0" w14:textId="3E5541AC" w:rsidR="000F747D" w:rsidRPr="003B079C" w:rsidRDefault="000F747D" w:rsidP="004B17B8">
      <w:pPr>
        <w:pStyle w:val="FootnoteText"/>
        <w:spacing w:line="480" w:lineRule="auto"/>
      </w:pPr>
      <w:r w:rsidRPr="003B079C">
        <w:rPr>
          <w:rStyle w:val="FootnoteReference"/>
        </w:rPr>
        <w:footnoteRef/>
      </w:r>
      <w:r w:rsidRPr="003B079C">
        <w:t xml:space="preserve"> See DH and Welsh Office, </w:t>
      </w:r>
      <w:r w:rsidRPr="003B079C">
        <w:rPr>
          <w:i/>
        </w:rPr>
        <w:t xml:space="preserve">Mental Health Act Code of Practice </w:t>
      </w:r>
      <w:r w:rsidRPr="003B079C">
        <w:t>(London: HMSO, 1</w:t>
      </w:r>
      <w:r w:rsidRPr="003B079C">
        <w:rPr>
          <w:vertAlign w:val="superscript"/>
        </w:rPr>
        <w:t>st</w:t>
      </w:r>
      <w:r w:rsidRPr="003B079C">
        <w:t xml:space="preserve"> edition 1990); and </w:t>
      </w:r>
      <w:r w:rsidRPr="003B079C">
        <w:rPr>
          <w:i/>
        </w:rPr>
        <w:t xml:space="preserve">Mental Health Act Code of Practice </w:t>
      </w:r>
      <w:r w:rsidRPr="003B079C">
        <w:t>(London: HMSO, 2</w:t>
      </w:r>
      <w:r w:rsidRPr="003B079C">
        <w:rPr>
          <w:vertAlign w:val="superscript"/>
        </w:rPr>
        <w:t>nd</w:t>
      </w:r>
      <w:r w:rsidRPr="003B079C">
        <w:t xml:space="preserve"> edition 1993).</w:t>
      </w:r>
    </w:p>
  </w:footnote>
  <w:footnote w:id="107">
    <w:p w14:paraId="4A8E64C5" w14:textId="3E5AA3FE" w:rsidR="000F747D" w:rsidRPr="003B079C" w:rsidRDefault="000F747D" w:rsidP="004B17B8">
      <w:pPr>
        <w:pStyle w:val="FootnoteText"/>
        <w:spacing w:line="480" w:lineRule="auto"/>
      </w:pPr>
      <w:r w:rsidRPr="003B079C">
        <w:rPr>
          <w:rStyle w:val="FootnoteReference"/>
        </w:rPr>
        <w:footnoteRef/>
      </w:r>
      <w:r w:rsidRPr="003B079C">
        <w:t xml:space="preserve"> DH and Welsh Office, </w:t>
      </w:r>
      <w:r w:rsidRPr="003B079C">
        <w:rPr>
          <w:i/>
        </w:rPr>
        <w:t xml:space="preserve">Mental Health Act Code of Practice </w:t>
      </w:r>
      <w:r w:rsidRPr="003B079C">
        <w:t>(London: HMSO, 3</w:t>
      </w:r>
      <w:r w:rsidRPr="003B079C">
        <w:rPr>
          <w:vertAlign w:val="superscript"/>
        </w:rPr>
        <w:t>rd</w:t>
      </w:r>
      <w:r w:rsidRPr="003B079C">
        <w:t xml:space="preserve"> edition 1999), para. 23.1.</w:t>
      </w:r>
    </w:p>
  </w:footnote>
  <w:footnote w:id="108">
    <w:p w14:paraId="0C380402" w14:textId="4070DE23"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paras. 23.3-23.4.</w:t>
      </w:r>
    </w:p>
  </w:footnote>
  <w:footnote w:id="109">
    <w:p w14:paraId="6E638206" w14:textId="234F8F79" w:rsidR="000F747D" w:rsidRPr="003B079C" w:rsidRDefault="000F747D" w:rsidP="004B17B8">
      <w:pPr>
        <w:pStyle w:val="FootnoteText"/>
        <w:spacing w:line="480" w:lineRule="auto"/>
      </w:pPr>
      <w:r w:rsidRPr="003B079C">
        <w:rPr>
          <w:rStyle w:val="FootnoteReference"/>
        </w:rPr>
        <w:footnoteRef/>
      </w:r>
      <w:r w:rsidRPr="003B079C">
        <w:t xml:space="preserve"> Applied to judicial processes generally by P Gerangelos, </w:t>
      </w:r>
      <w:r w:rsidRPr="003B079C">
        <w:rPr>
          <w:i/>
        </w:rPr>
        <w:t xml:space="preserve">The Separation of Powers and Legislative Interference in Judicial Processes: Constitutional Principles and Limitations </w:t>
      </w:r>
      <w:r w:rsidRPr="003B079C">
        <w:t>(Oxford: Hart, 2009), 1.</w:t>
      </w:r>
    </w:p>
  </w:footnote>
  <w:footnote w:id="110">
    <w:p w14:paraId="157A5B22" w14:textId="44C7E516" w:rsidR="000F747D" w:rsidRPr="003B079C" w:rsidRDefault="000F747D" w:rsidP="004B17B8">
      <w:pPr>
        <w:pStyle w:val="FootnoteText"/>
        <w:spacing w:line="480" w:lineRule="auto"/>
      </w:pPr>
      <w:r w:rsidRPr="003B079C">
        <w:rPr>
          <w:rStyle w:val="FootnoteReference"/>
        </w:rPr>
        <w:footnoteRef/>
      </w:r>
      <w:r w:rsidRPr="003B079C">
        <w:t xml:space="preserve"> NHS and Community Care Act 1990 which created NHS Trusts, and the Health and Social Care (Community Health and Standards) Act 2003 which created NHS Foundation Trusts.</w:t>
      </w:r>
    </w:p>
  </w:footnote>
  <w:footnote w:id="111">
    <w:p w14:paraId="6C75B6E7" w14:textId="7E7369B6" w:rsidR="000F747D" w:rsidRPr="003B079C" w:rsidRDefault="000F747D" w:rsidP="004B17B8">
      <w:pPr>
        <w:pStyle w:val="FootnoteText"/>
        <w:spacing w:line="480" w:lineRule="auto"/>
      </w:pPr>
      <w:r w:rsidRPr="003B079C">
        <w:rPr>
          <w:rStyle w:val="FootnoteReference"/>
        </w:rPr>
        <w:footnoteRef/>
      </w:r>
      <w:r w:rsidRPr="003B079C">
        <w:t xml:space="preserve"> Consider again the statements regarding Glen Grant, HC Deb 20 February 1996 vol 272 cc.175-87 and HL Deb 20 February 1996 vol 569 cc.991-1004.</w:t>
      </w:r>
    </w:p>
  </w:footnote>
  <w:footnote w:id="112">
    <w:p w14:paraId="749606EF" w14:textId="753CBDFE" w:rsidR="000F747D" w:rsidRPr="003B079C" w:rsidRDefault="000F747D" w:rsidP="004B17B8">
      <w:pPr>
        <w:pStyle w:val="FootnoteText"/>
        <w:spacing w:line="480" w:lineRule="auto"/>
      </w:pPr>
      <w:r w:rsidRPr="003B079C">
        <w:rPr>
          <w:rStyle w:val="FootnoteReference"/>
        </w:rPr>
        <w:footnoteRef/>
      </w:r>
      <w:r w:rsidRPr="003B079C">
        <w:t xml:space="preserve"> NHS Act 1977.</w:t>
      </w:r>
    </w:p>
  </w:footnote>
  <w:footnote w:id="113">
    <w:p w14:paraId="185D5E56" w14:textId="76A8D96D" w:rsidR="000F747D" w:rsidRPr="003B079C" w:rsidRDefault="000F747D" w:rsidP="004B17B8">
      <w:pPr>
        <w:pStyle w:val="FootnoteText"/>
        <w:spacing w:line="480" w:lineRule="auto"/>
      </w:pPr>
      <w:r w:rsidRPr="003B079C">
        <w:rPr>
          <w:rStyle w:val="FootnoteReference"/>
        </w:rPr>
        <w:footnoteRef/>
      </w:r>
      <w:r w:rsidRPr="003B079C">
        <w:t xml:space="preserve"> See again (n 1</w:t>
      </w:r>
      <w:r w:rsidR="009F0B09" w:rsidRPr="003B079C">
        <w:t>09</w:t>
      </w:r>
      <w:r w:rsidRPr="003B079C">
        <w:t>).</w:t>
      </w:r>
    </w:p>
  </w:footnote>
  <w:footnote w:id="114">
    <w:p w14:paraId="6D7DDBE3" w14:textId="0AB2D23F" w:rsidR="000F747D" w:rsidRPr="003B079C" w:rsidRDefault="000F747D" w:rsidP="004B17B8">
      <w:pPr>
        <w:pStyle w:val="FootnoteText"/>
        <w:spacing w:line="480" w:lineRule="auto"/>
      </w:pPr>
      <w:r w:rsidRPr="003B079C">
        <w:rPr>
          <w:rStyle w:val="FootnoteReference"/>
        </w:rPr>
        <w:footnoteRef/>
      </w:r>
      <w:r w:rsidRPr="003B079C">
        <w:t xml:space="preserve"> NHS and Community Care Act 1990 s.5, and especially s.5(5)(a).</w:t>
      </w:r>
    </w:p>
  </w:footnote>
  <w:footnote w:id="115">
    <w:p w14:paraId="39EBDFFB" w14:textId="01A95698" w:rsidR="000F747D" w:rsidRPr="003B079C" w:rsidRDefault="000F747D" w:rsidP="004B17B8">
      <w:pPr>
        <w:pStyle w:val="FootnoteText"/>
        <w:spacing w:line="480" w:lineRule="auto"/>
      </w:pPr>
      <w:r w:rsidRPr="003B079C">
        <w:rPr>
          <w:rStyle w:val="FootnoteReference"/>
        </w:rPr>
        <w:footnoteRef/>
      </w:r>
      <w:r w:rsidRPr="003B079C">
        <w:t xml:space="preserve"> Lord Sanderson, HL Deb 14 May 1990 vol.519, cc.142, 145.</w:t>
      </w:r>
    </w:p>
  </w:footnote>
  <w:footnote w:id="116">
    <w:p w14:paraId="288FC26B" w14:textId="72924E89" w:rsidR="000F747D" w:rsidRPr="003B079C" w:rsidRDefault="000F747D" w:rsidP="004B17B8">
      <w:pPr>
        <w:pStyle w:val="FootnoteText"/>
        <w:spacing w:line="480" w:lineRule="auto"/>
      </w:pPr>
      <w:r w:rsidRPr="003B079C">
        <w:rPr>
          <w:rStyle w:val="FootnoteReference"/>
        </w:rPr>
        <w:footnoteRef/>
      </w:r>
      <w:r w:rsidRPr="003B079C">
        <w:t xml:space="preserve"> The accompanying secondary legislation supported this assumption, see NHS Trusts (Membership and Procedure Regulations 1990) SI 1990 no. 2024, see also Williamson and Vellenoweth (n 19), 13-14.</w:t>
      </w:r>
    </w:p>
  </w:footnote>
  <w:footnote w:id="117">
    <w:p w14:paraId="28FC6844" w14:textId="44DFBF7A" w:rsidR="000F747D" w:rsidRPr="003B079C" w:rsidRDefault="000F747D" w:rsidP="004B17B8">
      <w:pPr>
        <w:pStyle w:val="FootnoteText"/>
        <w:spacing w:line="480" w:lineRule="auto"/>
      </w:pPr>
      <w:r w:rsidRPr="003B079C">
        <w:rPr>
          <w:rStyle w:val="FootnoteReference"/>
        </w:rPr>
        <w:footnoteRef/>
      </w:r>
      <w:r w:rsidRPr="003B079C">
        <w:t xml:space="preserve"> See HL Deb 27 June 1990 vol.175 c.460l see also Amendment no.674 in House of Commons Standing Committee E on 22 February 1990 (morning session) which was left to stand there and at Report stage.</w:t>
      </w:r>
    </w:p>
  </w:footnote>
  <w:footnote w:id="118">
    <w:p w14:paraId="3912296A" w14:textId="5B5D2DB3" w:rsidR="000F747D" w:rsidRPr="003B079C" w:rsidRDefault="000F747D" w:rsidP="004B17B8">
      <w:pPr>
        <w:pStyle w:val="FootnoteText"/>
        <w:spacing w:line="480" w:lineRule="auto"/>
      </w:pPr>
      <w:r w:rsidRPr="003B079C">
        <w:rPr>
          <w:rStyle w:val="FootnoteReference"/>
        </w:rPr>
        <w:footnoteRef/>
      </w:r>
      <w:r w:rsidRPr="003B079C">
        <w:t xml:space="preserve"> HC Deb 9 July 1993 vol.228 c.292.</w:t>
      </w:r>
    </w:p>
  </w:footnote>
  <w:footnote w:id="119">
    <w:p w14:paraId="445FA434" w14:textId="36522BD4" w:rsidR="000F747D" w:rsidRPr="003B079C" w:rsidRDefault="000F747D" w:rsidP="004B17B8">
      <w:pPr>
        <w:pStyle w:val="FootnoteText"/>
        <w:spacing w:line="480" w:lineRule="auto"/>
      </w:pPr>
      <w:r w:rsidRPr="003B079C">
        <w:rPr>
          <w:rStyle w:val="FootnoteReference"/>
        </w:rPr>
        <w:footnoteRef/>
      </w:r>
      <w:r w:rsidRPr="003B079C">
        <w:t xml:space="preserve"> Mental Health (Amendment) Act 1994.</w:t>
      </w:r>
    </w:p>
  </w:footnote>
  <w:footnote w:id="120">
    <w:p w14:paraId="4680835D" w14:textId="09022E9B" w:rsidR="000F747D" w:rsidRPr="003B079C" w:rsidRDefault="000F747D" w:rsidP="004B17B8">
      <w:pPr>
        <w:pStyle w:val="FootnoteText"/>
        <w:spacing w:line="480" w:lineRule="auto"/>
      </w:pPr>
      <w:r w:rsidRPr="003B079C">
        <w:rPr>
          <w:rStyle w:val="FootnoteReference"/>
        </w:rPr>
        <w:footnoteRef/>
      </w:r>
      <w:r w:rsidRPr="003B079C">
        <w:t xml:space="preserve"> See NHS and Community Care Act 1990 s.66 and Sch.9 para.24(9).  Curiously the </w:t>
      </w:r>
      <w:r w:rsidRPr="003B079C">
        <w:rPr>
          <w:i/>
        </w:rPr>
        <w:t xml:space="preserve">Code of Practice </w:t>
      </w:r>
      <w:r w:rsidRPr="003B079C">
        <w:t>(2e)</w:t>
      </w:r>
      <w:r w:rsidRPr="003B079C">
        <w:rPr>
          <w:i/>
        </w:rPr>
        <w:t xml:space="preserve"> </w:t>
      </w:r>
      <w:r w:rsidRPr="003B079C">
        <w:t>in force at the time makes no mention of the issue, and almost replicates exactly the first edition in this regard, see DH and the Welsh Office</w:t>
      </w:r>
      <w:r w:rsidR="009F0B09" w:rsidRPr="003B079C">
        <w:t xml:space="preserve"> (n 105</w:t>
      </w:r>
      <w:r w:rsidRPr="003B079C">
        <w:t>).</w:t>
      </w:r>
    </w:p>
  </w:footnote>
  <w:footnote w:id="121">
    <w:p w14:paraId="4E3D6E0F" w14:textId="05132992" w:rsidR="000F747D" w:rsidRPr="003B079C" w:rsidRDefault="000F747D" w:rsidP="004B17B8">
      <w:pPr>
        <w:pStyle w:val="FootnoteText"/>
        <w:spacing w:line="480" w:lineRule="auto"/>
      </w:pPr>
      <w:r w:rsidRPr="003B079C">
        <w:rPr>
          <w:rStyle w:val="FootnoteReference"/>
        </w:rPr>
        <w:footnoteRef/>
      </w:r>
      <w:r w:rsidRPr="003B079C">
        <w:t xml:space="preserve"> A maximum of 11, see again SI No. 2024, Part II(2) (n </w:t>
      </w:r>
      <w:r w:rsidR="009F0B09" w:rsidRPr="003B079C">
        <w:t>115</w:t>
      </w:r>
      <w:r w:rsidRPr="003B079C">
        <w:t>); see also Williamson and Vellenoweth (n 19), 13.</w:t>
      </w:r>
    </w:p>
  </w:footnote>
  <w:footnote w:id="122">
    <w:p w14:paraId="3C952166" w14:textId="7CF2A3F7" w:rsidR="000F747D" w:rsidRPr="003B079C" w:rsidRDefault="000F747D" w:rsidP="004B17B8">
      <w:pPr>
        <w:pStyle w:val="FootnoteText"/>
        <w:spacing w:line="480" w:lineRule="auto"/>
      </w:pPr>
      <w:r w:rsidRPr="003B079C">
        <w:rPr>
          <w:rStyle w:val="FootnoteReference"/>
        </w:rPr>
        <w:footnoteRef/>
      </w:r>
      <w:r w:rsidRPr="003B079C">
        <w:t xml:space="preserve"> See NHS Management Executive Letter TEL 93/2 and HL Deb 20 January 1994 vol.551 cc.776-782 for detail; and also Williamson and Vellenoweth (n 19), 13.</w:t>
      </w:r>
    </w:p>
  </w:footnote>
  <w:footnote w:id="123">
    <w:p w14:paraId="2E64FEA2" w14:textId="40781A98" w:rsidR="000F747D" w:rsidRPr="003B079C" w:rsidRDefault="000F747D" w:rsidP="004B17B8">
      <w:pPr>
        <w:pStyle w:val="FootnoteText"/>
        <w:spacing w:line="480" w:lineRule="auto"/>
      </w:pPr>
      <w:r w:rsidRPr="003B079C">
        <w:rPr>
          <w:rStyle w:val="FootnoteReference"/>
        </w:rPr>
        <w:footnoteRef/>
      </w:r>
      <w:r w:rsidRPr="003B079C">
        <w:t xml:space="preserve"> See further Lord Jenkin, HL Deb 20 January 1994 vol.551 c.778.</w:t>
      </w:r>
    </w:p>
  </w:footnote>
  <w:footnote w:id="124">
    <w:p w14:paraId="3AE3B2BA" w14:textId="63C36D70" w:rsidR="000F747D" w:rsidRPr="003B079C" w:rsidRDefault="000F747D" w:rsidP="004B17B8">
      <w:pPr>
        <w:pStyle w:val="FootnoteText"/>
        <w:spacing w:line="480" w:lineRule="auto"/>
      </w:pPr>
      <w:r w:rsidRPr="003B079C">
        <w:rPr>
          <w:rStyle w:val="FootnoteReference"/>
        </w:rPr>
        <w:footnoteRef/>
      </w:r>
      <w:r w:rsidRPr="003B079C">
        <w:t xml:space="preserve"> See (n 1</w:t>
      </w:r>
      <w:r w:rsidR="009F0B09" w:rsidRPr="003B079C">
        <w:t>04</w:t>
      </w:r>
      <w:r w:rsidRPr="003B079C">
        <w:t>).</w:t>
      </w:r>
    </w:p>
  </w:footnote>
  <w:footnote w:id="125">
    <w:p w14:paraId="63EDCF7D" w14:textId="685F0DDA" w:rsidR="000F747D" w:rsidRPr="003B079C" w:rsidRDefault="000F747D" w:rsidP="004B17B8">
      <w:pPr>
        <w:pStyle w:val="FootnoteText"/>
        <w:spacing w:line="480" w:lineRule="auto"/>
      </w:pPr>
      <w:r w:rsidRPr="003B079C">
        <w:rPr>
          <w:rStyle w:val="FootnoteReference"/>
        </w:rPr>
        <w:footnoteRef/>
      </w:r>
      <w:r w:rsidRPr="003B079C">
        <w:t xml:space="preserve"> See debate on the Bill correcting this problem, Baroness Cumberlege HL Deb 20 January 1994 vol.551 c.780; and Williamson and Vellenoweth (n 19), 13; see also Joint Committee (n 17), note. 327 at 99.</w:t>
      </w:r>
    </w:p>
  </w:footnote>
  <w:footnote w:id="126">
    <w:p w14:paraId="1F174354" w14:textId="69133025" w:rsidR="000F747D" w:rsidRPr="003B079C" w:rsidRDefault="000F747D" w:rsidP="004B17B8">
      <w:pPr>
        <w:pStyle w:val="FootnoteText"/>
        <w:spacing w:line="480" w:lineRule="auto"/>
      </w:pPr>
      <w:r w:rsidRPr="003B079C">
        <w:rPr>
          <w:rStyle w:val="FootnoteReference"/>
        </w:rPr>
        <w:footnoteRef/>
      </w:r>
      <w:r w:rsidRPr="003B079C">
        <w:t xml:space="preserve"> Lord Jenkin (n 1</w:t>
      </w:r>
      <w:r w:rsidR="009F0B09" w:rsidRPr="003B079C">
        <w:t>22</w:t>
      </w:r>
      <w:r w:rsidRPr="003B079C">
        <w:t>) c.777; see also Baroness Jay</w:t>
      </w:r>
      <w:r w:rsidRPr="003B079C">
        <w:rPr>
          <w:sz w:val="22"/>
          <w:szCs w:val="22"/>
        </w:rPr>
        <w:t xml:space="preserve"> </w:t>
      </w:r>
      <w:r w:rsidRPr="003B079C">
        <w:t>at c.779.</w:t>
      </w:r>
    </w:p>
  </w:footnote>
  <w:footnote w:id="127">
    <w:p w14:paraId="6DDBF564" w14:textId="201A1D1E"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w:t>
      </w:r>
      <w:r w:rsidRPr="003B079C">
        <w:rPr>
          <w:i/>
        </w:rPr>
        <w:t xml:space="preserve"> </w:t>
      </w:r>
      <w:r w:rsidRPr="003B079C">
        <w:t>Lord Jenkin cc.777-778.</w:t>
      </w:r>
    </w:p>
  </w:footnote>
  <w:footnote w:id="128">
    <w:p w14:paraId="5A7EAB7B" w14:textId="7DBB1C01"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xml:space="preserve">., c.777, </w:t>
      </w:r>
      <w:r w:rsidRPr="003B079C">
        <w:rPr>
          <w:i/>
        </w:rPr>
        <w:t>emphasis</w:t>
      </w:r>
      <w:r w:rsidRPr="003B079C">
        <w:t xml:space="preserve"> added.</w:t>
      </w:r>
    </w:p>
  </w:footnote>
  <w:footnote w:id="129">
    <w:p w14:paraId="62F69621" w14:textId="77777777" w:rsidR="000F747D" w:rsidRPr="003B079C" w:rsidRDefault="000F747D" w:rsidP="004B17B8">
      <w:pPr>
        <w:pStyle w:val="FootnoteText"/>
        <w:spacing w:line="480" w:lineRule="auto"/>
      </w:pPr>
      <w:r w:rsidRPr="003B079C">
        <w:rPr>
          <w:rStyle w:val="FootnoteReference"/>
        </w:rPr>
        <w:footnoteRef/>
      </w:r>
      <w:r w:rsidRPr="003B079C">
        <w:t xml:space="preserve"> Royal assent 8</w:t>
      </w:r>
      <w:r w:rsidRPr="003B079C">
        <w:rPr>
          <w:vertAlign w:val="superscript"/>
        </w:rPr>
        <w:t>th</w:t>
      </w:r>
      <w:r w:rsidRPr="003B079C">
        <w:t xml:space="preserve"> November 2006, in force from 1</w:t>
      </w:r>
      <w:r w:rsidRPr="003B079C">
        <w:rPr>
          <w:vertAlign w:val="superscript"/>
        </w:rPr>
        <w:t>st</w:t>
      </w:r>
      <w:r w:rsidRPr="003B079C">
        <w:t xml:space="preserve"> March 2007.</w:t>
      </w:r>
    </w:p>
  </w:footnote>
  <w:footnote w:id="130">
    <w:p w14:paraId="0331B7BA" w14:textId="06976D88" w:rsidR="000F747D" w:rsidRPr="003B079C" w:rsidRDefault="000F747D" w:rsidP="004B17B8">
      <w:pPr>
        <w:pStyle w:val="FootnoteText"/>
        <w:spacing w:line="480" w:lineRule="auto"/>
      </w:pPr>
      <w:r w:rsidRPr="003B079C">
        <w:rPr>
          <w:rStyle w:val="FootnoteReference"/>
        </w:rPr>
        <w:footnoteRef/>
      </w:r>
      <w:r w:rsidRPr="003B079C">
        <w:t xml:space="preserve"> Baroness Meacher, HL Deb 28 November 2006, vol.687 c.708; see also MHAC (2005-2007) (n 18), paras. 4.98-4.100.</w:t>
      </w:r>
    </w:p>
  </w:footnote>
  <w:footnote w:id="131">
    <w:p w14:paraId="25621F22" w14:textId="7BE61DEA" w:rsidR="000F747D" w:rsidRPr="003B079C" w:rsidRDefault="000F747D" w:rsidP="004B17B8">
      <w:pPr>
        <w:pStyle w:val="FootnoteText"/>
        <w:spacing w:line="480" w:lineRule="auto"/>
      </w:pPr>
      <w:r w:rsidRPr="003B079C">
        <w:rPr>
          <w:rStyle w:val="FootnoteReference"/>
        </w:rPr>
        <w:footnoteRef/>
      </w:r>
      <w:r w:rsidRPr="003B079C">
        <w:t xml:space="preserve"> The last mention of the relevant provision, Clause 44, is to be found in the House of Commons Public Bill Committee on 15</w:t>
      </w:r>
      <w:r w:rsidRPr="003B079C">
        <w:rPr>
          <w:vertAlign w:val="superscript"/>
        </w:rPr>
        <w:t xml:space="preserve"> </w:t>
      </w:r>
      <w:r w:rsidRPr="003B079C">
        <w:t>May 2007 at c.389.  The provision was dealt with summarily alongside Clauses 45 and 46 and left to stand as part of the Bill.  The correction to the legislation can be found in MHA 2007, s.45.</w:t>
      </w:r>
    </w:p>
  </w:footnote>
  <w:footnote w:id="132">
    <w:p w14:paraId="19332261" w14:textId="44F26891" w:rsidR="000F747D" w:rsidRPr="003B079C" w:rsidRDefault="000F747D">
      <w:pPr>
        <w:pStyle w:val="FootnoteText"/>
      </w:pPr>
      <w:r w:rsidRPr="003B079C">
        <w:rPr>
          <w:rStyle w:val="FootnoteReference"/>
        </w:rPr>
        <w:footnoteRef/>
      </w:r>
      <w:r w:rsidRPr="003B079C">
        <w:t xml:space="preserve"> See section II, above</w:t>
      </w:r>
    </w:p>
  </w:footnote>
  <w:footnote w:id="133">
    <w:p w14:paraId="3C562A76" w14:textId="478E2858"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AU</w:t>
      </w:r>
      <w:r w:rsidRPr="003B079C">
        <w:t xml:space="preserve"> (n 24), [26] (Cranston J).</w:t>
      </w:r>
    </w:p>
  </w:footnote>
  <w:footnote w:id="134">
    <w:p w14:paraId="0333A20A" w14:textId="6B195159" w:rsidR="000F747D" w:rsidRPr="003B079C" w:rsidRDefault="000F747D" w:rsidP="004B17B8">
      <w:pPr>
        <w:pStyle w:val="FootnoteText"/>
        <w:spacing w:line="480" w:lineRule="auto"/>
      </w:pPr>
      <w:r w:rsidRPr="003B079C">
        <w:rPr>
          <w:rStyle w:val="FootnoteReference"/>
        </w:rPr>
        <w:footnoteRef/>
      </w:r>
      <w:r w:rsidRPr="003B079C">
        <w:t xml:space="preserve"> Macmillan Commission, </w:t>
      </w:r>
      <w:r w:rsidRPr="003B079C">
        <w:rPr>
          <w:i/>
        </w:rPr>
        <w:t xml:space="preserve">Report of the Royal Commission on Lunacy and Mental Disorder </w:t>
      </w:r>
      <w:r w:rsidRPr="003B079C">
        <w:t xml:space="preserve">(Cm 2700) (London: HMSO, 1926) pp.76-77, para 194(a) </w:t>
      </w:r>
      <w:r w:rsidRPr="003B079C">
        <w:rPr>
          <w:i/>
        </w:rPr>
        <w:t xml:space="preserve">emphasis </w:t>
      </w:r>
      <w:r w:rsidRPr="003B079C">
        <w:t>added; the Visiting Committees were a predecessor body of the Managers.</w:t>
      </w:r>
    </w:p>
  </w:footnote>
  <w:footnote w:id="135">
    <w:p w14:paraId="21058684" w14:textId="2E8F14E9" w:rsidR="000F747D" w:rsidRPr="003B079C" w:rsidRDefault="000F747D" w:rsidP="004B17B8">
      <w:pPr>
        <w:pStyle w:val="FootnoteText"/>
        <w:spacing w:line="480" w:lineRule="auto"/>
      </w:pPr>
      <w:r w:rsidRPr="003B079C">
        <w:rPr>
          <w:rStyle w:val="FootnoteReference"/>
        </w:rPr>
        <w:footnoteRef/>
      </w:r>
      <w:r w:rsidRPr="003B079C">
        <w:t xml:space="preserve"> P Fennell, ‘Mental Health Law: History, Policy and Regulation’ in L Gostin, P Bartlett, P Fennel, J McHale, and R Mackay (eds.) </w:t>
      </w:r>
      <w:r w:rsidRPr="003B079C">
        <w:rPr>
          <w:i/>
        </w:rPr>
        <w:t xml:space="preserve">Principles of Mental Health Law and Policy </w:t>
      </w:r>
      <w:r w:rsidRPr="003B079C">
        <w:t>(Oxford: OUP 2010), 3-70, paras. 1.53-1.54, 1.81.</w:t>
      </w:r>
    </w:p>
  </w:footnote>
  <w:footnote w:id="136">
    <w:p w14:paraId="0A5A4393" w14:textId="612D6D6B" w:rsidR="000F747D" w:rsidRPr="003B079C" w:rsidRDefault="000F747D" w:rsidP="004B17B8">
      <w:pPr>
        <w:pStyle w:val="FootnoteText"/>
        <w:spacing w:line="480" w:lineRule="auto"/>
      </w:pPr>
      <w:r w:rsidRPr="003B079C">
        <w:rPr>
          <w:rStyle w:val="FootnoteReference"/>
        </w:rPr>
        <w:footnoteRef/>
      </w:r>
      <w:r w:rsidRPr="003B079C">
        <w:t xml:space="preserve"> Percy Commission, </w:t>
      </w:r>
      <w:r w:rsidRPr="003B079C">
        <w:rPr>
          <w:i/>
        </w:rPr>
        <w:t xml:space="preserve">Report of the Royal Commission on the Law Relating to Mental Illness and Mental Deficiency 1954-1957 </w:t>
      </w:r>
      <w:r w:rsidRPr="003B079C">
        <w:t>(Cm 169) (London: HMSO, 1957), para. 439.  The HMCs were a product of the NHS Act 1946, which incorporated the powers previously vested in the Visiting Committees of the County Council into the HMCs, see especially NHS Act 1946, sch.9 (re changes to the Lunacy Act 1890).</w:t>
      </w:r>
    </w:p>
  </w:footnote>
  <w:footnote w:id="137">
    <w:p w14:paraId="01F8B885" w14:textId="1567CF06"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w:t>
      </w:r>
      <w:r w:rsidRPr="003B079C">
        <w:rPr>
          <w:i/>
        </w:rPr>
        <w:t xml:space="preserve"> </w:t>
      </w:r>
      <w:r w:rsidRPr="003B079C">
        <w:t>Percy Commission, para 421; MHA 1959, s.47 and MHA 1983 s.23.</w:t>
      </w:r>
    </w:p>
  </w:footnote>
  <w:footnote w:id="138">
    <w:p w14:paraId="60C06AC5" w14:textId="7E01C0C0" w:rsidR="000F747D" w:rsidRPr="003B079C" w:rsidRDefault="000F747D" w:rsidP="004B17B8">
      <w:pPr>
        <w:pStyle w:val="FootnoteText"/>
        <w:spacing w:line="480" w:lineRule="auto"/>
      </w:pPr>
      <w:r w:rsidRPr="003B079C">
        <w:rPr>
          <w:rStyle w:val="FootnoteReference"/>
        </w:rPr>
        <w:footnoteRef/>
      </w:r>
      <w:r w:rsidRPr="003B079C">
        <w:t xml:space="preserve"> Reginald W Sorensen MP, HC Deb 06 May 1959 vol.605 c.467, </w:t>
      </w:r>
      <w:r w:rsidRPr="003B079C">
        <w:rPr>
          <w:i/>
        </w:rPr>
        <w:t xml:space="preserve">emphasis </w:t>
      </w:r>
      <w:r w:rsidRPr="003B079C">
        <w:t>added.</w:t>
      </w:r>
    </w:p>
  </w:footnote>
  <w:footnote w:id="139">
    <w:p w14:paraId="50CCEDB1" w14:textId="0C050377" w:rsidR="000F747D" w:rsidRPr="003B079C" w:rsidRDefault="000F747D" w:rsidP="004B17B8">
      <w:pPr>
        <w:pStyle w:val="FootnoteText"/>
        <w:spacing w:line="480" w:lineRule="auto"/>
      </w:pPr>
      <w:r w:rsidRPr="003B079C">
        <w:rPr>
          <w:rStyle w:val="FootnoteReference"/>
        </w:rPr>
        <w:footnoteRef/>
      </w:r>
      <w:r w:rsidRPr="003B079C">
        <w:t xml:space="preserve"> Macmillan Commission (n 1</w:t>
      </w:r>
      <w:r w:rsidR="00110C7A" w:rsidRPr="003B079C">
        <w:t>33</w:t>
      </w:r>
      <w:r w:rsidRPr="003B079C">
        <w:t>), para. 148.</w:t>
      </w:r>
    </w:p>
  </w:footnote>
  <w:footnote w:id="140">
    <w:p w14:paraId="79594DEF" w14:textId="0D57C4C5" w:rsidR="000F747D" w:rsidRPr="003B079C" w:rsidRDefault="000F747D" w:rsidP="004B17B8">
      <w:pPr>
        <w:pStyle w:val="FootnoteText"/>
        <w:spacing w:line="480" w:lineRule="auto"/>
      </w:pPr>
      <w:r w:rsidRPr="003B079C">
        <w:rPr>
          <w:rStyle w:val="FootnoteReference"/>
        </w:rPr>
        <w:footnoteRef/>
      </w:r>
      <w:r w:rsidRPr="003B079C">
        <w:t xml:space="preserve"> Turner (n 32); see also MHAC </w:t>
      </w:r>
      <w:r w:rsidRPr="003B079C">
        <w:rPr>
          <w:i/>
        </w:rPr>
        <w:t xml:space="preserve">et al </w:t>
      </w:r>
      <w:r w:rsidRPr="003B079C">
        <w:t xml:space="preserve">(n 37), p.9; </w:t>
      </w:r>
      <w:r w:rsidRPr="003B079C">
        <w:rPr>
          <w:i/>
        </w:rPr>
        <w:t xml:space="preserve">cf </w:t>
      </w:r>
      <w:r w:rsidRPr="003B079C">
        <w:t>Kennedy (n 15), 361.</w:t>
      </w:r>
    </w:p>
  </w:footnote>
  <w:footnote w:id="141">
    <w:p w14:paraId="602FE228" w14:textId="33AE940F"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Kennedy.</w:t>
      </w:r>
    </w:p>
  </w:footnote>
  <w:footnote w:id="142">
    <w:p w14:paraId="6653251E" w14:textId="03B7A22A" w:rsidR="000F747D" w:rsidRPr="003B079C" w:rsidRDefault="000F747D" w:rsidP="004B17B8">
      <w:pPr>
        <w:pStyle w:val="FootnoteText"/>
        <w:spacing w:line="480" w:lineRule="auto"/>
      </w:pPr>
      <w:r w:rsidRPr="003B079C">
        <w:rPr>
          <w:rStyle w:val="FootnoteReference"/>
        </w:rPr>
        <w:footnoteRef/>
      </w:r>
      <w:r w:rsidRPr="003B079C">
        <w:t xml:space="preserve"> MHAC </w:t>
      </w:r>
      <w:r w:rsidRPr="003B079C">
        <w:rPr>
          <w:i/>
        </w:rPr>
        <w:t xml:space="preserve">et al </w:t>
      </w:r>
      <w:r w:rsidRPr="003B079C">
        <w:t>(n 37), p.4; the non-generalisable nature of the study is outlined at 3.</w:t>
      </w:r>
    </w:p>
  </w:footnote>
  <w:footnote w:id="143">
    <w:p w14:paraId="04286448" w14:textId="24401148" w:rsidR="000F747D" w:rsidRPr="003B079C" w:rsidRDefault="000F747D" w:rsidP="004B17B8">
      <w:pPr>
        <w:pStyle w:val="FootnoteText"/>
        <w:spacing w:line="480" w:lineRule="auto"/>
      </w:pPr>
      <w:r w:rsidRPr="003B079C">
        <w:rPr>
          <w:rStyle w:val="FootnoteReference"/>
        </w:rPr>
        <w:footnoteRef/>
      </w:r>
      <w:r w:rsidRPr="003B079C">
        <w:t xml:space="preserve"> IMHAP (n 59), EV101.</w:t>
      </w:r>
    </w:p>
  </w:footnote>
  <w:footnote w:id="144">
    <w:p w14:paraId="1EC3DEF2" w14:textId="01289047" w:rsidR="000F747D" w:rsidRPr="003B079C" w:rsidRDefault="000F747D" w:rsidP="004B17B8">
      <w:pPr>
        <w:pStyle w:val="FootnoteText"/>
        <w:spacing w:line="480" w:lineRule="auto"/>
      </w:pPr>
      <w:r w:rsidRPr="003B079C">
        <w:rPr>
          <w:rStyle w:val="FootnoteReference"/>
        </w:rPr>
        <w:footnoteRef/>
      </w:r>
      <w:r w:rsidRPr="003B079C">
        <w:t xml:space="preserve"> For example, whether there was a difference between s.20 renewals and other hearings.</w:t>
      </w:r>
    </w:p>
  </w:footnote>
  <w:footnote w:id="145">
    <w:p w14:paraId="358DA8FA" w14:textId="387F52EC" w:rsidR="000F747D" w:rsidRPr="003B079C" w:rsidRDefault="000F747D" w:rsidP="004B17B8">
      <w:pPr>
        <w:pStyle w:val="FootnoteText"/>
        <w:spacing w:line="480" w:lineRule="auto"/>
      </w:pPr>
      <w:r w:rsidRPr="003B079C">
        <w:rPr>
          <w:rStyle w:val="FootnoteReference"/>
        </w:rPr>
        <w:footnoteRef/>
      </w:r>
      <w:r w:rsidRPr="003B079C">
        <w:t xml:space="preserve"> Either where the person requests a hearing to challenge compulsory care, or challenges an s.20 renewal.  1995/96 324 discharges, 1996/97 232 discharges, 1997/98 302 (8.4%) discharges.  Note that ‘the total number of contested Reviews is not known’ for 1995/96 and 1996/97 so a percentage rate of discharge could not be given.  See MHAC (1997-1999) (n 19), para. 4.88; MHAC (2005-2007) (n 18), fig.55, 180.</w:t>
      </w:r>
    </w:p>
  </w:footnote>
  <w:footnote w:id="146">
    <w:p w14:paraId="61D9BAA5" w14:textId="4B72BFFE" w:rsidR="000F747D" w:rsidRPr="003B079C" w:rsidRDefault="000F747D" w:rsidP="004B17B8">
      <w:pPr>
        <w:pStyle w:val="FootnoteText"/>
        <w:spacing w:line="480" w:lineRule="auto"/>
      </w:pPr>
      <w:r w:rsidRPr="003B079C">
        <w:rPr>
          <w:rStyle w:val="FootnoteReference"/>
        </w:rPr>
        <w:footnoteRef/>
      </w:r>
      <w:r w:rsidRPr="003B079C">
        <w:t xml:space="preserve"> D K Singh and J Moncrieff, 'Trends in mental health review tribunal and hospital managers' hearings in north-east London 1997-2007' (2009) 33 </w:t>
      </w:r>
      <w:r w:rsidRPr="003B079C">
        <w:rPr>
          <w:i/>
          <w:iCs/>
        </w:rPr>
        <w:t xml:space="preserve">Psychiatric Bulletin </w:t>
      </w:r>
      <w:r w:rsidRPr="003B079C">
        <w:t>15-17.</w:t>
      </w:r>
    </w:p>
  </w:footnote>
  <w:footnote w:id="147">
    <w:p w14:paraId="5B4CA4BB" w14:textId="667C01E5"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 15.</w:t>
      </w:r>
    </w:p>
  </w:footnote>
  <w:footnote w:id="148">
    <w:p w14:paraId="634B7173" w14:textId="37629897" w:rsidR="000F747D" w:rsidRPr="003B079C" w:rsidRDefault="000F747D" w:rsidP="004B17B8">
      <w:pPr>
        <w:pStyle w:val="FootnoteText"/>
        <w:spacing w:line="480" w:lineRule="auto"/>
      </w:pPr>
      <w:r w:rsidRPr="003B079C">
        <w:rPr>
          <w:rStyle w:val="FootnoteReference"/>
        </w:rPr>
        <w:footnoteRef/>
      </w:r>
      <w:r w:rsidRPr="003B079C">
        <w:t xml:space="preserve"> Christopher Price MP, HC Deb 22 February 1979 vol.963 c.702 discussing how he supported a friend in and s.47 MHA 1959 </w:t>
      </w:r>
      <w:r w:rsidR="00110C7A" w:rsidRPr="003B079C">
        <w:t xml:space="preserve">HMC </w:t>
      </w:r>
      <w:r w:rsidRPr="003B079C">
        <w:t>process at the Maudsley Hospital.</w:t>
      </w:r>
    </w:p>
  </w:footnote>
  <w:footnote w:id="149">
    <w:p w14:paraId="0073D454" w14:textId="30A948D2" w:rsidR="000F747D" w:rsidRPr="003B079C" w:rsidRDefault="000F747D" w:rsidP="004B17B8">
      <w:pPr>
        <w:pStyle w:val="FootnoteText"/>
        <w:spacing w:line="480" w:lineRule="auto"/>
      </w:pPr>
      <w:r w:rsidRPr="003B079C">
        <w:rPr>
          <w:rStyle w:val="FootnoteReference"/>
        </w:rPr>
        <w:footnoteRef/>
      </w:r>
      <w:r w:rsidRPr="003B079C">
        <w:t xml:space="preserve"> MHAC (2005-2007) (n 18), fig.55, 180.</w:t>
      </w:r>
    </w:p>
  </w:footnote>
  <w:footnote w:id="150">
    <w:p w14:paraId="3EFBABE3" w14:textId="086AF912" w:rsidR="000F747D" w:rsidRPr="003B079C" w:rsidRDefault="000F747D" w:rsidP="004B17B8">
      <w:pPr>
        <w:pStyle w:val="FootnoteText"/>
        <w:spacing w:line="480" w:lineRule="auto"/>
      </w:pPr>
      <w:r w:rsidRPr="003B079C">
        <w:rPr>
          <w:rStyle w:val="FootnoteReference"/>
        </w:rPr>
        <w:footnoteRef/>
      </w:r>
      <w:r w:rsidRPr="003B079C">
        <w:t xml:space="preserve"> Expert Committee (n 47), para. 5.127; a view implicitly supported by the government, see DH (n 50), para.10.6.</w:t>
      </w:r>
    </w:p>
  </w:footnote>
  <w:footnote w:id="151">
    <w:p w14:paraId="2CD3261D" w14:textId="0B9F3229" w:rsidR="000F747D" w:rsidRPr="003B079C" w:rsidRDefault="000F747D" w:rsidP="004B17B8">
      <w:pPr>
        <w:pStyle w:val="FootnoteText"/>
        <w:spacing w:line="480" w:lineRule="auto"/>
      </w:pPr>
      <w:r w:rsidRPr="003B079C">
        <w:rPr>
          <w:rStyle w:val="FootnoteReference"/>
        </w:rPr>
        <w:footnoteRef/>
      </w:r>
      <w:r w:rsidRPr="003B079C">
        <w:t xml:space="preserve"> Williamson and Vellenoweth (n 19), 18.</w:t>
      </w:r>
    </w:p>
  </w:footnote>
  <w:footnote w:id="152">
    <w:p w14:paraId="11CAF5EC" w14:textId="0EBACCEA" w:rsidR="000F747D" w:rsidRPr="003B079C" w:rsidRDefault="000F747D" w:rsidP="004B17B8">
      <w:pPr>
        <w:pStyle w:val="FootnoteText"/>
        <w:spacing w:line="480" w:lineRule="auto"/>
      </w:pPr>
      <w:r w:rsidRPr="003B079C">
        <w:rPr>
          <w:rStyle w:val="FootnoteReference"/>
        </w:rPr>
        <w:footnoteRef/>
      </w:r>
      <w:r w:rsidRPr="003B079C">
        <w:t xml:space="preserve"> See (n 17) – (n 19).</w:t>
      </w:r>
    </w:p>
  </w:footnote>
  <w:footnote w:id="153">
    <w:p w14:paraId="63CC4513" w14:textId="6B0FE6E3" w:rsidR="000F747D" w:rsidRPr="003B079C" w:rsidRDefault="000F747D" w:rsidP="004B17B8">
      <w:pPr>
        <w:pStyle w:val="FootnoteText"/>
        <w:spacing w:line="480" w:lineRule="auto"/>
      </w:pPr>
      <w:r w:rsidRPr="003B079C">
        <w:rPr>
          <w:rStyle w:val="FootnoteReference"/>
        </w:rPr>
        <w:footnoteRef/>
      </w:r>
      <w:r w:rsidRPr="003B079C">
        <w:t xml:space="preserve"> See for example, Blumenthal and Wessely (n 46), para. 4.2.4; MHAC </w:t>
      </w:r>
      <w:r w:rsidRPr="003B079C">
        <w:rPr>
          <w:i/>
        </w:rPr>
        <w:t xml:space="preserve">et al </w:t>
      </w:r>
      <w:r w:rsidRPr="003B079C">
        <w:t xml:space="preserve">(n 37), 4, 9; Stephen Dorrell’s press release, available in Turner (n 32); DH (n 50) para.7.8; Committee of Leeds Consultant Psychiatrists’ evidence </w:t>
      </w:r>
      <w:r w:rsidR="00110C7A" w:rsidRPr="003B079C">
        <w:t>in</w:t>
      </w:r>
      <w:r w:rsidRPr="003B079C">
        <w:t xml:space="preserve"> Joint Committee</w:t>
      </w:r>
      <w:r w:rsidR="00110C7A" w:rsidRPr="003B079C">
        <w:t xml:space="preserve"> (n 63)</w:t>
      </w:r>
      <w:r w:rsidRPr="003B079C">
        <w:t>, EV883.</w:t>
      </w:r>
    </w:p>
  </w:footnote>
  <w:footnote w:id="154">
    <w:p w14:paraId="7CDA7D70" w14:textId="5924656E" w:rsidR="000F747D" w:rsidRPr="003B079C" w:rsidRDefault="000F747D" w:rsidP="004B17B8">
      <w:pPr>
        <w:pStyle w:val="FootnoteText"/>
        <w:spacing w:line="480" w:lineRule="auto"/>
      </w:pPr>
      <w:r w:rsidRPr="003B079C">
        <w:rPr>
          <w:rStyle w:val="FootnoteReference"/>
        </w:rPr>
        <w:footnoteRef/>
      </w:r>
      <w:r w:rsidRPr="003B079C">
        <w:t xml:space="preserve"> See </w:t>
      </w:r>
      <w:r w:rsidR="00D20D4C" w:rsidRPr="003B079C">
        <w:t>sections I and II</w:t>
      </w:r>
    </w:p>
  </w:footnote>
  <w:footnote w:id="155">
    <w:p w14:paraId="75F46C3A" w14:textId="52F9CDB0" w:rsidR="000F747D" w:rsidRPr="003B079C" w:rsidRDefault="000F747D" w:rsidP="004B17B8">
      <w:pPr>
        <w:pStyle w:val="FootnoteText"/>
        <w:spacing w:line="480" w:lineRule="auto"/>
      </w:pPr>
      <w:r w:rsidRPr="003B079C">
        <w:rPr>
          <w:rStyle w:val="FootnoteReference"/>
        </w:rPr>
        <w:footnoteRef/>
      </w:r>
      <w:r w:rsidRPr="003B079C">
        <w:t xml:space="preserve"> MHAC </w:t>
      </w:r>
      <w:r w:rsidRPr="003B079C">
        <w:rPr>
          <w:i/>
        </w:rPr>
        <w:t xml:space="preserve">et al </w:t>
      </w:r>
      <w:r w:rsidRPr="003B079C">
        <w:t>(n 37), 4, 9-11.</w:t>
      </w:r>
    </w:p>
  </w:footnote>
  <w:footnote w:id="156">
    <w:p w14:paraId="24C6C72D" w14:textId="439F74A5" w:rsidR="000F747D" w:rsidRPr="003B079C" w:rsidRDefault="000F747D" w:rsidP="004B17B8">
      <w:pPr>
        <w:pStyle w:val="FootnoteText"/>
        <w:spacing w:line="480" w:lineRule="auto"/>
      </w:pPr>
      <w:r w:rsidRPr="003B079C">
        <w:rPr>
          <w:rStyle w:val="FootnoteReference"/>
        </w:rPr>
        <w:footnoteRef/>
      </w:r>
      <w:r w:rsidRPr="003B079C">
        <w:t xml:space="preserve"> An example of conflating form and substance can be found in Power-Smith and Evans (n 15), 47-48.</w:t>
      </w:r>
    </w:p>
  </w:footnote>
  <w:footnote w:id="157">
    <w:p w14:paraId="1B9E9813" w14:textId="08D240AE" w:rsidR="000F747D" w:rsidRPr="003B079C" w:rsidRDefault="000F747D" w:rsidP="004B17B8">
      <w:pPr>
        <w:pStyle w:val="FootnoteText"/>
        <w:spacing w:line="480" w:lineRule="auto"/>
      </w:pPr>
      <w:r w:rsidRPr="003B079C">
        <w:rPr>
          <w:rStyle w:val="FootnoteReference"/>
        </w:rPr>
        <w:footnoteRef/>
      </w:r>
      <w:r w:rsidRPr="003B079C">
        <w:t xml:space="preserve"> Percy Commission (n 1</w:t>
      </w:r>
      <w:r w:rsidR="00110C7A" w:rsidRPr="003B079C">
        <w:t>35</w:t>
      </w:r>
      <w:r w:rsidRPr="003B079C">
        <w:t>), para. 768.</w:t>
      </w:r>
    </w:p>
  </w:footnote>
  <w:footnote w:id="158">
    <w:p w14:paraId="4C7425A7" w14:textId="1760D646" w:rsidR="000F747D" w:rsidRPr="003B079C" w:rsidRDefault="000F747D" w:rsidP="004B17B8">
      <w:pPr>
        <w:pStyle w:val="FootnoteText"/>
        <w:spacing w:line="480" w:lineRule="auto"/>
      </w:pPr>
      <w:r w:rsidRPr="003B079C">
        <w:rPr>
          <w:rStyle w:val="FootnoteReference"/>
        </w:rPr>
        <w:footnoteRef/>
      </w:r>
      <w:r w:rsidRPr="003B079C">
        <w:t xml:space="preserve"> There were more than 33,000 Mental Health Tribunal hearings in 2016, see &lt;</w:t>
      </w:r>
      <w:hyperlink r:id="rId5" w:history="1">
        <w:r w:rsidRPr="003B079C">
          <w:rPr>
            <w:rStyle w:val="Hyperlink"/>
          </w:rPr>
          <w:t>https://www.gov.uk/govern</w:t>
        </w:r>
        <w:r w:rsidRPr="003B079C">
          <w:rPr>
            <w:rStyle w:val="Hyperlink"/>
          </w:rPr>
          <w:t>m</w:t>
        </w:r>
        <w:r w:rsidRPr="003B079C">
          <w:rPr>
            <w:rStyle w:val="Hyperlink"/>
          </w:rPr>
          <w:t>ent/statistics/tribunals-and-gender-recognition-certificate-statistics-quarterly-october-to-december-2016</w:t>
        </w:r>
      </w:hyperlink>
      <w:r w:rsidRPr="003B079C">
        <w:rPr>
          <w:rStyle w:val="Hyperlink"/>
          <w:color w:val="auto"/>
          <w:u w:val="none"/>
        </w:rPr>
        <w:t>&gt;</w:t>
      </w:r>
      <w:r w:rsidRPr="003B079C">
        <w:t xml:space="preserve"> accessed 6 </w:t>
      </w:r>
      <w:r w:rsidR="000C667D">
        <w:t>September</w:t>
      </w:r>
      <w:r w:rsidRPr="003B079C">
        <w:t xml:space="preserve"> 2017.</w:t>
      </w:r>
    </w:p>
  </w:footnote>
  <w:footnote w:id="159">
    <w:p w14:paraId="7980B752" w14:textId="2D9EE006" w:rsidR="000F747D" w:rsidRPr="003B079C" w:rsidRDefault="000F747D" w:rsidP="004B17B8">
      <w:pPr>
        <w:pStyle w:val="FootnoteText"/>
        <w:spacing w:line="480" w:lineRule="auto"/>
      </w:pPr>
      <w:r w:rsidRPr="003B079C">
        <w:rPr>
          <w:rStyle w:val="FootnoteReference"/>
        </w:rPr>
        <w:footnoteRef/>
      </w:r>
      <w:r w:rsidRPr="003B079C">
        <w:t xml:space="preserve"> Percy Commission (n 1</w:t>
      </w:r>
      <w:r w:rsidR="00110C7A" w:rsidRPr="003B079C">
        <w:t>35</w:t>
      </w:r>
      <w:r w:rsidRPr="003B079C">
        <w:t>), para.768; also of interest is David Atkinson MP, HC Deb 18 May 1982 c.322.</w:t>
      </w:r>
    </w:p>
  </w:footnote>
  <w:footnote w:id="160">
    <w:p w14:paraId="232DEAC2" w14:textId="118433E7" w:rsidR="000F747D" w:rsidRPr="003B079C" w:rsidRDefault="000F747D" w:rsidP="004B17B8">
      <w:pPr>
        <w:pStyle w:val="FootnoteText"/>
        <w:spacing w:line="480" w:lineRule="auto"/>
      </w:pPr>
      <w:r w:rsidRPr="003B079C">
        <w:rPr>
          <w:rStyle w:val="FootnoteReference"/>
        </w:rPr>
        <w:footnoteRef/>
      </w:r>
      <w:r w:rsidRPr="003B079C">
        <w:t xml:space="preserve"> Though see Blumenthal and Wessely (n 46); and also for Managers’ hearings, see MHAC,</w:t>
      </w:r>
      <w:r w:rsidRPr="003B079C">
        <w:rPr>
          <w:i/>
        </w:rPr>
        <w:t xml:space="preserve"> Seventh Biennial Report 1995-1997 </w:t>
      </w:r>
      <w:r w:rsidRPr="003B079C">
        <w:t>(London: HMSO, 1997), para. 3.1.4; MHAC,</w:t>
      </w:r>
      <w:r w:rsidRPr="003B079C">
        <w:rPr>
          <w:i/>
        </w:rPr>
        <w:t xml:space="preserve"> Thirteenth Biennial Report 2007-2009: Coercion and consent </w:t>
      </w:r>
      <w:r w:rsidRPr="003B079C">
        <w:t>(London: TSO, 2009), para. 2.91.</w:t>
      </w:r>
    </w:p>
  </w:footnote>
  <w:footnote w:id="161">
    <w:p w14:paraId="29B52F8C" w14:textId="1B046A7E"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 xml:space="preserve">AU </w:t>
      </w:r>
      <w:r w:rsidRPr="003B079C">
        <w:t>(n 24), [40] (Cranston J); contrast with Kennedy’s remarks (n 15), 361.</w:t>
      </w:r>
    </w:p>
  </w:footnote>
  <w:footnote w:id="162">
    <w:p w14:paraId="72FF863D" w14:textId="01763C63" w:rsidR="000F747D" w:rsidRPr="003B079C" w:rsidRDefault="000F747D" w:rsidP="004B17B8">
      <w:pPr>
        <w:pStyle w:val="FootnoteText"/>
        <w:spacing w:line="480" w:lineRule="auto"/>
      </w:pPr>
      <w:r w:rsidRPr="003B079C">
        <w:rPr>
          <w:rStyle w:val="FootnoteReference"/>
        </w:rPr>
        <w:footnoteRef/>
      </w:r>
      <w:r w:rsidRPr="003B079C">
        <w:t xml:space="preserve"> </w:t>
      </w:r>
      <w:r w:rsidRPr="003B079C">
        <w:rPr>
          <w:i/>
        </w:rPr>
        <w:t>ibid</w:t>
      </w:r>
      <w:r w:rsidRPr="003B079C">
        <w:t>.,</w:t>
      </w:r>
      <w:r w:rsidRPr="003B079C">
        <w:rPr>
          <w:i/>
        </w:rPr>
        <w:t xml:space="preserve"> AU </w:t>
      </w:r>
      <w:r w:rsidRPr="003B079C">
        <w:t>[13], [35-37], [40-41] (Cranston J).</w:t>
      </w:r>
    </w:p>
  </w:footnote>
  <w:footnote w:id="163">
    <w:p w14:paraId="20E4FB6E" w14:textId="5E302212" w:rsidR="000F747D" w:rsidRPr="003B079C" w:rsidRDefault="000F747D" w:rsidP="004B17B8">
      <w:pPr>
        <w:pStyle w:val="FootnoteText"/>
        <w:spacing w:line="480" w:lineRule="auto"/>
      </w:pPr>
      <w:r w:rsidRPr="003B079C">
        <w:rPr>
          <w:rStyle w:val="FootnoteReference"/>
        </w:rPr>
        <w:footnoteRef/>
      </w:r>
      <w:r w:rsidRPr="003B079C">
        <w:t xml:space="preserve"> DH (n 6), para. 38.13; also </w:t>
      </w:r>
      <w:r w:rsidRPr="003B079C">
        <w:rPr>
          <w:i/>
        </w:rPr>
        <w:t xml:space="preserve">R (on the application of Zhang) </w:t>
      </w:r>
      <w:r w:rsidRPr="003B079C">
        <w:t xml:space="preserve">v </w:t>
      </w:r>
      <w:r w:rsidRPr="003B079C">
        <w:rPr>
          <w:i/>
        </w:rPr>
        <w:t xml:space="preserve">Whittington Hospital </w:t>
      </w:r>
      <w:r w:rsidRPr="003B079C">
        <w:t>[2013] EWHC 358 (Admin), [44] (Geraldine Andrews QC, sitting as a Deputy High Court Judge).</w:t>
      </w:r>
    </w:p>
  </w:footnote>
  <w:footnote w:id="164">
    <w:p w14:paraId="0093C695" w14:textId="4EC7619A" w:rsidR="000F747D" w:rsidRPr="003B079C" w:rsidRDefault="000F747D" w:rsidP="004B17B8">
      <w:pPr>
        <w:pStyle w:val="FootnoteText"/>
        <w:spacing w:line="480" w:lineRule="auto"/>
      </w:pPr>
      <w:r w:rsidRPr="003B079C">
        <w:rPr>
          <w:rStyle w:val="FootnoteReference"/>
        </w:rPr>
        <w:footnoteRef/>
      </w:r>
      <w:r w:rsidRPr="003B079C">
        <w:t xml:space="preserve"> The Committee of all those acting as Hospital Managers for the Trust, not a Hospital Management Committee under the NHS Act 1946.</w:t>
      </w:r>
    </w:p>
  </w:footnote>
  <w:footnote w:id="165">
    <w:p w14:paraId="38891CCB" w14:textId="71750EFF" w:rsidR="000F747D" w:rsidRPr="003B079C" w:rsidRDefault="000F747D" w:rsidP="004B17B8">
      <w:pPr>
        <w:pStyle w:val="FootnoteText"/>
        <w:spacing w:line="480" w:lineRule="auto"/>
      </w:pPr>
      <w:r w:rsidRPr="003B079C">
        <w:rPr>
          <w:rStyle w:val="FootnoteReference"/>
        </w:rPr>
        <w:footnoteRef/>
      </w:r>
      <w:r w:rsidRPr="003B079C">
        <w:t xml:space="preserve"> See NELHMC evidence to Joint Committee </w:t>
      </w:r>
      <w:r w:rsidR="00110C7A" w:rsidRPr="003B079C">
        <w:t>(n 63)</w:t>
      </w:r>
      <w:r w:rsidRPr="003B079C">
        <w:t>, EV829; on the local community element see also Nottinghamshire Healthcare NHS Trust</w:t>
      </w:r>
      <w:r w:rsidR="00110C7A" w:rsidRPr="003B079C">
        <w:t>,</w:t>
      </w:r>
      <w:r w:rsidRPr="003B079C">
        <w:t xml:space="preserve"> EV1024; Songhai, EV1061; and also Expert Committee (n 47), para. 5.128; Gregory (n 12), 367; MHAC, </w:t>
      </w:r>
      <w:r w:rsidRPr="003B079C">
        <w:rPr>
          <w:i/>
        </w:rPr>
        <w:t>In Place of Fear? Eleventh Biennial Report 2003-2005</w:t>
      </w:r>
      <w:r w:rsidRPr="003B079C">
        <w:t>, paras. 4.128-4.130.</w:t>
      </w:r>
    </w:p>
  </w:footnote>
  <w:footnote w:id="166">
    <w:p w14:paraId="5FE02663" w14:textId="665B2AB3" w:rsidR="000F747D" w:rsidRPr="003B079C" w:rsidRDefault="000F747D" w:rsidP="004B17B8">
      <w:pPr>
        <w:pStyle w:val="FootnoteText"/>
        <w:spacing w:line="480" w:lineRule="auto"/>
      </w:pPr>
      <w:r w:rsidRPr="003B079C">
        <w:rPr>
          <w:rStyle w:val="FootnoteReference"/>
        </w:rPr>
        <w:footnoteRef/>
      </w:r>
      <w:r w:rsidRPr="003B079C">
        <w:t xml:space="preserve"> The 1996 Working Group wished to establish only ‘some consistency in approach’ between Trusts; MHAC </w:t>
      </w:r>
      <w:r w:rsidRPr="003B079C">
        <w:rPr>
          <w:i/>
        </w:rPr>
        <w:t xml:space="preserve">et al </w:t>
      </w:r>
      <w:r w:rsidRPr="003B079C">
        <w:t>(n 37), 2; also consider Williamson (1985) (n 19)</w:t>
      </w:r>
      <w:r w:rsidRPr="003B079C">
        <w:rPr>
          <w:i/>
        </w:rPr>
        <w:t xml:space="preserve">, </w:t>
      </w:r>
      <w:r w:rsidRPr="003B079C">
        <w:t>2.</w:t>
      </w:r>
    </w:p>
  </w:footnote>
  <w:footnote w:id="167">
    <w:p w14:paraId="465C9144" w14:textId="0E97BAD3" w:rsidR="000F747D" w:rsidRPr="003B079C" w:rsidRDefault="000F747D" w:rsidP="004B17B8">
      <w:pPr>
        <w:pStyle w:val="FootnoteText"/>
        <w:spacing w:line="480" w:lineRule="auto"/>
      </w:pPr>
      <w:r w:rsidRPr="003B079C">
        <w:rPr>
          <w:rStyle w:val="FootnoteReference"/>
        </w:rPr>
        <w:footnoteRef/>
      </w:r>
      <w:r w:rsidRPr="003B079C">
        <w:t xml:space="preserve"> Expert Committee (n 47), para. 5.128.</w:t>
      </w:r>
    </w:p>
  </w:footnote>
  <w:footnote w:id="168">
    <w:p w14:paraId="2077CEC3" w14:textId="6617E5AF" w:rsidR="000F747D" w:rsidRPr="003B079C" w:rsidRDefault="000F747D" w:rsidP="004B17B8">
      <w:pPr>
        <w:pStyle w:val="FootnoteText"/>
        <w:spacing w:line="480" w:lineRule="auto"/>
      </w:pPr>
      <w:r w:rsidRPr="003B079C">
        <w:rPr>
          <w:rStyle w:val="FootnoteReference"/>
        </w:rPr>
        <w:footnoteRef/>
      </w:r>
      <w:r w:rsidRPr="003B079C">
        <w:t xml:space="preserve"> Gregory (n 12), 366.</w:t>
      </w:r>
    </w:p>
  </w:footnote>
  <w:footnote w:id="169">
    <w:p w14:paraId="299C56BA" w14:textId="13E73B19" w:rsidR="000F747D" w:rsidRPr="003B079C" w:rsidRDefault="000F747D" w:rsidP="004B17B8">
      <w:pPr>
        <w:pStyle w:val="FootnoteText"/>
        <w:spacing w:line="480" w:lineRule="auto"/>
      </w:pPr>
      <w:r w:rsidRPr="003B079C">
        <w:rPr>
          <w:rStyle w:val="FootnoteReference"/>
        </w:rPr>
        <w:footnoteRef/>
      </w:r>
      <w:r w:rsidRPr="003B079C">
        <w:t xml:space="preserve"> Expert Committee (n 47), para. 5.128; see MHAC, </w:t>
      </w:r>
      <w:r w:rsidRPr="003B079C">
        <w:rPr>
          <w:i/>
        </w:rPr>
        <w:t>The First Biennial Report 1983-1985</w:t>
      </w:r>
      <w:r w:rsidRPr="003B079C">
        <w:t>, para. 8.13; the benefit of informality is supported in Williamson and Vellenoweth (n 19), 19-20.</w:t>
      </w:r>
    </w:p>
  </w:footnote>
  <w:footnote w:id="170">
    <w:p w14:paraId="5036413F" w14:textId="2291412C" w:rsidR="000F747D" w:rsidRPr="003B079C" w:rsidRDefault="000F747D" w:rsidP="004B17B8">
      <w:pPr>
        <w:pStyle w:val="FootnoteText"/>
        <w:spacing w:line="480" w:lineRule="auto"/>
      </w:pPr>
      <w:r w:rsidRPr="003B079C">
        <w:rPr>
          <w:rStyle w:val="FootnoteReference"/>
        </w:rPr>
        <w:footnoteRef/>
      </w:r>
      <w:r w:rsidRPr="003B079C">
        <w:t xml:space="preserve"> See A Davies evidence to Joint </w:t>
      </w:r>
      <w:r w:rsidR="00803356" w:rsidRPr="003B079C">
        <w:t>Committee (n 63)</w:t>
      </w:r>
      <w:r w:rsidRPr="003B079C">
        <w:t>, EV1101; see also Williamson (1991) (n 19), p.15.</w:t>
      </w:r>
    </w:p>
  </w:footnote>
  <w:footnote w:id="171">
    <w:p w14:paraId="5EB61CF0" w14:textId="4BD5481A" w:rsidR="000F747D" w:rsidRPr="003B079C" w:rsidRDefault="000F747D" w:rsidP="004B17B8">
      <w:pPr>
        <w:pStyle w:val="FootnoteText"/>
        <w:spacing w:line="480" w:lineRule="auto"/>
      </w:pPr>
      <w:r w:rsidRPr="003B079C">
        <w:rPr>
          <w:rStyle w:val="FootnoteReference"/>
        </w:rPr>
        <w:footnoteRef/>
      </w:r>
      <w:r w:rsidRPr="003B079C">
        <w:t xml:space="preserve"> IMHAP (n 59), EV114.</w:t>
      </w:r>
    </w:p>
  </w:footnote>
  <w:footnote w:id="172">
    <w:p w14:paraId="5494D4B7" w14:textId="3B4ADB3D" w:rsidR="000F747D" w:rsidRDefault="000F747D" w:rsidP="004B17B8">
      <w:pPr>
        <w:pStyle w:val="FootnoteText"/>
        <w:spacing w:line="480" w:lineRule="auto"/>
      </w:pPr>
      <w:r w:rsidRPr="003B079C">
        <w:rPr>
          <w:rStyle w:val="FootnoteReference"/>
        </w:rPr>
        <w:footnoteRef/>
      </w:r>
      <w:r w:rsidRPr="003B079C">
        <w:t xml:space="preserve"> Joint Committee (n 17), para. 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0B7"/>
    <w:multiLevelType w:val="multilevel"/>
    <w:tmpl w:val="7E1EA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6269B3"/>
    <w:multiLevelType w:val="hybridMultilevel"/>
    <w:tmpl w:val="829E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07D0"/>
    <w:multiLevelType w:val="hybridMultilevel"/>
    <w:tmpl w:val="117E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47FE1"/>
    <w:multiLevelType w:val="multilevel"/>
    <w:tmpl w:val="6E261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CB3771"/>
    <w:multiLevelType w:val="hybridMultilevel"/>
    <w:tmpl w:val="49E08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410BE"/>
    <w:multiLevelType w:val="hybridMultilevel"/>
    <w:tmpl w:val="AA504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60749"/>
    <w:multiLevelType w:val="multilevel"/>
    <w:tmpl w:val="52D42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E9"/>
    <w:rsid w:val="00007E03"/>
    <w:rsid w:val="00011D5B"/>
    <w:rsid w:val="0001344F"/>
    <w:rsid w:val="0001472F"/>
    <w:rsid w:val="00014C71"/>
    <w:rsid w:val="0001749E"/>
    <w:rsid w:val="000210FE"/>
    <w:rsid w:val="00023FCD"/>
    <w:rsid w:val="00025A82"/>
    <w:rsid w:val="00030163"/>
    <w:rsid w:val="0003154E"/>
    <w:rsid w:val="00032A6C"/>
    <w:rsid w:val="0003794E"/>
    <w:rsid w:val="00043006"/>
    <w:rsid w:val="0004589C"/>
    <w:rsid w:val="000478C6"/>
    <w:rsid w:val="00055DEF"/>
    <w:rsid w:val="000624B5"/>
    <w:rsid w:val="0006374D"/>
    <w:rsid w:val="00065643"/>
    <w:rsid w:val="00065CBF"/>
    <w:rsid w:val="00066040"/>
    <w:rsid w:val="00073081"/>
    <w:rsid w:val="00086F25"/>
    <w:rsid w:val="000870BA"/>
    <w:rsid w:val="00096412"/>
    <w:rsid w:val="000A295E"/>
    <w:rsid w:val="000A48F5"/>
    <w:rsid w:val="000A6DE3"/>
    <w:rsid w:val="000B4082"/>
    <w:rsid w:val="000C079D"/>
    <w:rsid w:val="000C2765"/>
    <w:rsid w:val="000C4053"/>
    <w:rsid w:val="000C405D"/>
    <w:rsid w:val="000C667D"/>
    <w:rsid w:val="000C6AA0"/>
    <w:rsid w:val="000C6C98"/>
    <w:rsid w:val="000D121B"/>
    <w:rsid w:val="000D2AA1"/>
    <w:rsid w:val="000D4D45"/>
    <w:rsid w:val="000D5674"/>
    <w:rsid w:val="000D6873"/>
    <w:rsid w:val="000E00E5"/>
    <w:rsid w:val="000E0C58"/>
    <w:rsid w:val="000E2ABB"/>
    <w:rsid w:val="000E3402"/>
    <w:rsid w:val="000E5D8D"/>
    <w:rsid w:val="000E7CB1"/>
    <w:rsid w:val="000F3073"/>
    <w:rsid w:val="000F5D7A"/>
    <w:rsid w:val="000F6F17"/>
    <w:rsid w:val="000F747D"/>
    <w:rsid w:val="0010408C"/>
    <w:rsid w:val="00105D39"/>
    <w:rsid w:val="00110C7A"/>
    <w:rsid w:val="00112254"/>
    <w:rsid w:val="00114546"/>
    <w:rsid w:val="0012006D"/>
    <w:rsid w:val="00121A12"/>
    <w:rsid w:val="00121D38"/>
    <w:rsid w:val="00121EA5"/>
    <w:rsid w:val="00122D3F"/>
    <w:rsid w:val="00124AC3"/>
    <w:rsid w:val="001268A7"/>
    <w:rsid w:val="00126A1D"/>
    <w:rsid w:val="001329CA"/>
    <w:rsid w:val="001330E1"/>
    <w:rsid w:val="0014015A"/>
    <w:rsid w:val="00140779"/>
    <w:rsid w:val="00151E0E"/>
    <w:rsid w:val="00155B6F"/>
    <w:rsid w:val="00156818"/>
    <w:rsid w:val="00156B03"/>
    <w:rsid w:val="00170367"/>
    <w:rsid w:val="0017653C"/>
    <w:rsid w:val="00177837"/>
    <w:rsid w:val="00177E73"/>
    <w:rsid w:val="00182A7E"/>
    <w:rsid w:val="00184C79"/>
    <w:rsid w:val="00187C3C"/>
    <w:rsid w:val="00192830"/>
    <w:rsid w:val="00195ACD"/>
    <w:rsid w:val="001A0747"/>
    <w:rsid w:val="001A0DE6"/>
    <w:rsid w:val="001A10A9"/>
    <w:rsid w:val="001A239B"/>
    <w:rsid w:val="001A33C7"/>
    <w:rsid w:val="001A48A3"/>
    <w:rsid w:val="001A633F"/>
    <w:rsid w:val="001B0A5E"/>
    <w:rsid w:val="001B2C73"/>
    <w:rsid w:val="001B4475"/>
    <w:rsid w:val="001B4AE6"/>
    <w:rsid w:val="001B5931"/>
    <w:rsid w:val="001B5C33"/>
    <w:rsid w:val="001B6DA2"/>
    <w:rsid w:val="001D10C1"/>
    <w:rsid w:val="001D1766"/>
    <w:rsid w:val="001D1F87"/>
    <w:rsid w:val="001D2099"/>
    <w:rsid w:val="001D6B32"/>
    <w:rsid w:val="001E09D7"/>
    <w:rsid w:val="001E21FD"/>
    <w:rsid w:val="001E308A"/>
    <w:rsid w:val="001E3DBD"/>
    <w:rsid w:val="001E51BC"/>
    <w:rsid w:val="001E5FC8"/>
    <w:rsid w:val="001F23D8"/>
    <w:rsid w:val="001F2612"/>
    <w:rsid w:val="001F397A"/>
    <w:rsid w:val="001F39E6"/>
    <w:rsid w:val="001F6633"/>
    <w:rsid w:val="00211523"/>
    <w:rsid w:val="0021261D"/>
    <w:rsid w:val="0021486C"/>
    <w:rsid w:val="00214C2C"/>
    <w:rsid w:val="00217B63"/>
    <w:rsid w:val="00224E82"/>
    <w:rsid w:val="002368BD"/>
    <w:rsid w:val="0024061C"/>
    <w:rsid w:val="00241094"/>
    <w:rsid w:val="00251089"/>
    <w:rsid w:val="00251657"/>
    <w:rsid w:val="0025224C"/>
    <w:rsid w:val="00260AB3"/>
    <w:rsid w:val="00261882"/>
    <w:rsid w:val="00266287"/>
    <w:rsid w:val="00267303"/>
    <w:rsid w:val="00276C7A"/>
    <w:rsid w:val="002801B4"/>
    <w:rsid w:val="00281883"/>
    <w:rsid w:val="00282D0B"/>
    <w:rsid w:val="002835AC"/>
    <w:rsid w:val="00286782"/>
    <w:rsid w:val="00286DC2"/>
    <w:rsid w:val="00287E96"/>
    <w:rsid w:val="002901FB"/>
    <w:rsid w:val="00297BF1"/>
    <w:rsid w:val="002A1257"/>
    <w:rsid w:val="002A3491"/>
    <w:rsid w:val="002A728A"/>
    <w:rsid w:val="002B52F9"/>
    <w:rsid w:val="002B5714"/>
    <w:rsid w:val="002B669B"/>
    <w:rsid w:val="002B6FB8"/>
    <w:rsid w:val="002B7262"/>
    <w:rsid w:val="002D1DBD"/>
    <w:rsid w:val="002D2C62"/>
    <w:rsid w:val="002D4466"/>
    <w:rsid w:val="002D5ED8"/>
    <w:rsid w:val="002D66E0"/>
    <w:rsid w:val="002E2F24"/>
    <w:rsid w:val="002E55DF"/>
    <w:rsid w:val="002F2468"/>
    <w:rsid w:val="003003B9"/>
    <w:rsid w:val="00300D5E"/>
    <w:rsid w:val="00301DFA"/>
    <w:rsid w:val="00302165"/>
    <w:rsid w:val="0030244E"/>
    <w:rsid w:val="003036E2"/>
    <w:rsid w:val="003078CB"/>
    <w:rsid w:val="0031025B"/>
    <w:rsid w:val="00310AF6"/>
    <w:rsid w:val="003146A6"/>
    <w:rsid w:val="003264FD"/>
    <w:rsid w:val="00327B50"/>
    <w:rsid w:val="00327D10"/>
    <w:rsid w:val="00330AA1"/>
    <w:rsid w:val="00331424"/>
    <w:rsid w:val="0033276A"/>
    <w:rsid w:val="00333713"/>
    <w:rsid w:val="00334685"/>
    <w:rsid w:val="00347EB9"/>
    <w:rsid w:val="00350A0B"/>
    <w:rsid w:val="00352431"/>
    <w:rsid w:val="003554B8"/>
    <w:rsid w:val="0035673B"/>
    <w:rsid w:val="00357186"/>
    <w:rsid w:val="003625AE"/>
    <w:rsid w:val="003644C7"/>
    <w:rsid w:val="00365412"/>
    <w:rsid w:val="00367D3D"/>
    <w:rsid w:val="0037137A"/>
    <w:rsid w:val="003714FE"/>
    <w:rsid w:val="00372487"/>
    <w:rsid w:val="00374C95"/>
    <w:rsid w:val="003819F4"/>
    <w:rsid w:val="00386AA7"/>
    <w:rsid w:val="00386EDE"/>
    <w:rsid w:val="0039009E"/>
    <w:rsid w:val="00396C1E"/>
    <w:rsid w:val="003A34F9"/>
    <w:rsid w:val="003A6D84"/>
    <w:rsid w:val="003B079C"/>
    <w:rsid w:val="003B0EEE"/>
    <w:rsid w:val="003B3FEB"/>
    <w:rsid w:val="003B4DD8"/>
    <w:rsid w:val="003B61D7"/>
    <w:rsid w:val="003C0029"/>
    <w:rsid w:val="003C07D8"/>
    <w:rsid w:val="003C4150"/>
    <w:rsid w:val="003C54CF"/>
    <w:rsid w:val="003C5F19"/>
    <w:rsid w:val="003C6C74"/>
    <w:rsid w:val="003D3B08"/>
    <w:rsid w:val="003D64B7"/>
    <w:rsid w:val="003D734C"/>
    <w:rsid w:val="003D7938"/>
    <w:rsid w:val="003E270E"/>
    <w:rsid w:val="003E637B"/>
    <w:rsid w:val="003E7CBA"/>
    <w:rsid w:val="003F3DC7"/>
    <w:rsid w:val="003F7472"/>
    <w:rsid w:val="003F7630"/>
    <w:rsid w:val="00402E58"/>
    <w:rsid w:val="00405A7C"/>
    <w:rsid w:val="00407E98"/>
    <w:rsid w:val="00411628"/>
    <w:rsid w:val="00414EEF"/>
    <w:rsid w:val="0041545C"/>
    <w:rsid w:val="004164AF"/>
    <w:rsid w:val="00424895"/>
    <w:rsid w:val="004266BC"/>
    <w:rsid w:val="00431B2D"/>
    <w:rsid w:val="00432018"/>
    <w:rsid w:val="00434F5B"/>
    <w:rsid w:val="004409BE"/>
    <w:rsid w:val="0044779C"/>
    <w:rsid w:val="0044792A"/>
    <w:rsid w:val="00452C52"/>
    <w:rsid w:val="00457E57"/>
    <w:rsid w:val="00461C48"/>
    <w:rsid w:val="004630B9"/>
    <w:rsid w:val="004643C3"/>
    <w:rsid w:val="00465356"/>
    <w:rsid w:val="00466DD0"/>
    <w:rsid w:val="00470CA0"/>
    <w:rsid w:val="00471BA6"/>
    <w:rsid w:val="0047213A"/>
    <w:rsid w:val="0047248B"/>
    <w:rsid w:val="00474060"/>
    <w:rsid w:val="00476ED5"/>
    <w:rsid w:val="00481322"/>
    <w:rsid w:val="00486159"/>
    <w:rsid w:val="00486457"/>
    <w:rsid w:val="004932A2"/>
    <w:rsid w:val="0049356A"/>
    <w:rsid w:val="00494BB1"/>
    <w:rsid w:val="004955DA"/>
    <w:rsid w:val="004A14FD"/>
    <w:rsid w:val="004A26F1"/>
    <w:rsid w:val="004A496A"/>
    <w:rsid w:val="004A5F58"/>
    <w:rsid w:val="004A6CA6"/>
    <w:rsid w:val="004B17B8"/>
    <w:rsid w:val="004B43DC"/>
    <w:rsid w:val="004B6C55"/>
    <w:rsid w:val="004C35B6"/>
    <w:rsid w:val="004C4452"/>
    <w:rsid w:val="004C529C"/>
    <w:rsid w:val="004D06D1"/>
    <w:rsid w:val="004D1C86"/>
    <w:rsid w:val="004D2470"/>
    <w:rsid w:val="004D5191"/>
    <w:rsid w:val="004D644E"/>
    <w:rsid w:val="004D6BCA"/>
    <w:rsid w:val="004E0C07"/>
    <w:rsid w:val="004E2243"/>
    <w:rsid w:val="004E5792"/>
    <w:rsid w:val="004F5C92"/>
    <w:rsid w:val="004F5CE9"/>
    <w:rsid w:val="004F749E"/>
    <w:rsid w:val="0050260F"/>
    <w:rsid w:val="00503521"/>
    <w:rsid w:val="005035B3"/>
    <w:rsid w:val="005060E3"/>
    <w:rsid w:val="005061FB"/>
    <w:rsid w:val="00506F57"/>
    <w:rsid w:val="00510297"/>
    <w:rsid w:val="00515007"/>
    <w:rsid w:val="00515C9A"/>
    <w:rsid w:val="00517BEC"/>
    <w:rsid w:val="0052027A"/>
    <w:rsid w:val="00520C76"/>
    <w:rsid w:val="00522F4C"/>
    <w:rsid w:val="00524AD4"/>
    <w:rsid w:val="00524EB0"/>
    <w:rsid w:val="0054405D"/>
    <w:rsid w:val="00551892"/>
    <w:rsid w:val="005547D1"/>
    <w:rsid w:val="0056091D"/>
    <w:rsid w:val="00560958"/>
    <w:rsid w:val="00563896"/>
    <w:rsid w:val="0056515E"/>
    <w:rsid w:val="005766D7"/>
    <w:rsid w:val="005818C3"/>
    <w:rsid w:val="00582821"/>
    <w:rsid w:val="005833DF"/>
    <w:rsid w:val="00584905"/>
    <w:rsid w:val="00584CD0"/>
    <w:rsid w:val="0059061B"/>
    <w:rsid w:val="00594570"/>
    <w:rsid w:val="00594C26"/>
    <w:rsid w:val="00595885"/>
    <w:rsid w:val="005961B1"/>
    <w:rsid w:val="0059772B"/>
    <w:rsid w:val="005978FD"/>
    <w:rsid w:val="005A4204"/>
    <w:rsid w:val="005A55D5"/>
    <w:rsid w:val="005A76D6"/>
    <w:rsid w:val="005A77CA"/>
    <w:rsid w:val="005B0CDA"/>
    <w:rsid w:val="005B1E69"/>
    <w:rsid w:val="005B22E7"/>
    <w:rsid w:val="005B34EF"/>
    <w:rsid w:val="005C410F"/>
    <w:rsid w:val="005C4D57"/>
    <w:rsid w:val="005C5E51"/>
    <w:rsid w:val="005D076A"/>
    <w:rsid w:val="005D1971"/>
    <w:rsid w:val="005D44C9"/>
    <w:rsid w:val="005D5AC8"/>
    <w:rsid w:val="005E26DB"/>
    <w:rsid w:val="005E293F"/>
    <w:rsid w:val="005E395A"/>
    <w:rsid w:val="005E57DB"/>
    <w:rsid w:val="005E63B1"/>
    <w:rsid w:val="005F244D"/>
    <w:rsid w:val="005F3F24"/>
    <w:rsid w:val="005F469C"/>
    <w:rsid w:val="006019F7"/>
    <w:rsid w:val="006065B2"/>
    <w:rsid w:val="00611505"/>
    <w:rsid w:val="006150A9"/>
    <w:rsid w:val="006153DB"/>
    <w:rsid w:val="0061559D"/>
    <w:rsid w:val="00615C6C"/>
    <w:rsid w:val="006163EE"/>
    <w:rsid w:val="0062269D"/>
    <w:rsid w:val="00623FAA"/>
    <w:rsid w:val="00626265"/>
    <w:rsid w:val="00626E94"/>
    <w:rsid w:val="00631360"/>
    <w:rsid w:val="00631A32"/>
    <w:rsid w:val="0063425D"/>
    <w:rsid w:val="00634E89"/>
    <w:rsid w:val="00637130"/>
    <w:rsid w:val="00637ADB"/>
    <w:rsid w:val="0064493A"/>
    <w:rsid w:val="006461B6"/>
    <w:rsid w:val="00647001"/>
    <w:rsid w:val="00650901"/>
    <w:rsid w:val="0065491C"/>
    <w:rsid w:val="0065526F"/>
    <w:rsid w:val="00655293"/>
    <w:rsid w:val="00657427"/>
    <w:rsid w:val="0066051E"/>
    <w:rsid w:val="00661DF7"/>
    <w:rsid w:val="00661EC9"/>
    <w:rsid w:val="006654C5"/>
    <w:rsid w:val="00665C96"/>
    <w:rsid w:val="00667531"/>
    <w:rsid w:val="006749C4"/>
    <w:rsid w:val="006749C9"/>
    <w:rsid w:val="00675763"/>
    <w:rsid w:val="006811CB"/>
    <w:rsid w:val="00694830"/>
    <w:rsid w:val="006A03D0"/>
    <w:rsid w:val="006A20FA"/>
    <w:rsid w:val="006B04A1"/>
    <w:rsid w:val="006B7922"/>
    <w:rsid w:val="006C39EC"/>
    <w:rsid w:val="006C3E29"/>
    <w:rsid w:val="006C58C7"/>
    <w:rsid w:val="006C6677"/>
    <w:rsid w:val="006C709E"/>
    <w:rsid w:val="006D19EC"/>
    <w:rsid w:val="006D5E6D"/>
    <w:rsid w:val="006D7CCC"/>
    <w:rsid w:val="006E0183"/>
    <w:rsid w:val="006F0400"/>
    <w:rsid w:val="006F06ED"/>
    <w:rsid w:val="006F18AF"/>
    <w:rsid w:val="006F24D9"/>
    <w:rsid w:val="006F6F0C"/>
    <w:rsid w:val="007031C3"/>
    <w:rsid w:val="007037BC"/>
    <w:rsid w:val="007039E0"/>
    <w:rsid w:val="007043B6"/>
    <w:rsid w:val="00704F77"/>
    <w:rsid w:val="00707280"/>
    <w:rsid w:val="00710219"/>
    <w:rsid w:val="007117A9"/>
    <w:rsid w:val="0071444A"/>
    <w:rsid w:val="007150F3"/>
    <w:rsid w:val="007169C3"/>
    <w:rsid w:val="00724713"/>
    <w:rsid w:val="007264C7"/>
    <w:rsid w:val="00741FF7"/>
    <w:rsid w:val="00747FE0"/>
    <w:rsid w:val="007529D2"/>
    <w:rsid w:val="00754B6A"/>
    <w:rsid w:val="007573A5"/>
    <w:rsid w:val="00761F2E"/>
    <w:rsid w:val="00762E30"/>
    <w:rsid w:val="00764CA3"/>
    <w:rsid w:val="0076557B"/>
    <w:rsid w:val="00780FD8"/>
    <w:rsid w:val="00782540"/>
    <w:rsid w:val="00786469"/>
    <w:rsid w:val="00795926"/>
    <w:rsid w:val="007A0467"/>
    <w:rsid w:val="007B2369"/>
    <w:rsid w:val="007B35DE"/>
    <w:rsid w:val="007B3662"/>
    <w:rsid w:val="007B4603"/>
    <w:rsid w:val="007B517C"/>
    <w:rsid w:val="007B5B4C"/>
    <w:rsid w:val="007B644C"/>
    <w:rsid w:val="007B76CF"/>
    <w:rsid w:val="007C01A9"/>
    <w:rsid w:val="007C45CA"/>
    <w:rsid w:val="007D16D0"/>
    <w:rsid w:val="007D230C"/>
    <w:rsid w:val="007D6971"/>
    <w:rsid w:val="007E690F"/>
    <w:rsid w:val="007F55E9"/>
    <w:rsid w:val="00803356"/>
    <w:rsid w:val="00805FEF"/>
    <w:rsid w:val="00815FCE"/>
    <w:rsid w:val="00822BED"/>
    <w:rsid w:val="00825696"/>
    <w:rsid w:val="00825789"/>
    <w:rsid w:val="008259B8"/>
    <w:rsid w:val="008274ED"/>
    <w:rsid w:val="00831BED"/>
    <w:rsid w:val="00832BD9"/>
    <w:rsid w:val="00833C42"/>
    <w:rsid w:val="00843DFA"/>
    <w:rsid w:val="008457F2"/>
    <w:rsid w:val="00846765"/>
    <w:rsid w:val="008478C3"/>
    <w:rsid w:val="008500AD"/>
    <w:rsid w:val="00850F12"/>
    <w:rsid w:val="00852C41"/>
    <w:rsid w:val="00860011"/>
    <w:rsid w:val="00860090"/>
    <w:rsid w:val="00860653"/>
    <w:rsid w:val="008607F6"/>
    <w:rsid w:val="00861118"/>
    <w:rsid w:val="0086736A"/>
    <w:rsid w:val="00870B70"/>
    <w:rsid w:val="00874743"/>
    <w:rsid w:val="0087579D"/>
    <w:rsid w:val="00875CC5"/>
    <w:rsid w:val="0089032C"/>
    <w:rsid w:val="00892469"/>
    <w:rsid w:val="00895641"/>
    <w:rsid w:val="00897F55"/>
    <w:rsid w:val="008A3E12"/>
    <w:rsid w:val="008A54AC"/>
    <w:rsid w:val="008A5C5E"/>
    <w:rsid w:val="008A6AD9"/>
    <w:rsid w:val="008B0D8A"/>
    <w:rsid w:val="008B1871"/>
    <w:rsid w:val="008B2151"/>
    <w:rsid w:val="008B2261"/>
    <w:rsid w:val="008B3ED0"/>
    <w:rsid w:val="008B64CD"/>
    <w:rsid w:val="008C043A"/>
    <w:rsid w:val="008C34A6"/>
    <w:rsid w:val="008C41BF"/>
    <w:rsid w:val="008D0D94"/>
    <w:rsid w:val="008D1970"/>
    <w:rsid w:val="008E16C1"/>
    <w:rsid w:val="008E2C74"/>
    <w:rsid w:val="008E3993"/>
    <w:rsid w:val="008E3E46"/>
    <w:rsid w:val="008F2B53"/>
    <w:rsid w:val="008F54E7"/>
    <w:rsid w:val="008F5630"/>
    <w:rsid w:val="0090589B"/>
    <w:rsid w:val="00905A46"/>
    <w:rsid w:val="00906273"/>
    <w:rsid w:val="00911521"/>
    <w:rsid w:val="009117A4"/>
    <w:rsid w:val="009156FB"/>
    <w:rsid w:val="00917F45"/>
    <w:rsid w:val="0092202B"/>
    <w:rsid w:val="00923B27"/>
    <w:rsid w:val="00923DD1"/>
    <w:rsid w:val="00924020"/>
    <w:rsid w:val="009242BC"/>
    <w:rsid w:val="009307DA"/>
    <w:rsid w:val="00931178"/>
    <w:rsid w:val="0093630D"/>
    <w:rsid w:val="009405BA"/>
    <w:rsid w:val="00943B47"/>
    <w:rsid w:val="009444D8"/>
    <w:rsid w:val="009449F9"/>
    <w:rsid w:val="009468B4"/>
    <w:rsid w:val="00947DFE"/>
    <w:rsid w:val="00951FB1"/>
    <w:rsid w:val="00953B70"/>
    <w:rsid w:val="00961DEE"/>
    <w:rsid w:val="00966989"/>
    <w:rsid w:val="0097016C"/>
    <w:rsid w:val="00971490"/>
    <w:rsid w:val="0097636B"/>
    <w:rsid w:val="00980096"/>
    <w:rsid w:val="00980ED1"/>
    <w:rsid w:val="00981A46"/>
    <w:rsid w:val="00984D40"/>
    <w:rsid w:val="00985F36"/>
    <w:rsid w:val="00985F8F"/>
    <w:rsid w:val="009916B9"/>
    <w:rsid w:val="00991A81"/>
    <w:rsid w:val="00995468"/>
    <w:rsid w:val="0099587A"/>
    <w:rsid w:val="009959F1"/>
    <w:rsid w:val="009A4838"/>
    <w:rsid w:val="009B0287"/>
    <w:rsid w:val="009B16F9"/>
    <w:rsid w:val="009B1D31"/>
    <w:rsid w:val="009B7525"/>
    <w:rsid w:val="009C3E43"/>
    <w:rsid w:val="009D01C7"/>
    <w:rsid w:val="009D4DDB"/>
    <w:rsid w:val="009D591D"/>
    <w:rsid w:val="009D6923"/>
    <w:rsid w:val="009D6F5D"/>
    <w:rsid w:val="009D7E12"/>
    <w:rsid w:val="009E0648"/>
    <w:rsid w:val="009F0A35"/>
    <w:rsid w:val="009F0B09"/>
    <w:rsid w:val="009F3206"/>
    <w:rsid w:val="009F60B6"/>
    <w:rsid w:val="009F76E1"/>
    <w:rsid w:val="00A01FD6"/>
    <w:rsid w:val="00A02266"/>
    <w:rsid w:val="00A03645"/>
    <w:rsid w:val="00A0408E"/>
    <w:rsid w:val="00A047EC"/>
    <w:rsid w:val="00A155B1"/>
    <w:rsid w:val="00A15F4D"/>
    <w:rsid w:val="00A16B79"/>
    <w:rsid w:val="00A205EC"/>
    <w:rsid w:val="00A21883"/>
    <w:rsid w:val="00A237FA"/>
    <w:rsid w:val="00A23E20"/>
    <w:rsid w:val="00A261A6"/>
    <w:rsid w:val="00A3275C"/>
    <w:rsid w:val="00A32F7D"/>
    <w:rsid w:val="00A35C8D"/>
    <w:rsid w:val="00A37B40"/>
    <w:rsid w:val="00A40A4A"/>
    <w:rsid w:val="00A4191C"/>
    <w:rsid w:val="00A43091"/>
    <w:rsid w:val="00A432CD"/>
    <w:rsid w:val="00A4518D"/>
    <w:rsid w:val="00A5532D"/>
    <w:rsid w:val="00A5536D"/>
    <w:rsid w:val="00A56A72"/>
    <w:rsid w:val="00A60C11"/>
    <w:rsid w:val="00A61D01"/>
    <w:rsid w:val="00A6271E"/>
    <w:rsid w:val="00A659F2"/>
    <w:rsid w:val="00A662C0"/>
    <w:rsid w:val="00A67964"/>
    <w:rsid w:val="00A67C89"/>
    <w:rsid w:val="00A67E0A"/>
    <w:rsid w:val="00A72F18"/>
    <w:rsid w:val="00A75438"/>
    <w:rsid w:val="00A9267F"/>
    <w:rsid w:val="00AA371A"/>
    <w:rsid w:val="00AA3F7F"/>
    <w:rsid w:val="00AA4BDE"/>
    <w:rsid w:val="00AA78C7"/>
    <w:rsid w:val="00AA7E73"/>
    <w:rsid w:val="00AB1B96"/>
    <w:rsid w:val="00AB5D19"/>
    <w:rsid w:val="00AB604B"/>
    <w:rsid w:val="00AC0E27"/>
    <w:rsid w:val="00AC3203"/>
    <w:rsid w:val="00AC69CC"/>
    <w:rsid w:val="00AD25E1"/>
    <w:rsid w:val="00AD2B98"/>
    <w:rsid w:val="00AD7718"/>
    <w:rsid w:val="00AE3A51"/>
    <w:rsid w:val="00AE7366"/>
    <w:rsid w:val="00AF2FC1"/>
    <w:rsid w:val="00AF2FCA"/>
    <w:rsid w:val="00AF622C"/>
    <w:rsid w:val="00B001F2"/>
    <w:rsid w:val="00B07733"/>
    <w:rsid w:val="00B102C6"/>
    <w:rsid w:val="00B11A77"/>
    <w:rsid w:val="00B178B9"/>
    <w:rsid w:val="00B17D54"/>
    <w:rsid w:val="00B237B6"/>
    <w:rsid w:val="00B3264C"/>
    <w:rsid w:val="00B345AE"/>
    <w:rsid w:val="00B35E37"/>
    <w:rsid w:val="00B36F3B"/>
    <w:rsid w:val="00B37755"/>
    <w:rsid w:val="00B4175D"/>
    <w:rsid w:val="00B42177"/>
    <w:rsid w:val="00B46952"/>
    <w:rsid w:val="00B5265C"/>
    <w:rsid w:val="00B53E39"/>
    <w:rsid w:val="00B64141"/>
    <w:rsid w:val="00B64BA3"/>
    <w:rsid w:val="00B74AF2"/>
    <w:rsid w:val="00B765C6"/>
    <w:rsid w:val="00B767D3"/>
    <w:rsid w:val="00B77C2E"/>
    <w:rsid w:val="00B80BE3"/>
    <w:rsid w:val="00B80E9A"/>
    <w:rsid w:val="00B8128F"/>
    <w:rsid w:val="00B844E1"/>
    <w:rsid w:val="00B91BA3"/>
    <w:rsid w:val="00B91D62"/>
    <w:rsid w:val="00B93F0D"/>
    <w:rsid w:val="00B96BF2"/>
    <w:rsid w:val="00BB051B"/>
    <w:rsid w:val="00BB3233"/>
    <w:rsid w:val="00BB363A"/>
    <w:rsid w:val="00BB692A"/>
    <w:rsid w:val="00BC2AA3"/>
    <w:rsid w:val="00BC3EB6"/>
    <w:rsid w:val="00BC5567"/>
    <w:rsid w:val="00BC74BD"/>
    <w:rsid w:val="00BC7992"/>
    <w:rsid w:val="00BD23EA"/>
    <w:rsid w:val="00BE6ADB"/>
    <w:rsid w:val="00BE7272"/>
    <w:rsid w:val="00BF1C0F"/>
    <w:rsid w:val="00BF2F5D"/>
    <w:rsid w:val="00BF5226"/>
    <w:rsid w:val="00BF5BCD"/>
    <w:rsid w:val="00BF62A6"/>
    <w:rsid w:val="00BF69ED"/>
    <w:rsid w:val="00C005DE"/>
    <w:rsid w:val="00C00BBE"/>
    <w:rsid w:val="00C075E2"/>
    <w:rsid w:val="00C11538"/>
    <w:rsid w:val="00C13EAC"/>
    <w:rsid w:val="00C205FD"/>
    <w:rsid w:val="00C2078C"/>
    <w:rsid w:val="00C23A23"/>
    <w:rsid w:val="00C2684F"/>
    <w:rsid w:val="00C26DC5"/>
    <w:rsid w:val="00C32607"/>
    <w:rsid w:val="00C34A75"/>
    <w:rsid w:val="00C34E89"/>
    <w:rsid w:val="00C36F80"/>
    <w:rsid w:val="00C37E01"/>
    <w:rsid w:val="00C41529"/>
    <w:rsid w:val="00C4476B"/>
    <w:rsid w:val="00C45F10"/>
    <w:rsid w:val="00C508CC"/>
    <w:rsid w:val="00C52846"/>
    <w:rsid w:val="00C54283"/>
    <w:rsid w:val="00C55957"/>
    <w:rsid w:val="00C55AB5"/>
    <w:rsid w:val="00C57471"/>
    <w:rsid w:val="00C578E1"/>
    <w:rsid w:val="00C57E85"/>
    <w:rsid w:val="00C601B3"/>
    <w:rsid w:val="00C602D9"/>
    <w:rsid w:val="00C655CC"/>
    <w:rsid w:val="00C725BC"/>
    <w:rsid w:val="00C72739"/>
    <w:rsid w:val="00C858B3"/>
    <w:rsid w:val="00C877FC"/>
    <w:rsid w:val="00C96771"/>
    <w:rsid w:val="00CA63D4"/>
    <w:rsid w:val="00CA7E87"/>
    <w:rsid w:val="00CB239F"/>
    <w:rsid w:val="00CB2B7B"/>
    <w:rsid w:val="00CB4756"/>
    <w:rsid w:val="00CB70B1"/>
    <w:rsid w:val="00CB7FD5"/>
    <w:rsid w:val="00CC2BC0"/>
    <w:rsid w:val="00CF072C"/>
    <w:rsid w:val="00CF2298"/>
    <w:rsid w:val="00CF278D"/>
    <w:rsid w:val="00CF5E6C"/>
    <w:rsid w:val="00D04D96"/>
    <w:rsid w:val="00D10A20"/>
    <w:rsid w:val="00D10EC3"/>
    <w:rsid w:val="00D11EF4"/>
    <w:rsid w:val="00D12909"/>
    <w:rsid w:val="00D15801"/>
    <w:rsid w:val="00D15F90"/>
    <w:rsid w:val="00D163EB"/>
    <w:rsid w:val="00D1764F"/>
    <w:rsid w:val="00D1777D"/>
    <w:rsid w:val="00D20D4C"/>
    <w:rsid w:val="00D32806"/>
    <w:rsid w:val="00D37D16"/>
    <w:rsid w:val="00D40DC4"/>
    <w:rsid w:val="00D41B2E"/>
    <w:rsid w:val="00D43F9D"/>
    <w:rsid w:val="00D5221A"/>
    <w:rsid w:val="00D528F9"/>
    <w:rsid w:val="00D54B4A"/>
    <w:rsid w:val="00D55307"/>
    <w:rsid w:val="00D71D53"/>
    <w:rsid w:val="00D72C7C"/>
    <w:rsid w:val="00D73A40"/>
    <w:rsid w:val="00D74D2D"/>
    <w:rsid w:val="00D76B94"/>
    <w:rsid w:val="00D80B49"/>
    <w:rsid w:val="00D818A1"/>
    <w:rsid w:val="00D851F0"/>
    <w:rsid w:val="00D90A8D"/>
    <w:rsid w:val="00D914FA"/>
    <w:rsid w:val="00D92AFB"/>
    <w:rsid w:val="00D92F38"/>
    <w:rsid w:val="00D93A10"/>
    <w:rsid w:val="00D965F9"/>
    <w:rsid w:val="00DA0B8B"/>
    <w:rsid w:val="00DA17BE"/>
    <w:rsid w:val="00DA6CA5"/>
    <w:rsid w:val="00DB51B0"/>
    <w:rsid w:val="00DB53DB"/>
    <w:rsid w:val="00DB61E7"/>
    <w:rsid w:val="00DB7387"/>
    <w:rsid w:val="00DC1FEB"/>
    <w:rsid w:val="00DD3ABE"/>
    <w:rsid w:val="00DD5189"/>
    <w:rsid w:val="00DD5BE1"/>
    <w:rsid w:val="00DD6075"/>
    <w:rsid w:val="00DE23E4"/>
    <w:rsid w:val="00DE3BA9"/>
    <w:rsid w:val="00DE4DE4"/>
    <w:rsid w:val="00DF2EB9"/>
    <w:rsid w:val="00DF3E74"/>
    <w:rsid w:val="00DF40B2"/>
    <w:rsid w:val="00E0066F"/>
    <w:rsid w:val="00E02E0B"/>
    <w:rsid w:val="00E0342C"/>
    <w:rsid w:val="00E03938"/>
    <w:rsid w:val="00E04D88"/>
    <w:rsid w:val="00E07760"/>
    <w:rsid w:val="00E10A23"/>
    <w:rsid w:val="00E15C5E"/>
    <w:rsid w:val="00E15CB3"/>
    <w:rsid w:val="00E24760"/>
    <w:rsid w:val="00E2485C"/>
    <w:rsid w:val="00E35D05"/>
    <w:rsid w:val="00E36709"/>
    <w:rsid w:val="00E368B2"/>
    <w:rsid w:val="00E376EF"/>
    <w:rsid w:val="00E41414"/>
    <w:rsid w:val="00E4654B"/>
    <w:rsid w:val="00E47692"/>
    <w:rsid w:val="00E505E9"/>
    <w:rsid w:val="00E5444C"/>
    <w:rsid w:val="00E546DD"/>
    <w:rsid w:val="00E57043"/>
    <w:rsid w:val="00E643E9"/>
    <w:rsid w:val="00E6513A"/>
    <w:rsid w:val="00E6720D"/>
    <w:rsid w:val="00E70A4C"/>
    <w:rsid w:val="00E759E1"/>
    <w:rsid w:val="00E76B3A"/>
    <w:rsid w:val="00E77DF8"/>
    <w:rsid w:val="00E86B57"/>
    <w:rsid w:val="00E87712"/>
    <w:rsid w:val="00E9293D"/>
    <w:rsid w:val="00EA3374"/>
    <w:rsid w:val="00EA6AA0"/>
    <w:rsid w:val="00EA7C61"/>
    <w:rsid w:val="00EA7E2A"/>
    <w:rsid w:val="00EB14CD"/>
    <w:rsid w:val="00EB18B8"/>
    <w:rsid w:val="00EB391E"/>
    <w:rsid w:val="00EB4DAB"/>
    <w:rsid w:val="00EB679F"/>
    <w:rsid w:val="00ED012E"/>
    <w:rsid w:val="00ED258A"/>
    <w:rsid w:val="00ED37F9"/>
    <w:rsid w:val="00ED436B"/>
    <w:rsid w:val="00ED4E19"/>
    <w:rsid w:val="00ED7A0F"/>
    <w:rsid w:val="00EE33B3"/>
    <w:rsid w:val="00EE3CD5"/>
    <w:rsid w:val="00EE4990"/>
    <w:rsid w:val="00EE5532"/>
    <w:rsid w:val="00EF3BA1"/>
    <w:rsid w:val="00EF4DF4"/>
    <w:rsid w:val="00EF51BE"/>
    <w:rsid w:val="00EF62AA"/>
    <w:rsid w:val="00EF65F8"/>
    <w:rsid w:val="00EF685A"/>
    <w:rsid w:val="00F00AA2"/>
    <w:rsid w:val="00F0137F"/>
    <w:rsid w:val="00F022C6"/>
    <w:rsid w:val="00F03E3D"/>
    <w:rsid w:val="00F06946"/>
    <w:rsid w:val="00F105E5"/>
    <w:rsid w:val="00F206FA"/>
    <w:rsid w:val="00F24BB8"/>
    <w:rsid w:val="00F256E6"/>
    <w:rsid w:val="00F2721A"/>
    <w:rsid w:val="00F27A1D"/>
    <w:rsid w:val="00F3084D"/>
    <w:rsid w:val="00F3091C"/>
    <w:rsid w:val="00F3158C"/>
    <w:rsid w:val="00F331DB"/>
    <w:rsid w:val="00F41E07"/>
    <w:rsid w:val="00F4426C"/>
    <w:rsid w:val="00F50B20"/>
    <w:rsid w:val="00F56173"/>
    <w:rsid w:val="00F57576"/>
    <w:rsid w:val="00F577C1"/>
    <w:rsid w:val="00F6207D"/>
    <w:rsid w:val="00F656E3"/>
    <w:rsid w:val="00F84395"/>
    <w:rsid w:val="00F86297"/>
    <w:rsid w:val="00F91AA4"/>
    <w:rsid w:val="00F96539"/>
    <w:rsid w:val="00F9757D"/>
    <w:rsid w:val="00FA0F59"/>
    <w:rsid w:val="00FA2248"/>
    <w:rsid w:val="00FA3DB6"/>
    <w:rsid w:val="00FA4941"/>
    <w:rsid w:val="00FA7CD9"/>
    <w:rsid w:val="00FB18FD"/>
    <w:rsid w:val="00FC2458"/>
    <w:rsid w:val="00FC6366"/>
    <w:rsid w:val="00FD1D56"/>
    <w:rsid w:val="00FD1EDC"/>
    <w:rsid w:val="00FD2052"/>
    <w:rsid w:val="00FD47CC"/>
    <w:rsid w:val="00FD6B12"/>
    <w:rsid w:val="00FE04BC"/>
    <w:rsid w:val="00FE3579"/>
    <w:rsid w:val="00FF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54CD"/>
  <w15:chartTrackingRefBased/>
  <w15:docId w15:val="{7544C33B-86E5-48F8-873E-83DADDE8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51"/>
    <w:pPr>
      <w:spacing w:line="276" w:lineRule="auto"/>
      <w:jc w:val="both"/>
    </w:pPr>
    <w:rPr>
      <w:rFonts w:ascii="Gill Sans MT" w:hAnsi="Gill Sans MT"/>
    </w:rPr>
  </w:style>
  <w:style w:type="paragraph" w:styleId="Heading1">
    <w:name w:val="heading 1"/>
    <w:basedOn w:val="Normal"/>
    <w:next w:val="Normal"/>
    <w:link w:val="Heading1Char"/>
    <w:autoRedefine/>
    <w:uiPriority w:val="9"/>
    <w:qFormat/>
    <w:rsid w:val="00FD1EDC"/>
    <w:pPr>
      <w:keepNext/>
      <w:keepLines/>
      <w:spacing w:before="240" w:after="0" w:line="480" w:lineRule="auto"/>
      <w:jc w:val="center"/>
      <w:outlineLvl w:val="0"/>
    </w:pPr>
    <w:rPr>
      <w:rFonts w:eastAsiaTheme="majorEastAsia" w:cstheme="majorBidi"/>
      <w:b/>
      <w:smallCaps/>
      <w:sz w:val="32"/>
      <w:szCs w:val="32"/>
    </w:rPr>
  </w:style>
  <w:style w:type="paragraph" w:styleId="Heading2">
    <w:name w:val="heading 2"/>
    <w:basedOn w:val="Normal"/>
    <w:next w:val="Normal"/>
    <w:link w:val="Heading2Char"/>
    <w:autoRedefine/>
    <w:uiPriority w:val="9"/>
    <w:unhideWhenUsed/>
    <w:qFormat/>
    <w:rsid w:val="00FD1EDC"/>
    <w:pPr>
      <w:keepNext/>
      <w:keepLines/>
      <w:spacing w:before="40" w:after="0"/>
      <w:jc w:val="center"/>
      <w:outlineLvl w:val="1"/>
    </w:pPr>
    <w:rPr>
      <w:rFonts w:eastAsiaTheme="majorEastAsia" w:cstheme="majorBidi"/>
      <w:i/>
      <w:sz w:val="28"/>
      <w:szCs w:val="26"/>
    </w:rPr>
  </w:style>
  <w:style w:type="paragraph" w:styleId="Heading3">
    <w:name w:val="heading 3"/>
    <w:basedOn w:val="Normal"/>
    <w:next w:val="Normal"/>
    <w:link w:val="Heading3Char"/>
    <w:autoRedefine/>
    <w:uiPriority w:val="9"/>
    <w:unhideWhenUsed/>
    <w:qFormat/>
    <w:rsid w:val="00FD47CC"/>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05E9"/>
    <w:pPr>
      <w:spacing w:after="0" w:line="240" w:lineRule="auto"/>
    </w:pPr>
    <w:rPr>
      <w:sz w:val="20"/>
      <w:szCs w:val="20"/>
    </w:rPr>
  </w:style>
  <w:style w:type="character" w:customStyle="1" w:styleId="FootnoteTextChar">
    <w:name w:val="Footnote Text Char"/>
    <w:basedOn w:val="DefaultParagraphFont"/>
    <w:link w:val="FootnoteText"/>
    <w:uiPriority w:val="99"/>
    <w:rsid w:val="00E505E9"/>
    <w:rPr>
      <w:sz w:val="20"/>
      <w:szCs w:val="20"/>
    </w:rPr>
  </w:style>
  <w:style w:type="character" w:styleId="FootnoteReference">
    <w:name w:val="footnote reference"/>
    <w:basedOn w:val="DefaultParagraphFont"/>
    <w:uiPriority w:val="99"/>
    <w:semiHidden/>
    <w:unhideWhenUsed/>
    <w:rsid w:val="00E505E9"/>
    <w:rPr>
      <w:vertAlign w:val="superscript"/>
    </w:rPr>
  </w:style>
  <w:style w:type="character" w:styleId="CommentReference">
    <w:name w:val="annotation reference"/>
    <w:basedOn w:val="DefaultParagraphFont"/>
    <w:uiPriority w:val="99"/>
    <w:semiHidden/>
    <w:unhideWhenUsed/>
    <w:rsid w:val="00E505E9"/>
    <w:rPr>
      <w:sz w:val="16"/>
      <w:szCs w:val="16"/>
    </w:rPr>
  </w:style>
  <w:style w:type="paragraph" w:styleId="CommentText">
    <w:name w:val="annotation text"/>
    <w:basedOn w:val="Normal"/>
    <w:link w:val="CommentTextChar"/>
    <w:uiPriority w:val="99"/>
    <w:unhideWhenUsed/>
    <w:rsid w:val="00E505E9"/>
    <w:pPr>
      <w:spacing w:line="240" w:lineRule="auto"/>
    </w:pPr>
    <w:rPr>
      <w:sz w:val="20"/>
      <w:szCs w:val="20"/>
    </w:rPr>
  </w:style>
  <w:style w:type="character" w:customStyle="1" w:styleId="CommentTextChar">
    <w:name w:val="Comment Text Char"/>
    <w:basedOn w:val="DefaultParagraphFont"/>
    <w:link w:val="CommentText"/>
    <w:uiPriority w:val="99"/>
    <w:rsid w:val="00E505E9"/>
    <w:rPr>
      <w:sz w:val="20"/>
      <w:szCs w:val="20"/>
    </w:rPr>
  </w:style>
  <w:style w:type="paragraph" w:styleId="BalloonText">
    <w:name w:val="Balloon Text"/>
    <w:basedOn w:val="Normal"/>
    <w:link w:val="BalloonTextChar"/>
    <w:uiPriority w:val="99"/>
    <w:semiHidden/>
    <w:unhideWhenUsed/>
    <w:rsid w:val="00E50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05E9"/>
    <w:rPr>
      <w:b/>
      <w:bCs/>
    </w:rPr>
  </w:style>
  <w:style w:type="character" w:customStyle="1" w:styleId="CommentSubjectChar">
    <w:name w:val="Comment Subject Char"/>
    <w:basedOn w:val="CommentTextChar"/>
    <w:link w:val="CommentSubject"/>
    <w:uiPriority w:val="99"/>
    <w:semiHidden/>
    <w:rsid w:val="00E505E9"/>
    <w:rPr>
      <w:b/>
      <w:bCs/>
      <w:sz w:val="20"/>
      <w:szCs w:val="20"/>
    </w:rPr>
  </w:style>
  <w:style w:type="character" w:styleId="Hyperlink">
    <w:name w:val="Hyperlink"/>
    <w:basedOn w:val="DefaultParagraphFont"/>
    <w:uiPriority w:val="99"/>
    <w:unhideWhenUsed/>
    <w:rsid w:val="005C5E51"/>
    <w:rPr>
      <w:color w:val="0563C1" w:themeColor="hyperlink"/>
      <w:u w:val="single"/>
    </w:rPr>
  </w:style>
  <w:style w:type="paragraph" w:styleId="ListParagraph">
    <w:name w:val="List Paragraph"/>
    <w:basedOn w:val="Normal"/>
    <w:uiPriority w:val="34"/>
    <w:qFormat/>
    <w:rsid w:val="00E505E9"/>
    <w:pPr>
      <w:ind w:left="720"/>
      <w:contextualSpacing/>
    </w:pPr>
  </w:style>
  <w:style w:type="paragraph" w:styleId="Header">
    <w:name w:val="header"/>
    <w:basedOn w:val="Normal"/>
    <w:link w:val="HeaderChar"/>
    <w:uiPriority w:val="99"/>
    <w:unhideWhenUsed/>
    <w:rsid w:val="00E50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E9"/>
  </w:style>
  <w:style w:type="paragraph" w:styleId="Footer">
    <w:name w:val="footer"/>
    <w:basedOn w:val="Normal"/>
    <w:link w:val="FooterChar"/>
    <w:uiPriority w:val="99"/>
    <w:unhideWhenUsed/>
    <w:rsid w:val="00E50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5E9"/>
  </w:style>
  <w:style w:type="character" w:customStyle="1" w:styleId="Heading1Char">
    <w:name w:val="Heading 1 Char"/>
    <w:basedOn w:val="DefaultParagraphFont"/>
    <w:link w:val="Heading1"/>
    <w:uiPriority w:val="9"/>
    <w:rsid w:val="00FD1EDC"/>
    <w:rPr>
      <w:rFonts w:ascii="Gill Sans MT" w:eastAsiaTheme="majorEastAsia" w:hAnsi="Gill Sans MT" w:cstheme="majorBidi"/>
      <w:b/>
      <w:smallCaps/>
      <w:sz w:val="32"/>
      <w:szCs w:val="32"/>
    </w:rPr>
  </w:style>
  <w:style w:type="character" w:customStyle="1" w:styleId="Heading2Char">
    <w:name w:val="Heading 2 Char"/>
    <w:basedOn w:val="DefaultParagraphFont"/>
    <w:link w:val="Heading2"/>
    <w:uiPriority w:val="9"/>
    <w:rsid w:val="00FD1EDC"/>
    <w:rPr>
      <w:rFonts w:ascii="Gill Sans MT" w:eastAsiaTheme="majorEastAsia" w:hAnsi="Gill Sans MT" w:cstheme="majorBidi"/>
      <w:i/>
      <w:sz w:val="28"/>
      <w:szCs w:val="26"/>
    </w:rPr>
  </w:style>
  <w:style w:type="character" w:customStyle="1" w:styleId="Heading3Char">
    <w:name w:val="Heading 3 Char"/>
    <w:basedOn w:val="DefaultParagraphFont"/>
    <w:link w:val="Heading3"/>
    <w:uiPriority w:val="9"/>
    <w:rsid w:val="00FD47CC"/>
    <w:rPr>
      <w:rFonts w:ascii="Gill Sans MT" w:eastAsiaTheme="majorEastAsia" w:hAnsi="Gill Sans MT" w:cstheme="majorBidi"/>
      <w:b/>
      <w:sz w:val="24"/>
      <w:szCs w:val="24"/>
    </w:rPr>
  </w:style>
  <w:style w:type="paragraph" w:styleId="Title">
    <w:name w:val="Title"/>
    <w:basedOn w:val="Normal"/>
    <w:next w:val="Normal"/>
    <w:link w:val="TitleChar"/>
    <w:autoRedefine/>
    <w:uiPriority w:val="10"/>
    <w:qFormat/>
    <w:rsid w:val="005E395A"/>
    <w:pPr>
      <w:spacing w:after="0" w:line="240" w:lineRule="auto"/>
      <w:contextualSpacing/>
      <w:jc w:val="left"/>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4C95"/>
    <w:rPr>
      <w:rFonts w:ascii="Gill Sans MT" w:eastAsiaTheme="majorEastAsia" w:hAnsi="Gill Sans MT" w:cstheme="majorBidi"/>
      <w:spacing w:val="-10"/>
      <w:kern w:val="28"/>
      <w:sz w:val="56"/>
      <w:szCs w:val="56"/>
    </w:rPr>
  </w:style>
  <w:style w:type="character" w:styleId="FollowedHyperlink">
    <w:name w:val="FollowedHyperlink"/>
    <w:basedOn w:val="DefaultParagraphFont"/>
    <w:uiPriority w:val="99"/>
    <w:semiHidden/>
    <w:unhideWhenUsed/>
    <w:rsid w:val="005C5E51"/>
    <w:rPr>
      <w:color w:val="954F72" w:themeColor="followedHyperlink"/>
      <w:u w:val="single"/>
    </w:rPr>
  </w:style>
  <w:style w:type="paragraph" w:styleId="Revision">
    <w:name w:val="Revision"/>
    <w:hidden/>
    <w:uiPriority w:val="99"/>
    <w:semiHidden/>
    <w:rsid w:val="005C5E51"/>
    <w:pPr>
      <w:spacing w:after="0" w:line="240" w:lineRule="auto"/>
    </w:pPr>
    <w:rPr>
      <w:rFonts w:ascii="Gill Sans MT" w:hAnsi="Gill Sans MT"/>
    </w:rPr>
  </w:style>
  <w:style w:type="paragraph" w:styleId="NoSpacing">
    <w:name w:val="No Spacing"/>
    <w:uiPriority w:val="1"/>
    <w:qFormat/>
    <w:rsid w:val="00C00BBE"/>
    <w:pPr>
      <w:spacing w:after="0" w:line="240" w:lineRule="auto"/>
      <w:jc w:val="both"/>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088">
      <w:bodyDiv w:val="1"/>
      <w:marLeft w:val="0"/>
      <w:marRight w:val="0"/>
      <w:marTop w:val="0"/>
      <w:marBottom w:val="0"/>
      <w:divBdr>
        <w:top w:val="none" w:sz="0" w:space="0" w:color="auto"/>
        <w:left w:val="none" w:sz="0" w:space="0" w:color="auto"/>
        <w:bottom w:val="none" w:sz="0" w:space="0" w:color="auto"/>
        <w:right w:val="none" w:sz="0" w:space="0" w:color="auto"/>
      </w:divBdr>
    </w:div>
    <w:div w:id="84114788">
      <w:bodyDiv w:val="1"/>
      <w:marLeft w:val="0"/>
      <w:marRight w:val="0"/>
      <w:marTop w:val="0"/>
      <w:marBottom w:val="0"/>
      <w:divBdr>
        <w:top w:val="none" w:sz="0" w:space="0" w:color="auto"/>
        <w:left w:val="none" w:sz="0" w:space="0" w:color="auto"/>
        <w:bottom w:val="none" w:sz="0" w:space="0" w:color="auto"/>
        <w:right w:val="none" w:sz="0" w:space="0" w:color="auto"/>
      </w:divBdr>
    </w:div>
    <w:div w:id="84764106">
      <w:bodyDiv w:val="1"/>
      <w:marLeft w:val="0"/>
      <w:marRight w:val="0"/>
      <w:marTop w:val="0"/>
      <w:marBottom w:val="0"/>
      <w:divBdr>
        <w:top w:val="none" w:sz="0" w:space="0" w:color="auto"/>
        <w:left w:val="none" w:sz="0" w:space="0" w:color="auto"/>
        <w:bottom w:val="none" w:sz="0" w:space="0" w:color="auto"/>
        <w:right w:val="none" w:sz="0" w:space="0" w:color="auto"/>
      </w:divBdr>
    </w:div>
    <w:div w:id="117452919">
      <w:bodyDiv w:val="1"/>
      <w:marLeft w:val="0"/>
      <w:marRight w:val="0"/>
      <w:marTop w:val="0"/>
      <w:marBottom w:val="0"/>
      <w:divBdr>
        <w:top w:val="none" w:sz="0" w:space="0" w:color="auto"/>
        <w:left w:val="none" w:sz="0" w:space="0" w:color="auto"/>
        <w:bottom w:val="none" w:sz="0" w:space="0" w:color="auto"/>
        <w:right w:val="none" w:sz="0" w:space="0" w:color="auto"/>
      </w:divBdr>
    </w:div>
    <w:div w:id="128597078">
      <w:bodyDiv w:val="1"/>
      <w:marLeft w:val="0"/>
      <w:marRight w:val="0"/>
      <w:marTop w:val="0"/>
      <w:marBottom w:val="0"/>
      <w:divBdr>
        <w:top w:val="none" w:sz="0" w:space="0" w:color="auto"/>
        <w:left w:val="none" w:sz="0" w:space="0" w:color="auto"/>
        <w:bottom w:val="none" w:sz="0" w:space="0" w:color="auto"/>
        <w:right w:val="none" w:sz="0" w:space="0" w:color="auto"/>
      </w:divBdr>
    </w:div>
    <w:div w:id="133254781">
      <w:bodyDiv w:val="1"/>
      <w:marLeft w:val="0"/>
      <w:marRight w:val="0"/>
      <w:marTop w:val="0"/>
      <w:marBottom w:val="0"/>
      <w:divBdr>
        <w:top w:val="none" w:sz="0" w:space="0" w:color="auto"/>
        <w:left w:val="none" w:sz="0" w:space="0" w:color="auto"/>
        <w:bottom w:val="none" w:sz="0" w:space="0" w:color="auto"/>
        <w:right w:val="none" w:sz="0" w:space="0" w:color="auto"/>
      </w:divBdr>
    </w:div>
    <w:div w:id="154495922">
      <w:bodyDiv w:val="1"/>
      <w:marLeft w:val="0"/>
      <w:marRight w:val="0"/>
      <w:marTop w:val="0"/>
      <w:marBottom w:val="0"/>
      <w:divBdr>
        <w:top w:val="none" w:sz="0" w:space="0" w:color="auto"/>
        <w:left w:val="none" w:sz="0" w:space="0" w:color="auto"/>
        <w:bottom w:val="none" w:sz="0" w:space="0" w:color="auto"/>
        <w:right w:val="none" w:sz="0" w:space="0" w:color="auto"/>
      </w:divBdr>
    </w:div>
    <w:div w:id="185339568">
      <w:bodyDiv w:val="1"/>
      <w:marLeft w:val="0"/>
      <w:marRight w:val="0"/>
      <w:marTop w:val="0"/>
      <w:marBottom w:val="0"/>
      <w:divBdr>
        <w:top w:val="none" w:sz="0" w:space="0" w:color="auto"/>
        <w:left w:val="none" w:sz="0" w:space="0" w:color="auto"/>
        <w:bottom w:val="none" w:sz="0" w:space="0" w:color="auto"/>
        <w:right w:val="none" w:sz="0" w:space="0" w:color="auto"/>
      </w:divBdr>
    </w:div>
    <w:div w:id="340280089">
      <w:bodyDiv w:val="1"/>
      <w:marLeft w:val="0"/>
      <w:marRight w:val="0"/>
      <w:marTop w:val="0"/>
      <w:marBottom w:val="0"/>
      <w:divBdr>
        <w:top w:val="none" w:sz="0" w:space="0" w:color="auto"/>
        <w:left w:val="none" w:sz="0" w:space="0" w:color="auto"/>
        <w:bottom w:val="none" w:sz="0" w:space="0" w:color="auto"/>
        <w:right w:val="none" w:sz="0" w:space="0" w:color="auto"/>
      </w:divBdr>
    </w:div>
    <w:div w:id="360864028">
      <w:bodyDiv w:val="1"/>
      <w:marLeft w:val="0"/>
      <w:marRight w:val="0"/>
      <w:marTop w:val="0"/>
      <w:marBottom w:val="0"/>
      <w:divBdr>
        <w:top w:val="none" w:sz="0" w:space="0" w:color="auto"/>
        <w:left w:val="none" w:sz="0" w:space="0" w:color="auto"/>
        <w:bottom w:val="none" w:sz="0" w:space="0" w:color="auto"/>
        <w:right w:val="none" w:sz="0" w:space="0" w:color="auto"/>
      </w:divBdr>
    </w:div>
    <w:div w:id="365374416">
      <w:bodyDiv w:val="1"/>
      <w:marLeft w:val="0"/>
      <w:marRight w:val="0"/>
      <w:marTop w:val="0"/>
      <w:marBottom w:val="0"/>
      <w:divBdr>
        <w:top w:val="none" w:sz="0" w:space="0" w:color="auto"/>
        <w:left w:val="none" w:sz="0" w:space="0" w:color="auto"/>
        <w:bottom w:val="none" w:sz="0" w:space="0" w:color="auto"/>
        <w:right w:val="none" w:sz="0" w:space="0" w:color="auto"/>
      </w:divBdr>
    </w:div>
    <w:div w:id="412432435">
      <w:bodyDiv w:val="1"/>
      <w:marLeft w:val="0"/>
      <w:marRight w:val="0"/>
      <w:marTop w:val="0"/>
      <w:marBottom w:val="0"/>
      <w:divBdr>
        <w:top w:val="none" w:sz="0" w:space="0" w:color="auto"/>
        <w:left w:val="none" w:sz="0" w:space="0" w:color="auto"/>
        <w:bottom w:val="none" w:sz="0" w:space="0" w:color="auto"/>
        <w:right w:val="none" w:sz="0" w:space="0" w:color="auto"/>
      </w:divBdr>
    </w:div>
    <w:div w:id="414740496">
      <w:bodyDiv w:val="1"/>
      <w:marLeft w:val="0"/>
      <w:marRight w:val="0"/>
      <w:marTop w:val="0"/>
      <w:marBottom w:val="0"/>
      <w:divBdr>
        <w:top w:val="none" w:sz="0" w:space="0" w:color="auto"/>
        <w:left w:val="none" w:sz="0" w:space="0" w:color="auto"/>
        <w:bottom w:val="none" w:sz="0" w:space="0" w:color="auto"/>
        <w:right w:val="none" w:sz="0" w:space="0" w:color="auto"/>
      </w:divBdr>
    </w:div>
    <w:div w:id="457452546">
      <w:bodyDiv w:val="1"/>
      <w:marLeft w:val="0"/>
      <w:marRight w:val="0"/>
      <w:marTop w:val="0"/>
      <w:marBottom w:val="0"/>
      <w:divBdr>
        <w:top w:val="none" w:sz="0" w:space="0" w:color="auto"/>
        <w:left w:val="none" w:sz="0" w:space="0" w:color="auto"/>
        <w:bottom w:val="none" w:sz="0" w:space="0" w:color="auto"/>
        <w:right w:val="none" w:sz="0" w:space="0" w:color="auto"/>
      </w:divBdr>
    </w:div>
    <w:div w:id="718552292">
      <w:bodyDiv w:val="1"/>
      <w:marLeft w:val="0"/>
      <w:marRight w:val="0"/>
      <w:marTop w:val="0"/>
      <w:marBottom w:val="0"/>
      <w:divBdr>
        <w:top w:val="none" w:sz="0" w:space="0" w:color="auto"/>
        <w:left w:val="none" w:sz="0" w:space="0" w:color="auto"/>
        <w:bottom w:val="none" w:sz="0" w:space="0" w:color="auto"/>
        <w:right w:val="none" w:sz="0" w:space="0" w:color="auto"/>
      </w:divBdr>
    </w:div>
    <w:div w:id="1023480287">
      <w:bodyDiv w:val="1"/>
      <w:marLeft w:val="0"/>
      <w:marRight w:val="0"/>
      <w:marTop w:val="0"/>
      <w:marBottom w:val="0"/>
      <w:divBdr>
        <w:top w:val="none" w:sz="0" w:space="0" w:color="auto"/>
        <w:left w:val="none" w:sz="0" w:space="0" w:color="auto"/>
        <w:bottom w:val="none" w:sz="0" w:space="0" w:color="auto"/>
        <w:right w:val="none" w:sz="0" w:space="0" w:color="auto"/>
      </w:divBdr>
    </w:div>
    <w:div w:id="1041396518">
      <w:bodyDiv w:val="1"/>
      <w:marLeft w:val="0"/>
      <w:marRight w:val="0"/>
      <w:marTop w:val="0"/>
      <w:marBottom w:val="0"/>
      <w:divBdr>
        <w:top w:val="none" w:sz="0" w:space="0" w:color="auto"/>
        <w:left w:val="none" w:sz="0" w:space="0" w:color="auto"/>
        <w:bottom w:val="none" w:sz="0" w:space="0" w:color="auto"/>
        <w:right w:val="none" w:sz="0" w:space="0" w:color="auto"/>
      </w:divBdr>
    </w:div>
    <w:div w:id="1138570550">
      <w:bodyDiv w:val="1"/>
      <w:marLeft w:val="0"/>
      <w:marRight w:val="0"/>
      <w:marTop w:val="0"/>
      <w:marBottom w:val="0"/>
      <w:divBdr>
        <w:top w:val="none" w:sz="0" w:space="0" w:color="auto"/>
        <w:left w:val="none" w:sz="0" w:space="0" w:color="auto"/>
        <w:bottom w:val="none" w:sz="0" w:space="0" w:color="auto"/>
        <w:right w:val="none" w:sz="0" w:space="0" w:color="auto"/>
      </w:divBdr>
    </w:div>
    <w:div w:id="1181819588">
      <w:bodyDiv w:val="1"/>
      <w:marLeft w:val="0"/>
      <w:marRight w:val="0"/>
      <w:marTop w:val="0"/>
      <w:marBottom w:val="0"/>
      <w:divBdr>
        <w:top w:val="none" w:sz="0" w:space="0" w:color="auto"/>
        <w:left w:val="none" w:sz="0" w:space="0" w:color="auto"/>
        <w:bottom w:val="none" w:sz="0" w:space="0" w:color="auto"/>
        <w:right w:val="none" w:sz="0" w:space="0" w:color="auto"/>
      </w:divBdr>
    </w:div>
    <w:div w:id="1310013706">
      <w:bodyDiv w:val="1"/>
      <w:marLeft w:val="0"/>
      <w:marRight w:val="0"/>
      <w:marTop w:val="0"/>
      <w:marBottom w:val="0"/>
      <w:divBdr>
        <w:top w:val="none" w:sz="0" w:space="0" w:color="auto"/>
        <w:left w:val="none" w:sz="0" w:space="0" w:color="auto"/>
        <w:bottom w:val="none" w:sz="0" w:space="0" w:color="auto"/>
        <w:right w:val="none" w:sz="0" w:space="0" w:color="auto"/>
      </w:divBdr>
    </w:div>
    <w:div w:id="1324580812">
      <w:bodyDiv w:val="1"/>
      <w:marLeft w:val="0"/>
      <w:marRight w:val="0"/>
      <w:marTop w:val="0"/>
      <w:marBottom w:val="0"/>
      <w:divBdr>
        <w:top w:val="none" w:sz="0" w:space="0" w:color="auto"/>
        <w:left w:val="none" w:sz="0" w:space="0" w:color="auto"/>
        <w:bottom w:val="none" w:sz="0" w:space="0" w:color="auto"/>
        <w:right w:val="none" w:sz="0" w:space="0" w:color="auto"/>
      </w:divBdr>
    </w:div>
    <w:div w:id="1336418516">
      <w:bodyDiv w:val="1"/>
      <w:marLeft w:val="0"/>
      <w:marRight w:val="0"/>
      <w:marTop w:val="0"/>
      <w:marBottom w:val="0"/>
      <w:divBdr>
        <w:top w:val="none" w:sz="0" w:space="0" w:color="auto"/>
        <w:left w:val="none" w:sz="0" w:space="0" w:color="auto"/>
        <w:bottom w:val="none" w:sz="0" w:space="0" w:color="auto"/>
        <w:right w:val="none" w:sz="0" w:space="0" w:color="auto"/>
      </w:divBdr>
    </w:div>
    <w:div w:id="1490947748">
      <w:bodyDiv w:val="1"/>
      <w:marLeft w:val="0"/>
      <w:marRight w:val="0"/>
      <w:marTop w:val="0"/>
      <w:marBottom w:val="0"/>
      <w:divBdr>
        <w:top w:val="none" w:sz="0" w:space="0" w:color="auto"/>
        <w:left w:val="none" w:sz="0" w:space="0" w:color="auto"/>
        <w:bottom w:val="none" w:sz="0" w:space="0" w:color="auto"/>
        <w:right w:val="none" w:sz="0" w:space="0" w:color="auto"/>
      </w:divBdr>
    </w:div>
    <w:div w:id="1513952532">
      <w:bodyDiv w:val="1"/>
      <w:marLeft w:val="0"/>
      <w:marRight w:val="0"/>
      <w:marTop w:val="0"/>
      <w:marBottom w:val="0"/>
      <w:divBdr>
        <w:top w:val="none" w:sz="0" w:space="0" w:color="auto"/>
        <w:left w:val="none" w:sz="0" w:space="0" w:color="auto"/>
        <w:bottom w:val="none" w:sz="0" w:space="0" w:color="auto"/>
        <w:right w:val="none" w:sz="0" w:space="0" w:color="auto"/>
      </w:divBdr>
    </w:div>
    <w:div w:id="1587373529">
      <w:bodyDiv w:val="1"/>
      <w:marLeft w:val="0"/>
      <w:marRight w:val="0"/>
      <w:marTop w:val="0"/>
      <w:marBottom w:val="0"/>
      <w:divBdr>
        <w:top w:val="none" w:sz="0" w:space="0" w:color="auto"/>
        <w:left w:val="none" w:sz="0" w:space="0" w:color="auto"/>
        <w:bottom w:val="none" w:sz="0" w:space="0" w:color="auto"/>
        <w:right w:val="none" w:sz="0" w:space="0" w:color="auto"/>
      </w:divBdr>
    </w:div>
    <w:div w:id="1616062612">
      <w:bodyDiv w:val="1"/>
      <w:marLeft w:val="0"/>
      <w:marRight w:val="0"/>
      <w:marTop w:val="0"/>
      <w:marBottom w:val="0"/>
      <w:divBdr>
        <w:top w:val="none" w:sz="0" w:space="0" w:color="auto"/>
        <w:left w:val="none" w:sz="0" w:space="0" w:color="auto"/>
        <w:bottom w:val="none" w:sz="0" w:space="0" w:color="auto"/>
        <w:right w:val="none" w:sz="0" w:space="0" w:color="auto"/>
      </w:divBdr>
    </w:div>
    <w:div w:id="1773279748">
      <w:bodyDiv w:val="1"/>
      <w:marLeft w:val="0"/>
      <w:marRight w:val="0"/>
      <w:marTop w:val="0"/>
      <w:marBottom w:val="0"/>
      <w:divBdr>
        <w:top w:val="none" w:sz="0" w:space="0" w:color="auto"/>
        <w:left w:val="none" w:sz="0" w:space="0" w:color="auto"/>
        <w:bottom w:val="none" w:sz="0" w:space="0" w:color="auto"/>
        <w:right w:val="none" w:sz="0" w:space="0" w:color="auto"/>
      </w:divBdr>
    </w:div>
    <w:div w:id="1876035636">
      <w:bodyDiv w:val="1"/>
      <w:marLeft w:val="0"/>
      <w:marRight w:val="0"/>
      <w:marTop w:val="0"/>
      <w:marBottom w:val="0"/>
      <w:divBdr>
        <w:top w:val="none" w:sz="0" w:space="0" w:color="auto"/>
        <w:left w:val="none" w:sz="0" w:space="0" w:color="auto"/>
        <w:bottom w:val="none" w:sz="0" w:space="0" w:color="auto"/>
        <w:right w:val="none" w:sz="0" w:space="0" w:color="auto"/>
      </w:divBdr>
    </w:div>
    <w:div w:id="1880430571">
      <w:bodyDiv w:val="1"/>
      <w:marLeft w:val="0"/>
      <w:marRight w:val="0"/>
      <w:marTop w:val="0"/>
      <w:marBottom w:val="0"/>
      <w:divBdr>
        <w:top w:val="none" w:sz="0" w:space="0" w:color="auto"/>
        <w:left w:val="none" w:sz="0" w:space="0" w:color="auto"/>
        <w:bottom w:val="none" w:sz="0" w:space="0" w:color="auto"/>
        <w:right w:val="none" w:sz="0" w:space="0" w:color="auto"/>
      </w:divBdr>
    </w:div>
    <w:div w:id="1915047895">
      <w:bodyDiv w:val="1"/>
      <w:marLeft w:val="0"/>
      <w:marRight w:val="0"/>
      <w:marTop w:val="0"/>
      <w:marBottom w:val="0"/>
      <w:divBdr>
        <w:top w:val="none" w:sz="0" w:space="0" w:color="auto"/>
        <w:left w:val="none" w:sz="0" w:space="0" w:color="auto"/>
        <w:bottom w:val="none" w:sz="0" w:space="0" w:color="auto"/>
        <w:right w:val="none" w:sz="0" w:space="0" w:color="auto"/>
      </w:divBdr>
    </w:div>
    <w:div w:id="1941834180">
      <w:bodyDiv w:val="1"/>
      <w:marLeft w:val="0"/>
      <w:marRight w:val="0"/>
      <w:marTop w:val="0"/>
      <w:marBottom w:val="0"/>
      <w:divBdr>
        <w:top w:val="none" w:sz="0" w:space="0" w:color="auto"/>
        <w:left w:val="none" w:sz="0" w:space="0" w:color="auto"/>
        <w:bottom w:val="none" w:sz="0" w:space="0" w:color="auto"/>
        <w:right w:val="none" w:sz="0" w:space="0" w:color="auto"/>
      </w:divBdr>
    </w:div>
    <w:div w:id="2024360492">
      <w:bodyDiv w:val="1"/>
      <w:marLeft w:val="0"/>
      <w:marRight w:val="0"/>
      <w:marTop w:val="0"/>
      <w:marBottom w:val="0"/>
      <w:divBdr>
        <w:top w:val="none" w:sz="0" w:space="0" w:color="auto"/>
        <w:left w:val="none" w:sz="0" w:space="0" w:color="auto"/>
        <w:bottom w:val="none" w:sz="0" w:space="0" w:color="auto"/>
        <w:right w:val="none" w:sz="0" w:space="0" w:color="auto"/>
      </w:divBdr>
    </w:div>
    <w:div w:id="2056003608">
      <w:bodyDiv w:val="1"/>
      <w:marLeft w:val="0"/>
      <w:marRight w:val="0"/>
      <w:marTop w:val="0"/>
      <w:marBottom w:val="0"/>
      <w:divBdr>
        <w:top w:val="none" w:sz="0" w:space="0" w:color="auto"/>
        <w:left w:val="none" w:sz="0" w:space="0" w:color="auto"/>
        <w:bottom w:val="none" w:sz="0" w:space="0" w:color="auto"/>
        <w:right w:val="none" w:sz="0" w:space="0" w:color="auto"/>
      </w:divBdr>
    </w:div>
    <w:div w:id="21213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law.co.uk/Category:Hospital_managers_hearings" TargetMode="External"/><Relationship Id="rId2" Type="http://schemas.openxmlformats.org/officeDocument/2006/relationships/hyperlink" Target="https://www.gov.uk/government/speeches/queens-speech-2017" TargetMode="External"/><Relationship Id="rId1" Type="http://schemas.openxmlformats.org/officeDocument/2006/relationships/hyperlink" Target="http://www.mentalhealthlaw.co.uk/Eligibility_periods" TargetMode="External"/><Relationship Id="rId5" Type="http://schemas.openxmlformats.org/officeDocument/2006/relationships/hyperlink" Target="https://www.gov.uk/government/statistics/tribunals-and-gender-recognition-certificate-statistics-quarterly-october-to-december-2016" TargetMode="External"/><Relationship Id="rId4" Type="http://schemas.openxmlformats.org/officeDocument/2006/relationships/hyperlink" Target="https://web-beta.archive.org/web/19970716201321/http:/www.hyperguide.co.uk:80/mha/new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E7FB-EC50-448C-92EC-56213196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10487</Words>
  <Characters>55898</Characters>
  <Application>Microsoft Office Word</Application>
  <DocSecurity>0</DocSecurity>
  <Lines>716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Webb</dc:creator>
  <cp:keywords/>
  <dc:description/>
  <cp:lastModifiedBy>Tom Webb</cp:lastModifiedBy>
  <cp:revision>4</cp:revision>
  <dcterms:created xsi:type="dcterms:W3CDTF">2017-09-06T13:23:00Z</dcterms:created>
  <dcterms:modified xsi:type="dcterms:W3CDTF">2017-09-06T13:28:00Z</dcterms:modified>
</cp:coreProperties>
</file>