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E5B126" w14:textId="21FFF83D" w:rsidR="006E5B2B" w:rsidRPr="00990896" w:rsidRDefault="006E5B2B" w:rsidP="0034397F">
      <w:pPr>
        <w:jc w:val="center"/>
        <w:rPr>
          <w:rFonts w:asciiTheme="majorHAnsi" w:hAnsiTheme="majorHAnsi"/>
          <w:b/>
          <w:color w:val="FF0000"/>
          <w:sz w:val="32"/>
        </w:rPr>
      </w:pPr>
      <w:bookmarkStart w:id="0" w:name="_Hlk31276128"/>
      <w:bookmarkEnd w:id="0"/>
      <w:r w:rsidRPr="00990896">
        <w:rPr>
          <w:rFonts w:asciiTheme="majorHAnsi" w:hAnsiTheme="majorHAnsi"/>
          <w:b/>
          <w:color w:val="FF0000"/>
          <w:sz w:val="32"/>
        </w:rPr>
        <w:t>Lancaster University</w:t>
      </w:r>
    </w:p>
    <w:p w14:paraId="73E2F40E" w14:textId="635F82BF" w:rsidR="006E5B2B" w:rsidRPr="00990896" w:rsidRDefault="006E5B2B" w:rsidP="0034397F">
      <w:pPr>
        <w:jc w:val="center"/>
        <w:rPr>
          <w:rFonts w:asciiTheme="majorHAnsi" w:hAnsiTheme="majorHAnsi"/>
          <w:b/>
          <w:sz w:val="32"/>
        </w:rPr>
      </w:pPr>
      <w:r w:rsidRPr="00990896">
        <w:rPr>
          <w:rFonts w:asciiTheme="majorHAnsi" w:hAnsiTheme="majorHAnsi"/>
          <w:b/>
          <w:sz w:val="32"/>
        </w:rPr>
        <w:t>Doctoral Thesis</w:t>
      </w:r>
    </w:p>
    <w:p w14:paraId="6227D252" w14:textId="139D28F8" w:rsidR="006E5B2B" w:rsidRPr="00990896" w:rsidRDefault="006E5B2B" w:rsidP="0034397F">
      <w:pPr>
        <w:jc w:val="center"/>
        <w:rPr>
          <w:rFonts w:asciiTheme="majorHAnsi" w:hAnsiTheme="majorHAnsi"/>
          <w:b/>
          <w:sz w:val="32"/>
        </w:rPr>
      </w:pPr>
      <w:r w:rsidRPr="00990896">
        <w:rPr>
          <w:rFonts w:asciiTheme="majorHAnsi" w:hAnsiTheme="majorHAnsi"/>
          <w:b/>
          <w:sz w:val="32"/>
        </w:rPr>
        <w:t>________________________________________________________</w:t>
      </w:r>
    </w:p>
    <w:p w14:paraId="3378B497" w14:textId="2037F604" w:rsidR="00DB1AD2" w:rsidRPr="00990896" w:rsidRDefault="00250D5F" w:rsidP="0034397F">
      <w:pPr>
        <w:jc w:val="center"/>
        <w:rPr>
          <w:rFonts w:asciiTheme="majorHAnsi" w:hAnsiTheme="majorHAnsi"/>
          <w:b/>
          <w:sz w:val="32"/>
        </w:rPr>
      </w:pPr>
      <w:r w:rsidRPr="00990896">
        <w:rPr>
          <w:rFonts w:asciiTheme="majorHAnsi" w:hAnsiTheme="majorHAnsi"/>
          <w:b/>
          <w:sz w:val="40"/>
          <w:szCs w:val="28"/>
        </w:rPr>
        <w:t xml:space="preserve">Bespoke </w:t>
      </w:r>
      <w:r w:rsidR="00CF76FA" w:rsidRPr="00990896">
        <w:rPr>
          <w:rFonts w:asciiTheme="majorHAnsi" w:hAnsiTheme="majorHAnsi"/>
          <w:b/>
          <w:sz w:val="40"/>
          <w:szCs w:val="28"/>
        </w:rPr>
        <w:t xml:space="preserve">Analysis of Soil in a High Uranium Background for </w:t>
      </w:r>
      <w:r w:rsidR="00770C4F" w:rsidRPr="00990896">
        <w:rPr>
          <w:rFonts w:asciiTheme="majorHAnsi" w:hAnsiTheme="majorHAnsi"/>
          <w:b/>
          <w:sz w:val="40"/>
          <w:szCs w:val="28"/>
        </w:rPr>
        <w:t xml:space="preserve">Identification of Trace Plutonium </w:t>
      </w:r>
      <w:r w:rsidR="00CF76FA" w:rsidRPr="00990896">
        <w:rPr>
          <w:rFonts w:asciiTheme="majorHAnsi" w:hAnsiTheme="majorHAnsi"/>
          <w:b/>
          <w:sz w:val="40"/>
          <w:szCs w:val="28"/>
        </w:rPr>
        <w:t>in Decommissioning</w:t>
      </w:r>
      <w:r w:rsidR="00770C4F" w:rsidRPr="00990896">
        <w:rPr>
          <w:rFonts w:asciiTheme="majorHAnsi" w:hAnsiTheme="majorHAnsi"/>
          <w:b/>
          <w:sz w:val="40"/>
          <w:szCs w:val="28"/>
        </w:rPr>
        <w:t xml:space="preserve"> Applications</w:t>
      </w:r>
    </w:p>
    <w:p w14:paraId="503D0B9F" w14:textId="3CE5D8C4" w:rsidR="005354ED" w:rsidRPr="00990896" w:rsidRDefault="00990896" w:rsidP="0034397F">
      <w:pPr>
        <w:jc w:val="center"/>
        <w:rPr>
          <w:rFonts w:asciiTheme="majorHAnsi" w:hAnsiTheme="majorHAnsi"/>
          <w:b/>
          <w:sz w:val="32"/>
        </w:rPr>
      </w:pPr>
      <w:r w:rsidRPr="00990896">
        <w:rPr>
          <w:rFonts w:asciiTheme="majorHAnsi" w:hAnsiTheme="majorHAnsi"/>
          <w:b/>
          <w:sz w:val="32"/>
        </w:rPr>
        <w:t>________________________________________________________</w:t>
      </w:r>
    </w:p>
    <w:p w14:paraId="3056946D" w14:textId="7DF5E341" w:rsidR="005354ED" w:rsidRPr="00990896" w:rsidRDefault="005354ED" w:rsidP="0034397F">
      <w:pPr>
        <w:jc w:val="center"/>
        <w:rPr>
          <w:rFonts w:asciiTheme="majorHAnsi" w:hAnsiTheme="majorHAnsi"/>
          <w:bCs/>
          <w:i/>
          <w:iCs/>
          <w:sz w:val="32"/>
        </w:rPr>
      </w:pPr>
      <w:r w:rsidRPr="00990896">
        <w:rPr>
          <w:rFonts w:asciiTheme="majorHAnsi" w:hAnsiTheme="majorHAnsi"/>
          <w:bCs/>
          <w:i/>
          <w:iCs/>
          <w:sz w:val="32"/>
        </w:rPr>
        <w:t>Submitted in accordance with the requirements of Lancaster University for the degree of Doctor of Philosophy</w:t>
      </w:r>
    </w:p>
    <w:p w14:paraId="5D1C35F0" w14:textId="1E4E25CF" w:rsidR="005354ED" w:rsidRPr="00990896" w:rsidRDefault="005354ED" w:rsidP="0034397F">
      <w:pPr>
        <w:jc w:val="center"/>
        <w:rPr>
          <w:rFonts w:asciiTheme="majorHAnsi" w:hAnsiTheme="majorHAnsi"/>
          <w:b/>
          <w:sz w:val="32"/>
        </w:rPr>
      </w:pPr>
    </w:p>
    <w:p w14:paraId="370D4613" w14:textId="72CB0BEF" w:rsidR="005354ED" w:rsidRPr="00990896" w:rsidRDefault="005354ED" w:rsidP="0034397F">
      <w:pPr>
        <w:jc w:val="center"/>
        <w:rPr>
          <w:rFonts w:asciiTheme="majorHAnsi" w:hAnsiTheme="majorHAnsi"/>
          <w:b/>
          <w:sz w:val="32"/>
        </w:rPr>
      </w:pPr>
      <w:r w:rsidRPr="00990896">
        <w:rPr>
          <w:rFonts w:asciiTheme="majorHAnsi" w:hAnsiTheme="majorHAnsi"/>
          <w:b/>
          <w:sz w:val="32"/>
        </w:rPr>
        <w:t>Christopher Mark Tighe</w:t>
      </w:r>
      <w:r w:rsidR="006E5B2B" w:rsidRPr="00990896">
        <w:rPr>
          <w:rFonts w:asciiTheme="majorHAnsi" w:hAnsiTheme="majorHAnsi"/>
          <w:b/>
          <w:sz w:val="32"/>
        </w:rPr>
        <w:t>, BSc</w:t>
      </w:r>
    </w:p>
    <w:p w14:paraId="7295D45F" w14:textId="726A04EB" w:rsidR="006E5B2B" w:rsidRPr="00990896" w:rsidRDefault="006E5B2B" w:rsidP="0034397F">
      <w:pPr>
        <w:jc w:val="center"/>
        <w:rPr>
          <w:rFonts w:asciiTheme="majorHAnsi" w:hAnsiTheme="majorHAnsi"/>
          <w:b/>
          <w:color w:val="FF0000"/>
          <w:sz w:val="32"/>
        </w:rPr>
      </w:pPr>
      <w:r w:rsidRPr="00990896">
        <w:rPr>
          <w:rFonts w:asciiTheme="majorHAnsi" w:hAnsiTheme="majorHAnsi"/>
          <w:b/>
          <w:color w:val="FF0000"/>
          <w:sz w:val="32"/>
        </w:rPr>
        <w:t>Department of Engineering</w:t>
      </w:r>
    </w:p>
    <w:p w14:paraId="11365BA7" w14:textId="45CEF4AA" w:rsidR="005354ED" w:rsidRPr="00990896" w:rsidRDefault="00822BC7" w:rsidP="0034397F">
      <w:pPr>
        <w:jc w:val="center"/>
        <w:rPr>
          <w:rFonts w:asciiTheme="majorHAnsi" w:hAnsiTheme="majorHAnsi"/>
          <w:b/>
          <w:sz w:val="32"/>
        </w:rPr>
      </w:pPr>
      <w:r w:rsidRPr="00990896">
        <w:rPr>
          <w:rFonts w:asciiTheme="majorHAnsi" w:hAnsiTheme="majorHAnsi"/>
          <w:b/>
          <w:sz w:val="32"/>
        </w:rPr>
        <w:t>April 26</w:t>
      </w:r>
      <w:r w:rsidRPr="00990896">
        <w:rPr>
          <w:rFonts w:asciiTheme="majorHAnsi" w:hAnsiTheme="majorHAnsi"/>
          <w:b/>
          <w:sz w:val="32"/>
          <w:vertAlign w:val="superscript"/>
        </w:rPr>
        <w:t>th</w:t>
      </w:r>
      <w:r w:rsidR="005354ED" w:rsidRPr="00990896">
        <w:rPr>
          <w:rFonts w:asciiTheme="majorHAnsi" w:hAnsiTheme="majorHAnsi"/>
          <w:b/>
          <w:sz w:val="32"/>
        </w:rPr>
        <w:t>, 2019</w:t>
      </w:r>
    </w:p>
    <w:p w14:paraId="385AFEAE" w14:textId="15E93A3F" w:rsidR="00401CFD" w:rsidRPr="0034397F" w:rsidRDefault="00401CFD" w:rsidP="0034397F">
      <w:pPr>
        <w:jc w:val="center"/>
        <w:rPr>
          <w:b/>
          <w:sz w:val="32"/>
        </w:rPr>
      </w:pPr>
      <w:r w:rsidRPr="0034397F">
        <w:rPr>
          <w:b/>
          <w:sz w:val="32"/>
        </w:rPr>
        <w:br w:type="page"/>
      </w:r>
    </w:p>
    <w:p w14:paraId="708FB82D" w14:textId="549981DE" w:rsidR="00990896" w:rsidRDefault="00401CFD" w:rsidP="00990896">
      <w:pPr>
        <w:rPr>
          <w:b/>
          <w:sz w:val="40"/>
        </w:rPr>
      </w:pPr>
      <w:r w:rsidRPr="00351380">
        <w:rPr>
          <w:b/>
          <w:sz w:val="40"/>
        </w:rPr>
        <w:lastRenderedPageBreak/>
        <w:t>Acknowledgements</w:t>
      </w:r>
    </w:p>
    <w:p w14:paraId="201814AA" w14:textId="77777777" w:rsidR="00990896" w:rsidRDefault="00990896" w:rsidP="00990896">
      <w:pPr>
        <w:rPr>
          <w:b/>
          <w:sz w:val="40"/>
        </w:rPr>
      </w:pPr>
    </w:p>
    <w:p w14:paraId="11480E35" w14:textId="7F4AB85D" w:rsidR="00E61A73" w:rsidRPr="00990896" w:rsidRDefault="00401CFD" w:rsidP="00990896">
      <w:pPr>
        <w:rPr>
          <w:b/>
          <w:sz w:val="40"/>
        </w:rPr>
      </w:pPr>
      <w:r w:rsidRPr="00CF76FA">
        <w:rPr>
          <w:sz w:val="24"/>
        </w:rPr>
        <w:t xml:space="preserve">Great thanks are due to various individuals and institutions that took part in </w:t>
      </w:r>
      <w:r w:rsidR="00234327">
        <w:rPr>
          <w:sz w:val="24"/>
        </w:rPr>
        <w:t>my PhD</w:t>
      </w:r>
      <w:r w:rsidRPr="00CF76FA">
        <w:rPr>
          <w:sz w:val="24"/>
        </w:rPr>
        <w:t xml:space="preserve"> throughout its completion</w:t>
      </w:r>
      <w:r w:rsidR="00E61A73" w:rsidRPr="00CF76FA">
        <w:rPr>
          <w:sz w:val="24"/>
        </w:rPr>
        <w:t xml:space="preserve"> and are as follows:</w:t>
      </w:r>
    </w:p>
    <w:p w14:paraId="52A20AB0" w14:textId="3D41C13B" w:rsidR="00E61A73" w:rsidRDefault="00424E02" w:rsidP="000A2F6E">
      <w:pPr>
        <w:pStyle w:val="ListParagraph"/>
        <w:numPr>
          <w:ilvl w:val="0"/>
          <w:numId w:val="1"/>
        </w:numPr>
        <w:spacing w:line="480" w:lineRule="auto"/>
        <w:rPr>
          <w:sz w:val="24"/>
        </w:rPr>
      </w:pPr>
      <w:r w:rsidRPr="00CF76FA">
        <w:rPr>
          <w:sz w:val="24"/>
        </w:rPr>
        <w:t>Professor Malcolm Joyce for his careful and patient supervision</w:t>
      </w:r>
      <w:r w:rsidR="00B97C40">
        <w:rPr>
          <w:sz w:val="24"/>
        </w:rPr>
        <w:t xml:space="preserve"> </w:t>
      </w:r>
      <w:r w:rsidRPr="00CF76FA">
        <w:rPr>
          <w:sz w:val="24"/>
        </w:rPr>
        <w:t>of the project</w:t>
      </w:r>
      <w:r w:rsidR="008024CA">
        <w:rPr>
          <w:sz w:val="24"/>
        </w:rPr>
        <w:t>, offering pertinent advice and support countless times throughout the journey.</w:t>
      </w:r>
    </w:p>
    <w:p w14:paraId="1E9ED744" w14:textId="063351D7" w:rsidR="00A95095" w:rsidRPr="00CF76FA" w:rsidRDefault="00A95095" w:rsidP="000A2F6E">
      <w:pPr>
        <w:pStyle w:val="ListParagraph"/>
        <w:numPr>
          <w:ilvl w:val="0"/>
          <w:numId w:val="1"/>
        </w:numPr>
        <w:spacing w:line="480" w:lineRule="auto"/>
        <w:rPr>
          <w:sz w:val="24"/>
        </w:rPr>
      </w:pPr>
      <w:r>
        <w:rPr>
          <w:sz w:val="24"/>
        </w:rPr>
        <w:t>Dr Jeremy Andrew for his valuable industrial insight and discussion, and Dounreay Site Restoration Ltd., for their financial support of the project.</w:t>
      </w:r>
    </w:p>
    <w:p w14:paraId="5CCB6C1E" w14:textId="449AFF6F" w:rsidR="000E4EB2" w:rsidRDefault="00C91618" w:rsidP="000A2F6E">
      <w:pPr>
        <w:pStyle w:val="ListParagraph"/>
        <w:numPr>
          <w:ilvl w:val="0"/>
          <w:numId w:val="1"/>
        </w:numPr>
        <w:spacing w:line="480" w:lineRule="auto"/>
        <w:rPr>
          <w:sz w:val="24"/>
        </w:rPr>
      </w:pPr>
      <w:r w:rsidRPr="00CF76FA">
        <w:rPr>
          <w:sz w:val="24"/>
        </w:rPr>
        <w:t xml:space="preserve">Staff at the </w:t>
      </w:r>
      <w:r w:rsidR="00303198" w:rsidRPr="00CF76FA">
        <w:rPr>
          <w:sz w:val="24"/>
        </w:rPr>
        <w:t>Centre of Ion Beam Physics, ETH Z</w:t>
      </w:r>
      <w:r w:rsidR="00234327">
        <w:rPr>
          <w:sz w:val="24"/>
        </w:rPr>
        <w:t>ϋ</w:t>
      </w:r>
      <w:r w:rsidR="00303198" w:rsidRPr="00CF76FA">
        <w:rPr>
          <w:sz w:val="24"/>
        </w:rPr>
        <w:t xml:space="preserve">rich for their invaluable help and use of the AMS facility. Particular thanks are given to Dr Marcus Christl for his helpful discussions and Dr Maxi </w:t>
      </w:r>
      <w:r w:rsidR="007F0F4A" w:rsidRPr="00CF76FA">
        <w:rPr>
          <w:sz w:val="24"/>
        </w:rPr>
        <w:t xml:space="preserve">Castrillejo </w:t>
      </w:r>
      <w:r w:rsidR="00303198" w:rsidRPr="00CF76FA">
        <w:rPr>
          <w:sz w:val="24"/>
        </w:rPr>
        <w:t>Iridoy for his</w:t>
      </w:r>
      <w:r w:rsidR="00FA23D7">
        <w:rPr>
          <w:sz w:val="24"/>
        </w:rPr>
        <w:t xml:space="preserve"> </w:t>
      </w:r>
      <w:r w:rsidR="00303198" w:rsidRPr="00CF76FA">
        <w:rPr>
          <w:sz w:val="24"/>
        </w:rPr>
        <w:t>supervision, support and friendship during long hours in the laboratory.</w:t>
      </w:r>
    </w:p>
    <w:p w14:paraId="09461547" w14:textId="246A59FF" w:rsidR="00234327" w:rsidRPr="00CF76FA" w:rsidRDefault="00234327" w:rsidP="000A2F6E">
      <w:pPr>
        <w:pStyle w:val="ListParagraph"/>
        <w:numPr>
          <w:ilvl w:val="0"/>
          <w:numId w:val="1"/>
        </w:numPr>
        <w:spacing w:line="480" w:lineRule="auto"/>
        <w:rPr>
          <w:sz w:val="24"/>
        </w:rPr>
      </w:pPr>
      <w:r>
        <w:rPr>
          <w:sz w:val="24"/>
        </w:rPr>
        <w:t>Prof</w:t>
      </w:r>
      <w:r w:rsidR="00377F89">
        <w:rPr>
          <w:sz w:val="24"/>
        </w:rPr>
        <w:t>essor</w:t>
      </w:r>
      <w:r>
        <w:rPr>
          <w:sz w:val="24"/>
        </w:rPr>
        <w:t xml:space="preserve"> Claude Degueldre for his valuable input into discussion of radionuclide origins, based on decades of experience in the area</w:t>
      </w:r>
      <w:r w:rsidR="0055385A">
        <w:rPr>
          <w:sz w:val="24"/>
        </w:rPr>
        <w:t xml:space="preserve">, and his introduction to the staff at ETH </w:t>
      </w:r>
      <w:r w:rsidR="0055385A" w:rsidRPr="00CF76FA">
        <w:rPr>
          <w:sz w:val="24"/>
        </w:rPr>
        <w:t>Z</w:t>
      </w:r>
      <w:r w:rsidR="0055385A">
        <w:rPr>
          <w:sz w:val="24"/>
        </w:rPr>
        <w:t>ϋ</w:t>
      </w:r>
      <w:r w:rsidR="0055385A" w:rsidRPr="00CF76FA">
        <w:rPr>
          <w:sz w:val="24"/>
        </w:rPr>
        <w:t>rich</w:t>
      </w:r>
      <w:r w:rsidR="0055385A">
        <w:rPr>
          <w:sz w:val="24"/>
        </w:rPr>
        <w:t>.</w:t>
      </w:r>
    </w:p>
    <w:p w14:paraId="411EE589" w14:textId="5830E6E1" w:rsidR="00303198" w:rsidRDefault="00303198" w:rsidP="000A2F6E">
      <w:pPr>
        <w:pStyle w:val="ListParagraph"/>
        <w:numPr>
          <w:ilvl w:val="0"/>
          <w:numId w:val="1"/>
        </w:numPr>
        <w:spacing w:line="480" w:lineRule="auto"/>
        <w:rPr>
          <w:sz w:val="24"/>
        </w:rPr>
      </w:pPr>
      <w:r w:rsidRPr="00CF76FA">
        <w:rPr>
          <w:sz w:val="24"/>
        </w:rPr>
        <w:t>Staff at the Culham Centre for Fusion Energy for their guidance and support with gamma spectrometry and spectral analysis</w:t>
      </w:r>
      <w:r w:rsidR="007F0F4A" w:rsidRPr="00CF76FA">
        <w:rPr>
          <w:sz w:val="24"/>
        </w:rPr>
        <w:t xml:space="preserve">, in particular Dr Bethany Colling, </w:t>
      </w:r>
      <w:r w:rsidR="00D1476D" w:rsidRPr="00CF76FA">
        <w:rPr>
          <w:sz w:val="24"/>
        </w:rPr>
        <w:t xml:space="preserve">Lee Packer, and Steve </w:t>
      </w:r>
      <w:r w:rsidR="00CF76FA">
        <w:rPr>
          <w:sz w:val="24"/>
        </w:rPr>
        <w:t>Bradnam.</w:t>
      </w:r>
    </w:p>
    <w:p w14:paraId="67162053" w14:textId="532E273C" w:rsidR="00CF76FA" w:rsidRDefault="00234327" w:rsidP="000A2F6E">
      <w:pPr>
        <w:pStyle w:val="ListParagraph"/>
        <w:numPr>
          <w:ilvl w:val="0"/>
          <w:numId w:val="1"/>
        </w:numPr>
        <w:spacing w:line="480" w:lineRule="auto"/>
        <w:rPr>
          <w:sz w:val="24"/>
        </w:rPr>
      </w:pPr>
      <w:r>
        <w:rPr>
          <w:sz w:val="24"/>
        </w:rPr>
        <w:t xml:space="preserve">Dr </w:t>
      </w:r>
      <w:r w:rsidR="00CF76FA">
        <w:rPr>
          <w:sz w:val="24"/>
        </w:rPr>
        <w:t xml:space="preserve">Rashed Sarwar for instruction on the use of an FPGA board </w:t>
      </w:r>
      <w:r w:rsidR="002C1C15">
        <w:rPr>
          <w:sz w:val="24"/>
        </w:rPr>
        <w:t xml:space="preserve">to count neutrons, </w:t>
      </w:r>
      <w:r w:rsidR="00CF76FA">
        <w:rPr>
          <w:sz w:val="24"/>
        </w:rPr>
        <w:t>and the associated PCB</w:t>
      </w:r>
      <w:r w:rsidR="00B97C40">
        <w:rPr>
          <w:sz w:val="24"/>
        </w:rPr>
        <w:t xml:space="preserve"> of his design</w:t>
      </w:r>
      <w:r w:rsidR="00CF76FA">
        <w:rPr>
          <w:sz w:val="24"/>
        </w:rPr>
        <w:t>.</w:t>
      </w:r>
    </w:p>
    <w:p w14:paraId="3D7AD22A" w14:textId="647A0B3B" w:rsidR="00CF76FA" w:rsidRDefault="00CF76FA" w:rsidP="000A2F6E">
      <w:pPr>
        <w:pStyle w:val="ListParagraph"/>
        <w:numPr>
          <w:ilvl w:val="0"/>
          <w:numId w:val="1"/>
        </w:numPr>
        <w:spacing w:line="480" w:lineRule="auto"/>
        <w:rPr>
          <w:sz w:val="24"/>
        </w:rPr>
      </w:pPr>
      <w:r>
        <w:rPr>
          <w:sz w:val="24"/>
        </w:rPr>
        <w:t xml:space="preserve">The </w:t>
      </w:r>
      <w:r w:rsidR="00234327">
        <w:rPr>
          <w:sz w:val="24"/>
        </w:rPr>
        <w:t>N</w:t>
      </w:r>
      <w:r>
        <w:rPr>
          <w:sz w:val="24"/>
        </w:rPr>
        <w:t xml:space="preserve">uclear </w:t>
      </w:r>
      <w:r w:rsidR="00234327">
        <w:rPr>
          <w:sz w:val="24"/>
        </w:rPr>
        <w:t>Science and E</w:t>
      </w:r>
      <w:r>
        <w:rPr>
          <w:sz w:val="24"/>
        </w:rPr>
        <w:t>ngineering research group</w:t>
      </w:r>
      <w:r w:rsidR="00A95095">
        <w:rPr>
          <w:sz w:val="24"/>
        </w:rPr>
        <w:t xml:space="preserve"> at Lancaster</w:t>
      </w:r>
      <w:r>
        <w:rPr>
          <w:sz w:val="24"/>
        </w:rPr>
        <w:t xml:space="preserve"> for helpful discussions and support, in particular Helen Parker and Dr Ashley Jones.</w:t>
      </w:r>
    </w:p>
    <w:p w14:paraId="576ABA73" w14:textId="724FC0D8" w:rsidR="002C1C15" w:rsidRDefault="002C1C15" w:rsidP="000A2F6E">
      <w:pPr>
        <w:pStyle w:val="ListParagraph"/>
        <w:numPr>
          <w:ilvl w:val="0"/>
          <w:numId w:val="1"/>
        </w:numPr>
        <w:spacing w:line="480" w:lineRule="auto"/>
        <w:rPr>
          <w:sz w:val="24"/>
        </w:rPr>
      </w:pPr>
      <w:r>
        <w:rPr>
          <w:sz w:val="24"/>
        </w:rPr>
        <w:t>Dr Ioannis Tsitsimpelis and Dr Andrew West for their supportive pointers when MS Word made me feel like a philistine.</w:t>
      </w:r>
    </w:p>
    <w:p w14:paraId="528AD087" w14:textId="13E00D1B" w:rsidR="00CF76FA" w:rsidRDefault="00CF76FA" w:rsidP="000A2F6E">
      <w:pPr>
        <w:pStyle w:val="ListParagraph"/>
        <w:numPr>
          <w:ilvl w:val="0"/>
          <w:numId w:val="1"/>
        </w:numPr>
        <w:spacing w:line="480" w:lineRule="auto"/>
        <w:rPr>
          <w:sz w:val="24"/>
        </w:rPr>
      </w:pPr>
      <w:r>
        <w:rPr>
          <w:sz w:val="24"/>
        </w:rPr>
        <w:lastRenderedPageBreak/>
        <w:t>Technical staff within the Lancaster University Engineering Department.</w:t>
      </w:r>
    </w:p>
    <w:p w14:paraId="1A0AAFE2" w14:textId="03A8F9C5" w:rsidR="00876B8F" w:rsidRPr="000A2F6E" w:rsidRDefault="00876B8F" w:rsidP="000A2F6E">
      <w:pPr>
        <w:spacing w:line="480" w:lineRule="auto"/>
        <w:rPr>
          <w:sz w:val="24"/>
        </w:rPr>
      </w:pPr>
      <w:r>
        <w:rPr>
          <w:sz w:val="24"/>
        </w:rPr>
        <w:t>Further acknowledgements are made to</w:t>
      </w:r>
      <w:r w:rsidR="00770C4F">
        <w:rPr>
          <w:sz w:val="24"/>
        </w:rPr>
        <w:t xml:space="preserve"> the following</w:t>
      </w:r>
      <w:r>
        <w:rPr>
          <w:sz w:val="24"/>
        </w:rPr>
        <w:t xml:space="preserve"> individuals </w:t>
      </w:r>
      <w:r w:rsidR="00770C4F">
        <w:rPr>
          <w:sz w:val="24"/>
        </w:rPr>
        <w:t>for</w:t>
      </w:r>
      <w:r>
        <w:rPr>
          <w:sz w:val="24"/>
        </w:rPr>
        <w:t xml:space="preserve"> carrying out certain measurements and offering help as follows:</w:t>
      </w:r>
    </w:p>
    <w:p w14:paraId="270A3849" w14:textId="77777777" w:rsidR="00876B8F" w:rsidRDefault="00876B8F" w:rsidP="00876B8F">
      <w:pPr>
        <w:pStyle w:val="ListParagraph"/>
        <w:numPr>
          <w:ilvl w:val="0"/>
          <w:numId w:val="1"/>
        </w:numPr>
        <w:spacing w:line="480" w:lineRule="auto"/>
        <w:rPr>
          <w:sz w:val="24"/>
        </w:rPr>
      </w:pPr>
      <w:r>
        <w:rPr>
          <w:sz w:val="24"/>
        </w:rPr>
        <w:t>Dr. Marcus Christl of ETH Zϋrich for carrying out AMS measurements of the prepared samples.</w:t>
      </w:r>
    </w:p>
    <w:p w14:paraId="4E1E116D" w14:textId="496727F5" w:rsidR="00876B8F" w:rsidRDefault="00876B8F" w:rsidP="00876B8F">
      <w:pPr>
        <w:pStyle w:val="ListParagraph"/>
        <w:numPr>
          <w:ilvl w:val="0"/>
          <w:numId w:val="1"/>
        </w:numPr>
        <w:spacing w:line="480" w:lineRule="auto"/>
        <w:rPr>
          <w:sz w:val="24"/>
        </w:rPr>
      </w:pPr>
      <w:r>
        <w:rPr>
          <w:sz w:val="24"/>
        </w:rPr>
        <w:t xml:space="preserve">Dr. Maxi Castrillejo-Iridoy </w:t>
      </w:r>
      <w:r w:rsidR="00BF5824">
        <w:rPr>
          <w:sz w:val="24"/>
        </w:rPr>
        <w:t xml:space="preserve">and Dr. Núria Casacuberta Arola </w:t>
      </w:r>
      <w:r>
        <w:rPr>
          <w:sz w:val="24"/>
        </w:rPr>
        <w:t>of ETH Zϋrich for demonstrating the process of preparing samples for AMS measurement.</w:t>
      </w:r>
    </w:p>
    <w:p w14:paraId="728F5252" w14:textId="77777777" w:rsidR="00876B8F" w:rsidRDefault="00876B8F" w:rsidP="00876B8F">
      <w:pPr>
        <w:pStyle w:val="ListParagraph"/>
        <w:numPr>
          <w:ilvl w:val="0"/>
          <w:numId w:val="1"/>
        </w:numPr>
        <w:spacing w:line="480" w:lineRule="auto"/>
        <w:rPr>
          <w:sz w:val="24"/>
        </w:rPr>
      </w:pPr>
      <w:r>
        <w:rPr>
          <w:sz w:val="24"/>
        </w:rPr>
        <w:t>Dr. Bethany Colling of CCFE for her guidance with carrying out gamma-ray measurements and analysis of the spectra with the ProSpect software.</w:t>
      </w:r>
    </w:p>
    <w:p w14:paraId="7F55F7D1" w14:textId="2E3BB1E1" w:rsidR="00876B8F" w:rsidRDefault="00876B8F" w:rsidP="00876B8F">
      <w:pPr>
        <w:pStyle w:val="ListParagraph"/>
        <w:numPr>
          <w:ilvl w:val="0"/>
          <w:numId w:val="1"/>
        </w:numPr>
        <w:spacing w:line="480" w:lineRule="auto"/>
        <w:rPr>
          <w:sz w:val="24"/>
        </w:rPr>
      </w:pPr>
      <w:r>
        <w:rPr>
          <w:sz w:val="24"/>
        </w:rPr>
        <w:t>Ian Campbell for performing some repeats of the gamma-ray measurements at CCFE.</w:t>
      </w:r>
    </w:p>
    <w:p w14:paraId="4323C7E0" w14:textId="2B3B7079" w:rsidR="008024CA" w:rsidRPr="00336BCD" w:rsidRDefault="008024CA" w:rsidP="00876B8F">
      <w:pPr>
        <w:pStyle w:val="ListParagraph"/>
        <w:numPr>
          <w:ilvl w:val="0"/>
          <w:numId w:val="1"/>
        </w:numPr>
        <w:spacing w:line="480" w:lineRule="auto"/>
        <w:rPr>
          <w:sz w:val="24"/>
        </w:rPr>
      </w:pPr>
      <w:r>
        <w:rPr>
          <w:sz w:val="24"/>
        </w:rPr>
        <w:t>Dr Vytas Astromskas for his keenness to offer feedback and corrections during the numerous practice presentations prior to conferences.</w:t>
      </w:r>
    </w:p>
    <w:p w14:paraId="06606009" w14:textId="5CC10521" w:rsidR="00770C4F" w:rsidRDefault="00770C4F" w:rsidP="00770C4F">
      <w:pPr>
        <w:spacing w:line="480" w:lineRule="auto"/>
        <w:rPr>
          <w:sz w:val="24"/>
        </w:rPr>
      </w:pPr>
      <w:r>
        <w:rPr>
          <w:sz w:val="24"/>
        </w:rPr>
        <w:t>Finally, huge thanks are owed to</w:t>
      </w:r>
      <w:r w:rsidR="008024CA">
        <w:rPr>
          <w:sz w:val="24"/>
        </w:rPr>
        <w:t xml:space="preserve"> my</w:t>
      </w:r>
      <w:r>
        <w:rPr>
          <w:sz w:val="24"/>
        </w:rPr>
        <w:t xml:space="preserve"> family and friends, without whom the PhD journey would not have happened.</w:t>
      </w:r>
    </w:p>
    <w:p w14:paraId="4D8399D8" w14:textId="72AF2237" w:rsidR="00424E02" w:rsidRPr="0034397F" w:rsidRDefault="00424E02" w:rsidP="00CF76FA">
      <w:pPr>
        <w:rPr>
          <w:b/>
          <w:sz w:val="32"/>
        </w:rPr>
      </w:pPr>
    </w:p>
    <w:p w14:paraId="43C097BC" w14:textId="5FA6BF4F" w:rsidR="000E4EB2" w:rsidRPr="0034397F" w:rsidRDefault="000E4EB2" w:rsidP="00CF76FA">
      <w:pPr>
        <w:rPr>
          <w:b/>
          <w:sz w:val="32"/>
        </w:rPr>
      </w:pPr>
      <w:r w:rsidRPr="0034397F">
        <w:rPr>
          <w:b/>
          <w:sz w:val="32"/>
        </w:rPr>
        <w:br w:type="page"/>
      </w:r>
    </w:p>
    <w:p w14:paraId="2F9CD6D1" w14:textId="69570578" w:rsidR="00424E02" w:rsidRDefault="0034397F" w:rsidP="00CF76FA">
      <w:pPr>
        <w:rPr>
          <w:b/>
          <w:sz w:val="40"/>
        </w:rPr>
      </w:pPr>
      <w:r w:rsidRPr="00E251BB">
        <w:rPr>
          <w:b/>
          <w:sz w:val="40"/>
        </w:rPr>
        <w:lastRenderedPageBreak/>
        <w:t>Abstract</w:t>
      </w:r>
    </w:p>
    <w:p w14:paraId="49DF92A4" w14:textId="086C55CE" w:rsidR="00A92E3F" w:rsidRDefault="00A92E3F" w:rsidP="00A92E3F">
      <w:pPr>
        <w:ind w:firstLine="567"/>
        <w:rPr>
          <w:sz w:val="24"/>
        </w:rPr>
      </w:pPr>
    </w:p>
    <w:p w14:paraId="3F247EA0" w14:textId="06E17AA8" w:rsidR="00A92E3F" w:rsidRDefault="0045168A" w:rsidP="00A77ECC">
      <w:pPr>
        <w:spacing w:line="480" w:lineRule="auto"/>
        <w:ind w:firstLine="567"/>
        <w:rPr>
          <w:sz w:val="24"/>
        </w:rPr>
      </w:pPr>
      <w:r>
        <w:rPr>
          <w:sz w:val="24"/>
        </w:rPr>
        <w:t>The development of</w:t>
      </w:r>
      <w:r w:rsidR="00B35A82">
        <w:rPr>
          <w:sz w:val="24"/>
        </w:rPr>
        <w:t xml:space="preserve"> fast</w:t>
      </w:r>
      <w:r>
        <w:rPr>
          <w:sz w:val="24"/>
        </w:rPr>
        <w:t xml:space="preserve"> </w:t>
      </w:r>
      <w:r w:rsidR="00A77ECC">
        <w:rPr>
          <w:sz w:val="24"/>
        </w:rPr>
        <w:t xml:space="preserve">neutron </w:t>
      </w:r>
      <w:r w:rsidR="00B35A82">
        <w:rPr>
          <w:sz w:val="24"/>
        </w:rPr>
        <w:t>assay</w:t>
      </w:r>
      <w:r w:rsidR="00A77ECC">
        <w:rPr>
          <w:sz w:val="24"/>
        </w:rPr>
        <w:t xml:space="preserve"> of </w:t>
      </w:r>
      <w:r w:rsidR="005A3E41">
        <w:rPr>
          <w:sz w:val="24"/>
        </w:rPr>
        <w:t xml:space="preserve">low radioactivity </w:t>
      </w:r>
      <w:r w:rsidR="00A77ECC">
        <w:rPr>
          <w:sz w:val="24"/>
        </w:rPr>
        <w:t>samples</w:t>
      </w:r>
      <w:r w:rsidR="00B35A82" w:rsidRPr="00B35A82">
        <w:rPr>
          <w:sz w:val="24"/>
        </w:rPr>
        <w:t xml:space="preserve"> </w:t>
      </w:r>
      <w:r w:rsidR="00B35A82">
        <w:rPr>
          <w:sz w:val="24"/>
        </w:rPr>
        <w:t>collected from Dounreay decommissioning site</w:t>
      </w:r>
      <w:r w:rsidR="00A77ECC">
        <w:rPr>
          <w:sz w:val="24"/>
        </w:rPr>
        <w:t xml:space="preserve"> </w:t>
      </w:r>
      <w:r w:rsidR="005A3E41">
        <w:rPr>
          <w:sz w:val="24"/>
        </w:rPr>
        <w:t>is described</w:t>
      </w:r>
      <w:r w:rsidR="00B35A82">
        <w:rPr>
          <w:sz w:val="24"/>
        </w:rPr>
        <w:t>,</w:t>
      </w:r>
      <w:r w:rsidR="00A77ECC">
        <w:rPr>
          <w:sz w:val="24"/>
        </w:rPr>
        <w:t xml:space="preserve"> </w:t>
      </w:r>
      <w:r w:rsidR="006C3FEB">
        <w:rPr>
          <w:sz w:val="24"/>
        </w:rPr>
        <w:t>the development aims</w:t>
      </w:r>
      <w:r w:rsidR="00A77ECC">
        <w:rPr>
          <w:sz w:val="24"/>
        </w:rPr>
        <w:t xml:space="preserve"> to identify a plutonium detection limit with neutrons. </w:t>
      </w:r>
      <w:r w:rsidR="006C3FEB">
        <w:rPr>
          <w:sz w:val="24"/>
        </w:rPr>
        <w:t>To inform the neutron measurements</w:t>
      </w:r>
      <w:r w:rsidR="00A77ECC">
        <w:rPr>
          <w:sz w:val="24"/>
        </w:rPr>
        <w:t xml:space="preserve">, </w:t>
      </w:r>
      <w:r w:rsidR="006C3FEB">
        <w:rPr>
          <w:sz w:val="24"/>
        </w:rPr>
        <w:t>a greater</w:t>
      </w:r>
      <w:r w:rsidR="00A77ECC">
        <w:rPr>
          <w:sz w:val="24"/>
        </w:rPr>
        <w:t xml:space="preserve"> analysis of </w:t>
      </w:r>
      <w:r w:rsidR="006C3FEB">
        <w:rPr>
          <w:sz w:val="24"/>
        </w:rPr>
        <w:t xml:space="preserve">the chosen </w:t>
      </w:r>
      <w:r w:rsidR="00A77ECC">
        <w:rPr>
          <w:sz w:val="24"/>
        </w:rPr>
        <w:t>samples is presented.</w:t>
      </w:r>
    </w:p>
    <w:p w14:paraId="2A9D99FF" w14:textId="0DF28412" w:rsidR="00A77ECC" w:rsidRDefault="00A77ECC" w:rsidP="00A77ECC">
      <w:pPr>
        <w:spacing w:line="480" w:lineRule="auto"/>
        <w:ind w:firstLine="567"/>
        <w:rPr>
          <w:sz w:val="24"/>
        </w:rPr>
      </w:pPr>
      <w:r>
        <w:rPr>
          <w:sz w:val="24"/>
        </w:rPr>
        <w:t xml:space="preserve">Analyses used were </w:t>
      </w:r>
      <w:r w:rsidR="00B35A82">
        <w:rPr>
          <w:sz w:val="24"/>
        </w:rPr>
        <w:t xml:space="preserve">fast </w:t>
      </w:r>
      <w:r>
        <w:rPr>
          <w:sz w:val="24"/>
        </w:rPr>
        <w:t xml:space="preserve">neutron </w:t>
      </w:r>
      <w:r w:rsidR="00B35A82">
        <w:rPr>
          <w:sz w:val="24"/>
        </w:rPr>
        <w:t>counting</w:t>
      </w:r>
      <w:r>
        <w:rPr>
          <w:sz w:val="24"/>
        </w:rPr>
        <w:t xml:space="preserve">, gamma spectrometry and accelerator mass spectrometry. Analysis showed that </w:t>
      </w:r>
      <w:r w:rsidR="006C3FEB">
        <w:rPr>
          <w:sz w:val="24"/>
        </w:rPr>
        <w:t xml:space="preserve">fast neutron detection can </w:t>
      </w:r>
      <w:r>
        <w:rPr>
          <w:sz w:val="24"/>
        </w:rPr>
        <w:t xml:space="preserve">distinguish samples at a radioactivity of approximately 1 Bq/g of </w:t>
      </w:r>
      <w:r>
        <w:rPr>
          <w:sz w:val="24"/>
          <w:vertAlign w:val="superscript"/>
        </w:rPr>
        <w:t>240</w:t>
      </w:r>
      <w:r>
        <w:rPr>
          <w:sz w:val="24"/>
        </w:rPr>
        <w:t>Pu origin from samples at background level</w:t>
      </w:r>
      <w:r w:rsidR="006C3FEB">
        <w:rPr>
          <w:sz w:val="24"/>
        </w:rPr>
        <w:t>s of natural uranium radioactivity</w:t>
      </w:r>
      <w:r>
        <w:rPr>
          <w:sz w:val="24"/>
        </w:rPr>
        <w:t>.</w:t>
      </w:r>
    </w:p>
    <w:p w14:paraId="3DE7F85A" w14:textId="75E29E1B" w:rsidR="00A77ECC" w:rsidRDefault="00A77ECC" w:rsidP="00A77ECC">
      <w:pPr>
        <w:spacing w:line="480" w:lineRule="auto"/>
        <w:ind w:firstLine="567"/>
        <w:rPr>
          <w:sz w:val="24"/>
        </w:rPr>
      </w:pPr>
      <w:r>
        <w:rPr>
          <w:sz w:val="24"/>
        </w:rPr>
        <w:t>Further, AMS and gamma spectrometry</w:t>
      </w:r>
      <w:r w:rsidR="00CA0737">
        <w:rPr>
          <w:sz w:val="24"/>
        </w:rPr>
        <w:t xml:space="preserve"> has</w:t>
      </w:r>
      <w:r>
        <w:rPr>
          <w:sz w:val="24"/>
        </w:rPr>
        <w:t xml:space="preserve"> showed that the Dounreay samples are consistent with the global fallout averages for the main plutonium isotopes</w:t>
      </w:r>
      <w:r w:rsidR="00CA0737">
        <w:rPr>
          <w:sz w:val="24"/>
        </w:rPr>
        <w:t xml:space="preserve"> </w:t>
      </w:r>
      <w:r w:rsidR="00CA0737">
        <w:rPr>
          <w:sz w:val="24"/>
          <w:vertAlign w:val="superscript"/>
        </w:rPr>
        <w:t>239</w:t>
      </w:r>
      <w:r w:rsidR="00CA0737">
        <w:rPr>
          <w:sz w:val="24"/>
        </w:rPr>
        <w:t xml:space="preserve">Pu, </w:t>
      </w:r>
      <w:r w:rsidR="00CA0737">
        <w:rPr>
          <w:sz w:val="24"/>
          <w:vertAlign w:val="superscript"/>
        </w:rPr>
        <w:t>240</w:t>
      </w:r>
      <w:r w:rsidR="00CA0737">
        <w:rPr>
          <w:sz w:val="24"/>
        </w:rPr>
        <w:t xml:space="preserve">Pu, </w:t>
      </w:r>
      <w:r w:rsidR="00CA0737">
        <w:rPr>
          <w:sz w:val="24"/>
          <w:vertAlign w:val="superscript"/>
        </w:rPr>
        <w:t>241</w:t>
      </w:r>
      <w:r w:rsidR="00CA0737">
        <w:rPr>
          <w:sz w:val="24"/>
        </w:rPr>
        <w:t xml:space="preserve">Pu, and </w:t>
      </w:r>
      <w:r w:rsidR="00CA0737">
        <w:rPr>
          <w:sz w:val="24"/>
          <w:vertAlign w:val="superscript"/>
        </w:rPr>
        <w:t>242</w:t>
      </w:r>
      <w:r w:rsidR="00CA0737">
        <w:rPr>
          <w:sz w:val="24"/>
        </w:rPr>
        <w:t>Pu</w:t>
      </w:r>
      <w:r>
        <w:rPr>
          <w:sz w:val="24"/>
        </w:rPr>
        <w:t xml:space="preserve">. </w:t>
      </w:r>
      <w:r w:rsidR="00CA0737">
        <w:rPr>
          <w:sz w:val="24"/>
        </w:rPr>
        <w:t xml:space="preserve">The </w:t>
      </w:r>
      <w:r>
        <w:rPr>
          <w:sz w:val="24"/>
          <w:vertAlign w:val="superscript"/>
        </w:rPr>
        <w:t>240</w:t>
      </w:r>
      <w:r>
        <w:rPr>
          <w:sz w:val="24"/>
        </w:rPr>
        <w:t>Pu/</w:t>
      </w:r>
      <w:r>
        <w:rPr>
          <w:sz w:val="24"/>
          <w:vertAlign w:val="superscript"/>
        </w:rPr>
        <w:t>239</w:t>
      </w:r>
      <w:r>
        <w:rPr>
          <w:sz w:val="24"/>
        </w:rPr>
        <w:t xml:space="preserve">Pu ratio </w:t>
      </w:r>
      <w:r w:rsidR="00CA0737">
        <w:rPr>
          <w:sz w:val="24"/>
        </w:rPr>
        <w:t>measured in this research is</w:t>
      </w:r>
      <w:r>
        <w:rPr>
          <w:sz w:val="24"/>
        </w:rPr>
        <w:t xml:space="preserve"> lower than average however for most Dounreay site samples, leading to a conclusion that this </w:t>
      </w:r>
      <w:r w:rsidR="006C3FEB">
        <w:rPr>
          <w:sz w:val="24"/>
          <w:vertAlign w:val="superscript"/>
        </w:rPr>
        <w:t>240</w:t>
      </w:r>
      <w:r w:rsidR="006C3FEB">
        <w:rPr>
          <w:sz w:val="24"/>
        </w:rPr>
        <w:t>Pu/</w:t>
      </w:r>
      <w:r w:rsidR="006C3FEB">
        <w:rPr>
          <w:sz w:val="24"/>
          <w:vertAlign w:val="superscript"/>
        </w:rPr>
        <w:t>239</w:t>
      </w:r>
      <w:r w:rsidR="006C3FEB">
        <w:rPr>
          <w:sz w:val="24"/>
        </w:rPr>
        <w:t xml:space="preserve">Pu </w:t>
      </w:r>
      <w:r>
        <w:rPr>
          <w:sz w:val="24"/>
        </w:rPr>
        <w:t xml:space="preserve">ratio is symptomatic of the Dounreay site hosting breeder reactors, which </w:t>
      </w:r>
      <w:r w:rsidR="006C3FEB">
        <w:rPr>
          <w:sz w:val="24"/>
        </w:rPr>
        <w:t>c</w:t>
      </w:r>
      <w:r>
        <w:rPr>
          <w:sz w:val="24"/>
        </w:rPr>
        <w:t xml:space="preserve">ould boost the levels of </w:t>
      </w:r>
      <w:r>
        <w:rPr>
          <w:sz w:val="24"/>
          <w:vertAlign w:val="superscript"/>
        </w:rPr>
        <w:t>239</w:t>
      </w:r>
      <w:r>
        <w:rPr>
          <w:sz w:val="24"/>
        </w:rPr>
        <w:t xml:space="preserve">Pu in comparison to </w:t>
      </w:r>
      <w:r>
        <w:rPr>
          <w:sz w:val="24"/>
          <w:vertAlign w:val="superscript"/>
        </w:rPr>
        <w:t>240</w:t>
      </w:r>
      <w:r>
        <w:rPr>
          <w:sz w:val="24"/>
        </w:rPr>
        <w:t>Pu.</w:t>
      </w:r>
    </w:p>
    <w:p w14:paraId="5CB99D24" w14:textId="3A203669" w:rsidR="00E251BB" w:rsidRPr="00351380" w:rsidRDefault="00E251BB" w:rsidP="00CF76FA">
      <w:pPr>
        <w:rPr>
          <w:b/>
          <w:sz w:val="40"/>
        </w:rPr>
      </w:pPr>
      <w:r>
        <w:rPr>
          <w:sz w:val="32"/>
        </w:rPr>
        <w:br w:type="page"/>
      </w:r>
      <w:r w:rsidRPr="00351380">
        <w:rPr>
          <w:b/>
          <w:sz w:val="40"/>
        </w:rPr>
        <w:lastRenderedPageBreak/>
        <w:t>Declaration</w:t>
      </w:r>
    </w:p>
    <w:p w14:paraId="40C1B44E" w14:textId="622EE807" w:rsidR="00E251BB" w:rsidRDefault="00E251BB" w:rsidP="00CF76FA">
      <w:pPr>
        <w:rPr>
          <w:sz w:val="32"/>
        </w:rPr>
      </w:pPr>
    </w:p>
    <w:p w14:paraId="3C8850A0" w14:textId="52E82449" w:rsidR="00E251BB" w:rsidRDefault="00E251BB" w:rsidP="00A77ECC">
      <w:pPr>
        <w:spacing w:line="360" w:lineRule="auto"/>
        <w:rPr>
          <w:sz w:val="24"/>
        </w:rPr>
      </w:pPr>
      <w:r w:rsidRPr="00E251BB">
        <w:rPr>
          <w:sz w:val="24"/>
        </w:rPr>
        <w:t xml:space="preserve">I, </w:t>
      </w:r>
      <w:r>
        <w:rPr>
          <w:sz w:val="24"/>
        </w:rPr>
        <w:t>Christopher Mark Tighe, hereby certify that this thesis has been written by m</w:t>
      </w:r>
      <w:r w:rsidR="006C3FEB">
        <w:rPr>
          <w:sz w:val="24"/>
        </w:rPr>
        <w:t>yself</w:t>
      </w:r>
      <w:r>
        <w:rPr>
          <w:sz w:val="24"/>
        </w:rPr>
        <w:t xml:space="preserve"> and has not been submitted in any previous application for a higher degree. The work presented here was carried out at the University of Lancaster between October 2014 and March 2019.</w:t>
      </w:r>
    </w:p>
    <w:p w14:paraId="50AEAFAB" w14:textId="58960DA2" w:rsidR="00887B67" w:rsidRDefault="00887B67" w:rsidP="00CF76FA">
      <w:pPr>
        <w:rPr>
          <w:sz w:val="24"/>
        </w:rPr>
      </w:pPr>
    </w:p>
    <w:p w14:paraId="0F95E9E1" w14:textId="053A110B" w:rsidR="00887B67" w:rsidRDefault="00887B67" w:rsidP="00CF76FA">
      <w:pPr>
        <w:rPr>
          <w:sz w:val="24"/>
        </w:rPr>
      </w:pPr>
    </w:p>
    <w:p w14:paraId="1FAC7E3B" w14:textId="49FB91A7" w:rsidR="00887B67" w:rsidRDefault="00887B67" w:rsidP="00CF76FA">
      <w:pPr>
        <w:rPr>
          <w:sz w:val="24"/>
        </w:rPr>
      </w:pPr>
      <w:r>
        <w:rPr>
          <w:sz w:val="24"/>
        </w:rPr>
        <w:t>Date</w:t>
      </w:r>
      <w:r>
        <w:rPr>
          <w:sz w:val="24"/>
        </w:rPr>
        <w:tab/>
      </w:r>
      <w:r>
        <w:rPr>
          <w:sz w:val="24"/>
        </w:rPr>
        <w:tab/>
      </w:r>
      <w:r>
        <w:rPr>
          <w:sz w:val="24"/>
        </w:rPr>
        <w:tab/>
        <w:t>Signature of candidate</w:t>
      </w:r>
    </w:p>
    <w:p w14:paraId="530F8317" w14:textId="1524F7E1" w:rsidR="00887B67" w:rsidRDefault="00887B67" w:rsidP="00CF76FA">
      <w:pPr>
        <w:rPr>
          <w:sz w:val="24"/>
        </w:rPr>
      </w:pPr>
    </w:p>
    <w:p w14:paraId="46462324" w14:textId="0BBF02F5" w:rsidR="00887B67" w:rsidRDefault="00887B67" w:rsidP="00CF76FA">
      <w:pPr>
        <w:rPr>
          <w:sz w:val="24"/>
        </w:rPr>
      </w:pPr>
    </w:p>
    <w:p w14:paraId="39E1338A" w14:textId="0F831A5D" w:rsidR="00887B67" w:rsidRDefault="00887B67" w:rsidP="00CF76FA">
      <w:pPr>
        <w:rPr>
          <w:sz w:val="24"/>
        </w:rPr>
      </w:pPr>
    </w:p>
    <w:p w14:paraId="33972479" w14:textId="485F02C2" w:rsidR="00887B67" w:rsidRDefault="00887B67" w:rsidP="00CF76FA">
      <w:pPr>
        <w:rPr>
          <w:sz w:val="24"/>
        </w:rPr>
      </w:pPr>
    </w:p>
    <w:p w14:paraId="7FF9AD48" w14:textId="28799712" w:rsidR="00887B67" w:rsidRDefault="00887B67" w:rsidP="00CF76FA">
      <w:pPr>
        <w:rPr>
          <w:sz w:val="24"/>
        </w:rPr>
      </w:pPr>
    </w:p>
    <w:p w14:paraId="5BA56760" w14:textId="0BB8C7E5" w:rsidR="00887B67" w:rsidRDefault="00887B67" w:rsidP="00A77ECC">
      <w:pPr>
        <w:spacing w:line="360" w:lineRule="auto"/>
        <w:rPr>
          <w:sz w:val="24"/>
        </w:rPr>
      </w:pPr>
      <w:r>
        <w:rPr>
          <w:sz w:val="24"/>
        </w:rPr>
        <w:t>I hereby certify that the candidate has fulfilled the conditions of the resolution and regulations appropriate for the degree of Doctor of Philosophy in the University of Lancaster and that the candidate is qualified to submit this thesis in application for that degree.</w:t>
      </w:r>
    </w:p>
    <w:p w14:paraId="4AD94B65" w14:textId="0D2E4C2B" w:rsidR="00887B67" w:rsidRDefault="00887B67" w:rsidP="00CF76FA">
      <w:pPr>
        <w:rPr>
          <w:sz w:val="24"/>
        </w:rPr>
      </w:pPr>
    </w:p>
    <w:p w14:paraId="442CC55E" w14:textId="3B6D55D2" w:rsidR="00887B67" w:rsidRDefault="00887B67" w:rsidP="00CF76FA">
      <w:pPr>
        <w:rPr>
          <w:sz w:val="24"/>
        </w:rPr>
      </w:pPr>
      <w:r>
        <w:rPr>
          <w:sz w:val="24"/>
        </w:rPr>
        <w:t>Date</w:t>
      </w:r>
      <w:r>
        <w:rPr>
          <w:sz w:val="24"/>
        </w:rPr>
        <w:tab/>
      </w:r>
      <w:r>
        <w:rPr>
          <w:sz w:val="24"/>
        </w:rPr>
        <w:tab/>
      </w:r>
      <w:r>
        <w:rPr>
          <w:sz w:val="24"/>
        </w:rPr>
        <w:tab/>
        <w:t>Signature of supervisor</w:t>
      </w:r>
    </w:p>
    <w:p w14:paraId="6C821CCC" w14:textId="5697B133" w:rsidR="00887B67" w:rsidRDefault="00887B67">
      <w:pPr>
        <w:rPr>
          <w:sz w:val="24"/>
        </w:rPr>
      </w:pPr>
      <w:r>
        <w:rPr>
          <w:sz w:val="24"/>
        </w:rPr>
        <w:br w:type="page"/>
      </w:r>
    </w:p>
    <w:p w14:paraId="381E54AB" w14:textId="7817CA8A" w:rsidR="00556DDA" w:rsidRDefault="00556DDA" w:rsidP="00556DDA">
      <w:pPr>
        <w:rPr>
          <w:b/>
          <w:sz w:val="40"/>
        </w:rPr>
      </w:pPr>
      <w:r w:rsidRPr="00351380">
        <w:rPr>
          <w:b/>
          <w:sz w:val="40"/>
        </w:rPr>
        <w:lastRenderedPageBreak/>
        <w:t>List of Figures</w:t>
      </w:r>
    </w:p>
    <w:p w14:paraId="43C20D30" w14:textId="7D6AAB5B" w:rsidR="00895AB7" w:rsidRPr="0053440B" w:rsidRDefault="00895AB7" w:rsidP="00556DDA">
      <w:pPr>
        <w:rPr>
          <w:b/>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Pr="0053440B">
        <w:rPr>
          <w:b/>
          <w:sz w:val="24"/>
        </w:rPr>
        <w:t>Page</w:t>
      </w:r>
      <w:r w:rsidR="00B97C40" w:rsidRPr="0053440B">
        <w:rPr>
          <w:b/>
          <w:sz w:val="24"/>
        </w:rPr>
        <w:t xml:space="preserve"> No.</w:t>
      </w:r>
    </w:p>
    <w:p w14:paraId="0E22583A" w14:textId="17C81C52" w:rsidR="002D3E44" w:rsidRPr="00D35623" w:rsidRDefault="002D3E44" w:rsidP="00D35623">
      <w:pPr>
        <w:pStyle w:val="ListParagraph"/>
        <w:numPr>
          <w:ilvl w:val="1"/>
          <w:numId w:val="4"/>
        </w:numPr>
        <w:rPr>
          <w:sz w:val="24"/>
          <w:szCs w:val="24"/>
        </w:rPr>
      </w:pPr>
      <w:r w:rsidRPr="00D35623">
        <w:rPr>
          <w:sz w:val="24"/>
          <w:szCs w:val="24"/>
        </w:rPr>
        <w:t>Topsoil uranium in England</w:t>
      </w:r>
      <w:r w:rsidR="00895AB7" w:rsidRPr="00D35623">
        <w:rPr>
          <w:sz w:val="24"/>
          <w:szCs w:val="24"/>
        </w:rPr>
        <w:tab/>
      </w:r>
      <w:r w:rsidR="00895AB7" w:rsidRPr="00D35623">
        <w:rPr>
          <w:sz w:val="24"/>
          <w:szCs w:val="24"/>
        </w:rPr>
        <w:tab/>
      </w:r>
      <w:r w:rsidR="00895AB7" w:rsidRPr="00D35623">
        <w:rPr>
          <w:sz w:val="24"/>
          <w:szCs w:val="24"/>
        </w:rPr>
        <w:tab/>
      </w:r>
      <w:r w:rsidR="00895AB7" w:rsidRPr="00D35623">
        <w:rPr>
          <w:sz w:val="24"/>
          <w:szCs w:val="24"/>
        </w:rPr>
        <w:tab/>
      </w:r>
      <w:r w:rsidR="00895AB7" w:rsidRPr="00D35623">
        <w:rPr>
          <w:sz w:val="24"/>
          <w:szCs w:val="24"/>
        </w:rPr>
        <w:tab/>
      </w:r>
      <w:r w:rsidR="00895AB7" w:rsidRPr="00D35623">
        <w:rPr>
          <w:sz w:val="24"/>
          <w:szCs w:val="24"/>
        </w:rPr>
        <w:tab/>
      </w:r>
      <w:r w:rsidR="00895AB7" w:rsidRPr="00D35623">
        <w:rPr>
          <w:sz w:val="24"/>
          <w:szCs w:val="24"/>
        </w:rPr>
        <w:tab/>
        <w:t>13</w:t>
      </w:r>
    </w:p>
    <w:p w14:paraId="7EA30812" w14:textId="629ECA9C" w:rsidR="00556DDA" w:rsidRPr="00FA23D7" w:rsidRDefault="00FA23D7" w:rsidP="00FA23D7">
      <w:pPr>
        <w:pStyle w:val="ListParagraph"/>
        <w:numPr>
          <w:ilvl w:val="1"/>
          <w:numId w:val="4"/>
        </w:numPr>
        <w:rPr>
          <w:sz w:val="24"/>
          <w:szCs w:val="24"/>
        </w:rPr>
      </w:pPr>
      <w:r w:rsidRPr="00FA23D7">
        <w:rPr>
          <w:sz w:val="24"/>
          <w:szCs w:val="24"/>
        </w:rPr>
        <w:t xml:space="preserve">The Dounreay </w:t>
      </w:r>
      <w:r>
        <w:rPr>
          <w:sz w:val="24"/>
          <w:szCs w:val="24"/>
        </w:rPr>
        <w:t>F</w:t>
      </w:r>
      <w:r w:rsidRPr="00FA23D7">
        <w:rPr>
          <w:sz w:val="24"/>
          <w:szCs w:val="24"/>
        </w:rPr>
        <w:t xml:space="preserve">ast </w:t>
      </w:r>
      <w:r>
        <w:rPr>
          <w:sz w:val="24"/>
          <w:szCs w:val="24"/>
        </w:rPr>
        <w:t>R</w:t>
      </w:r>
      <w:r w:rsidRPr="00FA23D7">
        <w:rPr>
          <w:sz w:val="24"/>
          <w:szCs w:val="24"/>
        </w:rPr>
        <w:t>eactor</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t>17</w:t>
      </w:r>
    </w:p>
    <w:p w14:paraId="5E88A94E" w14:textId="0FAD3EA5" w:rsidR="00FA23D7" w:rsidRDefault="00FA23D7" w:rsidP="00FA23D7">
      <w:pPr>
        <w:pStyle w:val="ListParagraph"/>
        <w:numPr>
          <w:ilvl w:val="1"/>
          <w:numId w:val="4"/>
        </w:numPr>
        <w:rPr>
          <w:sz w:val="24"/>
          <w:szCs w:val="24"/>
        </w:rPr>
      </w:pPr>
      <w:r>
        <w:rPr>
          <w:sz w:val="24"/>
          <w:szCs w:val="24"/>
        </w:rPr>
        <w:t>The Dounreay shaft</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t>18</w:t>
      </w:r>
    </w:p>
    <w:p w14:paraId="0F5940FD" w14:textId="554EE59E" w:rsidR="00FA0544" w:rsidRDefault="00D35391" w:rsidP="00FA23D7">
      <w:pPr>
        <w:pStyle w:val="ListParagraph"/>
        <w:numPr>
          <w:ilvl w:val="1"/>
          <w:numId w:val="4"/>
        </w:numPr>
        <w:rPr>
          <w:sz w:val="24"/>
          <w:szCs w:val="24"/>
        </w:rPr>
      </w:pPr>
      <w:r>
        <w:rPr>
          <w:sz w:val="24"/>
          <w:szCs w:val="24"/>
        </w:rPr>
        <w:t>Alpha Spectrometry</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t>21</w:t>
      </w:r>
    </w:p>
    <w:p w14:paraId="6E53B73D" w14:textId="4466C0D3" w:rsidR="00D35391" w:rsidRPr="00D35391" w:rsidRDefault="00D35391" w:rsidP="00FA23D7">
      <w:pPr>
        <w:pStyle w:val="ListParagraph"/>
        <w:numPr>
          <w:ilvl w:val="1"/>
          <w:numId w:val="4"/>
        </w:numPr>
        <w:rPr>
          <w:sz w:val="28"/>
          <w:szCs w:val="24"/>
        </w:rPr>
      </w:pPr>
      <w:r w:rsidRPr="00D35391">
        <w:rPr>
          <w:sz w:val="24"/>
          <w:vertAlign w:val="superscript"/>
        </w:rPr>
        <w:t>238</w:t>
      </w:r>
      <w:r w:rsidRPr="00D35391">
        <w:rPr>
          <w:sz w:val="24"/>
        </w:rPr>
        <w:t>U decay chain</w:t>
      </w:r>
      <w:r w:rsidR="00895AB7">
        <w:rPr>
          <w:sz w:val="24"/>
        </w:rPr>
        <w:tab/>
      </w:r>
      <w:r w:rsidR="00895AB7">
        <w:rPr>
          <w:sz w:val="24"/>
        </w:rPr>
        <w:tab/>
      </w:r>
      <w:r w:rsidR="00895AB7">
        <w:rPr>
          <w:sz w:val="24"/>
        </w:rPr>
        <w:tab/>
      </w:r>
      <w:r w:rsidR="00895AB7">
        <w:rPr>
          <w:sz w:val="24"/>
        </w:rPr>
        <w:tab/>
      </w:r>
      <w:r w:rsidR="00895AB7">
        <w:rPr>
          <w:sz w:val="24"/>
        </w:rPr>
        <w:tab/>
      </w:r>
      <w:r w:rsidR="00895AB7">
        <w:rPr>
          <w:sz w:val="24"/>
        </w:rPr>
        <w:tab/>
      </w:r>
      <w:r w:rsidR="00895AB7">
        <w:rPr>
          <w:sz w:val="24"/>
        </w:rPr>
        <w:tab/>
      </w:r>
      <w:r w:rsidR="00895AB7">
        <w:rPr>
          <w:sz w:val="24"/>
        </w:rPr>
        <w:tab/>
        <w:t>26</w:t>
      </w:r>
    </w:p>
    <w:p w14:paraId="09F0C1C6" w14:textId="1C3E2D47" w:rsidR="00FA23D7" w:rsidRDefault="00FA23D7" w:rsidP="00FA23D7">
      <w:pPr>
        <w:pStyle w:val="ListParagraph"/>
        <w:ind w:left="0"/>
        <w:rPr>
          <w:sz w:val="24"/>
          <w:szCs w:val="24"/>
        </w:rPr>
      </w:pPr>
    </w:p>
    <w:p w14:paraId="0377806D" w14:textId="11FD0164" w:rsidR="002D3E44" w:rsidRDefault="00D35623" w:rsidP="00FA23D7">
      <w:pPr>
        <w:pStyle w:val="ListParagraph"/>
        <w:ind w:left="0"/>
        <w:rPr>
          <w:sz w:val="24"/>
          <w:szCs w:val="24"/>
        </w:rPr>
      </w:pPr>
      <w:r>
        <w:rPr>
          <w:sz w:val="24"/>
          <w:szCs w:val="24"/>
        </w:rPr>
        <w:t>6</w:t>
      </w:r>
      <w:r w:rsidR="00FA23D7">
        <w:rPr>
          <w:sz w:val="24"/>
          <w:szCs w:val="24"/>
        </w:rPr>
        <w:tab/>
      </w:r>
      <w:r w:rsidR="002D3E44">
        <w:rPr>
          <w:sz w:val="24"/>
          <w:szCs w:val="24"/>
        </w:rPr>
        <w:t>M</w:t>
      </w:r>
      <w:r w:rsidR="006C3FEB">
        <w:rPr>
          <w:sz w:val="24"/>
          <w:szCs w:val="24"/>
        </w:rPr>
        <w:t>F</w:t>
      </w:r>
      <w:r w:rsidR="002D3E44">
        <w:rPr>
          <w:sz w:val="24"/>
          <w:szCs w:val="24"/>
        </w:rPr>
        <w:t>A PSD Plot</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t>3</w:t>
      </w:r>
      <w:r w:rsidR="00D166CA">
        <w:rPr>
          <w:sz w:val="24"/>
          <w:szCs w:val="24"/>
        </w:rPr>
        <w:t>6</w:t>
      </w:r>
    </w:p>
    <w:p w14:paraId="21226F59" w14:textId="373B3C28" w:rsidR="00FA23D7" w:rsidRDefault="00D35623" w:rsidP="00FA23D7">
      <w:pPr>
        <w:pStyle w:val="ListParagraph"/>
        <w:ind w:left="0"/>
        <w:rPr>
          <w:sz w:val="24"/>
          <w:szCs w:val="24"/>
        </w:rPr>
      </w:pPr>
      <w:r>
        <w:rPr>
          <w:sz w:val="24"/>
          <w:szCs w:val="24"/>
        </w:rPr>
        <w:t>7</w:t>
      </w:r>
      <w:r w:rsidR="002D3E44">
        <w:rPr>
          <w:sz w:val="24"/>
          <w:szCs w:val="24"/>
        </w:rPr>
        <w:tab/>
      </w:r>
      <w:r w:rsidR="00FA23D7">
        <w:rPr>
          <w:sz w:val="24"/>
          <w:szCs w:val="24"/>
        </w:rPr>
        <w:t>Parallel neutron detector arrays</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t>3</w:t>
      </w:r>
      <w:r w:rsidR="00D166CA">
        <w:rPr>
          <w:sz w:val="24"/>
          <w:szCs w:val="24"/>
        </w:rPr>
        <w:t>7</w:t>
      </w:r>
    </w:p>
    <w:p w14:paraId="74B490F3" w14:textId="19BD8317" w:rsidR="00A50A49" w:rsidRDefault="00D35623" w:rsidP="00FA23D7">
      <w:pPr>
        <w:pStyle w:val="ListParagraph"/>
        <w:ind w:left="0"/>
        <w:rPr>
          <w:sz w:val="24"/>
          <w:szCs w:val="24"/>
        </w:rPr>
      </w:pPr>
      <w:r>
        <w:rPr>
          <w:sz w:val="24"/>
          <w:szCs w:val="24"/>
        </w:rPr>
        <w:t>8</w:t>
      </w:r>
      <w:r w:rsidR="00A50A49">
        <w:rPr>
          <w:sz w:val="24"/>
          <w:szCs w:val="24"/>
        </w:rPr>
        <w:tab/>
        <w:t>Parallel background neutron measurements</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t>3</w:t>
      </w:r>
      <w:r w:rsidR="00D166CA">
        <w:rPr>
          <w:sz w:val="24"/>
          <w:szCs w:val="24"/>
        </w:rPr>
        <w:t>8</w:t>
      </w:r>
    </w:p>
    <w:p w14:paraId="63C4DF6E" w14:textId="364F57E8" w:rsidR="00A50A49" w:rsidRDefault="00D35623" w:rsidP="00FA23D7">
      <w:pPr>
        <w:pStyle w:val="ListParagraph"/>
        <w:ind w:left="0"/>
        <w:rPr>
          <w:sz w:val="24"/>
          <w:szCs w:val="24"/>
        </w:rPr>
      </w:pPr>
      <w:r>
        <w:rPr>
          <w:sz w:val="24"/>
          <w:szCs w:val="24"/>
        </w:rPr>
        <w:t>9</w:t>
      </w:r>
      <w:r w:rsidR="00A50A49">
        <w:rPr>
          <w:sz w:val="24"/>
          <w:szCs w:val="24"/>
        </w:rPr>
        <w:tab/>
        <w:t>Background neutron counts with alternating detectors</w:t>
      </w:r>
      <w:r w:rsidR="00895AB7">
        <w:rPr>
          <w:sz w:val="24"/>
          <w:szCs w:val="24"/>
        </w:rPr>
        <w:tab/>
      </w:r>
      <w:r w:rsidR="00895AB7">
        <w:rPr>
          <w:sz w:val="24"/>
          <w:szCs w:val="24"/>
        </w:rPr>
        <w:tab/>
      </w:r>
      <w:r w:rsidR="00895AB7">
        <w:rPr>
          <w:sz w:val="24"/>
          <w:szCs w:val="24"/>
        </w:rPr>
        <w:tab/>
        <w:t>3</w:t>
      </w:r>
      <w:r w:rsidR="00D166CA">
        <w:rPr>
          <w:sz w:val="24"/>
          <w:szCs w:val="24"/>
        </w:rPr>
        <w:t>9</w:t>
      </w:r>
    </w:p>
    <w:p w14:paraId="2B6A3B67" w14:textId="179A82A5" w:rsidR="00A50A49" w:rsidRDefault="00D35623" w:rsidP="00FA23D7">
      <w:pPr>
        <w:pStyle w:val="ListParagraph"/>
        <w:ind w:left="0"/>
        <w:rPr>
          <w:sz w:val="24"/>
          <w:szCs w:val="24"/>
        </w:rPr>
      </w:pPr>
      <w:r>
        <w:rPr>
          <w:sz w:val="24"/>
          <w:szCs w:val="24"/>
        </w:rPr>
        <w:t>10</w:t>
      </w:r>
      <w:r w:rsidR="00A50A49">
        <w:rPr>
          <w:sz w:val="24"/>
          <w:szCs w:val="24"/>
        </w:rPr>
        <w:tab/>
        <w:t>The 16-detector neutron counting array</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D166CA">
        <w:rPr>
          <w:sz w:val="24"/>
          <w:szCs w:val="24"/>
        </w:rPr>
        <w:t>41</w:t>
      </w:r>
    </w:p>
    <w:p w14:paraId="160B8225" w14:textId="226C14A9" w:rsidR="00B16AC1" w:rsidRDefault="00D35623" w:rsidP="00FA23D7">
      <w:pPr>
        <w:pStyle w:val="ListParagraph"/>
        <w:ind w:left="0"/>
        <w:rPr>
          <w:sz w:val="24"/>
          <w:szCs w:val="24"/>
        </w:rPr>
      </w:pPr>
      <w:r>
        <w:rPr>
          <w:sz w:val="24"/>
          <w:szCs w:val="24"/>
        </w:rPr>
        <w:t>11</w:t>
      </w:r>
      <w:r w:rsidR="00A50A49">
        <w:rPr>
          <w:sz w:val="24"/>
          <w:szCs w:val="24"/>
        </w:rPr>
        <w:tab/>
      </w:r>
      <w:r w:rsidR="00B16AC1">
        <w:rPr>
          <w:sz w:val="24"/>
          <w:szCs w:val="24"/>
        </w:rPr>
        <w:t>16-detector array diagram</w:t>
      </w:r>
      <w:r w:rsidR="00B16AC1">
        <w:rPr>
          <w:sz w:val="24"/>
          <w:szCs w:val="24"/>
        </w:rPr>
        <w:tab/>
      </w:r>
      <w:r w:rsidR="00B16AC1">
        <w:rPr>
          <w:sz w:val="24"/>
          <w:szCs w:val="24"/>
        </w:rPr>
        <w:tab/>
      </w:r>
      <w:r w:rsidR="00B16AC1">
        <w:rPr>
          <w:sz w:val="24"/>
          <w:szCs w:val="24"/>
        </w:rPr>
        <w:tab/>
      </w:r>
      <w:r w:rsidR="00B16AC1">
        <w:rPr>
          <w:sz w:val="24"/>
          <w:szCs w:val="24"/>
        </w:rPr>
        <w:tab/>
      </w:r>
      <w:r w:rsidR="00B16AC1">
        <w:rPr>
          <w:sz w:val="24"/>
          <w:szCs w:val="24"/>
        </w:rPr>
        <w:tab/>
      </w:r>
      <w:r w:rsidR="00B16AC1">
        <w:rPr>
          <w:sz w:val="24"/>
          <w:szCs w:val="24"/>
        </w:rPr>
        <w:tab/>
      </w:r>
      <w:r w:rsidR="00B16AC1">
        <w:rPr>
          <w:sz w:val="24"/>
          <w:szCs w:val="24"/>
        </w:rPr>
        <w:tab/>
        <w:t>4</w:t>
      </w:r>
      <w:r w:rsidR="00D166CA">
        <w:rPr>
          <w:sz w:val="24"/>
          <w:szCs w:val="24"/>
        </w:rPr>
        <w:t>2</w:t>
      </w:r>
    </w:p>
    <w:p w14:paraId="3A2A3B3D" w14:textId="5CB58556" w:rsidR="00A50A49" w:rsidRDefault="00D35623" w:rsidP="00FA23D7">
      <w:pPr>
        <w:pStyle w:val="ListParagraph"/>
        <w:ind w:left="0"/>
        <w:rPr>
          <w:sz w:val="24"/>
          <w:szCs w:val="24"/>
        </w:rPr>
      </w:pPr>
      <w:r>
        <w:rPr>
          <w:sz w:val="24"/>
          <w:szCs w:val="24"/>
        </w:rPr>
        <w:t>12</w:t>
      </w:r>
      <w:r w:rsidR="00B16AC1">
        <w:rPr>
          <w:sz w:val="24"/>
          <w:szCs w:val="24"/>
        </w:rPr>
        <w:tab/>
      </w:r>
      <w:r w:rsidR="00A50A49">
        <w:rPr>
          <w:sz w:val="24"/>
          <w:szCs w:val="24"/>
        </w:rPr>
        <w:t>Neutron average per detector</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t>4</w:t>
      </w:r>
      <w:r w:rsidR="00D166CA">
        <w:rPr>
          <w:sz w:val="24"/>
          <w:szCs w:val="24"/>
        </w:rPr>
        <w:t>3</w:t>
      </w:r>
    </w:p>
    <w:p w14:paraId="544F3DF5" w14:textId="4DCC51B3" w:rsidR="00A50A49" w:rsidRDefault="00D35623" w:rsidP="00FA23D7">
      <w:pPr>
        <w:pStyle w:val="ListParagraph"/>
        <w:ind w:left="0"/>
        <w:rPr>
          <w:sz w:val="24"/>
          <w:szCs w:val="24"/>
        </w:rPr>
      </w:pPr>
      <w:r>
        <w:rPr>
          <w:sz w:val="24"/>
          <w:szCs w:val="24"/>
        </w:rPr>
        <w:t>13</w:t>
      </w:r>
      <w:r w:rsidR="00A50A49">
        <w:rPr>
          <w:sz w:val="24"/>
          <w:szCs w:val="24"/>
        </w:rPr>
        <w:tab/>
        <w:t>The Broad Energy Germanium detector</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t>4</w:t>
      </w:r>
      <w:r w:rsidR="00D166CA">
        <w:rPr>
          <w:sz w:val="24"/>
          <w:szCs w:val="24"/>
        </w:rPr>
        <w:t>7</w:t>
      </w:r>
    </w:p>
    <w:p w14:paraId="54619EED" w14:textId="12F1690B" w:rsidR="00A50A49" w:rsidRDefault="00D35623" w:rsidP="00FA23D7">
      <w:pPr>
        <w:pStyle w:val="ListParagraph"/>
        <w:ind w:left="0"/>
        <w:rPr>
          <w:sz w:val="24"/>
          <w:szCs w:val="24"/>
        </w:rPr>
      </w:pPr>
      <w:r>
        <w:rPr>
          <w:sz w:val="24"/>
          <w:szCs w:val="24"/>
        </w:rPr>
        <w:t>14</w:t>
      </w:r>
      <w:r w:rsidR="00A50A49">
        <w:rPr>
          <w:sz w:val="24"/>
          <w:szCs w:val="24"/>
        </w:rPr>
        <w:tab/>
        <w:t>Column chemistry</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B16AC1">
        <w:rPr>
          <w:sz w:val="24"/>
          <w:szCs w:val="24"/>
        </w:rPr>
        <w:t>5</w:t>
      </w:r>
      <w:r w:rsidR="00C533E2">
        <w:rPr>
          <w:sz w:val="24"/>
          <w:szCs w:val="24"/>
        </w:rPr>
        <w:t>5</w:t>
      </w:r>
    </w:p>
    <w:p w14:paraId="567FDF1D" w14:textId="04FFD294" w:rsidR="00A50A49" w:rsidRDefault="00D35623" w:rsidP="00FA23D7">
      <w:pPr>
        <w:pStyle w:val="ListParagraph"/>
        <w:ind w:left="0"/>
        <w:rPr>
          <w:sz w:val="24"/>
          <w:szCs w:val="24"/>
        </w:rPr>
      </w:pPr>
      <w:r>
        <w:rPr>
          <w:sz w:val="24"/>
          <w:szCs w:val="24"/>
        </w:rPr>
        <w:t>15</w:t>
      </w:r>
      <w:r w:rsidR="00A50A49">
        <w:rPr>
          <w:sz w:val="24"/>
          <w:szCs w:val="24"/>
        </w:rPr>
        <w:tab/>
      </w:r>
      <w:r w:rsidR="00B16AC1">
        <w:rPr>
          <w:sz w:val="24"/>
          <w:szCs w:val="24"/>
        </w:rPr>
        <w:t xml:space="preserve">TANDY </w:t>
      </w:r>
      <w:r w:rsidR="00A50A49">
        <w:rPr>
          <w:sz w:val="24"/>
          <w:szCs w:val="24"/>
        </w:rPr>
        <w:t>AMS system</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t>5</w:t>
      </w:r>
      <w:r w:rsidR="00C533E2">
        <w:rPr>
          <w:sz w:val="24"/>
          <w:szCs w:val="24"/>
        </w:rPr>
        <w:t>6</w:t>
      </w:r>
    </w:p>
    <w:p w14:paraId="6AC763CC" w14:textId="1A72D934" w:rsidR="00B16AC1" w:rsidRPr="00B16AC1" w:rsidRDefault="00D35623" w:rsidP="00FA23D7">
      <w:pPr>
        <w:pStyle w:val="ListParagraph"/>
        <w:ind w:left="0"/>
        <w:rPr>
          <w:sz w:val="24"/>
          <w:szCs w:val="24"/>
        </w:rPr>
      </w:pPr>
      <w:r>
        <w:rPr>
          <w:sz w:val="24"/>
          <w:szCs w:val="24"/>
        </w:rPr>
        <w:t>16</w:t>
      </w:r>
      <w:r w:rsidR="00B16AC1">
        <w:rPr>
          <w:sz w:val="24"/>
          <w:szCs w:val="24"/>
        </w:rPr>
        <w:tab/>
      </w:r>
      <w:r w:rsidR="00B16AC1">
        <w:rPr>
          <w:sz w:val="24"/>
          <w:szCs w:val="24"/>
          <w:vertAlign w:val="superscript"/>
        </w:rPr>
        <w:t>236</w:t>
      </w:r>
      <w:r w:rsidR="00B16AC1">
        <w:rPr>
          <w:sz w:val="24"/>
          <w:szCs w:val="24"/>
        </w:rPr>
        <w:t>U abundance</w:t>
      </w:r>
      <w:r w:rsidR="00B16AC1">
        <w:rPr>
          <w:sz w:val="24"/>
          <w:szCs w:val="24"/>
        </w:rPr>
        <w:tab/>
      </w:r>
      <w:r w:rsidR="00B16AC1">
        <w:rPr>
          <w:sz w:val="24"/>
          <w:szCs w:val="24"/>
        </w:rPr>
        <w:tab/>
      </w:r>
      <w:r w:rsidR="00B16AC1">
        <w:rPr>
          <w:sz w:val="24"/>
          <w:szCs w:val="24"/>
        </w:rPr>
        <w:tab/>
      </w:r>
      <w:r w:rsidR="00B16AC1">
        <w:rPr>
          <w:sz w:val="24"/>
          <w:szCs w:val="24"/>
        </w:rPr>
        <w:tab/>
      </w:r>
      <w:r w:rsidR="00B16AC1">
        <w:rPr>
          <w:sz w:val="24"/>
          <w:szCs w:val="24"/>
        </w:rPr>
        <w:tab/>
      </w:r>
      <w:r w:rsidR="00B16AC1">
        <w:rPr>
          <w:sz w:val="24"/>
          <w:szCs w:val="24"/>
        </w:rPr>
        <w:tab/>
      </w:r>
      <w:r w:rsidR="00B16AC1">
        <w:rPr>
          <w:sz w:val="24"/>
          <w:szCs w:val="24"/>
        </w:rPr>
        <w:tab/>
      </w:r>
      <w:r w:rsidR="00B16AC1">
        <w:rPr>
          <w:sz w:val="24"/>
          <w:szCs w:val="24"/>
        </w:rPr>
        <w:tab/>
        <w:t>5</w:t>
      </w:r>
      <w:r w:rsidR="00C533E2">
        <w:rPr>
          <w:sz w:val="24"/>
          <w:szCs w:val="24"/>
        </w:rPr>
        <w:t>7</w:t>
      </w:r>
    </w:p>
    <w:p w14:paraId="02676B8D" w14:textId="5495BA5E" w:rsidR="00A50A49" w:rsidRDefault="00A50A49" w:rsidP="00FA23D7">
      <w:pPr>
        <w:pStyle w:val="ListParagraph"/>
        <w:ind w:left="0"/>
        <w:rPr>
          <w:sz w:val="24"/>
          <w:szCs w:val="24"/>
        </w:rPr>
      </w:pPr>
    </w:p>
    <w:p w14:paraId="0F1B8032" w14:textId="4522E32F" w:rsidR="00A50A49" w:rsidRDefault="00D35623" w:rsidP="00FA23D7">
      <w:pPr>
        <w:pStyle w:val="ListParagraph"/>
        <w:ind w:left="0"/>
        <w:rPr>
          <w:sz w:val="24"/>
          <w:szCs w:val="24"/>
        </w:rPr>
      </w:pPr>
      <w:r>
        <w:rPr>
          <w:sz w:val="24"/>
          <w:szCs w:val="24"/>
        </w:rPr>
        <w:t>17</w:t>
      </w:r>
      <w:r w:rsidR="00A50A49">
        <w:rPr>
          <w:sz w:val="24"/>
          <w:szCs w:val="24"/>
        </w:rPr>
        <w:tab/>
        <w:t>Neutron counts of background and sample</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C533E2">
        <w:rPr>
          <w:sz w:val="24"/>
          <w:szCs w:val="24"/>
        </w:rPr>
        <w:t>61</w:t>
      </w:r>
    </w:p>
    <w:p w14:paraId="09B2383B" w14:textId="26BFCB06" w:rsidR="00D35623" w:rsidRDefault="00D35623" w:rsidP="00FA23D7">
      <w:pPr>
        <w:pStyle w:val="ListParagraph"/>
        <w:ind w:left="0"/>
        <w:rPr>
          <w:sz w:val="24"/>
          <w:szCs w:val="24"/>
        </w:rPr>
      </w:pPr>
      <w:r>
        <w:rPr>
          <w:sz w:val="24"/>
          <w:szCs w:val="24"/>
        </w:rPr>
        <w:t>18</w:t>
      </w:r>
      <w:r w:rsidR="00A50A49">
        <w:rPr>
          <w:sz w:val="24"/>
          <w:szCs w:val="24"/>
        </w:rPr>
        <w:tab/>
        <w:t>Background subtraction of sample neutron counts</w:t>
      </w:r>
      <w:r w:rsidR="00895AB7">
        <w:rPr>
          <w:sz w:val="24"/>
          <w:szCs w:val="24"/>
        </w:rPr>
        <w:tab/>
      </w:r>
      <w:r w:rsidR="00895AB7">
        <w:rPr>
          <w:sz w:val="24"/>
          <w:szCs w:val="24"/>
        </w:rPr>
        <w:tab/>
      </w:r>
      <w:r w:rsidR="00895AB7">
        <w:rPr>
          <w:sz w:val="24"/>
          <w:szCs w:val="24"/>
        </w:rPr>
        <w:tab/>
      </w:r>
      <w:r w:rsidR="00895AB7">
        <w:rPr>
          <w:sz w:val="24"/>
          <w:szCs w:val="24"/>
        </w:rPr>
        <w:tab/>
      </w:r>
      <w:r w:rsidR="00C533E2">
        <w:rPr>
          <w:sz w:val="24"/>
          <w:szCs w:val="24"/>
        </w:rPr>
        <w:t>61</w:t>
      </w:r>
    </w:p>
    <w:p w14:paraId="6742CD76" w14:textId="735DDBDB" w:rsidR="00A50A49" w:rsidRDefault="00D35623" w:rsidP="00FA23D7">
      <w:pPr>
        <w:pStyle w:val="ListParagraph"/>
        <w:ind w:left="0"/>
        <w:rPr>
          <w:sz w:val="24"/>
          <w:szCs w:val="24"/>
        </w:rPr>
      </w:pPr>
      <w:r>
        <w:rPr>
          <w:sz w:val="24"/>
          <w:szCs w:val="24"/>
        </w:rPr>
        <w:t>19</w:t>
      </w:r>
      <w:r w:rsidR="00A50A49">
        <w:rPr>
          <w:sz w:val="24"/>
          <w:szCs w:val="24"/>
        </w:rPr>
        <w:tab/>
        <w:t>Average neutron counts per detector</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2F6F99">
        <w:rPr>
          <w:sz w:val="24"/>
          <w:szCs w:val="24"/>
        </w:rPr>
        <w:t>6</w:t>
      </w:r>
      <w:r w:rsidR="00C533E2">
        <w:rPr>
          <w:sz w:val="24"/>
          <w:szCs w:val="24"/>
        </w:rPr>
        <w:t>3</w:t>
      </w:r>
    </w:p>
    <w:p w14:paraId="7A205681" w14:textId="0CD8C325" w:rsidR="00A50A49" w:rsidRDefault="00D35623" w:rsidP="00FA23D7">
      <w:pPr>
        <w:pStyle w:val="ListParagraph"/>
        <w:ind w:left="0"/>
        <w:rPr>
          <w:sz w:val="24"/>
          <w:szCs w:val="24"/>
        </w:rPr>
      </w:pPr>
      <w:r>
        <w:rPr>
          <w:sz w:val="24"/>
          <w:szCs w:val="24"/>
        </w:rPr>
        <w:t>20</w:t>
      </w:r>
      <w:r w:rsidR="00A50A49">
        <w:rPr>
          <w:sz w:val="24"/>
          <w:szCs w:val="24"/>
        </w:rPr>
        <w:tab/>
        <w:t>Average neutron counts per sample</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t>6</w:t>
      </w:r>
      <w:r w:rsidR="00C533E2">
        <w:rPr>
          <w:sz w:val="24"/>
          <w:szCs w:val="24"/>
        </w:rPr>
        <w:t>4</w:t>
      </w:r>
    </w:p>
    <w:p w14:paraId="4C923173" w14:textId="406932D6" w:rsidR="00A50A49" w:rsidRDefault="00D35623" w:rsidP="00FA23D7">
      <w:pPr>
        <w:pStyle w:val="ListParagraph"/>
        <w:ind w:left="0"/>
        <w:rPr>
          <w:sz w:val="24"/>
          <w:szCs w:val="24"/>
        </w:rPr>
      </w:pPr>
      <w:r>
        <w:rPr>
          <w:sz w:val="24"/>
          <w:szCs w:val="24"/>
        </w:rPr>
        <w:t>21</w:t>
      </w:r>
      <w:r w:rsidR="00A50A49">
        <w:rPr>
          <w:sz w:val="24"/>
          <w:szCs w:val="24"/>
        </w:rPr>
        <w:tab/>
        <w:t>Difference in neutrons detected over time (spiked sample)</w:t>
      </w:r>
      <w:r w:rsidR="00895AB7">
        <w:rPr>
          <w:sz w:val="24"/>
          <w:szCs w:val="24"/>
        </w:rPr>
        <w:tab/>
      </w:r>
      <w:r w:rsidR="00895AB7">
        <w:rPr>
          <w:sz w:val="24"/>
          <w:szCs w:val="24"/>
        </w:rPr>
        <w:tab/>
      </w:r>
      <w:r w:rsidR="00895AB7">
        <w:rPr>
          <w:sz w:val="24"/>
          <w:szCs w:val="24"/>
        </w:rPr>
        <w:tab/>
        <w:t>6</w:t>
      </w:r>
      <w:r w:rsidR="00C533E2">
        <w:rPr>
          <w:sz w:val="24"/>
          <w:szCs w:val="24"/>
        </w:rPr>
        <w:t>6</w:t>
      </w:r>
    </w:p>
    <w:p w14:paraId="5DE7F697" w14:textId="318DB325" w:rsidR="00A50A49" w:rsidRPr="00C451E9" w:rsidRDefault="00D35623" w:rsidP="00FA23D7">
      <w:pPr>
        <w:pStyle w:val="ListParagraph"/>
        <w:ind w:left="0"/>
        <w:rPr>
          <w:sz w:val="24"/>
          <w:szCs w:val="24"/>
        </w:rPr>
      </w:pPr>
      <w:r>
        <w:rPr>
          <w:sz w:val="24"/>
          <w:szCs w:val="24"/>
        </w:rPr>
        <w:t>22</w:t>
      </w:r>
      <w:r w:rsidR="00A50A49" w:rsidRPr="00C451E9">
        <w:rPr>
          <w:sz w:val="24"/>
          <w:szCs w:val="24"/>
        </w:rPr>
        <w:tab/>
        <w:t>Example gamma spectrum of DSRL1</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t>6</w:t>
      </w:r>
      <w:r w:rsidR="00C533E2">
        <w:rPr>
          <w:sz w:val="24"/>
          <w:szCs w:val="24"/>
        </w:rPr>
        <w:t>8</w:t>
      </w:r>
    </w:p>
    <w:p w14:paraId="17B91BF4" w14:textId="3C38AE55" w:rsidR="00A50A49" w:rsidRPr="00C451E9" w:rsidRDefault="00D35623" w:rsidP="00FA23D7">
      <w:pPr>
        <w:pStyle w:val="ListParagraph"/>
        <w:ind w:left="0"/>
        <w:rPr>
          <w:sz w:val="24"/>
          <w:szCs w:val="24"/>
        </w:rPr>
      </w:pPr>
      <w:r>
        <w:rPr>
          <w:sz w:val="24"/>
          <w:szCs w:val="24"/>
        </w:rPr>
        <w:t>23</w:t>
      </w:r>
      <w:r w:rsidR="00A50A49" w:rsidRPr="00C451E9">
        <w:rPr>
          <w:sz w:val="24"/>
          <w:szCs w:val="24"/>
        </w:rPr>
        <w:tab/>
      </w:r>
      <w:r w:rsidR="00543084" w:rsidRPr="00C451E9">
        <w:rPr>
          <w:sz w:val="24"/>
          <w:szCs w:val="24"/>
        </w:rPr>
        <w:t>Peaks of interest in DSRL1 spectrum</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t>6</w:t>
      </w:r>
      <w:r w:rsidR="00C533E2">
        <w:rPr>
          <w:sz w:val="24"/>
          <w:szCs w:val="24"/>
        </w:rPr>
        <w:t>9</w:t>
      </w:r>
    </w:p>
    <w:p w14:paraId="20E2EFAB" w14:textId="507999F1" w:rsidR="00543084" w:rsidRPr="00C451E9" w:rsidRDefault="00D35623" w:rsidP="00FA23D7">
      <w:pPr>
        <w:pStyle w:val="ListParagraph"/>
        <w:ind w:left="0"/>
        <w:rPr>
          <w:sz w:val="24"/>
          <w:szCs w:val="24"/>
        </w:rPr>
      </w:pPr>
      <w:r>
        <w:rPr>
          <w:sz w:val="24"/>
          <w:szCs w:val="24"/>
        </w:rPr>
        <w:t>24</w:t>
      </w:r>
      <w:r w:rsidR="00543084" w:rsidRPr="00C451E9">
        <w:rPr>
          <w:sz w:val="24"/>
          <w:szCs w:val="24"/>
        </w:rPr>
        <w:tab/>
        <w:t>Peaks of interest in DSRL2 spectrum</w:t>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895AB7">
        <w:rPr>
          <w:sz w:val="24"/>
          <w:szCs w:val="24"/>
        </w:rPr>
        <w:tab/>
      </w:r>
      <w:r w:rsidR="00C533E2">
        <w:rPr>
          <w:sz w:val="24"/>
          <w:szCs w:val="24"/>
        </w:rPr>
        <w:t>70</w:t>
      </w:r>
    </w:p>
    <w:p w14:paraId="50E4C9A8" w14:textId="5B31BEB1" w:rsidR="00543084" w:rsidRPr="00D166CA" w:rsidRDefault="00D35623" w:rsidP="00FA23D7">
      <w:pPr>
        <w:pStyle w:val="ListParagraph"/>
        <w:ind w:left="0"/>
        <w:rPr>
          <w:sz w:val="24"/>
          <w:szCs w:val="24"/>
          <w:lang w:val="fr-FR"/>
        </w:rPr>
      </w:pPr>
      <w:r w:rsidRPr="00D166CA">
        <w:rPr>
          <w:sz w:val="24"/>
          <w:szCs w:val="24"/>
          <w:lang w:val="fr-FR"/>
        </w:rPr>
        <w:t>25</w:t>
      </w:r>
      <w:r w:rsidR="00543084" w:rsidRPr="00D35623">
        <w:rPr>
          <w:sz w:val="24"/>
          <w:szCs w:val="24"/>
          <w:lang w:val="fr-FR"/>
        </w:rPr>
        <w:tab/>
      </w:r>
      <w:r w:rsidR="00543084" w:rsidRPr="00D35623">
        <w:rPr>
          <w:sz w:val="24"/>
          <w:szCs w:val="24"/>
          <w:vertAlign w:val="superscript"/>
          <w:lang w:val="fr-FR"/>
        </w:rPr>
        <w:t>241</w:t>
      </w:r>
      <w:r w:rsidR="00543084" w:rsidRPr="00D35623">
        <w:rPr>
          <w:sz w:val="24"/>
          <w:szCs w:val="24"/>
          <w:lang w:val="fr-FR"/>
        </w:rPr>
        <w:t>Am abundance</w:t>
      </w:r>
      <w:r w:rsidR="00895AB7" w:rsidRPr="00D35623">
        <w:rPr>
          <w:sz w:val="24"/>
          <w:szCs w:val="24"/>
          <w:lang w:val="fr-FR"/>
        </w:rPr>
        <w:tab/>
      </w:r>
      <w:r w:rsidR="00895AB7" w:rsidRPr="00D35623">
        <w:rPr>
          <w:sz w:val="24"/>
          <w:szCs w:val="24"/>
          <w:lang w:val="fr-FR"/>
        </w:rPr>
        <w:tab/>
      </w:r>
      <w:r w:rsidR="00895AB7" w:rsidRPr="00D35623">
        <w:rPr>
          <w:sz w:val="24"/>
          <w:szCs w:val="24"/>
          <w:lang w:val="fr-FR"/>
        </w:rPr>
        <w:tab/>
      </w:r>
      <w:r w:rsidR="00895AB7" w:rsidRPr="00D35623">
        <w:rPr>
          <w:sz w:val="24"/>
          <w:szCs w:val="24"/>
          <w:lang w:val="fr-FR"/>
        </w:rPr>
        <w:tab/>
      </w:r>
      <w:r w:rsidR="00895AB7" w:rsidRPr="00D35623">
        <w:rPr>
          <w:sz w:val="24"/>
          <w:szCs w:val="24"/>
          <w:lang w:val="fr-FR"/>
        </w:rPr>
        <w:tab/>
      </w:r>
      <w:r w:rsidR="00895AB7" w:rsidRPr="00D35623">
        <w:rPr>
          <w:sz w:val="24"/>
          <w:szCs w:val="24"/>
          <w:lang w:val="fr-FR"/>
        </w:rPr>
        <w:tab/>
      </w:r>
      <w:r w:rsidR="00895AB7" w:rsidRPr="00D35623">
        <w:rPr>
          <w:sz w:val="24"/>
          <w:szCs w:val="24"/>
          <w:lang w:val="fr-FR"/>
        </w:rPr>
        <w:tab/>
      </w:r>
      <w:r w:rsidR="00895AB7" w:rsidRPr="00D35623">
        <w:rPr>
          <w:sz w:val="24"/>
          <w:szCs w:val="24"/>
          <w:lang w:val="fr-FR"/>
        </w:rPr>
        <w:tab/>
      </w:r>
      <w:r w:rsidR="002F6F99" w:rsidRPr="00D35623">
        <w:rPr>
          <w:sz w:val="24"/>
          <w:szCs w:val="24"/>
          <w:lang w:val="fr-FR"/>
        </w:rPr>
        <w:t>7</w:t>
      </w:r>
      <w:r w:rsidR="00C533E2">
        <w:rPr>
          <w:sz w:val="24"/>
          <w:szCs w:val="24"/>
          <w:lang w:val="fr-FR"/>
        </w:rPr>
        <w:t>2</w:t>
      </w:r>
    </w:p>
    <w:p w14:paraId="5DD4CBFD" w14:textId="66F6F91C" w:rsidR="00543084" w:rsidRPr="00301B60" w:rsidRDefault="00D35623" w:rsidP="00FA23D7">
      <w:pPr>
        <w:pStyle w:val="ListParagraph"/>
        <w:ind w:left="0"/>
        <w:rPr>
          <w:sz w:val="24"/>
          <w:szCs w:val="24"/>
          <w:lang w:val="fr-FR"/>
        </w:rPr>
      </w:pPr>
      <w:r>
        <w:rPr>
          <w:sz w:val="24"/>
          <w:szCs w:val="24"/>
          <w:lang w:val="fr-FR"/>
        </w:rPr>
        <w:t>2</w:t>
      </w:r>
      <w:r w:rsidR="00D166CA">
        <w:rPr>
          <w:sz w:val="24"/>
          <w:szCs w:val="24"/>
          <w:lang w:val="fr-FR"/>
        </w:rPr>
        <w:t>6</w:t>
      </w:r>
      <w:r w:rsidR="00543084" w:rsidRPr="00301B60">
        <w:rPr>
          <w:sz w:val="24"/>
          <w:szCs w:val="24"/>
          <w:lang w:val="fr-FR"/>
        </w:rPr>
        <w:tab/>
      </w:r>
      <w:r w:rsidR="00C451E9" w:rsidRPr="00301B60">
        <w:rPr>
          <w:sz w:val="24"/>
          <w:szCs w:val="24"/>
          <w:vertAlign w:val="superscript"/>
          <w:lang w:val="fr-FR"/>
        </w:rPr>
        <w:t>241</w:t>
      </w:r>
      <w:r w:rsidR="00C451E9" w:rsidRPr="00301B60">
        <w:rPr>
          <w:sz w:val="24"/>
          <w:szCs w:val="24"/>
          <w:lang w:val="fr-FR"/>
        </w:rPr>
        <w:t>Pu abundance</w:t>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t>7</w:t>
      </w:r>
      <w:r w:rsidR="00C533E2">
        <w:rPr>
          <w:sz w:val="24"/>
          <w:szCs w:val="24"/>
          <w:lang w:val="fr-FR"/>
        </w:rPr>
        <w:t>3</w:t>
      </w:r>
    </w:p>
    <w:p w14:paraId="4B91DD3E" w14:textId="6E9C8C8D" w:rsidR="00C451E9" w:rsidRPr="00301B60" w:rsidRDefault="00D35623" w:rsidP="00FA23D7">
      <w:pPr>
        <w:pStyle w:val="ListParagraph"/>
        <w:ind w:left="0"/>
        <w:rPr>
          <w:sz w:val="24"/>
          <w:szCs w:val="24"/>
          <w:lang w:val="fr-FR"/>
        </w:rPr>
      </w:pPr>
      <w:r>
        <w:rPr>
          <w:sz w:val="24"/>
          <w:szCs w:val="24"/>
          <w:lang w:val="fr-FR"/>
        </w:rPr>
        <w:t>2</w:t>
      </w:r>
      <w:r w:rsidR="00D166CA">
        <w:rPr>
          <w:sz w:val="24"/>
          <w:szCs w:val="24"/>
          <w:lang w:val="fr-FR"/>
        </w:rPr>
        <w:t>7</w:t>
      </w:r>
      <w:r w:rsidR="00C451E9" w:rsidRPr="00301B60">
        <w:rPr>
          <w:sz w:val="24"/>
          <w:szCs w:val="24"/>
          <w:lang w:val="fr-FR"/>
        </w:rPr>
        <w:tab/>
      </w:r>
      <w:r w:rsidR="00C451E9" w:rsidRPr="00301B60">
        <w:rPr>
          <w:sz w:val="24"/>
          <w:szCs w:val="24"/>
          <w:vertAlign w:val="superscript"/>
          <w:lang w:val="fr-FR"/>
        </w:rPr>
        <w:t>239</w:t>
      </w:r>
      <w:r w:rsidR="00C451E9" w:rsidRPr="00301B60">
        <w:rPr>
          <w:sz w:val="24"/>
          <w:szCs w:val="24"/>
          <w:lang w:val="fr-FR"/>
        </w:rPr>
        <w:t>Pu abundance</w:t>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t>7</w:t>
      </w:r>
      <w:r w:rsidR="00C533E2">
        <w:rPr>
          <w:sz w:val="24"/>
          <w:szCs w:val="24"/>
          <w:lang w:val="fr-FR"/>
        </w:rPr>
        <w:t>7</w:t>
      </w:r>
    </w:p>
    <w:p w14:paraId="41B0505A" w14:textId="641179FC" w:rsidR="00C451E9" w:rsidRPr="00301B60" w:rsidRDefault="00D35623" w:rsidP="00FA23D7">
      <w:pPr>
        <w:pStyle w:val="ListParagraph"/>
        <w:ind w:left="0"/>
        <w:rPr>
          <w:sz w:val="24"/>
          <w:szCs w:val="24"/>
          <w:lang w:val="fr-FR"/>
        </w:rPr>
      </w:pPr>
      <w:r>
        <w:rPr>
          <w:sz w:val="24"/>
          <w:szCs w:val="24"/>
          <w:lang w:val="fr-FR"/>
        </w:rPr>
        <w:t>2</w:t>
      </w:r>
      <w:r w:rsidR="00D166CA">
        <w:rPr>
          <w:sz w:val="24"/>
          <w:szCs w:val="24"/>
          <w:lang w:val="fr-FR"/>
        </w:rPr>
        <w:t>8</w:t>
      </w:r>
      <w:r w:rsidR="00C451E9" w:rsidRPr="00301B60">
        <w:rPr>
          <w:sz w:val="24"/>
          <w:szCs w:val="24"/>
          <w:lang w:val="fr-FR"/>
        </w:rPr>
        <w:tab/>
      </w:r>
      <w:r w:rsidR="00C451E9" w:rsidRPr="00301B60">
        <w:rPr>
          <w:sz w:val="24"/>
          <w:szCs w:val="24"/>
          <w:vertAlign w:val="superscript"/>
          <w:lang w:val="fr-FR"/>
        </w:rPr>
        <w:t>242</w:t>
      </w:r>
      <w:r w:rsidR="00C451E9" w:rsidRPr="00301B60">
        <w:rPr>
          <w:sz w:val="24"/>
          <w:szCs w:val="24"/>
          <w:lang w:val="fr-FR"/>
        </w:rPr>
        <w:t xml:space="preserve">Pu abundance </w:t>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t>7</w:t>
      </w:r>
      <w:r w:rsidR="00C533E2">
        <w:rPr>
          <w:sz w:val="24"/>
          <w:szCs w:val="24"/>
          <w:lang w:val="fr-FR"/>
        </w:rPr>
        <w:t>8</w:t>
      </w:r>
    </w:p>
    <w:p w14:paraId="35C3F33E" w14:textId="3BEEC76F" w:rsidR="00C451E9" w:rsidRPr="00301B60" w:rsidRDefault="00D166CA" w:rsidP="00FA23D7">
      <w:pPr>
        <w:pStyle w:val="ListParagraph"/>
        <w:ind w:left="0"/>
        <w:rPr>
          <w:sz w:val="24"/>
          <w:szCs w:val="24"/>
          <w:lang w:val="fr-FR"/>
        </w:rPr>
      </w:pPr>
      <w:r>
        <w:rPr>
          <w:sz w:val="24"/>
          <w:szCs w:val="24"/>
          <w:lang w:val="fr-FR"/>
        </w:rPr>
        <w:t>29</w:t>
      </w:r>
      <w:r w:rsidR="00C451E9" w:rsidRPr="00301B60">
        <w:rPr>
          <w:sz w:val="24"/>
          <w:szCs w:val="24"/>
          <w:lang w:val="fr-FR"/>
        </w:rPr>
        <w:tab/>
      </w:r>
      <w:bookmarkStart w:id="1" w:name="_Hlk2261575"/>
      <w:r w:rsidR="00C451E9" w:rsidRPr="00301B60">
        <w:rPr>
          <w:sz w:val="24"/>
          <w:szCs w:val="24"/>
          <w:vertAlign w:val="superscript"/>
          <w:lang w:val="fr-FR"/>
        </w:rPr>
        <w:t>240</w:t>
      </w:r>
      <w:r w:rsidR="00C451E9" w:rsidRPr="00301B60">
        <w:rPr>
          <w:sz w:val="24"/>
          <w:szCs w:val="24"/>
          <w:lang w:val="fr-FR"/>
        </w:rPr>
        <w:t>Pu</w:t>
      </w:r>
      <w:bookmarkEnd w:id="1"/>
      <w:r w:rsidR="00C451E9" w:rsidRPr="00301B60">
        <w:rPr>
          <w:sz w:val="24"/>
          <w:szCs w:val="24"/>
          <w:lang w:val="fr-FR"/>
        </w:rPr>
        <w:t xml:space="preserve"> abundance</w:t>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t>7</w:t>
      </w:r>
      <w:r w:rsidR="00B47C38" w:rsidRPr="00301B60">
        <w:rPr>
          <w:sz w:val="24"/>
          <w:szCs w:val="24"/>
          <w:lang w:val="fr-FR"/>
        </w:rPr>
        <w:t>8</w:t>
      </w:r>
    </w:p>
    <w:p w14:paraId="6B826EB6" w14:textId="271D5658" w:rsidR="00C451E9" w:rsidRPr="00301B60" w:rsidRDefault="00D35623" w:rsidP="00FA23D7">
      <w:pPr>
        <w:pStyle w:val="ListParagraph"/>
        <w:ind w:left="0"/>
        <w:rPr>
          <w:sz w:val="24"/>
          <w:szCs w:val="24"/>
          <w:lang w:val="fr-FR"/>
        </w:rPr>
      </w:pPr>
      <w:r>
        <w:rPr>
          <w:sz w:val="24"/>
          <w:szCs w:val="24"/>
          <w:lang w:val="fr-FR"/>
        </w:rPr>
        <w:t>3</w:t>
      </w:r>
      <w:r w:rsidR="00D166CA">
        <w:rPr>
          <w:sz w:val="24"/>
          <w:szCs w:val="24"/>
          <w:lang w:val="fr-FR"/>
        </w:rPr>
        <w:t>0</w:t>
      </w:r>
      <w:r w:rsidR="00C451E9" w:rsidRPr="00301B60">
        <w:rPr>
          <w:sz w:val="24"/>
          <w:szCs w:val="24"/>
          <w:lang w:val="fr-FR"/>
        </w:rPr>
        <w:tab/>
      </w:r>
      <w:bookmarkStart w:id="2" w:name="_Hlk2261438"/>
      <w:r w:rsidR="00C451E9" w:rsidRPr="00301B60">
        <w:rPr>
          <w:sz w:val="24"/>
          <w:szCs w:val="24"/>
          <w:vertAlign w:val="superscript"/>
          <w:lang w:val="fr-FR"/>
        </w:rPr>
        <w:t>240</w:t>
      </w:r>
      <w:r w:rsidR="00C451E9" w:rsidRPr="00301B60">
        <w:rPr>
          <w:sz w:val="24"/>
          <w:szCs w:val="24"/>
          <w:lang w:val="fr-FR"/>
        </w:rPr>
        <w:t>Pu/</w:t>
      </w:r>
      <w:r w:rsidR="00C451E9" w:rsidRPr="00301B60">
        <w:rPr>
          <w:sz w:val="24"/>
          <w:szCs w:val="24"/>
          <w:vertAlign w:val="superscript"/>
          <w:lang w:val="fr-FR"/>
        </w:rPr>
        <w:t>239</w:t>
      </w:r>
      <w:r w:rsidR="00C451E9" w:rsidRPr="00301B60">
        <w:rPr>
          <w:sz w:val="24"/>
          <w:szCs w:val="24"/>
          <w:lang w:val="fr-FR"/>
        </w:rPr>
        <w:t>Pu ratios</w:t>
      </w:r>
      <w:bookmarkEnd w:id="2"/>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B47C38" w:rsidRPr="00301B60">
        <w:rPr>
          <w:sz w:val="24"/>
          <w:szCs w:val="24"/>
          <w:lang w:val="fr-FR"/>
        </w:rPr>
        <w:t>79</w:t>
      </w:r>
    </w:p>
    <w:p w14:paraId="3C1CF83B" w14:textId="29AE69AD" w:rsidR="00C451E9" w:rsidRPr="00301B60" w:rsidRDefault="00C451E9" w:rsidP="00FA23D7">
      <w:pPr>
        <w:pStyle w:val="ListParagraph"/>
        <w:ind w:left="0"/>
        <w:rPr>
          <w:sz w:val="24"/>
          <w:szCs w:val="24"/>
          <w:lang w:val="fr-FR"/>
        </w:rPr>
      </w:pPr>
    </w:p>
    <w:p w14:paraId="2318C95F" w14:textId="4337DF54" w:rsidR="00C451E9" w:rsidRPr="00D166CA" w:rsidRDefault="00D35623" w:rsidP="00FA23D7">
      <w:pPr>
        <w:pStyle w:val="ListParagraph"/>
        <w:ind w:left="0"/>
        <w:rPr>
          <w:sz w:val="24"/>
          <w:szCs w:val="24"/>
        </w:rPr>
      </w:pPr>
      <w:r w:rsidRPr="00D166CA">
        <w:rPr>
          <w:sz w:val="24"/>
          <w:szCs w:val="24"/>
        </w:rPr>
        <w:t>3</w:t>
      </w:r>
      <w:r w:rsidR="00D166CA" w:rsidRPr="00D166CA">
        <w:rPr>
          <w:sz w:val="24"/>
          <w:szCs w:val="24"/>
        </w:rPr>
        <w:t>1</w:t>
      </w:r>
      <w:r w:rsidR="00C451E9" w:rsidRPr="00D166CA">
        <w:rPr>
          <w:sz w:val="24"/>
          <w:szCs w:val="24"/>
        </w:rPr>
        <w:tab/>
        <w:t>Estimated neutron emission</w:t>
      </w:r>
      <w:r w:rsidR="00895AB7" w:rsidRPr="00D166CA">
        <w:rPr>
          <w:sz w:val="24"/>
          <w:szCs w:val="24"/>
        </w:rPr>
        <w:tab/>
      </w:r>
      <w:r w:rsidR="00895AB7" w:rsidRPr="00D166CA">
        <w:rPr>
          <w:sz w:val="24"/>
          <w:szCs w:val="24"/>
        </w:rPr>
        <w:tab/>
      </w:r>
      <w:r w:rsidR="00895AB7" w:rsidRPr="00D166CA">
        <w:rPr>
          <w:sz w:val="24"/>
          <w:szCs w:val="24"/>
        </w:rPr>
        <w:tab/>
      </w:r>
      <w:r w:rsidR="00895AB7" w:rsidRPr="00D166CA">
        <w:rPr>
          <w:sz w:val="24"/>
          <w:szCs w:val="24"/>
        </w:rPr>
        <w:tab/>
      </w:r>
      <w:r w:rsidR="00895AB7" w:rsidRPr="00D166CA">
        <w:rPr>
          <w:sz w:val="24"/>
          <w:szCs w:val="24"/>
        </w:rPr>
        <w:tab/>
      </w:r>
      <w:r w:rsidR="00895AB7" w:rsidRPr="00D166CA">
        <w:rPr>
          <w:sz w:val="24"/>
          <w:szCs w:val="24"/>
        </w:rPr>
        <w:tab/>
      </w:r>
      <w:r w:rsidR="00895AB7" w:rsidRPr="00D166CA">
        <w:rPr>
          <w:sz w:val="24"/>
          <w:szCs w:val="24"/>
        </w:rPr>
        <w:tab/>
        <w:t>8</w:t>
      </w:r>
      <w:r w:rsidR="00C533E2">
        <w:rPr>
          <w:sz w:val="24"/>
          <w:szCs w:val="24"/>
        </w:rPr>
        <w:t>4</w:t>
      </w:r>
    </w:p>
    <w:p w14:paraId="39ABEA99" w14:textId="62B7BA29" w:rsidR="002F6F99" w:rsidRPr="00D166CA" w:rsidRDefault="00D35623" w:rsidP="00FA23D7">
      <w:pPr>
        <w:pStyle w:val="ListParagraph"/>
        <w:ind w:left="0"/>
        <w:rPr>
          <w:sz w:val="24"/>
          <w:szCs w:val="24"/>
        </w:rPr>
      </w:pPr>
      <w:r w:rsidRPr="00D166CA">
        <w:rPr>
          <w:sz w:val="24"/>
          <w:szCs w:val="24"/>
        </w:rPr>
        <w:t>3</w:t>
      </w:r>
      <w:r w:rsidR="00D166CA" w:rsidRPr="00D166CA">
        <w:rPr>
          <w:sz w:val="24"/>
          <w:szCs w:val="24"/>
        </w:rPr>
        <w:t>2</w:t>
      </w:r>
      <w:r w:rsidR="002F6F99" w:rsidRPr="00D166CA">
        <w:rPr>
          <w:sz w:val="24"/>
          <w:szCs w:val="24"/>
        </w:rPr>
        <w:tab/>
        <w:t>Comparison Index</w:t>
      </w:r>
      <w:r w:rsidR="002F6F99" w:rsidRPr="00D166CA">
        <w:rPr>
          <w:sz w:val="24"/>
          <w:szCs w:val="24"/>
        </w:rPr>
        <w:tab/>
      </w:r>
      <w:r w:rsidR="002F6F99" w:rsidRPr="00D166CA">
        <w:rPr>
          <w:sz w:val="24"/>
          <w:szCs w:val="24"/>
        </w:rPr>
        <w:tab/>
      </w:r>
      <w:r w:rsidR="002F6F99" w:rsidRPr="00D166CA">
        <w:rPr>
          <w:sz w:val="24"/>
          <w:szCs w:val="24"/>
        </w:rPr>
        <w:tab/>
      </w:r>
      <w:r w:rsidR="002F6F99" w:rsidRPr="00D166CA">
        <w:rPr>
          <w:sz w:val="24"/>
          <w:szCs w:val="24"/>
        </w:rPr>
        <w:tab/>
      </w:r>
      <w:r w:rsidR="002F6F99" w:rsidRPr="00D166CA">
        <w:rPr>
          <w:sz w:val="24"/>
          <w:szCs w:val="24"/>
        </w:rPr>
        <w:tab/>
      </w:r>
      <w:r w:rsidR="002F6F99" w:rsidRPr="00D166CA">
        <w:rPr>
          <w:sz w:val="24"/>
          <w:szCs w:val="24"/>
        </w:rPr>
        <w:tab/>
      </w:r>
      <w:r w:rsidR="002F6F99" w:rsidRPr="00D166CA">
        <w:rPr>
          <w:sz w:val="24"/>
          <w:szCs w:val="24"/>
        </w:rPr>
        <w:tab/>
      </w:r>
      <w:r w:rsidR="002F6F99" w:rsidRPr="00D166CA">
        <w:rPr>
          <w:sz w:val="24"/>
          <w:szCs w:val="24"/>
        </w:rPr>
        <w:tab/>
        <w:t>9</w:t>
      </w:r>
      <w:r w:rsidR="008C128B" w:rsidRPr="00D166CA">
        <w:rPr>
          <w:sz w:val="24"/>
          <w:szCs w:val="24"/>
        </w:rPr>
        <w:t>5</w:t>
      </w:r>
    </w:p>
    <w:p w14:paraId="0ED33B6B" w14:textId="34135765" w:rsidR="00C451E9" w:rsidRPr="00301B60" w:rsidRDefault="00D35623" w:rsidP="00FA23D7">
      <w:pPr>
        <w:pStyle w:val="ListParagraph"/>
        <w:ind w:left="0"/>
        <w:rPr>
          <w:sz w:val="24"/>
          <w:szCs w:val="24"/>
          <w:lang w:val="fr-FR"/>
        </w:rPr>
      </w:pPr>
      <w:r>
        <w:rPr>
          <w:sz w:val="24"/>
          <w:szCs w:val="24"/>
          <w:lang w:val="fr-FR"/>
        </w:rPr>
        <w:t>3</w:t>
      </w:r>
      <w:r w:rsidR="00D166CA">
        <w:rPr>
          <w:sz w:val="24"/>
          <w:szCs w:val="24"/>
          <w:lang w:val="fr-FR"/>
        </w:rPr>
        <w:t>3</w:t>
      </w:r>
      <w:r w:rsidR="00C451E9" w:rsidRPr="00301B60">
        <w:rPr>
          <w:sz w:val="24"/>
          <w:szCs w:val="24"/>
          <w:lang w:val="fr-FR"/>
        </w:rPr>
        <w:tab/>
        <w:t xml:space="preserve">Literature </w:t>
      </w:r>
      <w:r w:rsidR="00C451E9" w:rsidRPr="00301B60">
        <w:rPr>
          <w:sz w:val="24"/>
          <w:szCs w:val="24"/>
          <w:vertAlign w:val="superscript"/>
          <w:lang w:val="fr-FR"/>
        </w:rPr>
        <w:t>240</w:t>
      </w:r>
      <w:r w:rsidR="00C451E9" w:rsidRPr="00301B60">
        <w:rPr>
          <w:sz w:val="24"/>
          <w:szCs w:val="24"/>
          <w:lang w:val="fr-FR"/>
        </w:rPr>
        <w:t>Pu/</w:t>
      </w:r>
      <w:r w:rsidR="00C451E9" w:rsidRPr="00301B60">
        <w:rPr>
          <w:sz w:val="24"/>
          <w:szCs w:val="24"/>
          <w:vertAlign w:val="superscript"/>
          <w:lang w:val="fr-FR"/>
        </w:rPr>
        <w:t>239</w:t>
      </w:r>
      <w:r w:rsidR="00C451E9" w:rsidRPr="00301B60">
        <w:rPr>
          <w:sz w:val="24"/>
          <w:szCs w:val="24"/>
          <w:lang w:val="fr-FR"/>
        </w:rPr>
        <w:t>Pu ratios</w:t>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2F6F99" w:rsidRPr="00301B60">
        <w:rPr>
          <w:sz w:val="24"/>
          <w:szCs w:val="24"/>
          <w:lang w:val="fr-FR"/>
        </w:rPr>
        <w:t>10</w:t>
      </w:r>
      <w:r w:rsidR="008C128B" w:rsidRPr="00301B60">
        <w:rPr>
          <w:sz w:val="24"/>
          <w:szCs w:val="24"/>
          <w:lang w:val="fr-FR"/>
        </w:rPr>
        <w:t>3</w:t>
      </w:r>
    </w:p>
    <w:p w14:paraId="4E5E9CA6" w14:textId="2D2424D7" w:rsidR="00C451E9" w:rsidRPr="00301B60" w:rsidRDefault="00D35623" w:rsidP="00FA23D7">
      <w:pPr>
        <w:pStyle w:val="ListParagraph"/>
        <w:ind w:left="0"/>
        <w:rPr>
          <w:sz w:val="24"/>
          <w:szCs w:val="24"/>
          <w:lang w:val="fr-FR"/>
        </w:rPr>
      </w:pPr>
      <w:r>
        <w:rPr>
          <w:sz w:val="24"/>
          <w:szCs w:val="24"/>
          <w:lang w:val="fr-FR"/>
        </w:rPr>
        <w:t>3</w:t>
      </w:r>
      <w:r w:rsidR="00D166CA">
        <w:rPr>
          <w:sz w:val="24"/>
          <w:szCs w:val="24"/>
          <w:lang w:val="fr-FR"/>
        </w:rPr>
        <w:t>4</w:t>
      </w:r>
      <w:r w:rsidR="00C451E9" w:rsidRPr="00301B60">
        <w:rPr>
          <w:sz w:val="24"/>
          <w:szCs w:val="24"/>
          <w:lang w:val="fr-FR"/>
        </w:rPr>
        <w:tab/>
        <w:t xml:space="preserve">Literature </w:t>
      </w:r>
      <w:r w:rsidR="00C451E9" w:rsidRPr="00301B60">
        <w:rPr>
          <w:sz w:val="24"/>
          <w:szCs w:val="24"/>
          <w:vertAlign w:val="superscript"/>
          <w:lang w:val="fr-FR"/>
        </w:rPr>
        <w:t>241</w:t>
      </w:r>
      <w:r w:rsidR="00C451E9" w:rsidRPr="00301B60">
        <w:rPr>
          <w:sz w:val="24"/>
          <w:szCs w:val="24"/>
          <w:lang w:val="fr-FR"/>
        </w:rPr>
        <w:t>Pu/</w:t>
      </w:r>
      <w:r w:rsidR="00C451E9" w:rsidRPr="00301B60">
        <w:rPr>
          <w:sz w:val="24"/>
          <w:szCs w:val="24"/>
          <w:vertAlign w:val="superscript"/>
          <w:lang w:val="fr-FR"/>
        </w:rPr>
        <w:t>239</w:t>
      </w:r>
      <w:r w:rsidR="00C451E9" w:rsidRPr="00301B60">
        <w:rPr>
          <w:sz w:val="24"/>
          <w:szCs w:val="24"/>
          <w:lang w:val="fr-FR"/>
        </w:rPr>
        <w:t>Pu ratios</w:t>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r>
      <w:r w:rsidR="00895AB7" w:rsidRPr="00301B60">
        <w:rPr>
          <w:sz w:val="24"/>
          <w:szCs w:val="24"/>
          <w:lang w:val="fr-FR"/>
        </w:rPr>
        <w:tab/>
        <w:t>10</w:t>
      </w:r>
      <w:r w:rsidR="008C128B" w:rsidRPr="00301B60">
        <w:rPr>
          <w:sz w:val="24"/>
          <w:szCs w:val="24"/>
          <w:lang w:val="fr-FR"/>
        </w:rPr>
        <w:t>6</w:t>
      </w:r>
    </w:p>
    <w:p w14:paraId="4F79A694" w14:textId="266F4D92" w:rsidR="00556DDA" w:rsidRPr="00301B60" w:rsidRDefault="00D35623" w:rsidP="0053440B">
      <w:pPr>
        <w:pStyle w:val="ListParagraph"/>
        <w:ind w:left="0"/>
        <w:rPr>
          <w:b/>
          <w:sz w:val="28"/>
          <w:lang w:val="fr-FR"/>
        </w:rPr>
      </w:pPr>
      <w:r>
        <w:rPr>
          <w:sz w:val="24"/>
          <w:szCs w:val="24"/>
          <w:lang w:val="fr-FR"/>
        </w:rPr>
        <w:t>3</w:t>
      </w:r>
      <w:r w:rsidR="00D166CA">
        <w:rPr>
          <w:sz w:val="24"/>
          <w:szCs w:val="24"/>
          <w:lang w:val="fr-FR"/>
        </w:rPr>
        <w:t>5</w:t>
      </w:r>
      <w:r w:rsidR="00C451E9" w:rsidRPr="00301B60">
        <w:rPr>
          <w:sz w:val="24"/>
          <w:szCs w:val="24"/>
          <w:lang w:val="fr-FR"/>
        </w:rPr>
        <w:tab/>
      </w:r>
      <w:r w:rsidR="00C141E9" w:rsidRPr="00301B60">
        <w:rPr>
          <w:sz w:val="24"/>
          <w:szCs w:val="24"/>
          <w:lang w:val="fr-FR"/>
        </w:rPr>
        <w:t xml:space="preserve">Literature </w:t>
      </w:r>
      <w:r w:rsidR="00C141E9" w:rsidRPr="00301B60">
        <w:rPr>
          <w:vertAlign w:val="superscript"/>
          <w:lang w:val="fr-FR"/>
        </w:rPr>
        <w:t>242</w:t>
      </w:r>
      <w:r w:rsidR="00C141E9" w:rsidRPr="00301B60">
        <w:rPr>
          <w:lang w:val="fr-FR"/>
        </w:rPr>
        <w:t>Pu/</w:t>
      </w:r>
      <w:r w:rsidR="00C141E9" w:rsidRPr="00301B60">
        <w:rPr>
          <w:vertAlign w:val="superscript"/>
          <w:lang w:val="fr-FR"/>
        </w:rPr>
        <w:t>239</w:t>
      </w:r>
      <w:r w:rsidR="00C141E9" w:rsidRPr="00301B60">
        <w:rPr>
          <w:lang w:val="fr-FR"/>
        </w:rPr>
        <w:t>Pu ratios</w:t>
      </w:r>
      <w:r w:rsidR="00895AB7" w:rsidRPr="00301B60">
        <w:rPr>
          <w:lang w:val="fr-FR"/>
        </w:rPr>
        <w:tab/>
      </w:r>
      <w:r w:rsidR="00895AB7" w:rsidRPr="00301B60">
        <w:rPr>
          <w:lang w:val="fr-FR"/>
        </w:rPr>
        <w:tab/>
      </w:r>
      <w:r w:rsidR="00895AB7" w:rsidRPr="00301B60">
        <w:rPr>
          <w:lang w:val="fr-FR"/>
        </w:rPr>
        <w:tab/>
      </w:r>
      <w:r w:rsidR="00895AB7" w:rsidRPr="00301B60">
        <w:rPr>
          <w:lang w:val="fr-FR"/>
        </w:rPr>
        <w:tab/>
      </w:r>
      <w:r w:rsidR="00895AB7" w:rsidRPr="00301B60">
        <w:rPr>
          <w:lang w:val="fr-FR"/>
        </w:rPr>
        <w:tab/>
      </w:r>
      <w:r w:rsidR="00895AB7" w:rsidRPr="00301B60">
        <w:rPr>
          <w:lang w:val="fr-FR"/>
        </w:rPr>
        <w:tab/>
      </w:r>
      <w:r w:rsidR="00895AB7" w:rsidRPr="00301B60">
        <w:rPr>
          <w:lang w:val="fr-FR"/>
        </w:rPr>
        <w:tab/>
        <w:t>1</w:t>
      </w:r>
      <w:r w:rsidR="008C128B" w:rsidRPr="00301B60">
        <w:rPr>
          <w:lang w:val="fr-FR"/>
        </w:rPr>
        <w:t>09</w:t>
      </w:r>
      <w:r w:rsidR="00556DDA" w:rsidRPr="00301B60">
        <w:rPr>
          <w:b/>
          <w:sz w:val="28"/>
          <w:lang w:val="fr-FR"/>
        </w:rPr>
        <w:br w:type="page"/>
      </w:r>
    </w:p>
    <w:p w14:paraId="08F86857" w14:textId="0717DD2F" w:rsidR="00556DDA" w:rsidRPr="00301B60" w:rsidRDefault="00556DDA" w:rsidP="00556DDA">
      <w:pPr>
        <w:rPr>
          <w:b/>
          <w:sz w:val="40"/>
          <w:lang w:val="fr-FR"/>
        </w:rPr>
      </w:pPr>
      <w:r w:rsidRPr="00301B60">
        <w:rPr>
          <w:b/>
          <w:sz w:val="40"/>
          <w:lang w:val="fr-FR"/>
        </w:rPr>
        <w:lastRenderedPageBreak/>
        <w:t>List of Tables</w:t>
      </w:r>
    </w:p>
    <w:p w14:paraId="7C266C20" w14:textId="27577527" w:rsidR="00F07CE1" w:rsidRPr="0053440B" w:rsidRDefault="00F840D7" w:rsidP="00556DDA">
      <w:pPr>
        <w:rPr>
          <w:b/>
          <w:sz w:val="24"/>
        </w:rPr>
      </w:pPr>
      <w:r w:rsidRPr="00301B60">
        <w:rPr>
          <w:sz w:val="24"/>
          <w:lang w:val="fr-FR"/>
        </w:rPr>
        <w:tab/>
      </w:r>
      <w:r w:rsidRPr="00301B60">
        <w:rPr>
          <w:sz w:val="24"/>
          <w:lang w:val="fr-FR"/>
        </w:rPr>
        <w:tab/>
      </w:r>
      <w:r w:rsidRPr="00301B60">
        <w:rPr>
          <w:sz w:val="24"/>
          <w:lang w:val="fr-FR"/>
        </w:rPr>
        <w:tab/>
      </w:r>
      <w:r w:rsidRPr="00301B60">
        <w:rPr>
          <w:sz w:val="24"/>
          <w:lang w:val="fr-FR"/>
        </w:rPr>
        <w:tab/>
      </w:r>
      <w:r w:rsidRPr="00301B60">
        <w:rPr>
          <w:sz w:val="24"/>
          <w:lang w:val="fr-FR"/>
        </w:rPr>
        <w:tab/>
      </w:r>
      <w:r w:rsidRPr="00301B60">
        <w:rPr>
          <w:sz w:val="24"/>
          <w:lang w:val="fr-FR"/>
        </w:rPr>
        <w:tab/>
      </w:r>
      <w:r w:rsidRPr="00301B60">
        <w:rPr>
          <w:sz w:val="24"/>
          <w:lang w:val="fr-FR"/>
        </w:rPr>
        <w:tab/>
      </w:r>
      <w:r w:rsidRPr="00301B60">
        <w:rPr>
          <w:sz w:val="24"/>
          <w:lang w:val="fr-FR"/>
        </w:rPr>
        <w:tab/>
      </w:r>
      <w:r w:rsidRPr="00301B60">
        <w:rPr>
          <w:sz w:val="24"/>
          <w:lang w:val="fr-FR"/>
        </w:rPr>
        <w:tab/>
      </w:r>
      <w:r w:rsidRPr="00301B60">
        <w:rPr>
          <w:sz w:val="24"/>
          <w:lang w:val="fr-FR"/>
        </w:rPr>
        <w:tab/>
      </w:r>
      <w:r w:rsidR="00A316C7">
        <w:rPr>
          <w:sz w:val="24"/>
          <w:lang w:val="fr-FR"/>
        </w:rPr>
        <w:tab/>
      </w:r>
      <w:r w:rsidRPr="0053440B">
        <w:rPr>
          <w:b/>
          <w:sz w:val="24"/>
        </w:rPr>
        <w:t>Page</w:t>
      </w:r>
      <w:r w:rsidR="00B97C40" w:rsidRPr="0053440B">
        <w:rPr>
          <w:b/>
          <w:sz w:val="24"/>
        </w:rPr>
        <w:t xml:space="preserve"> No.</w:t>
      </w:r>
    </w:p>
    <w:p w14:paraId="09280496" w14:textId="2CC664B7" w:rsidR="00BE69E0" w:rsidRDefault="00BE69E0" w:rsidP="00556DDA">
      <w:pPr>
        <w:rPr>
          <w:sz w:val="24"/>
        </w:rPr>
      </w:pPr>
      <w:r>
        <w:rPr>
          <w:sz w:val="24"/>
        </w:rPr>
        <w:t>1</w:t>
      </w:r>
      <w:r>
        <w:rPr>
          <w:sz w:val="24"/>
        </w:rPr>
        <w:tab/>
        <w:t>Average neutron count per detector</w:t>
      </w:r>
      <w:r w:rsidR="00AA5993">
        <w:rPr>
          <w:sz w:val="24"/>
        </w:rPr>
        <w:tab/>
      </w:r>
      <w:r w:rsidR="00AA5993">
        <w:rPr>
          <w:sz w:val="24"/>
        </w:rPr>
        <w:tab/>
      </w:r>
      <w:r w:rsidR="00F840D7">
        <w:rPr>
          <w:sz w:val="24"/>
        </w:rPr>
        <w:tab/>
      </w:r>
      <w:r w:rsidR="00F840D7">
        <w:rPr>
          <w:sz w:val="24"/>
        </w:rPr>
        <w:tab/>
      </w:r>
      <w:r w:rsidR="00F840D7">
        <w:rPr>
          <w:sz w:val="24"/>
        </w:rPr>
        <w:tab/>
      </w:r>
      <w:r w:rsidR="00F840D7">
        <w:rPr>
          <w:sz w:val="24"/>
        </w:rPr>
        <w:tab/>
        <w:t>8</w:t>
      </w:r>
      <w:r w:rsidR="002C1C15">
        <w:rPr>
          <w:sz w:val="24"/>
        </w:rPr>
        <w:t>2</w:t>
      </w:r>
    </w:p>
    <w:p w14:paraId="112BBFC4" w14:textId="1E7B63CA" w:rsidR="00BE69E0" w:rsidRPr="00301B60" w:rsidRDefault="00BE69E0" w:rsidP="00556DDA">
      <w:pPr>
        <w:rPr>
          <w:sz w:val="24"/>
          <w:lang w:val="fr-FR"/>
        </w:rPr>
      </w:pPr>
      <w:r w:rsidRPr="00301B60">
        <w:rPr>
          <w:sz w:val="24"/>
          <w:lang w:val="fr-FR"/>
        </w:rPr>
        <w:t>2</w:t>
      </w:r>
      <w:r w:rsidRPr="00301B60">
        <w:rPr>
          <w:sz w:val="24"/>
          <w:lang w:val="fr-FR"/>
        </w:rPr>
        <w:tab/>
        <w:t>Global average plutonium isotope ratios</w:t>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r>
      <w:r w:rsidR="008C128B" w:rsidRPr="00301B60">
        <w:rPr>
          <w:sz w:val="24"/>
          <w:lang w:val="fr-FR"/>
        </w:rPr>
        <w:t>101</w:t>
      </w:r>
    </w:p>
    <w:p w14:paraId="72A7E373" w14:textId="42C78C19" w:rsidR="00BE69E0" w:rsidRPr="00301B60" w:rsidRDefault="00BE69E0" w:rsidP="00556DDA">
      <w:pPr>
        <w:rPr>
          <w:sz w:val="24"/>
          <w:lang w:val="fr-FR"/>
        </w:rPr>
      </w:pPr>
      <w:r w:rsidRPr="00301B60">
        <w:rPr>
          <w:sz w:val="24"/>
          <w:lang w:val="fr-FR"/>
        </w:rPr>
        <w:t>3</w:t>
      </w:r>
      <w:r w:rsidRPr="00301B60">
        <w:rPr>
          <w:sz w:val="24"/>
          <w:lang w:val="fr-FR"/>
        </w:rPr>
        <w:tab/>
      </w:r>
      <w:r w:rsidRPr="00301B60">
        <w:rPr>
          <w:sz w:val="24"/>
          <w:vertAlign w:val="superscript"/>
          <w:lang w:val="fr-FR"/>
        </w:rPr>
        <w:t>240</w:t>
      </w:r>
      <w:r w:rsidRPr="00301B60">
        <w:rPr>
          <w:sz w:val="24"/>
          <w:lang w:val="fr-FR"/>
        </w:rPr>
        <w:t>Pu/</w:t>
      </w:r>
      <w:r w:rsidRPr="00301B60">
        <w:rPr>
          <w:sz w:val="24"/>
          <w:vertAlign w:val="superscript"/>
          <w:lang w:val="fr-FR"/>
        </w:rPr>
        <w:t>239</w:t>
      </w:r>
      <w:r w:rsidRPr="00301B60">
        <w:rPr>
          <w:sz w:val="24"/>
          <w:lang w:val="fr-FR"/>
        </w:rPr>
        <w:t>Pu ratios</w:t>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r>
      <w:r w:rsidR="008C128B" w:rsidRPr="00301B60">
        <w:rPr>
          <w:sz w:val="24"/>
          <w:lang w:val="fr-FR"/>
        </w:rPr>
        <w:t>102</w:t>
      </w:r>
    </w:p>
    <w:p w14:paraId="60E36E5D" w14:textId="1A2126CF" w:rsidR="00BE69E0" w:rsidRPr="00301B60" w:rsidRDefault="00BE69E0" w:rsidP="00556DDA">
      <w:pPr>
        <w:rPr>
          <w:sz w:val="24"/>
          <w:lang w:val="fr-FR"/>
        </w:rPr>
      </w:pPr>
      <w:r w:rsidRPr="00301B60">
        <w:rPr>
          <w:sz w:val="24"/>
          <w:lang w:val="fr-FR"/>
        </w:rPr>
        <w:t>4</w:t>
      </w:r>
      <w:r w:rsidRPr="00301B60">
        <w:rPr>
          <w:sz w:val="24"/>
          <w:lang w:val="fr-FR"/>
        </w:rPr>
        <w:tab/>
      </w:r>
      <w:r w:rsidRPr="00301B60">
        <w:rPr>
          <w:sz w:val="24"/>
          <w:vertAlign w:val="superscript"/>
          <w:lang w:val="fr-FR"/>
        </w:rPr>
        <w:t>241</w:t>
      </w:r>
      <w:r w:rsidRPr="00301B60">
        <w:rPr>
          <w:sz w:val="24"/>
          <w:lang w:val="fr-FR"/>
        </w:rPr>
        <w:t>Pu/</w:t>
      </w:r>
      <w:r w:rsidRPr="00301B60">
        <w:rPr>
          <w:sz w:val="24"/>
          <w:vertAlign w:val="superscript"/>
          <w:lang w:val="fr-FR"/>
        </w:rPr>
        <w:t>239</w:t>
      </w:r>
      <w:r w:rsidRPr="00301B60">
        <w:rPr>
          <w:sz w:val="24"/>
          <w:lang w:val="fr-FR"/>
        </w:rPr>
        <w:t>Pu ratios</w:t>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t>10</w:t>
      </w:r>
      <w:r w:rsidR="008C128B" w:rsidRPr="00301B60">
        <w:rPr>
          <w:sz w:val="24"/>
          <w:lang w:val="fr-FR"/>
        </w:rPr>
        <w:t>5</w:t>
      </w:r>
    </w:p>
    <w:p w14:paraId="56F91292" w14:textId="4F02E5CB" w:rsidR="00BE69E0" w:rsidRPr="00301B60" w:rsidRDefault="00BE69E0" w:rsidP="00556DDA">
      <w:pPr>
        <w:rPr>
          <w:sz w:val="24"/>
          <w:lang w:val="fr-FR"/>
        </w:rPr>
      </w:pPr>
      <w:r w:rsidRPr="00301B60">
        <w:rPr>
          <w:sz w:val="24"/>
          <w:lang w:val="fr-FR"/>
        </w:rPr>
        <w:t>5</w:t>
      </w:r>
      <w:r w:rsidRPr="00301B60">
        <w:rPr>
          <w:sz w:val="24"/>
          <w:lang w:val="fr-FR"/>
        </w:rPr>
        <w:tab/>
      </w:r>
      <w:r w:rsidRPr="00301B60">
        <w:rPr>
          <w:sz w:val="24"/>
          <w:vertAlign w:val="superscript"/>
          <w:lang w:val="fr-FR"/>
        </w:rPr>
        <w:t>242</w:t>
      </w:r>
      <w:r w:rsidRPr="00301B60">
        <w:rPr>
          <w:sz w:val="24"/>
          <w:lang w:val="fr-FR"/>
        </w:rPr>
        <w:t>Pu/</w:t>
      </w:r>
      <w:r w:rsidRPr="00301B60">
        <w:rPr>
          <w:sz w:val="24"/>
          <w:vertAlign w:val="superscript"/>
          <w:lang w:val="fr-FR"/>
        </w:rPr>
        <w:t>239</w:t>
      </w:r>
      <w:r w:rsidRPr="00301B60">
        <w:rPr>
          <w:sz w:val="24"/>
          <w:lang w:val="fr-FR"/>
        </w:rPr>
        <w:t>Pu ratios</w:t>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r>
      <w:r w:rsidR="00F840D7" w:rsidRPr="00301B60">
        <w:rPr>
          <w:sz w:val="24"/>
          <w:lang w:val="fr-FR"/>
        </w:rPr>
        <w:tab/>
        <w:t>10</w:t>
      </w:r>
      <w:r w:rsidR="008C128B" w:rsidRPr="00301B60">
        <w:rPr>
          <w:sz w:val="24"/>
          <w:lang w:val="fr-FR"/>
        </w:rPr>
        <w:t>8</w:t>
      </w:r>
    </w:p>
    <w:p w14:paraId="112F5253" w14:textId="77777777" w:rsidR="00556DDA" w:rsidRPr="00301B60" w:rsidRDefault="00556DDA">
      <w:pPr>
        <w:rPr>
          <w:b/>
          <w:sz w:val="32"/>
          <w:lang w:val="fr-FR"/>
        </w:rPr>
      </w:pPr>
      <w:r w:rsidRPr="00301B60">
        <w:rPr>
          <w:b/>
          <w:sz w:val="32"/>
          <w:lang w:val="fr-FR"/>
        </w:rPr>
        <w:br w:type="page"/>
      </w:r>
    </w:p>
    <w:p w14:paraId="1475CB5F" w14:textId="4E6B9B3D" w:rsidR="00887B67" w:rsidRPr="00301B60" w:rsidRDefault="00887B67" w:rsidP="00CF76FA">
      <w:pPr>
        <w:rPr>
          <w:b/>
          <w:sz w:val="40"/>
          <w:lang w:val="fr-FR"/>
        </w:rPr>
      </w:pPr>
      <w:r w:rsidRPr="00301B60">
        <w:rPr>
          <w:b/>
          <w:sz w:val="40"/>
          <w:lang w:val="fr-FR"/>
        </w:rPr>
        <w:lastRenderedPageBreak/>
        <w:t>Contents</w:t>
      </w:r>
    </w:p>
    <w:p w14:paraId="02CDEE65" w14:textId="02925362" w:rsidR="00887B67" w:rsidRPr="00301B60" w:rsidRDefault="00B97C40" w:rsidP="00CF76FA">
      <w:pPr>
        <w:rPr>
          <w:b/>
          <w:sz w:val="32"/>
          <w:lang w:val="fr-FR"/>
        </w:rPr>
      </w:pPr>
      <w:r w:rsidRPr="00301B60">
        <w:rPr>
          <w:b/>
          <w:sz w:val="32"/>
          <w:lang w:val="fr-FR"/>
        </w:rPr>
        <w:tab/>
      </w:r>
      <w:r w:rsidRPr="00301B60">
        <w:rPr>
          <w:b/>
          <w:sz w:val="32"/>
          <w:lang w:val="fr-FR"/>
        </w:rPr>
        <w:tab/>
      </w:r>
      <w:r w:rsidRPr="00301B60">
        <w:rPr>
          <w:b/>
          <w:sz w:val="32"/>
          <w:lang w:val="fr-FR"/>
        </w:rPr>
        <w:tab/>
      </w:r>
      <w:r w:rsidRPr="00301B60">
        <w:rPr>
          <w:b/>
          <w:sz w:val="32"/>
          <w:lang w:val="fr-FR"/>
        </w:rPr>
        <w:tab/>
      </w:r>
      <w:r w:rsidRPr="00301B60">
        <w:rPr>
          <w:b/>
          <w:sz w:val="32"/>
          <w:lang w:val="fr-FR"/>
        </w:rPr>
        <w:tab/>
      </w:r>
      <w:r w:rsidRPr="00301B60">
        <w:rPr>
          <w:b/>
          <w:sz w:val="32"/>
          <w:lang w:val="fr-FR"/>
        </w:rPr>
        <w:tab/>
      </w:r>
      <w:r w:rsidRPr="00301B60">
        <w:rPr>
          <w:b/>
          <w:sz w:val="32"/>
          <w:lang w:val="fr-FR"/>
        </w:rPr>
        <w:tab/>
      </w:r>
      <w:r w:rsidRPr="00301B60">
        <w:rPr>
          <w:b/>
          <w:sz w:val="32"/>
          <w:lang w:val="fr-FR"/>
        </w:rPr>
        <w:tab/>
      </w:r>
      <w:r w:rsidRPr="00301B60">
        <w:rPr>
          <w:b/>
          <w:sz w:val="32"/>
          <w:lang w:val="fr-FR"/>
        </w:rPr>
        <w:tab/>
      </w:r>
      <w:r w:rsidRPr="00301B60">
        <w:rPr>
          <w:b/>
          <w:sz w:val="32"/>
          <w:lang w:val="fr-FR"/>
        </w:rPr>
        <w:tab/>
        <w:t>Page No.</w:t>
      </w:r>
    </w:p>
    <w:p w14:paraId="65373556" w14:textId="3D0C4E1E" w:rsidR="00887B67" w:rsidRDefault="00887B67" w:rsidP="00CF76FA">
      <w:pPr>
        <w:rPr>
          <w:b/>
          <w:sz w:val="28"/>
        </w:rPr>
      </w:pPr>
      <w:r>
        <w:rPr>
          <w:b/>
          <w:sz w:val="28"/>
        </w:rPr>
        <w:t>Acknowledgements</w:t>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t>2</w:t>
      </w:r>
    </w:p>
    <w:p w14:paraId="0F5D5598" w14:textId="1C1DA5E6" w:rsidR="00887B67" w:rsidRDefault="00887B67" w:rsidP="00CF76FA">
      <w:pPr>
        <w:rPr>
          <w:b/>
          <w:sz w:val="28"/>
        </w:rPr>
      </w:pPr>
      <w:r>
        <w:rPr>
          <w:b/>
          <w:sz w:val="28"/>
        </w:rPr>
        <w:t>Abstract</w:t>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t>4</w:t>
      </w:r>
    </w:p>
    <w:p w14:paraId="431FDF33" w14:textId="632F1062" w:rsidR="00887B67" w:rsidRDefault="00887B67" w:rsidP="00CF76FA">
      <w:pPr>
        <w:rPr>
          <w:b/>
          <w:sz w:val="28"/>
        </w:rPr>
      </w:pPr>
      <w:r>
        <w:rPr>
          <w:b/>
          <w:sz w:val="28"/>
        </w:rPr>
        <w:t>Declaration</w:t>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t>5</w:t>
      </w:r>
    </w:p>
    <w:p w14:paraId="0E45AF1C" w14:textId="0DD7BE56" w:rsidR="00887B67" w:rsidRDefault="00887B67" w:rsidP="00CF76FA">
      <w:pPr>
        <w:rPr>
          <w:b/>
          <w:sz w:val="28"/>
        </w:rPr>
      </w:pPr>
      <w:r>
        <w:rPr>
          <w:b/>
          <w:sz w:val="28"/>
        </w:rPr>
        <w:t>List of figures</w:t>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t>6</w:t>
      </w:r>
    </w:p>
    <w:p w14:paraId="746AE7A8" w14:textId="6AB63AA4" w:rsidR="00887B67" w:rsidRDefault="00887B67" w:rsidP="00CF76FA">
      <w:pPr>
        <w:rPr>
          <w:b/>
          <w:sz w:val="28"/>
        </w:rPr>
      </w:pPr>
      <w:r>
        <w:rPr>
          <w:b/>
          <w:sz w:val="28"/>
        </w:rPr>
        <w:t>List of tables</w:t>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t>7</w:t>
      </w:r>
    </w:p>
    <w:p w14:paraId="4B5211DB" w14:textId="05D4D872" w:rsidR="001002FC" w:rsidRDefault="001002FC" w:rsidP="00CF76FA">
      <w:pPr>
        <w:rPr>
          <w:b/>
          <w:sz w:val="28"/>
        </w:rPr>
      </w:pPr>
      <w:r>
        <w:rPr>
          <w:b/>
          <w:sz w:val="28"/>
        </w:rPr>
        <w:t>Contents</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8</w:t>
      </w:r>
    </w:p>
    <w:p w14:paraId="7ACB8CE7" w14:textId="4B55F0D3" w:rsidR="00887B67" w:rsidRDefault="00887B67" w:rsidP="000C3026">
      <w:pPr>
        <w:pStyle w:val="ListParagraph"/>
        <w:numPr>
          <w:ilvl w:val="0"/>
          <w:numId w:val="3"/>
        </w:numPr>
        <w:rPr>
          <w:b/>
          <w:sz w:val="28"/>
        </w:rPr>
      </w:pPr>
      <w:r w:rsidRPr="00513943">
        <w:rPr>
          <w:b/>
          <w:sz w:val="28"/>
        </w:rPr>
        <w:t>Introduction</w:t>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r>
      <w:r w:rsidR="001002FC">
        <w:rPr>
          <w:b/>
          <w:sz w:val="28"/>
        </w:rPr>
        <w:tab/>
        <w:t>10</w:t>
      </w:r>
    </w:p>
    <w:p w14:paraId="2C283B76" w14:textId="16272955" w:rsidR="0058478C" w:rsidRDefault="001002FC" w:rsidP="0058478C">
      <w:pPr>
        <w:pStyle w:val="ListParagraph"/>
        <w:numPr>
          <w:ilvl w:val="1"/>
          <w:numId w:val="3"/>
        </w:numPr>
        <w:rPr>
          <w:sz w:val="28"/>
        </w:rPr>
      </w:pPr>
      <w:r>
        <w:rPr>
          <w:sz w:val="28"/>
        </w:rPr>
        <w:t xml:space="preserve"> </w:t>
      </w:r>
      <w:r w:rsidR="0058478C">
        <w:rPr>
          <w:sz w:val="28"/>
        </w:rPr>
        <w:t>Radioactivity in the Environment</w:t>
      </w:r>
      <w:r w:rsidR="0031342C">
        <w:rPr>
          <w:sz w:val="28"/>
        </w:rPr>
        <w:tab/>
      </w:r>
      <w:r w:rsidR="0031342C">
        <w:rPr>
          <w:sz w:val="28"/>
        </w:rPr>
        <w:tab/>
      </w:r>
      <w:r w:rsidR="0031342C">
        <w:rPr>
          <w:sz w:val="28"/>
        </w:rPr>
        <w:tab/>
      </w:r>
      <w:r w:rsidR="0031342C">
        <w:rPr>
          <w:sz w:val="28"/>
        </w:rPr>
        <w:tab/>
      </w:r>
      <w:r w:rsidR="0031342C">
        <w:rPr>
          <w:sz w:val="28"/>
        </w:rPr>
        <w:tab/>
      </w:r>
      <w:r w:rsidR="001938F3">
        <w:rPr>
          <w:sz w:val="28"/>
        </w:rPr>
        <w:t>1</w:t>
      </w:r>
      <w:r w:rsidR="00D610E2">
        <w:rPr>
          <w:sz w:val="28"/>
        </w:rPr>
        <w:t>2</w:t>
      </w:r>
    </w:p>
    <w:p w14:paraId="7FC1C642" w14:textId="1F97109E" w:rsidR="0058478C" w:rsidRDefault="0058478C" w:rsidP="0058478C">
      <w:pPr>
        <w:pStyle w:val="ListParagraph"/>
        <w:numPr>
          <w:ilvl w:val="1"/>
          <w:numId w:val="3"/>
        </w:numPr>
        <w:rPr>
          <w:sz w:val="28"/>
        </w:rPr>
      </w:pPr>
      <w:r>
        <w:rPr>
          <w:sz w:val="28"/>
        </w:rPr>
        <w:t xml:space="preserve"> Dounreay History</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1</w:t>
      </w:r>
      <w:r w:rsidR="008C128B">
        <w:rPr>
          <w:sz w:val="28"/>
        </w:rPr>
        <w:t>6</w:t>
      </w:r>
    </w:p>
    <w:p w14:paraId="38E50198" w14:textId="626C64E5" w:rsidR="0058478C" w:rsidRDefault="0058478C" w:rsidP="0058478C">
      <w:pPr>
        <w:pStyle w:val="ListParagraph"/>
        <w:numPr>
          <w:ilvl w:val="1"/>
          <w:numId w:val="3"/>
        </w:numPr>
        <w:rPr>
          <w:sz w:val="28"/>
        </w:rPr>
      </w:pPr>
      <w:r>
        <w:rPr>
          <w:sz w:val="28"/>
        </w:rPr>
        <w:t xml:space="preserve"> DSRL Objectives</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1</w:t>
      </w:r>
      <w:r w:rsidR="008C128B">
        <w:rPr>
          <w:sz w:val="28"/>
        </w:rPr>
        <w:t>9</w:t>
      </w:r>
    </w:p>
    <w:p w14:paraId="7C72DE5E" w14:textId="3915BF56" w:rsidR="0058478C" w:rsidRDefault="0058478C" w:rsidP="0058478C">
      <w:pPr>
        <w:pStyle w:val="ListParagraph"/>
        <w:numPr>
          <w:ilvl w:val="1"/>
          <w:numId w:val="3"/>
        </w:numPr>
        <w:rPr>
          <w:sz w:val="28"/>
        </w:rPr>
      </w:pPr>
      <w:r>
        <w:rPr>
          <w:sz w:val="28"/>
        </w:rPr>
        <w:t xml:space="preserve"> Methods of Analysis</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8C128B">
        <w:rPr>
          <w:sz w:val="28"/>
        </w:rPr>
        <w:t>20</w:t>
      </w:r>
    </w:p>
    <w:p w14:paraId="1DBDB1CA" w14:textId="0A865D10" w:rsidR="0058478C" w:rsidRDefault="0058478C" w:rsidP="0058478C">
      <w:pPr>
        <w:pStyle w:val="ListParagraph"/>
        <w:numPr>
          <w:ilvl w:val="1"/>
          <w:numId w:val="3"/>
        </w:numPr>
        <w:rPr>
          <w:sz w:val="28"/>
        </w:rPr>
      </w:pPr>
      <w:r>
        <w:rPr>
          <w:sz w:val="28"/>
        </w:rPr>
        <w:t xml:space="preserve"> Neutron Measurements</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2</w:t>
      </w:r>
      <w:r w:rsidR="008C128B">
        <w:rPr>
          <w:sz w:val="28"/>
        </w:rPr>
        <w:t>3</w:t>
      </w:r>
    </w:p>
    <w:p w14:paraId="4D8D16B6" w14:textId="1D233BF8" w:rsidR="0058478C" w:rsidRDefault="0058478C" w:rsidP="0058478C">
      <w:pPr>
        <w:pStyle w:val="ListParagraph"/>
        <w:numPr>
          <w:ilvl w:val="1"/>
          <w:numId w:val="3"/>
        </w:numPr>
        <w:rPr>
          <w:sz w:val="28"/>
        </w:rPr>
      </w:pPr>
      <w:r>
        <w:rPr>
          <w:sz w:val="28"/>
        </w:rPr>
        <w:t xml:space="preserve"> Gamma-Ray Spectrometry</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2</w:t>
      </w:r>
      <w:r w:rsidR="008C128B">
        <w:rPr>
          <w:sz w:val="28"/>
        </w:rPr>
        <w:t>7</w:t>
      </w:r>
    </w:p>
    <w:p w14:paraId="60657764" w14:textId="3435A0A2" w:rsidR="0058478C" w:rsidRDefault="0058478C" w:rsidP="0058478C">
      <w:pPr>
        <w:pStyle w:val="ListParagraph"/>
        <w:numPr>
          <w:ilvl w:val="1"/>
          <w:numId w:val="3"/>
        </w:numPr>
        <w:rPr>
          <w:sz w:val="28"/>
        </w:rPr>
      </w:pPr>
      <w:r>
        <w:rPr>
          <w:sz w:val="28"/>
        </w:rPr>
        <w:t xml:space="preserve"> </w:t>
      </w:r>
      <w:r w:rsidR="008C128B">
        <w:rPr>
          <w:sz w:val="28"/>
        </w:rPr>
        <w:t xml:space="preserve">Accelerator </w:t>
      </w:r>
      <w:r w:rsidR="00702B95">
        <w:rPr>
          <w:sz w:val="28"/>
        </w:rPr>
        <w:t>Mass Spectrometry</w:t>
      </w:r>
      <w:r w:rsidR="001938F3">
        <w:rPr>
          <w:sz w:val="28"/>
        </w:rPr>
        <w:tab/>
      </w:r>
      <w:r w:rsidR="001938F3">
        <w:rPr>
          <w:sz w:val="28"/>
        </w:rPr>
        <w:tab/>
      </w:r>
      <w:r w:rsidR="001938F3">
        <w:rPr>
          <w:sz w:val="28"/>
        </w:rPr>
        <w:tab/>
      </w:r>
      <w:r w:rsidR="001938F3">
        <w:rPr>
          <w:sz w:val="28"/>
        </w:rPr>
        <w:tab/>
      </w:r>
      <w:r w:rsidR="001938F3">
        <w:rPr>
          <w:sz w:val="28"/>
        </w:rPr>
        <w:tab/>
        <w:t>2</w:t>
      </w:r>
      <w:r w:rsidR="008C128B">
        <w:rPr>
          <w:sz w:val="28"/>
        </w:rPr>
        <w:t>8</w:t>
      </w:r>
    </w:p>
    <w:p w14:paraId="057B0E5F" w14:textId="4D141686" w:rsidR="0096138F" w:rsidRPr="0058478C" w:rsidRDefault="00922277" w:rsidP="0058478C">
      <w:pPr>
        <w:pStyle w:val="ListParagraph"/>
        <w:numPr>
          <w:ilvl w:val="1"/>
          <w:numId w:val="3"/>
        </w:numPr>
        <w:rPr>
          <w:sz w:val="28"/>
        </w:rPr>
      </w:pPr>
      <w:r>
        <w:rPr>
          <w:sz w:val="28"/>
        </w:rPr>
        <w:t xml:space="preserve"> Summary</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29</w:t>
      </w:r>
    </w:p>
    <w:p w14:paraId="040D7253" w14:textId="7A4C6B3C" w:rsidR="00887B67" w:rsidRDefault="00513943" w:rsidP="000C3026">
      <w:pPr>
        <w:pStyle w:val="ListParagraph"/>
        <w:numPr>
          <w:ilvl w:val="0"/>
          <w:numId w:val="3"/>
        </w:numPr>
        <w:rPr>
          <w:b/>
          <w:sz w:val="28"/>
        </w:rPr>
      </w:pPr>
      <w:r w:rsidRPr="00513943">
        <w:rPr>
          <w:b/>
          <w:sz w:val="28"/>
        </w:rPr>
        <w:t>Experimental Methods</w:t>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r>
      <w:r w:rsidR="008C128B">
        <w:rPr>
          <w:b/>
          <w:sz w:val="28"/>
        </w:rPr>
        <w:t>30</w:t>
      </w:r>
    </w:p>
    <w:p w14:paraId="6D00AF6A" w14:textId="1D65F06C" w:rsidR="004157F6" w:rsidRDefault="003F556D" w:rsidP="004157F6">
      <w:pPr>
        <w:pStyle w:val="ListParagraph"/>
        <w:ind w:left="360"/>
        <w:rPr>
          <w:sz w:val="28"/>
        </w:rPr>
      </w:pPr>
      <w:r>
        <w:rPr>
          <w:sz w:val="28"/>
        </w:rPr>
        <w:t>2.1. Samples</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8C128B">
        <w:rPr>
          <w:sz w:val="28"/>
        </w:rPr>
        <w:t>30</w:t>
      </w:r>
    </w:p>
    <w:p w14:paraId="7D3BD6A6" w14:textId="25F2BBB6" w:rsidR="003F556D" w:rsidRDefault="003F556D" w:rsidP="004157F6">
      <w:pPr>
        <w:pStyle w:val="ListParagraph"/>
        <w:ind w:left="360"/>
        <w:rPr>
          <w:sz w:val="28"/>
        </w:rPr>
      </w:pPr>
      <w:r>
        <w:rPr>
          <w:sz w:val="28"/>
        </w:rPr>
        <w:t>2.2. Neutron Methods</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3</w:t>
      </w:r>
      <w:r w:rsidR="008C128B">
        <w:rPr>
          <w:sz w:val="28"/>
        </w:rPr>
        <w:t>2</w:t>
      </w:r>
    </w:p>
    <w:p w14:paraId="7FEA78A2" w14:textId="6D764031" w:rsidR="003F556D" w:rsidRDefault="003F556D" w:rsidP="004157F6">
      <w:pPr>
        <w:pStyle w:val="ListParagraph"/>
        <w:ind w:left="360"/>
        <w:rPr>
          <w:sz w:val="28"/>
        </w:rPr>
      </w:pPr>
      <w:r>
        <w:rPr>
          <w:sz w:val="28"/>
        </w:rPr>
        <w:tab/>
        <w:t>2.2.1. Neutron Detector Array Calibration</w:t>
      </w:r>
      <w:r w:rsidR="001938F3">
        <w:rPr>
          <w:sz w:val="28"/>
        </w:rPr>
        <w:tab/>
      </w:r>
      <w:r w:rsidR="001938F3">
        <w:rPr>
          <w:sz w:val="28"/>
        </w:rPr>
        <w:tab/>
      </w:r>
      <w:r w:rsidR="001938F3">
        <w:rPr>
          <w:sz w:val="28"/>
        </w:rPr>
        <w:tab/>
      </w:r>
      <w:r w:rsidR="001938F3">
        <w:rPr>
          <w:sz w:val="28"/>
        </w:rPr>
        <w:tab/>
        <w:t>3</w:t>
      </w:r>
      <w:r w:rsidR="00556058">
        <w:rPr>
          <w:sz w:val="28"/>
        </w:rPr>
        <w:t>3</w:t>
      </w:r>
    </w:p>
    <w:p w14:paraId="77787BAE" w14:textId="71C21C56" w:rsidR="003F556D" w:rsidRDefault="003F556D" w:rsidP="004157F6">
      <w:pPr>
        <w:pStyle w:val="ListParagraph"/>
        <w:ind w:left="360"/>
        <w:rPr>
          <w:sz w:val="28"/>
        </w:rPr>
      </w:pPr>
      <w:r>
        <w:rPr>
          <w:sz w:val="28"/>
        </w:rPr>
        <w:tab/>
        <w:t>2.2.2. Parallel-Array Neutron Measurements</w:t>
      </w:r>
      <w:r w:rsidR="001938F3">
        <w:rPr>
          <w:sz w:val="28"/>
        </w:rPr>
        <w:tab/>
      </w:r>
      <w:r w:rsidR="001938F3">
        <w:rPr>
          <w:sz w:val="28"/>
        </w:rPr>
        <w:tab/>
      </w:r>
      <w:r w:rsidR="001938F3">
        <w:rPr>
          <w:sz w:val="28"/>
        </w:rPr>
        <w:tab/>
        <w:t>3</w:t>
      </w:r>
      <w:r w:rsidR="00556058">
        <w:rPr>
          <w:sz w:val="28"/>
        </w:rPr>
        <w:t>5</w:t>
      </w:r>
    </w:p>
    <w:p w14:paraId="70025CF9" w14:textId="16583526" w:rsidR="003F556D" w:rsidRDefault="003F556D" w:rsidP="004157F6">
      <w:pPr>
        <w:pStyle w:val="ListParagraph"/>
        <w:ind w:left="360"/>
        <w:rPr>
          <w:sz w:val="28"/>
        </w:rPr>
      </w:pPr>
      <w:r>
        <w:rPr>
          <w:sz w:val="28"/>
        </w:rPr>
        <w:tab/>
        <w:t>2.2.3. 16-Detector Neutron Array Measurement</w:t>
      </w:r>
      <w:r w:rsidR="001938F3">
        <w:rPr>
          <w:sz w:val="28"/>
        </w:rPr>
        <w:tab/>
      </w:r>
      <w:r w:rsidR="001938F3">
        <w:rPr>
          <w:sz w:val="28"/>
        </w:rPr>
        <w:tab/>
      </w:r>
      <w:r w:rsidR="001938F3">
        <w:rPr>
          <w:sz w:val="28"/>
        </w:rPr>
        <w:tab/>
      </w:r>
      <w:r w:rsidR="00A10979">
        <w:rPr>
          <w:sz w:val="28"/>
        </w:rPr>
        <w:t>40</w:t>
      </w:r>
    </w:p>
    <w:p w14:paraId="32AAC3EC" w14:textId="4B4E197D" w:rsidR="003F556D" w:rsidRDefault="003F556D" w:rsidP="004157F6">
      <w:pPr>
        <w:pStyle w:val="ListParagraph"/>
        <w:ind w:left="360"/>
        <w:rPr>
          <w:sz w:val="28"/>
        </w:rPr>
      </w:pPr>
      <w:r>
        <w:rPr>
          <w:sz w:val="28"/>
        </w:rPr>
        <w:t>2.3. Gamma-Ray Spectrometry</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4</w:t>
      </w:r>
      <w:r w:rsidR="007530DA">
        <w:rPr>
          <w:sz w:val="28"/>
        </w:rPr>
        <w:t>7</w:t>
      </w:r>
    </w:p>
    <w:p w14:paraId="3F414C72" w14:textId="0EE36160" w:rsidR="003F556D" w:rsidRDefault="003F556D" w:rsidP="004157F6">
      <w:pPr>
        <w:pStyle w:val="ListParagraph"/>
        <w:ind w:left="360"/>
        <w:rPr>
          <w:sz w:val="28"/>
        </w:rPr>
      </w:pPr>
      <w:r>
        <w:rPr>
          <w:sz w:val="28"/>
        </w:rPr>
        <w:t>2.4. Accelerator Mass Spectrometry</w:t>
      </w:r>
      <w:r w:rsidR="001938F3">
        <w:rPr>
          <w:sz w:val="28"/>
        </w:rPr>
        <w:tab/>
      </w:r>
      <w:r w:rsidR="001938F3">
        <w:rPr>
          <w:sz w:val="28"/>
        </w:rPr>
        <w:tab/>
      </w:r>
      <w:r w:rsidR="001938F3">
        <w:rPr>
          <w:sz w:val="28"/>
        </w:rPr>
        <w:tab/>
      </w:r>
      <w:r w:rsidR="001938F3">
        <w:rPr>
          <w:sz w:val="28"/>
        </w:rPr>
        <w:tab/>
      </w:r>
      <w:r w:rsidR="001938F3">
        <w:rPr>
          <w:sz w:val="28"/>
        </w:rPr>
        <w:tab/>
      </w:r>
      <w:r w:rsidR="008C128B">
        <w:rPr>
          <w:sz w:val="28"/>
        </w:rPr>
        <w:t>5</w:t>
      </w:r>
      <w:r w:rsidR="008C0677">
        <w:rPr>
          <w:sz w:val="28"/>
        </w:rPr>
        <w:t>3</w:t>
      </w:r>
    </w:p>
    <w:p w14:paraId="5AE89BD1" w14:textId="68FA429D" w:rsidR="0059679B" w:rsidRPr="004157F6" w:rsidRDefault="0059679B" w:rsidP="004157F6">
      <w:pPr>
        <w:pStyle w:val="ListParagraph"/>
        <w:ind w:left="360"/>
        <w:rPr>
          <w:sz w:val="28"/>
        </w:rPr>
      </w:pPr>
      <w:r>
        <w:rPr>
          <w:sz w:val="28"/>
        </w:rPr>
        <w:tab/>
        <w:t>2.4.1. Sample Preparation</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8C128B">
        <w:rPr>
          <w:sz w:val="28"/>
        </w:rPr>
        <w:t>5</w:t>
      </w:r>
      <w:r w:rsidR="008C0677">
        <w:rPr>
          <w:sz w:val="28"/>
        </w:rPr>
        <w:t>3</w:t>
      </w:r>
    </w:p>
    <w:p w14:paraId="096925D0" w14:textId="4C135E1C" w:rsidR="00513943" w:rsidRDefault="00513943" w:rsidP="000C3026">
      <w:pPr>
        <w:pStyle w:val="ListParagraph"/>
        <w:numPr>
          <w:ilvl w:val="0"/>
          <w:numId w:val="3"/>
        </w:numPr>
        <w:rPr>
          <w:b/>
          <w:sz w:val="28"/>
        </w:rPr>
      </w:pPr>
      <w:r w:rsidRPr="00513943">
        <w:rPr>
          <w:b/>
          <w:sz w:val="28"/>
        </w:rPr>
        <w:t>Results</w:t>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t>5</w:t>
      </w:r>
      <w:r w:rsidR="00463624">
        <w:rPr>
          <w:b/>
          <w:sz w:val="28"/>
        </w:rPr>
        <w:t>9</w:t>
      </w:r>
    </w:p>
    <w:p w14:paraId="51833BC4" w14:textId="2F8DCA41" w:rsidR="00C248AF" w:rsidRDefault="0022145D" w:rsidP="0022145D">
      <w:pPr>
        <w:pStyle w:val="ListParagraph"/>
        <w:ind w:left="360"/>
        <w:rPr>
          <w:sz w:val="28"/>
        </w:rPr>
      </w:pPr>
      <w:r w:rsidRPr="00C248AF">
        <w:rPr>
          <w:sz w:val="28"/>
        </w:rPr>
        <w:t>3.1</w:t>
      </w:r>
      <w:r w:rsidRPr="00C248AF">
        <w:rPr>
          <w:sz w:val="28"/>
        </w:rPr>
        <w:tab/>
        <w:t>.</w:t>
      </w:r>
      <w:r w:rsidR="003F556D">
        <w:rPr>
          <w:sz w:val="28"/>
        </w:rPr>
        <w:t xml:space="preserve"> </w:t>
      </w:r>
      <w:r w:rsidR="00C248AF">
        <w:rPr>
          <w:sz w:val="28"/>
        </w:rPr>
        <w:t>Neutron Results</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B77BBC">
        <w:rPr>
          <w:sz w:val="28"/>
        </w:rPr>
        <w:t>61</w:t>
      </w:r>
    </w:p>
    <w:p w14:paraId="4AE32945" w14:textId="72E833D2" w:rsidR="0022145D" w:rsidRDefault="00C248AF" w:rsidP="0022145D">
      <w:pPr>
        <w:pStyle w:val="ListParagraph"/>
        <w:ind w:left="360"/>
        <w:rPr>
          <w:sz w:val="28"/>
        </w:rPr>
      </w:pPr>
      <w:r>
        <w:rPr>
          <w:sz w:val="28"/>
        </w:rPr>
        <w:tab/>
        <w:t>3.1.1. Parallel Neutron Array</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B77BBC">
        <w:rPr>
          <w:sz w:val="28"/>
        </w:rPr>
        <w:t>61</w:t>
      </w:r>
    </w:p>
    <w:p w14:paraId="5A438359" w14:textId="4678DD3F" w:rsidR="00C248AF" w:rsidRDefault="00C248AF" w:rsidP="0022145D">
      <w:pPr>
        <w:pStyle w:val="ListParagraph"/>
        <w:ind w:left="360"/>
        <w:rPr>
          <w:sz w:val="28"/>
        </w:rPr>
      </w:pPr>
      <w:r>
        <w:rPr>
          <w:sz w:val="28"/>
        </w:rPr>
        <w:tab/>
        <w:t>3.1.2. 16-Detector Neutron Array</w:t>
      </w:r>
      <w:r w:rsidR="001938F3">
        <w:rPr>
          <w:sz w:val="28"/>
        </w:rPr>
        <w:tab/>
      </w:r>
      <w:r w:rsidR="001938F3">
        <w:rPr>
          <w:sz w:val="28"/>
        </w:rPr>
        <w:tab/>
      </w:r>
      <w:r w:rsidR="001938F3">
        <w:rPr>
          <w:sz w:val="28"/>
        </w:rPr>
        <w:tab/>
      </w:r>
      <w:r w:rsidR="001938F3">
        <w:rPr>
          <w:sz w:val="28"/>
        </w:rPr>
        <w:tab/>
      </w:r>
      <w:r w:rsidR="001938F3">
        <w:rPr>
          <w:sz w:val="28"/>
        </w:rPr>
        <w:tab/>
      </w:r>
      <w:r w:rsidR="00162965">
        <w:rPr>
          <w:sz w:val="28"/>
        </w:rPr>
        <w:t>6</w:t>
      </w:r>
      <w:r w:rsidR="00B77BBC">
        <w:rPr>
          <w:sz w:val="28"/>
        </w:rPr>
        <w:t>3</w:t>
      </w:r>
    </w:p>
    <w:p w14:paraId="4AF9C28F" w14:textId="67D0FDDC" w:rsidR="00C248AF" w:rsidRDefault="00C248AF" w:rsidP="0022145D">
      <w:pPr>
        <w:pStyle w:val="ListParagraph"/>
        <w:ind w:left="360"/>
        <w:rPr>
          <w:sz w:val="28"/>
        </w:rPr>
      </w:pPr>
      <w:r>
        <w:rPr>
          <w:sz w:val="28"/>
        </w:rPr>
        <w:tab/>
        <w:t xml:space="preserve">3.1.3. </w:t>
      </w:r>
      <w:r w:rsidR="00162965" w:rsidRPr="00162965">
        <w:rPr>
          <w:sz w:val="28"/>
        </w:rPr>
        <w:t>Spiked Soil Sample Comparison</w:t>
      </w:r>
      <w:r w:rsidR="00162965">
        <w:rPr>
          <w:sz w:val="28"/>
        </w:rPr>
        <w:tab/>
      </w:r>
      <w:r w:rsidR="00162965">
        <w:rPr>
          <w:sz w:val="28"/>
        </w:rPr>
        <w:tab/>
      </w:r>
      <w:r w:rsidR="00162965">
        <w:rPr>
          <w:sz w:val="28"/>
        </w:rPr>
        <w:tab/>
      </w:r>
      <w:r w:rsidR="001938F3">
        <w:rPr>
          <w:sz w:val="28"/>
        </w:rPr>
        <w:tab/>
      </w:r>
      <w:r w:rsidR="001938F3">
        <w:rPr>
          <w:sz w:val="28"/>
        </w:rPr>
        <w:tab/>
        <w:t>6</w:t>
      </w:r>
      <w:r w:rsidR="001D61BA">
        <w:rPr>
          <w:sz w:val="28"/>
        </w:rPr>
        <w:t>6</w:t>
      </w:r>
    </w:p>
    <w:p w14:paraId="33890F90" w14:textId="5A8C074D" w:rsidR="00C248AF" w:rsidRDefault="00C248AF" w:rsidP="0022145D">
      <w:pPr>
        <w:pStyle w:val="ListParagraph"/>
        <w:ind w:left="360"/>
        <w:rPr>
          <w:sz w:val="28"/>
        </w:rPr>
      </w:pPr>
      <w:r>
        <w:rPr>
          <w:sz w:val="28"/>
        </w:rPr>
        <w:t>3.2. Gamma Spectra Results</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6</w:t>
      </w:r>
      <w:r w:rsidR="001D61BA">
        <w:rPr>
          <w:sz w:val="28"/>
        </w:rPr>
        <w:t>8</w:t>
      </w:r>
    </w:p>
    <w:p w14:paraId="5467452A" w14:textId="0838740D" w:rsidR="00C248AF" w:rsidRPr="00C248AF" w:rsidRDefault="00C248AF" w:rsidP="0022145D">
      <w:pPr>
        <w:pStyle w:val="ListParagraph"/>
        <w:ind w:left="360"/>
        <w:rPr>
          <w:sz w:val="28"/>
        </w:rPr>
      </w:pPr>
      <w:r>
        <w:rPr>
          <w:sz w:val="28"/>
        </w:rPr>
        <w:t>3.3. Accelerator Mass Spectrometry Results</w:t>
      </w:r>
      <w:r w:rsidR="001938F3">
        <w:rPr>
          <w:sz w:val="28"/>
        </w:rPr>
        <w:tab/>
      </w:r>
      <w:r w:rsidR="001938F3">
        <w:rPr>
          <w:sz w:val="28"/>
        </w:rPr>
        <w:tab/>
      </w:r>
      <w:r w:rsidR="001938F3">
        <w:rPr>
          <w:sz w:val="28"/>
        </w:rPr>
        <w:tab/>
      </w:r>
      <w:r w:rsidR="001938F3">
        <w:rPr>
          <w:sz w:val="28"/>
        </w:rPr>
        <w:tab/>
        <w:t>7</w:t>
      </w:r>
      <w:r w:rsidR="0092290D">
        <w:rPr>
          <w:sz w:val="28"/>
        </w:rPr>
        <w:t>6</w:t>
      </w:r>
    </w:p>
    <w:p w14:paraId="7E5885BA" w14:textId="4CF01672" w:rsidR="00513943" w:rsidRDefault="00513943" w:rsidP="000C3026">
      <w:pPr>
        <w:pStyle w:val="ListParagraph"/>
        <w:numPr>
          <w:ilvl w:val="0"/>
          <w:numId w:val="3"/>
        </w:numPr>
        <w:rPr>
          <w:b/>
          <w:sz w:val="28"/>
        </w:rPr>
      </w:pPr>
      <w:r w:rsidRPr="00513943">
        <w:rPr>
          <w:b/>
          <w:sz w:val="28"/>
        </w:rPr>
        <w:lastRenderedPageBreak/>
        <w:t>Discussion</w:t>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r>
      <w:r w:rsidR="008C128B">
        <w:rPr>
          <w:b/>
          <w:sz w:val="28"/>
        </w:rPr>
        <w:t>8</w:t>
      </w:r>
      <w:r w:rsidR="0092290D">
        <w:rPr>
          <w:b/>
          <w:sz w:val="28"/>
        </w:rPr>
        <w:t>2</w:t>
      </w:r>
    </w:p>
    <w:p w14:paraId="70366BAB" w14:textId="63AD2A38" w:rsidR="00513943" w:rsidRDefault="00513943" w:rsidP="000C3026">
      <w:pPr>
        <w:pStyle w:val="ListParagraph"/>
        <w:numPr>
          <w:ilvl w:val="1"/>
          <w:numId w:val="3"/>
        </w:numPr>
        <w:rPr>
          <w:sz w:val="28"/>
        </w:rPr>
      </w:pPr>
      <w:r w:rsidRPr="00513943">
        <w:rPr>
          <w:sz w:val="28"/>
        </w:rPr>
        <w:t>Neutron Detection</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8</w:t>
      </w:r>
      <w:r w:rsidR="00F90C88">
        <w:rPr>
          <w:sz w:val="28"/>
        </w:rPr>
        <w:t>4</w:t>
      </w:r>
    </w:p>
    <w:p w14:paraId="063733B0" w14:textId="0F7D9D1F" w:rsidR="00513943" w:rsidRDefault="00513943" w:rsidP="000C3026">
      <w:pPr>
        <w:pStyle w:val="ListParagraph"/>
        <w:numPr>
          <w:ilvl w:val="2"/>
          <w:numId w:val="3"/>
        </w:numPr>
        <w:rPr>
          <w:sz w:val="28"/>
        </w:rPr>
      </w:pPr>
      <w:r>
        <w:rPr>
          <w:sz w:val="28"/>
        </w:rPr>
        <w:t>Parallel Detector Array Measurement</w:t>
      </w:r>
      <w:r w:rsidR="001938F3">
        <w:rPr>
          <w:sz w:val="28"/>
        </w:rPr>
        <w:tab/>
      </w:r>
      <w:r w:rsidR="001938F3">
        <w:rPr>
          <w:sz w:val="28"/>
        </w:rPr>
        <w:tab/>
      </w:r>
      <w:r w:rsidR="001938F3">
        <w:rPr>
          <w:sz w:val="28"/>
        </w:rPr>
        <w:tab/>
      </w:r>
      <w:r w:rsidR="001938F3">
        <w:rPr>
          <w:sz w:val="28"/>
        </w:rPr>
        <w:tab/>
        <w:t>8</w:t>
      </w:r>
      <w:r w:rsidR="00F90C88">
        <w:rPr>
          <w:sz w:val="28"/>
        </w:rPr>
        <w:t>4</w:t>
      </w:r>
    </w:p>
    <w:p w14:paraId="5A906A5D" w14:textId="0DD89848" w:rsidR="00513943" w:rsidRDefault="00513943" w:rsidP="000C3026">
      <w:pPr>
        <w:pStyle w:val="ListParagraph"/>
        <w:numPr>
          <w:ilvl w:val="2"/>
          <w:numId w:val="3"/>
        </w:numPr>
        <w:rPr>
          <w:sz w:val="28"/>
        </w:rPr>
      </w:pPr>
      <w:r>
        <w:rPr>
          <w:sz w:val="28"/>
        </w:rPr>
        <w:t>16-Detector Array Measurement</w:t>
      </w:r>
      <w:r w:rsidR="001938F3">
        <w:rPr>
          <w:sz w:val="28"/>
        </w:rPr>
        <w:tab/>
      </w:r>
      <w:r w:rsidR="001938F3">
        <w:rPr>
          <w:sz w:val="28"/>
        </w:rPr>
        <w:tab/>
      </w:r>
      <w:r w:rsidR="001938F3">
        <w:rPr>
          <w:sz w:val="28"/>
        </w:rPr>
        <w:tab/>
      </w:r>
      <w:r w:rsidR="001938F3">
        <w:rPr>
          <w:sz w:val="28"/>
        </w:rPr>
        <w:tab/>
        <w:t>8</w:t>
      </w:r>
      <w:r w:rsidR="00F90C88">
        <w:rPr>
          <w:sz w:val="28"/>
        </w:rPr>
        <w:t>5</w:t>
      </w:r>
    </w:p>
    <w:p w14:paraId="10693315" w14:textId="22E042A7" w:rsidR="00513943" w:rsidRDefault="00513943" w:rsidP="000C3026">
      <w:pPr>
        <w:pStyle w:val="ListParagraph"/>
        <w:numPr>
          <w:ilvl w:val="2"/>
          <w:numId w:val="3"/>
        </w:numPr>
        <w:rPr>
          <w:sz w:val="28"/>
        </w:rPr>
      </w:pPr>
      <w:r>
        <w:rPr>
          <w:sz w:val="28"/>
        </w:rPr>
        <w:t>Plutonium-240 Spike</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C043C8">
        <w:rPr>
          <w:sz w:val="28"/>
        </w:rPr>
        <w:t>91</w:t>
      </w:r>
    </w:p>
    <w:p w14:paraId="01F3A667" w14:textId="6C792156" w:rsidR="00513943" w:rsidRDefault="00513943" w:rsidP="000C3026">
      <w:pPr>
        <w:pStyle w:val="ListParagraph"/>
        <w:numPr>
          <w:ilvl w:val="2"/>
          <w:numId w:val="3"/>
        </w:numPr>
        <w:rPr>
          <w:sz w:val="28"/>
        </w:rPr>
      </w:pPr>
      <w:r>
        <w:rPr>
          <w:sz w:val="28"/>
        </w:rPr>
        <w:t>Neutron Summary</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8</w:t>
      </w:r>
      <w:r w:rsidR="00162965">
        <w:rPr>
          <w:sz w:val="28"/>
        </w:rPr>
        <w:t>8</w:t>
      </w:r>
    </w:p>
    <w:p w14:paraId="3B5F31C2" w14:textId="180AE123" w:rsidR="00513943" w:rsidRPr="00513943" w:rsidRDefault="00162965" w:rsidP="000C3026">
      <w:pPr>
        <w:pStyle w:val="ListParagraph"/>
        <w:numPr>
          <w:ilvl w:val="1"/>
          <w:numId w:val="3"/>
        </w:numPr>
        <w:rPr>
          <w:sz w:val="28"/>
        </w:rPr>
      </w:pPr>
      <w:r>
        <w:rPr>
          <w:sz w:val="28"/>
        </w:rPr>
        <w:t xml:space="preserve"> </w:t>
      </w:r>
      <w:r w:rsidR="00513943" w:rsidRPr="00513943">
        <w:rPr>
          <w:sz w:val="28"/>
        </w:rPr>
        <w:t>Gamma-ray Spectrometry</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C043C8">
        <w:rPr>
          <w:sz w:val="28"/>
        </w:rPr>
        <w:t>93</w:t>
      </w:r>
    </w:p>
    <w:p w14:paraId="1F6AAF61" w14:textId="5FA2E7E9" w:rsidR="00513943" w:rsidRDefault="00162965" w:rsidP="000C3026">
      <w:pPr>
        <w:pStyle w:val="ListParagraph"/>
        <w:numPr>
          <w:ilvl w:val="1"/>
          <w:numId w:val="3"/>
        </w:numPr>
        <w:rPr>
          <w:sz w:val="28"/>
        </w:rPr>
      </w:pPr>
      <w:r>
        <w:rPr>
          <w:sz w:val="28"/>
        </w:rPr>
        <w:t xml:space="preserve"> </w:t>
      </w:r>
      <w:r w:rsidR="00513943">
        <w:rPr>
          <w:sz w:val="28"/>
        </w:rPr>
        <w:t>Accelerator Mass Spectrometry</w:t>
      </w:r>
      <w:r w:rsidR="001938F3">
        <w:rPr>
          <w:sz w:val="28"/>
        </w:rPr>
        <w:tab/>
      </w:r>
      <w:r w:rsidR="001938F3">
        <w:rPr>
          <w:sz w:val="28"/>
        </w:rPr>
        <w:tab/>
      </w:r>
      <w:r w:rsidR="001938F3">
        <w:rPr>
          <w:sz w:val="28"/>
        </w:rPr>
        <w:tab/>
      </w:r>
      <w:r w:rsidR="001938F3">
        <w:rPr>
          <w:sz w:val="28"/>
        </w:rPr>
        <w:tab/>
      </w:r>
      <w:r w:rsidR="001938F3">
        <w:rPr>
          <w:sz w:val="28"/>
        </w:rPr>
        <w:tab/>
        <w:t>9</w:t>
      </w:r>
      <w:r w:rsidR="00372B7A">
        <w:rPr>
          <w:sz w:val="28"/>
        </w:rPr>
        <w:t>6</w:t>
      </w:r>
    </w:p>
    <w:p w14:paraId="43FD8D4C" w14:textId="49683E2C" w:rsidR="000C3026" w:rsidRDefault="000C3026" w:rsidP="000C3026">
      <w:pPr>
        <w:pStyle w:val="ListParagraph"/>
        <w:numPr>
          <w:ilvl w:val="2"/>
          <w:numId w:val="3"/>
        </w:numPr>
        <w:rPr>
          <w:sz w:val="28"/>
        </w:rPr>
      </w:pPr>
      <w:r>
        <w:rPr>
          <w:sz w:val="28"/>
          <w:vertAlign w:val="superscript"/>
        </w:rPr>
        <w:t>239</w:t>
      </w:r>
      <w:r>
        <w:rPr>
          <w:sz w:val="28"/>
        </w:rPr>
        <w:t>Pu</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9</w:t>
      </w:r>
      <w:r w:rsidR="00372B7A">
        <w:rPr>
          <w:sz w:val="28"/>
        </w:rPr>
        <w:t>6</w:t>
      </w:r>
    </w:p>
    <w:p w14:paraId="259A52EC" w14:textId="0D77CC42" w:rsidR="000C3026" w:rsidRDefault="000C3026" w:rsidP="000C3026">
      <w:pPr>
        <w:pStyle w:val="ListParagraph"/>
        <w:numPr>
          <w:ilvl w:val="2"/>
          <w:numId w:val="3"/>
        </w:numPr>
        <w:rPr>
          <w:sz w:val="28"/>
        </w:rPr>
      </w:pPr>
      <w:r>
        <w:rPr>
          <w:sz w:val="28"/>
          <w:vertAlign w:val="superscript"/>
        </w:rPr>
        <w:t>240</w:t>
      </w:r>
      <w:r>
        <w:rPr>
          <w:sz w:val="28"/>
        </w:rPr>
        <w:t>Pu</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372B7A">
        <w:rPr>
          <w:sz w:val="28"/>
        </w:rPr>
        <w:t>100</w:t>
      </w:r>
    </w:p>
    <w:p w14:paraId="208C8001" w14:textId="42578CDA" w:rsidR="000C3026" w:rsidRDefault="000C3026" w:rsidP="000C3026">
      <w:pPr>
        <w:pStyle w:val="ListParagraph"/>
        <w:numPr>
          <w:ilvl w:val="2"/>
          <w:numId w:val="3"/>
        </w:numPr>
        <w:rPr>
          <w:sz w:val="28"/>
        </w:rPr>
      </w:pPr>
      <w:r>
        <w:rPr>
          <w:sz w:val="28"/>
          <w:vertAlign w:val="superscript"/>
        </w:rPr>
        <w:t>242</w:t>
      </w:r>
      <w:r>
        <w:rPr>
          <w:sz w:val="28"/>
        </w:rPr>
        <w:t>Pu</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372B7A">
        <w:rPr>
          <w:sz w:val="28"/>
        </w:rPr>
        <w:t>100</w:t>
      </w:r>
    </w:p>
    <w:p w14:paraId="77EC1B67" w14:textId="5B023995" w:rsidR="000C3026" w:rsidRDefault="000C3026" w:rsidP="000C3026">
      <w:pPr>
        <w:pStyle w:val="ListParagraph"/>
        <w:numPr>
          <w:ilvl w:val="2"/>
          <w:numId w:val="3"/>
        </w:numPr>
        <w:rPr>
          <w:sz w:val="28"/>
        </w:rPr>
      </w:pPr>
      <w:r>
        <w:rPr>
          <w:sz w:val="28"/>
          <w:vertAlign w:val="superscript"/>
        </w:rPr>
        <w:t>236</w:t>
      </w:r>
      <w:r>
        <w:rPr>
          <w:sz w:val="28"/>
        </w:rPr>
        <w:t>U</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893EC3">
        <w:rPr>
          <w:sz w:val="28"/>
        </w:rPr>
        <w:t>101</w:t>
      </w:r>
    </w:p>
    <w:p w14:paraId="2F763E53" w14:textId="504CEC53" w:rsidR="000C3026" w:rsidRDefault="000C3026" w:rsidP="000C3026">
      <w:pPr>
        <w:pStyle w:val="ListParagraph"/>
        <w:numPr>
          <w:ilvl w:val="2"/>
          <w:numId w:val="3"/>
        </w:numPr>
        <w:rPr>
          <w:sz w:val="28"/>
        </w:rPr>
      </w:pPr>
      <w:r>
        <w:rPr>
          <w:sz w:val="28"/>
        </w:rPr>
        <w:t>Isotopic Ratios</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62965">
        <w:rPr>
          <w:sz w:val="28"/>
        </w:rPr>
        <w:t>10</w:t>
      </w:r>
      <w:r w:rsidR="00893EC3">
        <w:rPr>
          <w:sz w:val="28"/>
        </w:rPr>
        <w:t>4</w:t>
      </w:r>
    </w:p>
    <w:p w14:paraId="21DADE1C" w14:textId="1FB4291E" w:rsidR="000C3026" w:rsidRDefault="000C3026" w:rsidP="000C3026">
      <w:pPr>
        <w:pStyle w:val="ListParagraph"/>
        <w:numPr>
          <w:ilvl w:val="3"/>
          <w:numId w:val="3"/>
        </w:numPr>
        <w:rPr>
          <w:sz w:val="28"/>
        </w:rPr>
      </w:pPr>
      <w:r>
        <w:rPr>
          <w:sz w:val="28"/>
          <w:vertAlign w:val="superscript"/>
        </w:rPr>
        <w:t>236</w:t>
      </w:r>
      <w:r>
        <w:rPr>
          <w:sz w:val="28"/>
        </w:rPr>
        <w:t>U/</w:t>
      </w:r>
      <w:r>
        <w:rPr>
          <w:sz w:val="28"/>
          <w:vertAlign w:val="superscript"/>
        </w:rPr>
        <w:t>239</w:t>
      </w:r>
      <w:r>
        <w:rPr>
          <w:sz w:val="28"/>
        </w:rPr>
        <w:t>Pu</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8C128B">
        <w:rPr>
          <w:sz w:val="28"/>
        </w:rPr>
        <w:t>10</w:t>
      </w:r>
      <w:r w:rsidR="00893EC3">
        <w:rPr>
          <w:sz w:val="28"/>
        </w:rPr>
        <w:t>5</w:t>
      </w:r>
    </w:p>
    <w:p w14:paraId="28CB664F" w14:textId="758A8A52" w:rsidR="000C3026" w:rsidRDefault="000C3026" w:rsidP="000C3026">
      <w:pPr>
        <w:pStyle w:val="ListParagraph"/>
        <w:numPr>
          <w:ilvl w:val="3"/>
          <w:numId w:val="3"/>
        </w:numPr>
        <w:rPr>
          <w:sz w:val="28"/>
        </w:rPr>
      </w:pPr>
      <w:r>
        <w:rPr>
          <w:sz w:val="28"/>
          <w:vertAlign w:val="superscript"/>
        </w:rPr>
        <w:t>240</w:t>
      </w:r>
      <w:r>
        <w:rPr>
          <w:sz w:val="28"/>
        </w:rPr>
        <w:t>Pu/</w:t>
      </w:r>
      <w:r>
        <w:rPr>
          <w:sz w:val="28"/>
          <w:vertAlign w:val="superscript"/>
        </w:rPr>
        <w:t>239</w:t>
      </w:r>
      <w:r>
        <w:rPr>
          <w:sz w:val="28"/>
        </w:rPr>
        <w:t>Pu</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10</w:t>
      </w:r>
      <w:r w:rsidR="00921B46">
        <w:rPr>
          <w:sz w:val="28"/>
        </w:rPr>
        <w:t>6</w:t>
      </w:r>
    </w:p>
    <w:p w14:paraId="3357E288" w14:textId="46426786" w:rsidR="000C3026" w:rsidRDefault="000C3026" w:rsidP="000C3026">
      <w:pPr>
        <w:pStyle w:val="ListParagraph"/>
        <w:numPr>
          <w:ilvl w:val="3"/>
          <w:numId w:val="3"/>
        </w:numPr>
        <w:rPr>
          <w:sz w:val="28"/>
        </w:rPr>
      </w:pPr>
      <w:r>
        <w:rPr>
          <w:sz w:val="28"/>
          <w:vertAlign w:val="superscript"/>
        </w:rPr>
        <w:t>241</w:t>
      </w:r>
      <w:r>
        <w:rPr>
          <w:sz w:val="28"/>
        </w:rPr>
        <w:t>Pu/</w:t>
      </w:r>
      <w:r>
        <w:rPr>
          <w:sz w:val="28"/>
          <w:vertAlign w:val="superscript"/>
        </w:rPr>
        <w:t>239</w:t>
      </w:r>
      <w:r>
        <w:rPr>
          <w:sz w:val="28"/>
        </w:rPr>
        <w:t>Pu</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10</w:t>
      </w:r>
      <w:r w:rsidR="00921B46">
        <w:rPr>
          <w:sz w:val="28"/>
        </w:rPr>
        <w:t>9</w:t>
      </w:r>
    </w:p>
    <w:p w14:paraId="11B6DCA1" w14:textId="2944F738" w:rsidR="000C3026" w:rsidRDefault="000C3026" w:rsidP="000C3026">
      <w:pPr>
        <w:pStyle w:val="ListParagraph"/>
        <w:numPr>
          <w:ilvl w:val="3"/>
          <w:numId w:val="3"/>
        </w:numPr>
        <w:rPr>
          <w:sz w:val="28"/>
        </w:rPr>
      </w:pPr>
      <w:r>
        <w:rPr>
          <w:sz w:val="28"/>
          <w:vertAlign w:val="superscript"/>
        </w:rPr>
        <w:t>242</w:t>
      </w:r>
      <w:r>
        <w:rPr>
          <w:sz w:val="28"/>
        </w:rPr>
        <w:t>Pu/</w:t>
      </w:r>
      <w:r>
        <w:rPr>
          <w:sz w:val="28"/>
          <w:vertAlign w:val="superscript"/>
        </w:rPr>
        <w:t>239</w:t>
      </w:r>
      <w:r>
        <w:rPr>
          <w:sz w:val="28"/>
        </w:rPr>
        <w:t>Pu</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1</w:t>
      </w:r>
      <w:r w:rsidR="00921B46">
        <w:rPr>
          <w:sz w:val="28"/>
        </w:rPr>
        <w:t>12</w:t>
      </w:r>
    </w:p>
    <w:p w14:paraId="32312C5D" w14:textId="2F1F442F" w:rsidR="000C3026" w:rsidRDefault="000C3026" w:rsidP="000C3026">
      <w:pPr>
        <w:pStyle w:val="ListParagraph"/>
        <w:numPr>
          <w:ilvl w:val="3"/>
          <w:numId w:val="3"/>
        </w:numPr>
        <w:rPr>
          <w:sz w:val="28"/>
        </w:rPr>
      </w:pPr>
      <w:r>
        <w:rPr>
          <w:sz w:val="28"/>
          <w:vertAlign w:val="superscript"/>
        </w:rPr>
        <w:t>244</w:t>
      </w:r>
      <w:r>
        <w:rPr>
          <w:sz w:val="28"/>
        </w:rPr>
        <w:t>Pu/</w:t>
      </w:r>
      <w:r>
        <w:rPr>
          <w:sz w:val="28"/>
          <w:vertAlign w:val="superscript"/>
        </w:rPr>
        <w:t>239</w:t>
      </w:r>
      <w:r>
        <w:rPr>
          <w:sz w:val="28"/>
        </w:rPr>
        <w:t>Pu</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1</w:t>
      </w:r>
      <w:r w:rsidR="00162965">
        <w:rPr>
          <w:sz w:val="28"/>
        </w:rPr>
        <w:t>1</w:t>
      </w:r>
      <w:r w:rsidR="00921B46">
        <w:rPr>
          <w:sz w:val="28"/>
        </w:rPr>
        <w:t>4</w:t>
      </w:r>
    </w:p>
    <w:p w14:paraId="2C4AF0D8" w14:textId="04D26A95" w:rsidR="002B46BB" w:rsidRDefault="00157ACB" w:rsidP="002B46BB">
      <w:pPr>
        <w:pStyle w:val="ListParagraph"/>
        <w:numPr>
          <w:ilvl w:val="1"/>
          <w:numId w:val="3"/>
        </w:numPr>
        <w:rPr>
          <w:sz w:val="28"/>
        </w:rPr>
      </w:pPr>
      <w:r>
        <w:rPr>
          <w:sz w:val="28"/>
        </w:rPr>
        <w:t xml:space="preserve"> Summary</w:t>
      </w:r>
      <w:r>
        <w:rPr>
          <w:sz w:val="28"/>
        </w:rPr>
        <w:tab/>
      </w:r>
      <w:r>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1</w:t>
      </w:r>
      <w:r w:rsidR="008C128B">
        <w:rPr>
          <w:sz w:val="28"/>
        </w:rPr>
        <w:t>1</w:t>
      </w:r>
      <w:r w:rsidR="00770F60">
        <w:rPr>
          <w:sz w:val="28"/>
        </w:rPr>
        <w:t>5</w:t>
      </w:r>
    </w:p>
    <w:p w14:paraId="4501815A" w14:textId="5E7EF216" w:rsidR="0087091C" w:rsidRDefault="002B46BB" w:rsidP="0087091C">
      <w:pPr>
        <w:pStyle w:val="ListParagraph"/>
        <w:numPr>
          <w:ilvl w:val="0"/>
          <w:numId w:val="3"/>
        </w:numPr>
        <w:rPr>
          <w:b/>
          <w:sz w:val="28"/>
        </w:rPr>
      </w:pPr>
      <w:r w:rsidRPr="00556DDA">
        <w:rPr>
          <w:b/>
          <w:sz w:val="28"/>
        </w:rPr>
        <w:t>Conclusio</w:t>
      </w:r>
      <w:r w:rsidR="0087091C">
        <w:rPr>
          <w:b/>
          <w:sz w:val="28"/>
        </w:rPr>
        <w:t>n</w:t>
      </w:r>
      <w:r w:rsidR="00313434">
        <w:rPr>
          <w:b/>
          <w:sz w:val="28"/>
        </w:rPr>
        <w:t>s and Further Work</w:t>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t>11</w:t>
      </w:r>
      <w:r w:rsidR="00770F60">
        <w:rPr>
          <w:b/>
          <w:sz w:val="28"/>
        </w:rPr>
        <w:t>8</w:t>
      </w:r>
    </w:p>
    <w:p w14:paraId="3C972468" w14:textId="50ACCFB8" w:rsidR="00313434" w:rsidRDefault="00157ACB" w:rsidP="00313434">
      <w:pPr>
        <w:pStyle w:val="ListParagraph"/>
        <w:numPr>
          <w:ilvl w:val="1"/>
          <w:numId w:val="3"/>
        </w:numPr>
        <w:rPr>
          <w:sz w:val="28"/>
        </w:rPr>
      </w:pPr>
      <w:r>
        <w:rPr>
          <w:sz w:val="28"/>
        </w:rPr>
        <w:t xml:space="preserve"> </w:t>
      </w:r>
      <w:r w:rsidR="00313434">
        <w:rPr>
          <w:sz w:val="28"/>
        </w:rPr>
        <w:t>Conclusion</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11</w:t>
      </w:r>
      <w:r w:rsidR="00770F60">
        <w:rPr>
          <w:sz w:val="28"/>
        </w:rPr>
        <w:t>8</w:t>
      </w:r>
    </w:p>
    <w:p w14:paraId="30CC9D65" w14:textId="5FC05FCE" w:rsidR="001938F3" w:rsidRDefault="00157ACB" w:rsidP="001938F3">
      <w:pPr>
        <w:pStyle w:val="ListParagraph"/>
        <w:numPr>
          <w:ilvl w:val="1"/>
          <w:numId w:val="3"/>
        </w:numPr>
        <w:rPr>
          <w:sz w:val="28"/>
        </w:rPr>
      </w:pPr>
      <w:r>
        <w:rPr>
          <w:sz w:val="28"/>
        </w:rPr>
        <w:t xml:space="preserve"> </w:t>
      </w:r>
      <w:r w:rsidR="00313434">
        <w:rPr>
          <w:sz w:val="28"/>
        </w:rPr>
        <w:t>Further Work</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1</w:t>
      </w:r>
      <w:r w:rsidR="00770F60">
        <w:rPr>
          <w:sz w:val="28"/>
        </w:rPr>
        <w:t>20</w:t>
      </w:r>
    </w:p>
    <w:p w14:paraId="5C996405" w14:textId="57DB5524" w:rsidR="001938F3" w:rsidRPr="001938F3" w:rsidRDefault="00770F60" w:rsidP="001938F3">
      <w:pPr>
        <w:rPr>
          <w:b/>
          <w:sz w:val="28"/>
        </w:rPr>
      </w:pPr>
      <w:r>
        <w:rPr>
          <w:b/>
          <w:sz w:val="28"/>
        </w:rPr>
        <w:t>Bibliography</w:t>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r>
      <w:r w:rsidR="001938F3">
        <w:rPr>
          <w:b/>
          <w:sz w:val="28"/>
        </w:rPr>
        <w:tab/>
        <w:t>1</w:t>
      </w:r>
      <w:r w:rsidR="00DC0E48">
        <w:rPr>
          <w:b/>
          <w:sz w:val="28"/>
        </w:rPr>
        <w:t>21</w:t>
      </w:r>
    </w:p>
    <w:p w14:paraId="42C27210" w14:textId="5FA27317" w:rsidR="0087091C" w:rsidRDefault="0087091C" w:rsidP="0087091C">
      <w:pPr>
        <w:rPr>
          <w:b/>
          <w:sz w:val="28"/>
        </w:rPr>
      </w:pPr>
    </w:p>
    <w:p w14:paraId="3359AAD7" w14:textId="036B78FB" w:rsidR="0087091C" w:rsidRPr="006A4F6F" w:rsidRDefault="006A4F6F" w:rsidP="0087091C">
      <w:pPr>
        <w:pStyle w:val="ListParagraph"/>
        <w:numPr>
          <w:ilvl w:val="0"/>
          <w:numId w:val="6"/>
        </w:numPr>
        <w:rPr>
          <w:b/>
          <w:sz w:val="28"/>
        </w:rPr>
      </w:pPr>
      <w:r>
        <w:rPr>
          <w:sz w:val="28"/>
        </w:rPr>
        <w:t>Technical Specifications</w:t>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r>
      <w:r w:rsidR="001938F3">
        <w:rPr>
          <w:sz w:val="28"/>
        </w:rPr>
        <w:tab/>
        <w:t>1</w:t>
      </w:r>
      <w:r w:rsidR="00162965">
        <w:rPr>
          <w:sz w:val="28"/>
        </w:rPr>
        <w:t>3</w:t>
      </w:r>
      <w:r w:rsidR="00DC0E48">
        <w:rPr>
          <w:sz w:val="28"/>
        </w:rPr>
        <w:t>7</w:t>
      </w:r>
    </w:p>
    <w:p w14:paraId="71C1E487" w14:textId="46632976" w:rsidR="006A4F6F" w:rsidRDefault="006A4F6F" w:rsidP="006A4F6F">
      <w:pPr>
        <w:pStyle w:val="ListParagraph"/>
        <w:ind w:left="360"/>
        <w:rPr>
          <w:sz w:val="28"/>
        </w:rPr>
      </w:pPr>
      <w:r>
        <w:rPr>
          <w:sz w:val="28"/>
        </w:rPr>
        <w:t>A.1</w:t>
      </w:r>
      <w:r>
        <w:rPr>
          <w:sz w:val="28"/>
        </w:rPr>
        <w:tab/>
        <w:t>EJ-309 Detectors</w:t>
      </w:r>
    </w:p>
    <w:p w14:paraId="653A5D5F" w14:textId="723E2236" w:rsidR="006A4F6F" w:rsidRDefault="006A4F6F" w:rsidP="006A4F6F">
      <w:pPr>
        <w:pStyle w:val="ListParagraph"/>
        <w:ind w:left="360"/>
        <w:rPr>
          <w:sz w:val="28"/>
        </w:rPr>
      </w:pPr>
      <w:r>
        <w:rPr>
          <w:sz w:val="28"/>
        </w:rPr>
        <w:t>A.2</w:t>
      </w:r>
      <w:r>
        <w:rPr>
          <w:sz w:val="28"/>
        </w:rPr>
        <w:tab/>
        <w:t>Mixed Field Analysers</w:t>
      </w:r>
    </w:p>
    <w:p w14:paraId="31E7F143" w14:textId="7366B231" w:rsidR="00513943" w:rsidRPr="00513943" w:rsidRDefault="006A4F6F" w:rsidP="00B97C40">
      <w:pPr>
        <w:pStyle w:val="ListParagraph"/>
        <w:ind w:left="360"/>
        <w:rPr>
          <w:sz w:val="28"/>
        </w:rPr>
      </w:pPr>
      <w:r>
        <w:rPr>
          <w:sz w:val="28"/>
        </w:rPr>
        <w:t>A.3</w:t>
      </w:r>
      <w:r>
        <w:rPr>
          <w:sz w:val="28"/>
        </w:rPr>
        <w:tab/>
        <w:t>BEGe Detector</w:t>
      </w:r>
    </w:p>
    <w:p w14:paraId="57C11034" w14:textId="57AAB9FB" w:rsidR="0021290A" w:rsidRDefault="0021290A">
      <w:pPr>
        <w:rPr>
          <w:b/>
          <w:sz w:val="28"/>
        </w:rPr>
      </w:pPr>
      <w:r>
        <w:rPr>
          <w:b/>
          <w:sz w:val="28"/>
        </w:rPr>
        <w:br w:type="page"/>
      </w:r>
    </w:p>
    <w:p w14:paraId="4234D6DB" w14:textId="77777777" w:rsidR="00F37CA9" w:rsidRPr="001E0BA6" w:rsidRDefault="00F37CA9" w:rsidP="00F37CA9">
      <w:pPr>
        <w:spacing w:line="480" w:lineRule="auto"/>
        <w:rPr>
          <w:b/>
          <w:sz w:val="32"/>
          <w:szCs w:val="24"/>
          <w:u w:val="single"/>
        </w:rPr>
      </w:pPr>
      <w:r w:rsidRPr="001E0BA6">
        <w:rPr>
          <w:b/>
          <w:sz w:val="32"/>
          <w:szCs w:val="24"/>
          <w:u w:val="single"/>
        </w:rPr>
        <w:lastRenderedPageBreak/>
        <w:t>Chapter 1</w:t>
      </w:r>
    </w:p>
    <w:p w14:paraId="00236415" w14:textId="77777777" w:rsidR="00F37CA9" w:rsidRPr="00820EA6" w:rsidRDefault="00F37CA9" w:rsidP="00A77ECC">
      <w:pPr>
        <w:pStyle w:val="ListParagraph"/>
        <w:numPr>
          <w:ilvl w:val="0"/>
          <w:numId w:val="7"/>
        </w:numPr>
        <w:spacing w:line="480" w:lineRule="auto"/>
        <w:ind w:left="0" w:firstLine="0"/>
        <w:rPr>
          <w:b/>
          <w:sz w:val="32"/>
          <w:szCs w:val="24"/>
        </w:rPr>
      </w:pPr>
      <w:r w:rsidRPr="00820EA6">
        <w:rPr>
          <w:b/>
          <w:sz w:val="32"/>
          <w:szCs w:val="24"/>
        </w:rPr>
        <w:t>Introduction</w:t>
      </w:r>
    </w:p>
    <w:p w14:paraId="68C328E8" w14:textId="1BB2127A" w:rsidR="00F37CA9" w:rsidRDefault="00F37CA9" w:rsidP="00F37CA9">
      <w:pPr>
        <w:spacing w:line="480" w:lineRule="auto"/>
        <w:ind w:firstLine="567"/>
        <w:rPr>
          <w:sz w:val="24"/>
          <w:szCs w:val="24"/>
        </w:rPr>
      </w:pPr>
      <w:r>
        <w:rPr>
          <w:sz w:val="24"/>
          <w:szCs w:val="24"/>
        </w:rPr>
        <w:t>Soil is a complicated matrix of</w:t>
      </w:r>
      <w:r w:rsidR="00CA0737">
        <w:rPr>
          <w:sz w:val="24"/>
          <w:szCs w:val="24"/>
        </w:rPr>
        <w:t xml:space="preserve"> various</w:t>
      </w:r>
      <w:r>
        <w:rPr>
          <w:sz w:val="24"/>
          <w:szCs w:val="24"/>
        </w:rPr>
        <w:t xml:space="preserve"> materials. It is host to </w:t>
      </w:r>
      <w:r w:rsidR="00CA0737">
        <w:rPr>
          <w:sz w:val="24"/>
          <w:szCs w:val="24"/>
        </w:rPr>
        <w:t>many</w:t>
      </w:r>
      <w:r>
        <w:rPr>
          <w:sz w:val="24"/>
          <w:szCs w:val="24"/>
        </w:rPr>
        <w:t xml:space="preserve"> individual interconnected chemical processes </w:t>
      </w:r>
      <w:r w:rsidR="00CA0737">
        <w:rPr>
          <w:sz w:val="24"/>
          <w:szCs w:val="24"/>
        </w:rPr>
        <w:t>dependent on the</w:t>
      </w:r>
      <w:r>
        <w:rPr>
          <w:sz w:val="24"/>
          <w:szCs w:val="24"/>
        </w:rPr>
        <w:t xml:space="preserve"> environment, elevation, water content, and so on.</w:t>
      </w:r>
    </w:p>
    <w:p w14:paraId="22053DBA" w14:textId="407E568E" w:rsidR="00F37CA9" w:rsidRDefault="00F37CA9" w:rsidP="00F37CA9">
      <w:pPr>
        <w:spacing w:line="480" w:lineRule="auto"/>
        <w:ind w:firstLine="567"/>
        <w:rPr>
          <w:sz w:val="24"/>
          <w:szCs w:val="24"/>
        </w:rPr>
      </w:pPr>
      <w:r>
        <w:rPr>
          <w:sz w:val="24"/>
          <w:szCs w:val="24"/>
        </w:rPr>
        <w:t>For several decades</w:t>
      </w:r>
      <w:r w:rsidR="00CA0737">
        <w:rPr>
          <w:sz w:val="24"/>
          <w:szCs w:val="24"/>
        </w:rPr>
        <w:t>,</w:t>
      </w:r>
      <w:r>
        <w:rPr>
          <w:sz w:val="24"/>
          <w:szCs w:val="24"/>
        </w:rPr>
        <w:t xml:space="preserve"> global</w:t>
      </w:r>
      <w:r w:rsidR="00CA0737">
        <w:rPr>
          <w:sz w:val="24"/>
          <w:szCs w:val="24"/>
        </w:rPr>
        <w:t>ly,</w:t>
      </w:r>
      <w:r>
        <w:rPr>
          <w:sz w:val="24"/>
          <w:szCs w:val="24"/>
        </w:rPr>
        <w:t xml:space="preserve"> soil has been subject to </w:t>
      </w:r>
      <w:r w:rsidR="00DA6554">
        <w:rPr>
          <w:sz w:val="24"/>
          <w:szCs w:val="24"/>
        </w:rPr>
        <w:t>trace</w:t>
      </w:r>
      <w:r>
        <w:rPr>
          <w:sz w:val="24"/>
          <w:szCs w:val="24"/>
        </w:rPr>
        <w:t>, ubiquitous</w:t>
      </w:r>
      <w:r w:rsidR="00DA6554">
        <w:rPr>
          <w:sz w:val="24"/>
          <w:szCs w:val="24"/>
        </w:rPr>
        <w:t xml:space="preserve"> deposition</w:t>
      </w:r>
      <w:r>
        <w:rPr>
          <w:sz w:val="24"/>
          <w:szCs w:val="24"/>
        </w:rPr>
        <w:t xml:space="preserve"> of anthropogenic nuclear materials including, and most importantly in this </w:t>
      </w:r>
      <w:r w:rsidR="00DA6554">
        <w:rPr>
          <w:sz w:val="24"/>
          <w:szCs w:val="24"/>
        </w:rPr>
        <w:t>thesis</w:t>
      </w:r>
      <w:r>
        <w:rPr>
          <w:sz w:val="24"/>
          <w:szCs w:val="24"/>
        </w:rPr>
        <w:t xml:space="preserve">, plutonium </w:t>
      </w:r>
      <w:r w:rsidR="0035508C">
        <w:rPr>
          <w:sz w:val="24"/>
          <w:szCs w:val="24"/>
        </w:rPr>
        <w:fldChar w:fldCharType="begin" w:fldLock="1"/>
      </w:r>
      <w:r w:rsidR="00D56AEE">
        <w:rPr>
          <w:sz w:val="24"/>
          <w:szCs w:val="24"/>
        </w:rPr>
        <w:instrText>ADDIN CSL_CITATION {"citationItems":[{"id":"ITEM-1","itemData":{"DOI":"10.1029/JC080i030p04153","ISSN":"01480227","author":[{"dropping-particle":"","family":"Koide","given":"M.","non-dropping-particle":"","parse-names":false,"suffix":""},{"dropping-particle":"","family":"Griffin","given":"J. J.","non-dropping-particle":"","parse-names":false,"suffix":""},{"dropping-particle":"","family":"Goldberg","given":"E. D.","non-dropping-particle":"","parse-names":false,"suffix":""}],"container-title":"Journal of Geophysical Research","id":"ITEM-1","issue":"30","issued":{"date-parts":[["1975","10","20"]]},"page":"4153-4162","publisher":"John Wiley &amp; Sons, Ltd","title":"Records of plutonium fallout in marine and terrestrial samples","type":"article-journal","volume":"80"},"uris":["http://www.mendeley.com/documents/?uuid=634d0eab-e857-3ad2-b543-4f7d6031e639"]}],"mendeley":{"formattedCitation":"[1]","plainTextFormattedCitation":"[1]","previouslyFormattedCitation":"[1]"},"properties":{"noteIndex":0},"schema":"https://github.com/citation-style-language/schema/raw/master/csl-citation.json"}</w:instrText>
      </w:r>
      <w:r w:rsidR="0035508C">
        <w:rPr>
          <w:sz w:val="24"/>
          <w:szCs w:val="24"/>
        </w:rPr>
        <w:fldChar w:fldCharType="separate"/>
      </w:r>
      <w:r w:rsidR="00D56AEE" w:rsidRPr="00D56AEE">
        <w:rPr>
          <w:noProof/>
          <w:sz w:val="24"/>
          <w:szCs w:val="24"/>
        </w:rPr>
        <w:t>[1]</w:t>
      </w:r>
      <w:r w:rsidR="0035508C">
        <w:rPr>
          <w:sz w:val="24"/>
          <w:szCs w:val="24"/>
        </w:rPr>
        <w:fldChar w:fldCharType="end"/>
      </w:r>
      <w:r>
        <w:rPr>
          <w:sz w:val="24"/>
          <w:szCs w:val="24"/>
        </w:rPr>
        <w:t xml:space="preserve">. Anthropogenic deposits also </w:t>
      </w:r>
      <w:r w:rsidR="00DA6554">
        <w:rPr>
          <w:sz w:val="24"/>
          <w:szCs w:val="24"/>
        </w:rPr>
        <w:t>arise</w:t>
      </w:r>
      <w:r>
        <w:rPr>
          <w:sz w:val="24"/>
          <w:szCs w:val="24"/>
        </w:rPr>
        <w:t xml:space="preserve"> in smaller localities, generally </w:t>
      </w:r>
      <w:r w:rsidR="00DA6554">
        <w:rPr>
          <w:sz w:val="24"/>
          <w:szCs w:val="24"/>
        </w:rPr>
        <w:t>as a result of</w:t>
      </w:r>
      <w:r>
        <w:rPr>
          <w:sz w:val="24"/>
          <w:szCs w:val="24"/>
        </w:rPr>
        <w:t xml:space="preserve"> nuclear energy generation</w:t>
      </w:r>
      <w:r w:rsidR="00DA6554">
        <w:rPr>
          <w:sz w:val="24"/>
          <w:szCs w:val="24"/>
        </w:rPr>
        <w:t>, accidents</w:t>
      </w:r>
      <w:r>
        <w:rPr>
          <w:sz w:val="24"/>
          <w:szCs w:val="24"/>
        </w:rPr>
        <w:t xml:space="preserve"> or the site of nuclear tests </w:t>
      </w:r>
      <w:r w:rsidR="0035508C">
        <w:rPr>
          <w:sz w:val="24"/>
          <w:szCs w:val="24"/>
        </w:rPr>
        <w:fldChar w:fldCharType="begin" w:fldLock="1"/>
      </w:r>
      <w:r w:rsidR="00D56AEE">
        <w:rPr>
          <w:sz w:val="24"/>
          <w:szCs w:val="24"/>
        </w:rPr>
        <w:instrText>ADDIN CSL_CITATION {"citationItems":[{"id":"ITEM-1","itemData":{"author":[{"dropping-particle":"","family":"Gastberger","given":"M","non-dropping-particle":"","parse-names":false,"suffix":""},{"dropping-particle":"","family":"Hubmer","given":"A","non-dropping-particle":"","parse-names":false,"suffix":""},{"dropping-particle":"","family":"Steinhäusler","given":"F","non-dropping-particle":"","parse-names":false,"suffix":""},{"dropping-particle":"","family":"Lettner","given":"H","non-dropping-particle":"","parse-names":false,"suffix":""},{"dropping-particle":"","family":"Spano","given":"M","non-dropping-particle":"","parse-names":false,"suffix":""},{"dropping-particle":"","family":"Stronati","given":"L","non-dropping-particle":"","parse-names":false,"suffix":""},{"dropping-particle":"","family":"Testa","given":"A","non-dropping-particle":"","parse-names":false,"suffix":""}],"container-title":"Radiochim. Acta","id":"ITEM-1","issued":{"date-parts":[["2001"]]},"number-of-pages":"371-375","publisher":" by Oldenbourg Wissenschaftsverlag","title":"Plutonium in soil from Dolon near the Semipalatinsk nuclear test site","type":"report","volume":"89"},"uris":["http://www.mendeley.com/documents/?uuid=62b95809-d59a-3ca0-b209-1148e0d82ce4"]}],"mendeley":{"formattedCitation":"[2]","plainTextFormattedCitation":"[2]","previouslyFormattedCitation":"[2]"},"properties":{"noteIndex":0},"schema":"https://github.com/citation-style-language/schema/raw/master/csl-citation.json"}</w:instrText>
      </w:r>
      <w:r w:rsidR="0035508C">
        <w:rPr>
          <w:sz w:val="24"/>
          <w:szCs w:val="24"/>
        </w:rPr>
        <w:fldChar w:fldCharType="separate"/>
      </w:r>
      <w:r w:rsidR="00D56AEE" w:rsidRPr="00D56AEE">
        <w:rPr>
          <w:noProof/>
          <w:sz w:val="24"/>
          <w:szCs w:val="24"/>
        </w:rPr>
        <w:t>[2]</w:t>
      </w:r>
      <w:r w:rsidR="0035508C">
        <w:rPr>
          <w:sz w:val="24"/>
          <w:szCs w:val="24"/>
        </w:rPr>
        <w:fldChar w:fldCharType="end"/>
      </w:r>
      <w:r>
        <w:rPr>
          <w:sz w:val="24"/>
          <w:szCs w:val="24"/>
        </w:rPr>
        <w:t>.</w:t>
      </w:r>
    </w:p>
    <w:p w14:paraId="3E1DCA95" w14:textId="608E5DA5" w:rsidR="00F37CA9" w:rsidRDefault="00F37CA9" w:rsidP="00F37CA9">
      <w:pPr>
        <w:spacing w:line="480" w:lineRule="auto"/>
        <w:ind w:firstLine="567"/>
        <w:rPr>
          <w:sz w:val="24"/>
          <w:szCs w:val="24"/>
        </w:rPr>
      </w:pPr>
      <w:r>
        <w:rPr>
          <w:sz w:val="24"/>
          <w:szCs w:val="24"/>
        </w:rPr>
        <w:t>Deposits of radioactive material are subject</w:t>
      </w:r>
      <w:r w:rsidR="00DA6554">
        <w:rPr>
          <w:sz w:val="24"/>
          <w:szCs w:val="24"/>
        </w:rPr>
        <w:t xml:space="preserve"> </w:t>
      </w:r>
      <w:r>
        <w:rPr>
          <w:sz w:val="24"/>
          <w:szCs w:val="24"/>
        </w:rPr>
        <w:t xml:space="preserve">to various reactions </w:t>
      </w:r>
      <w:r w:rsidR="00497DCB">
        <w:rPr>
          <w:sz w:val="24"/>
          <w:szCs w:val="24"/>
        </w:rPr>
        <w:t xml:space="preserve">within the soil matrices </w:t>
      </w:r>
      <w:r>
        <w:rPr>
          <w:sz w:val="24"/>
          <w:szCs w:val="24"/>
        </w:rPr>
        <w:t xml:space="preserve">that are still not fully understood. Such reactions affect transport through soil, sorption to soil media, and the formation of new </w:t>
      </w:r>
      <w:r w:rsidRPr="00DA6554">
        <w:rPr>
          <w:sz w:val="24"/>
          <w:szCs w:val="24"/>
        </w:rPr>
        <w:t>compounds</w:t>
      </w:r>
      <w:r w:rsidR="00587ECF" w:rsidRPr="00DA6554">
        <w:rPr>
          <w:sz w:val="24"/>
          <w:szCs w:val="24"/>
        </w:rPr>
        <w:t xml:space="preserve"> </w:t>
      </w:r>
      <w:r w:rsidR="0035508C">
        <w:rPr>
          <w:sz w:val="24"/>
          <w:szCs w:val="24"/>
        </w:rPr>
        <w:fldChar w:fldCharType="begin" w:fldLock="1"/>
      </w:r>
      <w:r w:rsidR="00D56AEE">
        <w:rPr>
          <w:sz w:val="24"/>
          <w:szCs w:val="24"/>
        </w:rPr>
        <w:instrText>ADDIN CSL_CITATION {"citationItems":[{"id":"ITEM-1","itemData":{"DOI":"10.1016/J.JENVRAD.2017.07.024","ISSN":"0265-931X","abstract":"Knowledge of the background activity concentrations of anthropogenic radionuclides before the start of operations of the new nuclear facilities in Belarus is of great value worldwide. Inland water bodies in Lithuania (specifically the Neris River, the Nemunas River and the Curonian Lagoon) are near the site of the Belarusian NPP under construction and, for this reason, sediments and flooded soils from these sensitive areas were analysed for radiocesium and plutonium isotopes (macrophytes were analysed only for 137Cs) in 2011–2012. The 137Cs and 239+240Pu activity concentrations in bottom sediments from the Nemunas River, sampled in 1995–1996 and re-calculated to the year 2016, were compared with those of 2011–2012. The obtained activity of 137Cs in bottom sediments of the Nemunas River and Curonian Lagoon varied from 1 Bq/kg to 47.0 Bq/kg. The activity of 137Cs in the tested soils ranged from 5.3 B g/kg to 32.9 Bq/kg. The 239+240Pu activity in bottom sediments of the studied sampling sites varied between 0.016 and 0.34 Bq/kg and in flooded soils from 0.064 to 0.55 Bq/kg. The 238Pu activity values were very low or lower than the detection limit. The activity of 137Cs in macrophytes varied from values lower than the detection limit to 6 Bq/kg. A strong positive linear correlation for bottom sediments was calculated between: 239+240Pu and total organic carbon (TOC), r = 0.86, p-value 0.01; 239+240Pu and silt, r = 0.80, p-value 0.029; 137Cs and silt, r = 0.78, p-value 0.04; and 137Cs and TOC, r = 0.85, p-value 0.015. The similar peculiarities of 137Cs and 239+240Pu accumulation in bottom sediments and flooded soil allow us to assume that 137Cs can be used as a tracer for 239+240Pu in the initial stage of searching for radionuclide accumulation zones. A remaining impact of the Chernobyl fallout in average comprised: in the Lower Nemunas River and Curonian Lagoon sediments – 51%, in the Middle Nemunas River −90% and in the floodplains of the Nemunas River – 59%, while the provenance of plutonium in studied bottom sediments and flooded soil was the global fallout.","author":[{"dropping-particle":"","family":"Marčiulionienė","given":"D.","non-dropping-particle":"","parse-names":false,"suffix":""},{"dropping-particle":"","family":"Lukšienė","given":"B.","non-dropping-particle":"","parse-names":false,"suffix":""},{"dropping-particle":"","family":"Montvydienė","given":"D.","non-dropping-particle":"","parse-names":false,"suffix":""},{"dropping-particle":"","family":"Jefanova","given":"O.","non-dropping-particle":"","parse-names":false,"suffix":""},{"dropping-particle":"","family":"Mažeika","given":"J.","non-dropping-particle":"","parse-names":false,"suffix":""},{"dropping-particle":"","family":"Taraškevičius","given":"R.","non-dropping-particle":"","parse-names":false,"suffix":""},{"dropping-particle":"","family":"Stakėnienė","given":"R.","non-dropping-particle":"","parse-names":false,"suffix":""},{"dropping-particle":"","family":"Petrošius","given":"R.","non-dropping-particle":"","parse-names":false,"suffix":""},{"dropping-particle":"","family":"Maceika","given":"E.","non-dropping-particle":"","parse-names":false,"suffix":""},{"dropping-particle":"","family":"Tarasiuk","given":"N.","non-dropping-particle":"","parse-names":false,"suffix":""},{"dropping-particle":"","family":"Žukauskaitė","given":"Z.","non-dropping-particle":"","parse-names":false,"suffix":""},{"dropping-particle":"","family":"Kazakevičiūtė","given":"L.","non-dropping-particle":"","parse-names":false,"suffix":""},{"dropping-particle":"","family":"Volkova","given":"M.","non-dropping-particle":"","parse-names":false,"suffix":""}],"container-title":"Journal of Environmental Radioactivity","id":"ITEM-1","issued":{"date-parts":[["2017","11","1"]]},"page":"253-264","publisher":"Elsevier","title":"137Cs and plutonium isotopes accumulation/retention in bottom sediments and soil in Lithuania: A case study of the activity concentration of anthropogenic radionuclides and their provenance before the start of operation of the Belarusian Nuclear Power Plant (NPP)","type":"article-journal","volume":"178-179"},"uris":["http://www.mendeley.com/documents/?uuid=c0ab972f-decc-34b7-9a83-84af732c6287"]}],"mendeley":{"formattedCitation":"[3]","plainTextFormattedCitation":"[3]","previouslyFormattedCitation":"[3]"},"properties":{"noteIndex":0},"schema":"https://github.com/citation-style-language/schema/raw/master/csl-citation.json"}</w:instrText>
      </w:r>
      <w:r w:rsidR="0035508C">
        <w:rPr>
          <w:sz w:val="24"/>
          <w:szCs w:val="24"/>
        </w:rPr>
        <w:fldChar w:fldCharType="separate"/>
      </w:r>
      <w:r w:rsidR="00D56AEE" w:rsidRPr="00D56AEE">
        <w:rPr>
          <w:noProof/>
          <w:sz w:val="24"/>
          <w:szCs w:val="24"/>
        </w:rPr>
        <w:t>[3]</w:t>
      </w:r>
      <w:r w:rsidR="0035508C">
        <w:rPr>
          <w:sz w:val="24"/>
          <w:szCs w:val="24"/>
        </w:rPr>
        <w:fldChar w:fldCharType="end"/>
      </w:r>
      <w:r w:rsidRPr="00DA6554">
        <w:rPr>
          <w:sz w:val="24"/>
          <w:szCs w:val="24"/>
        </w:rPr>
        <w:t>. All</w:t>
      </w:r>
      <w:r>
        <w:rPr>
          <w:sz w:val="24"/>
          <w:szCs w:val="24"/>
        </w:rPr>
        <w:t xml:space="preserve"> of these </w:t>
      </w:r>
      <w:r w:rsidR="00DA6554">
        <w:rPr>
          <w:sz w:val="24"/>
          <w:szCs w:val="24"/>
        </w:rPr>
        <w:t>influences</w:t>
      </w:r>
      <w:r>
        <w:rPr>
          <w:sz w:val="24"/>
          <w:szCs w:val="24"/>
        </w:rPr>
        <w:t xml:space="preserve"> </w:t>
      </w:r>
      <w:r w:rsidR="00DA6554">
        <w:rPr>
          <w:sz w:val="24"/>
          <w:szCs w:val="24"/>
        </w:rPr>
        <w:t>complicate</w:t>
      </w:r>
      <w:r>
        <w:rPr>
          <w:sz w:val="24"/>
          <w:szCs w:val="24"/>
        </w:rPr>
        <w:t xml:space="preserve"> the identification</w:t>
      </w:r>
      <w:r w:rsidR="00A77E8A">
        <w:rPr>
          <w:sz w:val="24"/>
          <w:szCs w:val="24"/>
        </w:rPr>
        <w:t>, measurement</w:t>
      </w:r>
      <w:r>
        <w:rPr>
          <w:sz w:val="24"/>
          <w:szCs w:val="24"/>
        </w:rPr>
        <w:t xml:space="preserve"> and </w:t>
      </w:r>
      <w:r w:rsidR="00DA6554">
        <w:rPr>
          <w:sz w:val="24"/>
          <w:szCs w:val="24"/>
        </w:rPr>
        <w:t>extraction</w:t>
      </w:r>
      <w:r>
        <w:rPr>
          <w:sz w:val="24"/>
          <w:szCs w:val="24"/>
        </w:rPr>
        <w:t xml:space="preserve"> of such material.</w:t>
      </w:r>
    </w:p>
    <w:p w14:paraId="17F190F2" w14:textId="105A198D" w:rsidR="00F37CA9" w:rsidRDefault="00F37CA9" w:rsidP="00F37CA9">
      <w:pPr>
        <w:spacing w:line="480" w:lineRule="auto"/>
        <w:ind w:firstLine="567"/>
        <w:rPr>
          <w:sz w:val="24"/>
          <w:szCs w:val="24"/>
        </w:rPr>
      </w:pPr>
      <w:r>
        <w:rPr>
          <w:sz w:val="24"/>
          <w:szCs w:val="24"/>
        </w:rPr>
        <w:t xml:space="preserve">Dounreay Site Restoration Ltd. (DSRL), as the managing company of Dounreay - an end-stage decommissioning site that is host to these </w:t>
      </w:r>
      <w:r w:rsidR="00DA6554">
        <w:rPr>
          <w:sz w:val="24"/>
          <w:szCs w:val="24"/>
        </w:rPr>
        <w:t>issues</w:t>
      </w:r>
      <w:r w:rsidR="00A77E8A">
        <w:rPr>
          <w:sz w:val="24"/>
          <w:szCs w:val="24"/>
        </w:rPr>
        <w:t xml:space="preserve"> -</w:t>
      </w:r>
      <w:r>
        <w:rPr>
          <w:sz w:val="24"/>
          <w:szCs w:val="24"/>
        </w:rPr>
        <w:t xml:space="preserve"> are interested in the analysis of soils on site to identify plutonium level</w:t>
      </w:r>
      <w:r w:rsidR="00DA6554">
        <w:rPr>
          <w:sz w:val="24"/>
          <w:szCs w:val="24"/>
        </w:rPr>
        <w:t xml:space="preserve"> measurement limits</w:t>
      </w:r>
      <w:r>
        <w:rPr>
          <w:sz w:val="24"/>
          <w:szCs w:val="24"/>
        </w:rPr>
        <w:t xml:space="preserve">. Levels of plutonium on site will then determine the actions taken, with regards to </w:t>
      </w:r>
      <w:r w:rsidR="00DA6554">
        <w:rPr>
          <w:sz w:val="24"/>
          <w:szCs w:val="24"/>
        </w:rPr>
        <w:t>discerning what might have derived from site activities,</w:t>
      </w:r>
      <w:r>
        <w:rPr>
          <w:sz w:val="24"/>
          <w:szCs w:val="24"/>
        </w:rPr>
        <w:t xml:space="preserve"> to such a degree that the land fits the ‘End State’ as discussed in the N</w:t>
      </w:r>
      <w:r w:rsidR="00397D2C">
        <w:rPr>
          <w:sz w:val="24"/>
          <w:szCs w:val="24"/>
        </w:rPr>
        <w:t xml:space="preserve">uclear </w:t>
      </w:r>
      <w:r>
        <w:rPr>
          <w:sz w:val="24"/>
          <w:szCs w:val="24"/>
        </w:rPr>
        <w:t>Decommissioning Authority Report: “Site End State Definition Process”</w:t>
      </w:r>
      <w:r w:rsidR="0035508C">
        <w:rPr>
          <w:sz w:val="24"/>
          <w:szCs w:val="24"/>
        </w:rPr>
        <w:t xml:space="preserve"> </w:t>
      </w:r>
      <w:r w:rsidR="0035508C">
        <w:rPr>
          <w:sz w:val="24"/>
          <w:szCs w:val="24"/>
        </w:rPr>
        <w:fldChar w:fldCharType="begin" w:fldLock="1"/>
      </w:r>
      <w:r w:rsidR="00D56AEE">
        <w:rPr>
          <w:sz w:val="24"/>
          <w:szCs w:val="24"/>
        </w:rPr>
        <w:instrText>ADDIN CSL_CITATION {"citationItems":[{"id":"ITEM-1","itemData":{"abstract":"The NDA Strategy requires the NDA to review site End States in consultation with stakeholders. This paper presents the NDA process for defining site End States. The process described consists of various stages of stakeholder consultation aimed at arriving at site End State definitions that will be reconciled with national requirements before being incorporated into the revised NDA Strategy.","author":[{"dropping-particle":"","family":"Nuclear Decommissioning Authority","given":"","non-dropping-particle":"","parse-names":false,"suffix":""}],"id":"ITEM-1","issued":{"date-parts":[["2006"]]},"title":"Site End State Definition Process","type":"report"},"uris":["http://www.mendeley.com/documents/?uuid=79c6cc52-d59b-3141-9dff-0bf6be660947"]}],"mendeley":{"formattedCitation":"[4]","plainTextFormattedCitation":"[4]","previouslyFormattedCitation":"[4]"},"properties":{"noteIndex":0},"schema":"https://github.com/citation-style-language/schema/raw/master/csl-citation.json"}</w:instrText>
      </w:r>
      <w:r w:rsidR="0035508C">
        <w:rPr>
          <w:sz w:val="24"/>
          <w:szCs w:val="24"/>
        </w:rPr>
        <w:fldChar w:fldCharType="separate"/>
      </w:r>
      <w:r w:rsidR="00D56AEE" w:rsidRPr="00D56AEE">
        <w:rPr>
          <w:noProof/>
          <w:sz w:val="24"/>
          <w:szCs w:val="24"/>
        </w:rPr>
        <w:t>[4]</w:t>
      </w:r>
      <w:r w:rsidR="0035508C">
        <w:rPr>
          <w:sz w:val="24"/>
          <w:szCs w:val="24"/>
        </w:rPr>
        <w:fldChar w:fldCharType="end"/>
      </w:r>
      <w:r>
        <w:rPr>
          <w:sz w:val="24"/>
          <w:szCs w:val="24"/>
        </w:rPr>
        <w:t>.</w:t>
      </w:r>
    </w:p>
    <w:p w14:paraId="29524D16" w14:textId="181CBB8A" w:rsidR="00F37CA9" w:rsidRDefault="00F37CA9" w:rsidP="00F37CA9">
      <w:pPr>
        <w:spacing w:line="480" w:lineRule="auto"/>
        <w:ind w:firstLine="567"/>
        <w:rPr>
          <w:sz w:val="24"/>
          <w:szCs w:val="24"/>
        </w:rPr>
      </w:pPr>
      <w:r>
        <w:rPr>
          <w:sz w:val="24"/>
          <w:szCs w:val="24"/>
        </w:rPr>
        <w:t>This</w:t>
      </w:r>
      <w:r w:rsidR="00DA6554">
        <w:rPr>
          <w:sz w:val="24"/>
          <w:szCs w:val="24"/>
        </w:rPr>
        <w:t xml:space="preserve"> thesis describes a</w:t>
      </w:r>
      <w:r>
        <w:rPr>
          <w:sz w:val="24"/>
          <w:szCs w:val="24"/>
        </w:rPr>
        <w:t xml:space="preserve"> research project </w:t>
      </w:r>
      <w:r w:rsidR="00DA6554">
        <w:rPr>
          <w:sz w:val="24"/>
          <w:szCs w:val="24"/>
        </w:rPr>
        <w:t>focussed on</w:t>
      </w:r>
      <w:r>
        <w:rPr>
          <w:sz w:val="24"/>
          <w:szCs w:val="24"/>
        </w:rPr>
        <w:t xml:space="preserve"> a bespoke method for analysing soils </w:t>
      </w:r>
      <w:r w:rsidR="00DA6554">
        <w:rPr>
          <w:sz w:val="24"/>
          <w:szCs w:val="24"/>
        </w:rPr>
        <w:t xml:space="preserve">from </w:t>
      </w:r>
      <w:r>
        <w:rPr>
          <w:sz w:val="24"/>
          <w:szCs w:val="24"/>
        </w:rPr>
        <w:t xml:space="preserve">Dounreay to identify plutonium at a </w:t>
      </w:r>
      <w:r w:rsidR="00DA6554">
        <w:rPr>
          <w:sz w:val="24"/>
          <w:szCs w:val="24"/>
        </w:rPr>
        <w:t>specific activity level</w:t>
      </w:r>
      <w:r>
        <w:rPr>
          <w:sz w:val="24"/>
          <w:szCs w:val="24"/>
        </w:rPr>
        <w:t xml:space="preserve"> of 0.01 Bq/g.</w:t>
      </w:r>
    </w:p>
    <w:p w14:paraId="55640F2C" w14:textId="4623BEAA" w:rsidR="00F37CA9" w:rsidRDefault="00F37CA9" w:rsidP="00F37CA9">
      <w:pPr>
        <w:spacing w:line="480" w:lineRule="auto"/>
        <w:ind w:firstLine="567"/>
        <w:rPr>
          <w:sz w:val="24"/>
          <w:szCs w:val="24"/>
        </w:rPr>
      </w:pPr>
      <w:r>
        <w:rPr>
          <w:sz w:val="24"/>
          <w:szCs w:val="24"/>
        </w:rPr>
        <w:lastRenderedPageBreak/>
        <w:t xml:space="preserve">The developed method must be efficient and cost-effective to improve upon methods already employed at the Dounreay decommissioning site. </w:t>
      </w:r>
      <w:r w:rsidR="00497DCB">
        <w:rPr>
          <w:sz w:val="24"/>
          <w:szCs w:val="24"/>
        </w:rPr>
        <w:t>F</w:t>
      </w:r>
      <w:r>
        <w:rPr>
          <w:sz w:val="24"/>
          <w:szCs w:val="24"/>
        </w:rPr>
        <w:t>ast neutron counting was chosen due to its recent advancements, particularly advances in the ability to process digital signals at an increased rate which now allows accurate</w:t>
      </w:r>
      <w:r w:rsidR="0076165F">
        <w:rPr>
          <w:sz w:val="24"/>
          <w:szCs w:val="24"/>
        </w:rPr>
        <w:t>,</w:t>
      </w:r>
      <w:r>
        <w:rPr>
          <w:sz w:val="24"/>
          <w:szCs w:val="24"/>
        </w:rPr>
        <w:t xml:space="preserve"> real</w:t>
      </w:r>
      <w:r w:rsidR="0076165F">
        <w:rPr>
          <w:sz w:val="24"/>
          <w:szCs w:val="24"/>
        </w:rPr>
        <w:t>-</w:t>
      </w:r>
      <w:r>
        <w:rPr>
          <w:sz w:val="24"/>
          <w:szCs w:val="24"/>
        </w:rPr>
        <w:t>time neutron counting [</w:t>
      </w:r>
      <w:r w:rsidR="0076165F">
        <w:rPr>
          <w:sz w:val="24"/>
          <w:szCs w:val="24"/>
        </w:rPr>
        <w:t>see for example</w:t>
      </w:r>
      <w:r w:rsidR="0035508C">
        <w:rPr>
          <w:sz w:val="24"/>
          <w:szCs w:val="24"/>
        </w:rPr>
        <w:t xml:space="preserve"> </w:t>
      </w:r>
      <w:r w:rsidR="0035508C">
        <w:rPr>
          <w:sz w:val="24"/>
          <w:szCs w:val="24"/>
        </w:rPr>
        <w:fldChar w:fldCharType="begin" w:fldLock="1"/>
      </w:r>
      <w:r w:rsidR="00D56AEE">
        <w:rPr>
          <w:sz w:val="24"/>
          <w:szCs w:val="24"/>
        </w:rPr>
        <w:instrText>ADDIN CSL_CITATION {"citationItems":[{"id":"ITEM-1","itemData":{"DOI":"10.1109/NSSMIC.2012.6551100","ISBN":"978-1-4673-2030-6","author":[{"dropping-particle":"","family":"Lavietes","given":"Anthony","non-dropping-particle":"","parse-names":false,"suffix":""},{"dropping-particle":"","family":"Plenteda","given":"Romano","non-dropping-particle":"","parse-names":false,"suffix":""},{"dropping-particle":"","family":"Mascarenhas","given":"Nicholas","non-dropping-particle":"","parse-names":false,"suffix":""},{"dropping-particle":"","family":"Cronholm","given":"L. Marie","non-dropping-particle":"","parse-names":false,"suffix":""},{"dropping-particle":"","family":"Aspinall","given":"Michael","non-dropping-particle":"","parse-names":false,"suffix":""},{"dropping-particle":"","family":"Joyce","given":"Malcolm","non-dropping-particle":"","parse-names":false,"suffix":""},{"dropping-particle":"","family":"Tomanin","given":"Alice","non-dropping-particle":"","parse-names":false,"suffix":""},{"dropping-particle":"","family":"Peerani","given":"Paolo","non-dropping-particle":"","parse-names":false,"suffix":""}],"container-title":"2012 IEEE Nuclear Science Symposium and Medical Imaging Conference Record (NSS/MIC)","id":"ITEM-1","issued":{"date-parts":[["2012","10"]]},"page":"230-244","publisher":"IEEE","title":"Liquid scintillator-based neutron detector development","type":"paper-conference"},"uris":["http://www.mendeley.com/documents/?uuid=25847158-f665-32ff-b483-7fa9d4903d7d"]}],"mendeley":{"formattedCitation":"[5]","plainTextFormattedCitation":"[5]","previouslyFormattedCitation":"[5]"},"properties":{"noteIndex":0},"schema":"https://github.com/citation-style-language/schema/raw/master/csl-citation.json"}</w:instrText>
      </w:r>
      <w:r w:rsidR="0035508C">
        <w:rPr>
          <w:sz w:val="24"/>
          <w:szCs w:val="24"/>
        </w:rPr>
        <w:fldChar w:fldCharType="separate"/>
      </w:r>
      <w:r w:rsidR="00D56AEE" w:rsidRPr="00D56AEE">
        <w:rPr>
          <w:noProof/>
          <w:sz w:val="24"/>
          <w:szCs w:val="24"/>
        </w:rPr>
        <w:t>[5]</w:t>
      </w:r>
      <w:r w:rsidR="0035508C">
        <w:rPr>
          <w:sz w:val="24"/>
          <w:szCs w:val="24"/>
        </w:rPr>
        <w:fldChar w:fldCharType="end"/>
      </w:r>
      <w:r>
        <w:rPr>
          <w:sz w:val="24"/>
          <w:szCs w:val="24"/>
        </w:rPr>
        <w:t>. The real-time aspect of the counting method provides a great benefit to the research project’s methodology as it allows the analysis to be monitored continuously without ending measurements</w:t>
      </w:r>
      <w:r w:rsidR="0076165F">
        <w:rPr>
          <w:sz w:val="24"/>
          <w:szCs w:val="24"/>
        </w:rPr>
        <w:t>, potentially in-situ and for extended periods</w:t>
      </w:r>
      <w:r>
        <w:rPr>
          <w:sz w:val="24"/>
          <w:szCs w:val="24"/>
        </w:rPr>
        <w:t>.</w:t>
      </w:r>
      <w:r w:rsidR="00066906">
        <w:rPr>
          <w:sz w:val="24"/>
          <w:szCs w:val="24"/>
        </w:rPr>
        <w:t xml:space="preserve"> </w:t>
      </w:r>
      <w:r w:rsidR="00D7039D">
        <w:rPr>
          <w:sz w:val="24"/>
          <w:szCs w:val="24"/>
        </w:rPr>
        <w:t xml:space="preserve">The </w:t>
      </w:r>
      <w:r w:rsidR="00CA1EF2">
        <w:rPr>
          <w:sz w:val="24"/>
          <w:szCs w:val="24"/>
        </w:rPr>
        <w:t xml:space="preserve">choice of fast neutron counting rather than thermal neutron counting stems from the </w:t>
      </w:r>
      <w:r w:rsidR="00FF19E8">
        <w:rPr>
          <w:sz w:val="24"/>
          <w:szCs w:val="24"/>
        </w:rPr>
        <w:t>greater penetration exhibited by fast neutrons</w:t>
      </w:r>
      <w:r w:rsidR="00072858">
        <w:rPr>
          <w:sz w:val="24"/>
          <w:szCs w:val="24"/>
        </w:rPr>
        <w:t xml:space="preserve"> compared to thermal neutrons. This greater penetration allows the analysis of much larger sample sizes</w:t>
      </w:r>
      <w:r w:rsidR="001166CF">
        <w:rPr>
          <w:sz w:val="24"/>
          <w:szCs w:val="24"/>
        </w:rPr>
        <w:t xml:space="preserve"> </w:t>
      </w:r>
      <w:r w:rsidR="00C52815">
        <w:rPr>
          <w:sz w:val="24"/>
          <w:szCs w:val="24"/>
        </w:rPr>
        <w:t xml:space="preserve">than </w:t>
      </w:r>
      <w:r w:rsidR="00200347">
        <w:rPr>
          <w:sz w:val="24"/>
          <w:szCs w:val="24"/>
        </w:rPr>
        <w:t>usually seen</w:t>
      </w:r>
      <w:r w:rsidR="00F03DB8">
        <w:rPr>
          <w:sz w:val="24"/>
          <w:szCs w:val="24"/>
        </w:rPr>
        <w:t xml:space="preserve">. </w:t>
      </w:r>
      <w:r w:rsidR="00696BEB">
        <w:rPr>
          <w:sz w:val="24"/>
          <w:szCs w:val="24"/>
        </w:rPr>
        <w:t xml:space="preserve">Conventionally, when carrying out radiometric analysis of </w:t>
      </w:r>
      <w:r w:rsidR="00115952">
        <w:rPr>
          <w:sz w:val="24"/>
          <w:szCs w:val="24"/>
        </w:rPr>
        <w:t>samples</w:t>
      </w:r>
      <w:r w:rsidR="00070902">
        <w:rPr>
          <w:sz w:val="24"/>
          <w:szCs w:val="24"/>
        </w:rPr>
        <w:t xml:space="preserve"> it is more desirable to </w:t>
      </w:r>
      <w:r w:rsidR="008946F6">
        <w:rPr>
          <w:sz w:val="24"/>
          <w:szCs w:val="24"/>
        </w:rPr>
        <w:t xml:space="preserve">analyse small sample masses </w:t>
      </w:r>
      <w:r w:rsidR="00297197">
        <w:rPr>
          <w:sz w:val="24"/>
          <w:szCs w:val="24"/>
        </w:rPr>
        <w:t xml:space="preserve">to reduce the likelihood of </w:t>
      </w:r>
      <w:r w:rsidR="00EA04A3">
        <w:rPr>
          <w:sz w:val="24"/>
          <w:szCs w:val="24"/>
        </w:rPr>
        <w:t>attenuation within the sample</w:t>
      </w:r>
      <w:r w:rsidR="006C09C8">
        <w:rPr>
          <w:sz w:val="24"/>
          <w:szCs w:val="24"/>
        </w:rPr>
        <w:t xml:space="preserve">, and therefore increase the </w:t>
      </w:r>
      <w:r w:rsidR="00B35ADA">
        <w:rPr>
          <w:sz w:val="24"/>
          <w:szCs w:val="24"/>
        </w:rPr>
        <w:t>probability</w:t>
      </w:r>
      <w:r w:rsidR="005F3B98">
        <w:rPr>
          <w:sz w:val="24"/>
          <w:szCs w:val="24"/>
        </w:rPr>
        <w:t xml:space="preserve"> of the radiation event making it to the detector</w:t>
      </w:r>
      <w:r w:rsidR="00BE51A9">
        <w:rPr>
          <w:sz w:val="24"/>
          <w:szCs w:val="24"/>
        </w:rPr>
        <w:t xml:space="preserve"> for measurement</w:t>
      </w:r>
      <w:r w:rsidR="00867421">
        <w:rPr>
          <w:sz w:val="24"/>
          <w:szCs w:val="24"/>
        </w:rPr>
        <w:t>, and is certainly the case when detecting thermal neutrons. Fast</w:t>
      </w:r>
      <w:r w:rsidR="00401554">
        <w:rPr>
          <w:sz w:val="24"/>
          <w:szCs w:val="24"/>
        </w:rPr>
        <w:t xml:space="preserve"> neutron detection is less inhibited by this principle, due to the low likelihood of </w:t>
      </w:r>
      <w:r w:rsidR="00943918">
        <w:rPr>
          <w:sz w:val="24"/>
          <w:szCs w:val="24"/>
        </w:rPr>
        <w:t>the</w:t>
      </w:r>
      <w:r w:rsidR="00F944C6">
        <w:rPr>
          <w:sz w:val="24"/>
          <w:szCs w:val="24"/>
        </w:rPr>
        <w:t xml:space="preserve">se neutrons to be </w:t>
      </w:r>
      <w:r w:rsidR="0010717B">
        <w:rPr>
          <w:sz w:val="24"/>
          <w:szCs w:val="24"/>
        </w:rPr>
        <w:t>captured within the sample</w:t>
      </w:r>
      <w:r w:rsidR="00BA1BBF">
        <w:rPr>
          <w:sz w:val="24"/>
          <w:szCs w:val="24"/>
        </w:rPr>
        <w:t xml:space="preserve"> thanks to </w:t>
      </w:r>
      <w:r w:rsidR="008E6F86">
        <w:rPr>
          <w:sz w:val="24"/>
          <w:szCs w:val="24"/>
        </w:rPr>
        <w:t>their greater kinetic energy</w:t>
      </w:r>
      <w:r w:rsidR="00062535">
        <w:rPr>
          <w:sz w:val="24"/>
          <w:szCs w:val="24"/>
        </w:rPr>
        <w:t>.</w:t>
      </w:r>
      <w:r w:rsidR="00840879">
        <w:rPr>
          <w:sz w:val="24"/>
          <w:szCs w:val="24"/>
        </w:rPr>
        <w:t xml:space="preserve"> Due to the low </w:t>
      </w:r>
      <w:r w:rsidR="0013609F">
        <w:rPr>
          <w:sz w:val="24"/>
          <w:szCs w:val="24"/>
        </w:rPr>
        <w:t>efficiency of detection of fast neutrons</w:t>
      </w:r>
      <w:r w:rsidR="00F638D9">
        <w:rPr>
          <w:sz w:val="24"/>
          <w:szCs w:val="24"/>
        </w:rPr>
        <w:t>, the methodology proposed</w:t>
      </w:r>
      <w:r w:rsidR="00F639E7">
        <w:rPr>
          <w:sz w:val="24"/>
          <w:szCs w:val="24"/>
        </w:rPr>
        <w:t xml:space="preserve"> would</w:t>
      </w:r>
      <w:r w:rsidR="00F638D9">
        <w:rPr>
          <w:sz w:val="24"/>
          <w:szCs w:val="24"/>
        </w:rPr>
        <w:t xml:space="preserve"> rel</w:t>
      </w:r>
      <w:r w:rsidR="00F639E7">
        <w:rPr>
          <w:sz w:val="24"/>
          <w:szCs w:val="24"/>
        </w:rPr>
        <w:t>y</w:t>
      </w:r>
      <w:r w:rsidR="00F638D9">
        <w:rPr>
          <w:sz w:val="24"/>
          <w:szCs w:val="24"/>
        </w:rPr>
        <w:t xml:space="preserve"> on longer counting times </w:t>
      </w:r>
      <w:r w:rsidR="00BF7CF5">
        <w:rPr>
          <w:sz w:val="24"/>
          <w:szCs w:val="24"/>
        </w:rPr>
        <w:t xml:space="preserve">than those seen in thermal neutron detection </w:t>
      </w:r>
      <w:r w:rsidR="00F638D9">
        <w:rPr>
          <w:sz w:val="24"/>
          <w:szCs w:val="24"/>
        </w:rPr>
        <w:t xml:space="preserve">to </w:t>
      </w:r>
      <w:r w:rsidR="00455EE2">
        <w:rPr>
          <w:sz w:val="24"/>
          <w:szCs w:val="24"/>
        </w:rPr>
        <w:t>achieve significant statistics</w:t>
      </w:r>
      <w:r w:rsidR="000F7DDC">
        <w:rPr>
          <w:sz w:val="24"/>
          <w:szCs w:val="24"/>
        </w:rPr>
        <w:t>.</w:t>
      </w:r>
    </w:p>
    <w:p w14:paraId="7AA6DE14" w14:textId="6DA5E439" w:rsidR="008024CA" w:rsidRDefault="00F37CA9" w:rsidP="00F37CA9">
      <w:pPr>
        <w:spacing w:line="480" w:lineRule="auto"/>
        <w:ind w:firstLine="567"/>
        <w:rPr>
          <w:sz w:val="24"/>
          <w:szCs w:val="24"/>
        </w:rPr>
      </w:pPr>
      <w:r>
        <w:rPr>
          <w:sz w:val="24"/>
          <w:szCs w:val="24"/>
        </w:rPr>
        <w:t xml:space="preserve">The following </w:t>
      </w:r>
      <w:r w:rsidR="0076165F">
        <w:rPr>
          <w:sz w:val="24"/>
          <w:szCs w:val="24"/>
        </w:rPr>
        <w:t>thesis</w:t>
      </w:r>
      <w:r>
        <w:rPr>
          <w:sz w:val="24"/>
          <w:szCs w:val="24"/>
        </w:rPr>
        <w:t xml:space="preserve"> documents results that present </w:t>
      </w:r>
      <w:r w:rsidR="0076165F">
        <w:rPr>
          <w:sz w:val="24"/>
          <w:szCs w:val="24"/>
        </w:rPr>
        <w:t xml:space="preserve">the potential for </w:t>
      </w:r>
      <w:r>
        <w:rPr>
          <w:sz w:val="24"/>
          <w:szCs w:val="24"/>
        </w:rPr>
        <w:t xml:space="preserve">a new standard for the </w:t>
      </w:r>
      <w:r w:rsidR="00497DCB">
        <w:rPr>
          <w:sz w:val="24"/>
          <w:szCs w:val="24"/>
        </w:rPr>
        <w:t xml:space="preserve">analysis of </w:t>
      </w:r>
      <w:r>
        <w:rPr>
          <w:sz w:val="24"/>
          <w:szCs w:val="24"/>
        </w:rPr>
        <w:t>actinide content of Dounreay soils.</w:t>
      </w:r>
    </w:p>
    <w:p w14:paraId="10314D28" w14:textId="77777777" w:rsidR="008024CA" w:rsidRDefault="008024CA">
      <w:pPr>
        <w:rPr>
          <w:sz w:val="24"/>
          <w:szCs w:val="24"/>
        </w:rPr>
      </w:pPr>
      <w:r>
        <w:rPr>
          <w:sz w:val="24"/>
          <w:szCs w:val="24"/>
        </w:rPr>
        <w:br w:type="page"/>
      </w:r>
    </w:p>
    <w:p w14:paraId="6D79C361" w14:textId="77777777" w:rsidR="00F37CA9" w:rsidRPr="006A2867" w:rsidRDefault="00F37CA9" w:rsidP="00F37CA9">
      <w:pPr>
        <w:pStyle w:val="ListParagraph"/>
        <w:numPr>
          <w:ilvl w:val="1"/>
          <w:numId w:val="8"/>
        </w:numPr>
        <w:spacing w:line="480" w:lineRule="auto"/>
        <w:rPr>
          <w:b/>
          <w:sz w:val="28"/>
          <w:szCs w:val="24"/>
        </w:rPr>
      </w:pPr>
      <w:r w:rsidRPr="006A2867">
        <w:rPr>
          <w:b/>
          <w:sz w:val="28"/>
          <w:szCs w:val="24"/>
        </w:rPr>
        <w:lastRenderedPageBreak/>
        <w:t>Radioactivity in the Environment</w:t>
      </w:r>
    </w:p>
    <w:p w14:paraId="7349598B" w14:textId="2EC040E2" w:rsidR="00F37CA9" w:rsidRPr="00237D0F" w:rsidRDefault="00F37CA9" w:rsidP="00F37CA9">
      <w:pPr>
        <w:pStyle w:val="ListParagraph"/>
        <w:spacing w:line="480" w:lineRule="auto"/>
        <w:ind w:left="0" w:firstLine="567"/>
        <w:rPr>
          <w:sz w:val="24"/>
          <w:szCs w:val="24"/>
        </w:rPr>
      </w:pPr>
      <w:r w:rsidRPr="009569CB">
        <w:rPr>
          <w:sz w:val="24"/>
          <w:szCs w:val="24"/>
        </w:rPr>
        <w:t xml:space="preserve">The largest challenge involved in this </w:t>
      </w:r>
      <w:r w:rsidR="0076165F">
        <w:rPr>
          <w:sz w:val="24"/>
          <w:szCs w:val="24"/>
        </w:rPr>
        <w:t>thesis</w:t>
      </w:r>
      <w:r w:rsidRPr="009569CB">
        <w:rPr>
          <w:sz w:val="24"/>
          <w:szCs w:val="24"/>
        </w:rPr>
        <w:t xml:space="preserve"> is that concerned with distinguishing </w:t>
      </w:r>
      <w:r>
        <w:rPr>
          <w:sz w:val="24"/>
          <w:szCs w:val="24"/>
        </w:rPr>
        <w:t xml:space="preserve">material </w:t>
      </w:r>
      <w:r w:rsidR="0076165F">
        <w:rPr>
          <w:sz w:val="24"/>
          <w:szCs w:val="24"/>
        </w:rPr>
        <w:t>associated with</w:t>
      </w:r>
      <w:r>
        <w:rPr>
          <w:sz w:val="24"/>
          <w:szCs w:val="24"/>
        </w:rPr>
        <w:t xml:space="preserve"> on-site</w:t>
      </w:r>
      <w:r w:rsidR="0076165F">
        <w:rPr>
          <w:sz w:val="24"/>
          <w:szCs w:val="24"/>
        </w:rPr>
        <w:t xml:space="preserve"> activities</w:t>
      </w:r>
      <w:r>
        <w:rPr>
          <w:sz w:val="24"/>
          <w:szCs w:val="24"/>
        </w:rPr>
        <w:t xml:space="preserve"> from </w:t>
      </w:r>
      <w:r w:rsidRPr="009569CB">
        <w:rPr>
          <w:sz w:val="24"/>
          <w:szCs w:val="24"/>
        </w:rPr>
        <w:t>natural radioactive material</w:t>
      </w:r>
      <w:r w:rsidR="00497DCB">
        <w:rPr>
          <w:sz w:val="24"/>
          <w:szCs w:val="24"/>
        </w:rPr>
        <w:t xml:space="preserve"> </w:t>
      </w:r>
      <w:r w:rsidR="0076165F">
        <w:rPr>
          <w:sz w:val="24"/>
          <w:szCs w:val="24"/>
        </w:rPr>
        <w:t>and</w:t>
      </w:r>
      <w:r w:rsidRPr="009569CB">
        <w:rPr>
          <w:sz w:val="24"/>
          <w:szCs w:val="24"/>
        </w:rPr>
        <w:t xml:space="preserve"> that of </w:t>
      </w:r>
      <w:r>
        <w:rPr>
          <w:sz w:val="24"/>
          <w:szCs w:val="24"/>
        </w:rPr>
        <w:t xml:space="preserve">other </w:t>
      </w:r>
      <w:r w:rsidRPr="009569CB">
        <w:rPr>
          <w:sz w:val="24"/>
          <w:szCs w:val="24"/>
        </w:rPr>
        <w:t xml:space="preserve">anthropogenic origin. The challenge stems from the presence of ubiquitous anthropogenic material, generally </w:t>
      </w:r>
      <w:r w:rsidR="00497DCB">
        <w:rPr>
          <w:sz w:val="24"/>
          <w:szCs w:val="24"/>
        </w:rPr>
        <w:t>originating</w:t>
      </w:r>
      <w:r w:rsidRPr="009569CB">
        <w:rPr>
          <w:sz w:val="24"/>
          <w:szCs w:val="24"/>
        </w:rPr>
        <w:t xml:space="preserve"> from fallout</w:t>
      </w:r>
      <w:r w:rsidR="0076165F">
        <w:rPr>
          <w:sz w:val="24"/>
          <w:szCs w:val="24"/>
        </w:rPr>
        <w:t>,</w:t>
      </w:r>
      <w:r>
        <w:rPr>
          <w:sz w:val="24"/>
          <w:szCs w:val="24"/>
        </w:rPr>
        <w:t xml:space="preserve"> and the high natural uranium abundance in the area</w:t>
      </w:r>
      <w:r w:rsidRPr="009569CB">
        <w:rPr>
          <w:sz w:val="24"/>
          <w:szCs w:val="24"/>
        </w:rPr>
        <w:t>.</w:t>
      </w:r>
      <w:r>
        <w:rPr>
          <w:sz w:val="24"/>
          <w:szCs w:val="24"/>
        </w:rPr>
        <w:t xml:space="preserve"> This introductory chapter aims to discuss the differentiation between anthropogenic and naturogenic material, along with presenting </w:t>
      </w:r>
      <w:r w:rsidR="00497DCB">
        <w:rPr>
          <w:sz w:val="24"/>
          <w:szCs w:val="24"/>
        </w:rPr>
        <w:t>some</w:t>
      </w:r>
      <w:r>
        <w:rPr>
          <w:sz w:val="24"/>
          <w:szCs w:val="24"/>
        </w:rPr>
        <w:t xml:space="preserve"> prior art of radionuclide detection methods including current industrial and research methods in use for such purposes</w:t>
      </w:r>
      <w:r w:rsidR="0076165F">
        <w:rPr>
          <w:sz w:val="24"/>
          <w:szCs w:val="24"/>
        </w:rPr>
        <w:t>;</w:t>
      </w:r>
      <w:r>
        <w:rPr>
          <w:sz w:val="24"/>
          <w:szCs w:val="24"/>
        </w:rPr>
        <w:t xml:space="preserve"> a brief history of the Dounreay site and the current pressing objectives of Dounreay Site Restoration Ltd. (DSRL) relating to this aspect of site closure.</w:t>
      </w:r>
    </w:p>
    <w:p w14:paraId="5082EC56" w14:textId="5C2EC195" w:rsidR="00884F90" w:rsidRDefault="00F37CA9" w:rsidP="00884F90">
      <w:pPr>
        <w:spacing w:line="480" w:lineRule="auto"/>
        <w:ind w:firstLine="567"/>
        <w:rPr>
          <w:sz w:val="24"/>
          <w:szCs w:val="24"/>
        </w:rPr>
      </w:pPr>
      <w:r>
        <w:rPr>
          <w:sz w:val="24"/>
          <w:szCs w:val="24"/>
        </w:rPr>
        <w:t>All radioactive material found in nature can be characterized as naturogenic or anthropogenic. Some naturogenic material is primordial,</w:t>
      </w:r>
      <w:r w:rsidR="006C5904">
        <w:rPr>
          <w:sz w:val="24"/>
          <w:szCs w:val="24"/>
        </w:rPr>
        <w:t xml:space="preserve"> i.e., it</w:t>
      </w:r>
      <w:r>
        <w:rPr>
          <w:sz w:val="24"/>
          <w:szCs w:val="24"/>
        </w:rPr>
        <w:t xml:space="preserve"> was formed with the Earth and is found</w:t>
      </w:r>
      <w:r w:rsidR="006C5904">
        <w:rPr>
          <w:sz w:val="24"/>
          <w:szCs w:val="24"/>
        </w:rPr>
        <w:t>, to a greater or lesser extent,</w:t>
      </w:r>
      <w:r>
        <w:rPr>
          <w:sz w:val="24"/>
          <w:szCs w:val="24"/>
        </w:rPr>
        <w:t xml:space="preserve"> throughout the Earth’s geology. This material has since </w:t>
      </w:r>
      <w:r w:rsidR="006C5904">
        <w:rPr>
          <w:sz w:val="24"/>
          <w:szCs w:val="24"/>
        </w:rPr>
        <w:t>changed</w:t>
      </w:r>
      <w:r>
        <w:rPr>
          <w:sz w:val="24"/>
          <w:szCs w:val="24"/>
        </w:rPr>
        <w:t xml:space="preserve"> in composition </w:t>
      </w:r>
      <w:r w:rsidR="006C5904">
        <w:rPr>
          <w:sz w:val="24"/>
          <w:szCs w:val="24"/>
        </w:rPr>
        <w:t xml:space="preserve">and distribution </w:t>
      </w:r>
      <w:r>
        <w:rPr>
          <w:sz w:val="24"/>
          <w:szCs w:val="24"/>
        </w:rPr>
        <w:t>due to radioactive decay, but also in the production of heavier atoms in areas of high</w:t>
      </w:r>
      <w:r w:rsidR="006C5904">
        <w:rPr>
          <w:sz w:val="24"/>
          <w:szCs w:val="24"/>
        </w:rPr>
        <w:t xml:space="preserve"> levels of</w:t>
      </w:r>
      <w:r>
        <w:rPr>
          <w:sz w:val="24"/>
          <w:szCs w:val="24"/>
        </w:rPr>
        <w:t xml:space="preserve"> nuclear material, dubbed natural nuclear reactors, where enough material </w:t>
      </w:r>
      <w:r w:rsidR="006C5904">
        <w:rPr>
          <w:sz w:val="24"/>
          <w:szCs w:val="24"/>
        </w:rPr>
        <w:t>was</w:t>
      </w:r>
      <w:r>
        <w:rPr>
          <w:sz w:val="24"/>
          <w:szCs w:val="24"/>
        </w:rPr>
        <w:t xml:space="preserve"> present in a location to undergo a sustained fission reaction. An example of such a reactor has been found in Gabon, Africa and thought to have been active two billion years ago, as described</w:t>
      </w:r>
      <w:r w:rsidR="006C5904">
        <w:rPr>
          <w:sz w:val="24"/>
          <w:szCs w:val="24"/>
        </w:rPr>
        <w:t xml:space="preserve"> for example</w:t>
      </w:r>
      <w:r>
        <w:rPr>
          <w:sz w:val="24"/>
          <w:szCs w:val="24"/>
        </w:rPr>
        <w:t xml:space="preserve"> by </w:t>
      </w:r>
      <w:r w:rsidR="0035508C">
        <w:rPr>
          <w:sz w:val="24"/>
          <w:szCs w:val="24"/>
        </w:rPr>
        <w:fldChar w:fldCharType="begin" w:fldLock="1"/>
      </w:r>
      <w:r w:rsidR="00D56AEE">
        <w:rPr>
          <w:sz w:val="24"/>
          <w:szCs w:val="24"/>
        </w:rPr>
        <w:instrText>ADDIN CSL_CITATION {"citationItems":[{"id":"ITEM-1","itemData":{"abstract":"Natural nuclear fission reactors are only known in two uranium deposits in the world, the Oklo and Bangomb6 deposits of the Franceville basin: Gabon. Since 1982, five new reactor zones have been discovered in these deposits and studied since 1989 in a cooperative European program. New geological, mineralogical, and geochemical studies have been carried out in order to understand the behavior of the actinides and fission products which have been stored in a geological environment for more than 2.0 Ga years. The Franceville basin and the uranium deposits remained geologically stable over a long period of time. Therefore, the sites of Oklo and Bangomb6 are well preserved. For the reactors, two main periods of actinide and radionuclides migration have been observed: during the criticality, under P-T conditions of 300 bars and 400-500°C, respectively, and during a distention event which affected the Franceville basin 800 to 900 Ma ago and which was responsible for the intrusion of dolerite dikes close to the reactors. New isotopic analyses on uranium dioxides, clays, and phosphates allow us to determine their respective importance for the retention of fission products. The UO2 matrix appears to be efficient at retaining most actinides and fission products such as REEs, Y, and Zr but not the volatile fission products (Cd, Cs, Xe, and Kr) nor Rb, Sr, and Ba. Some fissiogenic elements such as Mo, Tc, Ru, Rh, Pd, and Te could have formed metallic and oxide inclusion in the UO2 matrix which are similar to those observed in artificial spent fuel. Clays and phosphate minerals also appear to have played a role in the retention of fissiogenic REEs and also of Pu.","author":[{"dropping-particle":"","family":"Gauthier-Lafaye","given":"F","non-dropping-particle":"","parse-names":false,"suffix":""},{"dropping-particle":"","family":"Holliger","given":"I P","non-dropping-particle":"","parse-names":false,"suffix":""},{"dropping-particle":"","family":"Blanc","given":"P.-L","non-dropping-particle":"","parse-names":false,"suffix":""}],"container-title":"Geochimica et Cosmochimica Acta","id":"ITEM-1","issue":"23","issued":{"date-parts":[["1996"]]},"number-of-pages":"4831-4852","title":"Natural fission reactors in the Franceville basin, Gabon: A review of the conditions and results of a &amp;quot;critical event&amp;quot; in a geologic system","type":"report","volume":"60"},"uris":["http://www.mendeley.com/documents/?uuid=98a58f91-4ef9-3ae1-8e29-8f7507f87918"]}],"mendeley":{"formattedCitation":"[6]","manualFormatting":"Gauthier-Lafaye et al., (1996","plainTextFormattedCitation":"[6]","previouslyFormattedCitation":"[6]"},"properties":{"noteIndex":0},"schema":"https://github.com/citation-style-language/schema/raw/master/csl-citation.json"}</w:instrText>
      </w:r>
      <w:r w:rsidR="0035508C">
        <w:rPr>
          <w:sz w:val="24"/>
          <w:szCs w:val="24"/>
        </w:rPr>
        <w:fldChar w:fldCharType="separate"/>
      </w:r>
      <w:r w:rsidR="0035508C" w:rsidRPr="0035508C">
        <w:rPr>
          <w:noProof/>
          <w:sz w:val="24"/>
          <w:szCs w:val="24"/>
        </w:rPr>
        <w:t xml:space="preserve">Gauthier-Lafaye et al., </w:t>
      </w:r>
      <w:r w:rsidR="0035508C">
        <w:rPr>
          <w:noProof/>
          <w:sz w:val="24"/>
          <w:szCs w:val="24"/>
        </w:rPr>
        <w:t>(</w:t>
      </w:r>
      <w:r w:rsidR="0035508C" w:rsidRPr="0035508C">
        <w:rPr>
          <w:noProof/>
          <w:sz w:val="24"/>
          <w:szCs w:val="24"/>
        </w:rPr>
        <w:t>1996</w:t>
      </w:r>
      <w:r w:rsidR="0035508C">
        <w:rPr>
          <w:sz w:val="24"/>
          <w:szCs w:val="24"/>
        </w:rPr>
        <w:fldChar w:fldCharType="end"/>
      </w:r>
      <w:r w:rsidR="0035508C">
        <w:rPr>
          <w:sz w:val="24"/>
          <w:szCs w:val="24"/>
        </w:rPr>
        <w:t>)</w:t>
      </w:r>
      <w:r>
        <w:rPr>
          <w:sz w:val="24"/>
          <w:szCs w:val="24"/>
        </w:rPr>
        <w:t>. Many other areas play host to higher than average abundances of radioactive material, albeit not close to the same levels, with concentration highs of approximately 4.2</w:t>
      </w:r>
      <w:r w:rsidR="006C5904">
        <w:rPr>
          <w:sz w:val="24"/>
          <w:szCs w:val="24"/>
        </w:rPr>
        <w:t xml:space="preserve"> </w:t>
      </w:r>
      <w:r>
        <w:rPr>
          <w:sz w:val="24"/>
          <w:szCs w:val="24"/>
        </w:rPr>
        <w:t>mg kg</w:t>
      </w:r>
      <w:r>
        <w:rPr>
          <w:sz w:val="24"/>
          <w:szCs w:val="24"/>
          <w:vertAlign w:val="superscript"/>
        </w:rPr>
        <w:t>-1</w:t>
      </w:r>
      <w:r>
        <w:rPr>
          <w:sz w:val="24"/>
          <w:szCs w:val="24"/>
        </w:rPr>
        <w:t xml:space="preserve"> of topsoil uranium in England as reported in “</w:t>
      </w:r>
      <w:r w:rsidRPr="001E4B11">
        <w:rPr>
          <w:sz w:val="24"/>
          <w:szCs w:val="24"/>
        </w:rPr>
        <w:t>Geological Controls On Radon Potential In England</w:t>
      </w:r>
      <w:r>
        <w:rPr>
          <w:sz w:val="24"/>
          <w:szCs w:val="24"/>
        </w:rPr>
        <w:t xml:space="preserve">” </w:t>
      </w:r>
      <w:r w:rsidR="0035508C">
        <w:rPr>
          <w:sz w:val="24"/>
          <w:szCs w:val="24"/>
        </w:rPr>
        <w:fldChar w:fldCharType="begin" w:fldLock="1"/>
      </w:r>
      <w:r w:rsidR="00D56AEE">
        <w:rPr>
          <w:sz w:val="24"/>
          <w:szCs w:val="24"/>
        </w:rPr>
        <w:instrText>ADDIN CSL_CITATION {"citationItems":[{"id":"ITEM-1","itemData":{"DOI":"10.1016/j.pgeola.2013.03.004","ISSN":"00167878","abstract":"Radon exposure is a chronic and serious geohazard but with the correct knowledge of its distribution provided by an accurate radon potential map, this risk to human health can be reduced through well directed radon testing programmes and building control regulations.The radon potential map presented here, produced by mapping radon concentrations in homes, grouped by underlying geology, provides the most detailed and accurate assessment of radon in England.Bedrock and superficial geology associated with the most radon prone areas are investigated using the joint HPA-BGS radon potential dataset, geological information and, where available, soil geochemistry, airborne radiometric or laboratory analysis.Some of the geological units associated with high radon potential are well known, such as the granite intrusions in south west England, the Carboniferous limestones of Derbyshire and the Jurassic ironstones in Northamptonshire. This study provides a more comprehensive description of the main bedrock geological units associated with intermediate to high radon potential in England including: granites and associated uranium mineralisation in south west England; Devonian, Carboniferous, Permian and Jurassic limestones and dolomites; Devonian, Carboniferous, Jurassic and Cretaceous sandstones; Silurian, Devonian, Lower Carboniferous and Jurassic mudstones; Jurassic ironstones; and some Triassic breccias and conglomerates. Uranium in soil is elevated over many known radon-prone areas but also reflects the accumulation of U in organic-rich soil and peat. Near surface weathering, bedrock fracturing and former working of the ironstones in the English Midlands are all implicated in increased radon potential on these geological units. © 2013 Natural Environment Research Council.","author":[{"dropping-particle":"","family":"Scheib","given":"C.","non-dropping-particle":"","parse-names":false,"suffix":""},{"dropping-particle":"","family":"Appleton","given":"J. D.","non-dropping-particle":"","parse-names":false,"suffix":""},{"dropping-particle":"","family":"Miles","given":"J. C H","non-dropping-particle":"","parse-names":false,"suffix":""},{"dropping-particle":"","family":"Hodgkinson","given":"E.","non-dropping-particle":"","parse-names":false,"suffix":""}],"container-title":"Proceedings of the Geologists' Association","id":"ITEM-1","issue":"6","issued":{"date-parts":[["2013"]]},"page":"910-928","title":"Geological controls on radon potential in England","type":"article-journal","volume":"124"},"uris":["http://www.mendeley.com/documents/?uuid=92d744d1-25f5-4b87-95c0-b7140dd049a8"]}],"mendeley":{"formattedCitation":"[7]","plainTextFormattedCitation":"[7]","previouslyFormattedCitation":"[7]"},"properties":{"noteIndex":0},"schema":"https://github.com/citation-style-language/schema/raw/master/csl-citation.json"}</w:instrText>
      </w:r>
      <w:r w:rsidR="0035508C">
        <w:rPr>
          <w:sz w:val="24"/>
          <w:szCs w:val="24"/>
        </w:rPr>
        <w:fldChar w:fldCharType="separate"/>
      </w:r>
      <w:r w:rsidR="00D56AEE" w:rsidRPr="00D56AEE">
        <w:rPr>
          <w:noProof/>
          <w:sz w:val="24"/>
          <w:szCs w:val="24"/>
        </w:rPr>
        <w:t>[7]</w:t>
      </w:r>
      <w:r w:rsidR="0035508C">
        <w:rPr>
          <w:sz w:val="24"/>
          <w:szCs w:val="24"/>
        </w:rPr>
        <w:fldChar w:fldCharType="end"/>
      </w:r>
      <w:r>
        <w:rPr>
          <w:sz w:val="24"/>
          <w:szCs w:val="24"/>
        </w:rPr>
        <w:t>.</w:t>
      </w:r>
    </w:p>
    <w:p w14:paraId="44453FBC" w14:textId="77777777" w:rsidR="00CD23B7" w:rsidRDefault="00F37CA9" w:rsidP="00CD23B7">
      <w:pPr>
        <w:keepNext/>
        <w:spacing w:line="480" w:lineRule="auto"/>
        <w:ind w:firstLine="567"/>
        <w:jc w:val="center"/>
      </w:pPr>
      <w:r>
        <w:rPr>
          <w:noProof/>
          <w:sz w:val="24"/>
          <w:szCs w:val="24"/>
          <w:lang w:eastAsia="en-GB"/>
        </w:rPr>
        <w:lastRenderedPageBreak/>
        <w:drawing>
          <wp:inline distT="0" distB="0" distL="0" distR="0" wp14:anchorId="2933AE0D" wp14:editId="0A17F39E">
            <wp:extent cx="3389016" cy="43148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ib.jpg"/>
                    <pic:cNvPicPr/>
                  </pic:nvPicPr>
                  <pic:blipFill>
                    <a:blip r:embed="rId11">
                      <a:extLst>
                        <a:ext uri="{28A0092B-C50C-407E-A947-70E740481C1C}">
                          <a14:useLocalDpi xmlns:a14="http://schemas.microsoft.com/office/drawing/2010/main" val="0"/>
                        </a:ext>
                      </a:extLst>
                    </a:blip>
                    <a:stretch>
                      <a:fillRect/>
                    </a:stretch>
                  </pic:blipFill>
                  <pic:spPr>
                    <a:xfrm>
                      <a:off x="0" y="0"/>
                      <a:ext cx="3406519" cy="4337110"/>
                    </a:xfrm>
                    <a:prstGeom prst="rect">
                      <a:avLst/>
                    </a:prstGeom>
                  </pic:spPr>
                </pic:pic>
              </a:graphicData>
            </a:graphic>
          </wp:inline>
        </w:drawing>
      </w:r>
    </w:p>
    <w:p w14:paraId="2FAAE40B" w14:textId="7068B12F" w:rsidR="00CD23B7" w:rsidRPr="006077E6" w:rsidRDefault="00CD23B7" w:rsidP="006077E6">
      <w:pPr>
        <w:pStyle w:val="Caption"/>
        <w:jc w:val="center"/>
        <w:rPr>
          <w:sz w:val="20"/>
        </w:rPr>
      </w:pPr>
      <w:bookmarkStart w:id="3" w:name="_Ref31288121"/>
      <w:r w:rsidRPr="006077E6">
        <w:rPr>
          <w:sz w:val="20"/>
        </w:rPr>
        <w:t xml:space="preserve">Figure </w:t>
      </w:r>
      <w:r w:rsidR="007B6045" w:rsidRPr="006077E6">
        <w:rPr>
          <w:sz w:val="20"/>
        </w:rPr>
        <w:fldChar w:fldCharType="begin"/>
      </w:r>
      <w:r w:rsidR="007B6045" w:rsidRPr="006077E6">
        <w:rPr>
          <w:sz w:val="20"/>
        </w:rPr>
        <w:instrText xml:space="preserve"> SEQ Figure \* ARABIC </w:instrText>
      </w:r>
      <w:r w:rsidR="007B6045" w:rsidRPr="006077E6">
        <w:rPr>
          <w:sz w:val="20"/>
        </w:rPr>
        <w:fldChar w:fldCharType="separate"/>
      </w:r>
      <w:r w:rsidR="00161FDC">
        <w:rPr>
          <w:noProof/>
          <w:sz w:val="20"/>
        </w:rPr>
        <w:t>1</w:t>
      </w:r>
      <w:r w:rsidR="007B6045" w:rsidRPr="006077E6">
        <w:rPr>
          <w:sz w:val="20"/>
        </w:rPr>
        <w:fldChar w:fldCharType="end"/>
      </w:r>
      <w:bookmarkEnd w:id="3"/>
      <w:r w:rsidRPr="006077E6">
        <w:rPr>
          <w:sz w:val="20"/>
        </w:rPr>
        <w:t xml:space="preserve"> Topsoil uranium (mg</w:t>
      </w:r>
      <w:r w:rsidR="009431BB">
        <w:rPr>
          <w:sz w:val="20"/>
        </w:rPr>
        <w:t>/</w:t>
      </w:r>
      <w:r w:rsidRPr="006077E6">
        <w:rPr>
          <w:sz w:val="20"/>
        </w:rPr>
        <w:t>kg</w:t>
      </w:r>
      <w:r w:rsidRPr="006077E6">
        <w:rPr>
          <w:sz w:val="20"/>
          <w:vertAlign w:val="superscript"/>
        </w:rPr>
        <w:t>−1</w:t>
      </w:r>
      <w:r w:rsidRPr="006077E6">
        <w:rPr>
          <w:sz w:val="20"/>
        </w:rPr>
        <w:t xml:space="preserve">) in England. Hotspots of uranium generally rest atop areas with a high abundance of granite </w:t>
      </w:r>
      <w:r w:rsidRPr="006077E6">
        <w:rPr>
          <w:sz w:val="20"/>
        </w:rPr>
        <w:fldChar w:fldCharType="begin" w:fldLock="1"/>
      </w:r>
      <w:r w:rsidR="007B6045" w:rsidRPr="006077E6">
        <w:rPr>
          <w:sz w:val="20"/>
        </w:rPr>
        <w:instrText>ADDIN CSL_CITATION {"citationItems":[{"id":"ITEM-1","itemData":{"DOI":"10.1016/j.pgeola.2013.03.004","ISBN":"4401159363200","ISSN":"00167878","author":[{"dropping-particle":"","family":"Scheib","given":"C","non-dropping-particle":"","parse-names":false,"suffix":""},{"dropping-particle":"","family":"Appleton","given":"J.D.","non-dropping-particle":"","parse-names":false,"suffix":""},{"dropping-particle":"","family":"Miles","given":"J.C.H.","non-dropping-particle":"","parse-names":false,"suffix":""},{"dropping-particle":"","family":"Hodgkinson","given":"E","non-dropping-particle":"","parse-names":false,"suffix":""}],"container-title":"Proceedings of the Geologists' Association","id":"ITEM-1","issue":"6","issued":{"date-parts":[["2013","12"]]},"page":"910-928","title":"Geological controls on radon potential in England","type":"article-journal","volume":"124"},"uris":["http://www.mendeley.com/documents/?uuid=fc02efd8-4ea5-365a-985b-9ff3d9f6c70d"]}],"mendeley":{"formattedCitation":"[8]","plainTextFormattedCitation":"[8]","previouslyFormattedCitation":"[8]"},"properties":{"noteIndex":0},"schema":"https://github.com/citation-style-language/schema/raw/master/csl-citation.json"}</w:instrText>
      </w:r>
      <w:r w:rsidRPr="006077E6">
        <w:rPr>
          <w:sz w:val="20"/>
        </w:rPr>
        <w:fldChar w:fldCharType="separate"/>
      </w:r>
      <w:r w:rsidRPr="006077E6">
        <w:rPr>
          <w:i w:val="0"/>
          <w:noProof/>
          <w:sz w:val="20"/>
        </w:rPr>
        <w:t>[8]</w:t>
      </w:r>
      <w:r w:rsidRPr="006077E6">
        <w:rPr>
          <w:sz w:val="20"/>
        </w:rPr>
        <w:fldChar w:fldCharType="end"/>
      </w:r>
      <w:r w:rsidRPr="006077E6">
        <w:rPr>
          <w:sz w:val="20"/>
        </w:rPr>
        <w:t>. The areas marked as “6” were chosen as the sites of comparison samples taken from England.</w:t>
      </w:r>
    </w:p>
    <w:p w14:paraId="336ED619" w14:textId="2DA3AADD" w:rsidR="00F37CA9" w:rsidRDefault="00F37CA9" w:rsidP="00F37CA9">
      <w:pPr>
        <w:spacing w:line="480" w:lineRule="auto"/>
        <w:ind w:firstLine="567"/>
        <w:rPr>
          <w:sz w:val="24"/>
          <w:szCs w:val="24"/>
        </w:rPr>
      </w:pPr>
      <w:r>
        <w:rPr>
          <w:sz w:val="24"/>
          <w:szCs w:val="24"/>
        </w:rPr>
        <w:t>These areas of</w:t>
      </w:r>
      <w:r w:rsidR="00FE226E">
        <w:rPr>
          <w:sz w:val="24"/>
          <w:szCs w:val="24"/>
        </w:rPr>
        <w:t xml:space="preserve"> naturogenic</w:t>
      </w:r>
      <w:r>
        <w:rPr>
          <w:sz w:val="24"/>
          <w:szCs w:val="24"/>
        </w:rPr>
        <w:t xml:space="preserve"> radioactivity are </w:t>
      </w:r>
      <w:r w:rsidR="00FE226E">
        <w:rPr>
          <w:sz w:val="24"/>
          <w:szCs w:val="24"/>
        </w:rPr>
        <w:t>influenced</w:t>
      </w:r>
      <w:r>
        <w:rPr>
          <w:sz w:val="24"/>
          <w:szCs w:val="24"/>
        </w:rPr>
        <w:t xml:space="preserve"> by geological conditions, generally </w:t>
      </w:r>
      <w:r w:rsidR="00FE226E">
        <w:rPr>
          <w:sz w:val="24"/>
          <w:szCs w:val="24"/>
        </w:rPr>
        <w:t>associated with</w:t>
      </w:r>
      <w:r>
        <w:rPr>
          <w:sz w:val="24"/>
          <w:szCs w:val="24"/>
        </w:rPr>
        <w:t xml:space="preserve"> natural uranium </w:t>
      </w:r>
      <w:r w:rsidR="00FE226E">
        <w:rPr>
          <w:sz w:val="24"/>
          <w:szCs w:val="24"/>
        </w:rPr>
        <w:t xml:space="preserve">and thorium </w:t>
      </w:r>
      <w:r w:rsidR="00AE0C91">
        <w:rPr>
          <w:sz w:val="24"/>
          <w:szCs w:val="24"/>
        </w:rPr>
        <w:t>with uranium comprising</w:t>
      </w:r>
      <w:r>
        <w:rPr>
          <w:sz w:val="24"/>
          <w:szCs w:val="24"/>
        </w:rPr>
        <w:t xml:space="preserve"> of a mixture of isotopes, </w:t>
      </w:r>
      <w:r w:rsidR="00FE226E">
        <w:rPr>
          <w:sz w:val="24"/>
          <w:szCs w:val="24"/>
        </w:rPr>
        <w:t>of</w:t>
      </w:r>
      <w:r>
        <w:rPr>
          <w:sz w:val="24"/>
          <w:szCs w:val="24"/>
        </w:rPr>
        <w:t xml:space="preserve"> approximately 99% </w:t>
      </w:r>
      <w:r w:rsidRPr="00533981">
        <w:rPr>
          <w:sz w:val="24"/>
          <w:szCs w:val="24"/>
          <w:vertAlign w:val="superscript"/>
        </w:rPr>
        <w:t>238</w:t>
      </w:r>
      <w:r>
        <w:rPr>
          <w:sz w:val="24"/>
          <w:szCs w:val="24"/>
        </w:rPr>
        <w:t xml:space="preserve">U, with less than 1% of </w:t>
      </w:r>
      <w:r w:rsidRPr="00533981">
        <w:rPr>
          <w:sz w:val="24"/>
          <w:szCs w:val="24"/>
          <w:vertAlign w:val="superscript"/>
        </w:rPr>
        <w:t>235</w:t>
      </w:r>
      <w:r>
        <w:rPr>
          <w:sz w:val="24"/>
          <w:szCs w:val="24"/>
        </w:rPr>
        <w:t xml:space="preserve">U. The remaining uranium isotopes make up less than 0.5% of the abundance collectively </w:t>
      </w:r>
      <w:r w:rsidR="0035508C">
        <w:rPr>
          <w:sz w:val="24"/>
          <w:szCs w:val="24"/>
        </w:rPr>
        <w:fldChar w:fldCharType="begin" w:fldLock="1"/>
      </w:r>
      <w:r w:rsidR="007B6045">
        <w:rPr>
          <w:sz w:val="24"/>
          <w:szCs w:val="24"/>
        </w:rPr>
        <w:instrText>ADDIN CSL_CITATION {"citationItems":[{"id":"ITEM-1","itemData":{"author":[{"dropping-particle":"","family":"British Geological Survey","given":"","non-dropping-particle":"","parse-names":false,"suffix":""}],"id":"ITEM-1","issue":"March","issued":{"date-parts":[["2010"]]},"title":"Mineral Profile: Uranium","type":"article-journal"},"uris":["http://www.mendeley.com/documents/?uuid=f13cad3c-9fbf-4030-af0b-3476d7ea0735"]}],"mendeley":{"formattedCitation":"[9]","plainTextFormattedCitation":"[9]","previouslyFormattedCitation":"[9]"},"properties":{"noteIndex":0},"schema":"https://github.com/citation-style-language/schema/raw/master/csl-citation.json"}</w:instrText>
      </w:r>
      <w:r w:rsidR="0035508C">
        <w:rPr>
          <w:sz w:val="24"/>
          <w:szCs w:val="24"/>
        </w:rPr>
        <w:fldChar w:fldCharType="separate"/>
      </w:r>
      <w:r w:rsidR="00CD23B7" w:rsidRPr="00CD23B7">
        <w:rPr>
          <w:noProof/>
          <w:sz w:val="24"/>
          <w:szCs w:val="24"/>
        </w:rPr>
        <w:t>[9]</w:t>
      </w:r>
      <w:r w:rsidR="0035508C">
        <w:rPr>
          <w:sz w:val="24"/>
          <w:szCs w:val="24"/>
        </w:rPr>
        <w:fldChar w:fldCharType="end"/>
      </w:r>
      <w:r w:rsidR="0035508C">
        <w:rPr>
          <w:sz w:val="24"/>
          <w:szCs w:val="24"/>
        </w:rPr>
        <w:t>.</w:t>
      </w:r>
    </w:p>
    <w:p w14:paraId="3E1855DF" w14:textId="6694ACFB" w:rsidR="00F37CA9"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 xml:space="preserve">Alongside natural uranium, </w:t>
      </w:r>
      <w:r w:rsidRPr="00533981">
        <w:rPr>
          <w:rFonts w:asciiTheme="minorHAnsi" w:hAnsiTheme="minorHAnsi"/>
          <w:sz w:val="24"/>
          <w:szCs w:val="24"/>
          <w:vertAlign w:val="superscript"/>
        </w:rPr>
        <w:t>239</w:t>
      </w:r>
      <w:r>
        <w:rPr>
          <w:rFonts w:asciiTheme="minorHAnsi" w:hAnsiTheme="minorHAnsi"/>
          <w:sz w:val="24"/>
          <w:szCs w:val="24"/>
        </w:rPr>
        <w:t>Pu is also known to be found naturally, though</w:t>
      </w:r>
      <w:r w:rsidR="0042003A">
        <w:rPr>
          <w:rFonts w:asciiTheme="minorHAnsi" w:hAnsiTheme="minorHAnsi"/>
          <w:sz w:val="24"/>
          <w:szCs w:val="24"/>
        </w:rPr>
        <w:t xml:space="preserve"> typically one thousand times</w:t>
      </w:r>
      <w:r>
        <w:rPr>
          <w:rFonts w:asciiTheme="minorHAnsi" w:hAnsiTheme="minorHAnsi"/>
          <w:sz w:val="24"/>
          <w:szCs w:val="24"/>
        </w:rPr>
        <w:t xml:space="preserve"> lower concentrations than</w:t>
      </w:r>
      <w:r w:rsidR="0037451E">
        <w:rPr>
          <w:rFonts w:asciiTheme="minorHAnsi" w:hAnsiTheme="minorHAnsi"/>
          <w:sz w:val="24"/>
          <w:szCs w:val="24"/>
        </w:rPr>
        <w:t xml:space="preserve"> the</w:t>
      </w:r>
      <w:r w:rsidR="00176F92">
        <w:rPr>
          <w:rFonts w:asciiTheme="minorHAnsi" w:hAnsiTheme="minorHAnsi"/>
          <w:sz w:val="24"/>
          <w:szCs w:val="24"/>
        </w:rPr>
        <w:t xml:space="preserve"> most abundant</w:t>
      </w:r>
      <w:r>
        <w:rPr>
          <w:rFonts w:asciiTheme="minorHAnsi" w:hAnsiTheme="minorHAnsi"/>
          <w:sz w:val="24"/>
          <w:szCs w:val="24"/>
        </w:rPr>
        <w:t xml:space="preserve"> uranium</w:t>
      </w:r>
      <w:r w:rsidR="00176F92">
        <w:rPr>
          <w:rFonts w:asciiTheme="minorHAnsi" w:hAnsiTheme="minorHAnsi"/>
          <w:sz w:val="24"/>
          <w:szCs w:val="24"/>
        </w:rPr>
        <w:t xml:space="preserve"> isotopes</w:t>
      </w:r>
      <w:r>
        <w:rPr>
          <w:rFonts w:asciiTheme="minorHAnsi" w:hAnsiTheme="minorHAnsi"/>
          <w:sz w:val="24"/>
          <w:szCs w:val="24"/>
        </w:rPr>
        <w:t>.</w:t>
      </w:r>
      <w:r w:rsidR="0042003A">
        <w:rPr>
          <w:rFonts w:asciiTheme="minorHAnsi" w:hAnsiTheme="minorHAnsi"/>
          <w:sz w:val="24"/>
          <w:szCs w:val="24"/>
        </w:rPr>
        <w:t xml:space="preserve"> </w:t>
      </w:r>
      <w:r w:rsidR="0042003A" w:rsidRPr="00533981">
        <w:rPr>
          <w:rFonts w:asciiTheme="minorHAnsi" w:hAnsiTheme="minorHAnsi"/>
          <w:sz w:val="24"/>
          <w:szCs w:val="24"/>
          <w:vertAlign w:val="superscript"/>
        </w:rPr>
        <w:t>239</w:t>
      </w:r>
      <w:r w:rsidR="0042003A">
        <w:rPr>
          <w:rFonts w:asciiTheme="minorHAnsi" w:hAnsiTheme="minorHAnsi"/>
          <w:sz w:val="24"/>
          <w:szCs w:val="24"/>
        </w:rPr>
        <w:t xml:space="preserve">Pu is produced naturally by the decay of </w:t>
      </w:r>
      <w:r w:rsidR="0042003A">
        <w:rPr>
          <w:rFonts w:asciiTheme="minorHAnsi" w:hAnsiTheme="minorHAnsi"/>
          <w:sz w:val="24"/>
          <w:szCs w:val="24"/>
          <w:vertAlign w:val="superscript"/>
        </w:rPr>
        <w:t>239</w:t>
      </w:r>
      <w:r w:rsidR="0042003A">
        <w:rPr>
          <w:rFonts w:asciiTheme="minorHAnsi" w:hAnsiTheme="minorHAnsi"/>
          <w:sz w:val="24"/>
          <w:szCs w:val="24"/>
        </w:rPr>
        <w:t xml:space="preserve">U, which itself is formed by the rare occurrence of a </w:t>
      </w:r>
      <w:r w:rsidR="0042003A">
        <w:rPr>
          <w:rFonts w:asciiTheme="minorHAnsi" w:hAnsiTheme="minorHAnsi"/>
          <w:sz w:val="24"/>
          <w:szCs w:val="24"/>
          <w:vertAlign w:val="superscript"/>
        </w:rPr>
        <w:t>238</w:t>
      </w:r>
      <w:r w:rsidR="0042003A">
        <w:rPr>
          <w:rFonts w:asciiTheme="minorHAnsi" w:hAnsiTheme="minorHAnsi"/>
          <w:sz w:val="24"/>
          <w:szCs w:val="24"/>
        </w:rPr>
        <w:t>U isotope accepting a neutron.</w:t>
      </w:r>
      <w:r>
        <w:rPr>
          <w:rFonts w:asciiTheme="minorHAnsi" w:hAnsiTheme="minorHAnsi"/>
          <w:sz w:val="24"/>
          <w:szCs w:val="24"/>
        </w:rPr>
        <w:t xml:space="preserve"> Both </w:t>
      </w:r>
      <w:r w:rsidR="00176F92">
        <w:rPr>
          <w:rFonts w:asciiTheme="minorHAnsi" w:hAnsiTheme="minorHAnsi"/>
          <w:sz w:val="24"/>
          <w:szCs w:val="24"/>
        </w:rPr>
        <w:t>uranium and plutonium</w:t>
      </w:r>
      <w:r>
        <w:rPr>
          <w:rFonts w:asciiTheme="minorHAnsi" w:hAnsiTheme="minorHAnsi"/>
          <w:sz w:val="24"/>
          <w:szCs w:val="24"/>
        </w:rPr>
        <w:t xml:space="preserve"> are generally found in their highest abundances in areas with underlying granite. Historically, these isotopes were the </w:t>
      </w:r>
      <w:r w:rsidR="00497DCB">
        <w:rPr>
          <w:rFonts w:asciiTheme="minorHAnsi" w:hAnsiTheme="minorHAnsi"/>
          <w:sz w:val="24"/>
          <w:szCs w:val="24"/>
        </w:rPr>
        <w:t>main</w:t>
      </w:r>
      <w:r>
        <w:rPr>
          <w:rFonts w:asciiTheme="minorHAnsi" w:hAnsiTheme="minorHAnsi"/>
          <w:sz w:val="24"/>
          <w:szCs w:val="24"/>
        </w:rPr>
        <w:t xml:space="preserve"> contact people had with actinides until the </w:t>
      </w:r>
      <w:r w:rsidR="00176F92">
        <w:rPr>
          <w:rFonts w:asciiTheme="minorHAnsi" w:hAnsiTheme="minorHAnsi"/>
          <w:sz w:val="24"/>
          <w:szCs w:val="24"/>
        </w:rPr>
        <w:t xml:space="preserve">pioneering work of Seaborg in the 1940s, </w:t>
      </w:r>
      <w:r>
        <w:rPr>
          <w:rFonts w:asciiTheme="minorHAnsi" w:hAnsiTheme="minorHAnsi"/>
          <w:sz w:val="24"/>
          <w:szCs w:val="24"/>
        </w:rPr>
        <w:lastRenderedPageBreak/>
        <w:t>discovery of the fission reaction and the spread of ubiquitous anthropogenic radioactive material</w:t>
      </w:r>
      <w:r w:rsidR="00176F92">
        <w:rPr>
          <w:rFonts w:asciiTheme="minorHAnsi" w:hAnsiTheme="minorHAnsi"/>
          <w:sz w:val="24"/>
          <w:szCs w:val="24"/>
        </w:rPr>
        <w:t xml:space="preserve"> that followed</w:t>
      </w:r>
      <w:r>
        <w:rPr>
          <w:rFonts w:asciiTheme="minorHAnsi" w:hAnsiTheme="minorHAnsi"/>
          <w:sz w:val="24"/>
          <w:szCs w:val="24"/>
        </w:rPr>
        <w:t>. Ubiquitous contamination began with local contamination, con</w:t>
      </w:r>
      <w:r w:rsidR="00176F92">
        <w:rPr>
          <w:rFonts w:asciiTheme="minorHAnsi" w:hAnsiTheme="minorHAnsi"/>
          <w:sz w:val="24"/>
          <w:szCs w:val="24"/>
        </w:rPr>
        <w:t>s</w:t>
      </w:r>
      <w:r>
        <w:rPr>
          <w:rFonts w:asciiTheme="minorHAnsi" w:hAnsiTheme="minorHAnsi"/>
          <w:sz w:val="24"/>
          <w:szCs w:val="24"/>
        </w:rPr>
        <w:t>t</w:t>
      </w:r>
      <w:r w:rsidR="00176F92">
        <w:rPr>
          <w:rFonts w:asciiTheme="minorHAnsi" w:hAnsiTheme="minorHAnsi"/>
          <w:sz w:val="24"/>
          <w:szCs w:val="24"/>
        </w:rPr>
        <w:t>r</w:t>
      </w:r>
      <w:r>
        <w:rPr>
          <w:rFonts w:asciiTheme="minorHAnsi" w:hAnsiTheme="minorHAnsi"/>
          <w:sz w:val="24"/>
          <w:szCs w:val="24"/>
        </w:rPr>
        <w:t xml:space="preserve">ained to sites of radioactive </w:t>
      </w:r>
      <w:r w:rsidR="00176F92">
        <w:rPr>
          <w:rFonts w:asciiTheme="minorHAnsi" w:hAnsiTheme="minorHAnsi"/>
          <w:sz w:val="24"/>
          <w:szCs w:val="24"/>
        </w:rPr>
        <w:t>materials processing</w:t>
      </w:r>
      <w:r>
        <w:rPr>
          <w:rFonts w:asciiTheme="minorHAnsi" w:hAnsiTheme="minorHAnsi"/>
          <w:sz w:val="24"/>
          <w:szCs w:val="24"/>
        </w:rPr>
        <w:t xml:space="preserve"> and research, but with the advent of nuclear weapons, contamination rapidly spread globally </w:t>
      </w:r>
      <w:r w:rsidR="00497DCB">
        <w:rPr>
          <w:rFonts w:asciiTheme="minorHAnsi" w:hAnsiTheme="minorHAnsi"/>
          <w:sz w:val="24"/>
          <w:szCs w:val="24"/>
        </w:rPr>
        <w:t xml:space="preserve">via the transport of radionuclide particles in air </w:t>
      </w:r>
      <w:r>
        <w:rPr>
          <w:rFonts w:asciiTheme="minorHAnsi" w:hAnsiTheme="minorHAnsi"/>
          <w:sz w:val="24"/>
          <w:szCs w:val="24"/>
        </w:rPr>
        <w:t>and became known as fallout.</w:t>
      </w:r>
    </w:p>
    <w:p w14:paraId="46A32F37" w14:textId="0CBEC7DC" w:rsidR="00F37CA9"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Most fallout originate</w:t>
      </w:r>
      <w:r w:rsidR="00176F92">
        <w:rPr>
          <w:rFonts w:asciiTheme="minorHAnsi" w:hAnsiTheme="minorHAnsi"/>
          <w:sz w:val="24"/>
          <w:szCs w:val="24"/>
        </w:rPr>
        <w:t>s</w:t>
      </w:r>
      <w:r>
        <w:rPr>
          <w:rFonts w:asciiTheme="minorHAnsi" w:hAnsiTheme="minorHAnsi"/>
          <w:sz w:val="24"/>
          <w:szCs w:val="24"/>
        </w:rPr>
        <w:t xml:space="preserve"> from nuclear weapons tests carried out by the US</w:t>
      </w:r>
      <w:r w:rsidR="00497DCB">
        <w:rPr>
          <w:rFonts w:asciiTheme="minorHAnsi" w:hAnsiTheme="minorHAnsi"/>
          <w:sz w:val="24"/>
          <w:szCs w:val="24"/>
        </w:rPr>
        <w:t>,</w:t>
      </w:r>
      <w:r>
        <w:rPr>
          <w:rFonts w:asciiTheme="minorHAnsi" w:hAnsiTheme="minorHAnsi"/>
          <w:sz w:val="24"/>
          <w:szCs w:val="24"/>
        </w:rPr>
        <w:t xml:space="preserve"> other Western powers and the </w:t>
      </w:r>
      <w:r w:rsidR="00176F92">
        <w:rPr>
          <w:rFonts w:asciiTheme="minorHAnsi" w:hAnsiTheme="minorHAnsi"/>
          <w:sz w:val="24"/>
          <w:szCs w:val="24"/>
        </w:rPr>
        <w:t xml:space="preserve">former </w:t>
      </w:r>
      <w:r>
        <w:rPr>
          <w:rFonts w:asciiTheme="minorHAnsi" w:hAnsiTheme="minorHAnsi"/>
          <w:sz w:val="24"/>
          <w:szCs w:val="24"/>
        </w:rPr>
        <w:t xml:space="preserve">USSR. The US tests were carried out in areas of low population, mainly the Nevada desert (the Nevada </w:t>
      </w:r>
      <w:r w:rsidRPr="000F6104">
        <w:rPr>
          <w:rFonts w:asciiTheme="minorHAnsi" w:hAnsiTheme="minorHAnsi"/>
          <w:sz w:val="24"/>
          <w:szCs w:val="24"/>
        </w:rPr>
        <w:t xml:space="preserve">Test Site) </w:t>
      </w:r>
      <w:r w:rsidR="0035508C">
        <w:rPr>
          <w:rFonts w:asciiTheme="minorHAnsi" w:hAnsiTheme="minorHAnsi"/>
          <w:sz w:val="24"/>
          <w:szCs w:val="24"/>
        </w:rPr>
        <w:fldChar w:fldCharType="begin" w:fldLock="1"/>
      </w:r>
      <w:r w:rsidR="007B6045">
        <w:rPr>
          <w:rFonts w:asciiTheme="minorHAnsi" w:hAnsiTheme="minorHAnsi"/>
          <w:sz w:val="24"/>
          <w:szCs w:val="24"/>
        </w:rPr>
        <w:instrText>ADDIN CSL_CITATION {"citationItems":[{"id":"ITEM-1","itemData":{"DOI":"10.1134/S1067413608070060","ISSN":"1067-4136","author":[{"dropping-particle":"","family":"Peterson","given":"L. E.","non-dropping-particle":"","parse-names":false,"suffix":""},{"dropping-particle":"","family":"Miller","given":"R. L.","non-dropping-particle":"","parse-names":false,"suffix":""}],"container-title":"Russian Journal of Ecology","id":"ITEM-1","issue":"7","issued":{"date-parts":[["2008","12","26"]]},"page":"495-509","publisher":"SP MAIK Nauka/Interperiodica","title":"Association between radioactive fallout from 1951–1962 US nuclear tests at the Nevada Test Site and cancer mortality in midwestern US populations","type":"article-journal","volume":"39"},"uris":["http://www.mendeley.com/documents/?uuid=972fe781-8477-38b2-bd05-4d571236f07d"]}],"mendeley":{"formattedCitation":"[10]","plainTextFormattedCitation":"[10]","previouslyFormattedCitation":"[10]"},"properties":{"noteIndex":0},"schema":"https://github.com/citation-style-language/schema/raw/master/csl-citation.json"}</w:instrText>
      </w:r>
      <w:r w:rsidR="0035508C">
        <w:rPr>
          <w:rFonts w:asciiTheme="minorHAnsi" w:hAnsiTheme="minorHAnsi"/>
          <w:sz w:val="24"/>
          <w:szCs w:val="24"/>
        </w:rPr>
        <w:fldChar w:fldCharType="separate"/>
      </w:r>
      <w:r w:rsidR="00CD23B7" w:rsidRPr="00CD23B7">
        <w:rPr>
          <w:rFonts w:asciiTheme="minorHAnsi" w:hAnsiTheme="minorHAnsi"/>
          <w:noProof/>
          <w:sz w:val="24"/>
          <w:szCs w:val="24"/>
        </w:rPr>
        <w:t>[10]</w:t>
      </w:r>
      <w:r w:rsidR="0035508C">
        <w:rPr>
          <w:rFonts w:asciiTheme="minorHAnsi" w:hAnsiTheme="minorHAnsi"/>
          <w:sz w:val="24"/>
          <w:szCs w:val="24"/>
        </w:rPr>
        <w:fldChar w:fldCharType="end"/>
      </w:r>
      <w:r w:rsidRPr="000F6104">
        <w:rPr>
          <w:rFonts w:asciiTheme="minorHAnsi" w:hAnsiTheme="minorHAnsi"/>
          <w:color w:val="FF0000"/>
          <w:sz w:val="24"/>
          <w:szCs w:val="24"/>
        </w:rPr>
        <w:t xml:space="preserve"> </w:t>
      </w:r>
      <w:r w:rsidRPr="000F6104">
        <w:rPr>
          <w:rFonts w:asciiTheme="minorHAnsi" w:hAnsiTheme="minorHAnsi"/>
          <w:sz w:val="24"/>
          <w:szCs w:val="24"/>
        </w:rPr>
        <w:t xml:space="preserve">and the Marshall Islands in the Pacific Ocean (Pacific Proving Grounds) </w:t>
      </w:r>
      <w:r w:rsidR="0035508C">
        <w:rPr>
          <w:rFonts w:asciiTheme="minorHAnsi" w:hAnsiTheme="minorHAnsi"/>
          <w:sz w:val="24"/>
          <w:szCs w:val="24"/>
        </w:rPr>
        <w:fldChar w:fldCharType="begin" w:fldLock="1"/>
      </w:r>
      <w:r w:rsidR="007B6045">
        <w:rPr>
          <w:rFonts w:asciiTheme="minorHAnsi" w:hAnsiTheme="minorHAnsi"/>
          <w:sz w:val="24"/>
          <w:szCs w:val="24"/>
        </w:rPr>
        <w:instrText>ADDIN CSL_CITATION {"citationItems":[{"id":"ITEM-1","itemData":{"abstract":"Nuclear weapons tests conducted by the United States in the Marshall Islands produced significant quantities of regional or tropospheric fallout contamination. Here we report on some preliminary inductively coupled plasma-mass Ž. spectrometry ICP-MS measurements of plutonium isolated from seven composite soil samples collected from Bikini, Enewetak and Rongelap Atolls in the northern Marshall Islands. These data show that 240 Pur 239 Pu isotopic signatures in surface soils from the Marshall Island vary significantly and could potentially be used to help quantify Ž. 137 60 the range and extent of fallout deposition and associated impacts from specific weapons tests. Cs and Co were also determined on the same set of soil samples for comparative purposes.","author":[{"dropping-particle":"","family":"Muramatsu","given":"Y","non-dropping-particle":"","parse-names":false,"suffix":""},{"dropping-particle":"","family":"Hamilton","given":"T","non-dropping-particle":"","parse-names":false,"suffix":""},{"dropping-particle":"","family":"Uchida","given":"S","non-dropping-particle":"","parse-names":false,"suffix":""},{"dropping-particle":"","family":"Tagami","given":"K","non-dropping-particle":"","parse-names":false,"suffix":""},{"dropping-particle":"","family":"Yoshida","given":"S","non-dropping-particle":"","parse-names":false,"suffix":""},{"dropping-particle":"","family":"Robison","given":"W","non-dropping-particle":"","parse-names":false,"suffix":""}],"container-title":"The Science of the Total Environment","id":"ITEM-1","issued":{"date-parts":[["2001"]]},"number-of-pages":"151159","title":"Measurement of 240Pu/239Pu isotopic ratios in soils from the Marshall Islands using ICP-MS","type":"report","volume":"278"},"uris":["http://www.mendeley.com/documents/?uuid=2d7e5dda-fd1e-3e56-b68e-4e9edeab891d"]}],"mendeley":{"formattedCitation":"[11]","plainTextFormattedCitation":"[11]","previouslyFormattedCitation":"[11]"},"properties":{"noteIndex":0},"schema":"https://github.com/citation-style-language/schema/raw/master/csl-citation.json"}</w:instrText>
      </w:r>
      <w:r w:rsidR="0035508C">
        <w:rPr>
          <w:rFonts w:asciiTheme="minorHAnsi" w:hAnsiTheme="minorHAnsi"/>
          <w:sz w:val="24"/>
          <w:szCs w:val="24"/>
        </w:rPr>
        <w:fldChar w:fldCharType="separate"/>
      </w:r>
      <w:r w:rsidR="00CD23B7" w:rsidRPr="00CD23B7">
        <w:rPr>
          <w:rFonts w:asciiTheme="minorHAnsi" w:hAnsiTheme="minorHAnsi"/>
          <w:noProof/>
          <w:sz w:val="24"/>
          <w:szCs w:val="24"/>
        </w:rPr>
        <w:t>[11]</w:t>
      </w:r>
      <w:r w:rsidR="0035508C">
        <w:rPr>
          <w:rFonts w:asciiTheme="minorHAnsi" w:hAnsiTheme="minorHAnsi"/>
          <w:sz w:val="24"/>
          <w:szCs w:val="24"/>
        </w:rPr>
        <w:fldChar w:fldCharType="end"/>
      </w:r>
      <w:r w:rsidR="0035508C">
        <w:rPr>
          <w:rFonts w:asciiTheme="minorHAnsi" w:hAnsiTheme="minorHAnsi"/>
          <w:sz w:val="24"/>
          <w:szCs w:val="24"/>
        </w:rPr>
        <w:t>.</w:t>
      </w:r>
      <w:r w:rsidRPr="00AD7E47">
        <w:rPr>
          <w:rFonts w:asciiTheme="minorHAnsi" w:hAnsiTheme="minorHAnsi"/>
          <w:sz w:val="24"/>
          <w:szCs w:val="24"/>
        </w:rPr>
        <w:t xml:space="preserve"> </w:t>
      </w:r>
      <w:r>
        <w:rPr>
          <w:rFonts w:asciiTheme="minorHAnsi" w:hAnsiTheme="minorHAnsi"/>
          <w:sz w:val="24"/>
          <w:szCs w:val="24"/>
        </w:rPr>
        <w:t xml:space="preserve">The Soviet tests were mainly carried out in areas of Kazakhstan, namely Semipalatinsk, which was under USSR control at the </w:t>
      </w:r>
      <w:r w:rsidRPr="00AD7E47">
        <w:rPr>
          <w:rFonts w:asciiTheme="minorHAnsi" w:hAnsiTheme="minorHAnsi"/>
          <w:sz w:val="24"/>
          <w:szCs w:val="24"/>
        </w:rPr>
        <w:t>time</w:t>
      </w:r>
      <w:r w:rsidR="0035508C">
        <w:rPr>
          <w:rFonts w:asciiTheme="minorHAnsi" w:hAnsiTheme="minorHAnsi"/>
          <w:sz w:val="24"/>
          <w:szCs w:val="24"/>
        </w:rPr>
        <w:t xml:space="preserve"> </w:t>
      </w:r>
      <w:r w:rsidR="0035508C">
        <w:rPr>
          <w:rFonts w:asciiTheme="minorHAnsi" w:hAnsiTheme="minorHAnsi"/>
          <w:sz w:val="24"/>
          <w:szCs w:val="24"/>
        </w:rPr>
        <w:fldChar w:fldCharType="begin" w:fldLock="1"/>
      </w:r>
      <w:r w:rsidR="00D56AEE">
        <w:rPr>
          <w:rFonts w:asciiTheme="minorHAnsi" w:hAnsiTheme="minorHAnsi"/>
          <w:sz w:val="24"/>
          <w:szCs w:val="24"/>
        </w:rPr>
        <w:instrText>ADDIN CSL_CITATION {"citationItems":[{"id":"ITEM-1","itemData":{"author":[{"dropping-particle":"","family":"Gastberger","given":"M","non-dropping-particle":"","parse-names":false,"suffix":""},{"dropping-particle":"","family":"Hubmer","given":"A","non-dropping-particle":"","parse-names":false,"suffix":""},{"dropping-particle":"","family":"Steinhäusler","given":"F","non-dropping-particle":"","parse-names":false,"suffix":""},{"dropping-particle":"","family":"Lettner","given":"H","non-dropping-particle":"","parse-names":false,"suffix":""},{"dropping-particle":"","family":"Spano","given":"M","non-dropping-particle":"","parse-names":false,"suffix":""},{"dropping-particle":"","family":"Stronati","given":"L","non-dropping-particle":"","parse-names":false,"suffix":""},{"dropping-particle":"","family":"Testa","given":"A","non-dropping-particle":"","parse-names":false,"suffix":""}],"container-title":"Radiochim. Acta","id":"ITEM-1","issued":{"date-parts":[["2001"]]},"number-of-pages":"371-375","publisher":" by Oldenbourg Wissenschaftsverlag","title":"Plutonium in soil from Dolon near the Semipalatinsk nuclear test site","type":"report","volume":"89"},"uris":["http://www.mendeley.com/documents/?uuid=62b95809-d59a-3ca0-b209-1148e0d82ce4"]}],"mendeley":{"formattedCitation":"[2]","plainTextFormattedCitation":"[2]","previouslyFormattedCitation":"[2]"},"properties":{"noteIndex":0},"schema":"https://github.com/citation-style-language/schema/raw/master/csl-citation.json"}</w:instrText>
      </w:r>
      <w:r w:rsidR="0035508C">
        <w:rPr>
          <w:rFonts w:asciiTheme="minorHAnsi" w:hAnsiTheme="minorHAnsi"/>
          <w:sz w:val="24"/>
          <w:szCs w:val="24"/>
        </w:rPr>
        <w:fldChar w:fldCharType="separate"/>
      </w:r>
      <w:r w:rsidR="00D56AEE" w:rsidRPr="00D56AEE">
        <w:rPr>
          <w:rFonts w:asciiTheme="minorHAnsi" w:hAnsiTheme="minorHAnsi"/>
          <w:noProof/>
          <w:sz w:val="24"/>
          <w:szCs w:val="24"/>
        </w:rPr>
        <w:t>[2]</w:t>
      </w:r>
      <w:r w:rsidR="0035508C">
        <w:rPr>
          <w:rFonts w:asciiTheme="minorHAnsi" w:hAnsiTheme="minorHAnsi"/>
          <w:sz w:val="24"/>
          <w:szCs w:val="24"/>
        </w:rPr>
        <w:fldChar w:fldCharType="end"/>
      </w:r>
      <w:r w:rsidR="0035508C">
        <w:rPr>
          <w:rFonts w:asciiTheme="minorHAnsi" w:hAnsiTheme="minorHAnsi"/>
          <w:sz w:val="24"/>
          <w:szCs w:val="24"/>
        </w:rPr>
        <w:t xml:space="preserve"> </w:t>
      </w:r>
      <w:r w:rsidR="0035508C">
        <w:rPr>
          <w:rFonts w:asciiTheme="minorHAnsi" w:hAnsiTheme="minorHAnsi"/>
          <w:sz w:val="24"/>
          <w:szCs w:val="24"/>
        </w:rPr>
        <w:fldChar w:fldCharType="begin" w:fldLock="1"/>
      </w:r>
      <w:r w:rsidR="007B6045">
        <w:rPr>
          <w:rFonts w:asciiTheme="minorHAnsi" w:hAnsiTheme="minorHAnsi"/>
          <w:sz w:val="24"/>
          <w:szCs w:val="24"/>
        </w:rPr>
        <w:instrText>ADDIN CSL_CITATION {"citationItems":[{"id":"ITEM-1","itemData":{"abstract":"Published by Elsevier Science Ltd. Printed in Great Britain P I I : S 0 2 6 5-9 3 1 X (9 7) 0 0 0 5 0-7 ABS¹RAC¹ Mass spectrometry measurements of Pu, U and Np isolated from soils contaminated by the 1957 accident at the Mayak nuclear complex in the Southern Ural mountains ('Kyshtym accident') and from soils collected at and near the Former Soviet Union (FSU) test site at Semipalatinsk-21 are reported. The results provide a coherent isotopic data set suggesting (1) that Pu recovered from irradiated uranium fuels processed at Mayak formed the source material for Pu devices tested at Semipalatinsk-21; (2) that 237 Np in the breached Mayak storage tank resulted, principally, from enrichment of this radionucl-ide in waste streams during the processing of low burn-up uranium fuels to recover both Pu and U and (3) the presence of 236 U at both sites may be useful in tracing inputs of this, and other transuranic radionuclides, to nearby river systems that flow to the Arctic Ocean. Published by Elsevier Science Ltd.","author":[{"dropping-particle":"","family":"Beasley","given":"T M","non-dropping-particle":"","parse-names":false,"suffix":""},{"dropping-particle":"","family":"Kelley","given":"J M","non-dropping-particle":"","parse-names":false,"suffix":""},{"dropping-particle":"","family":"Orlandini","given":"K A","non-dropping-particle":"","parse-names":false,"suffix":""},{"dropping-particle":"","family":"Bond","given":"A L A","non-dropping-particle":"","parse-names":false,"suffix":""},{"dropping-particle":"","family":"Aarkrog","given":"@ A","non-dropping-particle":"","parse-names":false,"suffix":""},{"dropping-particle":"","family":"Trapeznikovc","given":"B A P","non-dropping-particle":"","parse-names":false,"suffix":""},{"dropping-particle":"","family":"Pozolotinac","given":"V N","non-dropping-particle":"","parse-names":false,"suffix":""}],"container-title":"J. Environ. Radioactivity","id":"ITEM-1","issue":"2","issued":{"date-parts":[["1998"]]},"number-of-pages":"215-230","title":"Isotopic Pu, U, and Np Signatures in Soils from Semipalatinsk-21, Kazakh Republic and the Southern Urals, Russia","type":"report","volume":"39"},"uris":["http://www.mendeley.com/documents/?uuid=aa751f5d-6309-3641-9dc2-4010ee13a5b8"]}],"mendeley":{"formattedCitation":"[12]","plainTextFormattedCitation":"[12]","previouslyFormattedCitation":"[12]"},"properties":{"noteIndex":0},"schema":"https://github.com/citation-style-language/schema/raw/master/csl-citation.json"}</w:instrText>
      </w:r>
      <w:r w:rsidR="0035508C">
        <w:rPr>
          <w:rFonts w:asciiTheme="minorHAnsi" w:hAnsiTheme="minorHAnsi"/>
          <w:sz w:val="24"/>
          <w:szCs w:val="24"/>
        </w:rPr>
        <w:fldChar w:fldCharType="separate"/>
      </w:r>
      <w:r w:rsidR="00CD23B7" w:rsidRPr="00CD23B7">
        <w:rPr>
          <w:rFonts w:asciiTheme="minorHAnsi" w:hAnsiTheme="minorHAnsi"/>
          <w:noProof/>
          <w:sz w:val="24"/>
          <w:szCs w:val="24"/>
        </w:rPr>
        <w:t>[12]</w:t>
      </w:r>
      <w:r w:rsidR="0035508C">
        <w:rPr>
          <w:rFonts w:asciiTheme="minorHAnsi" w:hAnsiTheme="minorHAnsi"/>
          <w:sz w:val="24"/>
          <w:szCs w:val="24"/>
        </w:rPr>
        <w:fldChar w:fldCharType="end"/>
      </w:r>
      <w:r w:rsidR="008D0934">
        <w:rPr>
          <w:rFonts w:asciiTheme="minorHAnsi" w:hAnsiTheme="minorHAnsi"/>
          <w:sz w:val="24"/>
          <w:szCs w:val="24"/>
        </w:rPr>
        <w:t xml:space="preserve"> </w:t>
      </w:r>
      <w:r w:rsidR="0035508C">
        <w:rPr>
          <w:rFonts w:asciiTheme="minorHAnsi" w:hAnsiTheme="minorHAnsi"/>
          <w:sz w:val="24"/>
          <w:szCs w:val="24"/>
        </w:rPr>
        <w:fldChar w:fldCharType="begin" w:fldLock="1"/>
      </w:r>
      <w:r w:rsidR="007B6045">
        <w:rPr>
          <w:rFonts w:asciiTheme="minorHAnsi" w:hAnsiTheme="minorHAnsi"/>
          <w:sz w:val="24"/>
          <w:szCs w:val="24"/>
        </w:rPr>
        <w:instrText>ADDIN CSL_CITATION {"citationItems":[{"id":"ITEM-1","itemData":{"DOI":"10.1016/j.envres.2018.07.016","ISSN":"00139351","abstract":"This study examines the association between environmental radiation exposure and essential hypertension in a series of investigated geographical districts adjacent to the Semipalatinsk nuclear test site in Kazakhstan. The sample consists of 2000 volunteers participants in screening examinations in three administrative districts close to the nuclear test site, which was carried out as part of the Government Programs on Environmental Health Hazard. The cross-sectional study compares prevalence ratios in a population sample with long-term exposure in the low and intermediate dose range. Age-adjusted odds ratios for hypertension were found significantly increased with higher exposure groups. After accounting for main cardiovascular risk factors into the model and stratifying by gender, the prevalence odds ratios for radiation remained significantly increased, with a significant dose-response effect observed for some but not all subgroups. The results support existing evidence of cardiovascular health effects of radiation exposure and of persisting environmental health issues that require attention in both epidemiological surveys and healthcare provision.","author":[{"dropping-particle":"","family":"Markabayeva","given":"Akbayan","non-dropping-particle":"","parse-names":false,"suffix":""},{"dropping-particle":"","family":"Bauer","given":"Susanne","non-dropping-particle":"","parse-names":false,"suffix":""},{"dropping-particle":"","family":"Pivina","given":"Lyudmila","non-dropping-particle":"","parse-names":false,"suffix":""},{"dropping-particle":"","family":"Bjørklund","given":"Geir","non-dropping-particle":"","parse-names":false,"suffix":""},{"dropping-particle":"","family":"Chirumbolo","given":"Salvatore","non-dropping-particle":"","parse-names":false,"suffix":""},{"dropping-particle":"","family":"Kerimkulova","given":"Aiman","non-dropping-particle":"","parse-names":false,"suffix":""},{"dropping-particle":"","family":"Semenova","given":"Yulia","non-dropping-particle":"","parse-names":false,"suffix":""},{"dropping-particle":"","family":"Belikhina","given":"Tatyana","non-dropping-particle":"","parse-names":false,"suffix":""}],"container-title":"Environmental Research","id":"ITEM-1","issued":{"date-parts":[["2018","11","1"]]},"page":"129-135","publisher":"Academic Press","title":"Increased prevalence of essential hypertension in areas previously exposed to fallout due to nuclear weapons testing at the Semipalatinsk Test Site, Kazakhstan","type":"article-journal","volume":"167"},"uris":["http://www.mendeley.com/documents/?uuid=4d6403ac-7bb7-341c-9192-4156f6a727a5"]}],"mendeley":{"formattedCitation":"[13]","plainTextFormattedCitation":"[13]","previouslyFormattedCitation":"[13]"},"properties":{"noteIndex":0},"schema":"https://github.com/citation-style-language/schema/raw/master/csl-citation.json"}</w:instrText>
      </w:r>
      <w:r w:rsidR="0035508C">
        <w:rPr>
          <w:rFonts w:asciiTheme="minorHAnsi" w:hAnsiTheme="minorHAnsi"/>
          <w:sz w:val="24"/>
          <w:szCs w:val="24"/>
        </w:rPr>
        <w:fldChar w:fldCharType="separate"/>
      </w:r>
      <w:r w:rsidR="00CD23B7" w:rsidRPr="00CD23B7">
        <w:rPr>
          <w:rFonts w:asciiTheme="minorHAnsi" w:hAnsiTheme="minorHAnsi"/>
          <w:noProof/>
          <w:sz w:val="24"/>
          <w:szCs w:val="24"/>
        </w:rPr>
        <w:t>[13]</w:t>
      </w:r>
      <w:r w:rsidR="0035508C">
        <w:rPr>
          <w:rFonts w:asciiTheme="minorHAnsi" w:hAnsiTheme="minorHAnsi"/>
          <w:sz w:val="24"/>
          <w:szCs w:val="24"/>
        </w:rPr>
        <w:fldChar w:fldCharType="end"/>
      </w:r>
      <w:r w:rsidR="0035508C">
        <w:rPr>
          <w:rFonts w:asciiTheme="minorHAnsi" w:hAnsiTheme="minorHAnsi"/>
          <w:sz w:val="24"/>
          <w:szCs w:val="24"/>
        </w:rPr>
        <w:t>.</w:t>
      </w:r>
      <w:r w:rsidR="00CC65AA">
        <w:rPr>
          <w:rFonts w:asciiTheme="minorHAnsi" w:hAnsiTheme="minorHAnsi"/>
          <w:sz w:val="24"/>
          <w:szCs w:val="24"/>
        </w:rPr>
        <w:t xml:space="preserve"> </w:t>
      </w:r>
      <w:r w:rsidR="00F35312">
        <w:rPr>
          <w:rFonts w:asciiTheme="minorHAnsi" w:hAnsiTheme="minorHAnsi"/>
          <w:sz w:val="24"/>
          <w:szCs w:val="24"/>
        </w:rPr>
        <w:t>A total of 130 o</w:t>
      </w:r>
      <w:r w:rsidR="00CC65AA">
        <w:rPr>
          <w:rFonts w:asciiTheme="minorHAnsi" w:hAnsiTheme="minorHAnsi"/>
          <w:sz w:val="24"/>
          <w:szCs w:val="24"/>
        </w:rPr>
        <w:t>ther Soviet tests were carried out in Novaya Zemlya</w:t>
      </w:r>
      <w:r w:rsidR="00D16B85">
        <w:rPr>
          <w:rFonts w:asciiTheme="minorHAnsi" w:hAnsiTheme="minorHAnsi"/>
          <w:sz w:val="24"/>
          <w:szCs w:val="24"/>
        </w:rPr>
        <w:t xml:space="preserve">, within the Arctic circle </w:t>
      </w:r>
      <w:r w:rsidR="008D0934">
        <w:rPr>
          <w:rFonts w:asciiTheme="minorHAnsi" w:hAnsiTheme="minorHAnsi"/>
          <w:sz w:val="24"/>
          <w:szCs w:val="24"/>
        </w:rPr>
        <w:fldChar w:fldCharType="begin" w:fldLock="1"/>
      </w:r>
      <w:r w:rsidR="007B6045">
        <w:rPr>
          <w:rFonts w:asciiTheme="minorHAnsi" w:hAnsiTheme="minorHAnsi"/>
          <w:sz w:val="24"/>
          <w:szCs w:val="24"/>
        </w:rPr>
        <w:instrText>ADDIN CSL_CITATION {"citationItems":[{"id":"ITEM-1","itemData":{"DOI":"10.1080/08929880590961862","ISSN":"0892-9882","author":[{"dropping-particle":"","family":"KHALTURIN","given":"VITALY I.","non-dropping-particle":"","parse-names":false,"suffix":""},{"dropping-particle":"","family":"RAUTIAN","given":"TATYANA G.","non-dropping-particle":"","parse-names":false,"suffix":""},{"dropping-particle":"","family":"RICHARDS","given":"PAUL G.","non-dropping-particle":"","parse-names":false,"suffix":""},{"dropping-particle":"","family":"LEITH","given":"WILLIAM S.","non-dropping-particle":"","parse-names":false,"suffix":""}],"container-title":"Science &amp; Global Security","id":"ITEM-1","issue":"1-2","issued":{"date-parts":[["2005","1"]]},"page":"1-42","title":"A Review of Nuclear Testing by the Soviet Union at Novaya Zemlya, 1955–1990","type":"article-journal","volume":"13"},"uris":["http://www.mendeley.com/documents/?uuid=15572a68-5e8f-4aac-8ab7-7565605339c4"]}],"mendeley":{"formattedCitation":"[14]","manualFormatting":"(Khalturin et al., 2005)","plainTextFormattedCitation":"[14]","previouslyFormattedCitation":"[14]"},"properties":{"noteIndex":0},"schema":"https://github.com/citation-style-language/schema/raw/master/csl-citation.json"}</w:instrText>
      </w:r>
      <w:r w:rsidR="008D0934">
        <w:rPr>
          <w:rFonts w:asciiTheme="minorHAnsi" w:hAnsiTheme="minorHAnsi"/>
          <w:sz w:val="24"/>
          <w:szCs w:val="24"/>
        </w:rPr>
        <w:fldChar w:fldCharType="separate"/>
      </w:r>
      <w:r w:rsidR="008D0934" w:rsidRPr="008D0934">
        <w:rPr>
          <w:rFonts w:asciiTheme="minorHAnsi" w:hAnsiTheme="minorHAnsi"/>
          <w:noProof/>
          <w:sz w:val="24"/>
          <w:szCs w:val="24"/>
        </w:rPr>
        <w:t>(</w:t>
      </w:r>
      <w:r w:rsidR="008D0934">
        <w:rPr>
          <w:rFonts w:asciiTheme="minorHAnsi" w:hAnsiTheme="minorHAnsi"/>
          <w:noProof/>
          <w:sz w:val="24"/>
          <w:szCs w:val="24"/>
        </w:rPr>
        <w:t>K</w:t>
      </w:r>
      <w:r w:rsidR="008D0934" w:rsidRPr="008D0934">
        <w:rPr>
          <w:rFonts w:asciiTheme="minorHAnsi" w:hAnsiTheme="minorHAnsi"/>
          <w:noProof/>
          <w:sz w:val="24"/>
          <w:szCs w:val="24"/>
        </w:rPr>
        <w:t>halturin et al., 2005)</w:t>
      </w:r>
      <w:r w:rsidR="008D0934">
        <w:rPr>
          <w:rFonts w:asciiTheme="minorHAnsi" w:hAnsiTheme="minorHAnsi"/>
          <w:sz w:val="24"/>
          <w:szCs w:val="24"/>
        </w:rPr>
        <w:fldChar w:fldCharType="end"/>
      </w:r>
      <w:r w:rsidRPr="00AD7E47">
        <w:rPr>
          <w:rFonts w:asciiTheme="minorHAnsi" w:hAnsiTheme="minorHAnsi"/>
          <w:sz w:val="24"/>
          <w:szCs w:val="24"/>
        </w:rPr>
        <w:t>.</w:t>
      </w:r>
      <w:r>
        <w:rPr>
          <w:rFonts w:asciiTheme="minorHAnsi" w:hAnsiTheme="minorHAnsi"/>
          <w:sz w:val="24"/>
          <w:szCs w:val="24"/>
        </w:rPr>
        <w:t xml:space="preserve"> British tests were carried out in Australia </w:t>
      </w:r>
      <w:r w:rsidR="008D0934">
        <w:rPr>
          <w:rFonts w:asciiTheme="minorHAnsi" w:hAnsiTheme="minorHAnsi"/>
          <w:sz w:val="24"/>
          <w:szCs w:val="24"/>
        </w:rPr>
        <w:fldChar w:fldCharType="begin" w:fldLock="1"/>
      </w:r>
      <w:r w:rsidR="007B6045">
        <w:rPr>
          <w:rFonts w:asciiTheme="minorHAnsi" w:hAnsiTheme="minorHAnsi"/>
          <w:sz w:val="24"/>
          <w:szCs w:val="24"/>
        </w:rPr>
        <w:instrText xml:space="preserve">ADDIN CSL_CITATION {"citationItems":[{"id":"ITEM-1","itemData":{"DOI":"10.1016/J.JENVRAD.2015.06.020","ISSN":"0265-931X","abstract":"The isotopes 236U, 239Pu and 240Pu are present in surface soils as a result of global fallout from nuclear weapons tests carried out in the 1950's and 1960's. These isotopes potentially constitute artificial tracers of recent soil erosion and sediment movement. Only Accelerator Mass Spectrometry has the requisite sensitivity to measure all three isotopes at these environmental levels. Coupled with its relatively high throughput capabilities, this makes it feasible to conduct studies of erosion across the geographical extent of the Australian continent. In the Australian context, however, global fallout is not the only source of these isotopes. As part of its weapons development program the United Kingdom carried out a series of atmospheric and surface nuclear weapons tests at Maralinga, South Australia in 1956 and 1957. The tests have made a significant contribution to the Pu isotopic abundances present in the region around Maralinga and out to distances </w:instrText>
      </w:r>
      <w:r w:rsidR="007B6045">
        <w:rPr>
          <w:rFonts w:ascii="Cambria Math" w:hAnsi="Cambria Math" w:cs="Cambria Math"/>
          <w:sz w:val="24"/>
          <w:szCs w:val="24"/>
        </w:rPr>
        <w:instrText>∼</w:instrText>
      </w:r>
      <w:r w:rsidR="007B6045">
        <w:rPr>
          <w:rFonts w:asciiTheme="minorHAnsi" w:hAnsiTheme="minorHAnsi"/>
          <w:sz w:val="24"/>
          <w:szCs w:val="24"/>
        </w:rPr>
        <w:instrText>1000</w:instrText>
      </w:r>
      <w:r w:rsidR="007B6045">
        <w:rPr>
          <w:rFonts w:ascii="Calibri" w:hAnsi="Calibri" w:cs="Calibri"/>
          <w:sz w:val="24"/>
          <w:szCs w:val="24"/>
        </w:rPr>
        <w:instrText> </w:instrText>
      </w:r>
      <w:r w:rsidR="007B6045">
        <w:rPr>
          <w:rFonts w:asciiTheme="minorHAnsi" w:hAnsiTheme="minorHAnsi"/>
          <w:sz w:val="24"/>
          <w:szCs w:val="24"/>
        </w:rPr>
        <w:instrText>km, and impact on the assessment techniques used in the soil and sediment tracer studies. Quantification of the relative fallout contribution derived from detonations at Maralinga is complicated owing to significant contamination around the test site from numerous nuclear weapons safety trials that were also carried out around the site. We show that 236U can provide new information on the component of the fallout that is derived from the local nuclear weapons tests, and highlight the potential of 236U as a new fallout tracer.","author":[{"dropping-particle":"","family":"Tims","given":"S.G.","non-dropping-particle":"","parse-names":false,"suffix":""},{"dropping-particle":"","family":"Froehlich","given":"M.B.","non-dropping-particle":"","parse-names":false,"suffix":""},{"dropping-particle":"","family":"Fifield","given":"L.K.","non-dropping-particle":"","parse-names":false,"suffix":""},{"dropping-particle":"","family":"Wallner","given":"A.","non-dropping-particle":"","parse-names":false,"suffix":""},{"dropping-particle":"","family":"Cesare","given":"M.","non-dropping-particle":"De","parse-names":false,"suffix":""}],"container-title":"Journal of Environmental Radioactivity","id":"ITEM-1","issued":{"date-parts":[["2016","1","1"]]},"page":"563-567","publisher":"Elsevier","title":"236U and 239,240Pu ratios from soils around an Australian nuclear weapons test site","type":"article-journal","volume":"151"},"uris":["http://www.mendeley.com/documents/?uuid=6eab5df5-1863-3cd6-b245-2b037088ac02"]}],"mendeley":{"formattedCitation":"[15]","plainTextFormattedCitation":"[15]","previouslyFormattedCitation":"[15]"},"properties":{"noteIndex":0},"schema":"https://github.com/citation-style-language/schema/raw/master/csl-citation.json"}</w:instrText>
      </w:r>
      <w:r w:rsidR="008D0934">
        <w:rPr>
          <w:rFonts w:asciiTheme="minorHAnsi" w:hAnsiTheme="minorHAnsi"/>
          <w:sz w:val="24"/>
          <w:szCs w:val="24"/>
        </w:rPr>
        <w:fldChar w:fldCharType="separate"/>
      </w:r>
      <w:r w:rsidR="00CD23B7" w:rsidRPr="00CD23B7">
        <w:rPr>
          <w:rFonts w:asciiTheme="minorHAnsi" w:hAnsiTheme="minorHAnsi"/>
          <w:noProof/>
          <w:sz w:val="24"/>
          <w:szCs w:val="24"/>
        </w:rPr>
        <w:t>[15]</w:t>
      </w:r>
      <w:r w:rsidR="008D0934">
        <w:rPr>
          <w:rFonts w:asciiTheme="minorHAnsi" w:hAnsiTheme="minorHAnsi"/>
          <w:sz w:val="24"/>
          <w:szCs w:val="24"/>
        </w:rPr>
        <w:fldChar w:fldCharType="end"/>
      </w:r>
      <w:r>
        <w:rPr>
          <w:rFonts w:asciiTheme="minorHAnsi" w:hAnsiTheme="minorHAnsi"/>
          <w:sz w:val="24"/>
          <w:szCs w:val="24"/>
        </w:rPr>
        <w:t xml:space="preserve">, while French tests were carried out in French-controlled Polynesia </w:t>
      </w:r>
      <w:r w:rsidR="008D0934">
        <w:rPr>
          <w:rFonts w:asciiTheme="minorHAnsi" w:hAnsiTheme="minorHAnsi"/>
          <w:sz w:val="24"/>
          <w:szCs w:val="24"/>
        </w:rPr>
        <w:fldChar w:fldCharType="begin" w:fldLock="1"/>
      </w:r>
      <w:r w:rsidR="007B6045">
        <w:rPr>
          <w:rFonts w:asciiTheme="minorHAnsi" w:hAnsiTheme="minorHAnsi"/>
          <w:sz w:val="24"/>
          <w:szCs w:val="24"/>
        </w:rPr>
        <w:instrText>ADDIN CSL_CITATION {"citationItems":[{"id":"ITEM-1","itemData":{"DOI":"10.1177/1010539514548761","ISSN":"1010-5395","abstract":"Dear Editor Nuclear weapons tests were conducted in the atmosphere at numerous sites worldwide between 1946 and 1980, resulting in radiation exposures to local populations as a consequence of fallout of radioactive debris. The nuclear tests were conducted by 5 nations (United States, the former Soviet Union, United Kingdom, France, and China) primarily at 16 sites. Levels of exposures are influenced by population density, lifestyle, environment, and climate. 1 In terms of public health, it is of high importance to obtain realistic estimates of dose exposure because (a) data can serve research projects, for example, epidemiological studies and safety/risk assessment; (b) data may help public health and policy authorities to plan preventative programs; and (c) the exposed individuals have the right to know the extent of exposure.","author":[{"dropping-particle":"","family":"Pitrou","given":"Isabelle","non-dropping-particle":"","parse-names":false,"suffix":""}],"container-title":"Asia Pacific Journal of Public Health","id":"ITEM-1","issue":"2","issued":{"date-parts":[["2015","3","9"]]},"page":"232-233","title":"Nuclear Tests in French Polynesia","type":"article-journal","volume":"27"},"uris":["http://www.mendeley.com/documents/?uuid=c3317871-7de8-3161-993d-256fd4f9a6db"]}],"mendeley":{"formattedCitation":"[16]","plainTextFormattedCitation":"[16]","previouslyFormattedCitation":"[16]"},"properties":{"noteIndex":0},"schema":"https://github.com/citation-style-language/schema/raw/master/csl-citation.json"}</w:instrText>
      </w:r>
      <w:r w:rsidR="008D0934">
        <w:rPr>
          <w:rFonts w:asciiTheme="minorHAnsi" w:hAnsiTheme="minorHAnsi"/>
          <w:sz w:val="24"/>
          <w:szCs w:val="24"/>
        </w:rPr>
        <w:fldChar w:fldCharType="separate"/>
      </w:r>
      <w:r w:rsidR="00CD23B7" w:rsidRPr="00CD23B7">
        <w:rPr>
          <w:rFonts w:asciiTheme="minorHAnsi" w:hAnsiTheme="minorHAnsi"/>
          <w:noProof/>
          <w:sz w:val="24"/>
          <w:szCs w:val="24"/>
        </w:rPr>
        <w:t>[16]</w:t>
      </w:r>
      <w:r w:rsidR="008D0934">
        <w:rPr>
          <w:rFonts w:asciiTheme="minorHAnsi" w:hAnsiTheme="minorHAnsi"/>
          <w:sz w:val="24"/>
          <w:szCs w:val="24"/>
        </w:rPr>
        <w:fldChar w:fldCharType="end"/>
      </w:r>
      <w:r w:rsidR="008D0934">
        <w:rPr>
          <w:rFonts w:asciiTheme="minorHAnsi" w:hAnsiTheme="minorHAnsi"/>
          <w:sz w:val="24"/>
          <w:szCs w:val="24"/>
        </w:rPr>
        <w:t>.</w:t>
      </w:r>
    </w:p>
    <w:p w14:paraId="7D573DB3" w14:textId="41E11639" w:rsidR="00F37CA9"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 xml:space="preserve">Each </w:t>
      </w:r>
      <w:r w:rsidR="00365B60">
        <w:rPr>
          <w:rFonts w:asciiTheme="minorHAnsi" w:hAnsiTheme="minorHAnsi"/>
          <w:sz w:val="24"/>
          <w:szCs w:val="24"/>
        </w:rPr>
        <w:t xml:space="preserve">ground based </w:t>
      </w:r>
      <w:r>
        <w:rPr>
          <w:rFonts w:asciiTheme="minorHAnsi" w:hAnsiTheme="minorHAnsi"/>
          <w:sz w:val="24"/>
          <w:szCs w:val="24"/>
        </w:rPr>
        <w:t xml:space="preserve">nuclear bomb test </w:t>
      </w:r>
      <w:r w:rsidR="004D32E3">
        <w:rPr>
          <w:rFonts w:asciiTheme="minorHAnsi" w:hAnsiTheme="minorHAnsi"/>
          <w:sz w:val="24"/>
          <w:szCs w:val="24"/>
        </w:rPr>
        <w:t xml:space="preserve">(i.e. not subterranean) </w:t>
      </w:r>
      <w:r>
        <w:rPr>
          <w:rFonts w:asciiTheme="minorHAnsi" w:hAnsiTheme="minorHAnsi"/>
          <w:sz w:val="24"/>
          <w:szCs w:val="24"/>
        </w:rPr>
        <w:t>contributed to global fallout, regardless of the</w:t>
      </w:r>
      <w:r w:rsidR="0042003A">
        <w:rPr>
          <w:rFonts w:asciiTheme="minorHAnsi" w:hAnsiTheme="minorHAnsi"/>
          <w:sz w:val="24"/>
          <w:szCs w:val="24"/>
        </w:rPr>
        <w:t xml:space="preserve"> size of the explosion.</w:t>
      </w:r>
      <w:r>
        <w:rPr>
          <w:rFonts w:asciiTheme="minorHAnsi" w:hAnsiTheme="minorHAnsi"/>
          <w:sz w:val="24"/>
          <w:szCs w:val="24"/>
        </w:rPr>
        <w:t xml:space="preserve"> </w:t>
      </w:r>
      <w:r w:rsidR="0042003A">
        <w:rPr>
          <w:rFonts w:asciiTheme="minorHAnsi" w:hAnsiTheme="minorHAnsi"/>
          <w:sz w:val="24"/>
          <w:szCs w:val="24"/>
        </w:rPr>
        <w:t>W</w:t>
      </w:r>
      <w:r>
        <w:rPr>
          <w:rFonts w:asciiTheme="minorHAnsi" w:hAnsiTheme="minorHAnsi"/>
          <w:sz w:val="24"/>
          <w:szCs w:val="24"/>
        </w:rPr>
        <w:t>hile much of the radioactive material remained at the test sites, material</w:t>
      </w:r>
      <w:r w:rsidR="004D32E3">
        <w:rPr>
          <w:rFonts w:asciiTheme="minorHAnsi" w:hAnsiTheme="minorHAnsi"/>
          <w:sz w:val="24"/>
          <w:szCs w:val="24"/>
        </w:rPr>
        <w:t xml:space="preserve"> was also</w:t>
      </w:r>
      <w:r>
        <w:rPr>
          <w:rFonts w:asciiTheme="minorHAnsi" w:hAnsiTheme="minorHAnsi"/>
          <w:sz w:val="24"/>
          <w:szCs w:val="24"/>
        </w:rPr>
        <w:t xml:space="preserve"> carried into the atmosphere </w:t>
      </w:r>
      <w:r w:rsidR="004D32E3">
        <w:rPr>
          <w:rFonts w:asciiTheme="minorHAnsi" w:hAnsiTheme="minorHAnsi"/>
          <w:sz w:val="24"/>
          <w:szCs w:val="24"/>
        </w:rPr>
        <w:t xml:space="preserve">(largely in the northern hemisphere due to the majority of the bomb tests </w:t>
      </w:r>
      <w:r w:rsidR="0042003A">
        <w:rPr>
          <w:rFonts w:asciiTheme="minorHAnsi" w:hAnsiTheme="minorHAnsi"/>
          <w:sz w:val="24"/>
          <w:szCs w:val="24"/>
        </w:rPr>
        <w:t>carried out here</w:t>
      </w:r>
      <w:r w:rsidR="004D32E3">
        <w:rPr>
          <w:rFonts w:asciiTheme="minorHAnsi" w:hAnsiTheme="minorHAnsi"/>
          <w:sz w:val="24"/>
          <w:szCs w:val="24"/>
        </w:rPr>
        <w:t xml:space="preserve">) </w:t>
      </w:r>
      <w:r>
        <w:rPr>
          <w:rFonts w:asciiTheme="minorHAnsi" w:hAnsiTheme="minorHAnsi"/>
          <w:sz w:val="24"/>
          <w:szCs w:val="24"/>
        </w:rPr>
        <w:t xml:space="preserve">to be deposited in </w:t>
      </w:r>
      <w:r w:rsidR="004D32E3">
        <w:rPr>
          <w:rFonts w:asciiTheme="minorHAnsi" w:hAnsiTheme="minorHAnsi"/>
          <w:sz w:val="24"/>
          <w:szCs w:val="24"/>
        </w:rPr>
        <w:t>the terrestrial and aquatic environment</w:t>
      </w:r>
      <w:r>
        <w:rPr>
          <w:rFonts w:asciiTheme="minorHAnsi" w:hAnsiTheme="minorHAnsi"/>
          <w:sz w:val="24"/>
          <w:szCs w:val="24"/>
        </w:rPr>
        <w:t xml:space="preserve">. It is </w:t>
      </w:r>
      <w:r w:rsidR="004D32E3">
        <w:rPr>
          <w:rFonts w:asciiTheme="minorHAnsi" w:hAnsiTheme="minorHAnsi"/>
          <w:sz w:val="24"/>
          <w:szCs w:val="24"/>
        </w:rPr>
        <w:t xml:space="preserve">estimated </w:t>
      </w:r>
      <w:r>
        <w:rPr>
          <w:rFonts w:asciiTheme="minorHAnsi" w:hAnsiTheme="minorHAnsi"/>
          <w:sz w:val="24"/>
          <w:szCs w:val="24"/>
        </w:rPr>
        <w:t xml:space="preserve">that </w:t>
      </w:r>
      <w:r w:rsidR="004D32E3">
        <w:rPr>
          <w:rFonts w:asciiTheme="minorHAnsi" w:hAnsiTheme="minorHAnsi"/>
          <w:sz w:val="24"/>
          <w:szCs w:val="24"/>
        </w:rPr>
        <w:t>a total of 10</w:t>
      </w:r>
      <w:r w:rsidR="004D32E3">
        <w:rPr>
          <w:rFonts w:asciiTheme="minorHAnsi" w:hAnsiTheme="minorHAnsi"/>
          <w:sz w:val="24"/>
          <w:szCs w:val="24"/>
          <w:vertAlign w:val="superscript"/>
        </w:rPr>
        <w:t>6</w:t>
      </w:r>
      <w:r w:rsidR="004D32E3">
        <w:rPr>
          <w:rFonts w:asciiTheme="minorHAnsi" w:hAnsiTheme="minorHAnsi"/>
          <w:sz w:val="24"/>
          <w:szCs w:val="24"/>
        </w:rPr>
        <w:t xml:space="preserve"> tonnes</w:t>
      </w:r>
      <w:r>
        <w:rPr>
          <w:rFonts w:asciiTheme="minorHAnsi" w:hAnsiTheme="minorHAnsi"/>
          <w:sz w:val="24"/>
          <w:szCs w:val="24"/>
        </w:rPr>
        <w:t xml:space="preserve"> </w:t>
      </w:r>
      <w:r w:rsidR="00497DCB">
        <w:rPr>
          <w:rFonts w:asciiTheme="minorHAnsi" w:hAnsiTheme="minorHAnsi"/>
          <w:sz w:val="24"/>
          <w:szCs w:val="24"/>
        </w:rPr>
        <w:t xml:space="preserve">of radionuclides </w:t>
      </w:r>
      <w:r>
        <w:rPr>
          <w:rFonts w:asciiTheme="minorHAnsi" w:hAnsiTheme="minorHAnsi"/>
          <w:sz w:val="24"/>
          <w:szCs w:val="24"/>
        </w:rPr>
        <w:t xml:space="preserve">have been released from nuclear weapons tests </w:t>
      </w:r>
      <w:r w:rsidR="008D0934">
        <w:rPr>
          <w:rFonts w:asciiTheme="minorHAnsi" w:hAnsiTheme="minorHAnsi"/>
          <w:sz w:val="24"/>
          <w:szCs w:val="24"/>
        </w:rPr>
        <w:fldChar w:fldCharType="begin" w:fldLock="1"/>
      </w:r>
      <w:r w:rsidR="007B6045">
        <w:rPr>
          <w:rFonts w:asciiTheme="minorHAnsi" w:hAnsiTheme="minorHAnsi"/>
          <w:sz w:val="24"/>
          <w:szCs w:val="24"/>
        </w:rPr>
        <w:instrText>ADDIN CSL_CITATION {"citationItems":[{"id":"ITEM-1","itemData":{"URL":"https://www.uow.edu.au/~bmartin/pubs/82cab/","abstract":"In the following article Dr Brian Martin, without belittling the horrendous effects of nuclear war, dispels a little of the gloom surrounding the subject - from Australia's point of view at least - by arguing that contrary to Tom Lehrer's assertions we may not 'all go together when we go'. While a full-scale nuclear war would devastate some parts of the earth, particularly in the northern hemisphere, present evidence indicates that 'nuclear war poses no threat to the survival of the human species'.","accessed":{"date-parts":[["2019","1","26"]]},"author":[{"dropping-particle":"","family":"Brian Martin","given":"","non-dropping-particle":"","parse-names":false,"suffix":""}],"id":"ITEM-1","issued":{"date-parts":[["1982"]]},"title":"The global health effects of nuclear war","type":"webpage"},"uris":["http://www.mendeley.com/documents/?uuid=21dc25d5-a257-3e99-a812-0ee4b9c936bd"]}],"mendeley":{"formattedCitation":"[17]","plainTextFormattedCitation":"[17]","previouslyFormattedCitation":"[17]"},"properties":{"noteIndex":0},"schema":"https://github.com/citation-style-language/schema/raw/master/csl-citation.json"}</w:instrText>
      </w:r>
      <w:r w:rsidR="008D0934">
        <w:rPr>
          <w:rFonts w:asciiTheme="minorHAnsi" w:hAnsiTheme="minorHAnsi"/>
          <w:sz w:val="24"/>
          <w:szCs w:val="24"/>
        </w:rPr>
        <w:fldChar w:fldCharType="separate"/>
      </w:r>
      <w:r w:rsidR="00CD23B7" w:rsidRPr="00CD23B7">
        <w:rPr>
          <w:rFonts w:asciiTheme="minorHAnsi" w:hAnsiTheme="minorHAnsi"/>
          <w:noProof/>
          <w:sz w:val="24"/>
          <w:szCs w:val="24"/>
        </w:rPr>
        <w:t>[17]</w:t>
      </w:r>
      <w:r w:rsidR="008D0934">
        <w:rPr>
          <w:rFonts w:asciiTheme="minorHAnsi" w:hAnsiTheme="minorHAnsi"/>
          <w:sz w:val="24"/>
          <w:szCs w:val="24"/>
        </w:rPr>
        <w:fldChar w:fldCharType="end"/>
      </w:r>
      <w:r>
        <w:rPr>
          <w:rFonts w:asciiTheme="minorHAnsi" w:hAnsiTheme="minorHAnsi"/>
          <w:sz w:val="24"/>
          <w:szCs w:val="24"/>
        </w:rPr>
        <w:t>.  Much of the deposits were of little consequence and have lai</w:t>
      </w:r>
      <w:r w:rsidR="004D32E3">
        <w:rPr>
          <w:rFonts w:asciiTheme="minorHAnsi" w:hAnsiTheme="minorHAnsi"/>
          <w:sz w:val="24"/>
          <w:szCs w:val="24"/>
        </w:rPr>
        <w:t>d</w:t>
      </w:r>
      <w:r>
        <w:rPr>
          <w:rFonts w:asciiTheme="minorHAnsi" w:hAnsiTheme="minorHAnsi"/>
          <w:sz w:val="24"/>
          <w:szCs w:val="24"/>
        </w:rPr>
        <w:t xml:space="preserve"> dormant in small enough concentrations to have little reported effect on human health day to day </w:t>
      </w:r>
      <w:r w:rsidR="008D0934">
        <w:rPr>
          <w:rFonts w:asciiTheme="minorHAnsi" w:hAnsiTheme="minorHAnsi"/>
          <w:sz w:val="24"/>
          <w:szCs w:val="24"/>
        </w:rPr>
        <w:t>(</w:t>
      </w:r>
      <w:r w:rsidR="00985CB4" w:rsidRPr="00985CB4">
        <w:rPr>
          <w:rFonts w:asciiTheme="minorHAnsi" w:hAnsiTheme="minorHAnsi"/>
          <w:sz w:val="24"/>
          <w:szCs w:val="24"/>
        </w:rPr>
        <w:t>Martin, 1982</w:t>
      </w:r>
      <w:r w:rsidR="008D0934">
        <w:rPr>
          <w:rFonts w:asciiTheme="minorHAnsi" w:hAnsiTheme="minorHAnsi"/>
          <w:sz w:val="24"/>
          <w:szCs w:val="24"/>
        </w:rPr>
        <w:t>)</w:t>
      </w:r>
      <w:r w:rsidR="004D32E3">
        <w:rPr>
          <w:rFonts w:asciiTheme="minorHAnsi" w:hAnsiTheme="minorHAnsi"/>
          <w:sz w:val="24"/>
          <w:szCs w:val="24"/>
        </w:rPr>
        <w:t>, or indeed have long-since decayed away.</w:t>
      </w:r>
    </w:p>
    <w:p w14:paraId="16E6EB60" w14:textId="6F42826F" w:rsidR="00F37CA9" w:rsidRPr="00985CB4" w:rsidRDefault="004D32E3"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lastRenderedPageBreak/>
        <w:t>T</w:t>
      </w:r>
      <w:r w:rsidR="00F37CA9">
        <w:rPr>
          <w:rFonts w:asciiTheme="minorHAnsi" w:hAnsiTheme="minorHAnsi"/>
          <w:sz w:val="24"/>
          <w:szCs w:val="24"/>
        </w:rPr>
        <w:t xml:space="preserve">he discovery of the potential continual heat output of sustained fission reactions </w:t>
      </w:r>
      <w:r>
        <w:rPr>
          <w:rFonts w:asciiTheme="minorHAnsi" w:hAnsiTheme="minorHAnsi"/>
          <w:sz w:val="24"/>
          <w:szCs w:val="24"/>
        </w:rPr>
        <w:t>has also been</w:t>
      </w:r>
      <w:r w:rsidR="00F37CA9">
        <w:rPr>
          <w:rFonts w:asciiTheme="minorHAnsi" w:hAnsiTheme="minorHAnsi"/>
          <w:sz w:val="24"/>
          <w:szCs w:val="24"/>
        </w:rPr>
        <w:t xml:space="preserve"> utilized for electrical</w:t>
      </w:r>
      <w:r>
        <w:rPr>
          <w:rFonts w:asciiTheme="minorHAnsi" w:hAnsiTheme="minorHAnsi"/>
          <w:sz w:val="24"/>
          <w:szCs w:val="24"/>
        </w:rPr>
        <w:t xml:space="preserve"> power</w:t>
      </w:r>
      <w:r w:rsidR="00F37CA9">
        <w:rPr>
          <w:rFonts w:asciiTheme="minorHAnsi" w:hAnsiTheme="minorHAnsi"/>
          <w:sz w:val="24"/>
          <w:szCs w:val="24"/>
        </w:rPr>
        <w:t xml:space="preserve"> production. Nuclear energy became a further contributor to fallout over the next 60 years </w:t>
      </w:r>
      <w:r>
        <w:rPr>
          <w:rFonts w:asciiTheme="minorHAnsi" w:hAnsiTheme="minorHAnsi"/>
          <w:sz w:val="24"/>
          <w:szCs w:val="24"/>
        </w:rPr>
        <w:t>from reactor accidents</w:t>
      </w:r>
      <w:r w:rsidR="00F37CA9">
        <w:rPr>
          <w:rFonts w:asciiTheme="minorHAnsi" w:hAnsiTheme="minorHAnsi"/>
          <w:sz w:val="24"/>
          <w:szCs w:val="24"/>
        </w:rPr>
        <w:t xml:space="preserve"> such as Three-Mile Island, Windscale, Chernobyl and most recently Fukushima</w:t>
      </w:r>
      <w:r w:rsidR="008D0934">
        <w:rPr>
          <w:rFonts w:asciiTheme="minorHAnsi" w:hAnsiTheme="minorHAnsi"/>
          <w:sz w:val="24"/>
          <w:szCs w:val="24"/>
        </w:rPr>
        <w:t xml:space="preserve"> </w:t>
      </w:r>
      <w:r w:rsidR="008D0934">
        <w:rPr>
          <w:rFonts w:asciiTheme="minorHAnsi" w:hAnsiTheme="minorHAnsi"/>
          <w:sz w:val="24"/>
          <w:szCs w:val="24"/>
        </w:rPr>
        <w:fldChar w:fldCharType="begin" w:fldLock="1"/>
      </w:r>
      <w:r w:rsidR="007B6045">
        <w:rPr>
          <w:rFonts w:asciiTheme="minorHAnsi" w:hAnsiTheme="minorHAnsi"/>
          <w:sz w:val="24"/>
          <w:szCs w:val="24"/>
        </w:rPr>
        <w:instrText>ADDIN CSL_CITATION {"citationItems":[{"id":"ITEM-1","itemData":{"DOI":"10.1038/srep02988","ISSN":"2045-2322","abstract":"Plutonium release from Fukushima Daiichi fosters the need for more detailed investigations","author":[{"dropping-particle":"","family":"Schneider","given":"Stephanie","non-dropping-particle":"","parse-names":false,"suffix":""},{"dropping-particle":"","family":"Walther","given":"Clemens","non-dropping-particle":"","parse-names":false,"suffix":""},{"dropping-particle":"","family":"Bister","given":"Stefan","non-dropping-particle":"","parse-names":false,"suffix":""},{"dropping-particle":"","family":"Schauer","given":"Viktoria","non-dropping-particle":"","parse-names":false,"suffix":""},{"dropping-particle":"","family":"Christl","given":"Marcus","non-dropping-particle":"","parse-names":false,"suffix":""},{"dropping-particle":"","family":"Synal","given":"Hans-Arno","non-dropping-particle":"","parse-names":false,"suffix":""},{"dropping-particle":"","family":"Shozugawa","given":"Katsumi","non-dropping-particle":"","parse-names":false,"suffix":""},{"dropping-particle":"","family":"Steinhauser","given":"Georg","non-dropping-particle":"","parse-names":false,"suffix":""}],"container-title":"Scientific Reports","id":"ITEM-1","issue":"1","issued":{"date-parts":[["2013","12","18"]]},"page":"2988","publisher":"Nature Publishing Group","title":"Plutonium release from Fukushima Daiichi fosters the need for more detailed investigations","type":"article-journal","volume":"3"},"uris":["http://www.mendeley.com/documents/?uuid=9a97704a-7b60-3593-b7f2-26ec3e2ee297"]}],"mendeley":{"formattedCitation":"[18]","plainTextFormattedCitation":"[18]","previouslyFormattedCitation":"[18]"},"properties":{"noteIndex":0},"schema":"https://github.com/citation-style-language/schema/raw/master/csl-citation.json"}</w:instrText>
      </w:r>
      <w:r w:rsidR="008D0934">
        <w:rPr>
          <w:rFonts w:asciiTheme="minorHAnsi" w:hAnsiTheme="minorHAnsi"/>
          <w:sz w:val="24"/>
          <w:szCs w:val="24"/>
        </w:rPr>
        <w:fldChar w:fldCharType="separate"/>
      </w:r>
      <w:r w:rsidR="00CD23B7" w:rsidRPr="00CD23B7">
        <w:rPr>
          <w:rFonts w:asciiTheme="minorHAnsi" w:hAnsiTheme="minorHAnsi"/>
          <w:noProof/>
          <w:sz w:val="24"/>
          <w:szCs w:val="24"/>
        </w:rPr>
        <w:t>[18]</w:t>
      </w:r>
      <w:r w:rsidR="008D0934">
        <w:rPr>
          <w:rFonts w:asciiTheme="minorHAnsi" w:hAnsiTheme="minorHAnsi"/>
          <w:sz w:val="24"/>
          <w:szCs w:val="24"/>
        </w:rPr>
        <w:fldChar w:fldCharType="end"/>
      </w:r>
      <w:r>
        <w:rPr>
          <w:rFonts w:asciiTheme="minorHAnsi" w:hAnsiTheme="minorHAnsi"/>
          <w:sz w:val="24"/>
          <w:szCs w:val="24"/>
        </w:rPr>
        <w:t>, and on a localized basis, the effluents from nuclear fuel manufacture and reprocessing.</w:t>
      </w:r>
    </w:p>
    <w:p w14:paraId="33E0725B" w14:textId="0560CDB5" w:rsidR="00F37CA9"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With so much</w:t>
      </w:r>
      <w:r w:rsidR="00497DCB">
        <w:rPr>
          <w:rFonts w:asciiTheme="minorHAnsi" w:hAnsiTheme="minorHAnsi"/>
          <w:sz w:val="24"/>
          <w:szCs w:val="24"/>
        </w:rPr>
        <w:t xml:space="preserve"> variation in</w:t>
      </w:r>
      <w:r>
        <w:rPr>
          <w:rFonts w:asciiTheme="minorHAnsi" w:hAnsiTheme="minorHAnsi"/>
          <w:sz w:val="24"/>
          <w:szCs w:val="24"/>
        </w:rPr>
        <w:t xml:space="preserve"> </w:t>
      </w:r>
      <w:r w:rsidR="004D32E3">
        <w:rPr>
          <w:rFonts w:asciiTheme="minorHAnsi" w:hAnsiTheme="minorHAnsi"/>
          <w:sz w:val="24"/>
          <w:szCs w:val="24"/>
        </w:rPr>
        <w:t xml:space="preserve">the sources of </w:t>
      </w:r>
      <w:r>
        <w:rPr>
          <w:rFonts w:asciiTheme="minorHAnsi" w:hAnsiTheme="minorHAnsi"/>
          <w:sz w:val="24"/>
          <w:szCs w:val="24"/>
        </w:rPr>
        <w:t>nuclear material released into the environment, it poses further challenges for regulators and decommissioning projects to monitor and distinguish between what may have been left from fallout, and what was released from</w:t>
      </w:r>
      <w:r w:rsidR="004D32E3">
        <w:rPr>
          <w:rFonts w:asciiTheme="minorHAnsi" w:hAnsiTheme="minorHAnsi"/>
          <w:sz w:val="24"/>
          <w:szCs w:val="24"/>
        </w:rPr>
        <w:t xml:space="preserve"> specific activities on</w:t>
      </w:r>
      <w:r>
        <w:rPr>
          <w:rFonts w:asciiTheme="minorHAnsi" w:hAnsiTheme="minorHAnsi"/>
          <w:sz w:val="24"/>
          <w:szCs w:val="24"/>
        </w:rPr>
        <w:t xml:space="preserve"> nuclear sites.</w:t>
      </w:r>
    </w:p>
    <w:p w14:paraId="448FD48A" w14:textId="6D7416D8" w:rsidR="00C51BCF" w:rsidRDefault="00C51BCF">
      <w:pPr>
        <w:rPr>
          <w:rFonts w:eastAsia="MS Mincho" w:cs="Times New Roman"/>
          <w:spacing w:val="-1"/>
          <w:sz w:val="24"/>
          <w:szCs w:val="24"/>
          <w:lang w:val="en-US"/>
        </w:rPr>
      </w:pPr>
      <w:r>
        <w:rPr>
          <w:sz w:val="24"/>
          <w:szCs w:val="24"/>
        </w:rPr>
        <w:br w:type="page"/>
      </w:r>
    </w:p>
    <w:p w14:paraId="5CD996E9" w14:textId="77777777" w:rsidR="00F37CA9" w:rsidRPr="006A2867" w:rsidRDefault="00F37CA9" w:rsidP="00F37CA9">
      <w:pPr>
        <w:pStyle w:val="BodyText"/>
        <w:spacing w:line="480" w:lineRule="auto"/>
        <w:ind w:firstLine="0"/>
        <w:jc w:val="left"/>
        <w:rPr>
          <w:rFonts w:asciiTheme="minorHAnsi" w:hAnsiTheme="minorHAnsi"/>
          <w:sz w:val="28"/>
          <w:szCs w:val="24"/>
        </w:rPr>
      </w:pPr>
      <w:r w:rsidRPr="006A2867">
        <w:rPr>
          <w:rFonts w:asciiTheme="minorHAnsi" w:hAnsiTheme="minorHAnsi"/>
          <w:b/>
          <w:sz w:val="28"/>
          <w:szCs w:val="24"/>
        </w:rPr>
        <w:lastRenderedPageBreak/>
        <w:t>1.2 Dounreay History</w:t>
      </w:r>
    </w:p>
    <w:p w14:paraId="227F4E40" w14:textId="2061E285" w:rsidR="00F37CA9"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 xml:space="preserve">The challenge of distinguishing fallout from contamination </w:t>
      </w:r>
      <w:r w:rsidR="0021128C">
        <w:rPr>
          <w:rFonts w:asciiTheme="minorHAnsi" w:hAnsiTheme="minorHAnsi"/>
          <w:sz w:val="24"/>
          <w:szCs w:val="24"/>
        </w:rPr>
        <w:t xml:space="preserve">derived from site activities </w:t>
      </w:r>
      <w:r>
        <w:rPr>
          <w:rFonts w:asciiTheme="minorHAnsi" w:hAnsiTheme="minorHAnsi"/>
          <w:sz w:val="24"/>
          <w:szCs w:val="24"/>
        </w:rPr>
        <w:t xml:space="preserve">becomes more of a challenge when the long history of contamination on the Dounreay site is </w:t>
      </w:r>
      <w:r w:rsidR="008D0934">
        <w:rPr>
          <w:rFonts w:asciiTheme="minorHAnsi" w:hAnsiTheme="minorHAnsi"/>
          <w:sz w:val="24"/>
          <w:szCs w:val="24"/>
        </w:rPr>
        <w:t>considered</w:t>
      </w:r>
      <w:r>
        <w:rPr>
          <w:rFonts w:asciiTheme="minorHAnsi" w:hAnsiTheme="minorHAnsi"/>
          <w:sz w:val="24"/>
          <w:szCs w:val="24"/>
        </w:rPr>
        <w:t>.</w:t>
      </w:r>
    </w:p>
    <w:p w14:paraId="08E9AC6B" w14:textId="635AB562" w:rsidR="00F37CA9" w:rsidRDefault="00A61905"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First</w:t>
      </w:r>
      <w:r w:rsidR="00F37CA9">
        <w:rPr>
          <w:rFonts w:asciiTheme="minorHAnsi" w:hAnsiTheme="minorHAnsi"/>
          <w:sz w:val="24"/>
          <w:szCs w:val="24"/>
        </w:rPr>
        <w:t xml:space="preserve">, the geology of the Dounreay site should be considered. Reports have shown </w:t>
      </w:r>
      <w:r w:rsidR="00985CB4">
        <w:rPr>
          <w:rFonts w:asciiTheme="minorHAnsi" w:hAnsiTheme="minorHAnsi"/>
          <w:sz w:val="24"/>
          <w:szCs w:val="24"/>
        </w:rPr>
        <w:t>[</w:t>
      </w:r>
      <w:r w:rsidR="0021128C">
        <w:rPr>
          <w:rFonts w:asciiTheme="minorHAnsi" w:hAnsiTheme="minorHAnsi"/>
          <w:sz w:val="24"/>
          <w:szCs w:val="24"/>
        </w:rPr>
        <w:t xml:space="preserve">for example </w:t>
      </w:r>
      <w:r w:rsidR="008D0934">
        <w:rPr>
          <w:rFonts w:asciiTheme="minorHAnsi" w:hAnsiTheme="minorHAnsi"/>
          <w:sz w:val="24"/>
          <w:szCs w:val="24"/>
        </w:rPr>
        <w:fldChar w:fldCharType="begin" w:fldLock="1"/>
      </w:r>
      <w:r w:rsidR="007B6045">
        <w:rPr>
          <w:rFonts w:asciiTheme="minorHAnsi" w:hAnsiTheme="minorHAnsi"/>
          <w:sz w:val="24"/>
          <w:szCs w:val="24"/>
        </w:rPr>
        <w:instrText>ADDIN CSL_CITATION {"citationItems":[{"id":"ITEM-1","itemData":{"abstract":"The requirements of a 'geological model' to meet the perceived needs of contaminated land management, new engineering construction, the management of wastes disposed to the ground and baseline environmental statements are described, using information available up to April 2012.","author":[{"dropping-particle":"","family":"Heathcote","given":"J.","non-dropping-particle":"","parse-names":false,"suffix":""}],"id":"ITEM-1","issued":{"date-parts":[["2012"]]},"title":"Dounreay Site Description - Geology, Hydrology and Hydrogeology","type":"report"},"uris":["http://www.mendeley.com/documents/?uuid=10a21b4f-d0af-3bdc-8af0-edf7da34d5ba"]}],"mendeley":{"formattedCitation":"[19]","plainTextFormattedCitation":"[19]","previouslyFormattedCitation":"[19]"},"properties":{"noteIndex":0},"schema":"https://github.com/citation-style-language/schema/raw/master/csl-citation.json"}</w:instrText>
      </w:r>
      <w:r w:rsidR="008D0934">
        <w:rPr>
          <w:rFonts w:asciiTheme="minorHAnsi" w:hAnsiTheme="minorHAnsi"/>
          <w:sz w:val="24"/>
          <w:szCs w:val="24"/>
        </w:rPr>
        <w:fldChar w:fldCharType="separate"/>
      </w:r>
      <w:r w:rsidR="00CD23B7" w:rsidRPr="00CD23B7">
        <w:rPr>
          <w:rFonts w:asciiTheme="minorHAnsi" w:hAnsiTheme="minorHAnsi"/>
          <w:noProof/>
          <w:sz w:val="24"/>
          <w:szCs w:val="24"/>
        </w:rPr>
        <w:t>[19]</w:t>
      </w:r>
      <w:r w:rsidR="008D0934">
        <w:rPr>
          <w:rFonts w:asciiTheme="minorHAnsi" w:hAnsiTheme="minorHAnsi"/>
          <w:sz w:val="24"/>
          <w:szCs w:val="24"/>
        </w:rPr>
        <w:fldChar w:fldCharType="end"/>
      </w:r>
      <w:r w:rsidR="008D0934">
        <w:rPr>
          <w:rFonts w:asciiTheme="minorHAnsi" w:hAnsiTheme="minorHAnsi"/>
          <w:sz w:val="24"/>
          <w:szCs w:val="24"/>
        </w:rPr>
        <w:t>]</w:t>
      </w:r>
      <w:r w:rsidR="00F37CA9">
        <w:rPr>
          <w:rFonts w:asciiTheme="minorHAnsi" w:hAnsiTheme="minorHAnsi"/>
          <w:sz w:val="24"/>
          <w:szCs w:val="24"/>
        </w:rPr>
        <w:t xml:space="preserve"> the geology to demonstrate such high abundances of uranium to be</w:t>
      </w:r>
      <w:r w:rsidR="0021128C">
        <w:rPr>
          <w:rFonts w:asciiTheme="minorHAnsi" w:hAnsiTheme="minorHAnsi"/>
          <w:sz w:val="24"/>
          <w:szCs w:val="24"/>
        </w:rPr>
        <w:t xml:space="preserve"> potentially</w:t>
      </w:r>
      <w:r w:rsidR="00F37CA9">
        <w:rPr>
          <w:rFonts w:asciiTheme="minorHAnsi" w:hAnsiTheme="minorHAnsi"/>
          <w:sz w:val="24"/>
          <w:szCs w:val="24"/>
        </w:rPr>
        <w:t xml:space="preserve"> economically viable for mining. With this comes </w:t>
      </w:r>
      <w:r w:rsidR="00DD432E">
        <w:rPr>
          <w:rFonts w:asciiTheme="minorHAnsi" w:hAnsiTheme="minorHAnsi"/>
          <w:sz w:val="24"/>
          <w:szCs w:val="24"/>
        </w:rPr>
        <w:t xml:space="preserve">a </w:t>
      </w:r>
      <w:r w:rsidR="00F37CA9">
        <w:rPr>
          <w:rFonts w:asciiTheme="minorHAnsi" w:hAnsiTheme="minorHAnsi"/>
          <w:sz w:val="24"/>
          <w:szCs w:val="24"/>
        </w:rPr>
        <w:t xml:space="preserve">complication for the </w:t>
      </w:r>
      <w:r w:rsidR="00DD432E">
        <w:rPr>
          <w:rFonts w:asciiTheme="minorHAnsi" w:hAnsiTheme="minorHAnsi"/>
          <w:sz w:val="24"/>
          <w:szCs w:val="24"/>
        </w:rPr>
        <w:t>discrimination</w:t>
      </w:r>
      <w:r w:rsidR="00F37CA9">
        <w:rPr>
          <w:rFonts w:asciiTheme="minorHAnsi" w:hAnsiTheme="minorHAnsi"/>
          <w:sz w:val="24"/>
          <w:szCs w:val="24"/>
        </w:rPr>
        <w:t xml:space="preserve"> of site</w:t>
      </w:r>
      <w:r w:rsidR="00DD432E">
        <w:rPr>
          <w:rFonts w:asciiTheme="minorHAnsi" w:hAnsiTheme="minorHAnsi"/>
          <w:sz w:val="24"/>
          <w:szCs w:val="24"/>
        </w:rPr>
        <w:t>-borne</w:t>
      </w:r>
      <w:r w:rsidR="00F37CA9">
        <w:rPr>
          <w:rFonts w:asciiTheme="minorHAnsi" w:hAnsiTheme="minorHAnsi"/>
          <w:sz w:val="24"/>
          <w:szCs w:val="24"/>
        </w:rPr>
        <w:t xml:space="preserve"> contamination</w:t>
      </w:r>
      <w:r w:rsidR="00DD432E">
        <w:rPr>
          <w:rFonts w:asciiTheme="minorHAnsi" w:hAnsiTheme="minorHAnsi"/>
          <w:sz w:val="24"/>
          <w:szCs w:val="24"/>
        </w:rPr>
        <w:t>;</w:t>
      </w:r>
      <w:r w:rsidR="00F37CA9">
        <w:rPr>
          <w:rFonts w:asciiTheme="minorHAnsi" w:hAnsiTheme="minorHAnsi"/>
          <w:sz w:val="24"/>
          <w:szCs w:val="24"/>
        </w:rPr>
        <w:t xml:space="preserve"> </w:t>
      </w:r>
      <w:r w:rsidR="00DD432E">
        <w:rPr>
          <w:rFonts w:asciiTheme="minorHAnsi" w:hAnsiTheme="minorHAnsi"/>
          <w:sz w:val="24"/>
          <w:szCs w:val="24"/>
        </w:rPr>
        <w:t>i.e.,</w:t>
      </w:r>
      <w:r w:rsidR="00F37CA9">
        <w:rPr>
          <w:rFonts w:asciiTheme="minorHAnsi" w:hAnsiTheme="minorHAnsi"/>
          <w:sz w:val="24"/>
          <w:szCs w:val="24"/>
        </w:rPr>
        <w:t xml:space="preserve"> how can </w:t>
      </w:r>
      <w:r w:rsidR="00497DCB">
        <w:rPr>
          <w:rFonts w:asciiTheme="minorHAnsi" w:hAnsiTheme="minorHAnsi"/>
          <w:sz w:val="24"/>
          <w:szCs w:val="24"/>
        </w:rPr>
        <w:t>a baseline</w:t>
      </w:r>
      <w:r w:rsidR="00F37CA9">
        <w:rPr>
          <w:rFonts w:asciiTheme="minorHAnsi" w:hAnsiTheme="minorHAnsi"/>
          <w:sz w:val="24"/>
          <w:szCs w:val="24"/>
        </w:rPr>
        <w:t xml:space="preserve"> </w:t>
      </w:r>
      <w:r w:rsidR="00DD432E">
        <w:rPr>
          <w:rFonts w:asciiTheme="minorHAnsi" w:hAnsiTheme="minorHAnsi"/>
          <w:sz w:val="24"/>
          <w:szCs w:val="24"/>
        </w:rPr>
        <w:t>for site-derived</w:t>
      </w:r>
      <w:r w:rsidR="00F37CA9">
        <w:rPr>
          <w:rFonts w:asciiTheme="minorHAnsi" w:hAnsiTheme="minorHAnsi"/>
          <w:sz w:val="24"/>
          <w:szCs w:val="24"/>
        </w:rPr>
        <w:t xml:space="preserve"> radioactivity be </w:t>
      </w:r>
      <w:r w:rsidR="00DD432E">
        <w:rPr>
          <w:rFonts w:asciiTheme="minorHAnsi" w:hAnsiTheme="minorHAnsi"/>
          <w:sz w:val="24"/>
          <w:szCs w:val="24"/>
        </w:rPr>
        <w:t>established against</w:t>
      </w:r>
      <w:r w:rsidR="00F37CA9">
        <w:rPr>
          <w:rFonts w:asciiTheme="minorHAnsi" w:hAnsiTheme="minorHAnsi"/>
          <w:sz w:val="24"/>
          <w:szCs w:val="24"/>
        </w:rPr>
        <w:t xml:space="preserve"> such high natural uranium background radioactivity?</w:t>
      </w:r>
    </w:p>
    <w:p w14:paraId="07883D12" w14:textId="7F2179DB" w:rsidR="00F37CA9"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Ousdale (Scotland), an area local to the site</w:t>
      </w:r>
      <w:r w:rsidR="00DD432E">
        <w:rPr>
          <w:rFonts w:asciiTheme="minorHAnsi" w:hAnsiTheme="minorHAnsi"/>
          <w:sz w:val="24"/>
          <w:szCs w:val="24"/>
        </w:rPr>
        <w:t>,</w:t>
      </w:r>
      <w:r>
        <w:rPr>
          <w:rFonts w:asciiTheme="minorHAnsi" w:hAnsiTheme="minorHAnsi"/>
          <w:sz w:val="24"/>
          <w:szCs w:val="24"/>
        </w:rPr>
        <w:t xml:space="preserve"> reported approximately 850</w:t>
      </w:r>
      <w:r w:rsidR="00DD432E">
        <w:rPr>
          <w:rFonts w:asciiTheme="minorHAnsi" w:hAnsiTheme="minorHAnsi"/>
          <w:sz w:val="24"/>
          <w:szCs w:val="24"/>
        </w:rPr>
        <w:t xml:space="preserve"> </w:t>
      </w:r>
      <w:r>
        <w:rPr>
          <w:rFonts w:asciiTheme="minorHAnsi" w:hAnsiTheme="minorHAnsi"/>
          <w:sz w:val="24"/>
          <w:szCs w:val="24"/>
        </w:rPr>
        <w:t xml:space="preserve">ppm of uranium in </w:t>
      </w:r>
      <w:r w:rsidRPr="00606AAC">
        <w:rPr>
          <w:rFonts w:asciiTheme="minorHAnsi" w:hAnsiTheme="minorHAnsi"/>
          <w:sz w:val="24"/>
          <w:szCs w:val="24"/>
        </w:rPr>
        <w:t xml:space="preserve">soils </w:t>
      </w:r>
      <w:r w:rsidR="008D0934">
        <w:rPr>
          <w:rFonts w:asciiTheme="minorHAnsi" w:hAnsiTheme="minorHAnsi"/>
          <w:sz w:val="24"/>
          <w:szCs w:val="24"/>
        </w:rPr>
        <w:fldChar w:fldCharType="begin" w:fldLock="1"/>
      </w:r>
      <w:r w:rsidR="007B6045">
        <w:rPr>
          <w:rFonts w:asciiTheme="minorHAnsi" w:hAnsiTheme="minorHAnsi"/>
          <w:sz w:val="24"/>
          <w:szCs w:val="24"/>
        </w:rPr>
        <w:instrText>ADDIN CSL_CITATION {"citationItems":[{"id":"ITEM-1","itemData":{"author":[{"dropping-particle":"","family":"British Geological Survey","given":"","non-dropping-particle":"","parse-names":false,"suffix":""}],"id":"ITEM-1","issue":"March","issued":{"date-parts":[["2010"]]},"title":"Mineral Profile: Uranium","type":"article-journal"},"uris":["http://www.mendeley.com/documents/?uuid=f13cad3c-9fbf-4030-af0b-3476d7ea0735"]}],"mendeley":{"formattedCitation":"[9]","plainTextFormattedCitation":"[9]","previouslyFormattedCitation":"[9]"},"properties":{"noteIndex":0},"schema":"https://github.com/citation-style-language/schema/raw/master/csl-citation.json"}</w:instrText>
      </w:r>
      <w:r w:rsidR="008D0934">
        <w:rPr>
          <w:rFonts w:asciiTheme="minorHAnsi" w:hAnsiTheme="minorHAnsi"/>
          <w:sz w:val="24"/>
          <w:szCs w:val="24"/>
        </w:rPr>
        <w:fldChar w:fldCharType="separate"/>
      </w:r>
      <w:r w:rsidR="00CD23B7" w:rsidRPr="00CD23B7">
        <w:rPr>
          <w:rFonts w:asciiTheme="minorHAnsi" w:hAnsiTheme="minorHAnsi"/>
          <w:noProof/>
          <w:sz w:val="24"/>
          <w:szCs w:val="24"/>
        </w:rPr>
        <w:t>[9]</w:t>
      </w:r>
      <w:r w:rsidR="008D0934">
        <w:rPr>
          <w:rFonts w:asciiTheme="minorHAnsi" w:hAnsiTheme="minorHAnsi"/>
          <w:sz w:val="24"/>
          <w:szCs w:val="24"/>
        </w:rPr>
        <w:fldChar w:fldCharType="end"/>
      </w:r>
      <w:r w:rsidRPr="00606AAC">
        <w:rPr>
          <w:rFonts w:asciiTheme="minorHAnsi" w:hAnsiTheme="minorHAnsi"/>
          <w:sz w:val="24"/>
          <w:szCs w:val="24"/>
        </w:rPr>
        <w:t xml:space="preserve">. Such </w:t>
      </w:r>
      <w:r>
        <w:rPr>
          <w:rFonts w:asciiTheme="minorHAnsi" w:hAnsiTheme="minorHAnsi"/>
          <w:sz w:val="24"/>
          <w:szCs w:val="24"/>
        </w:rPr>
        <w:t>an abundance of natural uranium would emit gamma</w:t>
      </w:r>
      <w:r w:rsidR="00DD432E">
        <w:rPr>
          <w:rFonts w:asciiTheme="minorHAnsi" w:hAnsiTheme="minorHAnsi"/>
          <w:sz w:val="24"/>
          <w:szCs w:val="24"/>
        </w:rPr>
        <w:t xml:space="preserve"> </w:t>
      </w:r>
      <w:r>
        <w:rPr>
          <w:rFonts w:asciiTheme="minorHAnsi" w:hAnsiTheme="minorHAnsi"/>
          <w:sz w:val="24"/>
          <w:szCs w:val="24"/>
        </w:rPr>
        <w:t>rays in the low</w:t>
      </w:r>
      <w:r w:rsidR="00DD432E">
        <w:rPr>
          <w:rFonts w:asciiTheme="minorHAnsi" w:hAnsiTheme="minorHAnsi"/>
          <w:sz w:val="24"/>
          <w:szCs w:val="24"/>
        </w:rPr>
        <w:t>-</w:t>
      </w:r>
      <w:r>
        <w:rPr>
          <w:rFonts w:asciiTheme="minorHAnsi" w:hAnsiTheme="minorHAnsi"/>
          <w:sz w:val="24"/>
          <w:szCs w:val="24"/>
        </w:rPr>
        <w:t>energy range of 50-200</w:t>
      </w:r>
      <w:r w:rsidR="00DD432E">
        <w:rPr>
          <w:rFonts w:asciiTheme="minorHAnsi" w:hAnsiTheme="minorHAnsi"/>
          <w:sz w:val="24"/>
          <w:szCs w:val="24"/>
        </w:rPr>
        <w:t xml:space="preserve"> </w:t>
      </w:r>
      <w:r>
        <w:rPr>
          <w:rFonts w:asciiTheme="minorHAnsi" w:hAnsiTheme="minorHAnsi"/>
          <w:sz w:val="24"/>
          <w:szCs w:val="24"/>
        </w:rPr>
        <w:t>keV, as shown in L’Annunziata</w:t>
      </w:r>
      <w:r w:rsidR="00497DCB">
        <w:rPr>
          <w:rFonts w:asciiTheme="minorHAnsi" w:hAnsiTheme="minorHAnsi"/>
          <w:sz w:val="24"/>
          <w:szCs w:val="24"/>
        </w:rPr>
        <w:t>’s summary of gamma emissions</w:t>
      </w:r>
      <w:r w:rsidR="008D0934">
        <w:rPr>
          <w:rFonts w:asciiTheme="minorHAnsi" w:hAnsiTheme="minorHAnsi"/>
          <w:sz w:val="24"/>
          <w:szCs w:val="24"/>
        </w:rPr>
        <w:t xml:space="preserve"> </w:t>
      </w:r>
      <w:r w:rsidR="008D0934">
        <w:rPr>
          <w:rFonts w:asciiTheme="minorHAnsi" w:hAnsiTheme="minorHAnsi"/>
          <w:sz w:val="24"/>
          <w:szCs w:val="24"/>
        </w:rPr>
        <w:fldChar w:fldCharType="begin" w:fldLock="1"/>
      </w:r>
      <w:r w:rsidR="007B6045">
        <w:rPr>
          <w:rFonts w:asciiTheme="minorHAnsi" w:hAnsiTheme="minorHAnsi"/>
          <w:sz w:val="24"/>
          <w:szCs w:val="24"/>
        </w:rPr>
        <w:instrText>ADDIN CSL_CITATION {"citationItems":[{"id":"ITEM-1","itemData":{"ISBN":"9780123848734","abstract":"3rd ed. V. METHODS OF QUENCH CORRECTION IN LIQUID SCINTILLATION COUNTING. The updated and much expanded Third Edition of the \"Handbook of Radioactivity Analysis\" is an authoritative reference providing the principles, practical techniques, and procedures for the accurate measurement of radioactivity from the very low levels encountered in the environment to higher levels measured in radioisotope research, clinical laboratories, biological sciences, radionuclide standardization, nuclear medicine, nuclear power, fuel cycle facilities and in the implementation of nuclear forensic analysis and nuclear safeguards. The Third Edition contains seven new chapters providing a. Chapter 1 -- Radiation Physics and Radionuclide Decay; I. INTRODUCTION; II. DISCOVERY AND EARLY CHARACTERIZATION OF RADIOACTIVITY; III. BASIC UNITS AND DEFINITIONS; IV. PROPERTIES OF THE NUCLEUS; V. NATURALLY OCCURRING RADIONUCLIDES; VI. ARTIFICIALLY PRODUCED RADIONUCLIDES; VII. NUCLEAR REACTIONS; VIII. PARTICULATE RADIATION; IX. ELECTROMAGNETIC RADIATION -- PHOTONS. X. INTERACTION OF ELECTROMAGNETIC RADIATION WITH MATTERXI. RADIOACTIVE NUCLEAR RECOIL; XII. COSMIC RADIATION; XIII. RADIATION DOSE; XIV. STOPPING POWER AND LINEAR ENERGY TRANSFER; XV. RADIONUCLIDE DECAY, INGROWTH, AND EQUILIBRIUM; XVI. RADIOACTIVITY UNITS AND RADIONUCLIDE MASS; REFERENCES; Chapter 2 -- Radioactivity Counting Statistics; I. INTRODUCTION; II. STATISTICAL DISTRIBUTIONS; III. ANALYSIS OF A SAMPLE OF RESULTS; IV. STATISTICAL INFERENCE; V. REGRESSION; VI. DETECTION LIMITS; VII. METROLOGY APPLICATIONS; REFERENCES; RELEVANT STATISTICAL REFERENCES TABLES. Chapter 3 -- Gas Ionization DetectorsI. INTRODUCTION: PRINCIPLES OF RADIATION DETECTION BY GAS IONIZATION; II. CHARACTERIZATION OF GAS IONIZATION DETECTORS; III. DEFINITION OF OPERATING CHARACTERISTICS OF GAS IONIZATION DETECTORS; IV. ION CHAMBERS; V. PROPORTIONAL GAS IONIZATION DETECTORS; VI. GEIGER-MÜLLER COUNTERS; VII. SPECIAL TYPES OF IONIZATION DETECTORS; REFERENCES; Chapter 4 -- Solid-State Nuclear Track Detectors; PART 1 ELEMENTS; I. INTRODUCTION; II. DETECTOR MATERIALS AND CLASSIFICATION OF SOLID-STATE NUCLEAR TRACK DETECTORS. III. RECORDABLE PARTICLES WITH SOLID-STATE NUCLEAR TRACK DETECTORSIV. TRACK FORMATION MECHANISMS AND CRITERIA; V. TRACK REVELATION; VI. PARTICLE IDENTIFICATION; VII. TRACK FADING AND ANNEALING; VIII. INSTRUMENTATION; PART 2 APPLICATIONS; I. INTRODUCTION; II. PHYSICAL SCIENCES AND NUCLEAR TECHNOLOGY; III. EARTH AND PLANETARY SCIENCES; IV.…","author":[{"dropping-particle":"","family":"L'Annunziata","given":"Michael F.","non-dropping-particle":"","parse-names":false,"suffix":""}],"id":"ITEM-1","issued":{"date-parts":[["2012"]]},"number-of-pages":"1419","publisher":"Elsevier Science","title":"Handbook of radioactivity analysis","type":"book"},"uris":["http://www.mendeley.com/documents/?uuid=edb68f40-8873-38f3-87a5-9ffaeabb30cc"]}],"mendeley":{"formattedCitation":"[20]","plainTextFormattedCitation":"[20]","previouslyFormattedCitation":"[20]"},"properties":{"noteIndex":0},"schema":"https://github.com/citation-style-language/schema/raw/master/csl-citation.json"}</w:instrText>
      </w:r>
      <w:r w:rsidR="008D0934">
        <w:rPr>
          <w:rFonts w:asciiTheme="minorHAnsi" w:hAnsiTheme="minorHAnsi"/>
          <w:sz w:val="24"/>
          <w:szCs w:val="24"/>
        </w:rPr>
        <w:fldChar w:fldCharType="separate"/>
      </w:r>
      <w:r w:rsidR="00CD23B7" w:rsidRPr="00CD23B7">
        <w:rPr>
          <w:rFonts w:asciiTheme="minorHAnsi" w:hAnsiTheme="minorHAnsi"/>
          <w:noProof/>
          <w:sz w:val="24"/>
          <w:szCs w:val="24"/>
        </w:rPr>
        <w:t>[20]</w:t>
      </w:r>
      <w:r w:rsidR="008D0934">
        <w:rPr>
          <w:rFonts w:asciiTheme="minorHAnsi" w:hAnsiTheme="minorHAnsi"/>
          <w:sz w:val="24"/>
          <w:szCs w:val="24"/>
        </w:rPr>
        <w:fldChar w:fldCharType="end"/>
      </w:r>
      <w:r>
        <w:rPr>
          <w:rFonts w:asciiTheme="minorHAnsi" w:hAnsiTheme="minorHAnsi"/>
          <w:sz w:val="24"/>
          <w:szCs w:val="24"/>
        </w:rPr>
        <w:t>, the same range that most plutonium gamma-ray emissions would be found</w:t>
      </w:r>
      <w:r w:rsidR="00DD432E">
        <w:rPr>
          <w:rFonts w:asciiTheme="minorHAnsi" w:hAnsiTheme="minorHAnsi"/>
          <w:sz w:val="24"/>
          <w:szCs w:val="24"/>
        </w:rPr>
        <w:t xml:space="preserve"> and similarly in the context of thorium</w:t>
      </w:r>
      <w:r>
        <w:rPr>
          <w:rFonts w:asciiTheme="minorHAnsi" w:hAnsiTheme="minorHAnsi"/>
          <w:sz w:val="24"/>
          <w:szCs w:val="24"/>
        </w:rPr>
        <w:t xml:space="preserve">. </w:t>
      </w:r>
      <w:r w:rsidR="00497DCB">
        <w:rPr>
          <w:rFonts w:asciiTheme="minorHAnsi" w:hAnsiTheme="minorHAnsi"/>
          <w:sz w:val="24"/>
          <w:szCs w:val="24"/>
        </w:rPr>
        <w:t>Natural uranium</w:t>
      </w:r>
      <w:r>
        <w:rPr>
          <w:rFonts w:asciiTheme="minorHAnsi" w:hAnsiTheme="minorHAnsi"/>
          <w:sz w:val="24"/>
          <w:szCs w:val="24"/>
        </w:rPr>
        <w:t xml:space="preserve"> also causes neutrons to be released</w:t>
      </w:r>
      <w:r w:rsidR="0057178B">
        <w:rPr>
          <w:rFonts w:asciiTheme="minorHAnsi" w:hAnsiTheme="minorHAnsi"/>
          <w:sz w:val="24"/>
          <w:szCs w:val="24"/>
        </w:rPr>
        <w:t xml:space="preserve"> through spontaneous fission of </w:t>
      </w:r>
      <w:r w:rsidR="00A61905">
        <w:rPr>
          <w:rFonts w:asciiTheme="minorHAnsi" w:hAnsiTheme="minorHAnsi"/>
          <w:sz w:val="24"/>
          <w:szCs w:val="24"/>
          <w:vertAlign w:val="superscript"/>
        </w:rPr>
        <w:t>235</w:t>
      </w:r>
      <w:r w:rsidR="00B15582">
        <w:rPr>
          <w:rFonts w:asciiTheme="minorHAnsi" w:hAnsiTheme="minorHAnsi"/>
          <w:sz w:val="24"/>
          <w:szCs w:val="24"/>
        </w:rPr>
        <w:t>U</w:t>
      </w:r>
      <w:r>
        <w:rPr>
          <w:rFonts w:asciiTheme="minorHAnsi" w:hAnsiTheme="minorHAnsi"/>
          <w:sz w:val="24"/>
          <w:szCs w:val="24"/>
        </w:rPr>
        <w:t>, but at &lt;1% abundance it is much lower than the potential releases from plutonium isotopes.</w:t>
      </w:r>
    </w:p>
    <w:p w14:paraId="56859864" w14:textId="3BE19D63" w:rsidR="00B6219B" w:rsidRDefault="00F37CA9" w:rsidP="00B6219B">
      <w:pPr>
        <w:pStyle w:val="BodyText"/>
        <w:spacing w:line="480" w:lineRule="auto"/>
        <w:ind w:firstLine="567"/>
        <w:jc w:val="left"/>
        <w:rPr>
          <w:rFonts w:asciiTheme="minorHAnsi" w:hAnsiTheme="minorHAnsi"/>
          <w:sz w:val="24"/>
          <w:szCs w:val="24"/>
        </w:rPr>
      </w:pPr>
      <w:r>
        <w:rPr>
          <w:rFonts w:asciiTheme="minorHAnsi" w:hAnsiTheme="minorHAnsi"/>
          <w:sz w:val="24"/>
          <w:szCs w:val="24"/>
        </w:rPr>
        <w:t xml:space="preserve">The reactors built on site included two fast reactors, the Dounreay Fast Reactor </w:t>
      </w:r>
      <w:r w:rsidR="00397F82">
        <w:rPr>
          <w:rFonts w:asciiTheme="minorHAnsi" w:hAnsiTheme="minorHAnsi"/>
          <w:sz w:val="24"/>
          <w:szCs w:val="24"/>
        </w:rPr>
        <w:t>(</w:t>
      </w:r>
      <w:r w:rsidR="007C409B" w:rsidRPr="00397F82">
        <w:rPr>
          <w:rFonts w:asciiTheme="minorHAnsi" w:hAnsiTheme="minorHAnsi" w:cstheme="minorHAnsi"/>
          <w:sz w:val="24"/>
          <w:szCs w:val="24"/>
        </w:rPr>
        <w:fldChar w:fldCharType="begin"/>
      </w:r>
      <w:r w:rsidR="007C409B" w:rsidRPr="00397F82">
        <w:rPr>
          <w:rFonts w:asciiTheme="minorHAnsi" w:hAnsiTheme="minorHAnsi" w:cstheme="minorHAnsi"/>
          <w:sz w:val="24"/>
          <w:szCs w:val="24"/>
        </w:rPr>
        <w:instrText xml:space="preserve"> REF _Ref31562392 \h </w:instrText>
      </w:r>
      <w:r w:rsidR="00397F82" w:rsidRPr="00397F82">
        <w:rPr>
          <w:rFonts w:asciiTheme="minorHAnsi" w:hAnsiTheme="minorHAnsi" w:cstheme="minorHAnsi"/>
          <w:sz w:val="24"/>
          <w:szCs w:val="24"/>
        </w:rPr>
        <w:instrText xml:space="preserve"> \* MERGEFORMAT </w:instrText>
      </w:r>
      <w:r w:rsidR="007C409B" w:rsidRPr="00397F82">
        <w:rPr>
          <w:rFonts w:asciiTheme="minorHAnsi" w:hAnsiTheme="minorHAnsi" w:cstheme="minorHAnsi"/>
          <w:sz w:val="24"/>
          <w:szCs w:val="24"/>
        </w:rPr>
      </w:r>
      <w:r w:rsidR="007C409B" w:rsidRPr="00397F82">
        <w:rPr>
          <w:rFonts w:asciiTheme="minorHAnsi" w:hAnsiTheme="minorHAnsi" w:cstheme="minorHAnsi"/>
          <w:sz w:val="24"/>
          <w:szCs w:val="24"/>
        </w:rPr>
        <w:fldChar w:fldCharType="separate"/>
      </w:r>
      <w:r w:rsidR="00161FDC" w:rsidRPr="00161FDC">
        <w:rPr>
          <w:rFonts w:asciiTheme="minorHAnsi" w:hAnsiTheme="minorHAnsi" w:cstheme="minorHAnsi"/>
          <w:sz w:val="24"/>
          <w:szCs w:val="24"/>
        </w:rPr>
        <w:t xml:space="preserve">Figure </w:t>
      </w:r>
      <w:r w:rsidR="00161FDC" w:rsidRPr="00161FDC">
        <w:rPr>
          <w:rFonts w:asciiTheme="minorHAnsi" w:hAnsiTheme="minorHAnsi" w:cstheme="minorHAnsi"/>
          <w:noProof/>
          <w:sz w:val="24"/>
          <w:szCs w:val="24"/>
        </w:rPr>
        <w:t>2</w:t>
      </w:r>
      <w:r w:rsidR="007C409B" w:rsidRPr="00397F82">
        <w:rPr>
          <w:rFonts w:asciiTheme="minorHAnsi" w:hAnsiTheme="minorHAnsi" w:cstheme="minorHAnsi"/>
          <w:sz w:val="24"/>
          <w:szCs w:val="24"/>
        </w:rPr>
        <w:fldChar w:fldCharType="end"/>
      </w:r>
      <w:r w:rsidR="00397F82">
        <w:rPr>
          <w:rFonts w:asciiTheme="minorHAnsi" w:hAnsiTheme="minorHAnsi" w:cstheme="minorHAnsi"/>
          <w:sz w:val="24"/>
          <w:szCs w:val="24"/>
        </w:rPr>
        <w:t>)</w:t>
      </w:r>
      <w:r w:rsidR="0007314F">
        <w:rPr>
          <w:rFonts w:asciiTheme="minorHAnsi" w:hAnsiTheme="minorHAnsi"/>
          <w:sz w:val="24"/>
          <w:szCs w:val="24"/>
        </w:rPr>
        <w:t>,</w:t>
      </w:r>
      <w:r>
        <w:rPr>
          <w:rFonts w:asciiTheme="minorHAnsi" w:hAnsiTheme="minorHAnsi"/>
          <w:sz w:val="24"/>
          <w:szCs w:val="24"/>
        </w:rPr>
        <w:t xml:space="preserve"> the Prototype Fast Reactor</w:t>
      </w:r>
      <w:r w:rsidR="0007314F">
        <w:rPr>
          <w:rFonts w:asciiTheme="minorHAnsi" w:hAnsiTheme="minorHAnsi"/>
          <w:sz w:val="24"/>
          <w:szCs w:val="24"/>
        </w:rPr>
        <w:t xml:space="preserve"> and a Materials Test reactor.</w:t>
      </w:r>
    </w:p>
    <w:p w14:paraId="77D2E448" w14:textId="77777777" w:rsidR="007B6045" w:rsidRDefault="00F37CA9" w:rsidP="007B6045">
      <w:pPr>
        <w:pStyle w:val="BodyText"/>
        <w:keepNext/>
        <w:spacing w:line="480" w:lineRule="auto"/>
        <w:ind w:firstLine="567"/>
        <w:jc w:val="center"/>
      </w:pPr>
      <w:r>
        <w:rPr>
          <w:rFonts w:asciiTheme="minorHAnsi" w:hAnsiTheme="minorHAnsi"/>
          <w:noProof/>
          <w:sz w:val="24"/>
          <w:szCs w:val="24"/>
          <w:lang w:val="en-GB" w:eastAsia="en-GB"/>
        </w:rPr>
        <w:lastRenderedPageBreak/>
        <w:drawing>
          <wp:inline distT="0" distB="0" distL="0" distR="0" wp14:anchorId="4D56963D" wp14:editId="342EB106">
            <wp:extent cx="3933825" cy="3933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R.jpg"/>
                    <pic:cNvPicPr/>
                  </pic:nvPicPr>
                  <pic:blipFill>
                    <a:blip r:embed="rId12">
                      <a:extLst>
                        <a:ext uri="{28A0092B-C50C-407E-A947-70E740481C1C}">
                          <a14:useLocalDpi xmlns:a14="http://schemas.microsoft.com/office/drawing/2010/main" val="0"/>
                        </a:ext>
                      </a:extLst>
                    </a:blip>
                    <a:stretch>
                      <a:fillRect/>
                    </a:stretch>
                  </pic:blipFill>
                  <pic:spPr>
                    <a:xfrm>
                      <a:off x="0" y="0"/>
                      <a:ext cx="3933825" cy="3933825"/>
                    </a:xfrm>
                    <a:prstGeom prst="rect">
                      <a:avLst/>
                    </a:prstGeom>
                  </pic:spPr>
                </pic:pic>
              </a:graphicData>
            </a:graphic>
          </wp:inline>
        </w:drawing>
      </w:r>
    </w:p>
    <w:p w14:paraId="708CA865" w14:textId="17449BC1" w:rsidR="007B6045" w:rsidRPr="006077E6" w:rsidRDefault="007B6045" w:rsidP="007B6045">
      <w:pPr>
        <w:pStyle w:val="Caption"/>
        <w:jc w:val="center"/>
        <w:rPr>
          <w:sz w:val="20"/>
        </w:rPr>
      </w:pPr>
      <w:bookmarkStart w:id="4" w:name="_Ref31562392"/>
      <w:r w:rsidRPr="006077E6">
        <w:rPr>
          <w:sz w:val="20"/>
        </w:rPr>
        <w:t xml:space="preserve">Figure </w:t>
      </w:r>
      <w:r w:rsidRPr="006077E6">
        <w:rPr>
          <w:sz w:val="20"/>
        </w:rPr>
        <w:fldChar w:fldCharType="begin"/>
      </w:r>
      <w:r w:rsidRPr="006077E6">
        <w:rPr>
          <w:sz w:val="20"/>
        </w:rPr>
        <w:instrText xml:space="preserve"> SEQ Figure \* ARABIC </w:instrText>
      </w:r>
      <w:r w:rsidRPr="006077E6">
        <w:rPr>
          <w:sz w:val="20"/>
        </w:rPr>
        <w:fldChar w:fldCharType="separate"/>
      </w:r>
      <w:r w:rsidR="00161FDC">
        <w:rPr>
          <w:noProof/>
          <w:sz w:val="20"/>
        </w:rPr>
        <w:t>2</w:t>
      </w:r>
      <w:r w:rsidRPr="006077E6">
        <w:rPr>
          <w:sz w:val="20"/>
        </w:rPr>
        <w:fldChar w:fldCharType="end"/>
      </w:r>
      <w:bookmarkEnd w:id="4"/>
      <w:r w:rsidRPr="006077E6">
        <w:rPr>
          <w:sz w:val="20"/>
        </w:rPr>
        <w:t xml:space="preserve"> The Dounreay Fast Reactor </w:t>
      </w:r>
      <w:r w:rsidRPr="006077E6">
        <w:rPr>
          <w:sz w:val="20"/>
        </w:rPr>
        <w:fldChar w:fldCharType="begin" w:fldLock="1"/>
      </w:r>
      <w:r w:rsidR="007D1AB4" w:rsidRPr="006077E6">
        <w:rPr>
          <w:sz w:val="20"/>
        </w:rPr>
        <w:instrText>ADDIN CSL_CITATION {"citationItems":[{"id":"ITEM-1","itemData":{"URL":"https://www.gov.uk/government/organisations/dounreay","author":[{"dropping-particle":"","family":"UK Government","given":"","non-dropping-particle":"","parse-names":false,"suffix":""}],"container-title":"Gov.uk","id":"ITEM-1","issued":{"date-parts":[["2020"]]},"title":"Dounreay","type":"webpage"},"uris":["http://www.mendeley.com/documents/?uuid=ab38a518-9b47-4d0f-baf1-54cd9863636e"]}],"mendeley":{"formattedCitation":"[21]","plainTextFormattedCitation":"[21]","previouslyFormattedCitation":"[21]"},"properties":{"noteIndex":0},"schema":"https://github.com/citation-style-language/schema/raw/master/csl-citation.json"}</w:instrText>
      </w:r>
      <w:r w:rsidRPr="006077E6">
        <w:rPr>
          <w:sz w:val="20"/>
        </w:rPr>
        <w:fldChar w:fldCharType="separate"/>
      </w:r>
      <w:r w:rsidRPr="006077E6">
        <w:rPr>
          <w:i w:val="0"/>
          <w:noProof/>
          <w:sz w:val="20"/>
        </w:rPr>
        <w:t>[21]</w:t>
      </w:r>
      <w:r w:rsidRPr="006077E6">
        <w:rPr>
          <w:sz w:val="20"/>
        </w:rPr>
        <w:fldChar w:fldCharType="end"/>
      </w:r>
    </w:p>
    <w:p w14:paraId="3C1D8EDD" w14:textId="697F531E" w:rsidR="00F37CA9" w:rsidRDefault="00F37CA9" w:rsidP="007B6045">
      <w:pPr>
        <w:pStyle w:val="BodyText"/>
        <w:spacing w:line="480" w:lineRule="auto"/>
        <w:ind w:firstLine="567"/>
        <w:jc w:val="left"/>
        <w:rPr>
          <w:rFonts w:asciiTheme="minorHAnsi" w:hAnsiTheme="minorHAnsi"/>
          <w:sz w:val="24"/>
          <w:szCs w:val="24"/>
        </w:rPr>
      </w:pPr>
      <w:r>
        <w:rPr>
          <w:rFonts w:asciiTheme="minorHAnsi" w:hAnsiTheme="minorHAnsi"/>
          <w:sz w:val="24"/>
          <w:szCs w:val="24"/>
        </w:rPr>
        <w:t xml:space="preserve">These were breeder reactors and so utilized breeder blankets of </w:t>
      </w:r>
      <w:r w:rsidRPr="00497DCB">
        <w:rPr>
          <w:rFonts w:asciiTheme="minorHAnsi" w:hAnsiTheme="minorHAnsi"/>
          <w:sz w:val="24"/>
          <w:szCs w:val="24"/>
          <w:vertAlign w:val="superscript"/>
        </w:rPr>
        <w:t>238</w:t>
      </w:r>
      <w:r w:rsidR="00497DCB">
        <w:rPr>
          <w:rFonts w:asciiTheme="minorHAnsi" w:hAnsiTheme="minorHAnsi"/>
          <w:sz w:val="24"/>
          <w:szCs w:val="24"/>
        </w:rPr>
        <w:t>U</w:t>
      </w:r>
      <w:r>
        <w:rPr>
          <w:rFonts w:asciiTheme="minorHAnsi" w:hAnsiTheme="minorHAnsi"/>
          <w:sz w:val="24"/>
          <w:szCs w:val="24"/>
        </w:rPr>
        <w:t xml:space="preserve"> to form </w:t>
      </w:r>
      <w:r w:rsidRPr="00497DCB">
        <w:rPr>
          <w:rFonts w:asciiTheme="minorHAnsi" w:hAnsiTheme="minorHAnsi"/>
          <w:sz w:val="24"/>
          <w:szCs w:val="24"/>
          <w:vertAlign w:val="superscript"/>
        </w:rPr>
        <w:t>239</w:t>
      </w:r>
      <w:r w:rsidR="00497DCB">
        <w:rPr>
          <w:rFonts w:asciiTheme="minorHAnsi" w:hAnsiTheme="minorHAnsi"/>
          <w:sz w:val="24"/>
          <w:szCs w:val="24"/>
        </w:rPr>
        <w:t>Pu</w:t>
      </w:r>
      <w:r>
        <w:rPr>
          <w:rFonts w:asciiTheme="minorHAnsi" w:hAnsiTheme="minorHAnsi"/>
          <w:sz w:val="24"/>
          <w:szCs w:val="24"/>
        </w:rPr>
        <w:t xml:space="preserve"> during the fission reaction. Such reactors produce </w:t>
      </w:r>
      <w:r w:rsidRPr="00497DCB">
        <w:rPr>
          <w:rFonts w:asciiTheme="minorHAnsi" w:hAnsiTheme="minorHAnsi"/>
          <w:sz w:val="24"/>
          <w:szCs w:val="24"/>
          <w:vertAlign w:val="superscript"/>
        </w:rPr>
        <w:t>241</w:t>
      </w:r>
      <w:r w:rsidR="00497DCB">
        <w:rPr>
          <w:rFonts w:asciiTheme="minorHAnsi" w:hAnsiTheme="minorHAnsi"/>
          <w:sz w:val="24"/>
          <w:szCs w:val="24"/>
        </w:rPr>
        <w:t>Pu</w:t>
      </w:r>
      <w:r>
        <w:rPr>
          <w:rFonts w:asciiTheme="minorHAnsi" w:hAnsiTheme="minorHAnsi"/>
          <w:sz w:val="24"/>
          <w:szCs w:val="24"/>
        </w:rPr>
        <w:t xml:space="preserve"> as a waste product as the fission reaction is sustained, so if </w:t>
      </w:r>
      <w:r w:rsidR="00B6219B">
        <w:rPr>
          <w:rFonts w:asciiTheme="minorHAnsi" w:hAnsiTheme="minorHAnsi"/>
          <w:sz w:val="24"/>
          <w:szCs w:val="24"/>
        </w:rPr>
        <w:t>material was disposed</w:t>
      </w:r>
      <w:r>
        <w:rPr>
          <w:rFonts w:asciiTheme="minorHAnsi" w:hAnsiTheme="minorHAnsi"/>
          <w:sz w:val="24"/>
          <w:szCs w:val="24"/>
        </w:rPr>
        <w:t xml:space="preserve"> from the waste lines it </w:t>
      </w:r>
      <w:r w:rsidR="00B6219B">
        <w:rPr>
          <w:rFonts w:asciiTheme="minorHAnsi" w:hAnsiTheme="minorHAnsi"/>
          <w:sz w:val="24"/>
          <w:szCs w:val="24"/>
        </w:rPr>
        <w:t>might</w:t>
      </w:r>
      <w:r>
        <w:rPr>
          <w:rFonts w:asciiTheme="minorHAnsi" w:hAnsiTheme="minorHAnsi"/>
          <w:sz w:val="24"/>
          <w:szCs w:val="24"/>
        </w:rPr>
        <w:t xml:space="preserve"> be expected that the soil would exhibit higher than average levels of this isotope. Similarly, if any reactor material was </w:t>
      </w:r>
      <w:r w:rsidR="00B6219B">
        <w:rPr>
          <w:rFonts w:asciiTheme="minorHAnsi" w:hAnsiTheme="minorHAnsi"/>
          <w:sz w:val="24"/>
          <w:szCs w:val="24"/>
        </w:rPr>
        <w:t>dispersed</w:t>
      </w:r>
      <w:r>
        <w:rPr>
          <w:rFonts w:asciiTheme="minorHAnsi" w:hAnsiTheme="minorHAnsi"/>
          <w:sz w:val="24"/>
          <w:szCs w:val="24"/>
        </w:rPr>
        <w:t>, soil would exhibit higher</w:t>
      </w:r>
      <w:r w:rsidR="00B6219B">
        <w:rPr>
          <w:rFonts w:asciiTheme="minorHAnsi" w:hAnsiTheme="minorHAnsi"/>
          <w:sz w:val="24"/>
          <w:szCs w:val="24"/>
        </w:rPr>
        <w:t>-</w:t>
      </w:r>
      <w:r>
        <w:rPr>
          <w:rFonts w:asciiTheme="minorHAnsi" w:hAnsiTheme="minorHAnsi"/>
          <w:sz w:val="24"/>
          <w:szCs w:val="24"/>
        </w:rPr>
        <w:t>than</w:t>
      </w:r>
      <w:r w:rsidR="00B6219B">
        <w:rPr>
          <w:rFonts w:asciiTheme="minorHAnsi" w:hAnsiTheme="minorHAnsi"/>
          <w:sz w:val="24"/>
          <w:szCs w:val="24"/>
        </w:rPr>
        <w:t>-</w:t>
      </w:r>
      <w:r>
        <w:rPr>
          <w:rFonts w:asciiTheme="minorHAnsi" w:hAnsiTheme="minorHAnsi"/>
          <w:sz w:val="24"/>
          <w:szCs w:val="24"/>
        </w:rPr>
        <w:t xml:space="preserve">average </w:t>
      </w:r>
      <w:r w:rsidRPr="00497DCB">
        <w:rPr>
          <w:rFonts w:asciiTheme="minorHAnsi" w:hAnsiTheme="minorHAnsi"/>
          <w:sz w:val="24"/>
          <w:szCs w:val="24"/>
          <w:vertAlign w:val="superscript"/>
        </w:rPr>
        <w:t>239</w:t>
      </w:r>
      <w:r w:rsidR="00497DCB">
        <w:rPr>
          <w:rFonts w:asciiTheme="minorHAnsi" w:hAnsiTheme="minorHAnsi"/>
          <w:sz w:val="24"/>
          <w:szCs w:val="24"/>
        </w:rPr>
        <w:t>Pu</w:t>
      </w:r>
      <w:r>
        <w:rPr>
          <w:rFonts w:asciiTheme="minorHAnsi" w:hAnsiTheme="minorHAnsi"/>
          <w:sz w:val="24"/>
          <w:szCs w:val="24"/>
        </w:rPr>
        <w:t xml:space="preserve"> abundance. These considerations were kept in mind throughout the study.</w:t>
      </w:r>
    </w:p>
    <w:p w14:paraId="2C6658FF" w14:textId="77777777" w:rsidR="00B6219B"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Further to the local geology and</w:t>
      </w:r>
      <w:r w:rsidR="00B6219B">
        <w:rPr>
          <w:rFonts w:asciiTheme="minorHAnsi" w:hAnsiTheme="minorHAnsi"/>
          <w:sz w:val="24"/>
          <w:szCs w:val="24"/>
        </w:rPr>
        <w:t xml:space="preserve"> the</w:t>
      </w:r>
      <w:r>
        <w:rPr>
          <w:rFonts w:asciiTheme="minorHAnsi" w:hAnsiTheme="minorHAnsi"/>
          <w:sz w:val="24"/>
          <w:szCs w:val="24"/>
        </w:rPr>
        <w:t xml:space="preserve"> reactors that were on site is the knowledge of past waste management practices. Before modern practices were adopted, Dounreay constructed a shaft </w:t>
      </w:r>
      <w:r w:rsidR="00B6219B">
        <w:rPr>
          <w:rFonts w:asciiTheme="minorHAnsi" w:hAnsiTheme="minorHAnsi"/>
          <w:sz w:val="24"/>
          <w:szCs w:val="24"/>
        </w:rPr>
        <w:t xml:space="preserve">over 20 metres deep </w:t>
      </w:r>
      <w:r>
        <w:rPr>
          <w:rFonts w:asciiTheme="minorHAnsi" w:hAnsiTheme="minorHAnsi"/>
          <w:sz w:val="24"/>
          <w:szCs w:val="24"/>
        </w:rPr>
        <w:t>on the site to host all levels of waste including contaminated equipment and material.</w:t>
      </w:r>
    </w:p>
    <w:p w14:paraId="241BEF9D" w14:textId="77777777" w:rsidR="007B6045" w:rsidRDefault="00F37CA9" w:rsidP="007B6045">
      <w:pPr>
        <w:pStyle w:val="BodyText"/>
        <w:keepNext/>
        <w:spacing w:line="480" w:lineRule="auto"/>
        <w:ind w:firstLine="567"/>
        <w:jc w:val="center"/>
      </w:pPr>
      <w:r>
        <w:rPr>
          <w:rFonts w:asciiTheme="minorHAnsi" w:hAnsiTheme="minorHAnsi"/>
          <w:noProof/>
          <w:sz w:val="24"/>
          <w:szCs w:val="24"/>
          <w:lang w:val="en-GB" w:eastAsia="en-GB"/>
        </w:rPr>
        <w:lastRenderedPageBreak/>
        <w:drawing>
          <wp:inline distT="0" distB="0" distL="0" distR="0" wp14:anchorId="20B5DF83" wp14:editId="2782E522">
            <wp:extent cx="3629025" cy="3629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unreay Silo.jpg"/>
                    <pic:cNvPicPr/>
                  </pic:nvPicPr>
                  <pic:blipFill>
                    <a:blip r:embed="rId13">
                      <a:extLst>
                        <a:ext uri="{28A0092B-C50C-407E-A947-70E740481C1C}">
                          <a14:useLocalDpi xmlns:a14="http://schemas.microsoft.com/office/drawing/2010/main" val="0"/>
                        </a:ext>
                      </a:extLst>
                    </a:blip>
                    <a:stretch>
                      <a:fillRect/>
                    </a:stretch>
                  </pic:blipFill>
                  <pic:spPr>
                    <a:xfrm>
                      <a:off x="0" y="0"/>
                      <a:ext cx="3650777" cy="3650777"/>
                    </a:xfrm>
                    <a:prstGeom prst="rect">
                      <a:avLst/>
                    </a:prstGeom>
                  </pic:spPr>
                </pic:pic>
              </a:graphicData>
            </a:graphic>
          </wp:inline>
        </w:drawing>
      </w:r>
    </w:p>
    <w:p w14:paraId="5EC42C4E" w14:textId="45FC2248" w:rsidR="007B6045" w:rsidRPr="006077E6" w:rsidRDefault="007B6045" w:rsidP="007B6045">
      <w:pPr>
        <w:pStyle w:val="Caption"/>
        <w:jc w:val="center"/>
        <w:rPr>
          <w:sz w:val="20"/>
        </w:rPr>
      </w:pPr>
      <w:bookmarkStart w:id="5" w:name="_Ref31562535"/>
      <w:r w:rsidRPr="006077E6">
        <w:rPr>
          <w:sz w:val="20"/>
        </w:rPr>
        <w:t xml:space="preserve">Figure </w:t>
      </w:r>
      <w:r w:rsidRPr="006077E6">
        <w:rPr>
          <w:sz w:val="20"/>
        </w:rPr>
        <w:fldChar w:fldCharType="begin"/>
      </w:r>
      <w:r w:rsidRPr="006077E6">
        <w:rPr>
          <w:sz w:val="20"/>
        </w:rPr>
        <w:instrText xml:space="preserve"> SEQ Figure \* ARABIC </w:instrText>
      </w:r>
      <w:r w:rsidRPr="006077E6">
        <w:rPr>
          <w:sz w:val="20"/>
        </w:rPr>
        <w:fldChar w:fldCharType="separate"/>
      </w:r>
      <w:r w:rsidR="00161FDC">
        <w:rPr>
          <w:noProof/>
          <w:sz w:val="20"/>
        </w:rPr>
        <w:t>3</w:t>
      </w:r>
      <w:r w:rsidRPr="006077E6">
        <w:rPr>
          <w:sz w:val="20"/>
        </w:rPr>
        <w:fldChar w:fldCharType="end"/>
      </w:r>
      <w:bookmarkEnd w:id="5"/>
      <w:r w:rsidRPr="006077E6">
        <w:rPr>
          <w:sz w:val="20"/>
        </w:rPr>
        <w:t xml:space="preserve"> The Dounreay shaft. The shaft was designed to assist construction of the liquid effluent discharge tunnel and was subsequently licensed in 1958 for disposal of intermediate level radioactive waste long-term on the site </w:t>
      </w:r>
      <w:r w:rsidR="007D1AB4" w:rsidRPr="006077E6">
        <w:rPr>
          <w:sz w:val="20"/>
        </w:rPr>
        <w:fldChar w:fldCharType="begin" w:fldLock="1"/>
      </w:r>
      <w:r w:rsidR="000B0F18" w:rsidRPr="006077E6">
        <w:rPr>
          <w:sz w:val="20"/>
        </w:rPr>
        <w:instrText>ADDIN CSL_CITATION {"citationItems":[{"id":"ITEM-1","itemData":{"author":[{"dropping-particle":"","family":"Tate","given":"Michael S.","non-dropping-particle":"","parse-names":false,"suffix":""}],"id":"ITEM-1","issued":{"date-parts":[["2006"]]},"number-of-pages":"51","title":"Environmental Safety Case - DSRL","type":"report"},"uris":["http://www.mendeley.com/documents/?uuid=430bc48d-45f5-4ae4-872e-343cb4a428f9"]}],"mendeley":{"formattedCitation":"[22]","plainTextFormattedCitation":"[22]","previouslyFormattedCitation":"[22]"},"properties":{"noteIndex":0},"schema":"https://github.com/citation-style-language/schema/raw/master/csl-citation.json"}</w:instrText>
      </w:r>
      <w:r w:rsidR="007D1AB4" w:rsidRPr="006077E6">
        <w:rPr>
          <w:sz w:val="20"/>
        </w:rPr>
        <w:fldChar w:fldCharType="separate"/>
      </w:r>
      <w:r w:rsidR="007D1AB4" w:rsidRPr="006077E6">
        <w:rPr>
          <w:i w:val="0"/>
          <w:noProof/>
          <w:sz w:val="20"/>
        </w:rPr>
        <w:t>[22]</w:t>
      </w:r>
      <w:r w:rsidR="007D1AB4" w:rsidRPr="006077E6">
        <w:rPr>
          <w:sz w:val="20"/>
        </w:rPr>
        <w:fldChar w:fldCharType="end"/>
      </w:r>
      <w:r w:rsidRPr="006077E6">
        <w:rPr>
          <w:sz w:val="20"/>
        </w:rPr>
        <w:t>. Over time, the effluent tunnel began to leak into the sea, leading to a large scale clean- up project in the coastal waters. Since, the shaft has been identified as a decommissioning priority before the end state can be reached and clean-up is soon to begin.</w:t>
      </w:r>
    </w:p>
    <w:p w14:paraId="54FE9A1D" w14:textId="0FE943AA" w:rsidR="00F37CA9"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Not everything disposed of was accounted</w:t>
      </w:r>
      <w:r w:rsidR="00E06CCF">
        <w:rPr>
          <w:rFonts w:asciiTheme="minorHAnsi" w:hAnsiTheme="minorHAnsi"/>
          <w:sz w:val="24"/>
          <w:szCs w:val="24"/>
        </w:rPr>
        <w:t xml:space="preserve"> for</w:t>
      </w:r>
      <w:r>
        <w:rPr>
          <w:rFonts w:asciiTheme="minorHAnsi" w:hAnsiTheme="minorHAnsi"/>
          <w:sz w:val="24"/>
          <w:szCs w:val="24"/>
        </w:rPr>
        <w:t xml:space="preserve">, which </w:t>
      </w:r>
      <w:r w:rsidR="00E06CCF">
        <w:rPr>
          <w:rFonts w:asciiTheme="minorHAnsi" w:hAnsiTheme="minorHAnsi"/>
          <w:sz w:val="24"/>
          <w:szCs w:val="24"/>
        </w:rPr>
        <w:t>requires that</w:t>
      </w:r>
      <w:r>
        <w:rPr>
          <w:rFonts w:asciiTheme="minorHAnsi" w:hAnsiTheme="minorHAnsi"/>
          <w:sz w:val="24"/>
          <w:szCs w:val="24"/>
        </w:rPr>
        <w:t xml:space="preserve"> the clean-up of the shaft </w:t>
      </w:r>
      <w:r w:rsidR="00E06CCF">
        <w:rPr>
          <w:rFonts w:asciiTheme="minorHAnsi" w:hAnsiTheme="minorHAnsi"/>
          <w:sz w:val="24"/>
          <w:szCs w:val="24"/>
        </w:rPr>
        <w:t>is planned carefully</w:t>
      </w:r>
      <w:r>
        <w:rPr>
          <w:rFonts w:asciiTheme="minorHAnsi" w:hAnsiTheme="minorHAnsi"/>
          <w:sz w:val="24"/>
          <w:szCs w:val="24"/>
        </w:rPr>
        <w:t xml:space="preserve">. As the shaft is concrete lined and </w:t>
      </w:r>
      <w:r w:rsidR="00E06CCF">
        <w:rPr>
          <w:rFonts w:asciiTheme="minorHAnsi" w:hAnsiTheme="minorHAnsi"/>
          <w:sz w:val="24"/>
          <w:szCs w:val="24"/>
        </w:rPr>
        <w:t>over 20 m</w:t>
      </w:r>
      <w:r>
        <w:rPr>
          <w:rFonts w:asciiTheme="minorHAnsi" w:hAnsiTheme="minorHAnsi"/>
          <w:sz w:val="24"/>
          <w:szCs w:val="24"/>
        </w:rPr>
        <w:t xml:space="preserve"> deep</w:t>
      </w:r>
      <w:r w:rsidR="00AD5212">
        <w:rPr>
          <w:rFonts w:asciiTheme="minorHAnsi" w:hAnsiTheme="minorHAnsi"/>
          <w:sz w:val="24"/>
          <w:szCs w:val="24"/>
        </w:rPr>
        <w:t>(</w:t>
      </w:r>
      <w:r w:rsidR="00AD5212" w:rsidRPr="005E10A6">
        <w:rPr>
          <w:rFonts w:asciiTheme="minorHAnsi" w:hAnsiTheme="minorHAnsi"/>
          <w:sz w:val="24"/>
          <w:szCs w:val="24"/>
        </w:rPr>
        <w:fldChar w:fldCharType="begin"/>
      </w:r>
      <w:r w:rsidR="00AD5212" w:rsidRPr="005E10A6">
        <w:rPr>
          <w:rFonts w:asciiTheme="minorHAnsi" w:hAnsiTheme="minorHAnsi"/>
          <w:sz w:val="24"/>
          <w:szCs w:val="24"/>
        </w:rPr>
        <w:instrText xml:space="preserve"> REF _Ref31562535 \h </w:instrText>
      </w:r>
      <w:r w:rsidR="005E10A6" w:rsidRPr="005E10A6">
        <w:rPr>
          <w:rFonts w:asciiTheme="minorHAnsi" w:hAnsiTheme="minorHAnsi"/>
          <w:sz w:val="24"/>
          <w:szCs w:val="24"/>
        </w:rPr>
        <w:instrText xml:space="preserve"> \* MERGEFORMAT </w:instrText>
      </w:r>
      <w:r w:rsidR="00AD5212" w:rsidRPr="005E10A6">
        <w:rPr>
          <w:rFonts w:asciiTheme="minorHAnsi" w:hAnsiTheme="minorHAnsi"/>
          <w:sz w:val="24"/>
          <w:szCs w:val="24"/>
        </w:rPr>
      </w:r>
      <w:r w:rsidR="00AD5212" w:rsidRPr="005E10A6">
        <w:rPr>
          <w:rFonts w:asciiTheme="minorHAnsi" w:hAnsiTheme="minorHAnsi"/>
          <w:sz w:val="24"/>
          <w:szCs w:val="24"/>
        </w:rPr>
        <w:fldChar w:fldCharType="separate"/>
      </w:r>
      <w:r w:rsidR="00161FDC" w:rsidRPr="00161FDC">
        <w:rPr>
          <w:rFonts w:asciiTheme="minorHAnsi" w:hAnsiTheme="minorHAnsi"/>
          <w:sz w:val="24"/>
          <w:szCs w:val="24"/>
        </w:rPr>
        <w:t xml:space="preserve">Figure </w:t>
      </w:r>
      <w:r w:rsidR="00161FDC" w:rsidRPr="00161FDC">
        <w:rPr>
          <w:rFonts w:asciiTheme="minorHAnsi" w:hAnsiTheme="minorHAnsi"/>
          <w:noProof/>
          <w:sz w:val="24"/>
          <w:szCs w:val="24"/>
        </w:rPr>
        <w:t>3</w:t>
      </w:r>
      <w:r w:rsidR="00AD5212" w:rsidRPr="005E10A6">
        <w:rPr>
          <w:rFonts w:asciiTheme="minorHAnsi" w:hAnsiTheme="minorHAnsi"/>
          <w:sz w:val="24"/>
          <w:szCs w:val="24"/>
        </w:rPr>
        <w:fldChar w:fldCharType="end"/>
      </w:r>
      <w:r w:rsidR="005E10A6">
        <w:rPr>
          <w:rFonts w:asciiTheme="minorHAnsi" w:hAnsiTheme="minorHAnsi"/>
          <w:sz w:val="24"/>
          <w:szCs w:val="24"/>
        </w:rPr>
        <w:t>)</w:t>
      </w:r>
      <w:r>
        <w:rPr>
          <w:rFonts w:asciiTheme="minorHAnsi" w:hAnsiTheme="minorHAnsi"/>
          <w:sz w:val="24"/>
          <w:szCs w:val="24"/>
        </w:rPr>
        <w:t xml:space="preserve">, </w:t>
      </w:r>
      <w:r w:rsidR="00E06CCF">
        <w:rPr>
          <w:rFonts w:asciiTheme="minorHAnsi" w:hAnsiTheme="minorHAnsi"/>
          <w:sz w:val="24"/>
          <w:szCs w:val="24"/>
        </w:rPr>
        <w:t>it is anticipated that it</w:t>
      </w:r>
      <w:r>
        <w:rPr>
          <w:rFonts w:asciiTheme="minorHAnsi" w:hAnsiTheme="minorHAnsi"/>
          <w:sz w:val="24"/>
          <w:szCs w:val="24"/>
        </w:rPr>
        <w:t xml:space="preserve"> has</w:t>
      </w:r>
      <w:r w:rsidR="00E06CCF">
        <w:rPr>
          <w:rFonts w:asciiTheme="minorHAnsi" w:hAnsiTheme="minorHAnsi"/>
          <w:sz w:val="24"/>
          <w:szCs w:val="24"/>
        </w:rPr>
        <w:t xml:space="preserve"> had</w:t>
      </w:r>
      <w:r>
        <w:rPr>
          <w:rFonts w:asciiTheme="minorHAnsi" w:hAnsiTheme="minorHAnsi"/>
          <w:sz w:val="24"/>
          <w:szCs w:val="24"/>
        </w:rPr>
        <w:t xml:space="preserve"> very little impact on the surface soil radioactivity and so will not be considered much further into </w:t>
      </w:r>
      <w:r w:rsidR="00E06CCF">
        <w:rPr>
          <w:rFonts w:asciiTheme="minorHAnsi" w:hAnsiTheme="minorHAnsi"/>
          <w:sz w:val="24"/>
          <w:szCs w:val="24"/>
        </w:rPr>
        <w:t>this thesis</w:t>
      </w:r>
      <w:r>
        <w:rPr>
          <w:rFonts w:asciiTheme="minorHAnsi" w:hAnsiTheme="minorHAnsi"/>
          <w:sz w:val="24"/>
          <w:szCs w:val="24"/>
        </w:rPr>
        <w:t xml:space="preserve">, other than to state that the shaft has </w:t>
      </w:r>
      <w:r w:rsidR="00FB684D">
        <w:rPr>
          <w:rFonts w:asciiTheme="minorHAnsi" w:hAnsiTheme="minorHAnsi"/>
          <w:sz w:val="24"/>
          <w:szCs w:val="24"/>
        </w:rPr>
        <w:t>leaked radioactive material during a</w:t>
      </w:r>
      <w:r w:rsidR="00DF2C7B">
        <w:rPr>
          <w:rFonts w:asciiTheme="minorHAnsi" w:hAnsiTheme="minorHAnsi"/>
          <w:sz w:val="24"/>
          <w:szCs w:val="24"/>
        </w:rPr>
        <w:t>n</w:t>
      </w:r>
      <w:r w:rsidR="00FB684D">
        <w:rPr>
          <w:rFonts w:asciiTheme="minorHAnsi" w:hAnsiTheme="minorHAnsi"/>
          <w:sz w:val="24"/>
          <w:szCs w:val="24"/>
        </w:rPr>
        <w:t xml:space="preserve"> explosion</w:t>
      </w:r>
      <w:r w:rsidR="000D6440">
        <w:rPr>
          <w:rFonts w:asciiTheme="minorHAnsi" w:hAnsiTheme="minorHAnsi"/>
          <w:sz w:val="24"/>
          <w:szCs w:val="24"/>
        </w:rPr>
        <w:t xml:space="preserve"> </w:t>
      </w:r>
      <w:r w:rsidR="00DF2C7B">
        <w:rPr>
          <w:rFonts w:asciiTheme="minorHAnsi" w:hAnsiTheme="minorHAnsi"/>
          <w:sz w:val="24"/>
          <w:szCs w:val="24"/>
        </w:rPr>
        <w:t xml:space="preserve">driven by gas build-up </w:t>
      </w:r>
      <w:r w:rsidR="009355E2">
        <w:rPr>
          <w:rFonts w:asciiTheme="minorHAnsi" w:hAnsiTheme="minorHAnsi"/>
          <w:sz w:val="24"/>
          <w:szCs w:val="24"/>
        </w:rPr>
        <w:fldChar w:fldCharType="begin" w:fldLock="1"/>
      </w:r>
      <w:r w:rsidR="000B0F18">
        <w:rPr>
          <w:rFonts w:asciiTheme="minorHAnsi" w:hAnsiTheme="minorHAnsi"/>
          <w:sz w:val="24"/>
          <w:szCs w:val="24"/>
        </w:rPr>
        <w:instrText>ADDIN CSL_CITATION {"citationItems":[{"id":"ITEM-1","itemData":{"DOI":"10.1144/qjegh.34.3.245","ISSN":"1470-9236","abstract":"The risk from coast erosion to a shaft containing nuclear waste at Dounreay, Caithness is assessed. The physical setting of the shaft, data on the rates of erosion in the Devonian Flagstones and the drift capping of the local cliffs and future influences on erosion rates and flooding are summarized. A two-layer model of superficials and flagstones is used to address the immediate concern of lateral erosion towards the shaft. Superficials’ erosion is assessed from a comparison of successive cliff surveys. Flagstones’ erosion proceeds chiefly by the deepening of slots in the weaker interbeds, with associated cantilever failures and block removal through wave action. The rate of slot development is estimated from the growth rate of tafoni within them. Whether erosion proceeds by superficials’ or flagstones’ erosion alone or in combination depends on the level of rockhead in the cliffs in relation to tide and wave levels. These threshold rockhead levels vary with the morphology and degree of exposure of the cliffs. They will also rise with time relative to Ordnance Datum in response to the general rise in sea level. Estimates of the periods remaining before the shaft is exposed by coast erosion are made through the above model, both planimetrically and sectionally. They range from about 160 to over 240 years. Flooding by the sea is likely to commence about 400 years hence. The UKAEA plans to remove the nuclear waste from the shaft within the next two decades, well before the above factors would have an impact.","author":[{"dropping-particle":"","family":"Hutchinson","given":"J. N.","non-dropping-particle":"","parse-names":false,"suffix":""},{"dropping-particle":"","family":"Millar","given":"D. L.","non-dropping-particle":"","parse-names":false,"suffix":""},{"dropping-particle":"","family":"Trewin","given":"N. H.","non-dropping-particle":"","parse-names":false,"suffix":""}],"container-title":"Quarterly Journal of Engineering Geology and Hydrogeology","id":"ITEM-1","issue":"3","issued":{"date-parts":[["2001","8","1"]]},"page":"245-268","publisher":"Geological Society of London","title":"Coast erosion at a nuclear waste shaft, Dounreay, Scotland","type":"article-journal","volume":"34"},"uris":["http://www.mendeley.com/documents/?uuid=279f9fed-3661-3600-a43d-a5fe2b5bb1a6"]}],"mendeley":{"formattedCitation":"[23]","plainTextFormattedCitation":"[23]","previouslyFormattedCitation":"[23]"},"properties":{"noteIndex":0},"schema":"https://github.com/citation-style-language/schema/raw/master/csl-citation.json"}</w:instrText>
      </w:r>
      <w:r w:rsidR="009355E2">
        <w:rPr>
          <w:rFonts w:asciiTheme="minorHAnsi" w:hAnsiTheme="minorHAnsi"/>
          <w:sz w:val="24"/>
          <w:szCs w:val="24"/>
        </w:rPr>
        <w:fldChar w:fldCharType="separate"/>
      </w:r>
      <w:r w:rsidR="007D1AB4" w:rsidRPr="007D1AB4">
        <w:rPr>
          <w:rFonts w:asciiTheme="minorHAnsi" w:hAnsiTheme="minorHAnsi"/>
          <w:noProof/>
          <w:sz w:val="24"/>
          <w:szCs w:val="24"/>
        </w:rPr>
        <w:t>[23]</w:t>
      </w:r>
      <w:r w:rsidR="009355E2">
        <w:rPr>
          <w:rFonts w:asciiTheme="minorHAnsi" w:hAnsiTheme="minorHAnsi"/>
          <w:sz w:val="24"/>
          <w:szCs w:val="24"/>
        </w:rPr>
        <w:fldChar w:fldCharType="end"/>
      </w:r>
      <w:r w:rsidR="00A61905">
        <w:rPr>
          <w:rFonts w:asciiTheme="minorHAnsi" w:hAnsiTheme="minorHAnsi"/>
          <w:sz w:val="24"/>
          <w:szCs w:val="24"/>
        </w:rPr>
        <w:t xml:space="preserve">. This could present a potential </w:t>
      </w:r>
      <w:r>
        <w:rPr>
          <w:rFonts w:asciiTheme="minorHAnsi" w:hAnsiTheme="minorHAnsi"/>
          <w:sz w:val="24"/>
          <w:szCs w:val="24"/>
        </w:rPr>
        <w:t>method</w:t>
      </w:r>
      <w:r w:rsidR="000D6440">
        <w:rPr>
          <w:rFonts w:asciiTheme="minorHAnsi" w:hAnsiTheme="minorHAnsi"/>
          <w:sz w:val="24"/>
          <w:szCs w:val="24"/>
        </w:rPr>
        <w:t xml:space="preserve"> for radioactivity</w:t>
      </w:r>
      <w:r>
        <w:rPr>
          <w:rFonts w:asciiTheme="minorHAnsi" w:hAnsiTheme="minorHAnsi"/>
          <w:sz w:val="24"/>
          <w:szCs w:val="24"/>
        </w:rPr>
        <w:t xml:space="preserve"> to be redeposited on land. Further</w:t>
      </w:r>
      <w:r w:rsidR="000D6440">
        <w:rPr>
          <w:rFonts w:asciiTheme="minorHAnsi" w:hAnsiTheme="minorHAnsi"/>
          <w:sz w:val="24"/>
          <w:szCs w:val="24"/>
        </w:rPr>
        <w:t>,</w:t>
      </w:r>
      <w:r>
        <w:rPr>
          <w:rFonts w:asciiTheme="minorHAnsi" w:hAnsiTheme="minorHAnsi"/>
          <w:sz w:val="24"/>
          <w:szCs w:val="24"/>
        </w:rPr>
        <w:t xml:space="preserve"> such </w:t>
      </w:r>
      <w:r w:rsidR="00497DCB">
        <w:rPr>
          <w:rFonts w:asciiTheme="minorHAnsi" w:hAnsiTheme="minorHAnsi"/>
          <w:sz w:val="24"/>
          <w:szCs w:val="24"/>
        </w:rPr>
        <w:t xml:space="preserve">methods of </w:t>
      </w:r>
      <w:r>
        <w:rPr>
          <w:rFonts w:asciiTheme="minorHAnsi" w:hAnsiTheme="minorHAnsi"/>
          <w:sz w:val="24"/>
          <w:szCs w:val="24"/>
        </w:rPr>
        <w:t>handling waste lends itself to the possibility of unreported</w:t>
      </w:r>
      <w:r w:rsidR="000D6440">
        <w:rPr>
          <w:rFonts w:asciiTheme="minorHAnsi" w:hAnsiTheme="minorHAnsi"/>
          <w:sz w:val="24"/>
          <w:szCs w:val="24"/>
        </w:rPr>
        <w:t>, legacy</w:t>
      </w:r>
      <w:r>
        <w:rPr>
          <w:rFonts w:asciiTheme="minorHAnsi" w:hAnsiTheme="minorHAnsi"/>
          <w:sz w:val="24"/>
          <w:szCs w:val="24"/>
        </w:rPr>
        <w:t xml:space="preserve"> contamination events on site.</w:t>
      </w:r>
    </w:p>
    <w:p w14:paraId="466B1E9B" w14:textId="2D7D2048" w:rsidR="00F37CA9"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Moving forward, the Dounreay site is nearing its end sta</w:t>
      </w:r>
      <w:r w:rsidR="000D6440">
        <w:rPr>
          <w:rFonts w:asciiTheme="minorHAnsi" w:hAnsiTheme="minorHAnsi"/>
          <w:sz w:val="24"/>
          <w:szCs w:val="24"/>
        </w:rPr>
        <w:t>te</w:t>
      </w:r>
      <w:r>
        <w:rPr>
          <w:rFonts w:asciiTheme="minorHAnsi" w:hAnsiTheme="minorHAnsi"/>
          <w:sz w:val="24"/>
          <w:szCs w:val="24"/>
        </w:rPr>
        <w:t xml:space="preserve"> of decommissioning. With this comes the de</w:t>
      </w:r>
      <w:r w:rsidR="000D6440">
        <w:rPr>
          <w:rFonts w:asciiTheme="minorHAnsi" w:hAnsiTheme="minorHAnsi"/>
          <w:sz w:val="24"/>
          <w:szCs w:val="24"/>
        </w:rPr>
        <w:t>molition</w:t>
      </w:r>
      <w:r>
        <w:rPr>
          <w:rFonts w:asciiTheme="minorHAnsi" w:hAnsiTheme="minorHAnsi"/>
          <w:sz w:val="24"/>
          <w:szCs w:val="24"/>
        </w:rPr>
        <w:t xml:space="preserve"> and removal of buildings</w:t>
      </w:r>
      <w:r w:rsidR="000D6440">
        <w:rPr>
          <w:rFonts w:asciiTheme="minorHAnsi" w:hAnsiTheme="minorHAnsi"/>
          <w:sz w:val="24"/>
          <w:szCs w:val="24"/>
        </w:rPr>
        <w:t>, many of which</w:t>
      </w:r>
      <w:r>
        <w:rPr>
          <w:rFonts w:asciiTheme="minorHAnsi" w:hAnsiTheme="minorHAnsi"/>
          <w:sz w:val="24"/>
          <w:szCs w:val="24"/>
        </w:rPr>
        <w:t xml:space="preserve"> have been in place since 1955. The issue this presents for soil monitoring is two</w:t>
      </w:r>
      <w:r w:rsidR="000D6440">
        <w:rPr>
          <w:rFonts w:asciiTheme="minorHAnsi" w:hAnsiTheme="minorHAnsi"/>
          <w:sz w:val="24"/>
          <w:szCs w:val="24"/>
        </w:rPr>
        <w:t>-</w:t>
      </w:r>
      <w:r>
        <w:rPr>
          <w:rFonts w:asciiTheme="minorHAnsi" w:hAnsiTheme="minorHAnsi"/>
          <w:sz w:val="24"/>
          <w:szCs w:val="24"/>
        </w:rPr>
        <w:t xml:space="preserve">fold; firstly, demolition can lead to the </w:t>
      </w:r>
      <w:r>
        <w:rPr>
          <w:rFonts w:asciiTheme="minorHAnsi" w:hAnsiTheme="minorHAnsi"/>
          <w:sz w:val="24"/>
          <w:szCs w:val="24"/>
        </w:rPr>
        <w:lastRenderedPageBreak/>
        <w:t xml:space="preserve">movement of significant masses of ground material, which has the potential to bury any </w:t>
      </w:r>
      <w:r w:rsidR="000D6440">
        <w:rPr>
          <w:rFonts w:asciiTheme="minorHAnsi" w:hAnsiTheme="minorHAnsi"/>
          <w:sz w:val="24"/>
          <w:szCs w:val="24"/>
        </w:rPr>
        <w:t xml:space="preserve">residual </w:t>
      </w:r>
      <w:r>
        <w:rPr>
          <w:rFonts w:asciiTheme="minorHAnsi" w:hAnsiTheme="minorHAnsi"/>
          <w:sz w:val="24"/>
          <w:szCs w:val="24"/>
        </w:rPr>
        <w:t>contamination deeper into the ground, making it less likely to be detected</w:t>
      </w:r>
      <w:r w:rsidR="00497DCB">
        <w:rPr>
          <w:rFonts w:asciiTheme="minorHAnsi" w:hAnsiTheme="minorHAnsi"/>
          <w:sz w:val="24"/>
          <w:szCs w:val="24"/>
        </w:rPr>
        <w:t xml:space="preserve">. </w:t>
      </w:r>
      <w:r>
        <w:rPr>
          <w:rFonts w:asciiTheme="minorHAnsi" w:hAnsiTheme="minorHAnsi"/>
          <w:sz w:val="24"/>
          <w:szCs w:val="24"/>
        </w:rPr>
        <w:t xml:space="preserve">Secondly, the removal of structures can present soils for analysis that have never come into contact with </w:t>
      </w:r>
      <w:r w:rsidR="000D6440">
        <w:rPr>
          <w:rFonts w:asciiTheme="minorHAnsi" w:hAnsiTheme="minorHAnsi"/>
          <w:sz w:val="24"/>
          <w:szCs w:val="24"/>
        </w:rPr>
        <w:t>global</w:t>
      </w:r>
      <w:r>
        <w:rPr>
          <w:rFonts w:asciiTheme="minorHAnsi" w:hAnsiTheme="minorHAnsi"/>
          <w:sz w:val="24"/>
          <w:szCs w:val="24"/>
        </w:rPr>
        <w:t xml:space="preserve"> fallout contamination</w:t>
      </w:r>
      <w:r w:rsidR="000D6440">
        <w:rPr>
          <w:rFonts w:asciiTheme="minorHAnsi" w:hAnsiTheme="minorHAnsi"/>
          <w:sz w:val="24"/>
          <w:szCs w:val="24"/>
        </w:rPr>
        <w:t xml:space="preserve"> from neighbouring facilities</w:t>
      </w:r>
      <w:r>
        <w:rPr>
          <w:rFonts w:asciiTheme="minorHAnsi" w:hAnsiTheme="minorHAnsi"/>
          <w:sz w:val="24"/>
          <w:szCs w:val="24"/>
        </w:rPr>
        <w:t xml:space="preserve">, let alone potential site contamination, which could </w:t>
      </w:r>
      <w:r w:rsidR="000D6440">
        <w:rPr>
          <w:rFonts w:asciiTheme="minorHAnsi" w:hAnsiTheme="minorHAnsi"/>
          <w:sz w:val="24"/>
          <w:szCs w:val="24"/>
        </w:rPr>
        <w:t>influence the interpretation of</w:t>
      </w:r>
      <w:r>
        <w:rPr>
          <w:rFonts w:asciiTheme="minorHAnsi" w:hAnsiTheme="minorHAnsi"/>
          <w:sz w:val="24"/>
          <w:szCs w:val="24"/>
        </w:rPr>
        <w:t xml:space="preserve"> assessments of contamination in an area, especially if the removal of said buildings has not been considered.</w:t>
      </w:r>
    </w:p>
    <w:p w14:paraId="1681F282" w14:textId="77777777" w:rsidR="00F37CA9" w:rsidRDefault="00F37CA9" w:rsidP="00F37CA9">
      <w:pPr>
        <w:pStyle w:val="BodyText"/>
        <w:spacing w:line="480" w:lineRule="auto"/>
        <w:ind w:firstLine="567"/>
        <w:jc w:val="left"/>
        <w:rPr>
          <w:rFonts w:asciiTheme="minorHAnsi" w:hAnsiTheme="minorHAnsi"/>
          <w:sz w:val="24"/>
          <w:szCs w:val="24"/>
        </w:rPr>
      </w:pPr>
    </w:p>
    <w:p w14:paraId="124122AC" w14:textId="77777777" w:rsidR="00F37CA9" w:rsidRPr="006A2867" w:rsidRDefault="00F37CA9" w:rsidP="00F37CA9">
      <w:pPr>
        <w:pStyle w:val="BodyText"/>
        <w:spacing w:line="480" w:lineRule="auto"/>
        <w:ind w:firstLine="0"/>
        <w:jc w:val="left"/>
        <w:rPr>
          <w:rFonts w:asciiTheme="minorHAnsi" w:hAnsiTheme="minorHAnsi"/>
          <w:b/>
          <w:sz w:val="28"/>
          <w:szCs w:val="24"/>
        </w:rPr>
      </w:pPr>
      <w:r w:rsidRPr="006A2867">
        <w:rPr>
          <w:rFonts w:asciiTheme="minorHAnsi" w:hAnsiTheme="minorHAnsi"/>
          <w:b/>
          <w:sz w:val="28"/>
          <w:szCs w:val="24"/>
        </w:rPr>
        <w:t>1.3 DSRL Objectives</w:t>
      </w:r>
    </w:p>
    <w:p w14:paraId="67DBD1DC" w14:textId="65FCE808" w:rsidR="00F37CA9" w:rsidRPr="002E49EF"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As stated in Dounreay’s 2018 Socio Economic plan, the expected interim end date for the site will be reached between 2030 and 2033</w:t>
      </w:r>
      <w:r w:rsidR="00CC07BD">
        <w:rPr>
          <w:rFonts w:asciiTheme="minorHAnsi" w:hAnsiTheme="minorHAnsi"/>
          <w:sz w:val="24"/>
          <w:szCs w:val="24"/>
        </w:rPr>
        <w:t xml:space="preserve"> </w:t>
      </w:r>
      <w:r w:rsidR="00CC07BD">
        <w:rPr>
          <w:rFonts w:asciiTheme="minorHAnsi" w:hAnsiTheme="minorHAnsi"/>
          <w:sz w:val="24"/>
          <w:szCs w:val="24"/>
        </w:rPr>
        <w:fldChar w:fldCharType="begin" w:fldLock="1"/>
      </w:r>
      <w:r w:rsidR="000B0F18">
        <w:rPr>
          <w:rFonts w:asciiTheme="minorHAnsi" w:hAnsiTheme="minorHAnsi"/>
          <w:sz w:val="24"/>
          <w:szCs w:val="24"/>
        </w:rPr>
        <w:instrText>ADDIN CSL_CITATION {"citationItems":[{"id":"ITEM-1","itemData":{"author":[{"dropping-particle":"","family":"Cavendish","given":"Decommissioning Authority","non-dropping-particle":"","parse-names":false,"suffix":""},{"dropping-particle":"","family":"Partnership","given":"Dounreay","non-dropping-particle":"","parse-names":false,"suffix":""}],"id":"ITEM-1","issued":{"date-parts":[["2018"]]},"title":"Dounreay Socio Economic Plan","type":"report"},"uris":["http://www.mendeley.com/documents/?uuid=96669792-364b-3076-b141-38616d8bb4d3"]}],"mendeley":{"formattedCitation":"[24]","plainTextFormattedCitation":"[24]","previouslyFormattedCitation":"[24]"},"properties":{"noteIndex":0},"schema":"https://github.com/citation-style-language/schema/raw/master/csl-citation.json"}</w:instrText>
      </w:r>
      <w:r w:rsidR="00CC07BD">
        <w:rPr>
          <w:rFonts w:asciiTheme="minorHAnsi" w:hAnsiTheme="minorHAnsi"/>
          <w:sz w:val="24"/>
          <w:szCs w:val="24"/>
        </w:rPr>
        <w:fldChar w:fldCharType="separate"/>
      </w:r>
      <w:r w:rsidR="007D1AB4" w:rsidRPr="007D1AB4">
        <w:rPr>
          <w:rFonts w:asciiTheme="minorHAnsi" w:hAnsiTheme="minorHAnsi"/>
          <w:noProof/>
          <w:sz w:val="24"/>
          <w:szCs w:val="24"/>
        </w:rPr>
        <w:t>[24]</w:t>
      </w:r>
      <w:r w:rsidR="00CC07BD">
        <w:rPr>
          <w:rFonts w:asciiTheme="minorHAnsi" w:hAnsiTheme="minorHAnsi"/>
          <w:sz w:val="24"/>
          <w:szCs w:val="24"/>
        </w:rPr>
        <w:fldChar w:fldCharType="end"/>
      </w:r>
      <w:r w:rsidR="002E49EF">
        <w:rPr>
          <w:rFonts w:asciiTheme="minorHAnsi" w:hAnsiTheme="minorHAnsi"/>
          <w:sz w:val="24"/>
          <w:szCs w:val="24"/>
        </w:rPr>
        <w:t>.</w:t>
      </w:r>
    </w:p>
    <w:p w14:paraId="770ED9A8" w14:textId="0B0BBFF6" w:rsidR="00F37CA9"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 xml:space="preserve">The NDA define the ‘End State’ of a site as “...the physical condition of the site at the point at which the NDA has finished its business”. They also assert that “...a key point to note with this definition is that it does not necessarily require that all radiological material be removed from the site, since it is possible for the site to remain under long-term institutional control even after the NDA has finished its work” </w:t>
      </w:r>
      <w:r w:rsidR="00CC07BD">
        <w:rPr>
          <w:rFonts w:asciiTheme="minorHAnsi" w:hAnsiTheme="minorHAnsi"/>
          <w:sz w:val="24"/>
          <w:szCs w:val="24"/>
        </w:rPr>
        <w:fldChar w:fldCharType="begin" w:fldLock="1"/>
      </w:r>
      <w:r w:rsidR="00D56AEE">
        <w:rPr>
          <w:rFonts w:asciiTheme="minorHAnsi" w:hAnsiTheme="minorHAnsi"/>
          <w:sz w:val="24"/>
          <w:szCs w:val="24"/>
        </w:rPr>
        <w:instrText>ADDIN CSL_CITATION {"citationItems":[{"id":"ITEM-1","itemData":{"abstract":"The NDA Strategy requires the NDA to review site End States in consultation with stakeholders. This paper presents the NDA process for defining site End States. The process described consists of various stages of stakeholder consultation aimed at arriving at site End State definitions that will be reconciled with national requirements before being incorporated into the revised NDA Strategy.","author":[{"dropping-particle":"","family":"Nuclear Decommissioning Authority","given":"","non-dropping-particle":"","parse-names":false,"suffix":""}],"id":"ITEM-1","issued":{"date-parts":[["2006"]]},"title":"Site End State Definition Process","type":"report"},"uris":["http://www.mendeley.com/documents/?uuid=79c6cc52-d59b-3141-9dff-0bf6be660947"]}],"mendeley":{"formattedCitation":"[4]","plainTextFormattedCitation":"[4]","previouslyFormattedCitation":"[4]"},"properties":{"noteIndex":0},"schema":"https://github.com/citation-style-language/schema/raw/master/csl-citation.json"}</w:instrText>
      </w:r>
      <w:r w:rsidR="00CC07BD">
        <w:rPr>
          <w:rFonts w:asciiTheme="minorHAnsi" w:hAnsiTheme="minorHAnsi"/>
          <w:sz w:val="24"/>
          <w:szCs w:val="24"/>
        </w:rPr>
        <w:fldChar w:fldCharType="separate"/>
      </w:r>
      <w:r w:rsidR="00D56AEE" w:rsidRPr="00D56AEE">
        <w:rPr>
          <w:rFonts w:asciiTheme="minorHAnsi" w:hAnsiTheme="minorHAnsi"/>
          <w:noProof/>
          <w:sz w:val="24"/>
          <w:szCs w:val="24"/>
        </w:rPr>
        <w:t>[4]</w:t>
      </w:r>
      <w:r w:rsidR="00CC07BD">
        <w:rPr>
          <w:rFonts w:asciiTheme="minorHAnsi" w:hAnsiTheme="minorHAnsi"/>
          <w:sz w:val="24"/>
          <w:szCs w:val="24"/>
        </w:rPr>
        <w:fldChar w:fldCharType="end"/>
      </w:r>
      <w:r>
        <w:rPr>
          <w:rFonts w:asciiTheme="minorHAnsi" w:hAnsiTheme="minorHAnsi"/>
          <w:sz w:val="24"/>
          <w:szCs w:val="24"/>
        </w:rPr>
        <w:t xml:space="preserve">. So, </w:t>
      </w:r>
      <w:r w:rsidR="00AC04DA">
        <w:rPr>
          <w:rFonts w:asciiTheme="minorHAnsi" w:hAnsiTheme="minorHAnsi"/>
          <w:sz w:val="24"/>
          <w:szCs w:val="24"/>
        </w:rPr>
        <w:t>a baseline plutonium level needs to be determined and a system developed to measure that limit</w:t>
      </w:r>
      <w:r>
        <w:rPr>
          <w:rFonts w:asciiTheme="minorHAnsi" w:hAnsiTheme="minorHAnsi"/>
          <w:sz w:val="24"/>
          <w:szCs w:val="24"/>
        </w:rPr>
        <w:t>.</w:t>
      </w:r>
    </w:p>
    <w:p w14:paraId="0FC10216" w14:textId="6A3FC77C" w:rsidR="00F37CA9"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 xml:space="preserve">As mentioned, as part of the decommissioning process, most buildings involved in radiological handling will be removed which means that the majority of </w:t>
      </w:r>
      <w:r w:rsidR="00AC04DA">
        <w:rPr>
          <w:rFonts w:asciiTheme="minorHAnsi" w:hAnsiTheme="minorHAnsi"/>
          <w:sz w:val="24"/>
          <w:szCs w:val="24"/>
        </w:rPr>
        <w:t>any residual</w:t>
      </w:r>
      <w:r>
        <w:rPr>
          <w:rFonts w:asciiTheme="minorHAnsi" w:hAnsiTheme="minorHAnsi"/>
          <w:sz w:val="24"/>
          <w:szCs w:val="24"/>
        </w:rPr>
        <w:t xml:space="preserve"> contamination </w:t>
      </w:r>
      <w:r w:rsidR="00AC04DA">
        <w:rPr>
          <w:rFonts w:asciiTheme="minorHAnsi" w:hAnsiTheme="minorHAnsi"/>
          <w:sz w:val="24"/>
          <w:szCs w:val="24"/>
        </w:rPr>
        <w:t>will reside in</w:t>
      </w:r>
      <w:r>
        <w:rPr>
          <w:rFonts w:asciiTheme="minorHAnsi" w:hAnsiTheme="minorHAnsi"/>
          <w:sz w:val="24"/>
          <w:szCs w:val="24"/>
        </w:rPr>
        <w:t xml:space="preserve"> the soil matrix. Naturally, sampling all areas of soil on the site would require a huge amount of time, processing, and clearly, cost. For this reason, it is beneficial for DSRL to utilize as high throughput, high-efficiency, and low-cost system as possible.</w:t>
      </w:r>
    </w:p>
    <w:p w14:paraId="2D3FA613" w14:textId="77777777" w:rsidR="00F37CA9" w:rsidRPr="006A2867" w:rsidRDefault="00F37CA9" w:rsidP="00F37CA9">
      <w:pPr>
        <w:pStyle w:val="BodyText"/>
        <w:spacing w:line="480" w:lineRule="auto"/>
        <w:ind w:firstLine="0"/>
        <w:jc w:val="left"/>
        <w:rPr>
          <w:rFonts w:asciiTheme="minorHAnsi" w:hAnsiTheme="minorHAnsi"/>
          <w:sz w:val="28"/>
          <w:szCs w:val="24"/>
        </w:rPr>
      </w:pPr>
      <w:r w:rsidRPr="006A2867">
        <w:rPr>
          <w:rFonts w:asciiTheme="minorHAnsi" w:hAnsiTheme="minorHAnsi"/>
          <w:b/>
          <w:sz w:val="28"/>
          <w:szCs w:val="24"/>
        </w:rPr>
        <w:lastRenderedPageBreak/>
        <w:t>1.</w:t>
      </w:r>
      <w:r>
        <w:rPr>
          <w:rFonts w:asciiTheme="minorHAnsi" w:hAnsiTheme="minorHAnsi"/>
          <w:b/>
          <w:sz w:val="28"/>
          <w:szCs w:val="24"/>
        </w:rPr>
        <w:t>4</w:t>
      </w:r>
      <w:r w:rsidRPr="006A2867">
        <w:rPr>
          <w:rFonts w:asciiTheme="minorHAnsi" w:hAnsiTheme="minorHAnsi"/>
          <w:b/>
          <w:sz w:val="28"/>
          <w:szCs w:val="24"/>
        </w:rPr>
        <w:t xml:space="preserve"> Methods of Analysis</w:t>
      </w:r>
    </w:p>
    <w:p w14:paraId="7DD2F041" w14:textId="008DEE15" w:rsidR="00F37CA9"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 xml:space="preserve">Currently, DSRL analyse soil samples using alpha-spectrometry. </w:t>
      </w:r>
      <w:r w:rsidRPr="00BB662C">
        <w:rPr>
          <w:rFonts w:asciiTheme="minorHAnsi" w:hAnsiTheme="minorHAnsi"/>
          <w:sz w:val="24"/>
          <w:szCs w:val="24"/>
        </w:rPr>
        <w:t xml:space="preserve">The use of alpha assay is valuable as the main </w:t>
      </w:r>
      <w:r w:rsidR="00A45B8C">
        <w:rPr>
          <w:rFonts w:asciiTheme="minorHAnsi" w:hAnsiTheme="minorHAnsi"/>
          <w:sz w:val="24"/>
          <w:szCs w:val="24"/>
        </w:rPr>
        <w:t>source of radioactivity</w:t>
      </w:r>
      <w:r w:rsidRPr="00BB662C">
        <w:rPr>
          <w:rFonts w:asciiTheme="minorHAnsi" w:hAnsiTheme="minorHAnsi"/>
          <w:sz w:val="24"/>
          <w:szCs w:val="24"/>
        </w:rPr>
        <w:t xml:space="preserve"> observed in actinides </w:t>
      </w:r>
      <w:r w:rsidR="00A1201B">
        <w:rPr>
          <w:rFonts w:asciiTheme="minorHAnsi" w:hAnsiTheme="minorHAnsi"/>
          <w:sz w:val="24"/>
          <w:szCs w:val="24"/>
        </w:rPr>
        <w:t xml:space="preserve">of interest </w:t>
      </w:r>
      <w:r w:rsidRPr="00BB662C">
        <w:rPr>
          <w:rFonts w:asciiTheme="minorHAnsi" w:hAnsiTheme="minorHAnsi"/>
          <w:sz w:val="24"/>
          <w:szCs w:val="24"/>
        </w:rPr>
        <w:t xml:space="preserve">is alpha decay, so the presence of alpha particles provides strong evidence for the presence of actinides. </w:t>
      </w:r>
      <w:r>
        <w:rPr>
          <w:rFonts w:asciiTheme="minorHAnsi" w:hAnsiTheme="minorHAnsi"/>
          <w:sz w:val="24"/>
          <w:szCs w:val="24"/>
        </w:rPr>
        <w:t>A</w:t>
      </w:r>
      <w:r w:rsidRPr="00BB662C">
        <w:rPr>
          <w:rFonts w:asciiTheme="minorHAnsi" w:hAnsiTheme="minorHAnsi"/>
          <w:sz w:val="24"/>
          <w:szCs w:val="24"/>
        </w:rPr>
        <w:t xml:space="preserve"> downside of relying on alpha assay is that the particles are very </w:t>
      </w:r>
      <w:r w:rsidR="00A45B8C">
        <w:rPr>
          <w:rFonts w:asciiTheme="minorHAnsi" w:hAnsiTheme="minorHAnsi"/>
          <w:sz w:val="24"/>
          <w:szCs w:val="24"/>
        </w:rPr>
        <w:t>interactive</w:t>
      </w:r>
      <w:r w:rsidRPr="00BB662C">
        <w:rPr>
          <w:rFonts w:asciiTheme="minorHAnsi" w:hAnsiTheme="minorHAnsi"/>
          <w:sz w:val="24"/>
          <w:szCs w:val="24"/>
        </w:rPr>
        <w:t xml:space="preserve">, making them unlikely to travel through samples </w:t>
      </w:r>
      <w:r>
        <w:rPr>
          <w:rFonts w:asciiTheme="minorHAnsi" w:hAnsiTheme="minorHAnsi"/>
          <w:sz w:val="24"/>
          <w:szCs w:val="24"/>
        </w:rPr>
        <w:t>to</w:t>
      </w:r>
      <w:r w:rsidRPr="00BB662C">
        <w:rPr>
          <w:rFonts w:asciiTheme="minorHAnsi" w:hAnsiTheme="minorHAnsi"/>
          <w:sz w:val="24"/>
          <w:szCs w:val="24"/>
        </w:rPr>
        <w:t xml:space="preserve"> be detected</w:t>
      </w:r>
      <w:r>
        <w:rPr>
          <w:rFonts w:asciiTheme="minorHAnsi" w:hAnsiTheme="minorHAnsi"/>
          <w:sz w:val="24"/>
          <w:szCs w:val="24"/>
        </w:rPr>
        <w:t>, and therefore the method consider</w:t>
      </w:r>
      <w:r w:rsidR="00A45B8C">
        <w:rPr>
          <w:rFonts w:asciiTheme="minorHAnsi" w:hAnsiTheme="minorHAnsi"/>
          <w:sz w:val="24"/>
          <w:szCs w:val="24"/>
        </w:rPr>
        <w:t>s</w:t>
      </w:r>
      <w:r>
        <w:rPr>
          <w:rFonts w:asciiTheme="minorHAnsi" w:hAnsiTheme="minorHAnsi"/>
          <w:sz w:val="24"/>
          <w:szCs w:val="24"/>
        </w:rPr>
        <w:t xml:space="preserve"> only superficial samples</w:t>
      </w:r>
      <w:r w:rsidRPr="00BB662C">
        <w:rPr>
          <w:rFonts w:asciiTheme="minorHAnsi" w:hAnsiTheme="minorHAnsi"/>
          <w:sz w:val="24"/>
          <w:szCs w:val="24"/>
        </w:rPr>
        <w:t>. The particles travel only a few centimet</w:t>
      </w:r>
      <w:r w:rsidR="00A45B8C">
        <w:rPr>
          <w:rFonts w:asciiTheme="minorHAnsi" w:hAnsiTheme="minorHAnsi"/>
          <w:sz w:val="24"/>
          <w:szCs w:val="24"/>
        </w:rPr>
        <w:t>re</w:t>
      </w:r>
      <w:r w:rsidRPr="00BB662C">
        <w:rPr>
          <w:rFonts w:asciiTheme="minorHAnsi" w:hAnsiTheme="minorHAnsi"/>
          <w:sz w:val="24"/>
          <w:szCs w:val="24"/>
        </w:rPr>
        <w:t>s through air - when in a dense sample</w:t>
      </w:r>
      <w:r w:rsidR="00A45B8C">
        <w:rPr>
          <w:rFonts w:asciiTheme="minorHAnsi" w:hAnsiTheme="minorHAnsi"/>
          <w:sz w:val="24"/>
          <w:szCs w:val="24"/>
        </w:rPr>
        <w:t>,</w:t>
      </w:r>
      <w:r w:rsidRPr="00BB662C">
        <w:rPr>
          <w:rFonts w:asciiTheme="minorHAnsi" w:hAnsiTheme="minorHAnsi"/>
          <w:sz w:val="24"/>
          <w:szCs w:val="24"/>
        </w:rPr>
        <w:t xml:space="preserve"> like soil</w:t>
      </w:r>
      <w:r w:rsidR="00A45B8C">
        <w:rPr>
          <w:rFonts w:asciiTheme="minorHAnsi" w:hAnsiTheme="minorHAnsi"/>
          <w:sz w:val="24"/>
          <w:szCs w:val="24"/>
        </w:rPr>
        <w:t>,</w:t>
      </w:r>
      <w:r w:rsidRPr="00BB662C">
        <w:rPr>
          <w:rFonts w:asciiTheme="minorHAnsi" w:hAnsiTheme="minorHAnsi"/>
          <w:sz w:val="24"/>
          <w:szCs w:val="24"/>
        </w:rPr>
        <w:t xml:space="preserve"> this distance is much reduced</w:t>
      </w:r>
      <w:r w:rsidR="00A1201B">
        <w:rPr>
          <w:rFonts w:asciiTheme="minorHAnsi" w:hAnsiTheme="minorHAnsi"/>
          <w:sz w:val="24"/>
          <w:szCs w:val="24"/>
        </w:rPr>
        <w:t>.</w:t>
      </w:r>
      <w:r w:rsidRPr="00BB662C">
        <w:rPr>
          <w:rFonts w:asciiTheme="minorHAnsi" w:hAnsiTheme="minorHAnsi"/>
          <w:sz w:val="24"/>
          <w:szCs w:val="24"/>
        </w:rPr>
        <w:t xml:space="preserve"> </w:t>
      </w:r>
      <w:r w:rsidR="00A1201B">
        <w:rPr>
          <w:rFonts w:asciiTheme="minorHAnsi" w:hAnsiTheme="minorHAnsi"/>
          <w:sz w:val="24"/>
          <w:szCs w:val="24"/>
        </w:rPr>
        <w:t>C</w:t>
      </w:r>
      <w:r w:rsidRPr="00BB662C">
        <w:rPr>
          <w:rFonts w:asciiTheme="minorHAnsi" w:hAnsiTheme="minorHAnsi"/>
          <w:sz w:val="24"/>
          <w:szCs w:val="24"/>
        </w:rPr>
        <w:t>onsequently</w:t>
      </w:r>
      <w:r>
        <w:rPr>
          <w:rFonts w:asciiTheme="minorHAnsi" w:hAnsiTheme="minorHAnsi"/>
          <w:sz w:val="24"/>
          <w:szCs w:val="24"/>
        </w:rPr>
        <w:t>,</w:t>
      </w:r>
      <w:r w:rsidRPr="00BB662C">
        <w:rPr>
          <w:rFonts w:asciiTheme="minorHAnsi" w:hAnsiTheme="minorHAnsi"/>
          <w:sz w:val="24"/>
          <w:szCs w:val="24"/>
        </w:rPr>
        <w:t xml:space="preserve"> taking topsoil samples may not be representative of the contamination present - unless a greater </w:t>
      </w:r>
      <w:r w:rsidR="00A45B8C">
        <w:rPr>
          <w:rFonts w:asciiTheme="minorHAnsi" w:hAnsiTheme="minorHAnsi"/>
          <w:sz w:val="24"/>
          <w:szCs w:val="24"/>
        </w:rPr>
        <w:t>diversity</w:t>
      </w:r>
      <w:r w:rsidRPr="00BB662C">
        <w:rPr>
          <w:rFonts w:asciiTheme="minorHAnsi" w:hAnsiTheme="minorHAnsi"/>
          <w:sz w:val="24"/>
          <w:szCs w:val="24"/>
        </w:rPr>
        <w:t xml:space="preserve"> of samples </w:t>
      </w:r>
      <w:r w:rsidR="00A45B8C">
        <w:rPr>
          <w:rFonts w:asciiTheme="minorHAnsi" w:hAnsiTheme="minorHAnsi"/>
          <w:sz w:val="24"/>
          <w:szCs w:val="24"/>
        </w:rPr>
        <w:t>is</w:t>
      </w:r>
      <w:r w:rsidRPr="00BB662C">
        <w:rPr>
          <w:rFonts w:asciiTheme="minorHAnsi" w:hAnsiTheme="minorHAnsi"/>
          <w:sz w:val="24"/>
          <w:szCs w:val="24"/>
        </w:rPr>
        <w:t xml:space="preserve"> taken.  This </w:t>
      </w:r>
      <w:r w:rsidR="00A45B8C">
        <w:rPr>
          <w:rFonts w:asciiTheme="minorHAnsi" w:hAnsiTheme="minorHAnsi"/>
          <w:sz w:val="24"/>
          <w:szCs w:val="24"/>
        </w:rPr>
        <w:t>would be</w:t>
      </w:r>
      <w:r w:rsidRPr="00BB662C">
        <w:rPr>
          <w:rFonts w:asciiTheme="minorHAnsi" w:hAnsiTheme="minorHAnsi"/>
          <w:sz w:val="24"/>
          <w:szCs w:val="24"/>
        </w:rPr>
        <w:t xml:space="preserve"> a drain on costs; both in terms of time spent carrying out the assay but also on materials and staff required to carry out the process. Alpha assay also takes a minimum of three weeks to complete, including excessive ‘man-hours’</w:t>
      </w:r>
      <w:r>
        <w:rPr>
          <w:rFonts w:asciiTheme="minorHAnsi" w:hAnsiTheme="minorHAnsi"/>
          <w:sz w:val="24"/>
          <w:szCs w:val="24"/>
        </w:rPr>
        <w:t xml:space="preserve">. Alpha spectrometry requires dissolution of soil samples before placement of the dissolved, dehydrated samples onto </w:t>
      </w:r>
      <w:r w:rsidR="00B47C70">
        <w:rPr>
          <w:rFonts w:asciiTheme="minorHAnsi" w:hAnsiTheme="minorHAnsi"/>
          <w:sz w:val="24"/>
          <w:szCs w:val="24"/>
        </w:rPr>
        <w:t xml:space="preserve">steel </w:t>
      </w:r>
      <w:r w:rsidR="00203756">
        <w:rPr>
          <w:rFonts w:asciiTheme="minorHAnsi" w:hAnsiTheme="minorHAnsi"/>
          <w:sz w:val="24"/>
          <w:szCs w:val="24"/>
        </w:rPr>
        <w:t>planchets</w:t>
      </w:r>
      <w:r w:rsidR="00C753B1">
        <w:rPr>
          <w:rFonts w:asciiTheme="minorHAnsi" w:hAnsiTheme="minorHAnsi"/>
          <w:sz w:val="24"/>
          <w:szCs w:val="24"/>
        </w:rPr>
        <w:t xml:space="preserve"> for analysis</w:t>
      </w:r>
      <w:r w:rsidR="00B47C70">
        <w:rPr>
          <w:rFonts w:asciiTheme="minorHAnsi" w:hAnsiTheme="minorHAnsi"/>
          <w:sz w:val="24"/>
          <w:szCs w:val="24"/>
        </w:rPr>
        <w:t>,</w:t>
      </w:r>
      <w:r>
        <w:rPr>
          <w:rFonts w:asciiTheme="minorHAnsi" w:hAnsiTheme="minorHAnsi"/>
          <w:sz w:val="24"/>
          <w:szCs w:val="24"/>
        </w:rPr>
        <w:t xml:space="preserve"> and </w:t>
      </w:r>
      <w:r w:rsidR="00A61905">
        <w:rPr>
          <w:rFonts w:asciiTheme="minorHAnsi" w:hAnsiTheme="minorHAnsi"/>
          <w:sz w:val="24"/>
          <w:szCs w:val="24"/>
        </w:rPr>
        <w:t xml:space="preserve">when measuring gross alpha counts, </w:t>
      </w:r>
      <w:r>
        <w:rPr>
          <w:rFonts w:asciiTheme="minorHAnsi" w:hAnsiTheme="minorHAnsi"/>
          <w:sz w:val="24"/>
          <w:szCs w:val="24"/>
        </w:rPr>
        <w:t>only informs the analyst of how many alpha particles were counted</w:t>
      </w:r>
      <w:r w:rsidR="00A1201B">
        <w:rPr>
          <w:rFonts w:asciiTheme="minorHAnsi" w:hAnsiTheme="minorHAnsi"/>
          <w:sz w:val="24"/>
          <w:szCs w:val="24"/>
        </w:rPr>
        <w:t xml:space="preserve"> and at what energy</w:t>
      </w:r>
      <w:r>
        <w:rPr>
          <w:rFonts w:asciiTheme="minorHAnsi" w:hAnsiTheme="minorHAnsi"/>
          <w:sz w:val="24"/>
          <w:szCs w:val="24"/>
        </w:rPr>
        <w:t>.</w:t>
      </w:r>
      <w:r w:rsidR="00A61905">
        <w:rPr>
          <w:rFonts w:asciiTheme="minorHAnsi" w:hAnsiTheme="minorHAnsi"/>
          <w:sz w:val="24"/>
          <w:szCs w:val="24"/>
        </w:rPr>
        <w:t xml:space="preserve"> It can provide more information but </w:t>
      </w:r>
      <w:r w:rsidR="00B24C28">
        <w:rPr>
          <w:rFonts w:asciiTheme="minorHAnsi" w:hAnsiTheme="minorHAnsi"/>
          <w:sz w:val="24"/>
          <w:szCs w:val="24"/>
        </w:rPr>
        <w:t>requires</w:t>
      </w:r>
      <w:r w:rsidR="00A61905">
        <w:rPr>
          <w:rFonts w:asciiTheme="minorHAnsi" w:hAnsiTheme="minorHAnsi"/>
          <w:sz w:val="24"/>
          <w:szCs w:val="24"/>
        </w:rPr>
        <w:t xml:space="preserve"> more time.</w:t>
      </w:r>
      <w:r w:rsidRPr="00BB662C">
        <w:rPr>
          <w:rFonts w:asciiTheme="minorHAnsi" w:hAnsiTheme="minorHAnsi"/>
          <w:sz w:val="24"/>
          <w:szCs w:val="24"/>
        </w:rPr>
        <w:t xml:space="preserve"> </w:t>
      </w:r>
      <w:r>
        <w:rPr>
          <w:rFonts w:asciiTheme="minorHAnsi" w:hAnsiTheme="minorHAnsi"/>
          <w:sz w:val="24"/>
          <w:szCs w:val="24"/>
        </w:rPr>
        <w:t>While accurate, alpha spectrometry is an analysis method that is low throughput</w:t>
      </w:r>
      <w:r w:rsidR="007B5E42">
        <w:rPr>
          <w:rFonts w:asciiTheme="minorHAnsi" w:hAnsiTheme="minorHAnsi"/>
          <w:sz w:val="24"/>
          <w:szCs w:val="24"/>
        </w:rPr>
        <w:t xml:space="preserve"> (shown in </w:t>
      </w:r>
      <w:r w:rsidR="007B5E42" w:rsidRPr="007B5E42">
        <w:rPr>
          <w:rFonts w:asciiTheme="minorHAnsi" w:hAnsiTheme="minorHAnsi"/>
          <w:sz w:val="24"/>
          <w:szCs w:val="24"/>
        </w:rPr>
        <w:fldChar w:fldCharType="begin"/>
      </w:r>
      <w:r w:rsidR="007B5E42" w:rsidRPr="007B5E42">
        <w:rPr>
          <w:rFonts w:asciiTheme="minorHAnsi" w:hAnsiTheme="minorHAnsi"/>
          <w:sz w:val="24"/>
          <w:szCs w:val="24"/>
        </w:rPr>
        <w:instrText xml:space="preserve"> REF _Ref31562660 \h  \* MERGEFORMAT </w:instrText>
      </w:r>
      <w:r w:rsidR="007B5E42" w:rsidRPr="007B5E42">
        <w:rPr>
          <w:rFonts w:asciiTheme="minorHAnsi" w:hAnsiTheme="minorHAnsi"/>
          <w:sz w:val="24"/>
          <w:szCs w:val="24"/>
        </w:rPr>
      </w:r>
      <w:r w:rsidR="007B5E42" w:rsidRPr="007B5E42">
        <w:rPr>
          <w:rFonts w:asciiTheme="minorHAnsi" w:hAnsiTheme="minorHAnsi"/>
          <w:sz w:val="24"/>
          <w:szCs w:val="24"/>
        </w:rPr>
        <w:fldChar w:fldCharType="separate"/>
      </w:r>
      <w:r w:rsidR="00161FDC" w:rsidRPr="00161FDC">
        <w:rPr>
          <w:rFonts w:asciiTheme="minorHAnsi" w:hAnsiTheme="minorHAnsi"/>
          <w:sz w:val="24"/>
          <w:szCs w:val="24"/>
        </w:rPr>
        <w:t xml:space="preserve">Figure </w:t>
      </w:r>
      <w:r w:rsidR="00161FDC" w:rsidRPr="00161FDC">
        <w:rPr>
          <w:rFonts w:asciiTheme="minorHAnsi" w:hAnsiTheme="minorHAnsi"/>
          <w:noProof/>
          <w:sz w:val="24"/>
          <w:szCs w:val="24"/>
        </w:rPr>
        <w:t>4</w:t>
      </w:r>
      <w:r w:rsidR="007B5E42" w:rsidRPr="007B5E42">
        <w:rPr>
          <w:rFonts w:asciiTheme="minorHAnsi" w:hAnsiTheme="minorHAnsi"/>
          <w:sz w:val="24"/>
          <w:szCs w:val="24"/>
        </w:rPr>
        <w:fldChar w:fldCharType="end"/>
      </w:r>
      <w:r w:rsidR="007B5E42">
        <w:rPr>
          <w:rFonts w:asciiTheme="minorHAnsi" w:hAnsiTheme="minorHAnsi"/>
          <w:sz w:val="24"/>
          <w:szCs w:val="24"/>
        </w:rPr>
        <w:t>)</w:t>
      </w:r>
      <w:r>
        <w:rPr>
          <w:rFonts w:asciiTheme="minorHAnsi" w:hAnsiTheme="minorHAnsi"/>
          <w:sz w:val="24"/>
          <w:szCs w:val="24"/>
        </w:rPr>
        <w:t>,</w:t>
      </w:r>
      <w:r w:rsidR="00B96FDA">
        <w:rPr>
          <w:rFonts w:asciiTheme="minorHAnsi" w:hAnsiTheme="minorHAnsi"/>
          <w:sz w:val="24"/>
          <w:szCs w:val="24"/>
        </w:rPr>
        <w:t xml:space="preserve"> is not isotope specific, and</w:t>
      </w:r>
      <w:r>
        <w:rPr>
          <w:rFonts w:asciiTheme="minorHAnsi" w:hAnsiTheme="minorHAnsi"/>
          <w:sz w:val="24"/>
          <w:szCs w:val="24"/>
        </w:rPr>
        <w:t xml:space="preserve"> requires a high amount of processing and therefore is not an optimal method for the analysis of large areas and volumes of soil. Further description of the alpha spectrometry method can be found in the review carried out by</w:t>
      </w:r>
      <w:r w:rsidR="00CC07BD">
        <w:rPr>
          <w:rFonts w:asciiTheme="minorHAnsi" w:hAnsiTheme="minorHAnsi"/>
          <w:sz w:val="24"/>
          <w:szCs w:val="24"/>
        </w:rPr>
        <w:fldChar w:fldCharType="begin" w:fldLock="1"/>
      </w:r>
      <w:r w:rsidR="000B0F18">
        <w:rPr>
          <w:rFonts w:asciiTheme="minorHAnsi" w:hAnsiTheme="minorHAnsi"/>
          <w:sz w:val="24"/>
          <w:szCs w:val="24"/>
        </w:rPr>
        <w:instrText>ADDIN CSL_CITATION {"citationItems":[{"id":"ITEM-1","itemData":{"DOI":"10.1007/s10967-009-0342-x","ISSN":"0236-5731","author":[{"dropping-particle":"","family":"Vajda","given":"Nóra","non-dropping-particle":"","parse-names":false,"suffix":""},{"dropping-particle":"","family":"Kim","given":"Chang-Kyu","non-dropping-particle":"","parse-names":false,"suffix":""}],"container-title":"Journal of Radioanalytical and Nuclear Chemistry","id":"ITEM-1","issue":"1","issued":{"date-parts":[["2010","1","2"]]},"page":"203-223","publisher":"Springer Netherlands","title":"Determination of Pu isotopes by alpha spectrometry: a review of analytical methodology","type":"article-journal","volume":"283"},"uris":["http://www.mendeley.com/documents/?uuid=05e34f8f-3808-3906-bd2e-d6591a8c557a"]}],"mendeley":{"formattedCitation":"[25]","manualFormatting":" Vajda &amp; Kim, 2010","plainTextFormattedCitation":"[25]","previouslyFormattedCitation":"[25]"},"properties":{"noteIndex":0},"schema":"https://github.com/citation-style-language/schema/raw/master/csl-citation.json"}</w:instrText>
      </w:r>
      <w:r w:rsidR="00CC07BD">
        <w:rPr>
          <w:rFonts w:asciiTheme="minorHAnsi" w:hAnsiTheme="minorHAnsi"/>
          <w:sz w:val="24"/>
          <w:szCs w:val="24"/>
        </w:rPr>
        <w:fldChar w:fldCharType="separate"/>
      </w:r>
      <w:r w:rsidR="00CC07BD">
        <w:rPr>
          <w:rFonts w:asciiTheme="minorHAnsi" w:hAnsiTheme="minorHAnsi"/>
          <w:noProof/>
          <w:sz w:val="24"/>
          <w:szCs w:val="24"/>
        </w:rPr>
        <w:t xml:space="preserve"> </w:t>
      </w:r>
      <w:r w:rsidR="00CC07BD" w:rsidRPr="00CC07BD">
        <w:rPr>
          <w:rFonts w:asciiTheme="minorHAnsi" w:hAnsiTheme="minorHAnsi"/>
          <w:noProof/>
          <w:sz w:val="24"/>
          <w:szCs w:val="24"/>
        </w:rPr>
        <w:t>Vajda &amp; Kim, 2010</w:t>
      </w:r>
      <w:r w:rsidR="00CC07BD">
        <w:rPr>
          <w:rFonts w:asciiTheme="minorHAnsi" w:hAnsiTheme="minorHAnsi"/>
          <w:sz w:val="24"/>
          <w:szCs w:val="24"/>
        </w:rPr>
        <w:fldChar w:fldCharType="end"/>
      </w:r>
      <w:r>
        <w:rPr>
          <w:rFonts w:asciiTheme="minorHAnsi" w:hAnsiTheme="minorHAnsi"/>
          <w:sz w:val="24"/>
          <w:szCs w:val="24"/>
        </w:rPr>
        <w:t xml:space="preserve"> of the alpha spectrometry methodology.</w:t>
      </w:r>
    </w:p>
    <w:p w14:paraId="480EF34D" w14:textId="77777777" w:rsidR="00B33313" w:rsidRDefault="00F37CA9" w:rsidP="00B33313">
      <w:pPr>
        <w:pStyle w:val="BodyText"/>
        <w:keepNext/>
        <w:spacing w:line="480" w:lineRule="auto"/>
        <w:ind w:firstLine="567"/>
        <w:jc w:val="left"/>
      </w:pPr>
      <w:r>
        <w:rPr>
          <w:rFonts w:asciiTheme="minorHAnsi" w:hAnsiTheme="minorHAnsi"/>
          <w:noProof/>
          <w:sz w:val="24"/>
          <w:szCs w:val="24"/>
          <w:lang w:val="en-GB" w:eastAsia="en-GB"/>
        </w:rPr>
        <w:lastRenderedPageBreak/>
        <w:drawing>
          <wp:inline distT="0" distB="0" distL="0" distR="0" wp14:anchorId="26D9C15A" wp14:editId="0ADB6DB2">
            <wp:extent cx="5731510" cy="38188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pha spec.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p>
    <w:p w14:paraId="0098A366" w14:textId="5BDDAC4F" w:rsidR="00B33313" w:rsidRPr="006077E6" w:rsidRDefault="00B33313" w:rsidP="006077E6">
      <w:pPr>
        <w:pStyle w:val="Caption"/>
        <w:jc w:val="center"/>
        <w:rPr>
          <w:sz w:val="20"/>
        </w:rPr>
      </w:pPr>
      <w:bookmarkStart w:id="6" w:name="_Ref31562660"/>
      <w:r w:rsidRPr="006077E6">
        <w:rPr>
          <w:sz w:val="20"/>
        </w:rPr>
        <w:t xml:space="preserve">Figure </w:t>
      </w:r>
      <w:r w:rsidRPr="006077E6">
        <w:rPr>
          <w:sz w:val="20"/>
        </w:rPr>
        <w:fldChar w:fldCharType="begin"/>
      </w:r>
      <w:r w:rsidRPr="006077E6">
        <w:rPr>
          <w:sz w:val="20"/>
        </w:rPr>
        <w:instrText xml:space="preserve"> SEQ Figure \* ARABIC </w:instrText>
      </w:r>
      <w:r w:rsidRPr="006077E6">
        <w:rPr>
          <w:sz w:val="20"/>
        </w:rPr>
        <w:fldChar w:fldCharType="separate"/>
      </w:r>
      <w:r w:rsidR="00161FDC">
        <w:rPr>
          <w:noProof/>
          <w:sz w:val="20"/>
        </w:rPr>
        <w:t>4</w:t>
      </w:r>
      <w:r w:rsidRPr="006077E6">
        <w:rPr>
          <w:sz w:val="20"/>
        </w:rPr>
        <w:fldChar w:fldCharType="end"/>
      </w:r>
      <w:bookmarkEnd w:id="6"/>
      <w:r w:rsidRPr="006077E6">
        <w:rPr>
          <w:sz w:val="20"/>
        </w:rPr>
        <w:t xml:space="preserve"> Alpha spectrometry. The sample disc can be seen being placed into the machine [physicsopenlab.org,</w:t>
      </w:r>
      <w:r w:rsidR="00D524B1" w:rsidRPr="006077E6">
        <w:rPr>
          <w:sz w:val="20"/>
        </w:rPr>
        <w:t xml:space="preserve"> useage: CC4.0, accessed 2019</w:t>
      </w:r>
      <w:r w:rsidRPr="006077E6">
        <w:rPr>
          <w:sz w:val="20"/>
        </w:rPr>
        <w:t>].</w:t>
      </w:r>
    </w:p>
    <w:p w14:paraId="674B6841" w14:textId="44DA8BF1" w:rsidR="00F37CA9"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 xml:space="preserve">Other methods </w:t>
      </w:r>
      <w:r w:rsidR="00A1201B">
        <w:rPr>
          <w:rFonts w:asciiTheme="minorHAnsi" w:hAnsiTheme="minorHAnsi"/>
          <w:sz w:val="24"/>
          <w:szCs w:val="24"/>
        </w:rPr>
        <w:t xml:space="preserve">of radioactivity analysis </w:t>
      </w:r>
      <w:r>
        <w:rPr>
          <w:rFonts w:asciiTheme="minorHAnsi" w:hAnsiTheme="minorHAnsi"/>
          <w:sz w:val="24"/>
          <w:szCs w:val="24"/>
        </w:rPr>
        <w:t xml:space="preserve">include </w:t>
      </w:r>
      <w:r w:rsidR="00F66301">
        <w:rPr>
          <w:rFonts w:asciiTheme="minorHAnsi" w:hAnsiTheme="minorHAnsi"/>
          <w:sz w:val="24"/>
          <w:szCs w:val="24"/>
        </w:rPr>
        <w:t>gamma</w:t>
      </w:r>
      <w:r>
        <w:rPr>
          <w:rFonts w:asciiTheme="minorHAnsi" w:hAnsiTheme="minorHAnsi"/>
          <w:sz w:val="24"/>
          <w:szCs w:val="24"/>
        </w:rPr>
        <w:t xml:space="preserve">-ray spectrometry, mass spectrometry, and neutron </w:t>
      </w:r>
      <w:r w:rsidR="00F44105">
        <w:rPr>
          <w:rFonts w:asciiTheme="minorHAnsi" w:hAnsiTheme="minorHAnsi"/>
          <w:sz w:val="24"/>
          <w:szCs w:val="24"/>
        </w:rPr>
        <w:t>assay</w:t>
      </w:r>
      <w:r>
        <w:rPr>
          <w:rFonts w:asciiTheme="minorHAnsi" w:hAnsiTheme="minorHAnsi"/>
          <w:sz w:val="24"/>
          <w:szCs w:val="24"/>
        </w:rPr>
        <w:t>. As stated previously, the Dounreay area is highly abundan</w:t>
      </w:r>
      <w:r w:rsidR="005318A7">
        <w:rPr>
          <w:rFonts w:asciiTheme="minorHAnsi" w:hAnsiTheme="minorHAnsi"/>
          <w:sz w:val="24"/>
          <w:szCs w:val="24"/>
        </w:rPr>
        <w:t>t</w:t>
      </w:r>
      <w:r>
        <w:rPr>
          <w:rFonts w:asciiTheme="minorHAnsi" w:hAnsiTheme="minorHAnsi"/>
          <w:sz w:val="24"/>
          <w:szCs w:val="24"/>
        </w:rPr>
        <w:t xml:space="preserve"> in natural uranium which affects the reliability of different methods. This natural uranium saturates </w:t>
      </w:r>
      <w:r w:rsidR="005318A7">
        <w:rPr>
          <w:rFonts w:asciiTheme="minorHAnsi" w:hAnsiTheme="minorHAnsi"/>
          <w:sz w:val="24"/>
          <w:szCs w:val="24"/>
        </w:rPr>
        <w:t xml:space="preserve">some lines of </w:t>
      </w:r>
      <w:r>
        <w:rPr>
          <w:rFonts w:asciiTheme="minorHAnsi" w:hAnsiTheme="minorHAnsi"/>
          <w:sz w:val="24"/>
          <w:szCs w:val="24"/>
        </w:rPr>
        <w:t xml:space="preserve">the lower energy region of the </w:t>
      </w:r>
      <w:r w:rsidR="00F66301">
        <w:rPr>
          <w:rFonts w:asciiTheme="minorHAnsi" w:hAnsiTheme="minorHAnsi"/>
          <w:sz w:val="24"/>
          <w:szCs w:val="24"/>
        </w:rPr>
        <w:t>gamma</w:t>
      </w:r>
      <w:r>
        <w:rPr>
          <w:rFonts w:asciiTheme="minorHAnsi" w:hAnsiTheme="minorHAnsi"/>
          <w:sz w:val="24"/>
          <w:szCs w:val="24"/>
        </w:rPr>
        <w:t xml:space="preserve">-ray spectrum where the majority of plutonium </w:t>
      </w:r>
      <w:r w:rsidR="00F66301">
        <w:rPr>
          <w:rFonts w:asciiTheme="minorHAnsi" w:hAnsiTheme="minorHAnsi"/>
          <w:sz w:val="24"/>
          <w:szCs w:val="24"/>
        </w:rPr>
        <w:t>gamma</w:t>
      </w:r>
      <w:r>
        <w:rPr>
          <w:rFonts w:asciiTheme="minorHAnsi" w:hAnsiTheme="minorHAnsi"/>
          <w:sz w:val="24"/>
          <w:szCs w:val="24"/>
        </w:rPr>
        <w:t>-ray emissions are observed. The increas</w:t>
      </w:r>
      <w:r w:rsidR="00A1201B">
        <w:rPr>
          <w:rFonts w:asciiTheme="minorHAnsi" w:hAnsiTheme="minorHAnsi"/>
          <w:sz w:val="24"/>
          <w:szCs w:val="24"/>
        </w:rPr>
        <w:t>e</w:t>
      </w:r>
      <w:r>
        <w:rPr>
          <w:rFonts w:asciiTheme="minorHAnsi" w:hAnsiTheme="minorHAnsi"/>
          <w:sz w:val="24"/>
          <w:szCs w:val="24"/>
        </w:rPr>
        <w:t xml:space="preserve"> </w:t>
      </w:r>
      <w:r w:rsidR="00A1201B">
        <w:rPr>
          <w:rFonts w:asciiTheme="minorHAnsi" w:hAnsiTheme="minorHAnsi"/>
          <w:sz w:val="24"/>
          <w:szCs w:val="24"/>
        </w:rPr>
        <w:t>in</w:t>
      </w:r>
      <w:r>
        <w:rPr>
          <w:rFonts w:asciiTheme="minorHAnsi" w:hAnsiTheme="minorHAnsi"/>
          <w:sz w:val="24"/>
          <w:szCs w:val="24"/>
        </w:rPr>
        <w:t xml:space="preserve"> background reduces the significance of plutonium peaks, making a general </w:t>
      </w:r>
      <w:r w:rsidR="00F66301">
        <w:rPr>
          <w:rFonts w:asciiTheme="minorHAnsi" w:hAnsiTheme="minorHAnsi"/>
          <w:sz w:val="24"/>
          <w:szCs w:val="24"/>
        </w:rPr>
        <w:t>gamma</w:t>
      </w:r>
      <w:r>
        <w:rPr>
          <w:rFonts w:asciiTheme="minorHAnsi" w:hAnsiTheme="minorHAnsi"/>
          <w:sz w:val="24"/>
          <w:szCs w:val="24"/>
        </w:rPr>
        <w:t>-ray measurement method</w:t>
      </w:r>
      <w:r w:rsidR="00A1201B">
        <w:rPr>
          <w:rFonts w:asciiTheme="minorHAnsi" w:hAnsiTheme="minorHAnsi"/>
          <w:sz w:val="24"/>
          <w:szCs w:val="24"/>
        </w:rPr>
        <w:t xml:space="preserve"> less </w:t>
      </w:r>
      <w:r>
        <w:rPr>
          <w:rFonts w:asciiTheme="minorHAnsi" w:hAnsiTheme="minorHAnsi"/>
          <w:sz w:val="24"/>
          <w:szCs w:val="24"/>
        </w:rPr>
        <w:t>suitable for use at Dounreay</w:t>
      </w:r>
      <w:r w:rsidR="005318A7">
        <w:rPr>
          <w:rFonts w:asciiTheme="minorHAnsi" w:hAnsiTheme="minorHAnsi"/>
          <w:sz w:val="24"/>
          <w:szCs w:val="24"/>
        </w:rPr>
        <w:t xml:space="preserve"> in isolation of other methods</w:t>
      </w:r>
      <w:r>
        <w:rPr>
          <w:rFonts w:asciiTheme="minorHAnsi" w:hAnsiTheme="minorHAnsi"/>
          <w:sz w:val="24"/>
          <w:szCs w:val="24"/>
        </w:rPr>
        <w:t>. Mass spectrometric methods are highly accurate and informative on the soil matrix composition</w:t>
      </w:r>
      <w:r w:rsidR="00CC07BD">
        <w:rPr>
          <w:rFonts w:asciiTheme="minorHAnsi" w:hAnsiTheme="minorHAnsi"/>
          <w:sz w:val="24"/>
          <w:szCs w:val="24"/>
        </w:rPr>
        <w:t xml:space="preserve"> </w:t>
      </w:r>
      <w:r w:rsidR="00CC07BD">
        <w:rPr>
          <w:rFonts w:asciiTheme="minorHAnsi" w:hAnsiTheme="minorHAnsi"/>
          <w:sz w:val="24"/>
          <w:szCs w:val="24"/>
        </w:rPr>
        <w:fldChar w:fldCharType="begin" w:fldLock="1"/>
      </w:r>
      <w:r w:rsidR="000B0F18">
        <w:rPr>
          <w:rFonts w:asciiTheme="minorHAnsi" w:hAnsiTheme="minorHAnsi"/>
          <w:sz w:val="24"/>
          <w:szCs w:val="24"/>
        </w:rPr>
        <w:instrText>ADDIN CSL_CITATION {"citationItems":[{"id":"ITEM-1","itemData":{"DOI":"10.1016/j.quageo.2007.10.003","abstract":"Accelerator mass spectrometry (AMS) is presently the most sensitive technique for the measurement of actinides with half-lives greater than about 5000 years. Here, the principles and methodology of heavy-element AMS as applied to 239,240,242,244 Pu and 236 U are described, and the ways in which these have been implemented in various laboratories around the world are detailed. Actual or potential applications of the method in the areas of environmental science, biomedicine, and nuclear safeguards are reviewed.","author":[{"dropping-particle":"","family":"Fifield","given":"L K","non-dropping-particle":"","parse-names":false,"suffix":""}],"container-title":"Quaternary Geochronology","id":"ITEM-1","issued":{"date-parts":[["2008"]]},"page":"276-290","title":"Accelerator mass spectrometry of the actinides","type":"article-journal","volume":"3"},"uris":["http://www.mendeley.com/documents/?uuid=d0576b16-4a09-3c88-af55-2fa9bd5d80e8"]}],"mendeley":{"formattedCitation":"[26]","plainTextFormattedCitation":"[26]","previouslyFormattedCitation":"[26]"},"properties":{"noteIndex":0},"schema":"https://github.com/citation-style-language/schema/raw/master/csl-citation.json"}</w:instrText>
      </w:r>
      <w:r w:rsidR="00CC07BD">
        <w:rPr>
          <w:rFonts w:asciiTheme="minorHAnsi" w:hAnsiTheme="minorHAnsi"/>
          <w:sz w:val="24"/>
          <w:szCs w:val="24"/>
        </w:rPr>
        <w:fldChar w:fldCharType="separate"/>
      </w:r>
      <w:r w:rsidR="007D1AB4" w:rsidRPr="007D1AB4">
        <w:rPr>
          <w:rFonts w:asciiTheme="minorHAnsi" w:hAnsiTheme="minorHAnsi"/>
          <w:noProof/>
          <w:sz w:val="24"/>
          <w:szCs w:val="24"/>
        </w:rPr>
        <w:t>[26]</w:t>
      </w:r>
      <w:r w:rsidR="00CC07BD">
        <w:rPr>
          <w:rFonts w:asciiTheme="minorHAnsi" w:hAnsiTheme="minorHAnsi"/>
          <w:sz w:val="24"/>
          <w:szCs w:val="24"/>
        </w:rPr>
        <w:fldChar w:fldCharType="end"/>
      </w:r>
      <w:r w:rsidR="00A1201B" w:rsidRPr="009E5BA9">
        <w:rPr>
          <w:rFonts w:asciiTheme="minorHAnsi" w:hAnsiTheme="minorHAnsi"/>
          <w:sz w:val="24"/>
          <w:szCs w:val="24"/>
        </w:rPr>
        <w:t xml:space="preserve"> </w:t>
      </w:r>
      <w:r w:rsidR="00A1201B">
        <w:rPr>
          <w:rFonts w:asciiTheme="minorHAnsi" w:hAnsiTheme="minorHAnsi"/>
          <w:sz w:val="24"/>
          <w:szCs w:val="24"/>
        </w:rPr>
        <w:t>but</w:t>
      </w:r>
      <w:r>
        <w:rPr>
          <w:rFonts w:asciiTheme="minorHAnsi" w:hAnsiTheme="minorHAnsi"/>
          <w:sz w:val="24"/>
          <w:szCs w:val="24"/>
        </w:rPr>
        <w:t xml:space="preserve"> have similar limitations to alpha-spectrometry in that they require excessive man-hours of preparation and encompass weeks to undertake from start to finish</w:t>
      </w:r>
      <w:r w:rsidR="00ED64F2">
        <w:rPr>
          <w:rFonts w:asciiTheme="minorHAnsi" w:hAnsiTheme="minorHAnsi"/>
          <w:sz w:val="24"/>
          <w:szCs w:val="24"/>
        </w:rPr>
        <w:t xml:space="preserve">, as well as </w:t>
      </w:r>
      <w:r w:rsidR="00B24C28">
        <w:rPr>
          <w:rFonts w:asciiTheme="minorHAnsi" w:hAnsiTheme="minorHAnsi"/>
          <w:sz w:val="24"/>
          <w:szCs w:val="24"/>
        </w:rPr>
        <w:t>mai</w:t>
      </w:r>
      <w:r w:rsidR="00ED64F2">
        <w:rPr>
          <w:rFonts w:asciiTheme="minorHAnsi" w:hAnsiTheme="minorHAnsi"/>
          <w:sz w:val="24"/>
          <w:szCs w:val="24"/>
        </w:rPr>
        <w:t>nly providing measurements for entire isobars</w:t>
      </w:r>
      <w:r w:rsidR="00CA2ED5">
        <w:rPr>
          <w:rFonts w:asciiTheme="minorHAnsi" w:hAnsiTheme="minorHAnsi"/>
          <w:sz w:val="24"/>
          <w:szCs w:val="24"/>
        </w:rPr>
        <w:t xml:space="preserve"> though some </w:t>
      </w:r>
      <w:r w:rsidR="00B24C28">
        <w:rPr>
          <w:rFonts w:asciiTheme="minorHAnsi" w:hAnsiTheme="minorHAnsi"/>
          <w:sz w:val="24"/>
          <w:szCs w:val="24"/>
        </w:rPr>
        <w:t xml:space="preserve">allow </w:t>
      </w:r>
      <w:r w:rsidR="00CA2ED5">
        <w:rPr>
          <w:rFonts w:asciiTheme="minorHAnsi" w:hAnsiTheme="minorHAnsi"/>
          <w:sz w:val="24"/>
          <w:szCs w:val="24"/>
        </w:rPr>
        <w:t>isotopic sensitivity with post-measurement analysis</w:t>
      </w:r>
      <w:r w:rsidR="00B24C28">
        <w:rPr>
          <w:rFonts w:asciiTheme="minorHAnsi" w:hAnsiTheme="minorHAnsi"/>
          <w:sz w:val="24"/>
          <w:szCs w:val="24"/>
        </w:rPr>
        <w:t xml:space="preserve"> or sample separation</w:t>
      </w:r>
      <w:r>
        <w:rPr>
          <w:rFonts w:asciiTheme="minorHAnsi" w:hAnsiTheme="minorHAnsi"/>
          <w:sz w:val="24"/>
          <w:szCs w:val="24"/>
        </w:rPr>
        <w:t xml:space="preserve">. Further, the detail of analysis </w:t>
      </w:r>
      <w:r w:rsidR="00A1201B">
        <w:rPr>
          <w:rFonts w:asciiTheme="minorHAnsi" w:hAnsiTheme="minorHAnsi"/>
          <w:sz w:val="24"/>
          <w:szCs w:val="24"/>
        </w:rPr>
        <w:t xml:space="preserve">in mass </w:t>
      </w:r>
      <w:r w:rsidR="00A1201B">
        <w:rPr>
          <w:rFonts w:asciiTheme="minorHAnsi" w:hAnsiTheme="minorHAnsi"/>
          <w:sz w:val="24"/>
          <w:szCs w:val="24"/>
        </w:rPr>
        <w:lastRenderedPageBreak/>
        <w:t xml:space="preserve">spectrometry </w:t>
      </w:r>
      <w:r>
        <w:rPr>
          <w:rFonts w:asciiTheme="minorHAnsi" w:hAnsiTheme="minorHAnsi"/>
          <w:sz w:val="24"/>
          <w:szCs w:val="24"/>
        </w:rPr>
        <w:t xml:space="preserve">is likely much higher than required in a </w:t>
      </w:r>
      <w:r w:rsidR="00576E52">
        <w:rPr>
          <w:rFonts w:asciiTheme="minorHAnsi" w:hAnsiTheme="minorHAnsi"/>
          <w:sz w:val="24"/>
          <w:szCs w:val="24"/>
        </w:rPr>
        <w:t>routine</w:t>
      </w:r>
      <w:r>
        <w:rPr>
          <w:rFonts w:asciiTheme="minorHAnsi" w:hAnsiTheme="minorHAnsi"/>
          <w:sz w:val="24"/>
          <w:szCs w:val="24"/>
        </w:rPr>
        <w:t xml:space="preserve"> decommissioning scenario</w:t>
      </w:r>
      <w:r w:rsidR="00956353">
        <w:rPr>
          <w:rFonts w:asciiTheme="minorHAnsi" w:hAnsiTheme="minorHAnsi"/>
          <w:sz w:val="24"/>
          <w:szCs w:val="24"/>
        </w:rPr>
        <w:t>,</w:t>
      </w:r>
      <w:r>
        <w:rPr>
          <w:rFonts w:asciiTheme="minorHAnsi" w:hAnsiTheme="minorHAnsi"/>
          <w:sz w:val="24"/>
          <w:szCs w:val="24"/>
        </w:rPr>
        <w:t xml:space="preserve"> where initial measurements aim to answer the simple binary question of: “is the sample of</w:t>
      </w:r>
      <w:r w:rsidR="00A1201B">
        <w:rPr>
          <w:rFonts w:asciiTheme="minorHAnsi" w:hAnsiTheme="minorHAnsi"/>
          <w:sz w:val="24"/>
          <w:szCs w:val="24"/>
        </w:rPr>
        <w:t xml:space="preserve"> significantly</w:t>
      </w:r>
      <w:r>
        <w:rPr>
          <w:rFonts w:asciiTheme="minorHAnsi" w:hAnsiTheme="minorHAnsi"/>
          <w:sz w:val="24"/>
          <w:szCs w:val="24"/>
        </w:rPr>
        <w:t xml:space="preserve"> higher activity than </w:t>
      </w:r>
      <w:r w:rsidR="00576E52">
        <w:rPr>
          <w:rFonts w:asciiTheme="minorHAnsi" w:hAnsiTheme="minorHAnsi"/>
          <w:sz w:val="24"/>
          <w:szCs w:val="24"/>
        </w:rPr>
        <w:t xml:space="preserve">an </w:t>
      </w:r>
      <w:r>
        <w:rPr>
          <w:rFonts w:asciiTheme="minorHAnsi" w:hAnsiTheme="minorHAnsi"/>
          <w:sz w:val="24"/>
          <w:szCs w:val="24"/>
        </w:rPr>
        <w:t>average/threshold</w:t>
      </w:r>
      <w:r w:rsidR="00576E52">
        <w:rPr>
          <w:rFonts w:asciiTheme="minorHAnsi" w:hAnsiTheme="minorHAnsi"/>
          <w:sz w:val="24"/>
          <w:szCs w:val="24"/>
        </w:rPr>
        <w:t xml:space="preserve"> value</w:t>
      </w:r>
      <w:r>
        <w:rPr>
          <w:rFonts w:asciiTheme="minorHAnsi" w:hAnsiTheme="minorHAnsi"/>
          <w:sz w:val="24"/>
          <w:szCs w:val="24"/>
        </w:rPr>
        <w:t xml:space="preserve">?”. If the answer is yes, more analysis would be required, however it is more likely for the samples to be </w:t>
      </w:r>
      <w:r w:rsidR="00A1201B">
        <w:rPr>
          <w:rFonts w:asciiTheme="minorHAnsi" w:hAnsiTheme="minorHAnsi"/>
          <w:sz w:val="24"/>
          <w:szCs w:val="24"/>
        </w:rPr>
        <w:t>consistent with</w:t>
      </w:r>
      <w:r>
        <w:rPr>
          <w:rFonts w:asciiTheme="minorHAnsi" w:hAnsiTheme="minorHAnsi"/>
          <w:sz w:val="24"/>
          <w:szCs w:val="24"/>
        </w:rPr>
        <w:t xml:space="preserve"> average activity and therefore a less detailed analysis method would be preferred to increase throughput, whilst </w:t>
      </w:r>
      <w:r w:rsidR="00956353">
        <w:rPr>
          <w:rFonts w:asciiTheme="minorHAnsi" w:hAnsiTheme="minorHAnsi"/>
          <w:sz w:val="24"/>
          <w:szCs w:val="24"/>
        </w:rPr>
        <w:t>also</w:t>
      </w:r>
      <w:r>
        <w:rPr>
          <w:rFonts w:asciiTheme="minorHAnsi" w:hAnsiTheme="minorHAnsi"/>
          <w:sz w:val="24"/>
          <w:szCs w:val="24"/>
        </w:rPr>
        <w:t xml:space="preserve"> identif</w:t>
      </w:r>
      <w:r w:rsidR="00956353">
        <w:rPr>
          <w:rFonts w:asciiTheme="minorHAnsi" w:hAnsiTheme="minorHAnsi"/>
          <w:sz w:val="24"/>
          <w:szCs w:val="24"/>
        </w:rPr>
        <w:t>ying</w:t>
      </w:r>
      <w:r>
        <w:rPr>
          <w:rFonts w:asciiTheme="minorHAnsi" w:hAnsiTheme="minorHAnsi"/>
          <w:sz w:val="24"/>
          <w:szCs w:val="24"/>
        </w:rPr>
        <w:t xml:space="preserve"> ‘active’ samples. Neutron measurement could </w:t>
      </w:r>
      <w:r w:rsidR="00956353">
        <w:rPr>
          <w:rFonts w:asciiTheme="minorHAnsi" w:hAnsiTheme="minorHAnsi"/>
          <w:sz w:val="24"/>
          <w:szCs w:val="24"/>
        </w:rPr>
        <w:t>theoretically</w:t>
      </w:r>
      <w:r>
        <w:rPr>
          <w:rFonts w:asciiTheme="minorHAnsi" w:hAnsiTheme="minorHAnsi"/>
          <w:sz w:val="24"/>
          <w:szCs w:val="24"/>
        </w:rPr>
        <w:t xml:space="preserve"> provide this analysis method and more.</w:t>
      </w:r>
    </w:p>
    <w:p w14:paraId="52EB8271" w14:textId="0527387F" w:rsidR="00F37CA9" w:rsidRPr="00BB662C" w:rsidRDefault="00F37CA9" w:rsidP="00F37CA9">
      <w:pPr>
        <w:pStyle w:val="BodyText"/>
        <w:spacing w:line="480" w:lineRule="auto"/>
        <w:ind w:firstLine="567"/>
        <w:jc w:val="left"/>
        <w:rPr>
          <w:rFonts w:asciiTheme="minorHAnsi" w:hAnsiTheme="minorHAnsi"/>
          <w:sz w:val="24"/>
          <w:szCs w:val="24"/>
        </w:rPr>
      </w:pPr>
      <w:r w:rsidRPr="00BB662C">
        <w:rPr>
          <w:rFonts w:asciiTheme="minorHAnsi" w:hAnsiTheme="minorHAnsi"/>
          <w:sz w:val="24"/>
          <w:szCs w:val="24"/>
        </w:rPr>
        <w:t>The</w:t>
      </w:r>
      <w:r w:rsidR="00956353">
        <w:rPr>
          <w:rFonts w:asciiTheme="minorHAnsi" w:hAnsiTheme="minorHAnsi"/>
          <w:sz w:val="24"/>
          <w:szCs w:val="24"/>
        </w:rPr>
        <w:t xml:space="preserve"> ideal</w:t>
      </w:r>
      <w:r w:rsidR="00B47DE7">
        <w:rPr>
          <w:rFonts w:asciiTheme="minorHAnsi" w:hAnsiTheme="minorHAnsi"/>
          <w:sz w:val="24"/>
          <w:szCs w:val="24"/>
        </w:rPr>
        <w:t xml:space="preserve"> </w:t>
      </w:r>
      <w:r w:rsidRPr="00BB662C">
        <w:rPr>
          <w:rFonts w:asciiTheme="minorHAnsi" w:hAnsiTheme="minorHAnsi"/>
          <w:sz w:val="24"/>
          <w:szCs w:val="24"/>
        </w:rPr>
        <w:t xml:space="preserve">goal of a </w:t>
      </w:r>
      <w:r w:rsidR="00B47DE7">
        <w:rPr>
          <w:rFonts w:asciiTheme="minorHAnsi" w:hAnsiTheme="minorHAnsi"/>
          <w:sz w:val="24"/>
          <w:szCs w:val="24"/>
        </w:rPr>
        <w:t>ground remediation</w:t>
      </w:r>
      <w:r w:rsidRPr="00BB662C">
        <w:rPr>
          <w:rFonts w:asciiTheme="minorHAnsi" w:hAnsiTheme="minorHAnsi"/>
          <w:sz w:val="24"/>
          <w:szCs w:val="24"/>
        </w:rPr>
        <w:t xml:space="preserve"> project is to leave the land and area in a </w:t>
      </w:r>
      <w:r w:rsidR="00B47DE7">
        <w:rPr>
          <w:rFonts w:asciiTheme="minorHAnsi" w:hAnsiTheme="minorHAnsi"/>
          <w:sz w:val="24"/>
          <w:szCs w:val="24"/>
        </w:rPr>
        <w:t>comparable</w:t>
      </w:r>
      <w:r w:rsidRPr="00BB662C">
        <w:rPr>
          <w:rFonts w:asciiTheme="minorHAnsi" w:hAnsiTheme="minorHAnsi"/>
          <w:sz w:val="24"/>
          <w:szCs w:val="24"/>
        </w:rPr>
        <w:t xml:space="preserve"> state to when the plant was first constructed. Of course, this is rarely a realistic expectation - especially when dealing with a long-serving site such as Dounreay that operated before stringent waste disposal guidelines were in place</w:t>
      </w:r>
      <w:r w:rsidR="00B47DE7">
        <w:rPr>
          <w:rFonts w:asciiTheme="minorHAnsi" w:hAnsiTheme="minorHAnsi"/>
          <w:sz w:val="24"/>
          <w:szCs w:val="24"/>
        </w:rPr>
        <w:t xml:space="preserve">, </w:t>
      </w:r>
      <w:r w:rsidR="00B24C28">
        <w:rPr>
          <w:rFonts w:asciiTheme="minorHAnsi" w:hAnsiTheme="minorHAnsi"/>
          <w:sz w:val="24"/>
          <w:szCs w:val="24"/>
        </w:rPr>
        <w:t>and indeed, constructed before the majority of the</w:t>
      </w:r>
      <w:r w:rsidR="00B47DE7">
        <w:rPr>
          <w:rFonts w:asciiTheme="minorHAnsi" w:hAnsiTheme="minorHAnsi"/>
          <w:sz w:val="24"/>
          <w:szCs w:val="24"/>
        </w:rPr>
        <w:t xml:space="preserve"> global deposition (fallout)</w:t>
      </w:r>
      <w:r w:rsidRPr="00BB662C">
        <w:rPr>
          <w:rFonts w:asciiTheme="minorHAnsi" w:hAnsiTheme="minorHAnsi"/>
          <w:sz w:val="24"/>
          <w:szCs w:val="24"/>
        </w:rPr>
        <w:t>. The Scottish Environment</w:t>
      </w:r>
      <w:r>
        <w:rPr>
          <w:rFonts w:asciiTheme="minorHAnsi" w:hAnsiTheme="minorHAnsi"/>
          <w:sz w:val="24"/>
          <w:szCs w:val="24"/>
        </w:rPr>
        <w:t>al</w:t>
      </w:r>
      <w:r w:rsidRPr="00BB662C">
        <w:rPr>
          <w:rFonts w:asciiTheme="minorHAnsi" w:hAnsiTheme="minorHAnsi"/>
          <w:sz w:val="24"/>
          <w:szCs w:val="24"/>
        </w:rPr>
        <w:t xml:space="preserve"> Protection Agency’s (SEPA) policy regarding radioactive contaminated land</w:t>
      </w:r>
      <w:r w:rsidR="00773F5A">
        <w:rPr>
          <w:rFonts w:asciiTheme="minorHAnsi" w:hAnsiTheme="minorHAnsi"/>
          <w:sz w:val="24"/>
          <w:szCs w:val="24"/>
        </w:rPr>
        <w:t xml:space="preserve"> </w:t>
      </w:r>
      <w:r w:rsidR="00773F5A">
        <w:rPr>
          <w:rFonts w:asciiTheme="minorHAnsi" w:hAnsiTheme="minorHAnsi"/>
          <w:sz w:val="24"/>
          <w:szCs w:val="24"/>
        </w:rPr>
        <w:fldChar w:fldCharType="begin" w:fldLock="1"/>
      </w:r>
      <w:r w:rsidR="000B0F18">
        <w:rPr>
          <w:rFonts w:asciiTheme="minorHAnsi" w:hAnsiTheme="minorHAnsi"/>
          <w:sz w:val="24"/>
          <w:szCs w:val="24"/>
        </w:rPr>
        <w:instrText>ADDIN CSL_CITATION {"citationItems":[{"id":"ITEM-1","itemData":{"author":[{"dropping-particle":"","family":"Scottish Environmental Protection Agency","given":"","non-dropping-particle":"","parse-names":false,"suffix":""}],"id":"ITEM-1","issue":"179","issued":{"date-parts":[["2007"]]},"title":"ENVIRONMENTAL PROTECTION The Radioactive Contaminated Land ( Scotland ) Regulations 2007","type":"article-journal","volume":"1995"},"uris":["http://www.mendeley.com/documents/?uuid=888b8a10-3c79-4d2e-88aa-5d8a05a863c1"]}],"mendeley":{"formattedCitation":"[27]","plainTextFormattedCitation":"[27]","previouslyFormattedCitation":"[27]"},"properties":{"noteIndex":0},"schema":"https://github.com/citation-style-language/schema/raw/master/csl-citation.json"}</w:instrText>
      </w:r>
      <w:r w:rsidR="00773F5A">
        <w:rPr>
          <w:rFonts w:asciiTheme="minorHAnsi" w:hAnsiTheme="minorHAnsi"/>
          <w:sz w:val="24"/>
          <w:szCs w:val="24"/>
        </w:rPr>
        <w:fldChar w:fldCharType="separate"/>
      </w:r>
      <w:r w:rsidR="007D1AB4" w:rsidRPr="007D1AB4">
        <w:rPr>
          <w:rFonts w:asciiTheme="minorHAnsi" w:hAnsiTheme="minorHAnsi"/>
          <w:noProof/>
          <w:sz w:val="24"/>
          <w:szCs w:val="24"/>
        </w:rPr>
        <w:t>[27]</w:t>
      </w:r>
      <w:r w:rsidR="00773F5A">
        <w:rPr>
          <w:rFonts w:asciiTheme="minorHAnsi" w:hAnsiTheme="minorHAnsi"/>
          <w:sz w:val="24"/>
          <w:szCs w:val="24"/>
        </w:rPr>
        <w:fldChar w:fldCharType="end"/>
      </w:r>
      <w:r w:rsidRPr="00BB662C">
        <w:rPr>
          <w:rFonts w:asciiTheme="minorHAnsi" w:hAnsiTheme="minorHAnsi"/>
          <w:sz w:val="24"/>
          <w:szCs w:val="24"/>
        </w:rPr>
        <w:t xml:space="preserve"> is a good example of such guideline</w:t>
      </w:r>
      <w:r w:rsidR="00A1201B">
        <w:rPr>
          <w:rFonts w:asciiTheme="minorHAnsi" w:hAnsiTheme="minorHAnsi"/>
          <w:sz w:val="24"/>
          <w:szCs w:val="24"/>
        </w:rPr>
        <w:t>s</w:t>
      </w:r>
      <w:r w:rsidRPr="00BB662C">
        <w:rPr>
          <w:rFonts w:asciiTheme="minorHAnsi" w:hAnsiTheme="minorHAnsi"/>
          <w:sz w:val="24"/>
          <w:szCs w:val="24"/>
        </w:rPr>
        <w:t xml:space="preserve">. Due to </w:t>
      </w:r>
      <w:r w:rsidR="00926641">
        <w:rPr>
          <w:rFonts w:asciiTheme="minorHAnsi" w:hAnsiTheme="minorHAnsi"/>
          <w:sz w:val="24"/>
          <w:szCs w:val="24"/>
        </w:rPr>
        <w:t>a historical</w:t>
      </w:r>
      <w:r w:rsidRPr="00BB662C">
        <w:rPr>
          <w:rFonts w:asciiTheme="minorHAnsi" w:hAnsiTheme="minorHAnsi"/>
          <w:sz w:val="24"/>
          <w:szCs w:val="24"/>
        </w:rPr>
        <w:t xml:space="preserve"> lack of these policies</w:t>
      </w:r>
      <w:r w:rsidR="00926641">
        <w:rPr>
          <w:rFonts w:asciiTheme="minorHAnsi" w:hAnsiTheme="minorHAnsi"/>
          <w:sz w:val="24"/>
          <w:szCs w:val="24"/>
        </w:rPr>
        <w:t>,</w:t>
      </w:r>
      <w:r w:rsidRPr="00BB662C">
        <w:rPr>
          <w:rFonts w:asciiTheme="minorHAnsi" w:hAnsiTheme="minorHAnsi"/>
          <w:sz w:val="24"/>
          <w:szCs w:val="24"/>
        </w:rPr>
        <w:t xml:space="preserve"> monitoring soils is pertinent, as soil is the most prevalent material of those left behind post decommissioning</w:t>
      </w:r>
      <w:r w:rsidR="00926641">
        <w:rPr>
          <w:rFonts w:asciiTheme="minorHAnsi" w:hAnsiTheme="minorHAnsi"/>
          <w:sz w:val="24"/>
          <w:szCs w:val="24"/>
        </w:rPr>
        <w:t xml:space="preserve"> and allows quantification of </w:t>
      </w:r>
      <w:r w:rsidR="00910BAE">
        <w:rPr>
          <w:rFonts w:asciiTheme="minorHAnsi" w:hAnsiTheme="minorHAnsi"/>
          <w:sz w:val="24"/>
          <w:szCs w:val="24"/>
        </w:rPr>
        <w:t>various radioactive tracers that are deposited in the soil matrix</w:t>
      </w:r>
      <w:r w:rsidRPr="00BB662C">
        <w:rPr>
          <w:rFonts w:asciiTheme="minorHAnsi" w:hAnsiTheme="minorHAnsi"/>
          <w:sz w:val="24"/>
          <w:szCs w:val="24"/>
        </w:rPr>
        <w:t>.</w:t>
      </w:r>
    </w:p>
    <w:p w14:paraId="2EC7D57C" w14:textId="6C5BB7DF" w:rsidR="00A1201B" w:rsidRDefault="00F37CA9" w:rsidP="00A1201B">
      <w:pPr>
        <w:pStyle w:val="BodyText"/>
        <w:spacing w:line="480" w:lineRule="auto"/>
        <w:ind w:firstLine="567"/>
        <w:jc w:val="left"/>
        <w:rPr>
          <w:rFonts w:asciiTheme="minorHAnsi" w:hAnsiTheme="minorHAnsi"/>
          <w:sz w:val="24"/>
          <w:szCs w:val="24"/>
        </w:rPr>
      </w:pPr>
      <w:r w:rsidRPr="00BB662C">
        <w:rPr>
          <w:rFonts w:asciiTheme="minorHAnsi" w:hAnsiTheme="minorHAnsi"/>
          <w:sz w:val="24"/>
          <w:szCs w:val="24"/>
        </w:rPr>
        <w:t xml:space="preserve">The radionuclides found in the soil </w:t>
      </w:r>
      <w:r w:rsidR="00910BAE">
        <w:rPr>
          <w:rFonts w:asciiTheme="minorHAnsi" w:hAnsiTheme="minorHAnsi"/>
          <w:sz w:val="24"/>
          <w:szCs w:val="24"/>
        </w:rPr>
        <w:t>matrix</w:t>
      </w:r>
      <w:r w:rsidRPr="00BB662C">
        <w:rPr>
          <w:rFonts w:asciiTheme="minorHAnsi" w:hAnsiTheme="minorHAnsi"/>
          <w:sz w:val="24"/>
          <w:szCs w:val="24"/>
        </w:rPr>
        <w:t xml:space="preserve"> are at an unknown depth, quantity, concentration and distribution, though </w:t>
      </w:r>
      <w:r w:rsidR="00B47DE7">
        <w:rPr>
          <w:rFonts w:asciiTheme="minorHAnsi" w:hAnsiTheme="minorHAnsi"/>
          <w:sz w:val="24"/>
          <w:szCs w:val="24"/>
        </w:rPr>
        <w:t>specific</w:t>
      </w:r>
      <w:r w:rsidRPr="00BB662C">
        <w:rPr>
          <w:rFonts w:asciiTheme="minorHAnsi" w:hAnsiTheme="minorHAnsi"/>
          <w:sz w:val="24"/>
          <w:szCs w:val="24"/>
        </w:rPr>
        <w:t xml:space="preserve"> areas</w:t>
      </w:r>
      <w:r>
        <w:rPr>
          <w:rFonts w:asciiTheme="minorHAnsi" w:hAnsiTheme="minorHAnsi"/>
          <w:sz w:val="24"/>
          <w:szCs w:val="24"/>
        </w:rPr>
        <w:t xml:space="preserve"> of </w:t>
      </w:r>
      <w:r w:rsidR="00B47DE7">
        <w:rPr>
          <w:rFonts w:asciiTheme="minorHAnsi" w:hAnsiTheme="minorHAnsi"/>
          <w:sz w:val="24"/>
          <w:szCs w:val="24"/>
        </w:rPr>
        <w:t xml:space="preserve">relatively </w:t>
      </w:r>
      <w:r>
        <w:rPr>
          <w:rFonts w:asciiTheme="minorHAnsi" w:hAnsiTheme="minorHAnsi"/>
          <w:sz w:val="24"/>
          <w:szCs w:val="24"/>
        </w:rPr>
        <w:t>high contamination</w:t>
      </w:r>
      <w:r w:rsidRPr="00BB662C">
        <w:rPr>
          <w:rFonts w:asciiTheme="minorHAnsi" w:hAnsiTheme="minorHAnsi"/>
          <w:sz w:val="24"/>
          <w:szCs w:val="24"/>
        </w:rPr>
        <w:t xml:space="preserve"> have been identified on the Dounreay site</w:t>
      </w:r>
      <w:r w:rsidR="00A50145">
        <w:rPr>
          <w:rFonts w:asciiTheme="minorHAnsi" w:hAnsiTheme="minorHAnsi"/>
          <w:sz w:val="24"/>
          <w:szCs w:val="24"/>
        </w:rPr>
        <w:t xml:space="preserve"> (not relevant to this work)</w:t>
      </w:r>
      <w:r w:rsidRPr="00BB662C">
        <w:rPr>
          <w:rFonts w:asciiTheme="minorHAnsi" w:hAnsiTheme="minorHAnsi"/>
          <w:sz w:val="24"/>
          <w:szCs w:val="24"/>
        </w:rPr>
        <w:t>. Due to these</w:t>
      </w:r>
      <w:r w:rsidR="00FB3E55">
        <w:rPr>
          <w:rFonts w:asciiTheme="minorHAnsi" w:hAnsiTheme="minorHAnsi"/>
          <w:sz w:val="24"/>
          <w:szCs w:val="24"/>
        </w:rPr>
        <w:t xml:space="preserve"> aforementioned</w:t>
      </w:r>
      <w:r w:rsidRPr="00BB662C">
        <w:rPr>
          <w:rFonts w:asciiTheme="minorHAnsi" w:hAnsiTheme="minorHAnsi"/>
          <w:sz w:val="24"/>
          <w:szCs w:val="24"/>
        </w:rPr>
        <w:t xml:space="preserve"> unknowns, fast </w:t>
      </w:r>
      <w:r w:rsidR="00F325FF">
        <w:rPr>
          <w:rFonts w:asciiTheme="minorHAnsi" w:hAnsiTheme="minorHAnsi"/>
          <w:sz w:val="24"/>
          <w:szCs w:val="24"/>
        </w:rPr>
        <w:t>neutron detection is</w:t>
      </w:r>
      <w:r w:rsidR="00A1201B">
        <w:rPr>
          <w:rFonts w:asciiTheme="minorHAnsi" w:hAnsiTheme="minorHAnsi"/>
          <w:sz w:val="24"/>
          <w:szCs w:val="24"/>
        </w:rPr>
        <w:t xml:space="preserve"> </w:t>
      </w:r>
      <w:r w:rsidR="005C20D0">
        <w:rPr>
          <w:rFonts w:asciiTheme="minorHAnsi" w:hAnsiTheme="minorHAnsi"/>
          <w:sz w:val="24"/>
          <w:szCs w:val="24"/>
        </w:rPr>
        <w:t>hypothetically</w:t>
      </w:r>
      <w:r w:rsidR="00F325FF">
        <w:rPr>
          <w:rFonts w:asciiTheme="minorHAnsi" w:hAnsiTheme="minorHAnsi"/>
          <w:sz w:val="24"/>
          <w:szCs w:val="24"/>
        </w:rPr>
        <w:t xml:space="preserve"> an</w:t>
      </w:r>
      <w:r w:rsidR="00576E52">
        <w:rPr>
          <w:rFonts w:asciiTheme="minorHAnsi" w:hAnsiTheme="minorHAnsi"/>
          <w:sz w:val="24"/>
          <w:szCs w:val="24"/>
        </w:rPr>
        <w:t xml:space="preserve"> </w:t>
      </w:r>
      <w:r>
        <w:rPr>
          <w:rFonts w:asciiTheme="minorHAnsi" w:hAnsiTheme="minorHAnsi"/>
          <w:sz w:val="24"/>
          <w:szCs w:val="24"/>
        </w:rPr>
        <w:t>appropriate choice for</w:t>
      </w:r>
      <w:r w:rsidR="00A1201B">
        <w:rPr>
          <w:rFonts w:asciiTheme="minorHAnsi" w:hAnsiTheme="minorHAnsi"/>
          <w:sz w:val="24"/>
          <w:szCs w:val="24"/>
        </w:rPr>
        <w:t xml:space="preserve"> a</w:t>
      </w:r>
      <w:r>
        <w:rPr>
          <w:rFonts w:asciiTheme="minorHAnsi" w:hAnsiTheme="minorHAnsi"/>
          <w:sz w:val="24"/>
          <w:szCs w:val="24"/>
        </w:rPr>
        <w:t xml:space="preserve"> detection</w:t>
      </w:r>
      <w:r w:rsidR="00A1201B">
        <w:rPr>
          <w:rFonts w:asciiTheme="minorHAnsi" w:hAnsiTheme="minorHAnsi"/>
          <w:sz w:val="24"/>
          <w:szCs w:val="24"/>
        </w:rPr>
        <w:t xml:space="preserve"> method</w:t>
      </w:r>
      <w:r>
        <w:rPr>
          <w:rFonts w:asciiTheme="minorHAnsi" w:hAnsiTheme="minorHAnsi"/>
          <w:sz w:val="24"/>
          <w:szCs w:val="24"/>
        </w:rPr>
        <w:t xml:space="preserve"> </w:t>
      </w:r>
      <w:r w:rsidRPr="00BB662C">
        <w:rPr>
          <w:rFonts w:asciiTheme="minorHAnsi" w:hAnsiTheme="minorHAnsi"/>
          <w:sz w:val="24"/>
          <w:szCs w:val="24"/>
        </w:rPr>
        <w:t>- with complementary assay</w:t>
      </w:r>
      <w:r>
        <w:rPr>
          <w:rFonts w:asciiTheme="minorHAnsi" w:hAnsiTheme="minorHAnsi"/>
          <w:sz w:val="24"/>
          <w:szCs w:val="24"/>
        </w:rPr>
        <w:t>s</w:t>
      </w:r>
      <w:r w:rsidRPr="00BB662C">
        <w:rPr>
          <w:rFonts w:asciiTheme="minorHAnsi" w:hAnsiTheme="minorHAnsi"/>
          <w:sz w:val="24"/>
          <w:szCs w:val="24"/>
        </w:rPr>
        <w:t xml:space="preserve"> of samples</w:t>
      </w:r>
      <w:r w:rsidR="00A1201B">
        <w:rPr>
          <w:rFonts w:asciiTheme="minorHAnsi" w:hAnsiTheme="minorHAnsi"/>
          <w:sz w:val="24"/>
          <w:szCs w:val="24"/>
        </w:rPr>
        <w:t xml:space="preserve"> of varied activity.</w:t>
      </w:r>
      <w:r w:rsidRPr="00BB662C">
        <w:rPr>
          <w:rFonts w:asciiTheme="minorHAnsi" w:hAnsiTheme="minorHAnsi"/>
          <w:sz w:val="24"/>
          <w:szCs w:val="24"/>
        </w:rPr>
        <w:t xml:space="preserve"> </w:t>
      </w:r>
      <w:r w:rsidR="00FB3E55">
        <w:rPr>
          <w:rFonts w:asciiTheme="minorHAnsi" w:hAnsiTheme="minorHAnsi"/>
          <w:sz w:val="24"/>
          <w:szCs w:val="24"/>
        </w:rPr>
        <w:t>Neutrons</w:t>
      </w:r>
      <w:r w:rsidRPr="00BB662C">
        <w:rPr>
          <w:rFonts w:asciiTheme="minorHAnsi" w:hAnsiTheme="minorHAnsi"/>
          <w:sz w:val="24"/>
          <w:szCs w:val="24"/>
        </w:rPr>
        <w:t xml:space="preserve"> </w:t>
      </w:r>
      <w:r w:rsidR="00FB3E55">
        <w:rPr>
          <w:rFonts w:asciiTheme="minorHAnsi" w:hAnsiTheme="minorHAnsi"/>
          <w:sz w:val="24"/>
          <w:szCs w:val="24"/>
        </w:rPr>
        <w:t>have low reactivity</w:t>
      </w:r>
      <w:r w:rsidRPr="00BB662C">
        <w:rPr>
          <w:rFonts w:asciiTheme="minorHAnsi" w:hAnsiTheme="minorHAnsi"/>
          <w:sz w:val="24"/>
          <w:szCs w:val="24"/>
        </w:rPr>
        <w:t xml:space="preserve"> </w:t>
      </w:r>
      <w:r w:rsidR="00A1201B">
        <w:rPr>
          <w:rFonts w:asciiTheme="minorHAnsi" w:hAnsiTheme="minorHAnsi"/>
          <w:sz w:val="24"/>
          <w:szCs w:val="24"/>
        </w:rPr>
        <w:t>due to</w:t>
      </w:r>
      <w:r w:rsidRPr="00BB662C">
        <w:rPr>
          <w:rFonts w:asciiTheme="minorHAnsi" w:hAnsiTheme="minorHAnsi"/>
          <w:sz w:val="24"/>
          <w:szCs w:val="24"/>
        </w:rPr>
        <w:t xml:space="preserve"> their lack of charge</w:t>
      </w:r>
      <w:r w:rsidR="00A1201B">
        <w:rPr>
          <w:rFonts w:asciiTheme="minorHAnsi" w:hAnsiTheme="minorHAnsi"/>
          <w:sz w:val="24"/>
          <w:szCs w:val="24"/>
        </w:rPr>
        <w:t>,</w:t>
      </w:r>
      <w:r w:rsidRPr="00BB662C">
        <w:rPr>
          <w:rFonts w:asciiTheme="minorHAnsi" w:hAnsiTheme="minorHAnsi"/>
          <w:sz w:val="24"/>
          <w:szCs w:val="24"/>
        </w:rPr>
        <w:t xml:space="preserve"> mak</w:t>
      </w:r>
      <w:r w:rsidR="00A1201B">
        <w:rPr>
          <w:rFonts w:asciiTheme="minorHAnsi" w:hAnsiTheme="minorHAnsi"/>
          <w:sz w:val="24"/>
          <w:szCs w:val="24"/>
        </w:rPr>
        <w:t>ing</w:t>
      </w:r>
      <w:r w:rsidRPr="00BB662C">
        <w:rPr>
          <w:rFonts w:asciiTheme="minorHAnsi" w:hAnsiTheme="minorHAnsi"/>
          <w:sz w:val="24"/>
          <w:szCs w:val="24"/>
        </w:rPr>
        <w:t xml:space="preserve"> them highly penetrative</w:t>
      </w:r>
      <w:r w:rsidR="00FB3E55">
        <w:rPr>
          <w:rFonts w:asciiTheme="minorHAnsi" w:hAnsiTheme="minorHAnsi"/>
          <w:sz w:val="24"/>
          <w:szCs w:val="24"/>
        </w:rPr>
        <w:t>, which</w:t>
      </w:r>
      <w:r w:rsidRPr="00BB662C">
        <w:rPr>
          <w:rFonts w:asciiTheme="minorHAnsi" w:hAnsiTheme="minorHAnsi"/>
          <w:sz w:val="24"/>
          <w:szCs w:val="24"/>
        </w:rPr>
        <w:t xml:space="preserve"> </w:t>
      </w:r>
      <w:r w:rsidRPr="00BB662C">
        <w:rPr>
          <w:rFonts w:asciiTheme="minorHAnsi" w:hAnsiTheme="minorHAnsi"/>
          <w:sz w:val="24"/>
          <w:szCs w:val="24"/>
        </w:rPr>
        <w:lastRenderedPageBreak/>
        <w:t>increas</w:t>
      </w:r>
      <w:r w:rsidR="00FB3E55">
        <w:rPr>
          <w:rFonts w:asciiTheme="minorHAnsi" w:hAnsiTheme="minorHAnsi"/>
          <w:sz w:val="24"/>
          <w:szCs w:val="24"/>
        </w:rPr>
        <w:t>es</w:t>
      </w:r>
      <w:r w:rsidRPr="00BB662C">
        <w:rPr>
          <w:rFonts w:asciiTheme="minorHAnsi" w:hAnsiTheme="minorHAnsi"/>
          <w:sz w:val="24"/>
          <w:szCs w:val="24"/>
        </w:rPr>
        <w:t xml:space="preserve"> the likelihood of their interaction with </w:t>
      </w:r>
      <w:r w:rsidR="00FB3E55">
        <w:rPr>
          <w:rFonts w:asciiTheme="minorHAnsi" w:hAnsiTheme="minorHAnsi"/>
          <w:sz w:val="24"/>
          <w:szCs w:val="24"/>
        </w:rPr>
        <w:t>(</w:t>
      </w:r>
      <w:r w:rsidRPr="00BB662C">
        <w:rPr>
          <w:rFonts w:asciiTheme="minorHAnsi" w:hAnsiTheme="minorHAnsi"/>
          <w:sz w:val="24"/>
          <w:szCs w:val="24"/>
        </w:rPr>
        <w:t>and absorption by</w:t>
      </w:r>
      <w:r w:rsidR="00FB3E55">
        <w:rPr>
          <w:rFonts w:asciiTheme="minorHAnsi" w:hAnsiTheme="minorHAnsi"/>
          <w:sz w:val="24"/>
          <w:szCs w:val="24"/>
        </w:rPr>
        <w:t>)</w:t>
      </w:r>
      <w:r w:rsidRPr="00BB662C">
        <w:rPr>
          <w:rFonts w:asciiTheme="minorHAnsi" w:hAnsiTheme="minorHAnsi"/>
          <w:sz w:val="24"/>
          <w:szCs w:val="24"/>
        </w:rPr>
        <w:t xml:space="preserve"> </w:t>
      </w:r>
      <w:r w:rsidR="00A1201B">
        <w:rPr>
          <w:rFonts w:asciiTheme="minorHAnsi" w:hAnsiTheme="minorHAnsi"/>
          <w:sz w:val="24"/>
          <w:szCs w:val="24"/>
        </w:rPr>
        <w:t xml:space="preserve">a </w:t>
      </w:r>
      <w:r w:rsidRPr="00BB662C">
        <w:rPr>
          <w:rFonts w:asciiTheme="minorHAnsi" w:hAnsiTheme="minorHAnsi"/>
          <w:sz w:val="24"/>
          <w:szCs w:val="24"/>
        </w:rPr>
        <w:t xml:space="preserve">detector system </w:t>
      </w:r>
      <w:r w:rsidR="00FB3E55">
        <w:rPr>
          <w:rFonts w:asciiTheme="minorHAnsi" w:hAnsiTheme="minorHAnsi"/>
          <w:sz w:val="24"/>
          <w:szCs w:val="24"/>
        </w:rPr>
        <w:t>rather than the soil matrix - both</w:t>
      </w:r>
      <w:r w:rsidRPr="00BB662C">
        <w:rPr>
          <w:rFonts w:asciiTheme="minorHAnsi" w:hAnsiTheme="minorHAnsi"/>
          <w:sz w:val="24"/>
          <w:szCs w:val="24"/>
        </w:rPr>
        <w:t xml:space="preserve"> in-situ or otherwise</w:t>
      </w:r>
      <w:r w:rsidR="005C20D0">
        <w:rPr>
          <w:rFonts w:asciiTheme="minorHAnsi" w:hAnsiTheme="minorHAnsi"/>
          <w:sz w:val="24"/>
          <w:szCs w:val="24"/>
        </w:rPr>
        <w:t xml:space="preserve"> for bulk soils assay.</w:t>
      </w:r>
    </w:p>
    <w:p w14:paraId="2A41C3D5" w14:textId="77777777" w:rsidR="001130D4" w:rsidRPr="00A1201B" w:rsidRDefault="001130D4" w:rsidP="00A1201B">
      <w:pPr>
        <w:pStyle w:val="BodyText"/>
        <w:spacing w:line="480" w:lineRule="auto"/>
        <w:ind w:firstLine="567"/>
        <w:jc w:val="left"/>
        <w:rPr>
          <w:rFonts w:asciiTheme="minorHAnsi" w:hAnsiTheme="minorHAnsi"/>
          <w:sz w:val="24"/>
          <w:szCs w:val="24"/>
        </w:rPr>
      </w:pPr>
    </w:p>
    <w:p w14:paraId="782B078E" w14:textId="0FD497D9" w:rsidR="00F37CA9" w:rsidRPr="006A2867" w:rsidRDefault="00F37CA9" w:rsidP="00F37CA9">
      <w:pPr>
        <w:spacing w:line="480" w:lineRule="auto"/>
        <w:rPr>
          <w:b/>
          <w:sz w:val="28"/>
          <w:szCs w:val="24"/>
        </w:rPr>
      </w:pPr>
      <w:r w:rsidRPr="006A2867">
        <w:rPr>
          <w:b/>
          <w:sz w:val="28"/>
          <w:szCs w:val="24"/>
        </w:rPr>
        <w:t>1.5 Neutron Measurements</w:t>
      </w:r>
    </w:p>
    <w:p w14:paraId="25CDC9B9" w14:textId="36F035C8" w:rsidR="00F37CA9" w:rsidRDefault="00F37CA9" w:rsidP="00F37CA9">
      <w:pPr>
        <w:pStyle w:val="BodyText"/>
        <w:spacing w:line="480" w:lineRule="auto"/>
        <w:ind w:firstLine="567"/>
        <w:jc w:val="left"/>
        <w:rPr>
          <w:rFonts w:asciiTheme="minorHAnsi" w:hAnsiTheme="minorHAnsi"/>
          <w:sz w:val="24"/>
          <w:szCs w:val="24"/>
        </w:rPr>
      </w:pPr>
      <w:r w:rsidRPr="00BB662C">
        <w:rPr>
          <w:rFonts w:asciiTheme="minorHAnsi" w:hAnsiTheme="minorHAnsi"/>
          <w:sz w:val="24"/>
          <w:szCs w:val="24"/>
        </w:rPr>
        <w:t xml:space="preserve">The use of </w:t>
      </w:r>
      <w:r>
        <w:rPr>
          <w:rFonts w:asciiTheme="minorHAnsi" w:hAnsiTheme="minorHAnsi"/>
          <w:sz w:val="24"/>
          <w:szCs w:val="24"/>
        </w:rPr>
        <w:t>fast-</w:t>
      </w:r>
      <w:r w:rsidRPr="00BB662C">
        <w:rPr>
          <w:rFonts w:asciiTheme="minorHAnsi" w:hAnsiTheme="minorHAnsi"/>
          <w:sz w:val="24"/>
          <w:szCs w:val="24"/>
        </w:rPr>
        <w:t>neutron detection of bulk soil samples is a novel technique for radioactive assay</w:t>
      </w:r>
      <w:r w:rsidR="00CB5450">
        <w:rPr>
          <w:rFonts w:asciiTheme="minorHAnsi" w:hAnsiTheme="minorHAnsi"/>
          <w:sz w:val="24"/>
          <w:szCs w:val="24"/>
        </w:rPr>
        <w:t xml:space="preserve"> of p</w:t>
      </w:r>
      <w:r w:rsidR="00927449">
        <w:rPr>
          <w:rFonts w:asciiTheme="minorHAnsi" w:hAnsiTheme="minorHAnsi"/>
          <w:sz w:val="24"/>
          <w:szCs w:val="24"/>
        </w:rPr>
        <w:t>lutonium</w:t>
      </w:r>
      <w:r w:rsidRPr="00BB662C">
        <w:rPr>
          <w:rFonts w:asciiTheme="minorHAnsi" w:hAnsiTheme="minorHAnsi"/>
          <w:sz w:val="24"/>
          <w:szCs w:val="24"/>
        </w:rPr>
        <w:t>, designed for</w:t>
      </w:r>
      <w:r>
        <w:rPr>
          <w:rFonts w:asciiTheme="minorHAnsi" w:hAnsiTheme="minorHAnsi"/>
          <w:sz w:val="24"/>
          <w:szCs w:val="24"/>
        </w:rPr>
        <w:t xml:space="preserve"> time-</w:t>
      </w:r>
      <w:r w:rsidRPr="00BB662C">
        <w:rPr>
          <w:rFonts w:asciiTheme="minorHAnsi" w:hAnsiTheme="minorHAnsi"/>
          <w:sz w:val="24"/>
          <w:szCs w:val="24"/>
        </w:rPr>
        <w:t xml:space="preserve">efficient and convenient identification of the presence of radioactive soil contaminants. </w:t>
      </w:r>
      <w:r>
        <w:rPr>
          <w:rFonts w:asciiTheme="minorHAnsi" w:hAnsiTheme="minorHAnsi"/>
          <w:sz w:val="24"/>
          <w:szCs w:val="24"/>
        </w:rPr>
        <w:t>If</w:t>
      </w:r>
      <w:r w:rsidRPr="00BB662C">
        <w:rPr>
          <w:rFonts w:asciiTheme="minorHAnsi" w:hAnsiTheme="minorHAnsi"/>
          <w:sz w:val="24"/>
          <w:szCs w:val="24"/>
        </w:rPr>
        <w:t xml:space="preserve"> paired with a comparative soil sample database, it </w:t>
      </w:r>
      <w:r>
        <w:rPr>
          <w:rFonts w:asciiTheme="minorHAnsi" w:hAnsiTheme="minorHAnsi"/>
          <w:sz w:val="24"/>
          <w:szCs w:val="24"/>
        </w:rPr>
        <w:t>could</w:t>
      </w:r>
      <w:r w:rsidRPr="00BB662C">
        <w:rPr>
          <w:rFonts w:asciiTheme="minorHAnsi" w:hAnsiTheme="minorHAnsi"/>
          <w:sz w:val="24"/>
          <w:szCs w:val="24"/>
        </w:rPr>
        <w:t xml:space="preserve"> provide significant evidence of the</w:t>
      </w:r>
      <w:r w:rsidR="00A1201B">
        <w:rPr>
          <w:rFonts w:asciiTheme="minorHAnsi" w:hAnsiTheme="minorHAnsi"/>
          <w:sz w:val="24"/>
          <w:szCs w:val="24"/>
        </w:rPr>
        <w:t xml:space="preserve"> relative</w:t>
      </w:r>
      <w:r w:rsidRPr="00BB662C">
        <w:rPr>
          <w:rFonts w:asciiTheme="minorHAnsi" w:hAnsiTheme="minorHAnsi"/>
          <w:sz w:val="24"/>
          <w:szCs w:val="24"/>
        </w:rPr>
        <w:t xml:space="preserve"> level of </w:t>
      </w:r>
      <w:r w:rsidR="005C20D0">
        <w:rPr>
          <w:rFonts w:asciiTheme="minorHAnsi" w:hAnsiTheme="minorHAnsi"/>
          <w:sz w:val="24"/>
          <w:szCs w:val="24"/>
        </w:rPr>
        <w:t xml:space="preserve">neutron-emitting </w:t>
      </w:r>
      <w:r w:rsidRPr="00BB662C">
        <w:rPr>
          <w:rFonts w:asciiTheme="minorHAnsi" w:hAnsiTheme="minorHAnsi"/>
          <w:sz w:val="24"/>
          <w:szCs w:val="24"/>
        </w:rPr>
        <w:t>contamination at nuclear sites.</w:t>
      </w:r>
    </w:p>
    <w:p w14:paraId="18217041" w14:textId="629911E5" w:rsidR="00307AE9"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Th</w:t>
      </w:r>
      <w:r w:rsidR="005C20D0">
        <w:rPr>
          <w:rFonts w:asciiTheme="minorHAnsi" w:hAnsiTheme="minorHAnsi"/>
          <w:sz w:val="24"/>
          <w:szCs w:val="24"/>
        </w:rPr>
        <w:t>is</w:t>
      </w:r>
      <w:r>
        <w:rPr>
          <w:rFonts w:asciiTheme="minorHAnsi" w:hAnsiTheme="minorHAnsi"/>
          <w:sz w:val="24"/>
          <w:szCs w:val="24"/>
        </w:rPr>
        <w:t xml:space="preserve"> study builds on developments made in the detection of neutrons in a mixed field, using Pulse Shape Discrimination (PSD)</w:t>
      </w:r>
      <w:r w:rsidR="00773F5A">
        <w:rPr>
          <w:rFonts w:asciiTheme="minorHAnsi" w:hAnsiTheme="minorHAnsi"/>
          <w:sz w:val="24"/>
          <w:szCs w:val="24"/>
        </w:rPr>
        <w:t xml:space="preserve"> </w:t>
      </w:r>
      <w:r w:rsidR="00773F5A">
        <w:rPr>
          <w:rFonts w:asciiTheme="minorHAnsi" w:hAnsiTheme="minorHAnsi"/>
          <w:sz w:val="24"/>
          <w:szCs w:val="24"/>
        </w:rPr>
        <w:fldChar w:fldCharType="begin" w:fldLock="1"/>
      </w:r>
      <w:r w:rsidR="000B0F18">
        <w:rPr>
          <w:rFonts w:asciiTheme="minorHAnsi" w:hAnsiTheme="minorHAnsi"/>
          <w:sz w:val="24"/>
          <w:szCs w:val="24"/>
        </w:rPr>
        <w:instrText>ADDIN CSL_CITATION {"citationItems":[{"id":"ITEM-1","itemData":{"DOI":"10.1016/j.nima.2007.04.174","ISSN":"01689002","abstract":"A method for the digital discrimination of neutrons and ??-rays in mixed radiation fields is described. Pulses in the time domain, arising from the interaction of photons and neutrons in a liquid scintillator, have been produced using an accepted empirical model and from experimental measurements with an americium-beryllium source. Neutrons and ??-rays have been successfully discriminated in both of these data sets in the digital domain. The digital discrimination method described in this paper is simple and exploits samples early in the life of the pulse. It is thus compatible with current embedded system technologies, offers a degree of immunity to pulse pile-up and heralds a real-time means for neutron/?? discrimination that is fundamental to many potential industrial applications. ?? 2007 Elsevier B.V. All rights reserved.","author":[{"dropping-particle":"","family":"D'Mellow","given":"B.","non-dropping-particle":"","parse-names":false,"suffix":""},{"dropping-particle":"","family":"Aspinall","given":"M. D.","non-dropping-particle":"","parse-names":false,"suffix":""},{"dropping-particle":"","family":"Mackin","given":"R. O.","non-dropping-particle":"","parse-names":false,"suffix":""},{"dropping-particle":"","family":"Joyce","given":"M. J.","non-dropping-particle":"","parse-names":false,"suffix":""},{"dropping-particle":"","family":"Peyton","given":"A. J.","non-dropping-particle":"","parse-names":false,"suffix":""}],"container-title":"Nuclear Instruments and Methods in Physics Research, Section A: Accelerators, Spectrometers, Detectors and Associated Equipment","id":"ITEM-1","issue":"1","issued":{"date-parts":[["2007"]]},"page":"191-197","title":"Digital discrimination of neutrons and ??-rays in liquid scintillators using pulse gradient analysis","type":"article-journal","volume":"578"},"uris":["http://www.mendeley.com/documents/?uuid=bd12c7e1-3a27-49c3-8516-f41d03074262"]}],"mendeley":{"formattedCitation":"[28]","plainTextFormattedCitation":"[28]","previouslyFormattedCitation":"[28]"},"properties":{"noteIndex":0},"schema":"https://github.com/citation-style-language/schema/raw/master/csl-citation.json"}</w:instrText>
      </w:r>
      <w:r w:rsidR="00773F5A">
        <w:rPr>
          <w:rFonts w:asciiTheme="minorHAnsi" w:hAnsiTheme="minorHAnsi"/>
          <w:sz w:val="24"/>
          <w:szCs w:val="24"/>
        </w:rPr>
        <w:fldChar w:fldCharType="separate"/>
      </w:r>
      <w:r w:rsidR="007D1AB4" w:rsidRPr="007D1AB4">
        <w:rPr>
          <w:rFonts w:asciiTheme="minorHAnsi" w:hAnsiTheme="minorHAnsi"/>
          <w:noProof/>
          <w:sz w:val="24"/>
          <w:szCs w:val="24"/>
        </w:rPr>
        <w:t>[28]</w:t>
      </w:r>
      <w:r w:rsidR="00773F5A">
        <w:rPr>
          <w:rFonts w:asciiTheme="minorHAnsi" w:hAnsiTheme="minorHAnsi"/>
          <w:sz w:val="24"/>
          <w:szCs w:val="24"/>
        </w:rPr>
        <w:fldChar w:fldCharType="end"/>
      </w:r>
      <w:r w:rsidR="00773F5A">
        <w:rPr>
          <w:rFonts w:asciiTheme="minorHAnsi" w:hAnsiTheme="minorHAnsi"/>
          <w:sz w:val="24"/>
          <w:szCs w:val="24"/>
        </w:rPr>
        <w:fldChar w:fldCharType="begin" w:fldLock="1"/>
      </w:r>
      <w:r w:rsidR="00D56AEE">
        <w:rPr>
          <w:rFonts w:asciiTheme="minorHAnsi" w:hAnsiTheme="minorHAnsi"/>
          <w:sz w:val="24"/>
          <w:szCs w:val="24"/>
        </w:rPr>
        <w:instrText>ADDIN CSL_CITATION {"citationItems":[{"id":"ITEM-1","itemData":{"DOI":"10.1109/NSSMIC.2012.6551100","ISBN":"978-1-4673-2030-6","author":[{"dropping-particle":"","family":"Lavietes","given":"Anthony","non-dropping-particle":"","parse-names":false,"suffix":""},{"dropping-particle":"","family":"Plenteda","given":"Romano","non-dropping-particle":"","parse-names":false,"suffix":""},{"dropping-particle":"","family":"Mascarenhas","given":"Nicholas","non-dropping-particle":"","parse-names":false,"suffix":""},{"dropping-particle":"","family":"Cronholm","given":"L. Marie","non-dropping-particle":"","parse-names":false,"suffix":""},{"dropping-particle":"","family":"Aspinall","given":"Michael","non-dropping-particle":"","parse-names":false,"suffix":""},{"dropping-particle":"","family":"Joyce","given":"Malcolm","non-dropping-particle":"","parse-names":false,"suffix":""},{"dropping-particle":"","family":"Tomanin","given":"Alice","non-dropping-particle":"","parse-names":false,"suffix":""},{"dropping-particle":"","family":"Peerani","given":"Paolo","non-dropping-particle":"","parse-names":false,"suffix":""}],"container-title":"2012 IEEE Nuclear Science Symposium and Medical Imaging Conference Record (NSS/MIC)","id":"ITEM-1","issued":{"date-parts":[["2012","10"]]},"page":"230-244","publisher":"IEEE","title":"Liquid scintillator-based neutron detector development","type":"paper-conference"},"uris":["http://www.mendeley.com/documents/?uuid=25847158-f665-32ff-b483-7fa9d4903d7d"]}],"mendeley":{"formattedCitation":"[5]","plainTextFormattedCitation":"[5]","previouslyFormattedCitation":"[5]"},"properties":{"noteIndex":0},"schema":"https://github.com/citation-style-language/schema/raw/master/csl-citation.json"}</w:instrText>
      </w:r>
      <w:r w:rsidR="00773F5A">
        <w:rPr>
          <w:rFonts w:asciiTheme="minorHAnsi" w:hAnsiTheme="minorHAnsi"/>
          <w:sz w:val="24"/>
          <w:szCs w:val="24"/>
        </w:rPr>
        <w:fldChar w:fldCharType="separate"/>
      </w:r>
      <w:r w:rsidR="00D56AEE" w:rsidRPr="00D56AEE">
        <w:rPr>
          <w:rFonts w:asciiTheme="minorHAnsi" w:hAnsiTheme="minorHAnsi"/>
          <w:noProof/>
          <w:sz w:val="24"/>
          <w:szCs w:val="24"/>
        </w:rPr>
        <w:t>[5]</w:t>
      </w:r>
      <w:r w:rsidR="00773F5A">
        <w:rPr>
          <w:rFonts w:asciiTheme="minorHAnsi" w:hAnsiTheme="minorHAnsi"/>
          <w:sz w:val="24"/>
          <w:szCs w:val="24"/>
        </w:rPr>
        <w:fldChar w:fldCharType="end"/>
      </w:r>
      <w:r>
        <w:rPr>
          <w:rFonts w:asciiTheme="minorHAnsi" w:hAnsiTheme="minorHAnsi"/>
          <w:sz w:val="24"/>
          <w:szCs w:val="24"/>
        </w:rPr>
        <w:t xml:space="preserve"> carried out using Hybrid Instruments Mixed Field Analysers (MFAs)</w:t>
      </w:r>
      <w:r w:rsidR="00773F5A">
        <w:rPr>
          <w:rFonts w:asciiTheme="minorHAnsi" w:hAnsiTheme="minorHAnsi"/>
          <w:sz w:val="24"/>
          <w:szCs w:val="24"/>
        </w:rPr>
        <w:t xml:space="preserve"> </w:t>
      </w:r>
      <w:r w:rsidR="00773F5A">
        <w:rPr>
          <w:rFonts w:asciiTheme="minorHAnsi" w:hAnsiTheme="minorHAnsi"/>
          <w:sz w:val="24"/>
          <w:szCs w:val="24"/>
        </w:rPr>
        <w:fldChar w:fldCharType="begin" w:fldLock="1"/>
      </w:r>
      <w:r w:rsidR="000B0F18">
        <w:rPr>
          <w:rFonts w:asciiTheme="minorHAnsi" w:hAnsiTheme="minorHAnsi"/>
          <w:sz w:val="24"/>
          <w:szCs w:val="24"/>
        </w:rPr>
        <w:instrText>ADDIN CSL_CITATION {"citationItems":[{"id":"ITEM-1","itemData":{"DOI":"10.1109/NSSMIC.2012.6551077","ISBN":"9781467320306","ISSN":"10957863","author":[{"dropping-particle":"","family":"Joyce","given":"Malcolm J.","non-dropping-particle":"","parse-names":false,"suffix":""},{"dropping-particle":"","family":"Gamage","given":"Kelum A A","non-dropping-particle":"","parse-names":false,"suffix":""},{"dropping-particle":"","family":"Aspinall","given":"M. D.","non-dropping-particle":"","parse-names":false,"suffix":""},{"dropping-particle":"","family":"Cave","given":"F. D.","non-dropping-particle":"","parse-names":false,"suffix":""},{"dropping-particle":"","family":"Lavietes","given":"A.","non-dropping-particle":"","parse-names":false,"suffix":""}],"container-title":"IEEE Nuclear Science Symposium Conference Record","id":"ITEM-1","issued":{"date-parts":[["2012"]]},"page":"134-138","title":"A 4-channel multiplex analyzer for real-time, parallel processing of fast scintillators","type":"article-journal"},"uris":["http://www.mendeley.com/documents/?uuid=108438b0-9ac4-45a1-8b62-98ccf77e0ecb"]}],"mendeley":{"formattedCitation":"[29]","plainTextFormattedCitation":"[29]","previouslyFormattedCitation":"[29]"},"properties":{"noteIndex":0},"schema":"https://github.com/citation-style-language/schema/raw/master/csl-citation.json"}</w:instrText>
      </w:r>
      <w:r w:rsidR="00773F5A">
        <w:rPr>
          <w:rFonts w:asciiTheme="minorHAnsi" w:hAnsiTheme="minorHAnsi"/>
          <w:sz w:val="24"/>
          <w:szCs w:val="24"/>
        </w:rPr>
        <w:fldChar w:fldCharType="separate"/>
      </w:r>
      <w:r w:rsidR="007D1AB4" w:rsidRPr="007D1AB4">
        <w:rPr>
          <w:rFonts w:asciiTheme="minorHAnsi" w:hAnsiTheme="minorHAnsi"/>
          <w:noProof/>
          <w:sz w:val="24"/>
          <w:szCs w:val="24"/>
        </w:rPr>
        <w:t>[29]</w:t>
      </w:r>
      <w:r w:rsidR="00773F5A">
        <w:rPr>
          <w:rFonts w:asciiTheme="minorHAnsi" w:hAnsiTheme="minorHAnsi"/>
          <w:sz w:val="24"/>
          <w:szCs w:val="24"/>
        </w:rPr>
        <w:fldChar w:fldCharType="end"/>
      </w:r>
      <w:r>
        <w:rPr>
          <w:rFonts w:asciiTheme="minorHAnsi" w:hAnsiTheme="minorHAnsi"/>
          <w:sz w:val="24"/>
          <w:szCs w:val="24"/>
        </w:rPr>
        <w:t xml:space="preserve">. </w:t>
      </w:r>
      <w:r w:rsidR="00B9777E">
        <w:rPr>
          <w:rFonts w:asciiTheme="minorHAnsi" w:hAnsiTheme="minorHAnsi"/>
          <w:sz w:val="24"/>
          <w:szCs w:val="24"/>
        </w:rPr>
        <w:t xml:space="preserve">Organic liquid scintillation detectors are used </w:t>
      </w:r>
      <w:r w:rsidR="009D7789">
        <w:rPr>
          <w:rFonts w:asciiTheme="minorHAnsi" w:hAnsiTheme="minorHAnsi"/>
          <w:sz w:val="24"/>
          <w:szCs w:val="24"/>
        </w:rPr>
        <w:t>in conjunction with th</w:t>
      </w:r>
      <w:r w:rsidR="001565AA">
        <w:rPr>
          <w:rFonts w:asciiTheme="minorHAnsi" w:hAnsiTheme="minorHAnsi"/>
          <w:sz w:val="24"/>
          <w:szCs w:val="24"/>
        </w:rPr>
        <w:t xml:space="preserve">is apparatus </w:t>
      </w:r>
      <w:r w:rsidR="00096B38">
        <w:rPr>
          <w:rFonts w:asciiTheme="minorHAnsi" w:hAnsiTheme="minorHAnsi"/>
          <w:sz w:val="24"/>
          <w:szCs w:val="24"/>
        </w:rPr>
        <w:t xml:space="preserve">due to their ability to detect fast neutrons as well as thermal. </w:t>
      </w:r>
      <w:r w:rsidR="00B5799B">
        <w:rPr>
          <w:rFonts w:asciiTheme="minorHAnsi" w:hAnsiTheme="minorHAnsi"/>
          <w:sz w:val="24"/>
          <w:szCs w:val="24"/>
        </w:rPr>
        <w:t xml:space="preserve">Helium-3 detectors have been extensively used </w:t>
      </w:r>
      <w:r w:rsidR="00D85203">
        <w:rPr>
          <w:rFonts w:asciiTheme="minorHAnsi" w:hAnsiTheme="minorHAnsi"/>
          <w:sz w:val="24"/>
          <w:szCs w:val="24"/>
        </w:rPr>
        <w:t>to measure</w:t>
      </w:r>
      <w:r w:rsidR="001D4EC6">
        <w:rPr>
          <w:rFonts w:asciiTheme="minorHAnsi" w:hAnsiTheme="minorHAnsi"/>
          <w:sz w:val="24"/>
          <w:szCs w:val="24"/>
        </w:rPr>
        <w:t xml:space="preserve"> both thermal and fast neutrons</w:t>
      </w:r>
      <w:r w:rsidR="0032337E">
        <w:rPr>
          <w:rFonts w:asciiTheme="minorHAnsi" w:hAnsiTheme="minorHAnsi"/>
          <w:sz w:val="24"/>
          <w:szCs w:val="24"/>
        </w:rPr>
        <w:t xml:space="preserve"> </w:t>
      </w:r>
      <w:r w:rsidR="00773F5A">
        <w:rPr>
          <w:rFonts w:asciiTheme="minorHAnsi" w:hAnsiTheme="minorHAnsi"/>
          <w:sz w:val="24"/>
          <w:szCs w:val="24"/>
        </w:rPr>
        <w:fldChar w:fldCharType="begin" w:fldLock="1"/>
      </w:r>
      <w:r w:rsidR="000B0F18">
        <w:rPr>
          <w:rFonts w:asciiTheme="minorHAnsi" w:hAnsiTheme="minorHAnsi"/>
          <w:sz w:val="24"/>
          <w:szCs w:val="24"/>
        </w:rPr>
        <w:instrText>ADDIN CSL_CITATION {"citationItems":[{"id":"ITEM-1","itemData":{"DOI":"10.1080/18811248.1971.9735315","ISSN":"1881-1248","abstract":"Experiments have been performed with the view to applying the 3He proportional counter to differential measurements of the continuous neutron spectrum in a fast reactor. The results of measurements in the JAERI Fast Critical Facility (FCA) proved the apparatus to be useful for the measurements of the main part of the fast reactor spectrum. A specially devised electronic circuit was employed to eliminate the effect of differences in the rise-times of pulses; the energy resolution of the spectrometer was 25 keV (F.W.H.M.). The modified inverse matrix method was used to obtain the neutron spectrum from the measured pulse-height disLribution, resulting in an improvement of the effective energy resolution in the resultant spectrum to about 10 keV. The applicable energy range of the spectrometer is for the time being from 20keV to 2MeV.","author":[{"dropping-particle":"","family":"Tsutomu","given":"Iijima","non-dropping-particle":"","parse-names":false,"suffix":""},{"dropping-particle":"","family":"Takehiko","given":"Mukaiyama","non-dropping-particle":"","parse-names":false,"suffix":""},{"dropping-particle":"","family":"Keisho","given":"Shirakata","non-dropping-particle":"","parse-names":false,"suffix":""}],"container-title":"Journal of Nuclear Science and Technology","id":"ITEM-1","issue":"4","issued":{"date-parts":[["1971"]]},"page":"192-194","title":"Measurement of Fast Neutron Spectrum with Helium-3 Proportional Counter","type":"article-journal","volume":"8"},"uris":["http://www.mendeley.com/documents/?uuid=41c111a4-0623-39c9-9cbf-e27b77e6f998"]}],"mendeley":{"formattedCitation":"[30]","plainTextFormattedCitation":"[30]","previouslyFormattedCitation":"[30]"},"properties":{"noteIndex":0},"schema":"https://github.com/citation-style-language/schema/raw/master/csl-citation.json"}</w:instrText>
      </w:r>
      <w:r w:rsidR="00773F5A">
        <w:rPr>
          <w:rFonts w:asciiTheme="minorHAnsi" w:hAnsiTheme="minorHAnsi"/>
          <w:sz w:val="24"/>
          <w:szCs w:val="24"/>
        </w:rPr>
        <w:fldChar w:fldCharType="separate"/>
      </w:r>
      <w:r w:rsidR="007D1AB4" w:rsidRPr="007D1AB4">
        <w:rPr>
          <w:rFonts w:asciiTheme="minorHAnsi" w:hAnsiTheme="minorHAnsi"/>
          <w:noProof/>
          <w:sz w:val="24"/>
          <w:szCs w:val="24"/>
        </w:rPr>
        <w:t>[30]</w:t>
      </w:r>
      <w:r w:rsidR="00773F5A">
        <w:rPr>
          <w:rFonts w:asciiTheme="minorHAnsi" w:hAnsiTheme="minorHAnsi"/>
          <w:sz w:val="24"/>
          <w:szCs w:val="24"/>
        </w:rPr>
        <w:fldChar w:fldCharType="end"/>
      </w:r>
      <w:r w:rsidR="0032337E">
        <w:rPr>
          <w:rFonts w:asciiTheme="minorHAnsi" w:hAnsiTheme="minorHAnsi"/>
          <w:sz w:val="24"/>
          <w:szCs w:val="24"/>
        </w:rPr>
        <w:t xml:space="preserve">, but due to the </w:t>
      </w:r>
      <w:r w:rsidR="003634FD">
        <w:rPr>
          <w:rFonts w:asciiTheme="minorHAnsi" w:hAnsiTheme="minorHAnsi"/>
          <w:sz w:val="24"/>
          <w:szCs w:val="24"/>
        </w:rPr>
        <w:t>expense of production of Helium-3</w:t>
      </w:r>
      <w:r w:rsidR="00A73127">
        <w:rPr>
          <w:rFonts w:asciiTheme="minorHAnsi" w:hAnsiTheme="minorHAnsi"/>
          <w:sz w:val="24"/>
          <w:szCs w:val="24"/>
        </w:rPr>
        <w:t xml:space="preserve"> and the volatility of the material, </w:t>
      </w:r>
      <w:r w:rsidR="008A4CF2">
        <w:rPr>
          <w:rFonts w:asciiTheme="minorHAnsi" w:hAnsiTheme="minorHAnsi"/>
          <w:sz w:val="24"/>
          <w:szCs w:val="24"/>
        </w:rPr>
        <w:t xml:space="preserve">there is a trend in the literature to move away from their use and explore </w:t>
      </w:r>
      <w:r w:rsidR="001728B8">
        <w:rPr>
          <w:rFonts w:asciiTheme="minorHAnsi" w:hAnsiTheme="minorHAnsi"/>
          <w:sz w:val="24"/>
          <w:szCs w:val="24"/>
        </w:rPr>
        <w:t xml:space="preserve">other detection media with lower </w:t>
      </w:r>
      <w:r w:rsidR="000A1887">
        <w:rPr>
          <w:rFonts w:asciiTheme="minorHAnsi" w:hAnsiTheme="minorHAnsi"/>
          <w:sz w:val="24"/>
          <w:szCs w:val="24"/>
        </w:rPr>
        <w:t>costs of manufacture</w:t>
      </w:r>
      <w:r w:rsidR="00935EB3">
        <w:rPr>
          <w:rFonts w:asciiTheme="minorHAnsi" w:hAnsiTheme="minorHAnsi"/>
          <w:sz w:val="24"/>
          <w:szCs w:val="24"/>
        </w:rPr>
        <w:t xml:space="preserve"> </w:t>
      </w:r>
      <w:r w:rsidR="00773F5A">
        <w:rPr>
          <w:rFonts w:asciiTheme="minorHAnsi" w:hAnsiTheme="minorHAnsi"/>
          <w:sz w:val="24"/>
          <w:szCs w:val="24"/>
        </w:rPr>
        <w:fldChar w:fldCharType="begin" w:fldLock="1"/>
      </w:r>
      <w:r w:rsidR="000B0F18">
        <w:rPr>
          <w:rFonts w:asciiTheme="minorHAnsi" w:hAnsiTheme="minorHAnsi"/>
          <w:sz w:val="24"/>
          <w:szCs w:val="24"/>
        </w:rPr>
        <w:instrText>ADDIN CSL_CITATION {"citationItems":[{"id":"ITEM-1","itemData":{"DOI":"10.1140/epjp/i2014-14236-6","ISSN":"12341983","abstract":"Helium-3 has such unique physical and nuclear properties that to a physicist it seems appalling the isotope was once indiscriminately released to the atmosphere as a waste gas. Not gravitationally bound to our planet, a He-3 atom is effectively lost to the human race once released. Consequently, when a confluence of independent factors in national security and research in the last decade created a “custody battle” over this scarce isotope, an intense search for substitutes and alternative technologies ensued for various applications. This Focus Point of EPJ Plus is dedicated to neutron detector alternatives.","author":[{"dropping-particle":"","family":"Hurd","given":"Alan J.","non-dropping-particle":"","parse-names":false,"suffix":""},{"dropping-particle":"","family":"Kouzes","given":"Richard T.","non-dropping-particle":"","parse-names":false,"suffix":""}],"container-title":"Journal of Applied Genetics","id":"ITEM-1","issue":"10","issued":{"date-parts":[["2014","10","31"]]},"publisher":"Springer Verlag","title":"Why new neutron detector materials must replace helium-3","type":"article-journal","volume":"129"},"uris":["http://www.mendeley.com/documents/?uuid=15db14dc-61aa-3d39-89f5-f7c00e371cfc"]}],"mendeley":{"formattedCitation":"[31]","plainTextFormattedCitation":"[31]","previouslyFormattedCitation":"[31]"},"properties":{"noteIndex":0},"schema":"https://github.com/citation-style-language/schema/raw/master/csl-citation.json"}</w:instrText>
      </w:r>
      <w:r w:rsidR="00773F5A">
        <w:rPr>
          <w:rFonts w:asciiTheme="minorHAnsi" w:hAnsiTheme="minorHAnsi"/>
          <w:sz w:val="24"/>
          <w:szCs w:val="24"/>
        </w:rPr>
        <w:fldChar w:fldCharType="separate"/>
      </w:r>
      <w:r w:rsidR="007D1AB4" w:rsidRPr="007D1AB4">
        <w:rPr>
          <w:rFonts w:asciiTheme="minorHAnsi" w:hAnsiTheme="minorHAnsi"/>
          <w:noProof/>
          <w:sz w:val="24"/>
          <w:szCs w:val="24"/>
        </w:rPr>
        <w:t>[31]</w:t>
      </w:r>
      <w:r w:rsidR="00773F5A">
        <w:rPr>
          <w:rFonts w:asciiTheme="minorHAnsi" w:hAnsiTheme="minorHAnsi"/>
          <w:sz w:val="24"/>
          <w:szCs w:val="24"/>
        </w:rPr>
        <w:fldChar w:fldCharType="end"/>
      </w:r>
      <w:r w:rsidR="000A1887">
        <w:rPr>
          <w:rFonts w:asciiTheme="minorHAnsi" w:hAnsiTheme="minorHAnsi"/>
          <w:sz w:val="24"/>
          <w:szCs w:val="24"/>
        </w:rPr>
        <w:t>.</w:t>
      </w:r>
    </w:p>
    <w:p w14:paraId="1081E273" w14:textId="0D873C50" w:rsidR="00F37CA9" w:rsidRDefault="00F37CA9"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 xml:space="preserve">The application of fast neutron detection to spot </w:t>
      </w:r>
      <w:r w:rsidR="00A1201B">
        <w:rPr>
          <w:rFonts w:asciiTheme="minorHAnsi" w:hAnsiTheme="minorHAnsi"/>
          <w:sz w:val="24"/>
          <w:szCs w:val="24"/>
        </w:rPr>
        <w:t>baseline</w:t>
      </w:r>
      <w:r>
        <w:rPr>
          <w:rFonts w:asciiTheme="minorHAnsi" w:hAnsiTheme="minorHAnsi"/>
          <w:sz w:val="24"/>
          <w:szCs w:val="24"/>
        </w:rPr>
        <w:t xml:space="preserve"> levels of contamination within soil is a novel one, and could help forge an entirely new toolkit to be used by decommissioning organisations to highlight areas of higher-than-background radioactivity</w:t>
      </w:r>
      <w:r w:rsidR="005C20D0">
        <w:rPr>
          <w:rFonts w:asciiTheme="minorHAnsi" w:hAnsiTheme="minorHAnsi"/>
          <w:sz w:val="24"/>
          <w:szCs w:val="24"/>
        </w:rPr>
        <w:t xml:space="preserve"> of neutron-emitting isotopes such as </w:t>
      </w:r>
      <w:r w:rsidR="005C20D0">
        <w:rPr>
          <w:rFonts w:asciiTheme="minorHAnsi" w:hAnsiTheme="minorHAnsi"/>
          <w:sz w:val="24"/>
          <w:szCs w:val="24"/>
          <w:vertAlign w:val="superscript"/>
        </w:rPr>
        <w:t>240</w:t>
      </w:r>
      <w:r w:rsidR="005C20D0">
        <w:rPr>
          <w:rFonts w:asciiTheme="minorHAnsi" w:hAnsiTheme="minorHAnsi"/>
          <w:sz w:val="24"/>
          <w:szCs w:val="24"/>
        </w:rPr>
        <w:t>Pu</w:t>
      </w:r>
      <w:r>
        <w:rPr>
          <w:rFonts w:asciiTheme="minorHAnsi" w:hAnsiTheme="minorHAnsi"/>
          <w:sz w:val="24"/>
          <w:szCs w:val="24"/>
        </w:rPr>
        <w:t>.</w:t>
      </w:r>
      <w:r w:rsidR="00307AE9">
        <w:rPr>
          <w:rFonts w:asciiTheme="minorHAnsi" w:hAnsiTheme="minorHAnsi"/>
          <w:sz w:val="24"/>
          <w:szCs w:val="24"/>
        </w:rPr>
        <w:t xml:space="preserve"> </w:t>
      </w:r>
      <w:r>
        <w:rPr>
          <w:rFonts w:asciiTheme="minorHAnsi" w:hAnsiTheme="minorHAnsi"/>
          <w:sz w:val="24"/>
          <w:szCs w:val="24"/>
        </w:rPr>
        <w:t xml:space="preserve">The development of such a neutron </w:t>
      </w:r>
      <w:r w:rsidR="005C20D0">
        <w:rPr>
          <w:rFonts w:asciiTheme="minorHAnsi" w:hAnsiTheme="minorHAnsi"/>
          <w:sz w:val="24"/>
          <w:szCs w:val="24"/>
        </w:rPr>
        <w:t>assay</w:t>
      </w:r>
      <w:r>
        <w:rPr>
          <w:rFonts w:asciiTheme="minorHAnsi" w:hAnsiTheme="minorHAnsi"/>
          <w:sz w:val="24"/>
          <w:szCs w:val="24"/>
        </w:rPr>
        <w:t xml:space="preserve"> is described in this study</w:t>
      </w:r>
      <w:r w:rsidR="00A1201B">
        <w:rPr>
          <w:rFonts w:asciiTheme="minorHAnsi" w:hAnsiTheme="minorHAnsi"/>
          <w:sz w:val="24"/>
          <w:szCs w:val="24"/>
        </w:rPr>
        <w:t>.</w:t>
      </w:r>
      <w:r>
        <w:rPr>
          <w:rFonts w:asciiTheme="minorHAnsi" w:hAnsiTheme="minorHAnsi"/>
          <w:sz w:val="24"/>
          <w:szCs w:val="24"/>
        </w:rPr>
        <w:t xml:space="preserve"> </w:t>
      </w:r>
      <w:r w:rsidR="00A1201B">
        <w:rPr>
          <w:rFonts w:asciiTheme="minorHAnsi" w:hAnsiTheme="minorHAnsi"/>
          <w:sz w:val="24"/>
          <w:szCs w:val="24"/>
        </w:rPr>
        <w:t xml:space="preserve">The study </w:t>
      </w:r>
      <w:r>
        <w:rPr>
          <w:rFonts w:asciiTheme="minorHAnsi" w:hAnsiTheme="minorHAnsi"/>
          <w:sz w:val="24"/>
          <w:szCs w:val="24"/>
        </w:rPr>
        <w:t>progress</w:t>
      </w:r>
      <w:r w:rsidR="00A1201B">
        <w:rPr>
          <w:rFonts w:asciiTheme="minorHAnsi" w:hAnsiTheme="minorHAnsi"/>
          <w:sz w:val="24"/>
          <w:szCs w:val="24"/>
        </w:rPr>
        <w:t xml:space="preserve">es </w:t>
      </w:r>
      <w:r>
        <w:rPr>
          <w:rFonts w:asciiTheme="minorHAnsi" w:hAnsiTheme="minorHAnsi"/>
          <w:sz w:val="24"/>
          <w:szCs w:val="24"/>
        </w:rPr>
        <w:t xml:space="preserve">from single detector experiments to a 16-detector array </w:t>
      </w:r>
      <w:r w:rsidR="005C20D0">
        <w:rPr>
          <w:rFonts w:asciiTheme="minorHAnsi" w:hAnsiTheme="minorHAnsi"/>
          <w:sz w:val="24"/>
          <w:szCs w:val="24"/>
        </w:rPr>
        <w:t xml:space="preserve">tested </w:t>
      </w:r>
      <w:r>
        <w:rPr>
          <w:rFonts w:asciiTheme="minorHAnsi" w:hAnsiTheme="minorHAnsi"/>
          <w:sz w:val="24"/>
          <w:szCs w:val="24"/>
        </w:rPr>
        <w:t xml:space="preserve">with varied masses of soil samples which were characterized by </w:t>
      </w:r>
      <w:r>
        <w:rPr>
          <w:rFonts w:asciiTheme="minorHAnsi" w:hAnsiTheme="minorHAnsi"/>
          <w:sz w:val="24"/>
          <w:szCs w:val="24"/>
        </w:rPr>
        <w:lastRenderedPageBreak/>
        <w:t>gamma-ray spectrometry at CCFE using their high-efficiency, high resolution Broad Energy Germanium detector, and the Tandy Accelerator Mass Spectrometer system at the Centre of Ion Beam Physics, ETH Zurich.</w:t>
      </w:r>
    </w:p>
    <w:p w14:paraId="61D914CA" w14:textId="6B87E90E" w:rsidR="00F37CA9" w:rsidRDefault="00F37CA9" w:rsidP="00F37CA9">
      <w:pPr>
        <w:tabs>
          <w:tab w:val="left" w:pos="3075"/>
        </w:tabs>
        <w:spacing w:line="480" w:lineRule="auto"/>
        <w:ind w:firstLine="567"/>
        <w:rPr>
          <w:sz w:val="24"/>
        </w:rPr>
      </w:pPr>
      <w:r>
        <w:rPr>
          <w:sz w:val="24"/>
        </w:rPr>
        <w:t xml:space="preserve">Neutron detection itself is not novel. It is commonly presented in modern research </w:t>
      </w:r>
      <w:r w:rsidR="005C20D0">
        <w:rPr>
          <w:sz w:val="24"/>
        </w:rPr>
        <w:t>for</w:t>
      </w:r>
      <w:r>
        <w:rPr>
          <w:sz w:val="24"/>
        </w:rPr>
        <w:t xml:space="preserve"> multiplicity</w:t>
      </w:r>
      <w:r w:rsidR="005C20D0">
        <w:rPr>
          <w:sz w:val="24"/>
        </w:rPr>
        <w:t xml:space="preserve"> assay</w:t>
      </w:r>
      <w:r>
        <w:rPr>
          <w:sz w:val="24"/>
        </w:rPr>
        <w:t xml:space="preserve">, typically using a californium-252 point-source </w:t>
      </w:r>
      <w:r w:rsidR="002778B0">
        <w:rPr>
          <w:sz w:val="24"/>
        </w:rPr>
        <w:fldChar w:fldCharType="begin" w:fldLock="1"/>
      </w:r>
      <w:r w:rsidR="000B0F18">
        <w:rPr>
          <w:sz w:val="24"/>
        </w:rPr>
        <w:instrText>ADDIN CSL_CITATION {"citationItems":[{"id":"ITEM-1","itemData":{"abstract":"The radioisotope 252 Cf is routinely encapsulated into compact, portable, intense neutron sources with a 2.6-yr half-life. A source the size of a person's little ®nger can emit up to 10 11 neutrons s À1. Californium-252 is used commercially as a reliable, cost-e</w:instrText>
      </w:r>
      <w:r w:rsidR="000B0F18">
        <w:rPr>
          <w:rFonts w:ascii="Calibri" w:hAnsi="Calibri" w:cs="Calibri"/>
          <w:sz w:val="24"/>
        </w:rPr>
        <w:instrText></w:instrText>
      </w:r>
      <w:r w:rsidR="000B0F18">
        <w:rPr>
          <w:sz w:val="24"/>
        </w:rPr>
        <w:instrText>ective neutron source for prompt gamma neutron activation analysis (PGNAA) of coal, cement and minerals, as well as for detection and identi</w:instrText>
      </w:r>
      <w:r w:rsidR="000B0F18">
        <w:rPr>
          <w:rFonts w:ascii="Calibri" w:hAnsi="Calibri" w:cs="Calibri"/>
          <w:sz w:val="24"/>
        </w:rPr>
        <w:instrText>®</w:instrText>
      </w:r>
      <w:r w:rsidR="000B0F18">
        <w:rPr>
          <w:sz w:val="24"/>
        </w:rPr>
        <w:instrText>cation of explosives, land mines and unexploded military ordnance. Other uses are neutron radiography, nuclear waste assays, reactor start-up sources, calibration standards and cancer therapy. The inherent safety of source encapsulations is demonstrated by 30 yr of experience and by US Bureau of Mines tests of source survivability during explosions. The production and distribution center for the US Department of Energy (DOE) Californium Program is the Radiochemical Engineering Development Center (REDC) at Oak Ridge National Laboratory (ORNL). DOE sells 252 Cf to commercial reencapsulators domestically and internationally. Sealed 252 Cf sources are also available for loan to agencies and subcontractors of the US government and to universities for educational, research and medical applications. The REDC has established the Californium User Facility (CUF) for Neutron Science to make its large inventory of 252 Cf sources available to researchers for irradiations inside uncontaminated hot cells. Experiments at the CUF include a land mine detection system, neutron damage testing of solid-state detectors, irradiation of human cancer cells for boron neutron capture therapy experiments and irradiation of rice to induce genetic mutations. 7","author":[{"dropping-particle":"","family":"Martin","given":"R C","non-dropping-particle":"","parse-names":false,"suffix":""},{"dropping-particle":"","family":"Knauer","given":"J B","non-dropping-particle":"","parse-names":false,"suffix":""},{"dropping-particle":"","family":"Balo","given":"P A","non-dropping-particle":"","parse-names":false,"suffix":""}],"id":"ITEM-1","issued":{"date-parts":[["2000"]]},"title":"Production, distribution and applications of californium-252 neutron sources","type":"report"},"uris":["http://www.mendeley.com/documents/?uuid=df34b7dd-9f39-3e4b-8a39-7b3be214a3b6"]}],"mendeley":{"formattedCitation":"[32]","plainTextFormattedCitation":"[32]","previouslyFormattedCitation":"[32]"},"properties":{"noteIndex":0},"schema":"https://github.com/citation-style-language/schema/raw/master/csl-citation.json"}</w:instrText>
      </w:r>
      <w:r w:rsidR="002778B0">
        <w:rPr>
          <w:sz w:val="24"/>
        </w:rPr>
        <w:fldChar w:fldCharType="separate"/>
      </w:r>
      <w:r w:rsidR="007D1AB4" w:rsidRPr="007D1AB4">
        <w:rPr>
          <w:noProof/>
          <w:sz w:val="24"/>
        </w:rPr>
        <w:t>[32]</w:t>
      </w:r>
      <w:r w:rsidR="002778B0">
        <w:rPr>
          <w:sz w:val="24"/>
        </w:rPr>
        <w:fldChar w:fldCharType="end"/>
      </w:r>
      <w:r w:rsidRPr="009E5BA9">
        <w:rPr>
          <w:sz w:val="24"/>
        </w:rPr>
        <w:t>, as well as other high emission sources</w:t>
      </w:r>
      <w:r w:rsidR="002778B0">
        <w:rPr>
          <w:sz w:val="24"/>
        </w:rPr>
        <w:t xml:space="preserve"> </w:t>
      </w:r>
      <w:r w:rsidR="002778B0">
        <w:rPr>
          <w:sz w:val="24"/>
        </w:rPr>
        <w:fldChar w:fldCharType="begin" w:fldLock="1"/>
      </w:r>
      <w:r w:rsidR="000B0F18">
        <w:rPr>
          <w:sz w:val="24"/>
        </w:rPr>
        <w:instrText>ADDIN CSL_CITATION {"citationItems":[{"id":"ITEM-1","itemData":{"author":[{"dropping-particle":"","family":"Holden","given":"NE","non-dropping-particle":"","parse-names":false,"suffix":""},{"dropping-particle":"","family":"Zucker","given":"MS","non-dropping-particle":"","parse-names":false,"suffix":""}],"id":"ITEM-1","issued":{"date-parts":[["1984"]]},"title":"A reevaluation of the average prompt neutron emission multiplicity (nubar) values from fission of uranium and transuranium nuclides","type":"article"},"uris":["http://www.mendeley.com/documents/?uuid=b6e76c77-c410-4819-b2d1-db5c42faef58"]}],"mendeley":{"formattedCitation":"[33]","plainTextFormattedCitation":"[33]","previouslyFormattedCitation":"[33]"},"properties":{"noteIndex":0},"schema":"https://github.com/citation-style-language/schema/raw/master/csl-citation.json"}</w:instrText>
      </w:r>
      <w:r w:rsidR="002778B0">
        <w:rPr>
          <w:sz w:val="24"/>
        </w:rPr>
        <w:fldChar w:fldCharType="separate"/>
      </w:r>
      <w:r w:rsidR="007D1AB4" w:rsidRPr="007D1AB4">
        <w:rPr>
          <w:noProof/>
          <w:sz w:val="24"/>
        </w:rPr>
        <w:t>[33]</w:t>
      </w:r>
      <w:r w:rsidR="002778B0">
        <w:rPr>
          <w:sz w:val="24"/>
        </w:rPr>
        <w:fldChar w:fldCharType="end"/>
      </w:r>
      <w:r w:rsidRPr="009E5BA9">
        <w:rPr>
          <w:sz w:val="24"/>
        </w:rPr>
        <w:t>, for safeguard</w:t>
      </w:r>
      <w:r w:rsidR="005C20D0">
        <w:rPr>
          <w:sz w:val="24"/>
        </w:rPr>
        <w:t>s</w:t>
      </w:r>
      <w:r w:rsidRPr="009E5BA9">
        <w:rPr>
          <w:sz w:val="24"/>
        </w:rPr>
        <w:t xml:space="preserve"> </w:t>
      </w:r>
      <w:r>
        <w:rPr>
          <w:sz w:val="24"/>
        </w:rPr>
        <w:t xml:space="preserve">applications </w:t>
      </w:r>
      <w:r w:rsidR="005C20D0">
        <w:rPr>
          <w:sz w:val="24"/>
        </w:rPr>
        <w:t>exploiting</w:t>
      </w:r>
      <w:r>
        <w:rPr>
          <w:sz w:val="24"/>
        </w:rPr>
        <w:t xml:space="preserve"> the penetration of neutrons </w:t>
      </w:r>
      <w:r w:rsidR="002778B0">
        <w:rPr>
          <w:sz w:val="24"/>
        </w:rPr>
        <w:fldChar w:fldCharType="begin" w:fldLock="1"/>
      </w:r>
      <w:r w:rsidR="000B0F18">
        <w:rPr>
          <w:sz w:val="24"/>
        </w:rPr>
        <w:instrText>ADDIN CSL_CITATION {"citationItems":[{"id":"ITEM-1","itemData":{"DOI":"10.1109/TNS.2014.2313574","ISBN":"0018-9499 VO  - 61","ISSN":"00189499","abstract":"The design, principle of operation and the results of measurements made with a four-channel organic scintillator system are described. The system comprises four detectors and a multiplexed analyzer for the real-time parallel processing of fast neutron events. The function of the real-time, digital mul- tiple-channel pulse-shape discrimination analyzer is described together with the results of laboratory-based measurements with Cf, Am–Li and plutonium. The analyzer is based on a single-board solution with integrated high-voltage supplies and graphical user interface. It has been developed to meet the re- quirements of nuclear materials assay of relevance to safeguards and security. Data are presented for the real-time coincidence assay of plutonium in terms of doubles count rate versus mass. This includes an assessment of the limiting mass uncertainty for coincidence assay based on a 100 s measurement period and samples in the range 0–50 g. Measurements of count rate versus Cf and Am–Li and combinations order of multiplicity for of both are also presented.","author":[{"dropping-particle":"","family":"Joyce","given":"Malcolm J.","non-dropping-particle":"","parse-names":false,"suffix":""},{"dropping-particle":"","family":"Gamage","given":"Kelum A A","non-dropping-particle":"","parse-names":false,"suffix":""},{"dropping-particle":"","family":"Aspinall","given":"M. D.","non-dropping-particle":"","parse-names":false,"suffix":""},{"dropping-particle":"","family":"Cave","given":"F. D.","non-dropping-particle":"","parse-names":false,"suffix":""},{"dropping-particle":"","family":"Lavietes","given":"A.","non-dropping-particle":"","parse-names":false,"suffix":""}],"container-title":"IEEE Transactions on Nuclear Science","id":"ITEM-1","issue":"3","issued":{"date-parts":[["2014"]]},"page":"1340-1348","title":"Real-time, fast neutron coincidence assay of plutonium with a 4-channel multiplexed analyzer and organic scintillators","type":"article-journal","volume":"61"},"uris":["http://www.mendeley.com/documents/?uuid=13121c7b-e5b2-4535-84b0-ecf2ea96bf14"]}],"mendeley":{"formattedCitation":"[34]","plainTextFormattedCitation":"[34]","previouslyFormattedCitation":"[34]"},"properties":{"noteIndex":0},"schema":"https://github.com/citation-style-language/schema/raw/master/csl-citation.json"}</w:instrText>
      </w:r>
      <w:r w:rsidR="002778B0">
        <w:rPr>
          <w:sz w:val="24"/>
        </w:rPr>
        <w:fldChar w:fldCharType="separate"/>
      </w:r>
      <w:r w:rsidR="007D1AB4" w:rsidRPr="007D1AB4">
        <w:rPr>
          <w:noProof/>
          <w:sz w:val="24"/>
        </w:rPr>
        <w:t>[34]</w:t>
      </w:r>
      <w:r w:rsidR="002778B0">
        <w:rPr>
          <w:sz w:val="24"/>
        </w:rPr>
        <w:fldChar w:fldCharType="end"/>
      </w:r>
      <w:r w:rsidR="00166730">
        <w:rPr>
          <w:sz w:val="24"/>
        </w:rPr>
        <w:t xml:space="preserve"> </w:t>
      </w:r>
      <w:r w:rsidR="00166730">
        <w:rPr>
          <w:sz w:val="24"/>
        </w:rPr>
        <w:fldChar w:fldCharType="begin" w:fldLock="1"/>
      </w:r>
      <w:r w:rsidR="000B0F18">
        <w:rPr>
          <w:sz w:val="24"/>
        </w:rPr>
        <w:instrText>ADDIN CSL_CITATION {"citationItems":[{"id":"ITEM-1","itemData":{"DOI":"10.1016/j.nima.2013.11.052","abstract":"A detection system was designed with MCNPX-PoliMi to measure induced-fission neutrons from U-235 and U-238 using active interrogation. Measurements were then performed with this system at the Joint Research Centre in Ispra, Italy on low-enriched uranium samples. Liquid scintillators measured induced fission neutrons to characterize the samples in terms of their uranium mass and enrichment. Results are presented to investigate and support the use of organic liquid scintillators with active interrogation techniques to characterize uranium containing materials.","author":[{"dropping-particle":"","family":"Dolan","given":"J L","non-dropping-particle":"","parse-names":false,"suffix":""},{"dropping-particle":"","family":"Marcath","given":"M J","non-dropping-particle":"","parse-names":false,"suffix":""},{"dropping-particle":"","family":"Flaska","given":"M","non-dropping-particle":"","parse-names":false,"suffix":""},{"dropping-particle":"","family":"Pozzi","given":"S A","non-dropping-particle":"","parse-names":false,"suffix":""},{"dropping-particle":"","family":"Chichester","given":"D L","non-dropping-particle":"","parse-names":false,"suffix":""},{"dropping-particle":"","family":"Tomanin","given":"A","non-dropping-particle":"","parse-names":false,"suffix":""},{"dropping-particle":"","family":"Peerani","given":"P","non-dropping-particle":"","parse-names":false,"suffix":""}],"id":"ITEM-1","issued":{"date-parts":[["2014"]]},"title":"Active-interrogation measurements of fast neutrons from induced fission in low-enriched uranium","type":"article-journal"},"uris":["http://www.mendeley.com/documents/?uuid=16d74a34-6a84-3071-a54d-f86e3f5854e9"]}],"mendeley":{"formattedCitation":"[35]","plainTextFormattedCitation":"[35]","previouslyFormattedCitation":"[35]"},"properties":{"noteIndex":0},"schema":"https://github.com/citation-style-language/schema/raw/master/csl-citation.json"}</w:instrText>
      </w:r>
      <w:r w:rsidR="00166730">
        <w:rPr>
          <w:sz w:val="24"/>
        </w:rPr>
        <w:fldChar w:fldCharType="separate"/>
      </w:r>
      <w:r w:rsidR="007D1AB4" w:rsidRPr="007D1AB4">
        <w:rPr>
          <w:noProof/>
          <w:sz w:val="24"/>
        </w:rPr>
        <w:t>[35]</w:t>
      </w:r>
      <w:r w:rsidR="00166730">
        <w:rPr>
          <w:sz w:val="24"/>
        </w:rPr>
        <w:fldChar w:fldCharType="end"/>
      </w:r>
      <w:r w:rsidR="00166730">
        <w:rPr>
          <w:sz w:val="24"/>
        </w:rPr>
        <w:t xml:space="preserve"> </w:t>
      </w:r>
      <w:r w:rsidR="00166730">
        <w:rPr>
          <w:sz w:val="24"/>
        </w:rPr>
        <w:fldChar w:fldCharType="begin" w:fldLock="1"/>
      </w:r>
      <w:r w:rsidR="000B0F18">
        <w:rPr>
          <w:sz w:val="24"/>
        </w:rPr>
        <w:instrText>ADDIN CSL_CITATION {"citationItems":[{"id":"ITEM-1","itemData":{"DOI":"10.1109/NSSMIC.2010.5873813","ISBN":"978-1-4244-9106-3","author":[{"dropping-particle":"","family":"Chandra","given":"R","non-dropping-particle":"","parse-names":false,"suffix":""},{"dropping-particle":"","family":"Davatz","given":"G","non-dropping-particle":"","parse-names":false,"suffix":""},{"dropping-particle":"","family":"Gendotti","given":"U","non-dropping-particle":"","parse-names":false,"suffix":""},{"dropping-particle":"","family":"Howard","given":"A","non-dropping-particle":"","parse-names":false,"suffix":""}],"container-title":"IEEE Nuclear Science Symposuim &amp; Medical Imaging Conference","id":"ITEM-1","issued":{"date-parts":[["2010","10"]]},"page":"508-511","publisher":"IEEE","title":"Fast neutron detection in homeland security applications","type":"paper-conference"},"uris":["http://www.mendeley.com/documents/?uuid=ed1350a6-b8f6-3123-812a-c188e9d937ea"]}],"mendeley":{"formattedCitation":"[36]","plainTextFormattedCitation":"[36]","previouslyFormattedCitation":"[36]"},"properties":{"noteIndex":0},"schema":"https://github.com/citation-style-language/schema/raw/master/csl-citation.json"}</w:instrText>
      </w:r>
      <w:r w:rsidR="00166730">
        <w:rPr>
          <w:sz w:val="24"/>
        </w:rPr>
        <w:fldChar w:fldCharType="separate"/>
      </w:r>
      <w:r w:rsidR="007D1AB4" w:rsidRPr="007D1AB4">
        <w:rPr>
          <w:noProof/>
          <w:sz w:val="24"/>
        </w:rPr>
        <w:t>[36]</w:t>
      </w:r>
      <w:r w:rsidR="00166730">
        <w:rPr>
          <w:sz w:val="24"/>
        </w:rPr>
        <w:fldChar w:fldCharType="end"/>
      </w:r>
      <w:r w:rsidR="00166730">
        <w:rPr>
          <w:sz w:val="24"/>
        </w:rPr>
        <w:t>.</w:t>
      </w:r>
      <w:r>
        <w:rPr>
          <w:sz w:val="24"/>
        </w:rPr>
        <w:t xml:space="preserve"> The measurement of neutrons released from low concentrations of plutonium contamination has </w:t>
      </w:r>
      <w:r w:rsidR="005C20D0">
        <w:rPr>
          <w:sz w:val="24"/>
        </w:rPr>
        <w:t>often</w:t>
      </w:r>
      <w:r>
        <w:rPr>
          <w:sz w:val="24"/>
        </w:rPr>
        <w:t xml:space="preserve"> been considered too difficult due to the</w:t>
      </w:r>
      <w:r w:rsidR="005C20D0">
        <w:rPr>
          <w:sz w:val="24"/>
        </w:rPr>
        <w:t xml:space="preserve"> relative</w:t>
      </w:r>
      <w:r>
        <w:rPr>
          <w:sz w:val="24"/>
        </w:rPr>
        <w:t xml:space="preserve"> weakness of the </w:t>
      </w:r>
      <w:r w:rsidRPr="009E5BA9">
        <w:rPr>
          <w:sz w:val="24"/>
        </w:rPr>
        <w:t xml:space="preserve">source </w:t>
      </w:r>
      <w:r w:rsidR="00166730">
        <w:rPr>
          <w:sz w:val="24"/>
        </w:rPr>
        <w:fldChar w:fldCharType="begin" w:fldLock="1"/>
      </w:r>
      <w:r w:rsidR="000B0F18">
        <w:rPr>
          <w:sz w:val="24"/>
        </w:rPr>
        <w:instrText>ADDIN CSL_CITATION {"citationItems":[{"id":"ITEM-1","itemData":{"DOI":"10.1063/1.4818078","ISBN":"9780735411746","abstract":"We report on measuring techniques for neutrons that have been developed at the Physikalisch-Technische Bundesanstalt (PTB), the German National Metrology Institute. PTB has characterized radioactive sources used in the BOREXINO and XENON100 experiments. For the BOREXINO experiment, a 228 Th gamma radiation source was required which would not emit more than 10 neutrons per second. The determination of the neutron emission rate of this specially designed 228 Th source was challenging due to the low neutron emission rate and because the ratio of neutron to gamma radiation was expected to be extremely low, of the order of 10 −6. For the XENON100 detector, PTB carried out a high accuracy measurement of the neutron emission rate of an AmBe source. PTB has also done measurements in underground laboratories. A two month measurement campaign with a set of 3 He-filled proportional counters was carried out in PTB's former UDO underground laboratory at the Asse salt mine. The aim of the campaign was to determine the intrinsic background of detectors, which is needed for the analysis of data taken in low-intensity neutron fields. At a later time, PTB did a preliminary measurement of the neutron fluence rate at the underground laboratory Felsenkeller operated by VKTA. By taking into account data from UDO, Felsenkeller, and detector calibrations made at the PTB facility, it was possible to estimate the neutron fluence rate at the Felsenkeller underground laboratory.","author":[{"dropping-particle":"","family":"Zimbal","given":"Andreas","non-dropping-particle":"","parse-names":false,"suffix":""},{"dropping-particle":"","family":"Degering","given":"Detlev","non-dropping-particle":"","parse-names":false,"suffix":""},{"dropping-particle":"","family":"Reginatto","given":"Marcel","non-dropping-particle":"","parse-names":false,"suffix":""},{"dropping-particle":"","family":"Schuhmacher","given":"Helmut","non-dropping-particle":"","parse-names":false,"suffix":""},{"dropping-particle":"","family":"Wiegel","given":"Burkhard","non-dropping-particle":"","parse-names":false,"suffix":""},{"dropping-particle":"","family":"Zuber","given":"Kai","non-dropping-particle":"","parse-names":false,"suffix":""}],"id":"ITEM-1","issued":{"date-parts":[["2013"]]},"page":"77","title":"Low-level measuring techniques for neutrons: High accuracy neutron source strength determination and fluence rate measurement at an underground laboratory","type":"article-journal","volume":"1549"},"uris":["http://www.mendeley.com/documents/?uuid=54835555-f629-3811-b626-b335beaff16b"]}],"mendeley":{"formattedCitation":"[37]","plainTextFormattedCitation":"[37]","previouslyFormattedCitation":"[37]"},"properties":{"noteIndex":0},"schema":"https://github.com/citation-style-language/schema/raw/master/csl-citation.json"}</w:instrText>
      </w:r>
      <w:r w:rsidR="00166730">
        <w:rPr>
          <w:sz w:val="24"/>
        </w:rPr>
        <w:fldChar w:fldCharType="separate"/>
      </w:r>
      <w:r w:rsidR="007D1AB4" w:rsidRPr="007D1AB4">
        <w:rPr>
          <w:noProof/>
          <w:sz w:val="24"/>
        </w:rPr>
        <w:t>[37]</w:t>
      </w:r>
      <w:r w:rsidR="00166730">
        <w:rPr>
          <w:sz w:val="24"/>
        </w:rPr>
        <w:fldChar w:fldCharType="end"/>
      </w:r>
      <w:r w:rsidR="00166730">
        <w:rPr>
          <w:sz w:val="24"/>
        </w:rPr>
        <w:t>.</w:t>
      </w:r>
      <w:r w:rsidRPr="009E5BA9">
        <w:rPr>
          <w:sz w:val="24"/>
        </w:rPr>
        <w:t xml:space="preserve"> Wi</w:t>
      </w:r>
      <w:r>
        <w:rPr>
          <w:sz w:val="24"/>
        </w:rPr>
        <w:t xml:space="preserve">th recent evidence of </w:t>
      </w:r>
      <w:r w:rsidR="00085F02">
        <w:rPr>
          <w:sz w:val="24"/>
        </w:rPr>
        <w:t>passive</w:t>
      </w:r>
      <w:r w:rsidR="005C20D0">
        <w:rPr>
          <w:sz w:val="24"/>
        </w:rPr>
        <w:t>, fast</w:t>
      </w:r>
      <w:r w:rsidR="00085F02">
        <w:rPr>
          <w:sz w:val="24"/>
        </w:rPr>
        <w:t xml:space="preserve"> </w:t>
      </w:r>
      <w:r>
        <w:rPr>
          <w:sz w:val="24"/>
        </w:rPr>
        <w:t>neutron detection of actinides, discovering the limit of detection of plutonium through</w:t>
      </w:r>
      <w:r w:rsidR="005C20D0">
        <w:rPr>
          <w:sz w:val="24"/>
        </w:rPr>
        <w:t xml:space="preserve"> fast</w:t>
      </w:r>
      <w:r>
        <w:rPr>
          <w:sz w:val="24"/>
        </w:rPr>
        <w:t xml:space="preserve"> neutron measurement is an exciting area of study.  A prime example of recently published work in this field is H.M.O Parker et al.’s 2018 study on the “Passive, non-intrusive assay of depleted uranium”</w:t>
      </w:r>
      <w:r w:rsidR="00166730">
        <w:rPr>
          <w:sz w:val="24"/>
        </w:rPr>
        <w:t xml:space="preserve"> </w:t>
      </w:r>
      <w:r w:rsidR="00166730">
        <w:rPr>
          <w:sz w:val="24"/>
        </w:rPr>
        <w:fldChar w:fldCharType="begin" w:fldLock="1"/>
      </w:r>
      <w:r w:rsidR="000B0F18">
        <w:rPr>
          <w:sz w:val="24"/>
        </w:rPr>
        <w:instrText>ADDIN CSL_CITATION {"citationItems":[{"id":"ITEM-1","itemData":{"DOI":"10.1016/j.jhazmat.2018.08.018","ISSN":"03043894","abstract":"The ability to detect neutrons from the spontaneous fission of 238 U in samples of depleted uranium with organic liquid scintillation detectors is presented. In this paper we introduce a small modular organic liquid scintillator detector array that can detect changes in mass of 238 U between 3.69 g and 14.46 g. To do this, 18-h assays of various masses of 0.3% wt. of depleted uranium dioxide were assessed using four EJ-309 detectors, a mixed field analyser operated in pulse gradient analysis mode, and associated counting components. We observe a background corrected fast neutron count sensitivity of (2.0 ± 0.3) × 10 −4 n g −1 s −1 per detector. This research demonstrates a proof of concept for depleted uranium quantity to be assessed passively on a non-intrusive basis via its spontaneous fission decay.","author":[{"dropping-particle":"","family":"Parker","given":"H.M.O.","non-dropping-particle":"","parse-names":false,"suffix":""},{"dropping-particle":"","family":"Beaumont","given":"J.S.","non-dropping-particle":"","parse-names":false,"suffix":""},{"dropping-particle":"","family":"Joyce","given":"M.J.","non-dropping-particle":"","parse-names":false,"suffix":""}],"container-title":"Journal of Hazardous Materials","id":"ITEM-1","issued":{"date-parts":[["2019","2"]]},"page":"293-299","title":"Passive, non-intrusive assay of depleted uranium","type":"article-journal","volume":"364"},"uris":["http://www.mendeley.com/documents/?uuid=94469784-ed8a-389e-aa1d-7e7de6a0a364"]}],"mendeley":{"formattedCitation":"[38]","plainTextFormattedCitation":"[38]","previouslyFormattedCitation":"[38]"},"properties":{"noteIndex":0},"schema":"https://github.com/citation-style-language/schema/raw/master/csl-citation.json"}</w:instrText>
      </w:r>
      <w:r w:rsidR="00166730">
        <w:rPr>
          <w:sz w:val="24"/>
        </w:rPr>
        <w:fldChar w:fldCharType="separate"/>
      </w:r>
      <w:r w:rsidR="007D1AB4" w:rsidRPr="007D1AB4">
        <w:rPr>
          <w:noProof/>
          <w:sz w:val="24"/>
        </w:rPr>
        <w:t>[38]</w:t>
      </w:r>
      <w:r w:rsidR="00166730">
        <w:rPr>
          <w:sz w:val="24"/>
        </w:rPr>
        <w:fldChar w:fldCharType="end"/>
      </w:r>
      <w:r>
        <w:rPr>
          <w:sz w:val="24"/>
        </w:rPr>
        <w:t>.</w:t>
      </w:r>
    </w:p>
    <w:p w14:paraId="5FFF805E" w14:textId="693C2F6D" w:rsidR="00F37CA9" w:rsidRDefault="00F37CA9" w:rsidP="00F37CA9">
      <w:pPr>
        <w:tabs>
          <w:tab w:val="left" w:pos="3075"/>
        </w:tabs>
        <w:spacing w:line="480" w:lineRule="auto"/>
        <w:ind w:firstLine="567"/>
        <w:rPr>
          <w:sz w:val="24"/>
        </w:rPr>
      </w:pPr>
      <w:r>
        <w:rPr>
          <w:sz w:val="24"/>
        </w:rPr>
        <w:t xml:space="preserve">Within the project conditions, it is expected that the majority of neutrons emitted from the samples would be released as a product of either spontaneous fission of plutonium (particularly </w:t>
      </w:r>
      <w:r w:rsidRPr="00085F02">
        <w:rPr>
          <w:sz w:val="24"/>
          <w:vertAlign w:val="superscript"/>
        </w:rPr>
        <w:t>240</w:t>
      </w:r>
      <w:r w:rsidR="00085F02">
        <w:rPr>
          <w:sz w:val="24"/>
        </w:rPr>
        <w:t>Pu</w:t>
      </w:r>
      <w:r>
        <w:rPr>
          <w:sz w:val="24"/>
        </w:rPr>
        <w:t>) and primordial uranium isotopes, or of (</w:t>
      </w:r>
      <w:r>
        <w:rPr>
          <w:rFonts w:cstheme="minorHAnsi"/>
          <w:sz w:val="24"/>
        </w:rPr>
        <w:t>α</w:t>
      </w:r>
      <w:r>
        <w:rPr>
          <w:sz w:val="24"/>
        </w:rPr>
        <w:t>, n)-reactions in the sample media</w:t>
      </w:r>
      <w:r w:rsidR="005C20D0">
        <w:rPr>
          <w:sz w:val="24"/>
        </w:rPr>
        <w:t xml:space="preserve"> derived from some elements</w:t>
      </w:r>
      <w:r>
        <w:rPr>
          <w:sz w:val="24"/>
        </w:rPr>
        <w:t>. Of the two, there is a high likelihood that (</w:t>
      </w:r>
      <w:r>
        <w:rPr>
          <w:rFonts w:cstheme="minorHAnsi"/>
          <w:sz w:val="24"/>
        </w:rPr>
        <w:t>α</w:t>
      </w:r>
      <w:r>
        <w:rPr>
          <w:sz w:val="24"/>
        </w:rPr>
        <w:t>, n)-reactions will cause the greater amount of neutron emission from the sample media</w:t>
      </w:r>
      <w:r w:rsidR="00B24C28">
        <w:rPr>
          <w:sz w:val="24"/>
        </w:rPr>
        <w:t>. This is</w:t>
      </w:r>
      <w:r>
        <w:rPr>
          <w:sz w:val="24"/>
        </w:rPr>
        <w:t xml:space="preserve"> due to the </w:t>
      </w:r>
      <w:r w:rsidR="005C20D0">
        <w:rPr>
          <w:sz w:val="24"/>
        </w:rPr>
        <w:t>long</w:t>
      </w:r>
      <w:r>
        <w:rPr>
          <w:sz w:val="24"/>
        </w:rPr>
        <w:t xml:space="preserve"> spontaneous fission half-lives of ubiquitous radionuclides, the short measurement time-frame</w:t>
      </w:r>
      <w:r w:rsidR="00B24C28">
        <w:rPr>
          <w:sz w:val="24"/>
        </w:rPr>
        <w:t>,</w:t>
      </w:r>
      <w:r>
        <w:rPr>
          <w:sz w:val="24"/>
        </w:rPr>
        <w:t xml:space="preserve"> and the likelihood of extremely low concentrations of anthropogenic radionuclides </w:t>
      </w:r>
      <w:r w:rsidR="00B24C28">
        <w:rPr>
          <w:sz w:val="24"/>
        </w:rPr>
        <w:t xml:space="preserve">- </w:t>
      </w:r>
      <w:r>
        <w:rPr>
          <w:sz w:val="24"/>
        </w:rPr>
        <w:t xml:space="preserve">which would otherwise be high neutron emitters due to their </w:t>
      </w:r>
      <w:r w:rsidR="001E1BE7">
        <w:rPr>
          <w:sz w:val="24"/>
        </w:rPr>
        <w:t>high specific activities</w:t>
      </w:r>
      <w:r>
        <w:rPr>
          <w:sz w:val="24"/>
        </w:rPr>
        <w:t xml:space="preserve"> relative to primordial radionuclides. L’Annunziata (2012) </w:t>
      </w:r>
      <w:r w:rsidR="00085F02">
        <w:rPr>
          <w:sz w:val="24"/>
        </w:rPr>
        <w:t xml:space="preserve">also </w:t>
      </w:r>
      <w:r>
        <w:rPr>
          <w:sz w:val="24"/>
        </w:rPr>
        <w:t>states that alpha particles at energies greater than 4 MeV cause (</w:t>
      </w:r>
      <w:r>
        <w:rPr>
          <w:rFonts w:cstheme="minorHAnsi"/>
          <w:sz w:val="24"/>
        </w:rPr>
        <w:t>α</w:t>
      </w:r>
      <w:r>
        <w:rPr>
          <w:sz w:val="24"/>
        </w:rPr>
        <w:t xml:space="preserve">, n)-reactions when colliding </w:t>
      </w:r>
      <w:r>
        <w:rPr>
          <w:sz w:val="24"/>
        </w:rPr>
        <w:lastRenderedPageBreak/>
        <w:t>with low-</w:t>
      </w:r>
      <w:r w:rsidR="001E1BE7">
        <w:rPr>
          <w:sz w:val="24"/>
        </w:rPr>
        <w:t>Z</w:t>
      </w:r>
      <w:r>
        <w:rPr>
          <w:sz w:val="24"/>
        </w:rPr>
        <w:t xml:space="preserve"> material. Given that soil is made up almost exclusively of low-</w:t>
      </w:r>
      <w:r w:rsidR="001E1BE7">
        <w:rPr>
          <w:sz w:val="24"/>
        </w:rPr>
        <w:t>Z</w:t>
      </w:r>
      <w:r>
        <w:rPr>
          <w:sz w:val="24"/>
        </w:rPr>
        <w:t xml:space="preserve"> material, it is reasonable to assume that </w:t>
      </w:r>
      <w:r w:rsidR="004A707D">
        <w:rPr>
          <w:sz w:val="24"/>
        </w:rPr>
        <w:t xml:space="preserve">the majority of </w:t>
      </w:r>
      <w:r>
        <w:rPr>
          <w:sz w:val="24"/>
        </w:rPr>
        <w:t>alpha emission</w:t>
      </w:r>
      <w:r w:rsidR="004A707D">
        <w:rPr>
          <w:sz w:val="24"/>
        </w:rPr>
        <w:t>s</w:t>
      </w:r>
      <w:r>
        <w:rPr>
          <w:sz w:val="24"/>
        </w:rPr>
        <w:t xml:space="preserve"> </w:t>
      </w:r>
      <w:r w:rsidR="004A707D">
        <w:rPr>
          <w:sz w:val="24"/>
        </w:rPr>
        <w:t xml:space="preserve">from isotopes of interest (Pu, Am, U) </w:t>
      </w:r>
      <w:r>
        <w:rPr>
          <w:sz w:val="24"/>
        </w:rPr>
        <w:t>lead to</w:t>
      </w:r>
      <w:r w:rsidR="004A707D">
        <w:rPr>
          <w:sz w:val="24"/>
        </w:rPr>
        <w:t xml:space="preserve"> an</w:t>
      </w:r>
      <w:r>
        <w:rPr>
          <w:sz w:val="24"/>
        </w:rPr>
        <w:t xml:space="preserve"> (</w:t>
      </w:r>
      <w:r>
        <w:rPr>
          <w:rFonts w:cstheme="minorHAnsi"/>
          <w:sz w:val="24"/>
        </w:rPr>
        <w:t>α</w:t>
      </w:r>
      <w:r>
        <w:rPr>
          <w:sz w:val="24"/>
        </w:rPr>
        <w:t>, n)-reaction</w:t>
      </w:r>
      <w:r w:rsidR="00B24C28">
        <w:rPr>
          <w:sz w:val="24"/>
        </w:rPr>
        <w:t xml:space="preserve"> following collision with a particle</w:t>
      </w:r>
      <w:r>
        <w:rPr>
          <w:sz w:val="24"/>
        </w:rPr>
        <w:t>.</w:t>
      </w:r>
    </w:p>
    <w:p w14:paraId="07CA7972" w14:textId="00332CF1" w:rsidR="002D1CD3" w:rsidRDefault="00AE7E8B" w:rsidP="00F37CA9">
      <w:pPr>
        <w:tabs>
          <w:tab w:val="left" w:pos="3075"/>
        </w:tabs>
        <w:spacing w:line="480" w:lineRule="auto"/>
        <w:ind w:firstLine="567"/>
        <w:rPr>
          <w:sz w:val="24"/>
        </w:rPr>
      </w:pPr>
      <w:r>
        <w:rPr>
          <w:sz w:val="24"/>
        </w:rPr>
        <w:t xml:space="preserve">Thanks to Heathcote’s “Dounreay Site Description – Geology, Hydrology and Hydrogeology” </w:t>
      </w:r>
      <w:r w:rsidR="00166730">
        <w:rPr>
          <w:sz w:val="24"/>
        </w:rPr>
        <w:fldChar w:fldCharType="begin" w:fldLock="1"/>
      </w:r>
      <w:r w:rsidR="007B6045">
        <w:rPr>
          <w:sz w:val="24"/>
        </w:rPr>
        <w:instrText>ADDIN CSL_CITATION {"citationItems":[{"id":"ITEM-1","itemData":{"abstract":"The requirements of a 'geological model' to meet the perceived needs of contaminated land management, new engineering construction, the management of wastes disposed to the ground and baseline environmental statements are described, using information available up to April 2012.","author":[{"dropping-particle":"","family":"Heathcote","given":"J.","non-dropping-particle":"","parse-names":false,"suffix":""}],"id":"ITEM-1","issued":{"date-parts":[["2012"]]},"title":"Dounreay Site Description - Geology, Hydrology and Hydrogeology","type":"report"},"uris":["http://www.mendeley.com/documents/?uuid=10a21b4f-d0af-3bdc-8af0-edf7da34d5ba"]}],"mendeley":{"formattedCitation":"[19]","plainTextFormattedCitation":"[19]","previouslyFormattedCitation":"[19]"},"properties":{"noteIndex":0},"schema":"https://github.com/citation-style-language/schema/raw/master/csl-citation.json"}</w:instrText>
      </w:r>
      <w:r w:rsidR="00166730">
        <w:rPr>
          <w:sz w:val="24"/>
        </w:rPr>
        <w:fldChar w:fldCharType="separate"/>
      </w:r>
      <w:r w:rsidR="00CD23B7" w:rsidRPr="00CD23B7">
        <w:rPr>
          <w:noProof/>
          <w:sz w:val="24"/>
        </w:rPr>
        <w:t>[19]</w:t>
      </w:r>
      <w:r w:rsidR="00166730">
        <w:rPr>
          <w:sz w:val="24"/>
        </w:rPr>
        <w:fldChar w:fldCharType="end"/>
      </w:r>
      <w:r w:rsidR="00166730">
        <w:rPr>
          <w:sz w:val="24"/>
        </w:rPr>
        <w:t>,</w:t>
      </w:r>
      <w:r w:rsidR="00F37CA9">
        <w:rPr>
          <w:sz w:val="24"/>
        </w:rPr>
        <w:t xml:space="preserve"> it is known that the </w:t>
      </w:r>
      <w:r w:rsidR="001E1BE7">
        <w:rPr>
          <w:sz w:val="24"/>
        </w:rPr>
        <w:t xml:space="preserve">DSRL </w:t>
      </w:r>
      <w:r w:rsidR="00F37CA9">
        <w:rPr>
          <w:sz w:val="24"/>
        </w:rPr>
        <w:t>samples originate from areas of relatively high uranium concentration, naturally it is expected that the samples will share this characteristic. The uranium decay chains contain a</w:t>
      </w:r>
      <w:r w:rsidR="001E1BE7">
        <w:rPr>
          <w:sz w:val="24"/>
        </w:rPr>
        <w:t xml:space="preserve"> relatively</w:t>
      </w:r>
      <w:r w:rsidR="00F37CA9">
        <w:rPr>
          <w:sz w:val="24"/>
        </w:rPr>
        <w:t xml:space="preserve"> high proportion of alpha emitters which, following the previous assumption, all would lead to (</w:t>
      </w:r>
      <w:r w:rsidR="00F37CA9">
        <w:rPr>
          <w:rFonts w:cstheme="minorHAnsi"/>
          <w:sz w:val="24"/>
        </w:rPr>
        <w:t>α</w:t>
      </w:r>
      <w:r w:rsidR="00F37CA9">
        <w:rPr>
          <w:sz w:val="24"/>
        </w:rPr>
        <w:t>, n)-reactions within the soil. Spontaneous fission is unlikely to be the cause of much of the samples’ neutron emission if they are of low plutonium concentration. Of the plutonium isotopes likely to be found in the soil</w:t>
      </w:r>
      <w:r w:rsidR="00B24C28">
        <w:rPr>
          <w:sz w:val="24"/>
        </w:rPr>
        <w:t>;</w:t>
      </w:r>
      <w:r w:rsidR="00F37CA9">
        <w:rPr>
          <w:sz w:val="24"/>
        </w:rPr>
        <w:t xml:space="preserve"> </w:t>
      </w:r>
      <w:r w:rsidR="002D1CD3" w:rsidRPr="002D1CD3">
        <w:rPr>
          <w:sz w:val="24"/>
          <w:vertAlign w:val="superscript"/>
        </w:rPr>
        <w:t>240</w:t>
      </w:r>
      <w:r w:rsidR="002D1CD3">
        <w:rPr>
          <w:sz w:val="24"/>
        </w:rPr>
        <w:t xml:space="preserve">Pu </w:t>
      </w:r>
      <w:r w:rsidR="00F37CA9">
        <w:rPr>
          <w:sz w:val="24"/>
        </w:rPr>
        <w:t>is expected to emit the highest numb</w:t>
      </w:r>
      <w:r w:rsidR="00D75ECD">
        <w:rPr>
          <w:sz w:val="24"/>
        </w:rPr>
        <w:t>er of neutrons -</w:t>
      </w:r>
      <w:r w:rsidR="00F37CA9">
        <w:rPr>
          <w:sz w:val="24"/>
        </w:rPr>
        <w:t xml:space="preserve"> with a spontaneous fission yield of </w:t>
      </w:r>
      <w:r w:rsidR="001E1BE7">
        <w:rPr>
          <w:sz w:val="24"/>
        </w:rPr>
        <w:t>1020 neutrons</w:t>
      </w:r>
      <w:r w:rsidR="00F37CA9">
        <w:rPr>
          <w:sz w:val="24"/>
        </w:rPr>
        <w:t xml:space="preserve"> per gram per second based on Ensslin’s “The Origin of Neutron Radiation”</w:t>
      </w:r>
      <w:r w:rsidR="00166730">
        <w:rPr>
          <w:sz w:val="24"/>
        </w:rPr>
        <w:t xml:space="preserve"> </w:t>
      </w:r>
      <w:r w:rsidR="00166730">
        <w:rPr>
          <w:sz w:val="24"/>
        </w:rPr>
        <w:fldChar w:fldCharType="begin" w:fldLock="1"/>
      </w:r>
      <w:r w:rsidR="000B0F18">
        <w:rPr>
          <w:sz w:val="24"/>
        </w:rPr>
        <w:instrText>ADDIN CSL_CITATION {"citationItems":[{"id":"ITEM-1","itemData":{"ISBN":"0160327245","author":[{"dropping-particle":"","family":"Ensslin","given":"N","non-dropping-particle":"","parse-names":false,"suffix":""}],"container-title":"Passive Nondestructive Assay Nuclear Materials (NUREG/CR-5550)","id":"ITEM-1","issued":{"date-parts":[["1991"]]},"page":"337 - 356","title":"The Origin of Neutron Radiation","type":"article-journal"},"uris":["http://www.mendeley.com/documents/?uuid=b7ea6cbd-41be-48df-80dc-7b6b00cc16a2"]}],"mendeley":{"formattedCitation":"[39]","plainTextFormattedCitation":"[39]","previouslyFormattedCitation":"[39]"},"properties":{"noteIndex":0},"schema":"https://github.com/citation-style-language/schema/raw/master/csl-citation.json"}</w:instrText>
      </w:r>
      <w:r w:rsidR="00166730">
        <w:rPr>
          <w:sz w:val="24"/>
        </w:rPr>
        <w:fldChar w:fldCharType="separate"/>
      </w:r>
      <w:r w:rsidR="007D1AB4" w:rsidRPr="007D1AB4">
        <w:rPr>
          <w:noProof/>
          <w:sz w:val="24"/>
        </w:rPr>
        <w:t>[39]</w:t>
      </w:r>
      <w:r w:rsidR="00166730">
        <w:rPr>
          <w:sz w:val="24"/>
        </w:rPr>
        <w:fldChar w:fldCharType="end"/>
      </w:r>
      <w:r w:rsidR="00D75ECD">
        <w:rPr>
          <w:sz w:val="24"/>
        </w:rPr>
        <w:t>.</w:t>
      </w:r>
      <w:r w:rsidR="00F37CA9">
        <w:rPr>
          <w:sz w:val="24"/>
        </w:rPr>
        <w:t xml:space="preserve"> </w:t>
      </w:r>
      <w:r w:rsidR="00D75ECD">
        <w:rPr>
          <w:sz w:val="24"/>
        </w:rPr>
        <w:t>The neutron emission is</w:t>
      </w:r>
      <w:r w:rsidR="00166730">
        <w:rPr>
          <w:sz w:val="24"/>
        </w:rPr>
        <w:t xml:space="preserve"> expected to be</w:t>
      </w:r>
      <w:r w:rsidR="00D75ECD">
        <w:rPr>
          <w:sz w:val="24"/>
        </w:rPr>
        <w:t xml:space="preserve"> </w:t>
      </w:r>
      <w:r w:rsidR="00F37CA9">
        <w:rPr>
          <w:sz w:val="24"/>
        </w:rPr>
        <w:t>even</w:t>
      </w:r>
      <w:r w:rsidR="00166730">
        <w:rPr>
          <w:sz w:val="24"/>
        </w:rPr>
        <w:t xml:space="preserve"> slightly</w:t>
      </w:r>
      <w:r w:rsidR="00F37CA9">
        <w:rPr>
          <w:sz w:val="24"/>
        </w:rPr>
        <w:t xml:space="preserve"> higher when taking into account that the entire emission intensity of </w:t>
      </w:r>
      <w:r w:rsidR="00F37CA9">
        <w:rPr>
          <w:rFonts w:cstheme="minorHAnsi"/>
          <w:sz w:val="24"/>
        </w:rPr>
        <w:t xml:space="preserve">α-particles released by </w:t>
      </w:r>
      <w:r w:rsidR="002D1CD3" w:rsidRPr="002D1CD3">
        <w:rPr>
          <w:sz w:val="24"/>
          <w:vertAlign w:val="superscript"/>
        </w:rPr>
        <w:t>240</w:t>
      </w:r>
      <w:r w:rsidR="002D1CD3">
        <w:rPr>
          <w:sz w:val="24"/>
        </w:rPr>
        <w:t>Pu</w:t>
      </w:r>
      <w:r w:rsidR="002D1CD3">
        <w:rPr>
          <w:rFonts w:cstheme="minorHAnsi"/>
          <w:sz w:val="24"/>
        </w:rPr>
        <w:t xml:space="preserve"> </w:t>
      </w:r>
      <w:r w:rsidR="00F37CA9">
        <w:rPr>
          <w:rFonts w:cstheme="minorHAnsi"/>
          <w:sz w:val="24"/>
        </w:rPr>
        <w:t xml:space="preserve">is always greater than </w:t>
      </w:r>
      <w:r w:rsidR="00F37CA9">
        <w:rPr>
          <w:sz w:val="24"/>
        </w:rPr>
        <w:t>4 MeV</w:t>
      </w:r>
      <w:r w:rsidR="00166730">
        <w:rPr>
          <w:sz w:val="24"/>
        </w:rPr>
        <w:t xml:space="preserve"> </w:t>
      </w:r>
      <w:r w:rsidR="00166730">
        <w:rPr>
          <w:sz w:val="24"/>
        </w:rPr>
        <w:fldChar w:fldCharType="begin" w:fldLock="1"/>
      </w:r>
      <w:r w:rsidR="007B6045">
        <w:rPr>
          <w:sz w:val="24"/>
        </w:rPr>
        <w:instrText>ADDIN CSL_CITATION {"citationItems":[{"id":"ITEM-1","itemData":{"ISBN":"9780123848734","abstract":"3rd ed. V. METHODS OF QUENCH CORRECTION IN LIQUID SCINTILLATION COUNTING. The updated and much expanded Third Edition of the \"Handbook of Radioactivity Analysis\" is an authoritative reference providing the principles, practical techniques, and procedures for the accurate measurement of radioactivity from the very low levels encountered in the environment to higher levels measured in radioisotope research, clinical laboratories, biological sciences, radionuclide standardization, nuclear medicine, nuclear power, fuel cycle facilities and in the implementation of nuclear forensic analysis and nuclear safeguards. The Third Edition contains seven new chapters providing a. Chapter 1 -- Radiation Physics and Radionuclide Decay; I. INTRODUCTION; II. DISCOVERY AND EARLY CHARACTERIZATION OF RADIOACTIVITY; III. BASIC UNITS AND DEFINITIONS; IV. PROPERTIES OF THE NUCLEUS; V. NATURALLY OCCURRING RADIONUCLIDES; VI. ARTIFICIALLY PRODUCED RADIONUCLIDES; VII. NUCLEAR REACTIONS; VIII. PARTICULATE RADIATION; IX. ELECTROMAGNETIC RADIATION -- PHOTONS. X. INTERACTION OF ELECTROMAGNETIC RADIATION WITH MATTERXI. RADIOACTIVE NUCLEAR RECOIL; XII. COSMIC RADIATION; XIII. RADIATION DOSE; XIV. STOPPING POWER AND LINEAR ENERGY TRANSFER; XV. RADIONUCLIDE DECAY, INGROWTH, AND EQUILIBRIUM; XVI. RADIOACTIVITY UNITS AND RADIONUCLIDE MASS; REFERENCES; Chapter 2 -- Radioactivity Counting Statistics; I. INTRODUCTION; II. STATISTICAL DISTRIBUTIONS; III. ANALYSIS OF A SAMPLE OF RESULTS; IV. STATISTICAL INFERENCE; V. REGRESSION; VI. DETECTION LIMITS; VII. METROLOGY APPLICATIONS; REFERENCES; RELEVANT STATISTICAL REFERENCES TABLES. Chapter 3 -- Gas Ionization DetectorsI. INTRODUCTION: PRINCIPLES OF RADIATION DETECTION BY GAS IONIZATION; II. CHARACTERIZATION OF GAS IONIZATION DETECTORS; III. DEFINITION OF OPERATING CHARACTERISTICS OF GAS IONIZATION DETECTORS; IV. ION CHAMBERS; V. PROPORTIONAL GAS IONIZATION DETECTORS; VI. GEIGER-MÜLLER COUNTERS; VII. SPECIAL TYPES OF IONIZATION DETECTORS; REFERENCES; Chapter 4 -- Solid-State Nuclear Track Detectors; PART 1 ELEMENTS; I. INTRODUCTION; II. DETECTOR MATERIALS AND CLASSIFICATION OF SOLID-STATE NUCLEAR TRACK DETECTORS. III. RECORDABLE PARTICLES WITH SOLID-STATE NUCLEAR TRACK DETECTORSIV. TRACK FORMATION MECHANISMS AND CRITERIA; V. TRACK REVELATION; VI. PARTICLE IDENTIFICATION; VII. TRACK FADING AND ANNEALING; VIII. INSTRUMENTATION; PART 2 APPLICATIONS; I. INTRODUCTION; II. PHYSICAL SCIENCES AND NUCLEAR TECHNOLOGY; III. EARTH AND PLANETARY SCIENCES; IV.…","author":[{"dropping-particle":"","family":"L'Annunziata","given":"Michael F.","non-dropping-particle":"","parse-names":false,"suffix":""}],"id":"ITEM-1","issued":{"date-parts":[["2012"]]},"number-of-pages":"1419","publisher":"Elsevier Science","title":"Handbook of radioactivity analysis","type":"book"},"uris":["http://www.mendeley.com/documents/?uuid=edb68f40-8873-38f3-87a5-9ffaeabb30cc"]}],"mendeley":{"formattedCitation":"[20]","plainTextFormattedCitation":"[20]","previouslyFormattedCitation":"[20]"},"properties":{"noteIndex":0},"schema":"https://github.com/citation-style-language/schema/raw/master/csl-citation.json"}</w:instrText>
      </w:r>
      <w:r w:rsidR="00166730">
        <w:rPr>
          <w:sz w:val="24"/>
        </w:rPr>
        <w:fldChar w:fldCharType="separate"/>
      </w:r>
      <w:r w:rsidR="00CD23B7" w:rsidRPr="00CD23B7">
        <w:rPr>
          <w:noProof/>
          <w:sz w:val="24"/>
        </w:rPr>
        <w:t>[20]</w:t>
      </w:r>
      <w:r w:rsidR="00166730">
        <w:rPr>
          <w:sz w:val="24"/>
        </w:rPr>
        <w:fldChar w:fldCharType="end"/>
      </w:r>
      <w:r w:rsidR="00166730">
        <w:rPr>
          <w:sz w:val="24"/>
        </w:rPr>
        <w:t>.</w:t>
      </w:r>
    </w:p>
    <w:p w14:paraId="6ABB47A8" w14:textId="7E76EA04" w:rsidR="00D55F53" w:rsidRPr="00264BD7" w:rsidRDefault="00D55F53" w:rsidP="00F37CA9">
      <w:pPr>
        <w:tabs>
          <w:tab w:val="left" w:pos="3075"/>
        </w:tabs>
        <w:spacing w:line="480" w:lineRule="auto"/>
        <w:ind w:firstLine="567"/>
        <w:rPr>
          <w:sz w:val="24"/>
        </w:rPr>
      </w:pPr>
      <w:r>
        <w:rPr>
          <w:sz w:val="24"/>
        </w:rPr>
        <w:t>Feige</w:t>
      </w:r>
      <w:r w:rsidR="00264BD7">
        <w:rPr>
          <w:sz w:val="24"/>
        </w:rPr>
        <w:t xml:space="preserve"> et al.’s measurements of “</w:t>
      </w:r>
      <w:r w:rsidR="00264BD7" w:rsidRPr="00264BD7">
        <w:rPr>
          <w:sz w:val="24"/>
        </w:rPr>
        <w:t>Production Rates of Neutrons in Soils Due to Natural Radioactivit</w:t>
      </w:r>
      <w:r w:rsidR="00264BD7">
        <w:rPr>
          <w:sz w:val="24"/>
        </w:rPr>
        <w:t>y”</w:t>
      </w:r>
      <w:r w:rsidR="00166730">
        <w:rPr>
          <w:sz w:val="24"/>
        </w:rPr>
        <w:t xml:space="preserve"> </w:t>
      </w:r>
      <w:r w:rsidR="00166730">
        <w:rPr>
          <w:sz w:val="24"/>
        </w:rPr>
        <w:fldChar w:fldCharType="begin" w:fldLock="1"/>
      </w:r>
      <w:r w:rsidR="000B0F18">
        <w:rPr>
          <w:sz w:val="24"/>
        </w:rPr>
        <w:instrText>ADDIN CSL_CITATION {"citationItems":[{"id":"ITEM-1","itemData":{"DOI":"10.1029/JB073i010p03135","ISSN":"01480227","author":[{"dropping-particle":"","family":"Feige","given":"Y.","non-dropping-particle":"","parse-names":false,"suffix":""},{"dropping-particle":"","family":"Oltman","given":"B. G.","non-dropping-particle":"","parse-names":false,"suffix":""},{"dropping-particle":"","family":"Kastner","given":"J.","non-dropping-particle":"","parse-names":false,"suffix":""}],"container-title":"Journal of Geophysical Research","id":"ITEM-1","issue":"10","issued":{"date-parts":[["1968","5","15"]]},"page":"3135-3142","title":"Production rates of neutrons in soils due to natural radioactivity","type":"article-journal","volume":"73"},"uris":["http://www.mendeley.com/documents/?uuid=66bf4c8e-a29a-48ce-8aaf-7f7efd761952"]}],"mendeley":{"formattedCitation":"[40]","plainTextFormattedCitation":"[40]","previouslyFormattedCitation":"[40]"},"properties":{"noteIndex":0},"schema":"https://github.com/citation-style-language/schema/raw/master/csl-citation.json"}</w:instrText>
      </w:r>
      <w:r w:rsidR="00166730">
        <w:rPr>
          <w:sz w:val="24"/>
        </w:rPr>
        <w:fldChar w:fldCharType="separate"/>
      </w:r>
      <w:r w:rsidR="007D1AB4" w:rsidRPr="007D1AB4">
        <w:rPr>
          <w:noProof/>
          <w:sz w:val="24"/>
        </w:rPr>
        <w:t>[40]</w:t>
      </w:r>
      <w:r w:rsidR="00166730">
        <w:rPr>
          <w:sz w:val="24"/>
        </w:rPr>
        <w:fldChar w:fldCharType="end"/>
      </w:r>
      <w:r w:rsidR="00264BD7">
        <w:rPr>
          <w:sz w:val="24"/>
        </w:rPr>
        <w:t xml:space="preserve"> suggest relatively low levels of (</w:t>
      </w:r>
      <w:r w:rsidR="00264BD7">
        <w:rPr>
          <w:rFonts w:cstheme="minorHAnsi"/>
          <w:sz w:val="24"/>
        </w:rPr>
        <w:t>α</w:t>
      </w:r>
      <w:r w:rsidR="00264BD7">
        <w:rPr>
          <w:sz w:val="24"/>
        </w:rPr>
        <w:t>, n)-reactions within the soil</w:t>
      </w:r>
      <w:r w:rsidR="00B13BBF">
        <w:rPr>
          <w:sz w:val="24"/>
        </w:rPr>
        <w:t>,</w:t>
      </w:r>
      <w:r w:rsidR="00264BD7">
        <w:rPr>
          <w:sz w:val="24"/>
        </w:rPr>
        <w:t xml:space="preserve"> however. They predict (assuming 3ppm </w:t>
      </w:r>
      <w:r w:rsidR="00264BD7">
        <w:rPr>
          <w:sz w:val="24"/>
          <w:vertAlign w:val="superscript"/>
        </w:rPr>
        <w:t>238</w:t>
      </w:r>
      <w:r w:rsidR="00264BD7">
        <w:rPr>
          <w:sz w:val="24"/>
        </w:rPr>
        <w:t xml:space="preserve">U and 11ppm </w:t>
      </w:r>
      <w:r w:rsidR="00264BD7">
        <w:rPr>
          <w:sz w:val="24"/>
          <w:vertAlign w:val="superscript"/>
        </w:rPr>
        <w:t>232</w:t>
      </w:r>
      <w:r w:rsidR="00264BD7">
        <w:rPr>
          <w:sz w:val="24"/>
        </w:rPr>
        <w:t>Th and for alpha energies of 4.8-8.8 MeV) that 6.7±0.7 neutron/g/yr are released as a result of (</w:t>
      </w:r>
      <w:r w:rsidR="00264BD7">
        <w:rPr>
          <w:rFonts w:cstheme="minorHAnsi"/>
          <w:sz w:val="24"/>
        </w:rPr>
        <w:t>α</w:t>
      </w:r>
      <w:r w:rsidR="00264BD7">
        <w:rPr>
          <w:sz w:val="24"/>
        </w:rPr>
        <w:t xml:space="preserve">, n)-reactions in sand, and 13.5±1.3 neutron/g/yr in granite. They also assert that a further 1.4 neutron/g/yr are generated from the spontaneous fission of </w:t>
      </w:r>
      <w:r w:rsidR="00264BD7">
        <w:rPr>
          <w:sz w:val="24"/>
          <w:vertAlign w:val="superscript"/>
        </w:rPr>
        <w:t>238</w:t>
      </w:r>
      <w:r w:rsidR="00264BD7">
        <w:rPr>
          <w:sz w:val="24"/>
        </w:rPr>
        <w:t>U</w:t>
      </w:r>
      <w:r w:rsidR="00EC4743">
        <w:rPr>
          <w:sz w:val="24"/>
        </w:rPr>
        <w:t xml:space="preserve"> and its daughter products, represented in </w:t>
      </w:r>
      <w:r w:rsidR="004D3B0B">
        <w:rPr>
          <w:sz w:val="24"/>
        </w:rPr>
        <w:fldChar w:fldCharType="begin"/>
      </w:r>
      <w:r w:rsidR="004D3B0B">
        <w:rPr>
          <w:sz w:val="24"/>
        </w:rPr>
        <w:instrText xml:space="preserve"> REF _Ref31288104 \h </w:instrText>
      </w:r>
      <w:r w:rsidR="004D3B0B">
        <w:rPr>
          <w:sz w:val="24"/>
        </w:rPr>
      </w:r>
      <w:r w:rsidR="004D3B0B">
        <w:rPr>
          <w:sz w:val="24"/>
        </w:rPr>
        <w:fldChar w:fldCharType="separate"/>
      </w:r>
      <w:r w:rsidR="00161FDC" w:rsidRPr="006077E6">
        <w:rPr>
          <w:sz w:val="20"/>
        </w:rPr>
        <w:t xml:space="preserve">Figure </w:t>
      </w:r>
      <w:r w:rsidR="00161FDC">
        <w:rPr>
          <w:noProof/>
          <w:sz w:val="20"/>
        </w:rPr>
        <w:t>5</w:t>
      </w:r>
      <w:r w:rsidR="004D3B0B">
        <w:rPr>
          <w:sz w:val="24"/>
        </w:rPr>
        <w:fldChar w:fldCharType="end"/>
      </w:r>
      <w:r w:rsidR="00264BD7">
        <w:rPr>
          <w:sz w:val="24"/>
        </w:rPr>
        <w:t>.</w:t>
      </w:r>
      <w:r w:rsidR="00B13BBF">
        <w:rPr>
          <w:sz w:val="24"/>
        </w:rPr>
        <w:t xml:space="preserve"> Of course, these values are 50 years old, and so, whilst informative, the levels of actinides within soils </w:t>
      </w:r>
      <w:r w:rsidR="00ED588B">
        <w:rPr>
          <w:sz w:val="24"/>
        </w:rPr>
        <w:lastRenderedPageBreak/>
        <w:t xml:space="preserve">may </w:t>
      </w:r>
      <w:r w:rsidR="00B13BBF">
        <w:rPr>
          <w:sz w:val="24"/>
        </w:rPr>
        <w:t xml:space="preserve">have </w:t>
      </w:r>
      <w:r w:rsidR="00ED588B">
        <w:rPr>
          <w:sz w:val="24"/>
        </w:rPr>
        <w:t>changed</w:t>
      </w:r>
      <w:r w:rsidR="00B13BBF">
        <w:rPr>
          <w:sz w:val="24"/>
        </w:rPr>
        <w:t xml:space="preserve"> since they took place. This means that the baseline levels of (</w:t>
      </w:r>
      <w:r w:rsidR="00B13BBF">
        <w:rPr>
          <w:rFonts w:cstheme="minorHAnsi"/>
          <w:sz w:val="24"/>
        </w:rPr>
        <w:t>α</w:t>
      </w:r>
      <w:r w:rsidR="00B13BBF">
        <w:rPr>
          <w:sz w:val="24"/>
        </w:rPr>
        <w:t xml:space="preserve">, n)-reactions in soils could very well be </w:t>
      </w:r>
      <w:r w:rsidR="00ED588B">
        <w:rPr>
          <w:sz w:val="24"/>
        </w:rPr>
        <w:t>different</w:t>
      </w:r>
      <w:r w:rsidR="00B13BBF">
        <w:rPr>
          <w:sz w:val="24"/>
        </w:rPr>
        <w:t>.</w:t>
      </w:r>
    </w:p>
    <w:p w14:paraId="3F87B7D4" w14:textId="77777777" w:rsidR="00D524B1" w:rsidRDefault="00B36DA9" w:rsidP="00D524B1">
      <w:pPr>
        <w:keepNext/>
        <w:tabs>
          <w:tab w:val="left" w:pos="3075"/>
        </w:tabs>
        <w:spacing w:line="480" w:lineRule="auto"/>
        <w:ind w:firstLine="567"/>
      </w:pPr>
      <w:r>
        <w:rPr>
          <w:noProof/>
          <w:sz w:val="24"/>
          <w:lang w:eastAsia="en-GB"/>
        </w:rPr>
        <w:drawing>
          <wp:inline distT="0" distB="0" distL="0" distR="0" wp14:anchorId="5B49D0DC" wp14:editId="053FEB61">
            <wp:extent cx="4093535" cy="5859571"/>
            <wp:effectExtent l="0" t="0" r="254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U238 decay chai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3510" cy="5873849"/>
                    </a:xfrm>
                    <a:prstGeom prst="rect">
                      <a:avLst/>
                    </a:prstGeom>
                  </pic:spPr>
                </pic:pic>
              </a:graphicData>
            </a:graphic>
          </wp:inline>
        </w:drawing>
      </w:r>
    </w:p>
    <w:p w14:paraId="54A40D91" w14:textId="7D75DB94" w:rsidR="00D524B1" w:rsidRPr="006077E6" w:rsidRDefault="00D524B1" w:rsidP="006077E6">
      <w:pPr>
        <w:pStyle w:val="Caption"/>
        <w:jc w:val="center"/>
        <w:rPr>
          <w:sz w:val="20"/>
        </w:rPr>
      </w:pPr>
      <w:bookmarkStart w:id="7" w:name="_Ref31288104"/>
      <w:r w:rsidRPr="006077E6">
        <w:rPr>
          <w:sz w:val="20"/>
        </w:rPr>
        <w:t xml:space="preserve">Figure </w:t>
      </w:r>
      <w:r w:rsidRPr="006077E6">
        <w:rPr>
          <w:sz w:val="20"/>
        </w:rPr>
        <w:fldChar w:fldCharType="begin"/>
      </w:r>
      <w:r w:rsidRPr="006077E6">
        <w:rPr>
          <w:sz w:val="20"/>
        </w:rPr>
        <w:instrText xml:space="preserve"> SEQ Figure \* ARABIC </w:instrText>
      </w:r>
      <w:r w:rsidRPr="006077E6">
        <w:rPr>
          <w:sz w:val="20"/>
        </w:rPr>
        <w:fldChar w:fldCharType="separate"/>
      </w:r>
      <w:r w:rsidR="00161FDC">
        <w:rPr>
          <w:noProof/>
          <w:sz w:val="20"/>
        </w:rPr>
        <w:t>5</w:t>
      </w:r>
      <w:r w:rsidRPr="006077E6">
        <w:rPr>
          <w:sz w:val="20"/>
        </w:rPr>
        <w:fldChar w:fldCharType="end"/>
      </w:r>
      <w:bookmarkEnd w:id="7"/>
      <w:r w:rsidRPr="006077E6">
        <w:rPr>
          <w:sz w:val="20"/>
        </w:rPr>
        <w:t xml:space="preserve"> A visual representation of the </w:t>
      </w:r>
      <w:r w:rsidRPr="006077E6">
        <w:rPr>
          <w:sz w:val="20"/>
          <w:vertAlign w:val="superscript"/>
        </w:rPr>
        <w:t>238</w:t>
      </w:r>
      <w:r w:rsidRPr="006077E6">
        <w:rPr>
          <w:sz w:val="20"/>
        </w:rPr>
        <w:t>U decay chain. As can be seen, the main decay mechanism of isotopes is alpha particle decay [Wikimedia Commons, usage: CC1.0, Accessed 2019].</w:t>
      </w:r>
    </w:p>
    <w:p w14:paraId="77207118" w14:textId="4C498F65" w:rsidR="00F37CA9" w:rsidRDefault="002D1CD3" w:rsidP="00F37CA9">
      <w:pPr>
        <w:spacing w:line="480" w:lineRule="auto"/>
        <w:ind w:firstLine="567"/>
        <w:rPr>
          <w:sz w:val="24"/>
        </w:rPr>
      </w:pPr>
      <w:r>
        <w:rPr>
          <w:sz w:val="24"/>
        </w:rPr>
        <w:t>Within</w:t>
      </w:r>
      <w:r w:rsidR="00F37CA9">
        <w:rPr>
          <w:sz w:val="24"/>
        </w:rPr>
        <w:t xml:space="preserve"> the project was the opportunity to carry out measurements of the DSRLB2 soil sample spiked with a known amount of </w:t>
      </w:r>
      <w:r w:rsidR="00F37CA9" w:rsidRPr="002D1CD3">
        <w:rPr>
          <w:sz w:val="24"/>
          <w:vertAlign w:val="superscript"/>
        </w:rPr>
        <w:t>240</w:t>
      </w:r>
      <w:r>
        <w:rPr>
          <w:sz w:val="24"/>
        </w:rPr>
        <w:t>Pu</w:t>
      </w:r>
      <w:r w:rsidR="00F37CA9">
        <w:rPr>
          <w:sz w:val="24"/>
        </w:rPr>
        <w:t xml:space="preserve">. This experiment allows the calculation of an estimated neutron emission from the sample (and therein, </w:t>
      </w:r>
      <w:r w:rsidRPr="002D1CD3">
        <w:rPr>
          <w:sz w:val="24"/>
          <w:vertAlign w:val="superscript"/>
        </w:rPr>
        <w:t>240</w:t>
      </w:r>
      <w:r>
        <w:rPr>
          <w:sz w:val="24"/>
        </w:rPr>
        <w:t>Pu</w:t>
      </w:r>
      <w:r w:rsidR="00F37CA9">
        <w:rPr>
          <w:sz w:val="24"/>
        </w:rPr>
        <w:t xml:space="preserve">) per unit time to compare to the </w:t>
      </w:r>
      <w:r w:rsidR="00EC4743">
        <w:rPr>
          <w:sz w:val="24"/>
        </w:rPr>
        <w:t xml:space="preserve">overall </w:t>
      </w:r>
      <w:r w:rsidR="00F37CA9">
        <w:rPr>
          <w:sz w:val="24"/>
        </w:rPr>
        <w:t xml:space="preserve">measured neutron emission. While the sample is only spiked with a single </w:t>
      </w:r>
      <w:r w:rsidR="00F37CA9">
        <w:rPr>
          <w:sz w:val="24"/>
        </w:rPr>
        <w:lastRenderedPageBreak/>
        <w:t>isotope, this experiment is very important for the project, as it provides understanding for what could be observed in terms of neutrons detected in a sample with activities of plutonium much higher than would normally</w:t>
      </w:r>
      <w:r w:rsidR="0050254D">
        <w:rPr>
          <w:sz w:val="24"/>
        </w:rPr>
        <w:t xml:space="preserve"> expect to</w:t>
      </w:r>
      <w:r w:rsidR="00F37CA9">
        <w:rPr>
          <w:sz w:val="24"/>
        </w:rPr>
        <w:t xml:space="preserve"> be deposited by fallout per gram of soil. </w:t>
      </w:r>
    </w:p>
    <w:p w14:paraId="2EC781D9" w14:textId="2DD80B3E" w:rsidR="00F37CA9" w:rsidRDefault="00F37CA9" w:rsidP="00F37CA9">
      <w:pPr>
        <w:pStyle w:val="BodyText"/>
        <w:spacing w:line="480" w:lineRule="auto"/>
        <w:ind w:firstLine="567"/>
        <w:jc w:val="left"/>
        <w:rPr>
          <w:rFonts w:asciiTheme="minorHAnsi" w:hAnsiTheme="minorHAnsi"/>
          <w:sz w:val="24"/>
        </w:rPr>
      </w:pPr>
      <w:r w:rsidRPr="00AE60FC">
        <w:rPr>
          <w:rFonts w:asciiTheme="minorHAnsi" w:hAnsiTheme="minorHAnsi"/>
          <w:sz w:val="24"/>
        </w:rPr>
        <w:t>H</w:t>
      </w:r>
      <w:r w:rsidR="009E5BA9">
        <w:rPr>
          <w:rFonts w:asciiTheme="minorHAnsi" w:hAnsiTheme="minorHAnsi"/>
          <w:sz w:val="24"/>
        </w:rPr>
        <w:t>eu</w:t>
      </w:r>
      <w:r w:rsidRPr="00AE60FC">
        <w:rPr>
          <w:rFonts w:asciiTheme="minorHAnsi" w:hAnsiTheme="minorHAnsi"/>
          <w:sz w:val="24"/>
        </w:rPr>
        <w:t>sser, reports a minimum combined thermal and fast neutron count of 7.3 cm</w:t>
      </w:r>
      <w:r w:rsidRPr="00AE60FC">
        <w:rPr>
          <w:rFonts w:asciiTheme="minorHAnsi" w:hAnsiTheme="minorHAnsi"/>
          <w:sz w:val="24"/>
          <w:vertAlign w:val="superscript"/>
        </w:rPr>
        <w:t>-2</w:t>
      </w:r>
      <w:r w:rsidRPr="00AE60FC">
        <w:rPr>
          <w:rFonts w:asciiTheme="minorHAnsi" w:hAnsiTheme="minorHAnsi"/>
          <w:sz w:val="24"/>
        </w:rPr>
        <w:t>s</w:t>
      </w:r>
      <w:r w:rsidRPr="00AE60FC">
        <w:rPr>
          <w:rFonts w:asciiTheme="minorHAnsi" w:hAnsiTheme="minorHAnsi"/>
          <w:sz w:val="24"/>
          <w:vertAlign w:val="superscript"/>
        </w:rPr>
        <w:t>-1</w:t>
      </w:r>
      <w:r w:rsidR="0050254D">
        <w:rPr>
          <w:rFonts w:asciiTheme="minorHAnsi" w:hAnsiTheme="minorHAnsi"/>
          <w:sz w:val="24"/>
        </w:rPr>
        <w:t xml:space="preserve"> from the environment, including cosmic sources</w:t>
      </w:r>
      <w:r w:rsidR="00166730">
        <w:rPr>
          <w:rFonts w:asciiTheme="minorHAnsi" w:hAnsiTheme="minorHAnsi"/>
          <w:sz w:val="24"/>
        </w:rPr>
        <w:t xml:space="preserve"> </w:t>
      </w:r>
      <w:r w:rsidR="00166730">
        <w:rPr>
          <w:rFonts w:asciiTheme="minorHAnsi" w:hAnsiTheme="minorHAnsi"/>
          <w:sz w:val="24"/>
        </w:rPr>
        <w:fldChar w:fldCharType="begin" w:fldLock="1"/>
      </w:r>
      <w:r w:rsidR="000B0F18">
        <w:rPr>
          <w:rFonts w:asciiTheme="minorHAnsi" w:hAnsiTheme="minorHAnsi"/>
          <w:sz w:val="24"/>
        </w:rPr>
        <w:instrText>ADDIN CSL_CITATION {"citationItems":[{"id":"ITEM-1","itemData":{"DOI":"10.1146/annurev.ns.45.120195.002551","ISSN":"0163-8998","author":[{"dropping-particle":"","family":"Heusser","given":"G","non-dropping-particle":"","parse-names":false,"suffix":""}],"container-title":"Annual Review of Nuclear and Particle Science","id":"ITEM-1","issue":"1","issued":{"date-parts":[["1995","12","28"]]},"page":"543-590","publisher":" Annual Reviews  4139 El Camino Way, P.O. Box 10139, Palo Alto, CA 94303-0139, USA  ","title":"Low-Radioactivity Background Techniques","type":"article-journal","volume":"45"},"uris":["http://www.mendeley.com/documents/?uuid=ca395478-07d1-3e4a-885d-1432b948a440"]}],"mendeley":{"formattedCitation":"[41]","plainTextFormattedCitation":"[41]","previouslyFormattedCitation":"[41]"},"properties":{"noteIndex":0},"schema":"https://github.com/citation-style-language/schema/raw/master/csl-citation.json"}</w:instrText>
      </w:r>
      <w:r w:rsidR="00166730">
        <w:rPr>
          <w:rFonts w:asciiTheme="minorHAnsi" w:hAnsiTheme="minorHAnsi"/>
          <w:sz w:val="24"/>
        </w:rPr>
        <w:fldChar w:fldCharType="separate"/>
      </w:r>
      <w:r w:rsidR="007D1AB4" w:rsidRPr="007D1AB4">
        <w:rPr>
          <w:rFonts w:asciiTheme="minorHAnsi" w:hAnsiTheme="minorHAnsi"/>
          <w:noProof/>
          <w:sz w:val="24"/>
        </w:rPr>
        <w:t>[41]</w:t>
      </w:r>
      <w:r w:rsidR="00166730">
        <w:rPr>
          <w:rFonts w:asciiTheme="minorHAnsi" w:hAnsiTheme="minorHAnsi"/>
          <w:sz w:val="24"/>
        </w:rPr>
        <w:fldChar w:fldCharType="end"/>
      </w:r>
      <w:r w:rsidR="0050254D">
        <w:rPr>
          <w:rFonts w:asciiTheme="minorHAnsi" w:hAnsiTheme="minorHAnsi"/>
          <w:sz w:val="24"/>
        </w:rPr>
        <w:t>.</w:t>
      </w:r>
      <w:r w:rsidRPr="00AE60FC">
        <w:rPr>
          <w:rFonts w:asciiTheme="minorHAnsi" w:hAnsiTheme="minorHAnsi"/>
          <w:sz w:val="24"/>
        </w:rPr>
        <w:t xml:space="preserve"> When considered in the context of this project geometry, it gives a</w:t>
      </w:r>
      <w:r w:rsidR="0050254D">
        <w:rPr>
          <w:rFonts w:asciiTheme="minorHAnsi" w:hAnsiTheme="minorHAnsi"/>
          <w:sz w:val="24"/>
        </w:rPr>
        <w:t xml:space="preserve">n anticipated </w:t>
      </w:r>
      <w:r w:rsidRPr="00AE60FC">
        <w:rPr>
          <w:rFonts w:asciiTheme="minorHAnsi" w:hAnsiTheme="minorHAnsi"/>
          <w:sz w:val="24"/>
        </w:rPr>
        <w:t xml:space="preserve">neutron </w:t>
      </w:r>
      <w:r w:rsidR="0050254D">
        <w:rPr>
          <w:rFonts w:asciiTheme="minorHAnsi" w:hAnsiTheme="minorHAnsi"/>
          <w:sz w:val="24"/>
        </w:rPr>
        <w:t>exposure</w:t>
      </w:r>
      <w:r w:rsidRPr="00AE60FC">
        <w:rPr>
          <w:rFonts w:asciiTheme="minorHAnsi" w:hAnsiTheme="minorHAnsi"/>
          <w:sz w:val="24"/>
        </w:rPr>
        <w:t xml:space="preserve"> in the experiment area of over 100 million neutrons over the course of a standard four-hour measurement. </w:t>
      </w:r>
      <w:r w:rsidR="00C47226">
        <w:rPr>
          <w:rFonts w:asciiTheme="minorHAnsi" w:hAnsiTheme="minorHAnsi"/>
          <w:sz w:val="24"/>
        </w:rPr>
        <w:t>The background neutron count may</w:t>
      </w:r>
      <w:r w:rsidRPr="00AE60FC">
        <w:rPr>
          <w:rFonts w:asciiTheme="minorHAnsi" w:hAnsiTheme="minorHAnsi"/>
          <w:sz w:val="24"/>
        </w:rPr>
        <w:t xml:space="preserve"> </w:t>
      </w:r>
      <w:r w:rsidR="006641CF">
        <w:rPr>
          <w:rFonts w:asciiTheme="minorHAnsi" w:hAnsiTheme="minorHAnsi"/>
          <w:sz w:val="24"/>
        </w:rPr>
        <w:t xml:space="preserve">be </w:t>
      </w:r>
      <w:r w:rsidRPr="00AE60FC">
        <w:rPr>
          <w:rFonts w:asciiTheme="minorHAnsi" w:hAnsiTheme="minorHAnsi"/>
          <w:sz w:val="24"/>
        </w:rPr>
        <w:t xml:space="preserve">less when considering that a proportion of these neutrons will </w:t>
      </w:r>
      <w:r w:rsidR="007236B7">
        <w:rPr>
          <w:rFonts w:asciiTheme="minorHAnsi" w:hAnsiTheme="minorHAnsi"/>
          <w:sz w:val="24"/>
        </w:rPr>
        <w:t>be reacting</w:t>
      </w:r>
      <w:r w:rsidRPr="00AE60FC">
        <w:rPr>
          <w:rFonts w:asciiTheme="minorHAnsi" w:hAnsiTheme="minorHAnsi"/>
          <w:sz w:val="24"/>
        </w:rPr>
        <w:t xml:space="preserve"> in the atmosphere and building before reaching the apparatus, and therefore will be below the 0.5 MeV </w:t>
      </w:r>
      <w:r w:rsidR="0050254D">
        <w:rPr>
          <w:rFonts w:asciiTheme="minorHAnsi" w:hAnsiTheme="minorHAnsi"/>
          <w:sz w:val="24"/>
        </w:rPr>
        <w:t>detection threshold</w:t>
      </w:r>
      <w:r w:rsidRPr="00AE60FC">
        <w:rPr>
          <w:rFonts w:asciiTheme="minorHAnsi" w:hAnsiTheme="minorHAnsi"/>
          <w:sz w:val="24"/>
        </w:rPr>
        <w:t xml:space="preserve"> of the detectors. These </w:t>
      </w:r>
      <w:r w:rsidR="002D1CD3">
        <w:rPr>
          <w:rFonts w:asciiTheme="minorHAnsi" w:hAnsiTheme="minorHAnsi"/>
          <w:sz w:val="24"/>
        </w:rPr>
        <w:t xml:space="preserve">conditions </w:t>
      </w:r>
      <w:r w:rsidR="0050254D">
        <w:rPr>
          <w:rFonts w:asciiTheme="minorHAnsi" w:hAnsiTheme="minorHAnsi"/>
          <w:sz w:val="24"/>
        </w:rPr>
        <w:t xml:space="preserve">prompt the </w:t>
      </w:r>
      <w:r w:rsidR="002D1CD3">
        <w:rPr>
          <w:rFonts w:asciiTheme="minorHAnsi" w:hAnsiTheme="minorHAnsi"/>
          <w:sz w:val="24"/>
        </w:rPr>
        <w:t xml:space="preserve">need </w:t>
      </w:r>
      <w:r w:rsidR="0050254D">
        <w:rPr>
          <w:rFonts w:asciiTheme="minorHAnsi" w:hAnsiTheme="minorHAnsi"/>
          <w:sz w:val="24"/>
        </w:rPr>
        <w:t xml:space="preserve">for the application of </w:t>
      </w:r>
      <w:r w:rsidRPr="00AE60FC">
        <w:rPr>
          <w:rFonts w:asciiTheme="minorHAnsi" w:hAnsiTheme="minorHAnsi"/>
          <w:sz w:val="24"/>
        </w:rPr>
        <w:t>corrections</w:t>
      </w:r>
      <w:r w:rsidR="0050254D">
        <w:rPr>
          <w:rFonts w:asciiTheme="minorHAnsi" w:hAnsiTheme="minorHAnsi"/>
          <w:sz w:val="24"/>
        </w:rPr>
        <w:t xml:space="preserve"> </w:t>
      </w:r>
      <w:r w:rsidR="002D1CD3">
        <w:rPr>
          <w:rFonts w:asciiTheme="minorHAnsi" w:hAnsiTheme="minorHAnsi"/>
          <w:sz w:val="24"/>
        </w:rPr>
        <w:t>to</w:t>
      </w:r>
      <w:r w:rsidR="0050254D">
        <w:rPr>
          <w:rFonts w:asciiTheme="minorHAnsi" w:hAnsiTheme="minorHAnsi"/>
          <w:sz w:val="24"/>
        </w:rPr>
        <w:t xml:space="preserve"> the results to</w:t>
      </w:r>
      <w:r w:rsidRPr="00AE60FC">
        <w:rPr>
          <w:rFonts w:asciiTheme="minorHAnsi" w:hAnsiTheme="minorHAnsi"/>
          <w:sz w:val="24"/>
        </w:rPr>
        <w:t xml:space="preserve"> give a wider view of the neutron detection methods and evaluate the impact of neutron background on the assessment of soil samples. </w:t>
      </w:r>
    </w:p>
    <w:p w14:paraId="131E4CC1" w14:textId="77777777" w:rsidR="002D1CD3" w:rsidRPr="00AE60FC" w:rsidRDefault="002D1CD3" w:rsidP="00F37CA9">
      <w:pPr>
        <w:pStyle w:val="BodyText"/>
        <w:spacing w:line="480" w:lineRule="auto"/>
        <w:ind w:firstLine="567"/>
        <w:jc w:val="left"/>
        <w:rPr>
          <w:rFonts w:asciiTheme="minorHAnsi" w:hAnsiTheme="minorHAnsi"/>
          <w:sz w:val="24"/>
          <w:szCs w:val="24"/>
        </w:rPr>
      </w:pPr>
    </w:p>
    <w:p w14:paraId="36CD3740" w14:textId="77777777" w:rsidR="00F37CA9" w:rsidRPr="006A2867" w:rsidRDefault="00F37CA9" w:rsidP="00F37CA9">
      <w:pPr>
        <w:spacing w:line="480" w:lineRule="auto"/>
        <w:rPr>
          <w:b/>
          <w:sz w:val="28"/>
          <w:szCs w:val="24"/>
        </w:rPr>
      </w:pPr>
      <w:r w:rsidRPr="006A2867">
        <w:rPr>
          <w:b/>
          <w:sz w:val="28"/>
          <w:szCs w:val="24"/>
        </w:rPr>
        <w:t>1.6 Gamma Spectrometry</w:t>
      </w:r>
    </w:p>
    <w:p w14:paraId="79CD6EC9" w14:textId="57AC4990" w:rsidR="00F37CA9" w:rsidRDefault="00F37CA9" w:rsidP="00F37CA9">
      <w:pPr>
        <w:tabs>
          <w:tab w:val="left" w:pos="3075"/>
        </w:tabs>
        <w:spacing w:line="480" w:lineRule="auto"/>
        <w:ind w:firstLine="567"/>
        <w:rPr>
          <w:sz w:val="24"/>
        </w:rPr>
      </w:pPr>
      <w:r>
        <w:rPr>
          <w:sz w:val="24"/>
        </w:rPr>
        <w:t xml:space="preserve">To support the development of the neutron measurement system, the </w:t>
      </w:r>
      <w:r w:rsidR="00F66301">
        <w:rPr>
          <w:sz w:val="24"/>
          <w:szCs w:val="24"/>
        </w:rPr>
        <w:t>gamma</w:t>
      </w:r>
      <w:r>
        <w:rPr>
          <w:sz w:val="24"/>
        </w:rPr>
        <w:t xml:space="preserve">-ray spectra of the samples were measured to gain a greater understanding of the sample’s radioactive character. Observing the </w:t>
      </w:r>
      <w:r w:rsidR="00F66301">
        <w:rPr>
          <w:sz w:val="24"/>
          <w:szCs w:val="24"/>
        </w:rPr>
        <w:t>gamma</w:t>
      </w:r>
      <w:r>
        <w:rPr>
          <w:sz w:val="24"/>
        </w:rPr>
        <w:t>-ray spectra highlights the most prolific gamma emitters within the samples, which is expected to show a high concentration of the uranium decay series daughters within the spectra, alongside peaks from various ubiquitous radionuclides such as potassium-40 and caesium-137. There is also still a chance that some plutonium peaks might be distinguishable in the spectra, which would help identify an estimate for expected neutron emission for that particular sample.</w:t>
      </w:r>
    </w:p>
    <w:p w14:paraId="591FFB5F" w14:textId="4441D2D4" w:rsidR="00F37CA9" w:rsidRDefault="00F37CA9" w:rsidP="00F37CA9">
      <w:pPr>
        <w:tabs>
          <w:tab w:val="left" w:pos="3075"/>
        </w:tabs>
        <w:spacing w:line="480" w:lineRule="auto"/>
        <w:ind w:firstLine="567"/>
        <w:rPr>
          <w:sz w:val="24"/>
          <w:lang w:val="en-US"/>
        </w:rPr>
      </w:pPr>
      <w:r>
        <w:rPr>
          <w:sz w:val="24"/>
        </w:rPr>
        <w:lastRenderedPageBreak/>
        <w:t xml:space="preserve">Consideration of T.E Sampson’s contribution to the PANDA manual </w:t>
      </w:r>
      <w:r w:rsidR="00166730">
        <w:rPr>
          <w:sz w:val="24"/>
        </w:rPr>
        <w:fldChar w:fldCharType="begin" w:fldLock="1"/>
      </w:r>
      <w:r w:rsidR="000B0F18">
        <w:rPr>
          <w:sz w:val="24"/>
        </w:rPr>
        <w:instrText>ADDIN CSL_CITATION {"citationItems":[{"id":"ITEM-1","itemData":{"ISBN":"0160327245","author":[{"dropping-particle":"","family":"Reilly, D., Ensslin, N., Smith, H. Jr., Kreiner","given":"S.","non-dropping-particle":"","parse-names":false,"suffix":""}],"id":"ITEM-1","issued":{"date-parts":[["1991"]]},"number-of-pages":"700","title":"Passive Nondestructive Assay of Nuclear Materials","type":"report"},"uris":["http://www.mendeley.com/documents/?uuid=2f06d966-729c-37a3-ab30-aaf2a65ebbc9"]}],"mendeley":{"formattedCitation":"[42]","plainTextFormattedCitation":"[42]","previouslyFormattedCitation":"[42]"},"properties":{"noteIndex":0},"schema":"https://github.com/citation-style-language/schema/raw/master/csl-citation.json"}</w:instrText>
      </w:r>
      <w:r w:rsidR="00166730">
        <w:rPr>
          <w:sz w:val="24"/>
        </w:rPr>
        <w:fldChar w:fldCharType="separate"/>
      </w:r>
      <w:r w:rsidR="007D1AB4" w:rsidRPr="007D1AB4">
        <w:rPr>
          <w:noProof/>
          <w:sz w:val="24"/>
        </w:rPr>
        <w:t>[42]</w:t>
      </w:r>
      <w:r w:rsidR="00166730">
        <w:rPr>
          <w:sz w:val="24"/>
        </w:rPr>
        <w:fldChar w:fldCharType="end"/>
      </w:r>
      <w:r>
        <w:rPr>
          <w:sz w:val="24"/>
        </w:rPr>
        <w:t xml:space="preserve"> immediately prompts researchers to assess the low</w:t>
      </w:r>
      <w:r w:rsidR="0050254D">
        <w:rPr>
          <w:sz w:val="24"/>
        </w:rPr>
        <w:t>-</w:t>
      </w:r>
      <w:r>
        <w:rPr>
          <w:sz w:val="24"/>
        </w:rPr>
        <w:t>energy regions of gamma spectra to attempt to identify any plutonium isotopes within the samples</w:t>
      </w:r>
      <w:r w:rsidR="007E7F14">
        <w:rPr>
          <w:sz w:val="24"/>
        </w:rPr>
        <w:t xml:space="preserve">; Sampson reports 15 individual peaks from various plutonium isotopes (and </w:t>
      </w:r>
      <w:r w:rsidR="007E7F14">
        <w:rPr>
          <w:sz w:val="24"/>
          <w:vertAlign w:val="superscript"/>
        </w:rPr>
        <w:t>241</w:t>
      </w:r>
      <w:r w:rsidR="007E7F14">
        <w:rPr>
          <w:sz w:val="24"/>
        </w:rPr>
        <w:t>Am) in the energy range of 40-160 keV, when measuring ~500 grams of plutonium metal</w:t>
      </w:r>
      <w:r>
        <w:rPr>
          <w:sz w:val="24"/>
        </w:rPr>
        <w:t>. It soon becomes clear</w:t>
      </w:r>
      <w:r w:rsidRPr="0014284E">
        <w:rPr>
          <w:sz w:val="24"/>
        </w:rPr>
        <w:t xml:space="preserve"> </w:t>
      </w:r>
      <w:r>
        <w:rPr>
          <w:sz w:val="24"/>
        </w:rPr>
        <w:t xml:space="preserve">however, that the gamma-ray spectra of background level actinides within soil are far removed from those found during </w:t>
      </w:r>
      <w:r w:rsidR="00F66301">
        <w:rPr>
          <w:sz w:val="24"/>
          <w:szCs w:val="24"/>
        </w:rPr>
        <w:t>gamma</w:t>
      </w:r>
      <w:r>
        <w:rPr>
          <w:sz w:val="24"/>
        </w:rPr>
        <w:t xml:space="preserve">-ray emission measurements of nuclear fuel materials as published. Based on the Sampson report, plutonium </w:t>
      </w:r>
      <w:r w:rsidR="00F66301">
        <w:rPr>
          <w:sz w:val="24"/>
          <w:szCs w:val="24"/>
        </w:rPr>
        <w:t>gamma</w:t>
      </w:r>
      <w:r>
        <w:rPr>
          <w:sz w:val="24"/>
          <w:lang w:val="en-US"/>
        </w:rPr>
        <w:t xml:space="preserve">-ray lines at 148.6 keV and 152.7 keV from </w:t>
      </w:r>
      <w:r w:rsidRPr="002D1CD3">
        <w:rPr>
          <w:sz w:val="24"/>
          <w:vertAlign w:val="superscript"/>
          <w:lang w:val="en-US"/>
        </w:rPr>
        <w:t>241</w:t>
      </w:r>
      <w:r w:rsidR="002D1CD3">
        <w:rPr>
          <w:sz w:val="24"/>
          <w:lang w:val="en-US"/>
        </w:rPr>
        <w:t>Pu</w:t>
      </w:r>
      <w:r>
        <w:rPr>
          <w:sz w:val="24"/>
          <w:lang w:val="en-US"/>
        </w:rPr>
        <w:t xml:space="preserve"> and </w:t>
      </w:r>
      <w:r w:rsidRPr="002D1CD3">
        <w:rPr>
          <w:sz w:val="24"/>
          <w:vertAlign w:val="superscript"/>
          <w:lang w:val="en-US"/>
        </w:rPr>
        <w:t>238</w:t>
      </w:r>
      <w:r w:rsidR="002D1CD3">
        <w:rPr>
          <w:sz w:val="24"/>
          <w:lang w:val="en-US"/>
        </w:rPr>
        <w:t>Pu</w:t>
      </w:r>
      <w:r>
        <w:rPr>
          <w:sz w:val="24"/>
          <w:lang w:val="en-US"/>
        </w:rPr>
        <w:t xml:space="preserve"> </w:t>
      </w:r>
      <w:r w:rsidR="0050254D">
        <w:rPr>
          <w:sz w:val="24"/>
          <w:lang w:val="en-US"/>
        </w:rPr>
        <w:t xml:space="preserve">are expected </w:t>
      </w:r>
      <w:r>
        <w:rPr>
          <w:sz w:val="24"/>
          <w:lang w:val="en-US"/>
        </w:rPr>
        <w:t>respectively, however these are not</w:t>
      </w:r>
      <w:r w:rsidR="0050254D">
        <w:rPr>
          <w:sz w:val="24"/>
          <w:lang w:val="en-US"/>
        </w:rPr>
        <w:t xml:space="preserve"> sufficiently</w:t>
      </w:r>
      <w:r>
        <w:rPr>
          <w:sz w:val="24"/>
          <w:lang w:val="en-US"/>
        </w:rPr>
        <w:t xml:space="preserve"> prominent to measure in </w:t>
      </w:r>
      <w:r w:rsidR="0050254D">
        <w:rPr>
          <w:sz w:val="24"/>
          <w:lang w:val="en-US"/>
        </w:rPr>
        <w:t>soil</w:t>
      </w:r>
      <w:r>
        <w:rPr>
          <w:sz w:val="24"/>
          <w:lang w:val="en-US"/>
        </w:rPr>
        <w:t xml:space="preserve"> samples. Instead, of the plutonium-related </w:t>
      </w:r>
      <w:r w:rsidR="0050254D">
        <w:rPr>
          <w:sz w:val="24"/>
          <w:lang w:val="en-US"/>
        </w:rPr>
        <w:t>lines</w:t>
      </w:r>
      <w:r>
        <w:rPr>
          <w:sz w:val="24"/>
          <w:lang w:val="en-US"/>
        </w:rPr>
        <w:t xml:space="preserve"> the </w:t>
      </w:r>
      <w:r w:rsidRPr="002D1CD3">
        <w:rPr>
          <w:sz w:val="24"/>
          <w:vertAlign w:val="superscript"/>
          <w:lang w:val="en-US"/>
        </w:rPr>
        <w:t>241</w:t>
      </w:r>
      <w:r w:rsidR="002D1CD3">
        <w:rPr>
          <w:sz w:val="24"/>
          <w:lang w:val="en-US"/>
        </w:rPr>
        <w:t>Am</w:t>
      </w:r>
      <w:r w:rsidR="0050254D">
        <w:rPr>
          <w:sz w:val="24"/>
          <w:lang w:val="en-US"/>
        </w:rPr>
        <w:t xml:space="preserve"> (59.5 keV)</w:t>
      </w:r>
      <w:r>
        <w:rPr>
          <w:sz w:val="24"/>
          <w:lang w:val="en-US"/>
        </w:rPr>
        <w:t xml:space="preserve"> is the only line distinguishable from background, and as the direct daughter product of </w:t>
      </w:r>
      <w:r w:rsidRPr="002D1CD3">
        <w:rPr>
          <w:sz w:val="24"/>
          <w:vertAlign w:val="superscript"/>
          <w:lang w:val="en-US"/>
        </w:rPr>
        <w:t>241</w:t>
      </w:r>
      <w:r w:rsidR="002D1CD3">
        <w:rPr>
          <w:sz w:val="24"/>
          <w:lang w:val="en-US"/>
        </w:rPr>
        <w:t>Pu</w:t>
      </w:r>
      <w:r>
        <w:rPr>
          <w:sz w:val="24"/>
          <w:lang w:val="en-US"/>
        </w:rPr>
        <w:t xml:space="preserve"> it can be used to </w:t>
      </w:r>
      <w:r w:rsidR="0050254D">
        <w:rPr>
          <w:sz w:val="24"/>
          <w:lang w:val="en-US"/>
        </w:rPr>
        <w:t>generate</w:t>
      </w:r>
      <w:r>
        <w:rPr>
          <w:sz w:val="24"/>
          <w:lang w:val="en-US"/>
        </w:rPr>
        <w:t xml:space="preserve"> an estimate for the plutonium content of the samples</w:t>
      </w:r>
      <w:r w:rsidR="0050254D">
        <w:rPr>
          <w:sz w:val="24"/>
          <w:lang w:val="en-US"/>
        </w:rPr>
        <w:t xml:space="preserve">, albeit based on an estimate </w:t>
      </w:r>
      <w:r w:rsidR="00A24352">
        <w:rPr>
          <w:sz w:val="24"/>
          <w:lang w:val="en-US"/>
        </w:rPr>
        <w:t xml:space="preserve">that the </w:t>
      </w:r>
      <w:r w:rsidR="00A24352">
        <w:rPr>
          <w:sz w:val="24"/>
          <w:vertAlign w:val="superscript"/>
          <w:lang w:val="en-US"/>
        </w:rPr>
        <w:t>241</w:t>
      </w:r>
      <w:r w:rsidR="00A24352">
        <w:rPr>
          <w:sz w:val="24"/>
          <w:lang w:val="en-US"/>
        </w:rPr>
        <w:t>Pu has been in existence</w:t>
      </w:r>
      <w:r>
        <w:rPr>
          <w:sz w:val="24"/>
          <w:lang w:val="en-US"/>
        </w:rPr>
        <w:t xml:space="preserve">. Further to americium, there is a line at 129 keV, a potential indicator of the presence of </w:t>
      </w:r>
      <w:r w:rsidRPr="002D1CD3">
        <w:rPr>
          <w:sz w:val="24"/>
          <w:vertAlign w:val="superscript"/>
          <w:lang w:val="en-US"/>
        </w:rPr>
        <w:t>239</w:t>
      </w:r>
      <w:r w:rsidR="002D1CD3">
        <w:rPr>
          <w:sz w:val="24"/>
          <w:lang w:val="en-US"/>
        </w:rPr>
        <w:t>Pu</w:t>
      </w:r>
      <w:r>
        <w:rPr>
          <w:sz w:val="24"/>
          <w:lang w:val="en-US"/>
        </w:rPr>
        <w:t xml:space="preserve">, though </w:t>
      </w:r>
      <w:r w:rsidR="00A24352">
        <w:rPr>
          <w:sz w:val="24"/>
          <w:lang w:val="en-US"/>
        </w:rPr>
        <w:t>this is largely derived from</w:t>
      </w:r>
      <w:r>
        <w:rPr>
          <w:sz w:val="24"/>
          <w:lang w:val="en-US"/>
        </w:rPr>
        <w:t xml:space="preserve"> </w:t>
      </w:r>
      <w:r w:rsidRPr="002D1CD3">
        <w:rPr>
          <w:sz w:val="24"/>
          <w:vertAlign w:val="superscript"/>
          <w:lang w:val="en-US"/>
        </w:rPr>
        <w:t>228</w:t>
      </w:r>
      <w:r w:rsidR="002D1CD3">
        <w:rPr>
          <w:sz w:val="24"/>
          <w:lang w:val="en-US"/>
        </w:rPr>
        <w:t>Ac</w:t>
      </w:r>
      <w:r w:rsidR="00A24352">
        <w:rPr>
          <w:sz w:val="24"/>
          <w:lang w:val="en-US"/>
        </w:rPr>
        <w:t xml:space="preserve">, the daughter of </w:t>
      </w:r>
      <w:r w:rsidR="00A24352">
        <w:rPr>
          <w:sz w:val="24"/>
          <w:vertAlign w:val="superscript"/>
          <w:lang w:val="en-US"/>
        </w:rPr>
        <w:t>232</w:t>
      </w:r>
      <w:r w:rsidR="00A24352">
        <w:rPr>
          <w:sz w:val="24"/>
          <w:lang w:val="en-US"/>
        </w:rPr>
        <w:t>Th</w:t>
      </w:r>
      <w:r>
        <w:rPr>
          <w:sz w:val="24"/>
          <w:lang w:val="en-US"/>
        </w:rPr>
        <w:t>.</w:t>
      </w:r>
    </w:p>
    <w:p w14:paraId="3AFB4A26" w14:textId="77777777" w:rsidR="00F37CA9" w:rsidRPr="00EE110A" w:rsidRDefault="00F37CA9" w:rsidP="00F37CA9">
      <w:pPr>
        <w:tabs>
          <w:tab w:val="left" w:pos="3075"/>
        </w:tabs>
        <w:spacing w:line="480" w:lineRule="auto"/>
        <w:ind w:firstLine="567"/>
        <w:rPr>
          <w:sz w:val="24"/>
          <w:lang w:val="en-US"/>
        </w:rPr>
      </w:pPr>
    </w:p>
    <w:p w14:paraId="55585717" w14:textId="5F159E62" w:rsidR="00F37CA9" w:rsidRPr="006A2867" w:rsidRDefault="00F37CA9" w:rsidP="00F37CA9">
      <w:pPr>
        <w:spacing w:line="480" w:lineRule="auto"/>
        <w:rPr>
          <w:b/>
          <w:sz w:val="28"/>
          <w:szCs w:val="24"/>
        </w:rPr>
      </w:pPr>
      <w:r w:rsidRPr="006A2867">
        <w:rPr>
          <w:b/>
          <w:sz w:val="28"/>
          <w:szCs w:val="24"/>
        </w:rPr>
        <w:t xml:space="preserve">1.7 </w:t>
      </w:r>
      <w:r w:rsidR="00A24352">
        <w:rPr>
          <w:b/>
          <w:sz w:val="28"/>
          <w:szCs w:val="24"/>
        </w:rPr>
        <w:t xml:space="preserve">Accelerator </w:t>
      </w:r>
      <w:r w:rsidRPr="006A2867">
        <w:rPr>
          <w:b/>
          <w:sz w:val="28"/>
          <w:szCs w:val="24"/>
        </w:rPr>
        <w:t>Mass Spectrometry</w:t>
      </w:r>
    </w:p>
    <w:p w14:paraId="745AE45B" w14:textId="77777777" w:rsidR="00A316C7" w:rsidRDefault="00F37CA9" w:rsidP="00A316C7">
      <w:pPr>
        <w:tabs>
          <w:tab w:val="left" w:pos="3075"/>
        </w:tabs>
        <w:spacing w:line="480" w:lineRule="auto"/>
        <w:ind w:firstLine="567"/>
        <w:rPr>
          <w:sz w:val="24"/>
        </w:rPr>
      </w:pPr>
      <w:r>
        <w:rPr>
          <w:sz w:val="24"/>
        </w:rPr>
        <w:t xml:space="preserve">In addition to the </w:t>
      </w:r>
      <w:r w:rsidR="00F66301">
        <w:rPr>
          <w:sz w:val="24"/>
          <w:szCs w:val="24"/>
        </w:rPr>
        <w:t>gamma</w:t>
      </w:r>
      <w:r>
        <w:rPr>
          <w:sz w:val="24"/>
        </w:rPr>
        <w:t>-ray spectrometry and neutron spectroscopy, the samples were measured with Accelerator Mass Spectrometry (AMS) which can quantify attogram per gram abundances of actinides (amongst other radionuclides).</w:t>
      </w:r>
    </w:p>
    <w:p w14:paraId="7F85F355" w14:textId="69E79563" w:rsidR="00F37CA9" w:rsidRDefault="00F37CA9" w:rsidP="00A316C7">
      <w:pPr>
        <w:tabs>
          <w:tab w:val="left" w:pos="3075"/>
        </w:tabs>
        <w:spacing w:line="480" w:lineRule="auto"/>
        <w:ind w:firstLine="567"/>
        <w:rPr>
          <w:sz w:val="24"/>
        </w:rPr>
      </w:pPr>
      <w:r>
        <w:rPr>
          <w:sz w:val="24"/>
        </w:rPr>
        <w:t>The TANDY AMS system at ETH Z</w:t>
      </w:r>
      <w:r w:rsidR="00A24352">
        <w:rPr>
          <w:sz w:val="24"/>
        </w:rPr>
        <w:t>ϋ</w:t>
      </w:r>
      <w:r>
        <w:rPr>
          <w:sz w:val="24"/>
        </w:rPr>
        <w:t xml:space="preserve">rich </w:t>
      </w:r>
      <w:r w:rsidR="00497545">
        <w:rPr>
          <w:sz w:val="24"/>
        </w:rPr>
        <w:t>ha</w:t>
      </w:r>
      <w:r>
        <w:rPr>
          <w:sz w:val="24"/>
        </w:rPr>
        <w:t xml:space="preserve">s proven a successful </w:t>
      </w:r>
      <w:r w:rsidR="00A24352">
        <w:rPr>
          <w:sz w:val="24"/>
        </w:rPr>
        <w:t>facility</w:t>
      </w:r>
      <w:r>
        <w:rPr>
          <w:sz w:val="24"/>
        </w:rPr>
        <w:t xml:space="preserve"> for the detection of actinides in sediments </w:t>
      </w:r>
      <w:r w:rsidR="00D56AEE">
        <w:rPr>
          <w:sz w:val="24"/>
        </w:rPr>
        <w:fldChar w:fldCharType="begin" w:fldLock="1"/>
      </w:r>
      <w:r w:rsidR="000B0F18">
        <w:rPr>
          <w:sz w:val="24"/>
        </w:rPr>
        <w:instrText>ADDIN CSL_CITATION {"citationItems":[{"id":"ITEM-1","itemData":{"DOI":"10.1016/j.nimb.2009.10.009","ISSN":"0168583X","abstract":"A brief summary of the development of AMS over the last 30 years is given and major development steps for the measurement technique are described. With the appearance of compact low energy AMS systems 10 years ago, a new category of AMS instruments has been introduced. This has resulted in a boom of new AMS facilities with more than 20 installations over the last 5 years. But low energy AMS is not limited to radiocarbon only and there is a great potential for 10 Be, 26 Al, 129 I and actinides measurements at compact AMS systems. The latest developments towards the low energy limit of AMS resulted in two new types of systems, the NEC Single Stage AMS and ETH MICADAS operating with terminal voltages of about 200 kV only. These systems have enormous impact, not only on the use of AMS in biomedical research but also on radiocarbon dating. Precision limits of radiocarbon dating will be discussed for the MICADAS type instruments. Ó 2009 Elsevier B.V. All rights reserved. 1. Evolution of the AMS technique From its advent more than 30 years ago, accelerator mass spec-trometry (AMS) has made tremendous progress. This is true not only for the large variety of possible applications exploiting the unique analytical capabilities of AMS, but also for the measurement technique itself. However, its fundamental principles developed in 1977 in connection with tandem accelerators [1,2] are still the basis of state-of-the-art AMS instrumentation. In contrast, the initial impact of cyclotron based AMS systems [3] on the direct detection of long-lived radionuclides have lost importance except for noble gases Ar and Kr, which cannot been measured with tandem accelerators [4,5]. Only one experimental cyclotron based AMS system [6] exists, which to date has not reached the state of routine operation. Shortly after the discovery that radiocarbon measurements are possible with tandem accelerators, it was realized that the instrumentation initially used would not be able to cope with the requirements of this new powerful technique. Neither the necessary sample throughput nor the desired overall precision could be reached with the instruments available at that time. Already at the first AMS conference in 1978, Kenneth Purser presented the first proposal for a dedicated AMS system [7]. The first two spectrometers of this type were produced by General Ionex Corporation and commissioned at the Universities of Arizona and Toron-to [8]. Later, such systems were acquired by Oxford Univer…","author":[{"dropping-particle":"","family":"Synal","given":"Hans-Arno","non-dropping-particle":"","parse-names":false,"suffix":""},{"dropping-particle":"","family":"Wacker","given":"Lukas","non-dropping-particle":"","parse-names":false,"suffix":""}],"container-title":"Nuclear Instruments and Methods in Physics Research Section B: Beam Interactions with Materials and Atoms","id":"ITEM-1","issue":"7-8","issued":{"date-parts":[["2010","4"]]},"page":"701-707","title":"AMS measurement technique after 30years: Possibilities and limitations of low energy systems","type":"article-journal","volume":"268"},"uris":["http://www.mendeley.com/documents/?uuid=ad644956-0a5b-300c-bb4c-793b06d4ccc1"]}],"mendeley":{"formattedCitation":"[43]","plainTextFormattedCitation":"[43]","previouslyFormattedCitation":"[43]"},"properties":{"noteIndex":0},"schema":"https://github.com/citation-style-language/schema/raw/master/csl-citation.json"}</w:instrText>
      </w:r>
      <w:r w:rsidR="00D56AEE">
        <w:rPr>
          <w:sz w:val="24"/>
        </w:rPr>
        <w:fldChar w:fldCharType="separate"/>
      </w:r>
      <w:r w:rsidR="007D1AB4" w:rsidRPr="007D1AB4">
        <w:rPr>
          <w:noProof/>
          <w:sz w:val="24"/>
        </w:rPr>
        <w:t>[43]</w:t>
      </w:r>
      <w:r w:rsidR="00D56AEE">
        <w:rPr>
          <w:sz w:val="24"/>
        </w:rPr>
        <w:fldChar w:fldCharType="end"/>
      </w:r>
      <w:r w:rsidR="00D56AEE">
        <w:rPr>
          <w:sz w:val="24"/>
        </w:rPr>
        <w:t>.</w:t>
      </w:r>
      <w:r w:rsidR="00497545">
        <w:rPr>
          <w:sz w:val="24"/>
        </w:rPr>
        <w:t xml:space="preserve"> T</w:t>
      </w:r>
      <w:r>
        <w:rPr>
          <w:sz w:val="24"/>
        </w:rPr>
        <w:t>he technique was applied to soils from this project using similar techniques to break down the solid media</w:t>
      </w:r>
      <w:r w:rsidR="00DE0E4E">
        <w:rPr>
          <w:sz w:val="24"/>
        </w:rPr>
        <w:t xml:space="preserve"> as shown in </w:t>
      </w:r>
      <w:r w:rsidR="00AD4F46">
        <w:rPr>
          <w:sz w:val="24"/>
        </w:rPr>
        <w:t>Chamizo et al.</w:t>
      </w:r>
      <w:r w:rsidR="00D56AEE">
        <w:rPr>
          <w:sz w:val="24"/>
        </w:rPr>
        <w:t xml:space="preserve"> </w:t>
      </w:r>
      <w:r w:rsidR="00D56AEE">
        <w:rPr>
          <w:sz w:val="24"/>
        </w:rPr>
        <w:fldChar w:fldCharType="begin" w:fldLock="1"/>
      </w:r>
      <w:r w:rsidR="000B0F18">
        <w:rPr>
          <w:sz w:val="24"/>
        </w:rPr>
        <w:instrText>ADDIN CSL_CITATION {"citationItems":[{"id":"ITEM-1","itemData":{"DOI":"10.1016/J.NIMB.2015.02.066","ISSN":"0168-583X","abstract":"The performance of the 1MV AMS system at the CNA (Centro Nacional de Aceleradores, Seville, Spain) for 236U and 239,240Pu measurements has been extensively investigated. A very promising 236U/238U abundance sensitivity of about 3×10−11 has been recently achieved, and background figures for 239Pu of about 106 atoms were reported in the past. These promising results lead to the use of conventional low energy AMS systems for the analysis of 236U and 239Pu and its further application in environmental studies. First 236U results obtained on our AMS system for marine samples (sediments and water) are presented here. Results of two new IAEA reference materials (IAEA-410 and IAEA-412, marine sediments from Pacific Ocean) are reported. The obtained 236U/239Pu atom ratios, of 0.12 and 0.022, respectively, show a dependency with the contamination source (i.e. local fallout from the US tests performed at the Bikini Atoll and general fallout). The results obtained for a third IAEA reference material (IAEA-381, seawater from the Irish Sea), are also presented. In the following, the uranium and plutonium isotopic compositions obtained on a set of 5 intercomparison seawater samples from the Arctic Ocean provided by the ETH Zürich are discussed. By comparing them with the obtained results on the 600kV AMS facility Tandy at the ETH Zürich, we demonstrate the solidity of the CNA technique for 236U/238U determinations at, at least, 7×10−10 level. Finally, these results are discussed in their environmental context.","author":[{"dropping-particle":"","family":"Chamizo","given":"Elena","non-dropping-particle":"","parse-names":false,"suffix":""},{"dropping-particle":"","family":"López-Lora","given":"Mercedes","non-dropping-particle":"","parse-names":false,"suffix":""},{"dropping-particle":"","family":"Villa","given":"María","non-dropping-particle":"","parse-names":false,"suffix":""},{"dropping-particle":"","family":"Casacuberta","given":"Núria","non-dropping-particle":"","parse-names":false,"suffix":""},{"dropping-particle":"","family":"López-Gutiérrez","given":"José María","non-dropping-particle":"","parse-names":false,"suffix":""},{"dropping-particle":"","family":"Pham","given":"Mai Khanh","non-dropping-particle":"","parse-names":false,"suffix":""}],"container-title":"Nuclear Instruments and Methods in Physics Research Section B: Beam Interactions with Materials and Atoms","id":"ITEM-1","issued":{"date-parts":[["2015","10","15"]]},"page":"535-540","publisher":"North-Holland","title":"Analysis of 236U and plutonium isotopes, 239,240Pu, on the 1 MV AMS system at the Centro Nacional de Aceleradores, as a potential tool in oceanography","type":"article-journal","volume":"361"},"uris":["http://www.mendeley.com/documents/?uuid=e32a6b30-fb21-361b-8943-64e299596310"]}],"mendeley":{"formattedCitation":"[44]","plainTextFormattedCitation":"[44]","previouslyFormattedCitation":"[44]"},"properties":{"noteIndex":0},"schema":"https://github.com/citation-style-language/schema/raw/master/csl-citation.json"}</w:instrText>
      </w:r>
      <w:r w:rsidR="00D56AEE">
        <w:rPr>
          <w:sz w:val="24"/>
        </w:rPr>
        <w:fldChar w:fldCharType="separate"/>
      </w:r>
      <w:r w:rsidR="007D1AB4" w:rsidRPr="007D1AB4">
        <w:rPr>
          <w:noProof/>
          <w:sz w:val="24"/>
        </w:rPr>
        <w:t>[44]</w:t>
      </w:r>
      <w:r w:rsidR="00D56AEE">
        <w:rPr>
          <w:sz w:val="24"/>
        </w:rPr>
        <w:fldChar w:fldCharType="end"/>
      </w:r>
      <w:r w:rsidR="00AD4F46">
        <w:rPr>
          <w:sz w:val="24"/>
        </w:rPr>
        <w:t>.</w:t>
      </w:r>
    </w:p>
    <w:p w14:paraId="50D4FACA" w14:textId="4C03F3B1" w:rsidR="00F37CA9" w:rsidRPr="00C07361" w:rsidRDefault="00F37CA9" w:rsidP="00F37CA9">
      <w:pPr>
        <w:tabs>
          <w:tab w:val="left" w:pos="3075"/>
        </w:tabs>
        <w:spacing w:line="480" w:lineRule="auto"/>
        <w:ind w:firstLine="567"/>
        <w:rPr>
          <w:sz w:val="24"/>
        </w:rPr>
      </w:pPr>
      <w:r>
        <w:rPr>
          <w:sz w:val="24"/>
        </w:rPr>
        <w:lastRenderedPageBreak/>
        <w:t>AMS was invaluable in th</w:t>
      </w:r>
      <w:r w:rsidR="00A24352">
        <w:rPr>
          <w:sz w:val="24"/>
        </w:rPr>
        <w:t>is</w:t>
      </w:r>
      <w:r>
        <w:rPr>
          <w:sz w:val="24"/>
        </w:rPr>
        <w:t xml:space="preserve"> study as its measurements provided high-resolution </w:t>
      </w:r>
      <w:r w:rsidR="00A24352">
        <w:rPr>
          <w:sz w:val="24"/>
        </w:rPr>
        <w:t>assessment</w:t>
      </w:r>
      <w:r>
        <w:rPr>
          <w:sz w:val="24"/>
        </w:rPr>
        <w:t xml:space="preserve"> of</w:t>
      </w:r>
      <w:r w:rsidR="00A24352">
        <w:rPr>
          <w:sz w:val="24"/>
        </w:rPr>
        <w:t xml:space="preserve"> the</w:t>
      </w:r>
      <w:r>
        <w:rPr>
          <w:sz w:val="24"/>
        </w:rPr>
        <w:t xml:space="preserve"> plutonium isotopes within the samples. This was then translated into the expected neutron emission from the plutonium isotopes within the samples, when paired with spontaneous fission and </w:t>
      </w:r>
      <w:r>
        <w:rPr>
          <w:rFonts w:cstheme="minorHAnsi"/>
          <w:sz w:val="24"/>
        </w:rPr>
        <w:t>α-emission rates to compare directly with the measured neutron emissions. Further to providing comparisons, knowledge of plutonium concentration within the samples allows additional speculation on the origin of said actinides which is helpful in decommissioning management practices</w:t>
      </w:r>
      <w:r w:rsidR="00A24352">
        <w:rPr>
          <w:rFonts w:cstheme="minorHAnsi"/>
          <w:sz w:val="24"/>
        </w:rPr>
        <w:t xml:space="preserve"> and wider forensic possibilities</w:t>
      </w:r>
      <w:r>
        <w:rPr>
          <w:rFonts w:cstheme="minorHAnsi"/>
          <w:sz w:val="24"/>
        </w:rPr>
        <w:t>.</w:t>
      </w:r>
    </w:p>
    <w:p w14:paraId="15A5FB6A" w14:textId="77777777" w:rsidR="00F37CA9" w:rsidRDefault="00F37CA9" w:rsidP="00F37CA9">
      <w:pPr>
        <w:spacing w:line="480" w:lineRule="auto"/>
        <w:rPr>
          <w:b/>
          <w:sz w:val="24"/>
          <w:szCs w:val="24"/>
        </w:rPr>
      </w:pPr>
    </w:p>
    <w:p w14:paraId="1BAAD7CB" w14:textId="77777777" w:rsidR="00F37CA9" w:rsidRPr="006B0A03" w:rsidRDefault="00F37CA9" w:rsidP="00F37CA9">
      <w:pPr>
        <w:spacing w:line="480" w:lineRule="auto"/>
        <w:rPr>
          <w:b/>
          <w:sz w:val="28"/>
          <w:szCs w:val="24"/>
        </w:rPr>
      </w:pPr>
      <w:r w:rsidRPr="006B0A03">
        <w:rPr>
          <w:b/>
          <w:sz w:val="28"/>
          <w:szCs w:val="24"/>
        </w:rPr>
        <w:t>1.8 Summary</w:t>
      </w:r>
    </w:p>
    <w:p w14:paraId="042548C3" w14:textId="2F2BF950" w:rsidR="00F37CA9" w:rsidRDefault="00497545" w:rsidP="00F37CA9">
      <w:pPr>
        <w:pStyle w:val="BodyText"/>
        <w:spacing w:line="480" w:lineRule="auto"/>
        <w:ind w:firstLine="567"/>
        <w:jc w:val="left"/>
        <w:rPr>
          <w:rFonts w:asciiTheme="minorHAnsi" w:hAnsiTheme="minorHAnsi"/>
          <w:sz w:val="24"/>
          <w:szCs w:val="24"/>
        </w:rPr>
      </w:pPr>
      <w:r>
        <w:rPr>
          <w:rFonts w:asciiTheme="minorHAnsi" w:hAnsiTheme="minorHAnsi"/>
          <w:sz w:val="24"/>
          <w:szCs w:val="24"/>
        </w:rPr>
        <w:t xml:space="preserve">Neutron detection can be used to identify the presence of fissile material, most notably </w:t>
      </w:r>
      <w:r>
        <w:rPr>
          <w:rFonts w:asciiTheme="minorHAnsi" w:hAnsiTheme="minorHAnsi"/>
          <w:sz w:val="24"/>
          <w:szCs w:val="24"/>
          <w:vertAlign w:val="superscript"/>
        </w:rPr>
        <w:t>242</w:t>
      </w:r>
      <w:r>
        <w:rPr>
          <w:rFonts w:asciiTheme="minorHAnsi" w:hAnsiTheme="minorHAnsi"/>
          <w:sz w:val="24"/>
          <w:szCs w:val="24"/>
        </w:rPr>
        <w:t xml:space="preserve">Pu but also other decay products predominantly of the actinide decay chain.  </w:t>
      </w:r>
      <w:r w:rsidR="00F37CA9">
        <w:rPr>
          <w:rFonts w:asciiTheme="minorHAnsi" w:hAnsiTheme="minorHAnsi"/>
          <w:sz w:val="24"/>
          <w:szCs w:val="24"/>
        </w:rPr>
        <w:t>Gamma-ray spectrometry provide</w:t>
      </w:r>
      <w:r w:rsidR="00A24352">
        <w:rPr>
          <w:rFonts w:asciiTheme="minorHAnsi" w:hAnsiTheme="minorHAnsi"/>
          <w:sz w:val="24"/>
          <w:szCs w:val="24"/>
        </w:rPr>
        <w:t xml:space="preserve">s </w:t>
      </w:r>
      <w:r w:rsidR="00F37CA9">
        <w:rPr>
          <w:rFonts w:asciiTheme="minorHAnsi" w:hAnsiTheme="minorHAnsi"/>
          <w:sz w:val="24"/>
          <w:szCs w:val="24"/>
        </w:rPr>
        <w:t xml:space="preserve">knowledge of gamma-ray emitters within each sample, confirming initial </w:t>
      </w:r>
      <w:r w:rsidR="00A24352">
        <w:rPr>
          <w:rFonts w:asciiTheme="minorHAnsi" w:hAnsiTheme="minorHAnsi"/>
          <w:sz w:val="24"/>
          <w:szCs w:val="24"/>
        </w:rPr>
        <w:t>assumptions</w:t>
      </w:r>
      <w:r w:rsidR="00F37CA9">
        <w:rPr>
          <w:rFonts w:asciiTheme="minorHAnsi" w:hAnsiTheme="minorHAnsi"/>
          <w:sz w:val="24"/>
          <w:szCs w:val="24"/>
        </w:rPr>
        <w:t xml:space="preserve"> of the</w:t>
      </w:r>
      <w:r w:rsidR="00A24352">
        <w:rPr>
          <w:rFonts w:asciiTheme="minorHAnsi" w:hAnsiTheme="minorHAnsi"/>
          <w:sz w:val="24"/>
          <w:szCs w:val="24"/>
        </w:rPr>
        <w:t xml:space="preserve"> relatively</w:t>
      </w:r>
      <w:r w:rsidR="00F37CA9">
        <w:rPr>
          <w:rFonts w:asciiTheme="minorHAnsi" w:hAnsiTheme="minorHAnsi"/>
          <w:sz w:val="24"/>
          <w:szCs w:val="24"/>
        </w:rPr>
        <w:t xml:space="preserve"> high uranium character of the sample soils, while AMS g</w:t>
      </w:r>
      <w:r w:rsidR="00A24352">
        <w:rPr>
          <w:rFonts w:asciiTheme="minorHAnsi" w:hAnsiTheme="minorHAnsi"/>
          <w:sz w:val="24"/>
          <w:szCs w:val="24"/>
        </w:rPr>
        <w:t>ives</w:t>
      </w:r>
      <w:r w:rsidR="00F37CA9">
        <w:rPr>
          <w:rFonts w:asciiTheme="minorHAnsi" w:hAnsiTheme="minorHAnsi"/>
          <w:sz w:val="24"/>
          <w:szCs w:val="24"/>
        </w:rPr>
        <w:t xml:space="preserve"> the concentrations of </w:t>
      </w:r>
      <w:r w:rsidR="00F37CA9" w:rsidRPr="00D0131D">
        <w:rPr>
          <w:rFonts w:asciiTheme="minorHAnsi" w:hAnsiTheme="minorHAnsi"/>
          <w:sz w:val="24"/>
          <w:szCs w:val="24"/>
          <w:vertAlign w:val="superscript"/>
        </w:rPr>
        <w:t>236</w:t>
      </w:r>
      <w:r w:rsidR="00F37CA9">
        <w:rPr>
          <w:rFonts w:asciiTheme="minorHAnsi" w:hAnsiTheme="minorHAnsi"/>
          <w:sz w:val="24"/>
          <w:szCs w:val="24"/>
        </w:rPr>
        <w:t xml:space="preserve">U, </w:t>
      </w:r>
      <w:r w:rsidR="00F37CA9" w:rsidRPr="00D0131D">
        <w:rPr>
          <w:rFonts w:asciiTheme="minorHAnsi" w:hAnsiTheme="minorHAnsi"/>
          <w:sz w:val="24"/>
          <w:szCs w:val="24"/>
          <w:vertAlign w:val="superscript"/>
        </w:rPr>
        <w:t>239</w:t>
      </w:r>
      <w:r w:rsidR="00F37CA9">
        <w:rPr>
          <w:rFonts w:asciiTheme="minorHAnsi" w:hAnsiTheme="minorHAnsi"/>
          <w:sz w:val="24"/>
          <w:szCs w:val="24"/>
        </w:rPr>
        <w:t>Pu,</w:t>
      </w:r>
      <w:r w:rsidR="00F37CA9" w:rsidRPr="00D0131D">
        <w:rPr>
          <w:rFonts w:asciiTheme="minorHAnsi" w:hAnsiTheme="minorHAnsi"/>
          <w:sz w:val="24"/>
          <w:szCs w:val="24"/>
          <w:vertAlign w:val="superscript"/>
        </w:rPr>
        <w:t>240</w:t>
      </w:r>
      <w:r w:rsidR="00F37CA9">
        <w:rPr>
          <w:rFonts w:asciiTheme="minorHAnsi" w:hAnsiTheme="minorHAnsi"/>
          <w:sz w:val="24"/>
          <w:szCs w:val="24"/>
        </w:rPr>
        <w:t>Pu,</w:t>
      </w:r>
      <w:r w:rsidR="00F37CA9" w:rsidRPr="00D0131D">
        <w:rPr>
          <w:rFonts w:asciiTheme="minorHAnsi" w:hAnsiTheme="minorHAnsi"/>
          <w:sz w:val="24"/>
          <w:szCs w:val="24"/>
          <w:vertAlign w:val="superscript"/>
        </w:rPr>
        <w:t>242</w:t>
      </w:r>
      <w:r w:rsidR="00F37CA9">
        <w:rPr>
          <w:rFonts w:asciiTheme="minorHAnsi" w:hAnsiTheme="minorHAnsi"/>
          <w:sz w:val="24"/>
          <w:szCs w:val="24"/>
        </w:rPr>
        <w:t xml:space="preserve">Pu, and the 244-isobar including both </w:t>
      </w:r>
      <w:r w:rsidR="00F37CA9" w:rsidRPr="00383890">
        <w:rPr>
          <w:rFonts w:asciiTheme="minorHAnsi" w:hAnsiTheme="minorHAnsi"/>
          <w:sz w:val="24"/>
          <w:szCs w:val="24"/>
          <w:vertAlign w:val="superscript"/>
        </w:rPr>
        <w:t>244</w:t>
      </w:r>
      <w:r w:rsidR="00F37CA9">
        <w:rPr>
          <w:rFonts w:asciiTheme="minorHAnsi" w:hAnsiTheme="minorHAnsi"/>
          <w:sz w:val="24"/>
          <w:szCs w:val="24"/>
        </w:rPr>
        <w:t xml:space="preserve">Pu and </w:t>
      </w:r>
      <w:r w:rsidR="00F37CA9" w:rsidRPr="00383890">
        <w:rPr>
          <w:rFonts w:asciiTheme="minorHAnsi" w:hAnsiTheme="minorHAnsi"/>
          <w:sz w:val="24"/>
          <w:szCs w:val="24"/>
          <w:vertAlign w:val="superscript"/>
        </w:rPr>
        <w:t>244</w:t>
      </w:r>
      <w:r w:rsidR="00F37CA9">
        <w:rPr>
          <w:rFonts w:asciiTheme="minorHAnsi" w:hAnsiTheme="minorHAnsi"/>
          <w:sz w:val="24"/>
          <w:szCs w:val="24"/>
        </w:rPr>
        <w:t>Cm.</w:t>
      </w:r>
    </w:p>
    <w:p w14:paraId="4BADB0BE" w14:textId="5EB7D7D8" w:rsidR="00F37CA9" w:rsidRDefault="00F37CA9" w:rsidP="00C51BCF">
      <w:pPr>
        <w:pStyle w:val="BodyText"/>
        <w:spacing w:line="480" w:lineRule="auto"/>
        <w:ind w:firstLine="567"/>
        <w:jc w:val="left"/>
        <w:rPr>
          <w:b/>
          <w:sz w:val="28"/>
        </w:rPr>
      </w:pPr>
      <w:r>
        <w:rPr>
          <w:rFonts w:asciiTheme="minorHAnsi" w:hAnsiTheme="minorHAnsi"/>
          <w:sz w:val="24"/>
          <w:szCs w:val="24"/>
        </w:rPr>
        <w:t xml:space="preserve">The results from each set of measurements are presented and discussed individually and in conjunction with one another to draw potential conclusions on the radioactive character of each sample, and ultimately draw conclusions of whether </w:t>
      </w:r>
      <w:r w:rsidR="00497545">
        <w:rPr>
          <w:rFonts w:asciiTheme="minorHAnsi" w:hAnsiTheme="minorHAnsi"/>
          <w:sz w:val="24"/>
          <w:szCs w:val="24"/>
        </w:rPr>
        <w:t>each set of</w:t>
      </w:r>
      <w:r>
        <w:rPr>
          <w:rFonts w:asciiTheme="minorHAnsi" w:hAnsiTheme="minorHAnsi"/>
          <w:sz w:val="24"/>
          <w:szCs w:val="24"/>
        </w:rPr>
        <w:t xml:space="preserve"> measurements match. The conclusions are then presented and potential future work discussed, along with possible applications for the methods </w:t>
      </w:r>
      <w:r w:rsidR="00A24352">
        <w:rPr>
          <w:rFonts w:asciiTheme="minorHAnsi" w:hAnsiTheme="minorHAnsi"/>
          <w:sz w:val="24"/>
          <w:szCs w:val="24"/>
        </w:rPr>
        <w:t>investigated in this research</w:t>
      </w:r>
      <w:r>
        <w:rPr>
          <w:rFonts w:asciiTheme="minorHAnsi" w:hAnsiTheme="minorHAnsi"/>
          <w:sz w:val="24"/>
          <w:szCs w:val="24"/>
        </w:rPr>
        <w:t>.</w:t>
      </w:r>
      <w:r>
        <w:rPr>
          <w:b/>
          <w:sz w:val="28"/>
        </w:rPr>
        <w:br w:type="page"/>
      </w:r>
    </w:p>
    <w:p w14:paraId="6F32B347" w14:textId="77777777" w:rsidR="00F37CA9" w:rsidRPr="006952A2" w:rsidRDefault="00F37CA9" w:rsidP="00F37CA9">
      <w:pPr>
        <w:spacing w:line="480" w:lineRule="auto"/>
        <w:rPr>
          <w:rFonts w:cstheme="minorHAnsi"/>
          <w:b/>
          <w:sz w:val="32"/>
          <w:szCs w:val="24"/>
          <w:u w:val="single"/>
        </w:rPr>
      </w:pPr>
      <w:bookmarkStart w:id="8" w:name="_Hlk1586716"/>
      <w:bookmarkEnd w:id="8"/>
      <w:r w:rsidRPr="006952A2">
        <w:rPr>
          <w:rFonts w:cstheme="minorHAnsi"/>
          <w:b/>
          <w:sz w:val="32"/>
          <w:szCs w:val="24"/>
          <w:u w:val="single"/>
        </w:rPr>
        <w:lastRenderedPageBreak/>
        <w:t xml:space="preserve">Chapter 2 </w:t>
      </w:r>
    </w:p>
    <w:p w14:paraId="36CC6F8B" w14:textId="44DF925A" w:rsidR="008C7941" w:rsidRPr="008C7941" w:rsidRDefault="00F37CA9" w:rsidP="008C7941">
      <w:pPr>
        <w:pStyle w:val="ListParagraph"/>
        <w:numPr>
          <w:ilvl w:val="0"/>
          <w:numId w:val="8"/>
        </w:numPr>
        <w:spacing w:line="480" w:lineRule="auto"/>
        <w:rPr>
          <w:rFonts w:cstheme="minorHAnsi"/>
          <w:b/>
          <w:sz w:val="32"/>
          <w:szCs w:val="24"/>
        </w:rPr>
      </w:pPr>
      <w:r w:rsidRPr="008C7941">
        <w:rPr>
          <w:rFonts w:cstheme="minorHAnsi"/>
          <w:b/>
          <w:sz w:val="32"/>
          <w:szCs w:val="24"/>
        </w:rPr>
        <w:t>Experimental Methods</w:t>
      </w:r>
    </w:p>
    <w:p w14:paraId="3B1C968F" w14:textId="77777777" w:rsidR="00F37CA9" w:rsidRPr="008B1C34" w:rsidRDefault="00F37CA9" w:rsidP="00F37CA9">
      <w:pPr>
        <w:spacing w:line="480" w:lineRule="auto"/>
        <w:rPr>
          <w:rFonts w:cstheme="minorHAnsi"/>
          <w:b/>
          <w:sz w:val="28"/>
          <w:szCs w:val="24"/>
        </w:rPr>
      </w:pPr>
      <w:r>
        <w:rPr>
          <w:rFonts w:cstheme="minorHAnsi"/>
          <w:b/>
          <w:sz w:val="28"/>
          <w:szCs w:val="24"/>
        </w:rPr>
        <w:t>2</w:t>
      </w:r>
      <w:r w:rsidRPr="008B1C34">
        <w:rPr>
          <w:rFonts w:cstheme="minorHAnsi"/>
          <w:b/>
          <w:sz w:val="28"/>
          <w:szCs w:val="24"/>
        </w:rPr>
        <w:t>.1 Samples</w:t>
      </w:r>
    </w:p>
    <w:p w14:paraId="36515259" w14:textId="7F2CA296" w:rsidR="002D1CD3" w:rsidRDefault="00F37CA9" w:rsidP="00F37CA9">
      <w:pPr>
        <w:spacing w:line="480" w:lineRule="auto"/>
        <w:ind w:firstLine="567"/>
        <w:rPr>
          <w:rFonts w:cstheme="minorHAnsi"/>
          <w:sz w:val="24"/>
          <w:szCs w:val="24"/>
        </w:rPr>
      </w:pPr>
      <w:r w:rsidRPr="00AF04C7">
        <w:rPr>
          <w:rFonts w:cstheme="minorHAnsi"/>
          <w:sz w:val="24"/>
          <w:szCs w:val="24"/>
        </w:rPr>
        <w:t xml:space="preserve">Ten soil samples were provided by Dounreay Site Restoration Ltd. to be analysed </w:t>
      </w:r>
      <w:r w:rsidR="00DE75C9">
        <w:rPr>
          <w:rFonts w:cstheme="minorHAnsi"/>
          <w:sz w:val="24"/>
          <w:szCs w:val="24"/>
        </w:rPr>
        <w:t>in this research</w:t>
      </w:r>
      <w:r w:rsidRPr="00AF04C7">
        <w:rPr>
          <w:rFonts w:cstheme="minorHAnsi"/>
          <w:sz w:val="24"/>
          <w:szCs w:val="24"/>
        </w:rPr>
        <w:t>. The ten soils were provided in one-litre</w:t>
      </w:r>
      <w:r w:rsidR="00DE75C9">
        <w:rPr>
          <w:rFonts w:cstheme="minorHAnsi"/>
          <w:sz w:val="24"/>
          <w:szCs w:val="24"/>
        </w:rPr>
        <w:t>,</w:t>
      </w:r>
      <w:r w:rsidRPr="00AF04C7">
        <w:rPr>
          <w:rFonts w:cstheme="minorHAnsi"/>
          <w:sz w:val="24"/>
          <w:szCs w:val="24"/>
        </w:rPr>
        <w:t xml:space="preserve"> air-tight containers and labelled as DSRL1 through 10.</w:t>
      </w:r>
      <w:r w:rsidR="00177B0A">
        <w:rPr>
          <w:rFonts w:cstheme="minorHAnsi"/>
          <w:sz w:val="24"/>
          <w:szCs w:val="24"/>
        </w:rPr>
        <w:t xml:space="preserve"> These samples were approximately 1 kg mass when dried.</w:t>
      </w:r>
      <w:r w:rsidRPr="00AF04C7">
        <w:rPr>
          <w:rFonts w:cstheme="minorHAnsi"/>
          <w:sz w:val="24"/>
          <w:szCs w:val="24"/>
        </w:rPr>
        <w:t xml:space="preserve"> Two samples from off-site at Dounreay (DSRLB1 and DSRLB2) were collected by DSRL staff</w:t>
      </w:r>
      <w:r w:rsidR="00DE75C9">
        <w:rPr>
          <w:rFonts w:cstheme="minorHAnsi"/>
          <w:sz w:val="24"/>
          <w:szCs w:val="24"/>
        </w:rPr>
        <w:t xml:space="preserve"> near to the site</w:t>
      </w:r>
      <w:r w:rsidRPr="00AF04C7">
        <w:rPr>
          <w:rFonts w:cstheme="minorHAnsi"/>
          <w:sz w:val="24"/>
          <w:szCs w:val="24"/>
        </w:rPr>
        <w:t xml:space="preserve"> and provided later in the project to </w:t>
      </w:r>
      <w:r w:rsidR="00DE75C9">
        <w:rPr>
          <w:rFonts w:cstheme="minorHAnsi"/>
          <w:sz w:val="24"/>
          <w:szCs w:val="24"/>
        </w:rPr>
        <w:t>serve</w:t>
      </w:r>
      <w:r w:rsidRPr="00AF04C7">
        <w:rPr>
          <w:rFonts w:cstheme="minorHAnsi"/>
          <w:sz w:val="24"/>
          <w:szCs w:val="24"/>
        </w:rPr>
        <w:t xml:space="preserve"> as appropriate comparison samples from within the </w:t>
      </w:r>
      <w:r w:rsidR="00DE75C9">
        <w:rPr>
          <w:rFonts w:cstheme="minorHAnsi"/>
          <w:sz w:val="24"/>
          <w:szCs w:val="24"/>
        </w:rPr>
        <w:t xml:space="preserve">local </w:t>
      </w:r>
      <w:r w:rsidRPr="00AF04C7">
        <w:rPr>
          <w:rFonts w:cstheme="minorHAnsi"/>
          <w:sz w:val="24"/>
          <w:szCs w:val="24"/>
        </w:rPr>
        <w:t>area</w:t>
      </w:r>
      <w:r w:rsidR="00177B0A">
        <w:rPr>
          <w:rFonts w:cstheme="minorHAnsi"/>
          <w:sz w:val="24"/>
          <w:szCs w:val="24"/>
        </w:rPr>
        <w:t>, these two samples had a mass of approximately 2 kg dried</w:t>
      </w:r>
      <w:r w:rsidRPr="00AF04C7">
        <w:rPr>
          <w:rFonts w:cstheme="minorHAnsi"/>
          <w:sz w:val="24"/>
          <w:szCs w:val="24"/>
        </w:rPr>
        <w:t xml:space="preserve">. </w:t>
      </w:r>
      <w:r w:rsidR="002D1CD3">
        <w:rPr>
          <w:rFonts w:cstheme="minorHAnsi"/>
          <w:sz w:val="24"/>
          <w:szCs w:val="24"/>
        </w:rPr>
        <w:t xml:space="preserve">The locations on-site </w:t>
      </w:r>
      <w:r w:rsidR="00DE75C9">
        <w:rPr>
          <w:rFonts w:cstheme="minorHAnsi"/>
          <w:sz w:val="24"/>
          <w:szCs w:val="24"/>
        </w:rPr>
        <w:t>were</w:t>
      </w:r>
      <w:r w:rsidR="002D1CD3">
        <w:rPr>
          <w:rFonts w:cstheme="minorHAnsi"/>
          <w:sz w:val="24"/>
          <w:szCs w:val="24"/>
        </w:rPr>
        <w:t xml:space="preserve"> not </w:t>
      </w:r>
      <w:r w:rsidR="00DE75C9">
        <w:rPr>
          <w:rFonts w:cstheme="minorHAnsi"/>
          <w:sz w:val="24"/>
          <w:szCs w:val="24"/>
        </w:rPr>
        <w:t>disclosed</w:t>
      </w:r>
      <w:r w:rsidR="002D1CD3">
        <w:rPr>
          <w:rFonts w:cstheme="minorHAnsi"/>
          <w:sz w:val="24"/>
          <w:szCs w:val="24"/>
        </w:rPr>
        <w:t xml:space="preserve"> </w:t>
      </w:r>
      <w:r w:rsidR="00660D8D">
        <w:rPr>
          <w:rFonts w:cstheme="minorHAnsi"/>
          <w:sz w:val="24"/>
          <w:szCs w:val="24"/>
        </w:rPr>
        <w:t xml:space="preserve">and </w:t>
      </w:r>
      <w:r w:rsidR="00DE75C9">
        <w:rPr>
          <w:rFonts w:cstheme="minorHAnsi"/>
          <w:sz w:val="24"/>
          <w:szCs w:val="24"/>
        </w:rPr>
        <w:t>thus limits the extent of interpretation possible amongst the on-site samples</w:t>
      </w:r>
      <w:r w:rsidR="00660D8D">
        <w:rPr>
          <w:rFonts w:cstheme="minorHAnsi"/>
          <w:sz w:val="24"/>
          <w:szCs w:val="24"/>
        </w:rPr>
        <w:t>.</w:t>
      </w:r>
    </w:p>
    <w:p w14:paraId="52C8C51D" w14:textId="71A44631" w:rsidR="00F37CA9" w:rsidRDefault="00181D75" w:rsidP="00C47226">
      <w:pPr>
        <w:spacing w:line="480" w:lineRule="auto"/>
        <w:ind w:firstLine="567"/>
        <w:rPr>
          <w:rFonts w:cstheme="minorHAnsi"/>
          <w:sz w:val="24"/>
          <w:szCs w:val="24"/>
        </w:rPr>
      </w:pPr>
      <w:r>
        <w:rPr>
          <w:rFonts w:cstheme="minorHAnsi"/>
          <w:sz w:val="24"/>
          <w:szCs w:val="24"/>
        </w:rPr>
        <w:t>T</w:t>
      </w:r>
      <w:r w:rsidR="00F37CA9" w:rsidRPr="00AF04C7">
        <w:rPr>
          <w:rFonts w:cstheme="minorHAnsi"/>
          <w:sz w:val="24"/>
          <w:szCs w:val="24"/>
        </w:rPr>
        <w:t xml:space="preserve">wo </w:t>
      </w:r>
      <w:r>
        <w:rPr>
          <w:rFonts w:cstheme="minorHAnsi"/>
          <w:sz w:val="24"/>
          <w:szCs w:val="24"/>
        </w:rPr>
        <w:t>f</w:t>
      </w:r>
      <w:r w:rsidRPr="00AF04C7">
        <w:rPr>
          <w:rFonts w:cstheme="minorHAnsi"/>
          <w:sz w:val="24"/>
          <w:szCs w:val="24"/>
        </w:rPr>
        <w:t xml:space="preserve">urther </w:t>
      </w:r>
      <w:r w:rsidR="00F37CA9" w:rsidRPr="00AF04C7">
        <w:rPr>
          <w:rFonts w:cstheme="minorHAnsi"/>
          <w:sz w:val="24"/>
          <w:szCs w:val="24"/>
        </w:rPr>
        <w:t>samples were collected</w:t>
      </w:r>
      <w:r w:rsidR="00DE75C9">
        <w:rPr>
          <w:rFonts w:cstheme="minorHAnsi"/>
          <w:sz w:val="24"/>
          <w:szCs w:val="24"/>
        </w:rPr>
        <w:t xml:space="preserve"> </w:t>
      </w:r>
      <w:r w:rsidR="00F37CA9" w:rsidRPr="00AF04C7">
        <w:rPr>
          <w:rFonts w:cstheme="minorHAnsi"/>
          <w:sz w:val="24"/>
          <w:szCs w:val="24"/>
        </w:rPr>
        <w:t xml:space="preserve">from </w:t>
      </w:r>
      <w:r w:rsidR="00DE75C9">
        <w:rPr>
          <w:rFonts w:cstheme="minorHAnsi"/>
          <w:sz w:val="24"/>
          <w:szCs w:val="24"/>
        </w:rPr>
        <w:t>an</w:t>
      </w:r>
      <w:r w:rsidR="00F37CA9" w:rsidRPr="00AF04C7">
        <w:rPr>
          <w:rFonts w:cstheme="minorHAnsi"/>
          <w:sz w:val="24"/>
          <w:szCs w:val="24"/>
        </w:rPr>
        <w:t>other part of the UK; Malham and Biggin, approximately 500 miles from the Dounreay site to provide other UK sample comparisons</w:t>
      </w:r>
      <w:r w:rsidR="001D5646">
        <w:rPr>
          <w:rFonts w:cstheme="minorHAnsi"/>
          <w:sz w:val="24"/>
          <w:szCs w:val="24"/>
        </w:rPr>
        <w:t xml:space="preserve"> and noted in </w:t>
      </w:r>
      <w:r w:rsidR="004D3B0B">
        <w:rPr>
          <w:rFonts w:cstheme="minorHAnsi"/>
          <w:sz w:val="24"/>
          <w:szCs w:val="24"/>
        </w:rPr>
        <w:fldChar w:fldCharType="begin"/>
      </w:r>
      <w:r w:rsidR="004D3B0B">
        <w:rPr>
          <w:rFonts w:cstheme="minorHAnsi"/>
          <w:sz w:val="24"/>
          <w:szCs w:val="24"/>
        </w:rPr>
        <w:instrText xml:space="preserve"> REF _Ref31288121 \h </w:instrText>
      </w:r>
      <w:r w:rsidR="004D3B0B">
        <w:rPr>
          <w:rFonts w:cstheme="minorHAnsi"/>
          <w:sz w:val="24"/>
          <w:szCs w:val="24"/>
        </w:rPr>
      </w:r>
      <w:r w:rsidR="004D3B0B">
        <w:rPr>
          <w:rFonts w:cstheme="minorHAnsi"/>
          <w:sz w:val="24"/>
          <w:szCs w:val="24"/>
        </w:rPr>
        <w:fldChar w:fldCharType="separate"/>
      </w:r>
      <w:r w:rsidR="00161FDC" w:rsidRPr="006077E6">
        <w:rPr>
          <w:sz w:val="20"/>
        </w:rPr>
        <w:t xml:space="preserve">Figure </w:t>
      </w:r>
      <w:r w:rsidR="00161FDC">
        <w:rPr>
          <w:noProof/>
          <w:sz w:val="20"/>
        </w:rPr>
        <w:t>1</w:t>
      </w:r>
      <w:r w:rsidR="004D3B0B">
        <w:rPr>
          <w:rFonts w:cstheme="minorHAnsi"/>
          <w:sz w:val="24"/>
          <w:szCs w:val="24"/>
        </w:rPr>
        <w:fldChar w:fldCharType="end"/>
      </w:r>
      <w:r w:rsidR="00F37CA9" w:rsidRPr="00AF04C7">
        <w:rPr>
          <w:rFonts w:cstheme="minorHAnsi"/>
          <w:sz w:val="24"/>
          <w:szCs w:val="24"/>
        </w:rPr>
        <w:t>.</w:t>
      </w:r>
      <w:r w:rsidR="00177B0A">
        <w:rPr>
          <w:rFonts w:cstheme="minorHAnsi"/>
          <w:sz w:val="24"/>
          <w:szCs w:val="24"/>
        </w:rPr>
        <w:t xml:space="preserve"> These samples weighed approximately 4 kg each dry.</w:t>
      </w:r>
      <w:r w:rsidR="00F37CA9" w:rsidRPr="00AF04C7">
        <w:rPr>
          <w:rFonts w:cstheme="minorHAnsi"/>
          <w:sz w:val="24"/>
          <w:szCs w:val="24"/>
        </w:rPr>
        <w:t xml:space="preserve"> The Malham and Biggin samples were collected following extensive consideration of areas of</w:t>
      </w:r>
      <w:r w:rsidR="00DE75C9">
        <w:rPr>
          <w:rFonts w:cstheme="minorHAnsi"/>
          <w:sz w:val="24"/>
          <w:szCs w:val="24"/>
        </w:rPr>
        <w:t xml:space="preserve"> known</w:t>
      </w:r>
      <w:r w:rsidR="00F37CA9" w:rsidRPr="00AF04C7">
        <w:rPr>
          <w:rFonts w:cstheme="minorHAnsi"/>
          <w:sz w:val="24"/>
          <w:szCs w:val="24"/>
        </w:rPr>
        <w:t xml:space="preserve"> high natural radioactivity in the UK. </w:t>
      </w:r>
      <w:r w:rsidR="00DE75C9">
        <w:rPr>
          <w:rFonts w:cstheme="minorHAnsi"/>
          <w:sz w:val="24"/>
          <w:szCs w:val="24"/>
        </w:rPr>
        <w:t>A variety of</w:t>
      </w:r>
      <w:r w:rsidR="00F37CA9" w:rsidRPr="00AF04C7">
        <w:rPr>
          <w:rFonts w:cstheme="minorHAnsi"/>
          <w:sz w:val="24"/>
          <w:szCs w:val="24"/>
        </w:rPr>
        <w:t xml:space="preserve"> sites were identified as useful, with Malham and Biggin being deemed the most appropriate, </w:t>
      </w:r>
      <w:r w:rsidR="00F37CA9">
        <w:rPr>
          <w:rFonts w:cstheme="minorHAnsi"/>
          <w:sz w:val="24"/>
          <w:szCs w:val="24"/>
        </w:rPr>
        <w:t>due</w:t>
      </w:r>
      <w:r w:rsidR="00F37CA9" w:rsidRPr="00AF04C7">
        <w:rPr>
          <w:rFonts w:cstheme="minorHAnsi"/>
          <w:sz w:val="24"/>
          <w:szCs w:val="24"/>
        </w:rPr>
        <w:t xml:space="preserve"> to their relative locality to the researchers and their status as areas of high </w:t>
      </w:r>
      <w:r w:rsidR="002D1CD3">
        <w:rPr>
          <w:rFonts w:cstheme="minorHAnsi"/>
          <w:sz w:val="24"/>
          <w:szCs w:val="24"/>
        </w:rPr>
        <w:t>concentration of uranium in topsoil</w:t>
      </w:r>
      <w:r w:rsidR="00F37CA9" w:rsidRPr="00AF04C7">
        <w:rPr>
          <w:rFonts w:cstheme="minorHAnsi"/>
          <w:sz w:val="24"/>
          <w:szCs w:val="24"/>
        </w:rPr>
        <w:t>. The two sample sites were reported to have levels of uranium in excess of 4 milligrams per kilogram of soil</w:t>
      </w:r>
      <w:r w:rsidR="00DE75C9">
        <w:rPr>
          <w:rFonts w:cstheme="minorHAnsi"/>
          <w:sz w:val="24"/>
          <w:szCs w:val="24"/>
        </w:rPr>
        <w:t xml:space="preserve"> (4 ppm)</w:t>
      </w:r>
      <w:r w:rsidR="00F37CA9" w:rsidRPr="00AF04C7">
        <w:rPr>
          <w:rFonts w:cstheme="minorHAnsi"/>
          <w:sz w:val="24"/>
          <w:szCs w:val="24"/>
        </w:rPr>
        <w:t>, as shown in Scheib et al</w:t>
      </w:r>
      <w:r w:rsidR="00DE75C9">
        <w:rPr>
          <w:rFonts w:cstheme="minorHAnsi"/>
          <w:sz w:val="24"/>
          <w:szCs w:val="24"/>
        </w:rPr>
        <w:t>.</w:t>
      </w:r>
      <w:r w:rsidR="00C47226">
        <w:rPr>
          <w:rFonts w:cstheme="minorHAnsi"/>
          <w:sz w:val="24"/>
          <w:szCs w:val="24"/>
        </w:rPr>
        <w:t xml:space="preserve">’s “Geological Controls </w:t>
      </w:r>
      <w:r w:rsidR="00F37CA9" w:rsidRPr="00AF04C7">
        <w:rPr>
          <w:rFonts w:cstheme="minorHAnsi"/>
          <w:sz w:val="24"/>
          <w:szCs w:val="24"/>
        </w:rPr>
        <w:t>on Radon Potential in England</w:t>
      </w:r>
      <w:r w:rsidR="00F37CA9">
        <w:rPr>
          <w:rFonts w:cstheme="minorHAnsi"/>
          <w:sz w:val="24"/>
          <w:szCs w:val="24"/>
        </w:rPr>
        <w:t xml:space="preserve"> and Wales</w:t>
      </w:r>
      <w:r w:rsidR="00F37CA9" w:rsidRPr="00AF04C7">
        <w:rPr>
          <w:rFonts w:cstheme="minorHAnsi"/>
          <w:sz w:val="24"/>
          <w:szCs w:val="24"/>
        </w:rPr>
        <w:t xml:space="preserve">” </w:t>
      </w:r>
      <w:r w:rsidR="00D56AEE">
        <w:rPr>
          <w:rFonts w:cstheme="minorHAnsi"/>
          <w:sz w:val="24"/>
          <w:szCs w:val="24"/>
        </w:rPr>
        <w:fldChar w:fldCharType="begin" w:fldLock="1"/>
      </w:r>
      <w:r w:rsidR="00D56AEE">
        <w:rPr>
          <w:rFonts w:cstheme="minorHAnsi"/>
          <w:sz w:val="24"/>
          <w:szCs w:val="24"/>
        </w:rPr>
        <w:instrText>ADDIN CSL_CITATION {"citationItems":[{"id":"ITEM-1","itemData":{"DOI":"10.1016/j.pgeola.2013.03.004","ISSN":"00167878","abstract":"Radon exposure is a chronic and serious geohazard but with the correct knowledge of its distribution provided by an accurate radon potential map, this risk to human health can be reduced through well directed radon testing programmes and building control regulations.The radon potential map presented here, produced by mapping radon concentrations in homes, grouped by underlying geology, provides the most detailed and accurate assessment of radon in England.Bedrock and superficial geology associated with the most radon prone areas are investigated using the joint HPA-BGS radon potential dataset, geological information and, where available, soil geochemistry, airborne radiometric or laboratory analysis.Some of the geological units associated with high radon potential are well known, such as the granite intrusions in south west England, the Carboniferous limestones of Derbyshire and the Jurassic ironstones in Northamptonshire. This study provides a more comprehensive description of the main bedrock geological units associated with intermediate to high radon potential in England including: granites and associated uranium mineralisation in south west England; Devonian, Carboniferous, Permian and Jurassic limestones and dolomites; Devonian, Carboniferous, Jurassic and Cretaceous sandstones; Silurian, Devonian, Lower Carboniferous and Jurassic mudstones; Jurassic ironstones; and some Triassic breccias and conglomerates. Uranium in soil is elevated over many known radon-prone areas but also reflects the accumulation of U in organic-rich soil and peat. Near surface weathering, bedrock fracturing and former working of the ironstones in the English Midlands are all implicated in increased radon potential on these geological units. © 2013 Natural Environment Research Council.","author":[{"dropping-particle":"","family":"Scheib","given":"C.","non-dropping-particle":"","parse-names":false,"suffix":""},{"dropping-particle":"","family":"Appleton","given":"J. D.","non-dropping-particle":"","parse-names":false,"suffix":""},{"dropping-particle":"","family":"Miles","given":"J. C H","non-dropping-particle":"","parse-names":false,"suffix":""},{"dropping-particle":"","family":"Hodgkinson","given":"E.","non-dropping-particle":"","parse-names":false,"suffix":""}],"container-title":"Proceedings of the Geologists' Association","id":"ITEM-1","issue":"6","issued":{"date-parts":[["2013"]]},"page":"910-928","title":"Geological controls on radon potential in England","type":"article-journal","volume":"124"},"uris":["http://www.mendeley.com/documents/?uuid=92d744d1-25f5-4b87-95c0-b7140dd049a8"]}],"mendeley":{"formattedCitation":"[7]","plainTextFormattedCitation":"[7]","previouslyFormattedCitation":"[7]"},"properties":{"noteIndex":0},"schema":"https://github.com/citation-style-language/schema/raw/master/csl-citation.json"}</w:instrText>
      </w:r>
      <w:r w:rsidR="00D56AEE">
        <w:rPr>
          <w:rFonts w:cstheme="minorHAnsi"/>
          <w:sz w:val="24"/>
          <w:szCs w:val="24"/>
        </w:rPr>
        <w:fldChar w:fldCharType="separate"/>
      </w:r>
      <w:r w:rsidR="00D56AEE" w:rsidRPr="00D56AEE">
        <w:rPr>
          <w:rFonts w:cstheme="minorHAnsi"/>
          <w:noProof/>
          <w:sz w:val="24"/>
          <w:szCs w:val="24"/>
        </w:rPr>
        <w:t>[7]</w:t>
      </w:r>
      <w:r w:rsidR="00D56AEE">
        <w:rPr>
          <w:rFonts w:cstheme="minorHAnsi"/>
          <w:sz w:val="24"/>
          <w:szCs w:val="24"/>
        </w:rPr>
        <w:fldChar w:fldCharType="end"/>
      </w:r>
      <w:r w:rsidR="00D56AEE">
        <w:rPr>
          <w:rFonts w:cstheme="minorHAnsi"/>
          <w:sz w:val="24"/>
          <w:szCs w:val="24"/>
        </w:rPr>
        <w:t>,</w:t>
      </w:r>
      <w:r w:rsidR="00DE75C9">
        <w:rPr>
          <w:rFonts w:cstheme="minorHAnsi"/>
          <w:sz w:val="24"/>
          <w:szCs w:val="24"/>
        </w:rPr>
        <w:t xml:space="preserve"> in</w:t>
      </w:r>
      <w:r w:rsidR="00C47226">
        <w:rPr>
          <w:rFonts w:cstheme="minorHAnsi"/>
          <w:sz w:val="24"/>
          <w:szCs w:val="24"/>
        </w:rPr>
        <w:t xml:space="preserve"> </w:t>
      </w:r>
      <w:r w:rsidR="004D3B0B">
        <w:rPr>
          <w:rFonts w:cstheme="minorHAnsi"/>
          <w:sz w:val="24"/>
          <w:szCs w:val="24"/>
        </w:rPr>
        <w:fldChar w:fldCharType="begin"/>
      </w:r>
      <w:r w:rsidR="004D3B0B">
        <w:rPr>
          <w:rFonts w:cstheme="minorHAnsi"/>
          <w:sz w:val="24"/>
          <w:szCs w:val="24"/>
        </w:rPr>
        <w:instrText xml:space="preserve"> REF _Ref31288121 \h </w:instrText>
      </w:r>
      <w:r w:rsidR="004D3B0B">
        <w:rPr>
          <w:rFonts w:cstheme="minorHAnsi"/>
          <w:sz w:val="24"/>
          <w:szCs w:val="24"/>
        </w:rPr>
      </w:r>
      <w:r w:rsidR="004D3B0B">
        <w:rPr>
          <w:rFonts w:cstheme="minorHAnsi"/>
          <w:sz w:val="24"/>
          <w:szCs w:val="24"/>
        </w:rPr>
        <w:fldChar w:fldCharType="separate"/>
      </w:r>
      <w:r w:rsidR="00161FDC" w:rsidRPr="006077E6">
        <w:rPr>
          <w:sz w:val="20"/>
        </w:rPr>
        <w:t xml:space="preserve">Figure </w:t>
      </w:r>
      <w:r w:rsidR="00161FDC">
        <w:rPr>
          <w:noProof/>
          <w:sz w:val="20"/>
        </w:rPr>
        <w:t>1</w:t>
      </w:r>
      <w:r w:rsidR="004D3B0B">
        <w:rPr>
          <w:rFonts w:cstheme="minorHAnsi"/>
          <w:sz w:val="24"/>
          <w:szCs w:val="24"/>
        </w:rPr>
        <w:fldChar w:fldCharType="end"/>
      </w:r>
      <w:r w:rsidR="00F37CA9" w:rsidRPr="00AF04C7">
        <w:rPr>
          <w:rFonts w:cstheme="minorHAnsi"/>
          <w:sz w:val="24"/>
          <w:szCs w:val="24"/>
        </w:rPr>
        <w:t>.</w:t>
      </w:r>
    </w:p>
    <w:p w14:paraId="7B3EC937" w14:textId="48EE713D" w:rsidR="00F37CA9" w:rsidRPr="00AF04C7" w:rsidRDefault="00F37CA9" w:rsidP="00F37CA9">
      <w:pPr>
        <w:spacing w:line="480" w:lineRule="auto"/>
        <w:ind w:firstLine="567"/>
        <w:rPr>
          <w:rFonts w:cstheme="minorHAnsi"/>
          <w:sz w:val="24"/>
          <w:szCs w:val="24"/>
        </w:rPr>
      </w:pPr>
      <w:r>
        <w:rPr>
          <w:rFonts w:cstheme="minorHAnsi"/>
          <w:sz w:val="24"/>
          <w:szCs w:val="24"/>
        </w:rPr>
        <w:lastRenderedPageBreak/>
        <w:t xml:space="preserve">The Malham and Biggin samples were collected by search sampling as described in A. Rahman’s “Decommissioning and Radioactive Waste Management” </w:t>
      </w:r>
      <w:r w:rsidR="00D56AEE">
        <w:rPr>
          <w:rFonts w:cstheme="minorHAnsi"/>
          <w:sz w:val="24"/>
          <w:szCs w:val="24"/>
        </w:rPr>
        <w:fldChar w:fldCharType="begin" w:fldLock="1"/>
      </w:r>
      <w:r w:rsidR="000B0F18">
        <w:rPr>
          <w:rFonts w:cstheme="minorHAnsi"/>
          <w:sz w:val="24"/>
          <w:szCs w:val="24"/>
        </w:rPr>
        <w:instrText>ADDIN CSL_CITATION {"citationItems":[{"id":"ITEM-1","itemData":{"ISBN":"1904445454, 9781904445456","abstract":"'Decommissioning and Radioactive Waste Management' provides a detailed understanding of the issues associated with these processes.","author":[{"dropping-particle":"","family":"Rahman","given":"A.","non-dropping-particle":"","parse-names":false,"suffix":""}],"edition":"Illustrate","id":"ITEM-1","issued":{"date-parts":[["2008"]]},"publisher":"Whittles publishing","title":"Decommissioning and Radioactive Waste Management","type":"book"},"uris":["http://www.mendeley.com/documents/?uuid=5160dde9-41bd-3401-984d-97bb3871de30"]}],"mendeley":{"formattedCitation":"[45]","plainTextFormattedCitation":"[45]","previouslyFormattedCitation":"[45]"},"properties":{"noteIndex":0},"schema":"https://github.com/citation-style-language/schema/raw/master/csl-citation.json"}</w:instrText>
      </w:r>
      <w:r w:rsidR="00D56AEE">
        <w:rPr>
          <w:rFonts w:cstheme="minorHAnsi"/>
          <w:sz w:val="24"/>
          <w:szCs w:val="24"/>
        </w:rPr>
        <w:fldChar w:fldCharType="separate"/>
      </w:r>
      <w:r w:rsidR="007D1AB4" w:rsidRPr="007D1AB4">
        <w:rPr>
          <w:rFonts w:cstheme="minorHAnsi"/>
          <w:noProof/>
          <w:sz w:val="24"/>
          <w:szCs w:val="24"/>
        </w:rPr>
        <w:t>[45]</w:t>
      </w:r>
      <w:r w:rsidR="00D56AEE">
        <w:rPr>
          <w:rFonts w:cstheme="minorHAnsi"/>
          <w:sz w:val="24"/>
          <w:szCs w:val="24"/>
        </w:rPr>
        <w:fldChar w:fldCharType="end"/>
      </w:r>
      <w:r w:rsidR="00D56AEE">
        <w:rPr>
          <w:rFonts w:cstheme="minorHAnsi"/>
          <w:sz w:val="24"/>
          <w:szCs w:val="24"/>
        </w:rPr>
        <w:t>.</w:t>
      </w:r>
      <w:r>
        <w:rPr>
          <w:rFonts w:cstheme="minorHAnsi"/>
          <w:sz w:val="24"/>
          <w:szCs w:val="24"/>
        </w:rPr>
        <w:t xml:space="preserve"> They describe search sampling as sampling with prior information of the location of ‘hot spots’ and a specific value of a parameter is being searched for, as is the case in this study, with a high natural radioactivity of soil being desired</w:t>
      </w:r>
      <w:r w:rsidR="00584176">
        <w:rPr>
          <w:rFonts w:cstheme="minorHAnsi"/>
          <w:sz w:val="24"/>
          <w:szCs w:val="24"/>
        </w:rPr>
        <w:t xml:space="preserve"> for comparison with indigenous activities at Dounreay.</w:t>
      </w:r>
    </w:p>
    <w:p w14:paraId="3402859A" w14:textId="431A7C1C" w:rsidR="007D18D2" w:rsidRDefault="007D18D2" w:rsidP="00F37CA9">
      <w:pPr>
        <w:spacing w:line="480" w:lineRule="auto"/>
        <w:ind w:firstLine="567"/>
        <w:rPr>
          <w:rFonts w:cstheme="minorHAnsi"/>
          <w:sz w:val="24"/>
          <w:szCs w:val="24"/>
        </w:rPr>
      </w:pPr>
      <w:r>
        <w:rPr>
          <w:rFonts w:cstheme="minorHAnsi"/>
          <w:sz w:val="24"/>
          <w:szCs w:val="24"/>
        </w:rPr>
        <w:t>The samples were processed very little during preparation. Each sample was dried and during the drying preparation it was visually confirmed that there was a low rock content within each sample. This was done by mechanically breaking apart larger clumps of soil to no more than approximately 1 cm in diameter, with the trowel used to manipulate the samples. This is important as a sample with significantly more rock may exhibit lower activities and could later present itself as an outlier. It was important to minimise systematic differences in the sample character.</w:t>
      </w:r>
    </w:p>
    <w:p w14:paraId="32BA4176" w14:textId="066B2671" w:rsidR="00F37CA9" w:rsidRPr="00AF04C7" w:rsidRDefault="00F37CA9" w:rsidP="00F37CA9">
      <w:pPr>
        <w:spacing w:line="480" w:lineRule="auto"/>
        <w:ind w:firstLine="567"/>
        <w:rPr>
          <w:rFonts w:cstheme="minorHAnsi"/>
          <w:sz w:val="24"/>
          <w:szCs w:val="24"/>
        </w:rPr>
      </w:pPr>
      <w:r w:rsidRPr="00AF04C7">
        <w:rPr>
          <w:rFonts w:cstheme="minorHAnsi"/>
          <w:sz w:val="24"/>
          <w:szCs w:val="24"/>
        </w:rPr>
        <w:t>To dry, each sample was spread over a steel tray</w:t>
      </w:r>
      <w:r>
        <w:rPr>
          <w:rFonts w:cstheme="minorHAnsi"/>
          <w:sz w:val="24"/>
          <w:szCs w:val="24"/>
        </w:rPr>
        <w:t xml:space="preserve"> to maximise surface area</w:t>
      </w:r>
      <w:r w:rsidR="00301B60">
        <w:rPr>
          <w:rFonts w:cstheme="minorHAnsi"/>
          <w:sz w:val="24"/>
          <w:szCs w:val="24"/>
        </w:rPr>
        <w:t xml:space="preserve"> of each</w:t>
      </w:r>
      <w:r w:rsidRPr="00AF04C7">
        <w:rPr>
          <w:rFonts w:cstheme="minorHAnsi"/>
          <w:sz w:val="24"/>
          <w:szCs w:val="24"/>
        </w:rPr>
        <w:t xml:space="preserve">, then </w:t>
      </w:r>
      <w:r w:rsidR="004F21B7" w:rsidRPr="00AF04C7">
        <w:rPr>
          <w:rFonts w:cstheme="minorHAnsi"/>
          <w:sz w:val="24"/>
          <w:szCs w:val="24"/>
        </w:rPr>
        <w:t xml:space="preserve">thermally </w:t>
      </w:r>
      <w:r w:rsidRPr="00AF04C7">
        <w:rPr>
          <w:rFonts w:cstheme="minorHAnsi"/>
          <w:sz w:val="24"/>
          <w:szCs w:val="24"/>
        </w:rPr>
        <w:t xml:space="preserve">dried in an oven for eight hours at 50 degrees </w:t>
      </w:r>
      <w:r w:rsidR="00584176">
        <w:rPr>
          <w:rFonts w:cstheme="minorHAnsi"/>
          <w:sz w:val="24"/>
          <w:szCs w:val="24"/>
        </w:rPr>
        <w:t>Celsius</w:t>
      </w:r>
      <w:r w:rsidR="00301B60">
        <w:rPr>
          <w:rFonts w:cstheme="minorHAnsi"/>
          <w:sz w:val="24"/>
          <w:szCs w:val="24"/>
        </w:rPr>
        <w:t>.</w:t>
      </w:r>
      <w:r w:rsidRPr="00AF04C7">
        <w:rPr>
          <w:rFonts w:cstheme="minorHAnsi"/>
          <w:sz w:val="24"/>
          <w:szCs w:val="24"/>
        </w:rPr>
        <w:t xml:space="preserve"> </w:t>
      </w:r>
      <w:r w:rsidR="00301B60">
        <w:rPr>
          <w:rFonts w:cstheme="minorHAnsi"/>
          <w:sz w:val="24"/>
          <w:szCs w:val="24"/>
        </w:rPr>
        <w:t>Following drying, t</w:t>
      </w:r>
      <w:r w:rsidRPr="00AF04C7">
        <w:rPr>
          <w:rFonts w:cstheme="minorHAnsi"/>
          <w:sz w:val="24"/>
          <w:szCs w:val="24"/>
        </w:rPr>
        <w:t>he samples were immediately returned to their original containers and re-sealed</w:t>
      </w:r>
      <w:r>
        <w:rPr>
          <w:rFonts w:cstheme="minorHAnsi"/>
          <w:sz w:val="24"/>
          <w:szCs w:val="24"/>
        </w:rPr>
        <w:t xml:space="preserve"> to maintain dryness. </w:t>
      </w:r>
      <w:r w:rsidR="00E20548">
        <w:rPr>
          <w:rFonts w:cstheme="minorHAnsi"/>
          <w:sz w:val="24"/>
          <w:szCs w:val="24"/>
        </w:rPr>
        <w:t xml:space="preserve">Drying </w:t>
      </w:r>
      <w:r w:rsidR="00E20548" w:rsidRPr="00AF04C7">
        <w:rPr>
          <w:rFonts w:cstheme="minorHAnsi"/>
          <w:sz w:val="24"/>
          <w:szCs w:val="24"/>
        </w:rPr>
        <w:t>minimis</w:t>
      </w:r>
      <w:r w:rsidR="00E20548">
        <w:rPr>
          <w:rFonts w:cstheme="minorHAnsi"/>
          <w:sz w:val="24"/>
          <w:szCs w:val="24"/>
        </w:rPr>
        <w:t>es the</w:t>
      </w:r>
      <w:r w:rsidR="00E20548" w:rsidRPr="00AF04C7">
        <w:rPr>
          <w:rFonts w:cstheme="minorHAnsi"/>
          <w:sz w:val="24"/>
          <w:szCs w:val="24"/>
        </w:rPr>
        <w:t xml:space="preserve"> potential </w:t>
      </w:r>
      <w:r w:rsidR="00E20548">
        <w:rPr>
          <w:rFonts w:cstheme="minorHAnsi"/>
          <w:sz w:val="24"/>
          <w:szCs w:val="24"/>
        </w:rPr>
        <w:t xml:space="preserve">of </w:t>
      </w:r>
      <w:r w:rsidR="00E20548" w:rsidRPr="00AF04C7">
        <w:rPr>
          <w:rFonts w:cstheme="minorHAnsi"/>
          <w:sz w:val="24"/>
          <w:szCs w:val="24"/>
        </w:rPr>
        <w:t>neutron moderation</w:t>
      </w:r>
      <w:r w:rsidR="00E20548">
        <w:rPr>
          <w:rFonts w:cstheme="minorHAnsi"/>
          <w:sz w:val="24"/>
          <w:szCs w:val="24"/>
        </w:rPr>
        <w:t xml:space="preserve"> (caused by water within the samples) which in this set of experiments would increase self-absorption of neutrons within the samples and further reduce neutron counts from the system</w:t>
      </w:r>
      <w:r w:rsidR="00AE7E8B">
        <w:rPr>
          <w:rFonts w:cstheme="minorHAnsi"/>
          <w:sz w:val="24"/>
          <w:szCs w:val="24"/>
        </w:rPr>
        <w:t xml:space="preserve"> as shown in Gorin et al’s contribution to </w:t>
      </w:r>
      <w:r w:rsidR="00AE7E8B">
        <w:rPr>
          <w:rFonts w:cstheme="minorHAnsi"/>
          <w:i/>
          <w:sz w:val="24"/>
          <w:szCs w:val="24"/>
        </w:rPr>
        <w:t>Atomic Energy</w:t>
      </w:r>
      <w:r w:rsidR="00AE7E8B">
        <w:rPr>
          <w:rFonts w:cstheme="minorHAnsi"/>
          <w:sz w:val="24"/>
          <w:szCs w:val="24"/>
        </w:rPr>
        <w:t xml:space="preserve"> (2005)</w:t>
      </w:r>
      <w:r w:rsidR="00D56AEE">
        <w:rPr>
          <w:rFonts w:cstheme="minorHAnsi"/>
          <w:sz w:val="24"/>
          <w:szCs w:val="24"/>
        </w:rPr>
        <w:t xml:space="preserve"> </w:t>
      </w:r>
      <w:r w:rsidR="00D56AEE">
        <w:rPr>
          <w:rFonts w:cstheme="minorHAnsi"/>
          <w:sz w:val="24"/>
          <w:szCs w:val="24"/>
        </w:rPr>
        <w:fldChar w:fldCharType="begin" w:fldLock="1"/>
      </w:r>
      <w:r w:rsidR="000B0F18">
        <w:rPr>
          <w:rFonts w:cstheme="minorHAnsi"/>
          <w:sz w:val="24"/>
          <w:szCs w:val="24"/>
        </w:rPr>
        <w:instrText>ADDIN CSL_CITATION {"citationItems":[{"id":"ITEM-1","itemData":{"DOI":"10.1007/s10512-005-0264-9","ISSN":"1063-4258","author":[{"dropping-particle":"V.","family":"Gorin","given":"N.","non-dropping-particle":"","parse-names":false,"suffix":""},{"dropping-particle":"V.","family":"Zakharov","given":"V.","non-dropping-particle":"","parse-names":false,"suffix":""},{"dropping-particle":"","family":"Kandiev","given":"Ya. Z.","non-dropping-particle":"","parse-names":false,"suffix":""},{"dropping-particle":"","family":"Lipilina","given":"E. N.","non-dropping-particle":"","parse-names":false,"suffix":""},{"dropping-particle":"","family":"Pokatashkin","given":"A. P.","non-dropping-particle":"","parse-names":false,"suffix":""},{"dropping-particle":"V.","family":"Rukavishnikov","given":"G.","non-dropping-particle":"","parse-names":false,"suffix":""},{"dropping-particle":"","family":"Ul'yanov","given":"A. I.","non-dropping-particle":"","parse-names":false,"suffix":""},{"dropping-particle":"V.","family":"Shmakov","given":"D.","non-dropping-particle":"","parse-names":false,"suffix":""},{"dropping-particle":"","family":"Shcherbina","given":"A. N.","non-dropping-particle":"","parse-names":false,"suffix":""}],"container-title":"Atomic Energy","id":"ITEM-1","issue":"3","issued":{"date-parts":[["2005","9"]]},"page":"670-675","title":"Calibration Experiment on the Detection of Fissioning Material in Soil by Means of Neutron Detection","type":"article-journal","volume":"99"},"uris":["http://www.mendeley.com/documents/?uuid=863815b8-5502-4188-bb32-c69fe6acffde"]}],"mendeley":{"formattedCitation":"[46]","plainTextFormattedCitation":"[46]","previouslyFormattedCitation":"[46]"},"properties":{"noteIndex":0},"schema":"https://github.com/citation-style-language/schema/raw/master/csl-citation.json"}</w:instrText>
      </w:r>
      <w:r w:rsidR="00D56AEE">
        <w:rPr>
          <w:rFonts w:cstheme="minorHAnsi"/>
          <w:sz w:val="24"/>
          <w:szCs w:val="24"/>
        </w:rPr>
        <w:fldChar w:fldCharType="separate"/>
      </w:r>
      <w:r w:rsidR="007D1AB4" w:rsidRPr="007D1AB4">
        <w:rPr>
          <w:rFonts w:cstheme="minorHAnsi"/>
          <w:noProof/>
          <w:sz w:val="24"/>
          <w:szCs w:val="24"/>
        </w:rPr>
        <w:t>[46]</w:t>
      </w:r>
      <w:r w:rsidR="00D56AEE">
        <w:rPr>
          <w:rFonts w:cstheme="minorHAnsi"/>
          <w:sz w:val="24"/>
          <w:szCs w:val="24"/>
        </w:rPr>
        <w:fldChar w:fldCharType="end"/>
      </w:r>
      <w:r w:rsidR="00E20548" w:rsidRPr="00AF04C7">
        <w:rPr>
          <w:rFonts w:cstheme="minorHAnsi"/>
          <w:sz w:val="24"/>
          <w:szCs w:val="24"/>
        </w:rPr>
        <w:t>.</w:t>
      </w:r>
      <w:r>
        <w:rPr>
          <w:rFonts w:cstheme="minorHAnsi"/>
          <w:sz w:val="24"/>
          <w:szCs w:val="24"/>
        </w:rPr>
        <w:t xml:space="preserve"> I</w:t>
      </w:r>
      <w:r>
        <w:rPr>
          <w:sz w:val="24"/>
        </w:rPr>
        <w:t>t was deemed appropriate to only dry the samples, leaving the soils in their natural matrices and</w:t>
      </w:r>
      <w:r w:rsidR="00584176">
        <w:rPr>
          <w:sz w:val="24"/>
        </w:rPr>
        <w:t xml:space="preserve"> thus</w:t>
      </w:r>
      <w:r>
        <w:rPr>
          <w:sz w:val="24"/>
        </w:rPr>
        <w:t xml:space="preserve"> accept the </w:t>
      </w:r>
      <w:r w:rsidR="00584176">
        <w:rPr>
          <w:sz w:val="24"/>
        </w:rPr>
        <w:t>potential increased</w:t>
      </w:r>
      <w:r>
        <w:rPr>
          <w:sz w:val="24"/>
        </w:rPr>
        <w:t xml:space="preserve"> likelihood of </w:t>
      </w:r>
      <w:r w:rsidR="00584176">
        <w:rPr>
          <w:sz w:val="24"/>
        </w:rPr>
        <w:t>an influence on</w:t>
      </w:r>
      <w:r>
        <w:rPr>
          <w:sz w:val="24"/>
        </w:rPr>
        <w:t xml:space="preserve"> neutron counts</w:t>
      </w:r>
      <w:r w:rsidR="00584176">
        <w:rPr>
          <w:sz w:val="24"/>
        </w:rPr>
        <w:t xml:space="preserve"> (albeit small)</w:t>
      </w:r>
      <w:r w:rsidR="009F67E6">
        <w:rPr>
          <w:sz w:val="24"/>
        </w:rPr>
        <w:t xml:space="preserve"> in terms of heterogeneity of radionuclides</w:t>
      </w:r>
      <w:r>
        <w:rPr>
          <w:sz w:val="24"/>
        </w:rPr>
        <w:t>, which would be averaged out in later analyses.</w:t>
      </w:r>
      <w:r w:rsidR="009F67E6">
        <w:rPr>
          <w:sz w:val="24"/>
        </w:rPr>
        <w:t xml:space="preserve"> This was not a major worry </w:t>
      </w:r>
      <w:r w:rsidR="009F67E6">
        <w:rPr>
          <w:sz w:val="24"/>
        </w:rPr>
        <w:lastRenderedPageBreak/>
        <w:t>during the design of the study, especially considering Sheppard et al’s (2008) comprehensive study on primordial radionuclides in Canadian background sites</w:t>
      </w:r>
      <w:r w:rsidR="00D56AEE">
        <w:rPr>
          <w:sz w:val="24"/>
        </w:rPr>
        <w:t xml:space="preserve"> </w:t>
      </w:r>
      <w:r w:rsidR="00D56AEE">
        <w:rPr>
          <w:sz w:val="24"/>
        </w:rPr>
        <w:fldChar w:fldCharType="begin" w:fldLock="1"/>
      </w:r>
      <w:r w:rsidR="000B0F18">
        <w:rPr>
          <w:sz w:val="24"/>
        </w:rPr>
        <w:instrText>ADDIN CSL_CITATION {"citationItems":[{"id":"ITEM-1","itemData":{"DOI":"10.1016/j.jenvrad.2007.11.018","ISSN":"0265931X","author":[{"dropping-particle":"","family":"Sheppard","given":"S.C.","non-dropping-particle":"","parse-names":false,"suffix":""},{"dropping-particle":"","family":"Sheppard","given":"M.I.","non-dropping-particle":"","parse-names":false,"suffix":""},{"dropping-particle":"","family":"Ilin","given":"M.","non-dropping-particle":"","parse-names":false,"suffix":""},{"dropping-particle":"","family":"Tait","given":"J.","non-dropping-particle":"","parse-names":false,"suffix":""},{"dropping-particle":"","family":"Sanipelli","given":"B.","non-dropping-particle":"","parse-names":false,"suffix":""}],"container-title":"Journal of Environmental Radioactivity","id":"ITEM-1","issue":"6","issued":{"date-parts":[["2008","6"]]},"page":"933-946","title":"Primordial radionuclides in Canadian background sites: secular equilibrium and isotopic differences","type":"article-journal","volume":"99"},"uris":["http://www.mendeley.com/documents/?uuid=3c5f105d-317f-4fda-a04b-bcf98fe14df5"]}],"mendeley":{"formattedCitation":"[47]","plainTextFormattedCitation":"[47]","previouslyFormattedCitation":"[47]"},"properties":{"noteIndex":0},"schema":"https://github.com/citation-style-language/schema/raw/master/csl-citation.json"}</w:instrText>
      </w:r>
      <w:r w:rsidR="00D56AEE">
        <w:rPr>
          <w:sz w:val="24"/>
        </w:rPr>
        <w:fldChar w:fldCharType="separate"/>
      </w:r>
      <w:r w:rsidR="007D1AB4" w:rsidRPr="007D1AB4">
        <w:rPr>
          <w:noProof/>
          <w:sz w:val="24"/>
        </w:rPr>
        <w:t>[47]</w:t>
      </w:r>
      <w:r w:rsidR="00D56AEE">
        <w:rPr>
          <w:sz w:val="24"/>
        </w:rPr>
        <w:fldChar w:fldCharType="end"/>
      </w:r>
      <w:r w:rsidR="009F67E6">
        <w:rPr>
          <w:sz w:val="24"/>
        </w:rPr>
        <w:t>, where they found that even though there was a high amount of variation in soil characteristics, there was actually only a three-fold variation in radionuclide concentration across the seven soil types.</w:t>
      </w:r>
    </w:p>
    <w:p w14:paraId="202F0EDB" w14:textId="24009E1B" w:rsidR="00F37CA9" w:rsidRDefault="00F37CA9" w:rsidP="00A316C7">
      <w:pPr>
        <w:spacing w:line="480" w:lineRule="auto"/>
        <w:ind w:firstLine="567"/>
        <w:rPr>
          <w:rFonts w:cstheme="minorHAnsi"/>
          <w:sz w:val="24"/>
          <w:szCs w:val="24"/>
        </w:rPr>
      </w:pPr>
      <w:r w:rsidRPr="00AF04C7">
        <w:rPr>
          <w:rFonts w:cstheme="minorHAnsi"/>
          <w:sz w:val="24"/>
          <w:szCs w:val="24"/>
        </w:rPr>
        <w:t xml:space="preserve">Late into the study, </w:t>
      </w:r>
      <w:r>
        <w:rPr>
          <w:rFonts w:cstheme="minorHAnsi"/>
          <w:sz w:val="24"/>
          <w:szCs w:val="24"/>
        </w:rPr>
        <w:t xml:space="preserve">one </w:t>
      </w:r>
      <w:r w:rsidRPr="00AF04C7">
        <w:rPr>
          <w:rFonts w:cstheme="minorHAnsi"/>
          <w:sz w:val="24"/>
          <w:szCs w:val="24"/>
        </w:rPr>
        <w:t>more sample w</w:t>
      </w:r>
      <w:r>
        <w:rPr>
          <w:rFonts w:cstheme="minorHAnsi"/>
          <w:sz w:val="24"/>
          <w:szCs w:val="24"/>
        </w:rPr>
        <w:t>as</w:t>
      </w:r>
      <w:r w:rsidRPr="00AF04C7">
        <w:rPr>
          <w:rFonts w:cstheme="minorHAnsi"/>
          <w:sz w:val="24"/>
          <w:szCs w:val="24"/>
        </w:rPr>
        <w:t xml:space="preserve"> provided by DSRL</w:t>
      </w:r>
      <w:r>
        <w:rPr>
          <w:rFonts w:cstheme="minorHAnsi"/>
          <w:sz w:val="24"/>
          <w:szCs w:val="24"/>
        </w:rPr>
        <w:t xml:space="preserve"> that</w:t>
      </w:r>
      <w:r w:rsidRPr="00AF04C7">
        <w:rPr>
          <w:rFonts w:cstheme="minorHAnsi"/>
          <w:sz w:val="24"/>
          <w:szCs w:val="24"/>
        </w:rPr>
        <w:t xml:space="preserve"> </w:t>
      </w:r>
      <w:r>
        <w:rPr>
          <w:rFonts w:cstheme="minorHAnsi"/>
          <w:sz w:val="24"/>
          <w:szCs w:val="24"/>
        </w:rPr>
        <w:t>i</w:t>
      </w:r>
      <w:r w:rsidRPr="00AF04C7">
        <w:rPr>
          <w:rFonts w:cstheme="minorHAnsi"/>
          <w:sz w:val="24"/>
          <w:szCs w:val="24"/>
        </w:rPr>
        <w:t>nclud</w:t>
      </w:r>
      <w:r>
        <w:rPr>
          <w:rFonts w:cstheme="minorHAnsi"/>
          <w:sz w:val="24"/>
          <w:szCs w:val="24"/>
        </w:rPr>
        <w:t>ed</w:t>
      </w:r>
      <w:r w:rsidRPr="00AF04C7">
        <w:rPr>
          <w:rFonts w:cstheme="minorHAnsi"/>
          <w:sz w:val="24"/>
          <w:szCs w:val="24"/>
        </w:rPr>
        <w:t xml:space="preserve"> a plutonium-240 spike equating to </w:t>
      </w:r>
      <w:r w:rsidR="00584176">
        <w:rPr>
          <w:rFonts w:cstheme="minorHAnsi"/>
          <w:sz w:val="24"/>
          <w:szCs w:val="24"/>
        </w:rPr>
        <w:t>~</w:t>
      </w:r>
      <w:r w:rsidRPr="00AF04C7">
        <w:rPr>
          <w:rFonts w:cstheme="minorHAnsi"/>
          <w:sz w:val="24"/>
          <w:szCs w:val="24"/>
        </w:rPr>
        <w:t xml:space="preserve">1 Bq/g activity in the sample. This sample was originally the DSRLB2 sample, which was returned to DSRL. </w:t>
      </w:r>
      <w:r>
        <w:rPr>
          <w:rFonts w:cstheme="minorHAnsi"/>
          <w:sz w:val="24"/>
          <w:szCs w:val="24"/>
        </w:rPr>
        <w:t>Some</w:t>
      </w:r>
      <w:r w:rsidRPr="00AF04C7">
        <w:rPr>
          <w:rFonts w:cstheme="minorHAnsi"/>
          <w:sz w:val="24"/>
          <w:szCs w:val="24"/>
        </w:rPr>
        <w:t xml:space="preserve"> other samples in this sample set included </w:t>
      </w:r>
      <w:r>
        <w:rPr>
          <w:rFonts w:cstheme="minorHAnsi"/>
          <w:sz w:val="24"/>
          <w:szCs w:val="24"/>
        </w:rPr>
        <w:t>a</w:t>
      </w:r>
      <w:r w:rsidRPr="00AF04C7">
        <w:rPr>
          <w:rFonts w:cstheme="minorHAnsi"/>
          <w:sz w:val="24"/>
          <w:szCs w:val="24"/>
        </w:rPr>
        <w:t xml:space="preserve"> non-spiked DSRLB2 sample, and non-spiked DSRL7 samples following their characterisation by DSRL. No further processing was carried out</w:t>
      </w:r>
      <w:r w:rsidR="004F21B7">
        <w:rPr>
          <w:rFonts w:cstheme="minorHAnsi"/>
          <w:sz w:val="24"/>
          <w:szCs w:val="24"/>
        </w:rPr>
        <w:t xml:space="preserve"> on the samples within this set until specific measurements took place </w:t>
      </w:r>
      <w:r w:rsidR="00E20548">
        <w:rPr>
          <w:rFonts w:cstheme="minorHAnsi"/>
          <w:sz w:val="24"/>
          <w:szCs w:val="24"/>
        </w:rPr>
        <w:t>that</w:t>
      </w:r>
      <w:r w:rsidR="004F21B7">
        <w:rPr>
          <w:rFonts w:cstheme="minorHAnsi"/>
          <w:sz w:val="24"/>
          <w:szCs w:val="24"/>
        </w:rPr>
        <w:t xml:space="preserve"> are described hereafter.</w:t>
      </w:r>
      <w:r w:rsidR="00177B0A">
        <w:rPr>
          <w:rFonts w:cstheme="minorHAnsi"/>
          <w:sz w:val="24"/>
          <w:szCs w:val="24"/>
        </w:rPr>
        <w:t xml:space="preserve"> Following measurement, the sample masses at each measurement campaign were normalised to a consistent mass of 1 kg, unless stated otherwise.</w:t>
      </w:r>
    </w:p>
    <w:p w14:paraId="46BE4414" w14:textId="77777777" w:rsidR="00A316C7" w:rsidRDefault="00A316C7" w:rsidP="00A316C7">
      <w:pPr>
        <w:spacing w:line="480" w:lineRule="auto"/>
        <w:ind w:firstLine="567"/>
        <w:rPr>
          <w:rFonts w:cstheme="minorHAnsi"/>
          <w:b/>
          <w:sz w:val="28"/>
          <w:szCs w:val="24"/>
        </w:rPr>
      </w:pPr>
    </w:p>
    <w:p w14:paraId="4859B795" w14:textId="1B1A5796" w:rsidR="00F37CA9" w:rsidRDefault="00F37CA9" w:rsidP="00F37CA9">
      <w:pPr>
        <w:spacing w:line="480" w:lineRule="auto"/>
        <w:rPr>
          <w:rFonts w:cstheme="minorHAnsi"/>
          <w:b/>
          <w:sz w:val="28"/>
          <w:szCs w:val="24"/>
        </w:rPr>
      </w:pPr>
      <w:r>
        <w:rPr>
          <w:rFonts w:cstheme="minorHAnsi"/>
          <w:b/>
          <w:sz w:val="28"/>
          <w:szCs w:val="24"/>
        </w:rPr>
        <w:t>2.2 Neutron</w:t>
      </w:r>
      <w:r w:rsidR="00A359E4">
        <w:rPr>
          <w:rFonts w:cstheme="minorHAnsi"/>
          <w:b/>
          <w:sz w:val="28"/>
          <w:szCs w:val="24"/>
        </w:rPr>
        <w:t xml:space="preserve"> Detection</w:t>
      </w:r>
      <w:r>
        <w:rPr>
          <w:rFonts w:cstheme="minorHAnsi"/>
          <w:b/>
          <w:sz w:val="28"/>
          <w:szCs w:val="24"/>
        </w:rPr>
        <w:t xml:space="preserve"> Methods</w:t>
      </w:r>
    </w:p>
    <w:p w14:paraId="031E6BA6" w14:textId="4E52211E" w:rsidR="000A0FAF" w:rsidRPr="000A0FAF" w:rsidRDefault="004F21B7" w:rsidP="000A0FAF">
      <w:pPr>
        <w:spacing w:line="480" w:lineRule="auto"/>
        <w:ind w:firstLine="567"/>
        <w:rPr>
          <w:rFonts w:cstheme="minorHAnsi"/>
          <w:bCs/>
          <w:sz w:val="24"/>
          <w:szCs w:val="24"/>
        </w:rPr>
      </w:pPr>
      <w:r>
        <w:rPr>
          <w:rFonts w:cstheme="minorHAnsi"/>
          <w:bCs/>
          <w:sz w:val="24"/>
          <w:szCs w:val="24"/>
        </w:rPr>
        <w:t>The neutron methods section describes experiments carried out at Lancaster University with varied detector configurations. Each of these experiments utilise Scionix EJ</w:t>
      </w:r>
      <w:r w:rsidR="005C589A">
        <w:rPr>
          <w:rFonts w:cstheme="minorHAnsi"/>
          <w:bCs/>
          <w:sz w:val="24"/>
          <w:szCs w:val="24"/>
        </w:rPr>
        <w:t>-</w:t>
      </w:r>
      <w:r>
        <w:rPr>
          <w:rFonts w:cstheme="minorHAnsi"/>
          <w:bCs/>
          <w:sz w:val="24"/>
          <w:szCs w:val="24"/>
        </w:rPr>
        <w:t xml:space="preserve">309 </w:t>
      </w:r>
      <w:r w:rsidR="002958CD">
        <w:rPr>
          <w:rFonts w:cstheme="minorHAnsi"/>
          <w:bCs/>
          <w:sz w:val="24"/>
          <w:szCs w:val="24"/>
        </w:rPr>
        <w:t xml:space="preserve">liquid scintillation </w:t>
      </w:r>
      <w:r>
        <w:rPr>
          <w:rFonts w:cstheme="minorHAnsi"/>
          <w:bCs/>
          <w:sz w:val="24"/>
          <w:szCs w:val="24"/>
        </w:rPr>
        <w:t xml:space="preserve">detectors with photomultiplier tubes (PMTs), as well as Hybrid Instruments mixed field analysers (MFAs) and other associated counting hardware made either </w:t>
      </w:r>
      <w:r w:rsidR="001F0924">
        <w:rPr>
          <w:rFonts w:cstheme="minorHAnsi"/>
          <w:bCs/>
          <w:sz w:val="24"/>
          <w:szCs w:val="24"/>
        </w:rPr>
        <w:t>from printed circuit boards (PCB) or Field Programmable Gate Arrays (FPGA)</w:t>
      </w:r>
      <w:r w:rsidR="002958CD">
        <w:rPr>
          <w:rFonts w:cstheme="minorHAnsi"/>
          <w:bCs/>
          <w:sz w:val="24"/>
          <w:szCs w:val="24"/>
        </w:rPr>
        <w:t xml:space="preserve"> that have been constructed bespoke or programmed within the research group at Lancaster</w:t>
      </w:r>
      <w:r>
        <w:rPr>
          <w:rFonts w:cstheme="minorHAnsi"/>
          <w:bCs/>
          <w:sz w:val="24"/>
          <w:szCs w:val="24"/>
        </w:rPr>
        <w:t xml:space="preserve">. </w:t>
      </w:r>
      <w:r w:rsidRPr="004F21B7">
        <w:rPr>
          <w:rFonts w:cstheme="minorHAnsi"/>
          <w:bCs/>
          <w:sz w:val="24"/>
          <w:szCs w:val="24"/>
        </w:rPr>
        <w:t xml:space="preserve"> </w:t>
      </w:r>
      <w:r w:rsidR="002958CD">
        <w:rPr>
          <w:rFonts w:cstheme="minorHAnsi"/>
          <w:bCs/>
          <w:sz w:val="24"/>
          <w:szCs w:val="24"/>
        </w:rPr>
        <w:t xml:space="preserve">The Hybrid Instruments MFAs are high-speed signal processors designed to differentiate </w:t>
      </w:r>
      <w:r w:rsidR="002958CD">
        <w:rPr>
          <w:rFonts w:cstheme="minorHAnsi"/>
          <w:bCs/>
          <w:sz w:val="24"/>
          <w:szCs w:val="24"/>
        </w:rPr>
        <w:lastRenderedPageBreak/>
        <w:t>between multiple neutron events within high neutron flux environments. In this work, they were used to measure single neutron events at low flux.</w:t>
      </w:r>
    </w:p>
    <w:p w14:paraId="34E4A8AB" w14:textId="77777777" w:rsidR="00F37CA9" w:rsidRPr="008B1C34" w:rsidRDefault="00F37CA9" w:rsidP="00F37CA9">
      <w:pPr>
        <w:spacing w:line="480" w:lineRule="auto"/>
        <w:rPr>
          <w:rFonts w:cstheme="minorHAnsi"/>
          <w:b/>
          <w:sz w:val="28"/>
          <w:szCs w:val="24"/>
        </w:rPr>
      </w:pPr>
      <w:r>
        <w:rPr>
          <w:rFonts w:cstheme="minorHAnsi"/>
          <w:b/>
          <w:sz w:val="28"/>
          <w:szCs w:val="24"/>
        </w:rPr>
        <w:t>2</w:t>
      </w:r>
      <w:r w:rsidRPr="008B1C34">
        <w:rPr>
          <w:rFonts w:cstheme="minorHAnsi"/>
          <w:b/>
          <w:sz w:val="28"/>
          <w:szCs w:val="24"/>
        </w:rPr>
        <w:t>.2</w:t>
      </w:r>
      <w:r>
        <w:rPr>
          <w:rFonts w:cstheme="minorHAnsi"/>
          <w:b/>
          <w:sz w:val="28"/>
          <w:szCs w:val="24"/>
        </w:rPr>
        <w:t>.1</w:t>
      </w:r>
      <w:r w:rsidRPr="008B1C34">
        <w:rPr>
          <w:rFonts w:cstheme="minorHAnsi"/>
          <w:b/>
          <w:sz w:val="28"/>
          <w:szCs w:val="24"/>
        </w:rPr>
        <w:t xml:space="preserve"> Neutron Detector Array Calibration</w:t>
      </w:r>
    </w:p>
    <w:p w14:paraId="638A56F7" w14:textId="7BD12711" w:rsidR="00E11031" w:rsidRDefault="00F37CA9" w:rsidP="00E11031">
      <w:pPr>
        <w:spacing w:line="480" w:lineRule="auto"/>
        <w:ind w:firstLine="567"/>
        <w:rPr>
          <w:rFonts w:cstheme="minorHAnsi"/>
          <w:sz w:val="24"/>
          <w:szCs w:val="24"/>
        </w:rPr>
      </w:pPr>
      <w:r w:rsidRPr="00AF04C7">
        <w:rPr>
          <w:rFonts w:cstheme="minorHAnsi"/>
          <w:sz w:val="24"/>
          <w:szCs w:val="24"/>
        </w:rPr>
        <w:t xml:space="preserve">Every detector in </w:t>
      </w:r>
      <w:r>
        <w:rPr>
          <w:rFonts w:cstheme="minorHAnsi"/>
          <w:sz w:val="24"/>
          <w:szCs w:val="24"/>
        </w:rPr>
        <w:t>the</w:t>
      </w:r>
      <w:r w:rsidRPr="00AF04C7">
        <w:rPr>
          <w:rFonts w:cstheme="minorHAnsi"/>
          <w:sz w:val="24"/>
          <w:szCs w:val="24"/>
        </w:rPr>
        <w:t xml:space="preserve"> neutron array was calibrated using a </w:t>
      </w:r>
      <w:r w:rsidR="00660D8D" w:rsidRPr="00660D8D">
        <w:rPr>
          <w:rFonts w:cstheme="minorHAnsi"/>
          <w:sz w:val="24"/>
          <w:szCs w:val="24"/>
          <w:vertAlign w:val="superscript"/>
        </w:rPr>
        <w:t>1</w:t>
      </w:r>
      <w:r w:rsidRPr="00660D8D">
        <w:rPr>
          <w:rFonts w:cstheme="minorHAnsi"/>
          <w:sz w:val="24"/>
          <w:szCs w:val="24"/>
          <w:vertAlign w:val="superscript"/>
        </w:rPr>
        <w:t>37</w:t>
      </w:r>
      <w:r w:rsidR="00660D8D">
        <w:rPr>
          <w:rFonts w:cstheme="minorHAnsi"/>
          <w:sz w:val="24"/>
          <w:szCs w:val="24"/>
        </w:rPr>
        <w:t>Cs</w:t>
      </w:r>
      <w:r w:rsidRPr="00AF04C7">
        <w:rPr>
          <w:rFonts w:cstheme="minorHAnsi"/>
          <w:sz w:val="24"/>
          <w:szCs w:val="24"/>
        </w:rPr>
        <w:t xml:space="preserve"> </w:t>
      </w:r>
      <w:r>
        <w:rPr>
          <w:rFonts w:cstheme="minorHAnsi"/>
          <w:sz w:val="24"/>
          <w:szCs w:val="24"/>
        </w:rPr>
        <w:t>point-</w:t>
      </w:r>
      <w:r w:rsidRPr="00AF04C7">
        <w:rPr>
          <w:rFonts w:cstheme="minorHAnsi"/>
          <w:sz w:val="24"/>
          <w:szCs w:val="24"/>
        </w:rPr>
        <w:t>source</w:t>
      </w:r>
      <w:r>
        <w:rPr>
          <w:rFonts w:cstheme="minorHAnsi"/>
          <w:sz w:val="24"/>
          <w:szCs w:val="24"/>
        </w:rPr>
        <w:t xml:space="preserve"> with the software</w:t>
      </w:r>
      <w:r w:rsidR="005D40F5">
        <w:rPr>
          <w:rFonts w:cstheme="minorHAnsi"/>
          <w:sz w:val="24"/>
          <w:szCs w:val="24"/>
        </w:rPr>
        <w:t xml:space="preserve"> </w:t>
      </w:r>
      <w:r w:rsidR="006401CA">
        <w:rPr>
          <w:rFonts w:cstheme="minorHAnsi"/>
          <w:sz w:val="24"/>
          <w:szCs w:val="24"/>
        </w:rPr>
        <w:t>provided with the MFA units</w:t>
      </w:r>
      <w:r w:rsidR="005D40F5">
        <w:rPr>
          <w:rFonts w:cstheme="minorHAnsi"/>
          <w:sz w:val="24"/>
          <w:szCs w:val="24"/>
        </w:rPr>
        <w:t xml:space="preserve"> </w:t>
      </w:r>
      <w:r w:rsidR="00D56AEE">
        <w:rPr>
          <w:rFonts w:cstheme="minorHAnsi"/>
          <w:sz w:val="24"/>
          <w:szCs w:val="24"/>
        </w:rPr>
        <w:fldChar w:fldCharType="begin" w:fldLock="1"/>
      </w:r>
      <w:r w:rsidR="000B0F18">
        <w:rPr>
          <w:rFonts w:cstheme="minorHAnsi"/>
          <w:sz w:val="24"/>
          <w:szCs w:val="24"/>
        </w:rPr>
        <w:instrText>ADDIN CSL_CITATION {"citationItems":[{"id":"ITEM-1","itemData":{"DOI":"10.1109/TNS.2017.2654512","ISSN":"0018-9499","author":[{"dropping-particle":"","family":"Aspinall","given":"M. D.","non-dropping-particle":"","parse-names":false,"suffix":""},{"dropping-particle":"","family":"Joyce","given":"M. J.","non-dropping-particle":"","parse-names":false,"suffix":""},{"dropping-particle":"","family":"Lavietes","given":"A.","non-dropping-particle":"","parse-names":false,"suffix":""},{"dropping-particle":"","family":"Plenteda","given":"R.","non-dropping-particle":"","parse-names":false,"suffix":""},{"dropping-particle":"","family":"Cave","given":"F. D.","non-dropping-particle":"","parse-names":false,"suffix":""},{"dropping-particle":"","family":"Parker","given":"H.","non-dropping-particle":"","parse-names":false,"suffix":""},{"dropping-particle":"","family":"Jones","given":"A.","non-dropping-particle":"","parse-names":false,"suffix":""},{"dropping-particle":"","family":"Astromskas","given":"V.","non-dropping-particle":"","parse-names":false,"suffix":""}],"container-title":"IEEE Transactions on Nuclear Science","id":"ITEM-1","issue":"3","issued":{"date-parts":[["2017","3"]]},"page":"945-950","title":"Real-Time Capabilities of a Digital Analyzer for Mixed-Field Assay Using Scintillation Detectors","type":"article-journal","volume":"64"},"uris":["http://www.mendeley.com/documents/?uuid=28622f08-1481-3872-887c-d1d7b18125d2"]}],"mendeley":{"formattedCitation":"[48]","plainTextFormattedCitation":"[48]","previouslyFormattedCitation":"[48]"},"properties":{"noteIndex":0},"schema":"https://github.com/citation-style-language/schema/raw/master/csl-citation.json"}</w:instrText>
      </w:r>
      <w:r w:rsidR="00D56AEE">
        <w:rPr>
          <w:rFonts w:cstheme="minorHAnsi"/>
          <w:sz w:val="24"/>
          <w:szCs w:val="24"/>
        </w:rPr>
        <w:fldChar w:fldCharType="separate"/>
      </w:r>
      <w:r w:rsidR="007D1AB4" w:rsidRPr="007D1AB4">
        <w:rPr>
          <w:rFonts w:cstheme="minorHAnsi"/>
          <w:noProof/>
          <w:sz w:val="24"/>
          <w:szCs w:val="24"/>
        </w:rPr>
        <w:t>[48]</w:t>
      </w:r>
      <w:r w:rsidR="00D56AEE">
        <w:rPr>
          <w:rFonts w:cstheme="minorHAnsi"/>
          <w:sz w:val="24"/>
          <w:szCs w:val="24"/>
        </w:rPr>
        <w:fldChar w:fldCharType="end"/>
      </w:r>
      <w:r>
        <w:rPr>
          <w:rFonts w:cstheme="minorHAnsi"/>
          <w:sz w:val="24"/>
          <w:szCs w:val="24"/>
        </w:rPr>
        <w:t>. The software has two modes in which the calibration needs to be carried out; MCA</w:t>
      </w:r>
      <w:r w:rsidR="002958CD">
        <w:rPr>
          <w:rFonts w:cstheme="minorHAnsi"/>
          <w:sz w:val="24"/>
          <w:szCs w:val="24"/>
        </w:rPr>
        <w:t xml:space="preserve"> (multi-channel analyser)</w:t>
      </w:r>
      <w:r>
        <w:rPr>
          <w:rFonts w:cstheme="minorHAnsi"/>
          <w:sz w:val="24"/>
          <w:szCs w:val="24"/>
        </w:rPr>
        <w:t xml:space="preserve"> mode and PSD</w:t>
      </w:r>
      <w:r w:rsidR="002958CD">
        <w:rPr>
          <w:rFonts w:cstheme="minorHAnsi"/>
          <w:sz w:val="24"/>
          <w:szCs w:val="24"/>
        </w:rPr>
        <w:t xml:space="preserve"> (pulse-shape discrimination) mode. T</w:t>
      </w:r>
      <w:r>
        <w:rPr>
          <w:rFonts w:cstheme="minorHAnsi"/>
          <w:sz w:val="24"/>
          <w:szCs w:val="24"/>
        </w:rPr>
        <w:t>he MCA mode</w:t>
      </w:r>
      <w:r w:rsidR="00C90027">
        <w:rPr>
          <w:rFonts w:cstheme="minorHAnsi"/>
          <w:sz w:val="24"/>
          <w:szCs w:val="24"/>
        </w:rPr>
        <w:t xml:space="preserve"> is</w:t>
      </w:r>
      <w:r w:rsidR="002958CD">
        <w:rPr>
          <w:rFonts w:cstheme="minorHAnsi"/>
          <w:sz w:val="24"/>
          <w:szCs w:val="24"/>
        </w:rPr>
        <w:t xml:space="preserve"> traditionally used to measure a spectrum of gamma energies</w:t>
      </w:r>
      <w:r w:rsidR="007E7EE0">
        <w:rPr>
          <w:rFonts w:cstheme="minorHAnsi"/>
          <w:sz w:val="24"/>
          <w:szCs w:val="24"/>
        </w:rPr>
        <w:t>, mapping count number against energy</w:t>
      </w:r>
      <w:r w:rsidR="002958CD">
        <w:rPr>
          <w:rFonts w:cstheme="minorHAnsi"/>
          <w:sz w:val="24"/>
          <w:szCs w:val="24"/>
        </w:rPr>
        <w:t>. Within this work, the MCA mode is only used to measure</w:t>
      </w:r>
      <w:r>
        <w:rPr>
          <w:rFonts w:cstheme="minorHAnsi"/>
          <w:sz w:val="24"/>
          <w:szCs w:val="24"/>
        </w:rPr>
        <w:t xml:space="preserve"> the </w:t>
      </w:r>
      <w:r w:rsidR="00660D8D" w:rsidRPr="00660D8D">
        <w:rPr>
          <w:rFonts w:cstheme="minorHAnsi"/>
          <w:sz w:val="24"/>
          <w:szCs w:val="24"/>
          <w:vertAlign w:val="superscript"/>
        </w:rPr>
        <w:t>1</w:t>
      </w:r>
      <w:r w:rsidRPr="00660D8D">
        <w:rPr>
          <w:rFonts w:cstheme="minorHAnsi"/>
          <w:sz w:val="24"/>
          <w:szCs w:val="24"/>
          <w:vertAlign w:val="superscript"/>
        </w:rPr>
        <w:t>37</w:t>
      </w:r>
      <w:r w:rsidR="00660D8D">
        <w:rPr>
          <w:rFonts w:cstheme="minorHAnsi"/>
          <w:sz w:val="24"/>
          <w:szCs w:val="24"/>
        </w:rPr>
        <w:t>Cs</w:t>
      </w:r>
      <w:r>
        <w:rPr>
          <w:rFonts w:cstheme="minorHAnsi"/>
          <w:sz w:val="24"/>
          <w:szCs w:val="24"/>
        </w:rPr>
        <w:t xml:space="preserve"> point</w:t>
      </w:r>
      <w:r w:rsidR="007D755F">
        <w:rPr>
          <w:rFonts w:cstheme="minorHAnsi"/>
          <w:sz w:val="24"/>
          <w:szCs w:val="24"/>
        </w:rPr>
        <w:t xml:space="preserve"> </w:t>
      </w:r>
      <w:r>
        <w:rPr>
          <w:rFonts w:cstheme="minorHAnsi"/>
          <w:sz w:val="24"/>
          <w:szCs w:val="24"/>
        </w:rPr>
        <w:t>source</w:t>
      </w:r>
      <w:r w:rsidR="002958CD">
        <w:rPr>
          <w:rFonts w:cstheme="minorHAnsi"/>
          <w:sz w:val="24"/>
          <w:szCs w:val="24"/>
        </w:rPr>
        <w:t>, which</w:t>
      </w:r>
      <w:r>
        <w:rPr>
          <w:rFonts w:cstheme="minorHAnsi"/>
          <w:sz w:val="24"/>
          <w:szCs w:val="24"/>
        </w:rPr>
        <w:t xml:space="preserve"> causes a Compton </w:t>
      </w:r>
      <w:r w:rsidR="00BE68A9">
        <w:rPr>
          <w:rFonts w:cstheme="minorHAnsi"/>
          <w:sz w:val="24"/>
          <w:szCs w:val="24"/>
        </w:rPr>
        <w:t>edge</w:t>
      </w:r>
      <w:r w:rsidRPr="006A4166">
        <w:rPr>
          <w:rFonts w:cstheme="minorHAnsi"/>
          <w:color w:val="FF0000"/>
          <w:sz w:val="24"/>
          <w:szCs w:val="24"/>
        </w:rPr>
        <w:t xml:space="preserve"> </w:t>
      </w:r>
      <w:r>
        <w:rPr>
          <w:rFonts w:cstheme="minorHAnsi"/>
          <w:sz w:val="24"/>
          <w:szCs w:val="24"/>
        </w:rPr>
        <w:t>to form</w:t>
      </w:r>
      <w:r w:rsidR="007D755F">
        <w:rPr>
          <w:rFonts w:cstheme="minorHAnsi"/>
          <w:sz w:val="24"/>
          <w:szCs w:val="24"/>
        </w:rPr>
        <w:t xml:space="preserve"> </w:t>
      </w:r>
      <w:r w:rsidR="0000791B">
        <w:rPr>
          <w:rFonts w:cstheme="minorHAnsi"/>
          <w:sz w:val="24"/>
          <w:szCs w:val="24"/>
        </w:rPr>
        <w:t>from</w:t>
      </w:r>
      <w:r w:rsidR="007D755F">
        <w:rPr>
          <w:rFonts w:cstheme="minorHAnsi"/>
          <w:sz w:val="24"/>
          <w:szCs w:val="24"/>
        </w:rPr>
        <w:t xml:space="preserve"> Compton scattering within the scintillation material</w:t>
      </w:r>
      <w:r w:rsidR="00C90027">
        <w:rPr>
          <w:rFonts w:cstheme="minorHAnsi"/>
          <w:sz w:val="24"/>
          <w:szCs w:val="24"/>
        </w:rPr>
        <w:t>.</w:t>
      </w:r>
      <w:r w:rsidR="007D755F">
        <w:rPr>
          <w:rFonts w:cstheme="minorHAnsi"/>
          <w:sz w:val="24"/>
          <w:szCs w:val="24"/>
        </w:rPr>
        <w:t xml:space="preserve"> Compton scattering is caused when gamma rays interact with electrons in the atomic shells of the detector materials. This scattering in turn forms the Compton edge, which represents the full back-scatter of an interaction in the material.</w:t>
      </w:r>
      <w:r w:rsidR="00C90027">
        <w:rPr>
          <w:rFonts w:cstheme="minorHAnsi"/>
          <w:sz w:val="24"/>
          <w:szCs w:val="24"/>
        </w:rPr>
        <w:t xml:space="preserve"> The Compton edge</w:t>
      </w:r>
      <w:r>
        <w:rPr>
          <w:rFonts w:cstheme="minorHAnsi"/>
          <w:sz w:val="24"/>
          <w:szCs w:val="24"/>
        </w:rPr>
        <w:t xml:space="preserve"> is used as a point of alignment </w:t>
      </w:r>
      <w:r w:rsidR="00BE68A9">
        <w:rPr>
          <w:rFonts w:cstheme="minorHAnsi"/>
          <w:sz w:val="24"/>
          <w:szCs w:val="24"/>
        </w:rPr>
        <w:t xml:space="preserve">across the detectors </w:t>
      </w:r>
      <w:r>
        <w:rPr>
          <w:rFonts w:cstheme="minorHAnsi"/>
          <w:sz w:val="24"/>
          <w:szCs w:val="24"/>
        </w:rPr>
        <w:t>within the MCA spectra</w:t>
      </w:r>
      <w:r w:rsidR="007D755F">
        <w:rPr>
          <w:rFonts w:cstheme="minorHAnsi"/>
          <w:sz w:val="24"/>
          <w:szCs w:val="24"/>
        </w:rPr>
        <w:t xml:space="preserve"> due to its assumed uniformity across each detector</w:t>
      </w:r>
      <w:r>
        <w:rPr>
          <w:rFonts w:cstheme="minorHAnsi"/>
          <w:sz w:val="24"/>
          <w:szCs w:val="24"/>
        </w:rPr>
        <w:t xml:space="preserve">. Each detector’s voltage </w:t>
      </w:r>
      <w:r w:rsidR="00B14E5F">
        <w:rPr>
          <w:rFonts w:cstheme="minorHAnsi"/>
          <w:sz w:val="24"/>
          <w:szCs w:val="24"/>
        </w:rPr>
        <w:t xml:space="preserve">supply </w:t>
      </w:r>
      <w:r w:rsidR="00BE68A9">
        <w:rPr>
          <w:rFonts w:cstheme="minorHAnsi"/>
          <w:sz w:val="24"/>
          <w:szCs w:val="24"/>
        </w:rPr>
        <w:t>was</w:t>
      </w:r>
      <w:r>
        <w:rPr>
          <w:rFonts w:cstheme="minorHAnsi"/>
          <w:sz w:val="24"/>
          <w:szCs w:val="24"/>
        </w:rPr>
        <w:t xml:space="preserve"> adjusted</w:t>
      </w:r>
      <w:r w:rsidR="00A0065E">
        <w:rPr>
          <w:rFonts w:cstheme="minorHAnsi"/>
          <w:sz w:val="24"/>
          <w:szCs w:val="24"/>
        </w:rPr>
        <w:t xml:space="preserve"> within the software</w:t>
      </w:r>
      <w:r>
        <w:rPr>
          <w:rFonts w:cstheme="minorHAnsi"/>
          <w:sz w:val="24"/>
          <w:szCs w:val="24"/>
        </w:rPr>
        <w:t xml:space="preserve"> to align the Compton peak to </w:t>
      </w:r>
      <w:r w:rsidR="001B636D">
        <w:rPr>
          <w:rFonts w:cstheme="minorHAnsi"/>
          <w:sz w:val="24"/>
          <w:szCs w:val="24"/>
        </w:rPr>
        <w:t>a</w:t>
      </w:r>
      <w:r>
        <w:rPr>
          <w:rFonts w:cstheme="minorHAnsi"/>
          <w:sz w:val="24"/>
          <w:szCs w:val="24"/>
        </w:rPr>
        <w:t xml:space="preserve"> </w:t>
      </w:r>
      <w:r w:rsidR="00BE68A9">
        <w:rPr>
          <w:rFonts w:cstheme="minorHAnsi"/>
          <w:sz w:val="24"/>
          <w:szCs w:val="24"/>
        </w:rPr>
        <w:t>consistent</w:t>
      </w:r>
      <w:r>
        <w:rPr>
          <w:rFonts w:cstheme="minorHAnsi"/>
          <w:sz w:val="24"/>
          <w:szCs w:val="24"/>
        </w:rPr>
        <w:t xml:space="preserve"> point of the MCA spectra. Once the detectors are aligned </w:t>
      </w:r>
      <w:r w:rsidR="00BE68A9">
        <w:rPr>
          <w:rFonts w:cstheme="minorHAnsi"/>
          <w:sz w:val="24"/>
          <w:szCs w:val="24"/>
        </w:rPr>
        <w:t>via</w:t>
      </w:r>
      <w:r>
        <w:rPr>
          <w:rFonts w:cstheme="minorHAnsi"/>
          <w:sz w:val="24"/>
          <w:szCs w:val="24"/>
        </w:rPr>
        <w:t xml:space="preserve"> the Compton peak, the PSD mode </w:t>
      </w:r>
      <w:r w:rsidR="00BE68A9">
        <w:rPr>
          <w:rFonts w:cstheme="minorHAnsi"/>
          <w:sz w:val="24"/>
          <w:szCs w:val="24"/>
        </w:rPr>
        <w:t>was</w:t>
      </w:r>
      <w:r>
        <w:rPr>
          <w:rFonts w:cstheme="minorHAnsi"/>
          <w:sz w:val="24"/>
          <w:szCs w:val="24"/>
        </w:rPr>
        <w:t xml:space="preserve"> opened to set the</w:t>
      </w:r>
      <w:r w:rsidR="00BE68A9">
        <w:rPr>
          <w:rFonts w:cstheme="minorHAnsi"/>
          <w:sz w:val="24"/>
          <w:szCs w:val="24"/>
        </w:rPr>
        <w:t xml:space="preserve"> optimum pulse-shape</w:t>
      </w:r>
      <w:r>
        <w:rPr>
          <w:rFonts w:cstheme="minorHAnsi"/>
          <w:sz w:val="24"/>
          <w:szCs w:val="24"/>
        </w:rPr>
        <w:t xml:space="preserve"> threshold at which neutron and </w:t>
      </w:r>
      <w:r w:rsidR="00780048">
        <w:rPr>
          <w:sz w:val="24"/>
          <w:szCs w:val="24"/>
        </w:rPr>
        <w:t>gamma</w:t>
      </w:r>
      <w:r>
        <w:rPr>
          <w:rFonts w:cstheme="minorHAnsi"/>
          <w:sz w:val="24"/>
          <w:szCs w:val="24"/>
        </w:rPr>
        <w:t xml:space="preserve">-ray pulses are distinguished from one another. </w:t>
      </w:r>
      <w:r w:rsidR="007C1B97">
        <w:rPr>
          <w:rFonts w:cstheme="minorHAnsi"/>
          <w:sz w:val="24"/>
          <w:szCs w:val="24"/>
        </w:rPr>
        <w:t xml:space="preserve">PSD or pulse-shape discrimination is a process which </w:t>
      </w:r>
      <w:r w:rsidR="007E7EE0">
        <w:rPr>
          <w:rFonts w:cstheme="minorHAnsi"/>
          <w:sz w:val="24"/>
          <w:szCs w:val="24"/>
        </w:rPr>
        <w:t xml:space="preserve">identifies whether a </w:t>
      </w:r>
      <w:r w:rsidR="00CF651B">
        <w:rPr>
          <w:rFonts w:cstheme="minorHAnsi"/>
          <w:sz w:val="24"/>
          <w:szCs w:val="24"/>
        </w:rPr>
        <w:t>scintillation pulse</w:t>
      </w:r>
      <w:r w:rsidR="007E7EE0">
        <w:rPr>
          <w:rFonts w:cstheme="minorHAnsi"/>
          <w:sz w:val="24"/>
          <w:szCs w:val="24"/>
        </w:rPr>
        <w:t xml:space="preserve"> was generated by a gamma-ray or a neutron by measuring the </w:t>
      </w:r>
      <w:r w:rsidR="00CF651B">
        <w:rPr>
          <w:rFonts w:cstheme="minorHAnsi"/>
          <w:sz w:val="24"/>
          <w:szCs w:val="24"/>
        </w:rPr>
        <w:t xml:space="preserve">differences in the shapes of </w:t>
      </w:r>
      <w:r w:rsidR="00820F18">
        <w:rPr>
          <w:rFonts w:cstheme="minorHAnsi"/>
          <w:sz w:val="24"/>
          <w:szCs w:val="24"/>
        </w:rPr>
        <w:t xml:space="preserve">the </w:t>
      </w:r>
      <w:r w:rsidR="00CF651B">
        <w:rPr>
          <w:rFonts w:cstheme="minorHAnsi"/>
          <w:sz w:val="24"/>
          <w:szCs w:val="24"/>
        </w:rPr>
        <w:t>pulses</w:t>
      </w:r>
      <w:r w:rsidR="00820F18">
        <w:rPr>
          <w:rFonts w:cstheme="minorHAnsi"/>
          <w:sz w:val="24"/>
          <w:szCs w:val="24"/>
        </w:rPr>
        <w:t xml:space="preserve"> </w:t>
      </w:r>
      <w:r w:rsidR="003B7689">
        <w:rPr>
          <w:rFonts w:cstheme="minorHAnsi"/>
          <w:sz w:val="24"/>
          <w:szCs w:val="24"/>
        </w:rPr>
        <w:t xml:space="preserve">(pictured in </w:t>
      </w:r>
      <w:r w:rsidR="004D3B0B">
        <w:rPr>
          <w:rFonts w:cstheme="minorHAnsi"/>
          <w:sz w:val="24"/>
          <w:szCs w:val="24"/>
        </w:rPr>
        <w:fldChar w:fldCharType="begin"/>
      </w:r>
      <w:r w:rsidR="004D3B0B">
        <w:rPr>
          <w:rFonts w:cstheme="minorHAnsi"/>
          <w:sz w:val="24"/>
          <w:szCs w:val="24"/>
        </w:rPr>
        <w:instrText xml:space="preserve"> REF _Ref31288185 \h </w:instrText>
      </w:r>
      <w:r w:rsidR="004D3B0B">
        <w:rPr>
          <w:rFonts w:cstheme="minorHAnsi"/>
          <w:sz w:val="24"/>
          <w:szCs w:val="24"/>
        </w:rPr>
      </w:r>
      <w:r w:rsidR="004D3B0B">
        <w:rPr>
          <w:rFonts w:cstheme="minorHAnsi"/>
          <w:sz w:val="24"/>
          <w:szCs w:val="24"/>
        </w:rPr>
        <w:fldChar w:fldCharType="separate"/>
      </w:r>
      <w:r w:rsidR="00161FDC" w:rsidRPr="00C45EC1">
        <w:rPr>
          <w:sz w:val="20"/>
        </w:rPr>
        <w:t xml:space="preserve">Figure </w:t>
      </w:r>
      <w:r w:rsidR="00161FDC">
        <w:rPr>
          <w:noProof/>
          <w:sz w:val="20"/>
        </w:rPr>
        <w:t>6</w:t>
      </w:r>
      <w:r w:rsidR="004D3B0B">
        <w:rPr>
          <w:rFonts w:cstheme="minorHAnsi"/>
          <w:sz w:val="24"/>
          <w:szCs w:val="24"/>
        </w:rPr>
        <w:fldChar w:fldCharType="end"/>
      </w:r>
      <w:r w:rsidR="003B7689">
        <w:rPr>
          <w:rFonts w:cstheme="minorHAnsi"/>
          <w:sz w:val="24"/>
          <w:szCs w:val="24"/>
        </w:rPr>
        <w:t>)</w:t>
      </w:r>
      <w:r w:rsidR="00CF651B">
        <w:rPr>
          <w:rFonts w:cstheme="minorHAnsi"/>
          <w:sz w:val="24"/>
          <w:szCs w:val="24"/>
        </w:rPr>
        <w:t xml:space="preserve">. The neutron triggered scintillation pulses have a longer decay time than pulses triggered by the </w:t>
      </w:r>
      <w:r w:rsidR="006A36B9">
        <w:rPr>
          <w:rFonts w:cstheme="minorHAnsi"/>
          <w:sz w:val="24"/>
          <w:szCs w:val="24"/>
        </w:rPr>
        <w:t>gamma-rays</w:t>
      </w:r>
      <w:r w:rsidR="000B660F">
        <w:rPr>
          <w:rFonts w:cstheme="minorHAnsi"/>
          <w:sz w:val="24"/>
          <w:szCs w:val="24"/>
        </w:rPr>
        <w:t xml:space="preserve"> and this </w:t>
      </w:r>
      <w:r w:rsidR="00880C42">
        <w:rPr>
          <w:rFonts w:cstheme="minorHAnsi"/>
          <w:sz w:val="24"/>
          <w:szCs w:val="24"/>
        </w:rPr>
        <w:t xml:space="preserve">difference </w:t>
      </w:r>
      <w:r w:rsidR="00E8750F">
        <w:rPr>
          <w:rFonts w:cstheme="minorHAnsi"/>
          <w:sz w:val="24"/>
          <w:szCs w:val="24"/>
        </w:rPr>
        <w:t>is measured as part of the PSD</w:t>
      </w:r>
      <w:r w:rsidR="00826F61">
        <w:rPr>
          <w:rFonts w:cstheme="minorHAnsi"/>
          <w:sz w:val="24"/>
          <w:szCs w:val="24"/>
        </w:rPr>
        <w:t xml:space="preserve"> method</w:t>
      </w:r>
      <w:r w:rsidR="007E7EE0">
        <w:rPr>
          <w:rFonts w:cstheme="minorHAnsi"/>
          <w:sz w:val="24"/>
          <w:szCs w:val="24"/>
        </w:rPr>
        <w:t xml:space="preserve">. </w:t>
      </w:r>
      <w:r>
        <w:rPr>
          <w:rFonts w:cstheme="minorHAnsi"/>
          <w:sz w:val="24"/>
          <w:szCs w:val="24"/>
        </w:rPr>
        <w:t xml:space="preserve">Detection starts with the point-source </w:t>
      </w:r>
      <w:r w:rsidR="00E54BBD">
        <w:rPr>
          <w:rFonts w:cstheme="minorHAnsi"/>
          <w:sz w:val="24"/>
          <w:szCs w:val="24"/>
        </w:rPr>
        <w:t>p</w:t>
      </w:r>
      <w:r>
        <w:rPr>
          <w:rFonts w:cstheme="minorHAnsi"/>
          <w:sz w:val="24"/>
          <w:szCs w:val="24"/>
        </w:rPr>
        <w:t>lace</w:t>
      </w:r>
      <w:r w:rsidR="00E54BBD">
        <w:rPr>
          <w:rFonts w:cstheme="minorHAnsi"/>
          <w:sz w:val="24"/>
          <w:szCs w:val="24"/>
        </w:rPr>
        <w:t>d centrally</w:t>
      </w:r>
      <w:r>
        <w:rPr>
          <w:rFonts w:cstheme="minorHAnsi"/>
          <w:sz w:val="24"/>
          <w:szCs w:val="24"/>
        </w:rPr>
        <w:t xml:space="preserve"> in the array to give an example PSD </w:t>
      </w:r>
      <w:r w:rsidR="00BE68A9">
        <w:rPr>
          <w:rFonts w:cstheme="minorHAnsi"/>
          <w:sz w:val="24"/>
          <w:szCs w:val="24"/>
        </w:rPr>
        <w:t>scatter</w:t>
      </w:r>
      <w:r>
        <w:rPr>
          <w:rFonts w:cstheme="minorHAnsi"/>
          <w:sz w:val="24"/>
          <w:szCs w:val="24"/>
        </w:rPr>
        <w:t xml:space="preserve"> plot, then </w:t>
      </w:r>
      <w:r>
        <w:rPr>
          <w:rFonts w:cstheme="minorHAnsi"/>
          <w:sz w:val="24"/>
          <w:szCs w:val="24"/>
        </w:rPr>
        <w:lastRenderedPageBreak/>
        <w:t>the</w:t>
      </w:r>
      <w:r w:rsidR="008945A2">
        <w:rPr>
          <w:rFonts w:cstheme="minorHAnsi"/>
          <w:sz w:val="24"/>
          <w:szCs w:val="24"/>
        </w:rPr>
        <w:t xml:space="preserve"> PSD</w:t>
      </w:r>
      <w:r>
        <w:rPr>
          <w:rFonts w:cstheme="minorHAnsi"/>
          <w:sz w:val="24"/>
          <w:szCs w:val="24"/>
        </w:rPr>
        <w:t xml:space="preserve"> threshold is retrieved with</w:t>
      </w:r>
      <w:r w:rsidR="002C0819">
        <w:rPr>
          <w:rFonts w:cstheme="minorHAnsi"/>
          <w:sz w:val="24"/>
          <w:szCs w:val="24"/>
        </w:rPr>
        <w:t>in</w:t>
      </w:r>
      <w:r>
        <w:rPr>
          <w:rFonts w:cstheme="minorHAnsi"/>
          <w:sz w:val="24"/>
          <w:szCs w:val="24"/>
        </w:rPr>
        <w:t xml:space="preserve"> the MFA software and adjusted by hand in the GUI </w:t>
      </w:r>
      <w:r w:rsidR="00636383">
        <w:rPr>
          <w:rFonts w:cstheme="minorHAnsi"/>
          <w:sz w:val="24"/>
          <w:szCs w:val="24"/>
        </w:rPr>
        <w:t xml:space="preserve">(graphical user interface) </w:t>
      </w:r>
      <w:r>
        <w:rPr>
          <w:rFonts w:cstheme="minorHAnsi"/>
          <w:sz w:val="24"/>
          <w:szCs w:val="24"/>
        </w:rPr>
        <w:t xml:space="preserve">to </w:t>
      </w:r>
      <w:r w:rsidR="00616D67">
        <w:rPr>
          <w:rFonts w:cstheme="minorHAnsi"/>
          <w:sz w:val="24"/>
          <w:szCs w:val="24"/>
        </w:rPr>
        <w:t>assign</w:t>
      </w:r>
      <w:r>
        <w:rPr>
          <w:rFonts w:cstheme="minorHAnsi"/>
          <w:sz w:val="24"/>
          <w:szCs w:val="24"/>
        </w:rPr>
        <w:t xml:space="preserve"> each detector a </w:t>
      </w:r>
      <w:r w:rsidR="00616D67">
        <w:rPr>
          <w:rFonts w:cstheme="minorHAnsi"/>
          <w:sz w:val="24"/>
          <w:szCs w:val="24"/>
        </w:rPr>
        <w:t>specific</w:t>
      </w:r>
      <w:r>
        <w:rPr>
          <w:rFonts w:cstheme="minorHAnsi"/>
          <w:sz w:val="24"/>
          <w:szCs w:val="24"/>
        </w:rPr>
        <w:t xml:space="preserve"> </w:t>
      </w:r>
      <w:r w:rsidR="00616D67">
        <w:rPr>
          <w:rFonts w:cstheme="minorHAnsi"/>
          <w:sz w:val="24"/>
          <w:szCs w:val="24"/>
        </w:rPr>
        <w:t>discrimination</w:t>
      </w:r>
      <w:r>
        <w:rPr>
          <w:rFonts w:cstheme="minorHAnsi"/>
          <w:sz w:val="24"/>
          <w:szCs w:val="24"/>
        </w:rPr>
        <w:t xml:space="preserve"> threshold that best fits the </w:t>
      </w:r>
      <w:r w:rsidR="00616D67">
        <w:rPr>
          <w:rFonts w:cstheme="minorHAnsi"/>
          <w:sz w:val="24"/>
          <w:szCs w:val="24"/>
        </w:rPr>
        <w:t xml:space="preserve">separation of the plumes in the </w:t>
      </w:r>
      <w:r>
        <w:rPr>
          <w:rFonts w:cstheme="minorHAnsi"/>
          <w:sz w:val="24"/>
          <w:szCs w:val="24"/>
        </w:rPr>
        <w:t xml:space="preserve">data presented from the </w:t>
      </w:r>
      <w:r w:rsidRPr="00660D8D">
        <w:rPr>
          <w:rFonts w:cstheme="minorHAnsi"/>
          <w:sz w:val="24"/>
          <w:szCs w:val="24"/>
          <w:vertAlign w:val="superscript"/>
        </w:rPr>
        <w:t>137</w:t>
      </w:r>
      <w:r w:rsidR="00660D8D">
        <w:rPr>
          <w:rFonts w:cstheme="minorHAnsi"/>
          <w:sz w:val="24"/>
          <w:szCs w:val="24"/>
        </w:rPr>
        <w:t>Cs</w:t>
      </w:r>
      <w:r>
        <w:rPr>
          <w:rFonts w:cstheme="minorHAnsi"/>
          <w:sz w:val="24"/>
          <w:szCs w:val="24"/>
        </w:rPr>
        <w:t xml:space="preserve"> source. The </w:t>
      </w:r>
      <w:r w:rsidR="008945A2">
        <w:rPr>
          <w:rFonts w:cstheme="minorHAnsi"/>
          <w:sz w:val="24"/>
          <w:szCs w:val="24"/>
        </w:rPr>
        <w:t xml:space="preserve">PSD </w:t>
      </w:r>
      <w:r>
        <w:rPr>
          <w:rFonts w:cstheme="minorHAnsi"/>
          <w:sz w:val="24"/>
          <w:szCs w:val="24"/>
        </w:rPr>
        <w:t>threshold can also be adjusted by channel number to make all detectors uniform in their threshold position, but the decision was made throughout all experiments presented to calibrate dependent on the PSD curves (plumes of gamma and neutron emissions), to consider the detector differences brought about by changes in geometry and uncontrollable differences within the instruments themselves. The same calibration methodology was carried out</w:t>
      </w:r>
      <w:r w:rsidR="00616D67">
        <w:rPr>
          <w:rFonts w:cstheme="minorHAnsi"/>
          <w:sz w:val="24"/>
          <w:szCs w:val="24"/>
        </w:rPr>
        <w:t xml:space="preserve"> successfully</w:t>
      </w:r>
      <w:r>
        <w:rPr>
          <w:rFonts w:cstheme="minorHAnsi"/>
          <w:sz w:val="24"/>
          <w:szCs w:val="24"/>
        </w:rPr>
        <w:t xml:space="preserve"> in Parker et al</w:t>
      </w:r>
      <w:r w:rsidR="00616D67">
        <w:rPr>
          <w:rFonts w:cstheme="minorHAnsi"/>
          <w:sz w:val="24"/>
          <w:szCs w:val="24"/>
        </w:rPr>
        <w:t>.</w:t>
      </w:r>
      <w:r>
        <w:rPr>
          <w:rFonts w:cstheme="minorHAnsi"/>
          <w:sz w:val="24"/>
          <w:szCs w:val="24"/>
        </w:rPr>
        <w:t>’s “Active fast neutron assay of uranium-235 enrichment in small samples of triuranium octoxide” (2016</w:t>
      </w:r>
      <w:r w:rsidR="00D56AEE">
        <w:rPr>
          <w:rFonts w:cstheme="minorHAnsi"/>
          <w:sz w:val="24"/>
          <w:szCs w:val="24"/>
        </w:rPr>
        <w:t xml:space="preserve">) </w:t>
      </w:r>
      <w:r w:rsidR="00D56AEE">
        <w:rPr>
          <w:rFonts w:cstheme="minorHAnsi"/>
          <w:sz w:val="24"/>
          <w:szCs w:val="24"/>
        </w:rPr>
        <w:fldChar w:fldCharType="begin" w:fldLock="1"/>
      </w:r>
      <w:r w:rsidR="000B0F18">
        <w:rPr>
          <w:rFonts w:cstheme="minorHAnsi"/>
          <w:sz w:val="24"/>
          <w:szCs w:val="24"/>
        </w:rPr>
        <w:instrText>ADDIN CSL_CITATION {"citationItems":[{"id":"ITEM-1","itemData":{"abstract":"The sensitivity of an active fast neutron assay system for the measurement of 235U enrichment in small\r\nsamples of low-enriched triuranium octoxide (U3O8) is described. The system comprises four organic\r\nliquid scintillation detectors in a polyethylene container in which a stimulating americium-lithium\r\nneutron source is placed below the sample to be interrogated. The sensitivities of both the singles and\r\ndoubles assay have been corrected for the contribution from the stimulating source and for spontaneous\r\nfission in 238U and found to be (0.116 ± 0.008) cps per detector per % wt. (7%) and (0.0006 ± 0.0002) cps\r\nper detector per % wt. (33%), respectively. The singles approach with the 4-detector arrangement has\r\nbeen compared via Monte Carlo (MCNP-5) simulations with a fast neutron counting system based on 12\r\ndetectors in which the source is placed adjacent to the sample, similar to the arrangement referred to as\r\nthe liquid scintillator uranium neutron collar. This comparison confirms that whilst singles assay with\r\nthe 4-detector arrangement is feasible, the collar arrangement does not yield a singles yield that can be\r\ncorrelated with enrichment due to the perturbative scattering by the U3O8 sample. The 4-detector\r\narrangement is particularly suitable for small samples of fresh, low-enriched material that might arise\r\nin forensic applications and the analysis of un-irradiated, orphan wastes. In these cases the efficiency of\r\ncoincidence methods may be too low to yield a practical route to enrichment assessment. Conversely, the\r\nuse of many detectors and/or a high-intensity source by which sensitivity might be increased might\r\nrestrict the portability and ease of use of the apparatus. A correction for the contribution by (a, n) reactions, the stimulating source, spontaneous fission in 238U and self-multiplication in U3O8 is made via\r\npreparatory passive measurements.","author":[{"dropping-particle":"","family":"Helen M.O. Parker","given":"","non-dropping-particle":"","parse-names":false,"suffix":""},{"dropping-particle":"","family":"Michael D. Aspinall","given":"","non-dropping-particle":"","parse-names":false,"suffix":""},{"dropping-particle":"","family":"Alex Couture","given":"","non-dropping-particle":"","parse-names":false,"suffix":""},{"dropping-particle":"","family":"Francis D. Cave","given":"","non-dropping-particle":"","parse-names":false,"suffix":""},{"dropping-particle":"","family":"Christopher Orr","given":"","non-dropping-particle":"","parse-names":false,"suffix":""},{"dropping-particle":"","family":"Bryan Swinson","given":"","non-dropping-particle":"","parse-names":false,"suffix":""},{"dropping-particle":"","family":"Malcolm J. Joyce","given":"","non-dropping-particle":"","parse-names":false,"suffix":""}],"container-title":"Progress in nuclear energy","id":"ITEM-1","issued":{"date-parts":[["2016"]]},"page":"59-66","title":"Active fast neutron singles assay of 235U enrichment in small samples of triuranium octoxide","type":"article-journal","volume":"93"},"uris":["http://www.mendeley.com/documents/?uuid=c6c9256c-707b-3a36-8212-cd446e5b75f1"]}],"mendeley":{"formattedCitation":"[49]","plainTextFormattedCitation":"[49]","previouslyFormattedCitation":"[49]"},"properties":{"noteIndex":0},"schema":"https://github.com/citation-style-language/schema/raw/master/csl-citation.json"}</w:instrText>
      </w:r>
      <w:r w:rsidR="00D56AEE">
        <w:rPr>
          <w:rFonts w:cstheme="minorHAnsi"/>
          <w:sz w:val="24"/>
          <w:szCs w:val="24"/>
        </w:rPr>
        <w:fldChar w:fldCharType="separate"/>
      </w:r>
      <w:r w:rsidR="007D1AB4" w:rsidRPr="007D1AB4">
        <w:rPr>
          <w:rFonts w:cstheme="minorHAnsi"/>
          <w:noProof/>
          <w:sz w:val="24"/>
          <w:szCs w:val="24"/>
        </w:rPr>
        <w:t>[49]</w:t>
      </w:r>
      <w:r w:rsidR="00D56AEE">
        <w:rPr>
          <w:rFonts w:cstheme="minorHAnsi"/>
          <w:sz w:val="24"/>
          <w:szCs w:val="24"/>
        </w:rPr>
        <w:fldChar w:fldCharType="end"/>
      </w:r>
      <w:r w:rsidR="00660D8D">
        <w:rPr>
          <w:rFonts w:cstheme="minorHAnsi"/>
          <w:sz w:val="24"/>
          <w:szCs w:val="24"/>
        </w:rPr>
        <w:t>.</w:t>
      </w:r>
    </w:p>
    <w:p w14:paraId="423FBE74" w14:textId="227C457B" w:rsidR="00D524B1" w:rsidRPr="00E11031" w:rsidRDefault="00F37CA9" w:rsidP="00E11031">
      <w:pPr>
        <w:spacing w:line="480" w:lineRule="auto"/>
        <w:ind w:firstLine="567"/>
        <w:rPr>
          <w:rFonts w:cstheme="minorHAnsi"/>
          <w:sz w:val="24"/>
          <w:szCs w:val="24"/>
        </w:rPr>
      </w:pPr>
      <w:r>
        <w:rPr>
          <w:rFonts w:cstheme="minorHAnsi"/>
          <w:sz w:val="24"/>
          <w:szCs w:val="24"/>
        </w:rPr>
        <w:t>It is important to set a consistent and accurate threshold between the two radiation plumes in the GUI as inaccuracy can lead to</w:t>
      </w:r>
      <w:r w:rsidR="00616D67">
        <w:rPr>
          <w:rFonts w:cstheme="minorHAnsi"/>
          <w:sz w:val="24"/>
          <w:szCs w:val="24"/>
        </w:rPr>
        <w:t xml:space="preserve"> photon</w:t>
      </w:r>
      <w:r>
        <w:rPr>
          <w:rFonts w:cstheme="minorHAnsi"/>
          <w:sz w:val="24"/>
          <w:szCs w:val="24"/>
        </w:rPr>
        <w:t xml:space="preserve"> bleed-through. Bleed-through is a</w:t>
      </w:r>
      <w:r>
        <w:rPr>
          <w:sz w:val="24"/>
        </w:rPr>
        <w:t xml:space="preserve"> potential system-based contribution towards </w:t>
      </w:r>
      <w:r w:rsidR="00660D8D">
        <w:rPr>
          <w:sz w:val="24"/>
        </w:rPr>
        <w:t xml:space="preserve">false </w:t>
      </w:r>
      <w:r>
        <w:rPr>
          <w:sz w:val="24"/>
        </w:rPr>
        <w:t>sample</w:t>
      </w:r>
      <w:r w:rsidR="00660D8D">
        <w:rPr>
          <w:sz w:val="24"/>
        </w:rPr>
        <w:t xml:space="preserve"> counts</w:t>
      </w:r>
      <w:r>
        <w:rPr>
          <w:sz w:val="24"/>
        </w:rPr>
        <w:t xml:space="preserve"> measured in the detection system</w:t>
      </w:r>
      <w:r w:rsidR="00FE3797">
        <w:rPr>
          <w:sz w:val="24"/>
        </w:rPr>
        <w:t xml:space="preserve"> </w:t>
      </w:r>
      <w:r w:rsidR="00D56AEE">
        <w:rPr>
          <w:sz w:val="24"/>
        </w:rPr>
        <w:fldChar w:fldCharType="begin" w:fldLock="1"/>
      </w:r>
      <w:r w:rsidR="000B0F18">
        <w:rPr>
          <w:sz w:val="24"/>
        </w:rPr>
        <w:instrText>ADDIN CSL_CITATION {"citationItems":[{"id":"ITEM-1","itemData":{"DOI":"10.1016/j.nima.2018.06.056","abstract":"A model quantifying detector cross-talk and the misidentification of events in fast neutron coincidence distributions is described. This is demonstrated for two experimental arrangements comprising rings of 8 and 15 organic liquid scintillation detectors. Correction terms developed as part of this model are tested with 252 Cf and a relationship is developed between the 235 U enrichment of U 3 O 8 and the order of correlated, fast neutron multiplets induced by an americium-lithium source. The model is also supported by Geant4 simulations. The results suggest that a typical assay, for experimental arrangements that are similar to the examples investigated in this research, will exhibit cross-talk for less than 1% of all detected fast neutrons but, if not accounted for, this can bias the numerical analysis by a margin of 10% and 35% in second-and third-order coincidences (i.e. couplet and triplet counts), respectively. Further, for the case of 252 Cf, it is shown that a relatively low proportion of 4% breakthrough by í µí»¾ rays (that is, photons misidentified as neutrons by the pulse-shape discrimination process) can lead to an erroneous increase of 20% in total neutron counts in the assay of a mixed-field, in this case of 252 Cf. These findings will help direct the developments needed to enable organic scintillation detectors with pulse shape discriminators to be applied reliably to nuclear safeguards and non-proliferation verification tasks.","author":[{"dropping-particle":"","family":"Sarwar","given":"R","non-dropping-particle":"","parse-names":false,"suffix":""},{"dropping-particle":"","family":"Astromskas","given":"V","non-dropping-particle":"","parse-names":false,"suffix":""},{"dropping-particle":"","family":"Zimmerman","given":"C H","non-dropping-particle":"","parse-names":false,"suffix":""},{"dropping-particle":"","family":"Nutter","given":"G","non-dropping-particle":"","parse-names":false,"suffix":""},{"dropping-particle":"","family":"Simone","given":"A T","non-dropping-particle":"","parse-names":false,"suffix":""},{"dropping-particle":"","family":"Croft","given":"S","non-dropping-particle":"","parse-names":false,"suffix":""},{"dropping-particle":"","family":"Joyce","given":"M J","non-dropping-particle":"","parse-names":false,"suffix":""}],"container-title":"Nuclear Inst. and Methods in Physics Research, A","id":"ITEM-1","issued":{"date-parts":[["2018"]]},"page":"152-161","title":"An event-triggered coincidence algorithm for fast-neutron multiplicity assay corrected for cross-talk and photon breakthrough","type":"article-journal","volume":"903"},"uris":["http://www.mendeley.com/documents/?uuid=0b22f73a-504a-3590-8278-484e11d523f3"]}],"mendeley":{"formattedCitation":"[50]","plainTextFormattedCitation":"[50]","previouslyFormattedCitation":"[50]"},"properties":{"noteIndex":0},"schema":"https://github.com/citation-style-language/schema/raw/master/csl-citation.json"}</w:instrText>
      </w:r>
      <w:r w:rsidR="00D56AEE">
        <w:rPr>
          <w:sz w:val="24"/>
        </w:rPr>
        <w:fldChar w:fldCharType="separate"/>
      </w:r>
      <w:r w:rsidR="007D1AB4" w:rsidRPr="007D1AB4">
        <w:rPr>
          <w:noProof/>
          <w:sz w:val="24"/>
        </w:rPr>
        <w:t>[50]</w:t>
      </w:r>
      <w:r w:rsidR="00D56AEE">
        <w:rPr>
          <w:sz w:val="24"/>
        </w:rPr>
        <w:fldChar w:fldCharType="end"/>
      </w:r>
      <w:r w:rsidR="00D56AEE">
        <w:rPr>
          <w:sz w:val="24"/>
        </w:rPr>
        <w:t xml:space="preserve">. </w:t>
      </w:r>
      <w:r>
        <w:rPr>
          <w:sz w:val="24"/>
        </w:rPr>
        <w:t>The system relies on pulse-shape discrimination</w:t>
      </w:r>
      <w:r w:rsidR="00660D8D">
        <w:rPr>
          <w:sz w:val="24"/>
        </w:rPr>
        <w:t xml:space="preserve"> (PSD)</w:t>
      </w:r>
      <w:r>
        <w:rPr>
          <w:sz w:val="24"/>
        </w:rPr>
        <w:t xml:space="preserve"> to distinguish between neutron and gamma radiation. Sometimes, dependent on the energy and pulse-shape of the </w:t>
      </w:r>
      <w:r w:rsidR="00616D67">
        <w:rPr>
          <w:sz w:val="24"/>
        </w:rPr>
        <w:t>events</w:t>
      </w:r>
      <w:r>
        <w:rPr>
          <w:sz w:val="24"/>
        </w:rPr>
        <w:t xml:space="preserve"> detected</w:t>
      </w:r>
      <w:r w:rsidR="00D35391">
        <w:rPr>
          <w:sz w:val="24"/>
        </w:rPr>
        <w:t>,</w:t>
      </w:r>
      <w:r>
        <w:rPr>
          <w:sz w:val="24"/>
        </w:rPr>
        <w:t xml:space="preserve"> one type of radiation can be </w:t>
      </w:r>
      <w:r w:rsidR="00616D67">
        <w:rPr>
          <w:sz w:val="24"/>
        </w:rPr>
        <w:t>mistaken</w:t>
      </w:r>
      <w:r>
        <w:rPr>
          <w:sz w:val="24"/>
        </w:rPr>
        <w:t xml:space="preserve"> as the other, this is known as bleed through. </w:t>
      </w:r>
      <w:r w:rsidR="00426381">
        <w:rPr>
          <w:sz w:val="24"/>
        </w:rPr>
        <w:t>So,</w:t>
      </w:r>
      <w:r>
        <w:rPr>
          <w:sz w:val="24"/>
        </w:rPr>
        <w:t xml:space="preserve"> gamma emissions in any measurement could register in the system as neutrons. This is </w:t>
      </w:r>
      <w:r w:rsidR="00616D67">
        <w:rPr>
          <w:sz w:val="24"/>
        </w:rPr>
        <w:t>less</w:t>
      </w:r>
      <w:r>
        <w:rPr>
          <w:sz w:val="24"/>
        </w:rPr>
        <w:t xml:space="preserve"> likely </w:t>
      </w:r>
      <w:r w:rsidR="00616D67">
        <w:rPr>
          <w:sz w:val="24"/>
        </w:rPr>
        <w:t>assuring</w:t>
      </w:r>
      <w:r>
        <w:rPr>
          <w:sz w:val="24"/>
        </w:rPr>
        <w:t xml:space="preserve"> correct calibration, as there are only a </w:t>
      </w:r>
      <w:r w:rsidR="00616D67">
        <w:rPr>
          <w:sz w:val="24"/>
        </w:rPr>
        <w:t>small</w:t>
      </w:r>
      <w:r>
        <w:rPr>
          <w:sz w:val="24"/>
        </w:rPr>
        <w:t xml:space="preserve"> proportion of possible instances of bleed-through. These can be seen as individual points close to the threshold line during calibration far from the gamma </w:t>
      </w:r>
      <w:r w:rsidR="007C2F47">
        <w:rPr>
          <w:sz w:val="24"/>
        </w:rPr>
        <w:t xml:space="preserve">(red) </w:t>
      </w:r>
      <w:r>
        <w:rPr>
          <w:sz w:val="24"/>
        </w:rPr>
        <w:t>and neutron</w:t>
      </w:r>
      <w:r w:rsidR="007C2F47">
        <w:rPr>
          <w:sz w:val="24"/>
        </w:rPr>
        <w:t xml:space="preserve"> (blue)</w:t>
      </w:r>
      <w:r>
        <w:rPr>
          <w:sz w:val="24"/>
        </w:rPr>
        <w:t xml:space="preserve"> plumes where</w:t>
      </w:r>
      <w:r w:rsidR="00E11031">
        <w:rPr>
          <w:sz w:val="24"/>
        </w:rPr>
        <w:t xml:space="preserve"> </w:t>
      </w:r>
      <w:r w:rsidR="00E11031">
        <w:rPr>
          <w:sz w:val="24"/>
        </w:rPr>
        <w:lastRenderedPageBreak/>
        <w:t>t</w:t>
      </w:r>
      <w:r>
        <w:rPr>
          <w:sz w:val="24"/>
        </w:rPr>
        <w:t>he majority of radiation events are recorded</w:t>
      </w:r>
      <w:r w:rsidR="00E11031">
        <w:rPr>
          <w:sz w:val="24"/>
        </w:rPr>
        <w:t>.</w:t>
      </w:r>
      <w:r w:rsidR="007E6DE9" w:rsidRPr="007E6DE9">
        <w:rPr>
          <w:noProof/>
          <w:color w:val="FF0000"/>
          <w:sz w:val="24"/>
          <w:lang w:eastAsia="en-GB"/>
        </w:rPr>
        <w:drawing>
          <wp:inline distT="0" distB="0" distL="0" distR="0" wp14:anchorId="35FE2A4B" wp14:editId="7BC47F7B">
            <wp:extent cx="6032539" cy="2695575"/>
            <wp:effectExtent l="0" t="0" r="6350" b="0"/>
            <wp:docPr id="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tretch>
                      <a:fillRect/>
                    </a:stretch>
                  </pic:blipFill>
                  <pic:spPr>
                    <a:xfrm>
                      <a:off x="0" y="0"/>
                      <a:ext cx="6055016" cy="2705619"/>
                    </a:xfrm>
                    <a:prstGeom prst="rect">
                      <a:avLst/>
                    </a:prstGeom>
                  </pic:spPr>
                </pic:pic>
              </a:graphicData>
            </a:graphic>
          </wp:inline>
        </w:drawing>
      </w:r>
    </w:p>
    <w:p w14:paraId="0F7AABB2" w14:textId="4167ED3C" w:rsidR="00F37CA9" w:rsidRPr="00C45EC1" w:rsidRDefault="00D524B1" w:rsidP="00C45EC1">
      <w:pPr>
        <w:pStyle w:val="Caption"/>
        <w:jc w:val="center"/>
        <w:rPr>
          <w:sz w:val="20"/>
        </w:rPr>
      </w:pPr>
      <w:bookmarkStart w:id="9" w:name="_Ref31288185"/>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6</w:t>
      </w:r>
      <w:r w:rsidRPr="00C45EC1">
        <w:rPr>
          <w:sz w:val="20"/>
        </w:rPr>
        <w:fldChar w:fldCharType="end"/>
      </w:r>
      <w:bookmarkEnd w:id="9"/>
      <w:r w:rsidRPr="00C45EC1">
        <w:rPr>
          <w:sz w:val="20"/>
        </w:rPr>
        <w:t xml:space="preserve"> An example of a PSD plot following measurement with </w:t>
      </w:r>
      <w:r w:rsidRPr="00C45EC1">
        <w:rPr>
          <w:sz w:val="20"/>
          <w:vertAlign w:val="superscript"/>
        </w:rPr>
        <w:t>137</w:t>
      </w:r>
      <w:r w:rsidRPr="00C45EC1">
        <w:rPr>
          <w:sz w:val="20"/>
        </w:rPr>
        <w:t>Cs. The PSD threshold is the partition between red and blue points on the graph. Blue dots represent the neutron counts, while red the gamma. Points close to the threshold have the possibility to be bleed-through, though the threshold is set in a conservative manner to minimise this. Red lines seen horizontally across the screen were an issue with the machinery at the time, but did not affect the neutron measurements for this project, as only neutrons were measured, and all events on the gamma side of the threshold were discarded.</w:t>
      </w:r>
    </w:p>
    <w:p w14:paraId="4897DE22" w14:textId="32948F16" w:rsidR="00F37CA9" w:rsidRPr="008B1C34" w:rsidRDefault="00F37CA9" w:rsidP="00F37CA9">
      <w:pPr>
        <w:spacing w:line="480" w:lineRule="auto"/>
        <w:rPr>
          <w:rFonts w:cstheme="minorHAnsi"/>
          <w:b/>
          <w:sz w:val="28"/>
          <w:szCs w:val="24"/>
        </w:rPr>
      </w:pPr>
      <w:r>
        <w:rPr>
          <w:rFonts w:cstheme="minorHAnsi"/>
          <w:b/>
          <w:sz w:val="28"/>
          <w:szCs w:val="24"/>
        </w:rPr>
        <w:t>2</w:t>
      </w:r>
      <w:r w:rsidRPr="008B1C34">
        <w:rPr>
          <w:rFonts w:cstheme="minorHAnsi"/>
          <w:b/>
          <w:sz w:val="28"/>
          <w:szCs w:val="24"/>
        </w:rPr>
        <w:t>.</w:t>
      </w:r>
      <w:r>
        <w:rPr>
          <w:rFonts w:cstheme="minorHAnsi"/>
          <w:b/>
          <w:sz w:val="28"/>
          <w:szCs w:val="24"/>
        </w:rPr>
        <w:t>2.2</w:t>
      </w:r>
      <w:r w:rsidRPr="008B1C34">
        <w:rPr>
          <w:rFonts w:cstheme="minorHAnsi"/>
          <w:b/>
          <w:sz w:val="28"/>
          <w:szCs w:val="24"/>
        </w:rPr>
        <w:t xml:space="preserve"> Parallel-array Neutron Measurement</w:t>
      </w:r>
      <w:r w:rsidR="008C128B">
        <w:rPr>
          <w:rFonts w:cstheme="minorHAnsi"/>
          <w:b/>
          <w:sz w:val="28"/>
          <w:szCs w:val="24"/>
        </w:rPr>
        <w:t>s</w:t>
      </w:r>
    </w:p>
    <w:p w14:paraId="05319114" w14:textId="2D8D9B1F" w:rsidR="00F37CA9" w:rsidRPr="00AF04C7" w:rsidRDefault="00F37CA9" w:rsidP="00F37CA9">
      <w:pPr>
        <w:spacing w:line="480" w:lineRule="auto"/>
        <w:ind w:firstLine="567"/>
        <w:rPr>
          <w:rFonts w:cstheme="minorHAnsi"/>
          <w:sz w:val="24"/>
          <w:szCs w:val="24"/>
        </w:rPr>
      </w:pPr>
      <w:r w:rsidRPr="00AF04C7">
        <w:rPr>
          <w:rFonts w:cstheme="minorHAnsi"/>
          <w:sz w:val="24"/>
          <w:szCs w:val="24"/>
        </w:rPr>
        <w:t xml:space="preserve">The parallel-array measurement </w:t>
      </w:r>
      <w:r>
        <w:rPr>
          <w:rFonts w:cstheme="minorHAnsi"/>
          <w:sz w:val="24"/>
          <w:szCs w:val="24"/>
        </w:rPr>
        <w:t xml:space="preserve">was </w:t>
      </w:r>
      <w:r w:rsidRPr="00AF04C7">
        <w:rPr>
          <w:rFonts w:cstheme="minorHAnsi"/>
          <w:sz w:val="24"/>
          <w:szCs w:val="24"/>
        </w:rPr>
        <w:t>comprise</w:t>
      </w:r>
      <w:r>
        <w:rPr>
          <w:rFonts w:cstheme="minorHAnsi"/>
          <w:sz w:val="24"/>
          <w:szCs w:val="24"/>
        </w:rPr>
        <w:t>d of</w:t>
      </w:r>
      <w:r w:rsidRPr="00AF04C7">
        <w:rPr>
          <w:rFonts w:cstheme="minorHAnsi"/>
          <w:sz w:val="24"/>
          <w:szCs w:val="24"/>
        </w:rPr>
        <w:t xml:space="preserve"> two independent neutron arrays</w:t>
      </w:r>
      <w:r>
        <w:rPr>
          <w:rFonts w:cstheme="minorHAnsi"/>
          <w:sz w:val="24"/>
          <w:szCs w:val="24"/>
        </w:rPr>
        <w:t xml:space="preserve">. </w:t>
      </w:r>
      <w:r w:rsidRPr="00AF04C7">
        <w:rPr>
          <w:rFonts w:cstheme="minorHAnsi"/>
          <w:sz w:val="24"/>
          <w:szCs w:val="24"/>
        </w:rPr>
        <w:t xml:space="preserve"> </w:t>
      </w:r>
      <w:r>
        <w:rPr>
          <w:rFonts w:cstheme="minorHAnsi"/>
          <w:sz w:val="24"/>
          <w:szCs w:val="24"/>
        </w:rPr>
        <w:t>Each</w:t>
      </w:r>
      <w:r w:rsidRPr="00AF04C7">
        <w:rPr>
          <w:rFonts w:cstheme="minorHAnsi"/>
          <w:sz w:val="24"/>
          <w:szCs w:val="24"/>
        </w:rPr>
        <w:t xml:space="preserve"> array </w:t>
      </w:r>
      <w:r>
        <w:rPr>
          <w:rFonts w:cstheme="minorHAnsi"/>
          <w:sz w:val="24"/>
          <w:szCs w:val="24"/>
        </w:rPr>
        <w:t>contained</w:t>
      </w:r>
      <w:r w:rsidRPr="00AF04C7">
        <w:rPr>
          <w:rFonts w:cstheme="minorHAnsi"/>
          <w:sz w:val="24"/>
          <w:szCs w:val="24"/>
        </w:rPr>
        <w:t xml:space="preserve"> four</w:t>
      </w:r>
      <w:r>
        <w:rPr>
          <w:rFonts w:cstheme="minorHAnsi"/>
          <w:sz w:val="24"/>
          <w:szCs w:val="24"/>
        </w:rPr>
        <w:t xml:space="preserve"> vertically</w:t>
      </w:r>
      <w:r w:rsidR="00041488">
        <w:rPr>
          <w:rFonts w:cstheme="minorHAnsi"/>
          <w:sz w:val="24"/>
          <w:szCs w:val="24"/>
        </w:rPr>
        <w:t xml:space="preserve"> </w:t>
      </w:r>
      <w:r>
        <w:rPr>
          <w:rFonts w:cstheme="minorHAnsi"/>
          <w:sz w:val="24"/>
          <w:szCs w:val="24"/>
        </w:rPr>
        <w:t>placed</w:t>
      </w:r>
      <w:r w:rsidRPr="00AF04C7">
        <w:rPr>
          <w:rFonts w:cstheme="minorHAnsi"/>
          <w:sz w:val="24"/>
          <w:szCs w:val="24"/>
        </w:rPr>
        <w:t xml:space="preserve"> Scionix EJ-309 detectors attached to </w:t>
      </w:r>
      <w:r w:rsidR="00125EC5">
        <w:rPr>
          <w:rFonts w:cstheme="minorHAnsi"/>
          <w:sz w:val="24"/>
          <w:szCs w:val="24"/>
        </w:rPr>
        <w:t>p</w:t>
      </w:r>
      <w:r w:rsidRPr="00AF04C7">
        <w:rPr>
          <w:rFonts w:cstheme="minorHAnsi"/>
          <w:sz w:val="24"/>
          <w:szCs w:val="24"/>
        </w:rPr>
        <w:t>hoto-</w:t>
      </w:r>
      <w:r w:rsidR="00125EC5">
        <w:rPr>
          <w:rFonts w:cstheme="minorHAnsi"/>
          <w:sz w:val="24"/>
          <w:szCs w:val="24"/>
        </w:rPr>
        <w:t>m</w:t>
      </w:r>
      <w:r w:rsidRPr="00AF04C7">
        <w:rPr>
          <w:rFonts w:cstheme="minorHAnsi"/>
          <w:sz w:val="24"/>
          <w:szCs w:val="24"/>
        </w:rPr>
        <w:t xml:space="preserve">ultiplier </w:t>
      </w:r>
      <w:r w:rsidR="00125EC5">
        <w:rPr>
          <w:rFonts w:cstheme="minorHAnsi"/>
          <w:sz w:val="24"/>
          <w:szCs w:val="24"/>
        </w:rPr>
        <w:t>t</w:t>
      </w:r>
      <w:r w:rsidRPr="00AF04C7">
        <w:rPr>
          <w:rFonts w:cstheme="minorHAnsi"/>
          <w:sz w:val="24"/>
          <w:szCs w:val="24"/>
        </w:rPr>
        <w:t>ubes (PMTs) and one Hybrid Instruments MFA</w:t>
      </w:r>
      <w:r w:rsidR="00125EC5">
        <w:rPr>
          <w:rFonts w:cstheme="minorHAnsi"/>
          <w:sz w:val="24"/>
          <w:szCs w:val="24"/>
        </w:rPr>
        <w:t xml:space="preserve"> 4-channel</w:t>
      </w:r>
      <w:r w:rsidRPr="00AF04C7">
        <w:rPr>
          <w:rFonts w:cstheme="minorHAnsi"/>
          <w:sz w:val="24"/>
          <w:szCs w:val="24"/>
        </w:rPr>
        <w:t xml:space="preserve"> unit</w:t>
      </w:r>
      <w:r w:rsidRPr="00BA1831">
        <w:rPr>
          <w:rFonts w:cstheme="minorHAnsi"/>
          <w:sz w:val="24"/>
          <w:szCs w:val="24"/>
        </w:rPr>
        <w:t xml:space="preserve">. </w:t>
      </w:r>
      <w:r w:rsidRPr="00AF04C7">
        <w:rPr>
          <w:rFonts w:cstheme="minorHAnsi"/>
          <w:sz w:val="24"/>
          <w:szCs w:val="24"/>
        </w:rPr>
        <w:t xml:space="preserve">One array measured </w:t>
      </w:r>
      <w:r w:rsidR="00125EC5">
        <w:rPr>
          <w:rFonts w:cstheme="minorHAnsi"/>
          <w:sz w:val="24"/>
          <w:szCs w:val="24"/>
        </w:rPr>
        <w:t>a</w:t>
      </w:r>
      <w:r w:rsidRPr="00AF04C7">
        <w:rPr>
          <w:rFonts w:cstheme="minorHAnsi"/>
          <w:sz w:val="24"/>
          <w:szCs w:val="24"/>
        </w:rPr>
        <w:t xml:space="preserve"> sample</w:t>
      </w:r>
      <w:r w:rsidR="00125EC5">
        <w:rPr>
          <w:rFonts w:cstheme="minorHAnsi"/>
          <w:sz w:val="24"/>
          <w:szCs w:val="24"/>
        </w:rPr>
        <w:t>’s</w:t>
      </w:r>
      <w:r w:rsidRPr="00AF04C7">
        <w:rPr>
          <w:rFonts w:cstheme="minorHAnsi"/>
          <w:sz w:val="24"/>
          <w:szCs w:val="24"/>
        </w:rPr>
        <w:t xml:space="preserve"> neutron emission, while </w:t>
      </w:r>
      <w:r w:rsidR="00125EC5">
        <w:rPr>
          <w:rFonts w:cstheme="minorHAnsi"/>
          <w:sz w:val="24"/>
          <w:szCs w:val="24"/>
        </w:rPr>
        <w:t>the other</w:t>
      </w:r>
      <w:r w:rsidRPr="00AF04C7">
        <w:rPr>
          <w:rFonts w:cstheme="minorHAnsi"/>
          <w:sz w:val="24"/>
          <w:szCs w:val="24"/>
        </w:rPr>
        <w:t xml:space="preserve"> measured the background neutrons</w:t>
      </w:r>
      <w:r w:rsidR="00125EC5">
        <w:rPr>
          <w:rFonts w:cstheme="minorHAnsi"/>
          <w:sz w:val="24"/>
          <w:szCs w:val="24"/>
        </w:rPr>
        <w:t xml:space="preserve"> (no sample)</w:t>
      </w:r>
      <w:r w:rsidRPr="00AF04C7">
        <w:rPr>
          <w:rFonts w:cstheme="minorHAnsi"/>
          <w:sz w:val="24"/>
          <w:szCs w:val="24"/>
        </w:rPr>
        <w:t xml:space="preserve">. The detectors of </w:t>
      </w:r>
      <w:r w:rsidR="00125EC5">
        <w:rPr>
          <w:rFonts w:cstheme="minorHAnsi"/>
          <w:sz w:val="24"/>
          <w:szCs w:val="24"/>
        </w:rPr>
        <w:t xml:space="preserve">each of </w:t>
      </w:r>
      <w:r w:rsidRPr="00AF04C7">
        <w:rPr>
          <w:rFonts w:cstheme="minorHAnsi"/>
          <w:sz w:val="24"/>
          <w:szCs w:val="24"/>
        </w:rPr>
        <w:t xml:space="preserve">the two arrays were placed in a </w:t>
      </w:r>
      <w:r w:rsidR="00660D8D">
        <w:rPr>
          <w:rFonts w:cstheme="minorHAnsi"/>
          <w:sz w:val="24"/>
          <w:szCs w:val="24"/>
        </w:rPr>
        <w:t>square</w:t>
      </w:r>
      <w:r w:rsidRPr="00AF04C7">
        <w:rPr>
          <w:rFonts w:cstheme="minorHAnsi"/>
          <w:sz w:val="24"/>
          <w:szCs w:val="24"/>
        </w:rPr>
        <w:t xml:space="preserve"> arrangement, with the sample positioned centrally in the sample array and no sample or container in the background array</w:t>
      </w:r>
      <w:r w:rsidR="00E959B2">
        <w:rPr>
          <w:rFonts w:cstheme="minorHAnsi"/>
          <w:sz w:val="24"/>
          <w:szCs w:val="24"/>
        </w:rPr>
        <w:t>,</w:t>
      </w:r>
      <w:r w:rsidR="00470E2D">
        <w:rPr>
          <w:rFonts w:cstheme="minorHAnsi"/>
          <w:sz w:val="24"/>
          <w:szCs w:val="24"/>
        </w:rPr>
        <w:t xml:space="preserve"> and the individual arrays set approximately 15 cm apart</w:t>
      </w:r>
      <w:r w:rsidRPr="00AF04C7">
        <w:rPr>
          <w:rFonts w:cstheme="minorHAnsi"/>
          <w:sz w:val="24"/>
          <w:szCs w:val="24"/>
        </w:rPr>
        <w:t xml:space="preserve">. A block of </w:t>
      </w:r>
      <w:r w:rsidR="0088585C">
        <w:rPr>
          <w:rFonts w:cstheme="minorHAnsi"/>
          <w:sz w:val="24"/>
          <w:szCs w:val="24"/>
        </w:rPr>
        <w:t>high-density polyethylene (</w:t>
      </w:r>
      <w:r w:rsidRPr="00AF04C7">
        <w:rPr>
          <w:rFonts w:cstheme="minorHAnsi"/>
          <w:sz w:val="24"/>
          <w:szCs w:val="24"/>
        </w:rPr>
        <w:t>HDPE</w:t>
      </w:r>
      <w:r w:rsidR="0088585C">
        <w:rPr>
          <w:rFonts w:cstheme="minorHAnsi"/>
          <w:sz w:val="24"/>
          <w:szCs w:val="24"/>
        </w:rPr>
        <w:t>)</w:t>
      </w:r>
      <w:r w:rsidR="00660D8D" w:rsidRPr="00AF04C7">
        <w:rPr>
          <w:rFonts w:cstheme="minorHAnsi"/>
          <w:sz w:val="24"/>
          <w:szCs w:val="24"/>
        </w:rPr>
        <w:t>, of dimensions 50</w:t>
      </w:r>
      <w:r w:rsidR="00125EC5">
        <w:rPr>
          <w:rFonts w:cstheme="minorHAnsi"/>
          <w:sz w:val="24"/>
          <w:szCs w:val="24"/>
        </w:rPr>
        <w:t xml:space="preserve"> </w:t>
      </w:r>
      <w:r w:rsidR="00660D8D" w:rsidRPr="00AF04C7">
        <w:rPr>
          <w:rFonts w:cstheme="minorHAnsi"/>
          <w:sz w:val="24"/>
          <w:szCs w:val="24"/>
        </w:rPr>
        <w:t>cm x 20</w:t>
      </w:r>
      <w:r w:rsidR="00125EC5">
        <w:rPr>
          <w:rFonts w:cstheme="minorHAnsi"/>
          <w:sz w:val="24"/>
          <w:szCs w:val="24"/>
        </w:rPr>
        <w:t xml:space="preserve"> </w:t>
      </w:r>
      <w:r w:rsidR="00660D8D" w:rsidRPr="00AF04C7">
        <w:rPr>
          <w:rFonts w:cstheme="minorHAnsi"/>
          <w:sz w:val="24"/>
          <w:szCs w:val="24"/>
        </w:rPr>
        <w:t>cm x 6</w:t>
      </w:r>
      <w:r w:rsidR="00125EC5">
        <w:rPr>
          <w:rFonts w:cstheme="minorHAnsi"/>
          <w:sz w:val="24"/>
          <w:szCs w:val="24"/>
        </w:rPr>
        <w:t xml:space="preserve"> </w:t>
      </w:r>
      <w:r w:rsidR="00660D8D" w:rsidRPr="00AF04C7">
        <w:rPr>
          <w:rFonts w:cstheme="minorHAnsi"/>
          <w:sz w:val="24"/>
          <w:szCs w:val="24"/>
        </w:rPr>
        <w:t>cm</w:t>
      </w:r>
      <w:r w:rsidRPr="00AF04C7">
        <w:rPr>
          <w:rFonts w:cstheme="minorHAnsi"/>
          <w:sz w:val="24"/>
          <w:szCs w:val="24"/>
        </w:rPr>
        <w:t xml:space="preserve"> was placed between the two arrays to </w:t>
      </w:r>
      <w:r w:rsidR="00E31DDD">
        <w:rPr>
          <w:rFonts w:cstheme="minorHAnsi"/>
          <w:sz w:val="24"/>
          <w:szCs w:val="24"/>
        </w:rPr>
        <w:t xml:space="preserve">act as shielding and </w:t>
      </w:r>
      <w:r w:rsidRPr="00AF04C7">
        <w:rPr>
          <w:rFonts w:cstheme="minorHAnsi"/>
          <w:sz w:val="24"/>
          <w:szCs w:val="24"/>
        </w:rPr>
        <w:t xml:space="preserve">minimise </w:t>
      </w:r>
      <w:r w:rsidR="00022A5C">
        <w:rPr>
          <w:rFonts w:cstheme="minorHAnsi"/>
          <w:sz w:val="24"/>
          <w:szCs w:val="24"/>
        </w:rPr>
        <w:t>scatter of events (cross-talk)</w:t>
      </w:r>
      <w:r w:rsidRPr="00AF04C7">
        <w:rPr>
          <w:rFonts w:cstheme="minorHAnsi"/>
          <w:sz w:val="24"/>
          <w:szCs w:val="24"/>
        </w:rPr>
        <w:t xml:space="preserve"> between arrays</w:t>
      </w:r>
      <w:r w:rsidR="00660D8D">
        <w:rPr>
          <w:rFonts w:cstheme="minorHAnsi"/>
          <w:sz w:val="24"/>
          <w:szCs w:val="24"/>
        </w:rPr>
        <w:t>.</w:t>
      </w:r>
    </w:p>
    <w:p w14:paraId="59974DC2" w14:textId="0313E18A" w:rsidR="00F37CA9" w:rsidRDefault="00F37CA9" w:rsidP="00F37CA9">
      <w:pPr>
        <w:spacing w:line="480" w:lineRule="auto"/>
        <w:ind w:firstLine="567"/>
        <w:rPr>
          <w:rFonts w:cstheme="minorHAnsi"/>
          <w:sz w:val="24"/>
          <w:szCs w:val="24"/>
        </w:rPr>
      </w:pPr>
      <w:r w:rsidRPr="00AF04C7">
        <w:rPr>
          <w:rFonts w:cstheme="minorHAnsi"/>
          <w:sz w:val="24"/>
          <w:szCs w:val="24"/>
        </w:rPr>
        <w:lastRenderedPageBreak/>
        <w:t>The parallel array</w:t>
      </w:r>
      <w:r w:rsidR="00022A5C">
        <w:rPr>
          <w:rFonts w:cstheme="minorHAnsi"/>
          <w:sz w:val="24"/>
          <w:szCs w:val="24"/>
        </w:rPr>
        <w:t xml:space="preserve"> system described above</w:t>
      </w:r>
      <w:r w:rsidRPr="00AF04C7">
        <w:rPr>
          <w:rFonts w:cstheme="minorHAnsi"/>
          <w:sz w:val="24"/>
          <w:szCs w:val="24"/>
        </w:rPr>
        <w:t xml:space="preserve"> </w:t>
      </w:r>
      <w:r>
        <w:rPr>
          <w:rFonts w:cstheme="minorHAnsi"/>
          <w:sz w:val="24"/>
          <w:szCs w:val="24"/>
        </w:rPr>
        <w:t>was calibrated</w:t>
      </w:r>
      <w:r w:rsidRPr="00AF04C7">
        <w:rPr>
          <w:rFonts w:cstheme="minorHAnsi"/>
          <w:sz w:val="24"/>
          <w:szCs w:val="24"/>
        </w:rPr>
        <w:t xml:space="preserve"> as</w:t>
      </w:r>
      <w:r>
        <w:rPr>
          <w:rFonts w:cstheme="minorHAnsi"/>
          <w:sz w:val="24"/>
          <w:szCs w:val="24"/>
        </w:rPr>
        <w:t xml:space="preserve"> described</w:t>
      </w:r>
      <w:r w:rsidRPr="00AF04C7">
        <w:rPr>
          <w:rFonts w:cstheme="minorHAnsi"/>
          <w:sz w:val="24"/>
          <w:szCs w:val="24"/>
        </w:rPr>
        <w:t xml:space="preserve"> in </w:t>
      </w:r>
      <w:r>
        <w:rPr>
          <w:rFonts w:cstheme="minorHAnsi"/>
          <w:sz w:val="24"/>
          <w:szCs w:val="24"/>
        </w:rPr>
        <w:t xml:space="preserve">section 2.2.1 and is pictured in </w:t>
      </w:r>
      <w:r w:rsidR="004D3B0B">
        <w:rPr>
          <w:rFonts w:cstheme="minorHAnsi"/>
          <w:sz w:val="24"/>
          <w:szCs w:val="24"/>
        </w:rPr>
        <w:fldChar w:fldCharType="begin"/>
      </w:r>
      <w:r w:rsidR="004D3B0B">
        <w:rPr>
          <w:rFonts w:cstheme="minorHAnsi"/>
          <w:sz w:val="24"/>
          <w:szCs w:val="24"/>
        </w:rPr>
        <w:instrText xml:space="preserve"> REF _Ref31288231 \h </w:instrText>
      </w:r>
      <w:r w:rsidR="004D3B0B">
        <w:rPr>
          <w:rFonts w:cstheme="minorHAnsi"/>
          <w:sz w:val="24"/>
          <w:szCs w:val="24"/>
        </w:rPr>
      </w:r>
      <w:r w:rsidR="004D3B0B">
        <w:rPr>
          <w:rFonts w:cstheme="minorHAnsi"/>
          <w:sz w:val="24"/>
          <w:szCs w:val="24"/>
        </w:rPr>
        <w:fldChar w:fldCharType="separate"/>
      </w:r>
      <w:r w:rsidR="00161FDC" w:rsidRPr="00C45EC1">
        <w:rPr>
          <w:sz w:val="20"/>
        </w:rPr>
        <w:t xml:space="preserve">Figure </w:t>
      </w:r>
      <w:r w:rsidR="00161FDC">
        <w:rPr>
          <w:noProof/>
          <w:sz w:val="20"/>
        </w:rPr>
        <w:t>7</w:t>
      </w:r>
      <w:r w:rsidR="004D3B0B">
        <w:rPr>
          <w:rFonts w:cstheme="minorHAnsi"/>
          <w:sz w:val="24"/>
          <w:szCs w:val="24"/>
        </w:rPr>
        <w:fldChar w:fldCharType="end"/>
      </w:r>
      <w:r>
        <w:rPr>
          <w:rFonts w:cstheme="minorHAnsi"/>
          <w:sz w:val="24"/>
          <w:szCs w:val="24"/>
        </w:rPr>
        <w:t xml:space="preserve"> below. </w:t>
      </w:r>
      <w:r w:rsidRPr="00AF04C7">
        <w:rPr>
          <w:rFonts w:cstheme="minorHAnsi"/>
          <w:sz w:val="24"/>
          <w:szCs w:val="24"/>
        </w:rPr>
        <w:t xml:space="preserve">The array was </w:t>
      </w:r>
      <w:r w:rsidR="00253E01">
        <w:rPr>
          <w:rFonts w:cstheme="minorHAnsi"/>
          <w:sz w:val="24"/>
          <w:szCs w:val="24"/>
        </w:rPr>
        <w:t>re</w:t>
      </w:r>
      <w:r w:rsidRPr="00AF04C7">
        <w:rPr>
          <w:rFonts w:cstheme="minorHAnsi"/>
          <w:sz w:val="24"/>
          <w:szCs w:val="24"/>
        </w:rPr>
        <w:t xml:space="preserve">calibrated every month to ensure </w:t>
      </w:r>
      <w:r w:rsidR="00022A5C">
        <w:rPr>
          <w:rFonts w:cstheme="minorHAnsi"/>
          <w:sz w:val="24"/>
          <w:szCs w:val="24"/>
        </w:rPr>
        <w:t>a consistent</w:t>
      </w:r>
      <w:r w:rsidRPr="00AF04C7">
        <w:rPr>
          <w:rFonts w:cstheme="minorHAnsi"/>
          <w:sz w:val="24"/>
          <w:szCs w:val="24"/>
        </w:rPr>
        <w:t xml:space="preserve"> detector response throughout the measurements, as well as whenever significant disturbances were made to the array, such as movement of detectors or power-</w:t>
      </w:r>
      <w:r w:rsidR="00022A5C">
        <w:rPr>
          <w:rFonts w:cstheme="minorHAnsi"/>
          <w:sz w:val="24"/>
          <w:szCs w:val="24"/>
        </w:rPr>
        <w:t>outages</w:t>
      </w:r>
      <w:r w:rsidRPr="00AF04C7">
        <w:rPr>
          <w:rFonts w:cstheme="minorHAnsi"/>
          <w:sz w:val="24"/>
          <w:szCs w:val="24"/>
        </w:rPr>
        <w:t>.</w:t>
      </w:r>
    </w:p>
    <w:p w14:paraId="1C8EECBC" w14:textId="6F0F3D8C" w:rsidR="00F37CA9" w:rsidRDefault="00F37CA9" w:rsidP="00F37CA9">
      <w:pPr>
        <w:spacing w:line="480" w:lineRule="auto"/>
        <w:ind w:firstLine="567"/>
        <w:rPr>
          <w:rFonts w:cstheme="minorHAnsi"/>
          <w:noProof/>
          <w:sz w:val="24"/>
          <w:szCs w:val="24"/>
        </w:rPr>
      </w:pPr>
      <w:r w:rsidRPr="00AF04C7">
        <w:rPr>
          <w:rFonts w:cstheme="minorHAnsi"/>
          <w:sz w:val="24"/>
          <w:szCs w:val="24"/>
        </w:rPr>
        <w:t>Following measurement, the results were outputted from</w:t>
      </w:r>
      <w:r w:rsidR="00022A5C">
        <w:rPr>
          <w:rFonts w:cstheme="minorHAnsi"/>
          <w:sz w:val="24"/>
          <w:szCs w:val="24"/>
        </w:rPr>
        <w:t xml:space="preserve"> the</w:t>
      </w:r>
      <w:r w:rsidRPr="00AF04C7">
        <w:rPr>
          <w:rFonts w:cstheme="minorHAnsi"/>
          <w:sz w:val="24"/>
          <w:szCs w:val="24"/>
        </w:rPr>
        <w:t xml:space="preserve"> MFAs into an Arduino-based circuit counter</w:t>
      </w:r>
      <w:r w:rsidR="00301B60">
        <w:rPr>
          <w:rFonts w:cstheme="minorHAnsi"/>
          <w:sz w:val="24"/>
          <w:szCs w:val="24"/>
        </w:rPr>
        <w:t>,</w:t>
      </w:r>
      <w:r w:rsidRPr="00AF04C7">
        <w:rPr>
          <w:rFonts w:cstheme="minorHAnsi"/>
          <w:sz w:val="24"/>
          <w:szCs w:val="24"/>
        </w:rPr>
        <w:t xml:space="preserve"> which fed</w:t>
      </w:r>
      <w:r w:rsidR="00022A5C">
        <w:rPr>
          <w:rFonts w:cstheme="minorHAnsi"/>
          <w:sz w:val="24"/>
          <w:szCs w:val="24"/>
        </w:rPr>
        <w:t xml:space="preserve"> </w:t>
      </w:r>
      <w:r w:rsidR="000E09B1">
        <w:rPr>
          <w:rFonts w:cstheme="minorHAnsi"/>
          <w:sz w:val="24"/>
          <w:szCs w:val="24"/>
        </w:rPr>
        <w:t xml:space="preserve">the </w:t>
      </w:r>
      <w:r w:rsidR="00022A5C">
        <w:rPr>
          <w:rFonts w:cstheme="minorHAnsi"/>
          <w:sz w:val="24"/>
          <w:szCs w:val="24"/>
        </w:rPr>
        <w:t>data</w:t>
      </w:r>
      <w:r w:rsidRPr="00AF04C7">
        <w:rPr>
          <w:rFonts w:cstheme="minorHAnsi"/>
          <w:sz w:val="24"/>
          <w:szCs w:val="24"/>
        </w:rPr>
        <w:t xml:space="preserve"> into a log file. The time-stamped data </w:t>
      </w:r>
      <w:r w:rsidR="00022A5C">
        <w:rPr>
          <w:rFonts w:cstheme="minorHAnsi"/>
          <w:sz w:val="24"/>
          <w:szCs w:val="24"/>
        </w:rPr>
        <w:t>w</w:t>
      </w:r>
      <w:r w:rsidR="0088585C">
        <w:rPr>
          <w:rFonts w:cstheme="minorHAnsi"/>
          <w:sz w:val="24"/>
          <w:szCs w:val="24"/>
        </w:rPr>
        <w:t>as</w:t>
      </w:r>
      <w:r w:rsidRPr="00AF04C7">
        <w:rPr>
          <w:rFonts w:cstheme="minorHAnsi"/>
          <w:sz w:val="24"/>
          <w:szCs w:val="24"/>
        </w:rPr>
        <w:t xml:space="preserve"> processed from the log file</w:t>
      </w:r>
      <w:r>
        <w:rPr>
          <w:rFonts w:cstheme="minorHAnsi"/>
          <w:sz w:val="24"/>
          <w:szCs w:val="24"/>
        </w:rPr>
        <w:t xml:space="preserve"> in Python</w:t>
      </w:r>
      <w:r w:rsidRPr="00AF04C7">
        <w:rPr>
          <w:rFonts w:cstheme="minorHAnsi"/>
          <w:sz w:val="24"/>
          <w:szCs w:val="24"/>
        </w:rPr>
        <w:t xml:space="preserve">, giving neutron counts </w:t>
      </w:r>
      <w:r w:rsidR="0088585C">
        <w:rPr>
          <w:rFonts w:cstheme="minorHAnsi"/>
          <w:sz w:val="24"/>
          <w:szCs w:val="24"/>
        </w:rPr>
        <w:t>per</w:t>
      </w:r>
      <w:r w:rsidRPr="00AF04C7">
        <w:rPr>
          <w:rFonts w:cstheme="minorHAnsi"/>
          <w:sz w:val="24"/>
          <w:szCs w:val="24"/>
        </w:rPr>
        <w:t xml:space="preserve"> four-hour </w:t>
      </w:r>
      <w:r w:rsidR="0088585C">
        <w:rPr>
          <w:rFonts w:cstheme="minorHAnsi"/>
          <w:sz w:val="24"/>
          <w:szCs w:val="24"/>
        </w:rPr>
        <w:t>period</w:t>
      </w:r>
      <w:r w:rsidR="00D6531E">
        <w:rPr>
          <w:rFonts w:cstheme="minorHAnsi"/>
          <w:sz w:val="24"/>
          <w:szCs w:val="24"/>
        </w:rPr>
        <w:t xml:space="preserve"> and the results are shown in </w:t>
      </w:r>
      <w:r w:rsidR="001F26CC">
        <w:rPr>
          <w:rFonts w:cstheme="minorHAnsi"/>
          <w:sz w:val="24"/>
          <w:szCs w:val="24"/>
        </w:rPr>
        <w:t>Section 3.1.1</w:t>
      </w:r>
      <w:r w:rsidRPr="00AF04C7">
        <w:rPr>
          <w:rFonts w:cstheme="minorHAnsi"/>
          <w:sz w:val="24"/>
          <w:szCs w:val="24"/>
        </w:rPr>
        <w:t>.</w:t>
      </w:r>
    </w:p>
    <w:p w14:paraId="09ADF69C" w14:textId="77777777" w:rsidR="00D524B1" w:rsidRDefault="00F37CA9" w:rsidP="00D524B1">
      <w:pPr>
        <w:keepNext/>
        <w:spacing w:line="480" w:lineRule="auto"/>
        <w:ind w:firstLine="567"/>
      </w:pPr>
      <w:r>
        <w:rPr>
          <w:rFonts w:cstheme="minorHAnsi"/>
          <w:noProof/>
          <w:sz w:val="24"/>
          <w:szCs w:val="24"/>
          <w:lang w:eastAsia="en-GB"/>
        </w:rPr>
        <w:drawing>
          <wp:inline distT="0" distB="0" distL="0" distR="0" wp14:anchorId="4DA0525B" wp14:editId="46ECBB9A">
            <wp:extent cx="4438650" cy="30309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60401_192113617.jpg"/>
                    <pic:cNvPicPr/>
                  </pic:nvPicPr>
                  <pic:blipFill rotWithShape="1">
                    <a:blip r:embed="rId17" cstate="print">
                      <a:extLst>
                        <a:ext uri="{28A0092B-C50C-407E-A947-70E740481C1C}">
                          <a14:useLocalDpi xmlns:a14="http://schemas.microsoft.com/office/drawing/2010/main" val="0"/>
                        </a:ext>
                      </a:extLst>
                    </a:blip>
                    <a:srcRect l="3711" t="7586" r="23740" b="4339"/>
                    <a:stretch/>
                  </pic:blipFill>
                  <pic:spPr bwMode="auto">
                    <a:xfrm>
                      <a:off x="0" y="0"/>
                      <a:ext cx="4469259" cy="3051898"/>
                    </a:xfrm>
                    <a:prstGeom prst="rect">
                      <a:avLst/>
                    </a:prstGeom>
                    <a:ln>
                      <a:noFill/>
                    </a:ln>
                    <a:extLst>
                      <a:ext uri="{53640926-AAD7-44D8-BBD7-CCE9431645EC}">
                        <a14:shadowObscured xmlns:a14="http://schemas.microsoft.com/office/drawing/2010/main"/>
                      </a:ext>
                    </a:extLst>
                  </pic:spPr>
                </pic:pic>
              </a:graphicData>
            </a:graphic>
          </wp:inline>
        </w:drawing>
      </w:r>
    </w:p>
    <w:p w14:paraId="71DA64F5" w14:textId="67487707" w:rsidR="00D524B1" w:rsidRPr="00C45EC1" w:rsidRDefault="00D524B1" w:rsidP="00C45EC1">
      <w:pPr>
        <w:pStyle w:val="Caption"/>
        <w:jc w:val="center"/>
        <w:rPr>
          <w:sz w:val="20"/>
        </w:rPr>
      </w:pPr>
      <w:bookmarkStart w:id="10" w:name="_Ref31288231"/>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7</w:t>
      </w:r>
      <w:r w:rsidRPr="00C45EC1">
        <w:rPr>
          <w:sz w:val="20"/>
        </w:rPr>
        <w:fldChar w:fldCharType="end"/>
      </w:r>
      <w:bookmarkEnd w:id="10"/>
      <w:r w:rsidRPr="00C45EC1">
        <w:rPr>
          <w:sz w:val="20"/>
        </w:rPr>
        <w:t xml:space="preserve"> The parallel neutron detector arrays are pictured. Arrays are separated and surrounded by high-density polyethylene (HDPE). The arrays consist of four EJ-309 liquid scintillators with photo multiplier tubes and connected to two mixed field analysers that are not pictured. Detectors are set equidistant from a central point at which the samples are placed.</w:t>
      </w:r>
    </w:p>
    <w:p w14:paraId="12FD59A6" w14:textId="14EE031B" w:rsidR="00F37CA9" w:rsidRDefault="00F37CA9" w:rsidP="00F37CA9">
      <w:pPr>
        <w:tabs>
          <w:tab w:val="left" w:pos="3075"/>
        </w:tabs>
        <w:spacing w:line="480" w:lineRule="auto"/>
        <w:ind w:firstLine="567"/>
        <w:rPr>
          <w:sz w:val="24"/>
          <w:szCs w:val="24"/>
        </w:rPr>
      </w:pPr>
      <w:r>
        <w:rPr>
          <w:sz w:val="24"/>
          <w:szCs w:val="24"/>
        </w:rPr>
        <w:t xml:space="preserve">The separate arrays were analysed to check for differences in neutron measurements </w:t>
      </w:r>
      <w:r w:rsidR="005E1336">
        <w:rPr>
          <w:sz w:val="24"/>
          <w:szCs w:val="24"/>
        </w:rPr>
        <w:t xml:space="preserve">between each array </w:t>
      </w:r>
      <w:r>
        <w:rPr>
          <w:sz w:val="24"/>
          <w:szCs w:val="24"/>
        </w:rPr>
        <w:t xml:space="preserve">under the same conditions. </w:t>
      </w:r>
      <w:r w:rsidRPr="002809FE">
        <w:rPr>
          <w:sz w:val="24"/>
          <w:szCs w:val="24"/>
        </w:rPr>
        <w:t>The comparisons between the two show</w:t>
      </w:r>
      <w:r>
        <w:rPr>
          <w:sz w:val="24"/>
          <w:szCs w:val="24"/>
        </w:rPr>
        <w:t>ed</w:t>
      </w:r>
      <w:r w:rsidRPr="002809FE">
        <w:rPr>
          <w:sz w:val="24"/>
          <w:szCs w:val="24"/>
        </w:rPr>
        <w:t xml:space="preserve"> a</w:t>
      </w:r>
      <w:r>
        <w:rPr>
          <w:sz w:val="24"/>
          <w:szCs w:val="24"/>
        </w:rPr>
        <w:t xml:space="preserve"> significantly</w:t>
      </w:r>
      <w:r w:rsidRPr="002809FE">
        <w:rPr>
          <w:sz w:val="24"/>
          <w:szCs w:val="24"/>
        </w:rPr>
        <w:t xml:space="preserve"> lower</w:t>
      </w:r>
      <w:r>
        <w:rPr>
          <w:sz w:val="24"/>
          <w:szCs w:val="24"/>
        </w:rPr>
        <w:t xml:space="preserve"> mean</w:t>
      </w:r>
      <w:r w:rsidRPr="002809FE">
        <w:rPr>
          <w:sz w:val="24"/>
          <w:szCs w:val="24"/>
        </w:rPr>
        <w:t xml:space="preserve"> neutron count from the sample array than the background array</w:t>
      </w:r>
      <w:r>
        <w:rPr>
          <w:sz w:val="24"/>
          <w:szCs w:val="24"/>
        </w:rPr>
        <w:t xml:space="preserve">, </w:t>
      </w:r>
      <w:r>
        <w:rPr>
          <w:sz w:val="24"/>
          <w:szCs w:val="24"/>
        </w:rPr>
        <w:lastRenderedPageBreak/>
        <w:t>with values of 1024±65 and 1433±63 respectively</w:t>
      </w:r>
      <w:r w:rsidR="004F6763">
        <w:rPr>
          <w:sz w:val="24"/>
          <w:szCs w:val="24"/>
        </w:rPr>
        <w:t xml:space="preserve"> derived from the data presented in </w:t>
      </w:r>
      <w:r w:rsidR="00A212E5">
        <w:rPr>
          <w:sz w:val="24"/>
          <w:szCs w:val="24"/>
        </w:rPr>
        <w:fldChar w:fldCharType="begin"/>
      </w:r>
      <w:r w:rsidR="00A212E5">
        <w:rPr>
          <w:sz w:val="24"/>
          <w:szCs w:val="24"/>
        </w:rPr>
        <w:instrText xml:space="preserve"> REF _Ref31357491 \h </w:instrText>
      </w:r>
      <w:r w:rsidR="00A212E5">
        <w:rPr>
          <w:sz w:val="24"/>
          <w:szCs w:val="24"/>
        </w:rPr>
      </w:r>
      <w:r w:rsidR="00A212E5">
        <w:rPr>
          <w:sz w:val="24"/>
          <w:szCs w:val="24"/>
        </w:rPr>
        <w:fldChar w:fldCharType="separate"/>
      </w:r>
      <w:r w:rsidR="00161FDC" w:rsidRPr="00C45EC1">
        <w:rPr>
          <w:sz w:val="20"/>
        </w:rPr>
        <w:t xml:space="preserve">Figure </w:t>
      </w:r>
      <w:r w:rsidR="00161FDC">
        <w:rPr>
          <w:noProof/>
          <w:sz w:val="20"/>
        </w:rPr>
        <w:t>8</w:t>
      </w:r>
      <w:r w:rsidR="00A212E5">
        <w:rPr>
          <w:sz w:val="24"/>
          <w:szCs w:val="24"/>
        </w:rPr>
        <w:fldChar w:fldCharType="end"/>
      </w:r>
      <w:r>
        <w:rPr>
          <w:sz w:val="24"/>
          <w:szCs w:val="24"/>
        </w:rPr>
        <w:t>.</w:t>
      </w:r>
    </w:p>
    <w:p w14:paraId="1DB38899" w14:textId="77777777" w:rsidR="00D524B1" w:rsidRDefault="00F37CA9" w:rsidP="00D524B1">
      <w:pPr>
        <w:keepNext/>
        <w:tabs>
          <w:tab w:val="left" w:pos="3075"/>
        </w:tabs>
        <w:spacing w:line="480" w:lineRule="auto"/>
        <w:ind w:firstLine="567"/>
      </w:pPr>
      <w:r w:rsidRPr="002809FE">
        <w:rPr>
          <w:noProof/>
          <w:sz w:val="24"/>
          <w:szCs w:val="24"/>
          <w:lang w:eastAsia="en-GB"/>
        </w:rPr>
        <w:drawing>
          <wp:inline distT="0" distB="0" distL="0" distR="0" wp14:anchorId="495D63F9" wp14:editId="1ED1202D">
            <wp:extent cx="5730875" cy="2951480"/>
            <wp:effectExtent l="0" t="0" r="3175" b="1270"/>
            <wp:docPr id="235" name="Chart 235">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8C1C78" w14:textId="03323EC6" w:rsidR="00D524B1" w:rsidRPr="00C45EC1" w:rsidRDefault="00D524B1" w:rsidP="00C45EC1">
      <w:pPr>
        <w:pStyle w:val="Caption"/>
        <w:jc w:val="center"/>
        <w:rPr>
          <w:sz w:val="20"/>
        </w:rPr>
      </w:pPr>
      <w:bookmarkStart w:id="11" w:name="_Ref31357491"/>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8</w:t>
      </w:r>
      <w:r w:rsidRPr="00C45EC1">
        <w:rPr>
          <w:sz w:val="20"/>
        </w:rPr>
        <w:fldChar w:fldCharType="end"/>
      </w:r>
      <w:bookmarkEnd w:id="11"/>
      <w:r w:rsidRPr="00C45EC1">
        <w:rPr>
          <w:sz w:val="20"/>
        </w:rPr>
        <w:t xml:space="preserve"> Background neutron measurements from the parallel detector arrays over 4-hour periods. There is an inconsistency between the array responses and the neutron background, though the measurements within the same arrays are consistent with one another. It should be noted that the measurements have had three omissions (3, 4, and 8) due to clear outliers thought to be due to electrical interference in the MFAs, creating an increase in neutron counts by two orders of magnitude, which if included, would have dwarfed the rest of the measurements.</w:t>
      </w:r>
    </w:p>
    <w:p w14:paraId="4FBEB2F4" w14:textId="3DBD5378" w:rsidR="00C45EC1" w:rsidRDefault="00F37CA9" w:rsidP="00C45EC1">
      <w:pPr>
        <w:keepNext/>
        <w:tabs>
          <w:tab w:val="left" w:pos="3075"/>
        </w:tabs>
        <w:spacing w:line="480" w:lineRule="auto"/>
        <w:ind w:firstLine="567"/>
        <w:rPr>
          <w:rFonts w:cstheme="minorHAnsi"/>
          <w:sz w:val="24"/>
          <w:szCs w:val="24"/>
        </w:rPr>
      </w:pPr>
      <w:r w:rsidRPr="00057642">
        <w:rPr>
          <w:noProof/>
          <w:sz w:val="24"/>
          <w:szCs w:val="24"/>
        </w:rPr>
        <w:t xml:space="preserve"> </w:t>
      </w:r>
      <w:r w:rsidR="00A212E5">
        <w:rPr>
          <w:sz w:val="24"/>
          <w:szCs w:val="24"/>
        </w:rPr>
        <w:fldChar w:fldCharType="begin"/>
      </w:r>
      <w:r w:rsidR="00A212E5">
        <w:rPr>
          <w:noProof/>
          <w:sz w:val="24"/>
          <w:szCs w:val="24"/>
        </w:rPr>
        <w:instrText xml:space="preserve"> REF _Ref31357516 \h </w:instrText>
      </w:r>
      <w:r w:rsidR="00A212E5">
        <w:rPr>
          <w:sz w:val="24"/>
          <w:szCs w:val="24"/>
        </w:rPr>
      </w:r>
      <w:r w:rsidR="00A212E5">
        <w:rPr>
          <w:sz w:val="24"/>
          <w:szCs w:val="24"/>
        </w:rPr>
        <w:fldChar w:fldCharType="separate"/>
      </w:r>
      <w:r w:rsidR="00161FDC" w:rsidRPr="00C45EC1">
        <w:rPr>
          <w:sz w:val="20"/>
        </w:rPr>
        <w:t xml:space="preserve">Figure </w:t>
      </w:r>
      <w:r w:rsidR="00161FDC">
        <w:rPr>
          <w:noProof/>
          <w:sz w:val="20"/>
        </w:rPr>
        <w:t>9</w:t>
      </w:r>
      <w:r w:rsidR="00A212E5">
        <w:rPr>
          <w:sz w:val="24"/>
          <w:szCs w:val="24"/>
        </w:rPr>
        <w:fldChar w:fldCharType="end"/>
      </w:r>
      <w:r w:rsidR="00A212E5">
        <w:rPr>
          <w:sz w:val="24"/>
          <w:szCs w:val="24"/>
        </w:rPr>
        <w:t xml:space="preserve"> </w:t>
      </w:r>
      <w:r w:rsidR="002E02A7" w:rsidRPr="002809FE">
        <w:rPr>
          <w:sz w:val="24"/>
          <w:szCs w:val="24"/>
        </w:rPr>
        <w:t xml:space="preserve">shows </w:t>
      </w:r>
      <w:r w:rsidR="002E02A7">
        <w:rPr>
          <w:sz w:val="24"/>
          <w:szCs w:val="24"/>
        </w:rPr>
        <w:t xml:space="preserve">a </w:t>
      </w:r>
      <w:r w:rsidR="002E02A7" w:rsidRPr="00AF04C7">
        <w:rPr>
          <w:rFonts w:cstheme="minorHAnsi"/>
          <w:sz w:val="24"/>
          <w:szCs w:val="24"/>
        </w:rPr>
        <w:t xml:space="preserve">comparison of </w:t>
      </w:r>
      <w:r w:rsidR="002E02A7">
        <w:rPr>
          <w:sz w:val="24"/>
          <w:szCs w:val="24"/>
        </w:rPr>
        <w:t>the</w:t>
      </w:r>
      <w:r w:rsidR="002E02A7" w:rsidRPr="002809FE">
        <w:rPr>
          <w:sz w:val="24"/>
          <w:szCs w:val="24"/>
        </w:rPr>
        <w:t xml:space="preserve"> </w:t>
      </w:r>
      <w:r w:rsidR="002E02A7">
        <w:rPr>
          <w:sz w:val="24"/>
          <w:szCs w:val="24"/>
        </w:rPr>
        <w:t xml:space="preserve">detector response </w:t>
      </w:r>
      <w:r w:rsidR="002E02A7">
        <w:rPr>
          <w:rFonts w:cstheme="minorHAnsi"/>
          <w:sz w:val="24"/>
          <w:szCs w:val="24"/>
        </w:rPr>
        <w:t>measured</w:t>
      </w:r>
      <w:r w:rsidR="002E02A7" w:rsidRPr="00AF04C7">
        <w:rPr>
          <w:rFonts w:cstheme="minorHAnsi"/>
          <w:sz w:val="24"/>
          <w:szCs w:val="24"/>
        </w:rPr>
        <w:t xml:space="preserve"> </w:t>
      </w:r>
      <w:r w:rsidR="002E02A7">
        <w:rPr>
          <w:sz w:val="24"/>
          <w:szCs w:val="24"/>
        </w:rPr>
        <w:t>relative to each MFA,</w:t>
      </w:r>
      <w:r w:rsidR="002E02A7" w:rsidRPr="002809FE">
        <w:rPr>
          <w:sz w:val="24"/>
          <w:szCs w:val="24"/>
        </w:rPr>
        <w:t xml:space="preserve"> the </w:t>
      </w:r>
      <w:r w:rsidR="002E02A7" w:rsidRPr="00AF04C7">
        <w:rPr>
          <w:rFonts w:cstheme="minorHAnsi"/>
          <w:sz w:val="24"/>
          <w:szCs w:val="24"/>
        </w:rPr>
        <w:t xml:space="preserve">detectors were alternated </w:t>
      </w:r>
      <w:r w:rsidR="002E02A7">
        <w:rPr>
          <w:sz w:val="24"/>
          <w:szCs w:val="24"/>
        </w:rPr>
        <w:t>between</w:t>
      </w:r>
      <w:r w:rsidR="002E02A7" w:rsidRPr="002809FE">
        <w:rPr>
          <w:sz w:val="24"/>
          <w:szCs w:val="24"/>
        </w:rPr>
        <w:t xml:space="preserve"> </w:t>
      </w:r>
      <w:r w:rsidR="002E02A7" w:rsidRPr="00AF04C7">
        <w:rPr>
          <w:rFonts w:cstheme="minorHAnsi"/>
          <w:sz w:val="24"/>
          <w:szCs w:val="24"/>
        </w:rPr>
        <w:t xml:space="preserve">the </w:t>
      </w:r>
      <w:r w:rsidR="002E02A7" w:rsidRPr="002809FE">
        <w:rPr>
          <w:sz w:val="24"/>
          <w:szCs w:val="24"/>
        </w:rPr>
        <w:t>two MFAs (</w:t>
      </w:r>
      <w:r w:rsidR="002E02A7">
        <w:rPr>
          <w:sz w:val="24"/>
          <w:szCs w:val="24"/>
        </w:rPr>
        <w:t xml:space="preserve">model numbers </w:t>
      </w:r>
      <w:r w:rsidR="002E02A7" w:rsidRPr="002809FE">
        <w:rPr>
          <w:sz w:val="24"/>
          <w:szCs w:val="24"/>
        </w:rPr>
        <w:t>4311 and 4314)</w:t>
      </w:r>
      <w:r w:rsidR="002E02A7">
        <w:rPr>
          <w:sz w:val="24"/>
          <w:szCs w:val="24"/>
        </w:rPr>
        <w:t xml:space="preserve"> to identify whether</w:t>
      </w:r>
      <w:r w:rsidR="002E02A7" w:rsidRPr="00AF04C7">
        <w:rPr>
          <w:rFonts w:cstheme="minorHAnsi"/>
          <w:sz w:val="24"/>
          <w:szCs w:val="24"/>
        </w:rPr>
        <w:t xml:space="preserve"> the </w:t>
      </w:r>
      <w:r w:rsidR="002E02A7">
        <w:rPr>
          <w:sz w:val="24"/>
          <w:szCs w:val="24"/>
        </w:rPr>
        <w:t>neutron count differences were caused by</w:t>
      </w:r>
      <w:r w:rsidR="002E02A7" w:rsidRPr="00AF04C7">
        <w:rPr>
          <w:rFonts w:cstheme="minorHAnsi"/>
          <w:sz w:val="24"/>
          <w:szCs w:val="24"/>
        </w:rPr>
        <w:t xml:space="preserve"> the </w:t>
      </w:r>
      <w:r w:rsidR="002E02A7">
        <w:rPr>
          <w:sz w:val="24"/>
          <w:szCs w:val="24"/>
        </w:rPr>
        <w:t>detectors or the MFAs primarily.</w:t>
      </w:r>
      <w:r w:rsidRPr="00AF04C7">
        <w:rPr>
          <w:rFonts w:cstheme="minorHAnsi"/>
          <w:sz w:val="24"/>
          <w:szCs w:val="24"/>
        </w:rPr>
        <w:t xml:space="preserve"> The equipment was calibrated before each measurement and after every change in detector, and the response was measured as in the previous sections.</w:t>
      </w:r>
      <w:r>
        <w:rPr>
          <w:rFonts w:cstheme="minorHAnsi"/>
          <w:sz w:val="24"/>
          <w:szCs w:val="24"/>
        </w:rPr>
        <w:t xml:space="preserve"> </w:t>
      </w:r>
      <w:r w:rsidRPr="00AF04C7">
        <w:rPr>
          <w:rFonts w:cstheme="minorHAnsi"/>
          <w:sz w:val="24"/>
          <w:szCs w:val="24"/>
        </w:rPr>
        <w:t xml:space="preserve">When switching detectors between MFAs, the detectors remained in the same geometries and positions, but </w:t>
      </w:r>
      <w:r w:rsidRPr="00AF04C7">
        <w:rPr>
          <w:rFonts w:cstheme="minorHAnsi"/>
          <w:sz w:val="24"/>
          <w:szCs w:val="24"/>
        </w:rPr>
        <w:lastRenderedPageBreak/>
        <w:t>the cables were switched between the MFA units</w:t>
      </w:r>
      <w:r>
        <w:rPr>
          <w:rFonts w:cstheme="minorHAnsi"/>
          <w:sz w:val="24"/>
          <w:szCs w:val="24"/>
        </w:rPr>
        <w:t xml:space="preserve"> to identify the source of the neutron responses</w:t>
      </w:r>
      <w:r w:rsidR="00C45EC1">
        <w:rPr>
          <w:rFonts w:cstheme="minorHAnsi"/>
          <w:sz w:val="24"/>
          <w:szCs w:val="24"/>
        </w:rPr>
        <w:t>.</w:t>
      </w:r>
    </w:p>
    <w:p w14:paraId="0837C0F2" w14:textId="5CDE1B00" w:rsidR="00D524B1" w:rsidRPr="00C45EC1" w:rsidRDefault="00F37CA9" w:rsidP="00C45EC1">
      <w:pPr>
        <w:keepNext/>
        <w:tabs>
          <w:tab w:val="left" w:pos="3075"/>
        </w:tabs>
        <w:spacing w:line="480" w:lineRule="auto"/>
        <w:rPr>
          <w:rFonts w:cstheme="minorHAnsi"/>
          <w:sz w:val="24"/>
          <w:szCs w:val="24"/>
        </w:rPr>
      </w:pPr>
      <w:r w:rsidRPr="002809FE">
        <w:rPr>
          <w:noProof/>
          <w:sz w:val="24"/>
          <w:szCs w:val="24"/>
          <w:lang w:eastAsia="en-GB"/>
        </w:rPr>
        <w:drawing>
          <wp:inline distT="0" distB="0" distL="0" distR="0" wp14:anchorId="22718F0C" wp14:editId="79897335">
            <wp:extent cx="5475767" cy="3083442"/>
            <wp:effectExtent l="0" t="0" r="0" b="3175"/>
            <wp:docPr id="237" name="Chart 237">
              <a:extLst xmlns:a="http://schemas.openxmlformats.org/drawingml/2006/main">
                <a:ext uri="{FF2B5EF4-FFF2-40B4-BE49-F238E27FC236}">
                  <a16:creationId xmlns:a16="http://schemas.microsoft.com/office/drawing/2014/main" id="{2B02CD16-F1B3-48EA-91FB-1847D8EB28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348C72" w14:textId="52AE364E" w:rsidR="00F37CA9" w:rsidRPr="00C45EC1" w:rsidRDefault="00D524B1" w:rsidP="00C45EC1">
      <w:pPr>
        <w:pStyle w:val="Caption"/>
        <w:jc w:val="center"/>
        <w:rPr>
          <w:sz w:val="28"/>
          <w:szCs w:val="24"/>
        </w:rPr>
      </w:pPr>
      <w:bookmarkStart w:id="12" w:name="_Ref31357516"/>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9</w:t>
      </w:r>
      <w:r w:rsidRPr="00C45EC1">
        <w:rPr>
          <w:sz w:val="20"/>
        </w:rPr>
        <w:fldChar w:fldCharType="end"/>
      </w:r>
      <w:bookmarkEnd w:id="12"/>
      <w:r w:rsidRPr="00C45EC1">
        <w:rPr>
          <w:sz w:val="20"/>
        </w:rPr>
        <w:t xml:space="preserve"> Background neutron counts measured over 24 hours, compared between detector and mixed field analysers (MFAs). The MFAs and detectors are differentiated by code, shown in the bottom right of the figure. MFA 4314 is shown in spotted red bars, while MFA 4311 is shown in the horizontal striped bars. On average, the neutron counts are higher in measurements with MFA 4311.</w:t>
      </w:r>
    </w:p>
    <w:p w14:paraId="697B3259" w14:textId="791D4F01" w:rsidR="00F37CA9" w:rsidRDefault="00F37CA9" w:rsidP="00F37CA9">
      <w:pPr>
        <w:spacing w:line="480" w:lineRule="auto"/>
        <w:ind w:firstLine="720"/>
        <w:rPr>
          <w:sz w:val="24"/>
          <w:szCs w:val="24"/>
        </w:rPr>
      </w:pPr>
      <w:r>
        <w:rPr>
          <w:sz w:val="24"/>
          <w:szCs w:val="24"/>
        </w:rPr>
        <w:t>A</w:t>
      </w:r>
      <w:r w:rsidRPr="00A21775">
        <w:rPr>
          <w:sz w:val="24"/>
          <w:szCs w:val="24"/>
        </w:rPr>
        <w:t xml:space="preserve">s shown in </w:t>
      </w:r>
      <w:r w:rsidR="00A212E5">
        <w:rPr>
          <w:sz w:val="24"/>
          <w:szCs w:val="24"/>
        </w:rPr>
        <w:fldChar w:fldCharType="begin"/>
      </w:r>
      <w:r w:rsidR="00A212E5">
        <w:rPr>
          <w:sz w:val="24"/>
          <w:szCs w:val="24"/>
        </w:rPr>
        <w:instrText xml:space="preserve"> REF _Ref31357516 \h </w:instrText>
      </w:r>
      <w:r w:rsidR="00A212E5">
        <w:rPr>
          <w:sz w:val="24"/>
          <w:szCs w:val="24"/>
        </w:rPr>
      </w:r>
      <w:r w:rsidR="00A212E5">
        <w:rPr>
          <w:sz w:val="24"/>
          <w:szCs w:val="24"/>
        </w:rPr>
        <w:fldChar w:fldCharType="separate"/>
      </w:r>
      <w:r w:rsidR="00161FDC" w:rsidRPr="00C45EC1">
        <w:rPr>
          <w:sz w:val="20"/>
        </w:rPr>
        <w:t xml:space="preserve">Figure </w:t>
      </w:r>
      <w:r w:rsidR="00161FDC">
        <w:rPr>
          <w:noProof/>
          <w:sz w:val="20"/>
        </w:rPr>
        <w:t>9</w:t>
      </w:r>
      <w:r w:rsidR="00A212E5">
        <w:rPr>
          <w:sz w:val="24"/>
          <w:szCs w:val="24"/>
        </w:rPr>
        <w:fldChar w:fldCharType="end"/>
      </w:r>
      <w:r>
        <w:rPr>
          <w:sz w:val="24"/>
          <w:szCs w:val="24"/>
        </w:rPr>
        <w:t>, a</w:t>
      </w:r>
      <w:r w:rsidRPr="002809FE">
        <w:rPr>
          <w:sz w:val="24"/>
          <w:szCs w:val="24"/>
        </w:rPr>
        <w:t>lternating the detectors against MFAs shows a general trend that MFA 4311 elicits a larger neutron count than MFA 4314 under the same conditions</w:t>
      </w:r>
      <w:r>
        <w:rPr>
          <w:sz w:val="24"/>
          <w:szCs w:val="24"/>
        </w:rPr>
        <w:t>, with averages of 109</w:t>
      </w:r>
      <w:r w:rsidR="00022A5C">
        <w:rPr>
          <w:sz w:val="24"/>
          <w:szCs w:val="24"/>
        </w:rPr>
        <w:t>7000</w:t>
      </w:r>
      <w:r>
        <w:rPr>
          <w:sz w:val="24"/>
          <w:szCs w:val="24"/>
        </w:rPr>
        <w:t xml:space="preserve"> (±</w:t>
      </w:r>
      <w:r w:rsidR="00022A5C">
        <w:rPr>
          <w:sz w:val="24"/>
          <w:szCs w:val="24"/>
        </w:rPr>
        <w:t>3000</w:t>
      </w:r>
      <w:r>
        <w:rPr>
          <w:sz w:val="24"/>
          <w:szCs w:val="24"/>
        </w:rPr>
        <w:t>) and 9</w:t>
      </w:r>
      <w:r w:rsidR="00022A5C">
        <w:rPr>
          <w:sz w:val="24"/>
          <w:szCs w:val="24"/>
        </w:rPr>
        <w:t>600</w:t>
      </w:r>
      <w:r w:rsidR="000A0FAF">
        <w:rPr>
          <w:sz w:val="24"/>
          <w:szCs w:val="24"/>
        </w:rPr>
        <w:t>0</w:t>
      </w:r>
      <w:r w:rsidR="00022A5C">
        <w:rPr>
          <w:sz w:val="24"/>
          <w:szCs w:val="24"/>
        </w:rPr>
        <w:t>0</w:t>
      </w:r>
      <w:r>
        <w:rPr>
          <w:sz w:val="24"/>
          <w:szCs w:val="24"/>
        </w:rPr>
        <w:t xml:space="preserve"> (±</w:t>
      </w:r>
      <w:r w:rsidR="00022A5C">
        <w:rPr>
          <w:sz w:val="24"/>
          <w:szCs w:val="24"/>
        </w:rPr>
        <w:t>3000</w:t>
      </w:r>
      <w:r>
        <w:rPr>
          <w:sz w:val="24"/>
          <w:szCs w:val="24"/>
        </w:rPr>
        <w:t xml:space="preserve">) </w:t>
      </w:r>
      <w:r w:rsidR="00BB5A51">
        <w:rPr>
          <w:sz w:val="24"/>
          <w:szCs w:val="24"/>
        </w:rPr>
        <w:t xml:space="preserve">neutrons detected </w:t>
      </w:r>
      <w:r>
        <w:rPr>
          <w:sz w:val="24"/>
          <w:szCs w:val="24"/>
        </w:rPr>
        <w:t>respectively.</w:t>
      </w:r>
    </w:p>
    <w:p w14:paraId="36477871" w14:textId="5DE9C296" w:rsidR="00F37CA9" w:rsidRDefault="00F37CA9" w:rsidP="00F37CA9">
      <w:pPr>
        <w:tabs>
          <w:tab w:val="left" w:pos="3075"/>
        </w:tabs>
        <w:spacing w:line="480" w:lineRule="auto"/>
        <w:ind w:firstLine="567"/>
        <w:rPr>
          <w:sz w:val="24"/>
          <w:szCs w:val="24"/>
        </w:rPr>
      </w:pPr>
      <w:r>
        <w:rPr>
          <w:sz w:val="24"/>
          <w:szCs w:val="24"/>
        </w:rPr>
        <w:t xml:space="preserve">It is worth noting that the detection equipment was in relative proximity to the heating system for the room. While the building is set to be at a constant temperature throughout the day so the heating system </w:t>
      </w:r>
      <w:r w:rsidR="00022A5C">
        <w:rPr>
          <w:sz w:val="24"/>
          <w:szCs w:val="24"/>
        </w:rPr>
        <w:t>does</w:t>
      </w:r>
      <w:r>
        <w:rPr>
          <w:sz w:val="24"/>
          <w:szCs w:val="24"/>
        </w:rPr>
        <w:t xml:space="preserve"> not change the local temperature enough to cause a spike in detector activity, </w:t>
      </w:r>
      <w:r w:rsidR="00022A5C">
        <w:rPr>
          <w:sz w:val="24"/>
          <w:szCs w:val="24"/>
        </w:rPr>
        <w:t>this</w:t>
      </w:r>
      <w:r>
        <w:rPr>
          <w:sz w:val="24"/>
          <w:szCs w:val="24"/>
        </w:rPr>
        <w:t xml:space="preserve"> is a possibility in the case of </w:t>
      </w:r>
      <w:r w:rsidR="00022A5C">
        <w:rPr>
          <w:sz w:val="24"/>
          <w:szCs w:val="24"/>
        </w:rPr>
        <w:t xml:space="preserve">a </w:t>
      </w:r>
      <w:r>
        <w:rPr>
          <w:sz w:val="24"/>
          <w:szCs w:val="24"/>
        </w:rPr>
        <w:t>heating malfunction so has been noted in this section.</w:t>
      </w:r>
    </w:p>
    <w:p w14:paraId="4B5FF140" w14:textId="1C197752" w:rsidR="00F37CA9" w:rsidRDefault="00F37CA9" w:rsidP="00F37CA9">
      <w:pPr>
        <w:tabs>
          <w:tab w:val="left" w:pos="3075"/>
        </w:tabs>
        <w:spacing w:line="480" w:lineRule="auto"/>
        <w:ind w:firstLine="567"/>
        <w:rPr>
          <w:sz w:val="24"/>
          <w:szCs w:val="24"/>
        </w:rPr>
      </w:pPr>
      <w:r>
        <w:rPr>
          <w:sz w:val="24"/>
          <w:szCs w:val="24"/>
        </w:rPr>
        <w:t>With the parallel array results in mind, a</w:t>
      </w:r>
      <w:r w:rsidRPr="00517A42">
        <w:rPr>
          <w:sz w:val="24"/>
          <w:szCs w:val="24"/>
        </w:rPr>
        <w:t xml:space="preserve"> </w:t>
      </w:r>
      <w:r>
        <w:rPr>
          <w:sz w:val="24"/>
          <w:szCs w:val="24"/>
        </w:rPr>
        <w:t xml:space="preserve">single, </w:t>
      </w:r>
      <w:r w:rsidRPr="00517A42">
        <w:rPr>
          <w:sz w:val="24"/>
          <w:szCs w:val="24"/>
        </w:rPr>
        <w:t>16-detector array</w:t>
      </w:r>
      <w:r w:rsidRPr="00973ED9">
        <w:rPr>
          <w:sz w:val="24"/>
          <w:szCs w:val="24"/>
        </w:rPr>
        <w:t xml:space="preserve"> </w:t>
      </w:r>
      <w:r>
        <w:rPr>
          <w:sz w:val="24"/>
          <w:szCs w:val="24"/>
        </w:rPr>
        <w:t>with</w:t>
      </w:r>
      <w:r w:rsidRPr="00517A42">
        <w:rPr>
          <w:sz w:val="24"/>
          <w:szCs w:val="24"/>
        </w:rPr>
        <w:t xml:space="preserve"> four MFAs was proposed</w:t>
      </w:r>
      <w:r>
        <w:rPr>
          <w:sz w:val="24"/>
          <w:szCs w:val="24"/>
        </w:rPr>
        <w:t xml:space="preserve"> </w:t>
      </w:r>
      <w:r w:rsidRPr="00517A42">
        <w:rPr>
          <w:sz w:val="24"/>
          <w:szCs w:val="24"/>
        </w:rPr>
        <w:t>to increase detector efficiency in the neutron measurements</w:t>
      </w:r>
      <w:r>
        <w:rPr>
          <w:sz w:val="24"/>
          <w:szCs w:val="24"/>
        </w:rPr>
        <w:t xml:space="preserve">. The parallel array </w:t>
      </w:r>
      <w:r>
        <w:rPr>
          <w:sz w:val="24"/>
          <w:szCs w:val="24"/>
        </w:rPr>
        <w:lastRenderedPageBreak/>
        <w:t>method, while theoretically ideal, proved to harbour too many confounding variables for consistent comparisons to be carried out</w:t>
      </w:r>
      <w:r w:rsidR="00BD414A">
        <w:rPr>
          <w:sz w:val="24"/>
          <w:szCs w:val="24"/>
        </w:rPr>
        <w:t xml:space="preserve"> unless a normalisation was applied</w:t>
      </w:r>
      <w:r>
        <w:rPr>
          <w:sz w:val="24"/>
          <w:szCs w:val="24"/>
        </w:rPr>
        <w:t>. The measurements could be confounded due to the inherent differences found between detectors from manufacture, such as slight changes in amount of scintillant liquid and differences in PMT performance</w:t>
      </w:r>
      <w:r w:rsidR="00660D8D">
        <w:rPr>
          <w:sz w:val="24"/>
          <w:szCs w:val="24"/>
        </w:rPr>
        <w:t xml:space="preserve"> </w:t>
      </w:r>
      <w:r w:rsidR="00477A16">
        <w:rPr>
          <w:sz w:val="24"/>
          <w:szCs w:val="24"/>
        </w:rPr>
        <w:fldChar w:fldCharType="begin" w:fldLock="1"/>
      </w:r>
      <w:r w:rsidR="000B0F18">
        <w:rPr>
          <w:sz w:val="24"/>
          <w:szCs w:val="24"/>
        </w:rPr>
        <w:instrText>ADDIN CSL_CITATION {"citationItems":[{"id":"ITEM-1","itemData":{"DOI":"10.1088/1748-0221/13/10/P10008","ISSN":"1748-0221","author":[{"dropping-particle":"","family":"Astromskas","given":"V.","non-dropping-particle":"","parse-names":false,"suffix":""},{"dropping-particle":"","family":"Joyce","given":"M.J.","non-dropping-particle":"","parse-names":false,"suffix":""},{"dropping-particle":"","family":"Aspinall","given":"M.","non-dropping-particle":"","parse-names":false,"suffix":""}],"container-title":"Journal of Instrumentation","id":"ITEM-1","issue":"10","issued":{"date-parts":[["2018","10","4"]]},"page":"P10008-P10008","publisher":"IOP Publishing","title":"Investigation of instabilities of photomultiplier tubes for multi-element detector systems","type":"article-journal","volume":"13"},"uris":["http://www.mendeley.com/documents/?uuid=ad7a2ca6-4013-3490-bd33-5affa1103789"]}],"mendeley":{"formattedCitation":"[51]","plainTextFormattedCitation":"[51]","previouslyFormattedCitation":"[51]"},"properties":{"noteIndex":0},"schema":"https://github.com/citation-style-language/schema/raw/master/csl-citation.json"}</w:instrText>
      </w:r>
      <w:r w:rsidR="00477A16">
        <w:rPr>
          <w:sz w:val="24"/>
          <w:szCs w:val="24"/>
        </w:rPr>
        <w:fldChar w:fldCharType="separate"/>
      </w:r>
      <w:r w:rsidR="007D1AB4" w:rsidRPr="007D1AB4">
        <w:rPr>
          <w:noProof/>
          <w:sz w:val="24"/>
          <w:szCs w:val="24"/>
        </w:rPr>
        <w:t>[51]</w:t>
      </w:r>
      <w:r w:rsidR="00477A16">
        <w:rPr>
          <w:sz w:val="24"/>
          <w:szCs w:val="24"/>
        </w:rPr>
        <w:fldChar w:fldCharType="end"/>
      </w:r>
      <w:r>
        <w:rPr>
          <w:sz w:val="24"/>
          <w:szCs w:val="24"/>
        </w:rPr>
        <w:t>. Nonetheless, results of the comparison of neutrons against MFA unit suggest that the differences in response could also be due to the MFA units themselves after considering the building’s constant temperature and the lack of reported malfunction of said heating system.</w:t>
      </w:r>
      <w:r w:rsidRPr="00A21775">
        <w:rPr>
          <w:sz w:val="24"/>
          <w:szCs w:val="24"/>
        </w:rPr>
        <w:t xml:space="preserve"> </w:t>
      </w:r>
      <w:r>
        <w:rPr>
          <w:sz w:val="24"/>
          <w:szCs w:val="24"/>
        </w:rPr>
        <w:t>I</w:t>
      </w:r>
      <w:r w:rsidRPr="00A21775">
        <w:rPr>
          <w:sz w:val="24"/>
          <w:szCs w:val="24"/>
        </w:rPr>
        <w:t>t is plausible to conclude that the immediate vicinity of the detectors (i.e. other machinery</w:t>
      </w:r>
      <w:r>
        <w:rPr>
          <w:sz w:val="24"/>
          <w:szCs w:val="24"/>
        </w:rPr>
        <w:t>/heating</w:t>
      </w:r>
      <w:r w:rsidRPr="00A21775">
        <w:rPr>
          <w:sz w:val="24"/>
          <w:szCs w:val="24"/>
        </w:rPr>
        <w:t xml:space="preserve">) is not the cause of the neutron count difference as the array responses change </w:t>
      </w:r>
      <w:r>
        <w:rPr>
          <w:sz w:val="24"/>
          <w:szCs w:val="24"/>
        </w:rPr>
        <w:t>significantly</w:t>
      </w:r>
      <w:r w:rsidRPr="00A21775">
        <w:rPr>
          <w:sz w:val="24"/>
          <w:szCs w:val="24"/>
        </w:rPr>
        <w:t xml:space="preserve"> when the MFA unit changes</w:t>
      </w:r>
      <w:r w:rsidR="00301B60">
        <w:rPr>
          <w:sz w:val="24"/>
          <w:szCs w:val="24"/>
        </w:rPr>
        <w:t>.</w:t>
      </w:r>
      <w:r>
        <w:rPr>
          <w:sz w:val="24"/>
          <w:szCs w:val="24"/>
        </w:rPr>
        <w:t xml:space="preserve"> </w:t>
      </w:r>
      <w:r w:rsidR="00301B60">
        <w:rPr>
          <w:sz w:val="24"/>
          <w:szCs w:val="24"/>
        </w:rPr>
        <w:t>T</w:t>
      </w:r>
      <w:r>
        <w:rPr>
          <w:sz w:val="24"/>
          <w:szCs w:val="24"/>
        </w:rPr>
        <w:t>herefore, it seems that the difference in detected neutrons comes from intrinsic differences within the machinery, combined with a low detector efficiency, due to the limited number of detectors u</w:t>
      </w:r>
      <w:r w:rsidR="00301B60">
        <w:rPr>
          <w:sz w:val="24"/>
          <w:szCs w:val="24"/>
        </w:rPr>
        <w:t>sed to measure each sample set.</w:t>
      </w:r>
      <w:r>
        <w:rPr>
          <w:sz w:val="24"/>
          <w:szCs w:val="24"/>
        </w:rPr>
        <w:t xml:space="preserve"> </w:t>
      </w:r>
    </w:p>
    <w:p w14:paraId="3AB6F074" w14:textId="3119D664" w:rsidR="00F37CA9" w:rsidRDefault="00F37CA9" w:rsidP="00F37CA9">
      <w:pPr>
        <w:tabs>
          <w:tab w:val="left" w:pos="3075"/>
        </w:tabs>
        <w:spacing w:line="480" w:lineRule="auto"/>
        <w:ind w:firstLine="567"/>
        <w:rPr>
          <w:sz w:val="24"/>
          <w:szCs w:val="24"/>
        </w:rPr>
      </w:pPr>
      <w:r>
        <w:rPr>
          <w:sz w:val="24"/>
          <w:szCs w:val="24"/>
        </w:rPr>
        <w:t xml:space="preserve"> </w:t>
      </w:r>
      <w:r w:rsidR="00BD414A">
        <w:rPr>
          <w:sz w:val="24"/>
          <w:szCs w:val="24"/>
        </w:rPr>
        <w:t>The</w:t>
      </w:r>
      <w:r>
        <w:rPr>
          <w:sz w:val="24"/>
          <w:szCs w:val="24"/>
        </w:rPr>
        <w:t xml:space="preserve"> larger, single array of detectors </w:t>
      </w:r>
      <w:r w:rsidR="00BD414A">
        <w:rPr>
          <w:sz w:val="24"/>
          <w:szCs w:val="24"/>
        </w:rPr>
        <w:t>offered the potential to normalise</w:t>
      </w:r>
      <w:r>
        <w:rPr>
          <w:sz w:val="24"/>
          <w:szCs w:val="24"/>
        </w:rPr>
        <w:t xml:space="preserve"> these confounding variables </w:t>
      </w:r>
      <w:r w:rsidR="00BD414A">
        <w:rPr>
          <w:sz w:val="24"/>
          <w:szCs w:val="24"/>
        </w:rPr>
        <w:t xml:space="preserve">across measurements </w:t>
      </w:r>
      <w:r>
        <w:rPr>
          <w:sz w:val="24"/>
          <w:szCs w:val="24"/>
        </w:rPr>
        <w:t xml:space="preserve">if consistent counts could be achieved. Further, the larger array would increase coverage of the samples, therefore </w:t>
      </w:r>
      <w:r w:rsidR="00BD414A">
        <w:rPr>
          <w:sz w:val="24"/>
          <w:szCs w:val="24"/>
        </w:rPr>
        <w:t>reducing</w:t>
      </w:r>
      <w:r>
        <w:rPr>
          <w:sz w:val="24"/>
          <w:szCs w:val="24"/>
        </w:rPr>
        <w:t xml:space="preserve"> the loss of emitted neutrons and increasing </w:t>
      </w:r>
      <w:r w:rsidR="00BD414A">
        <w:rPr>
          <w:sz w:val="24"/>
          <w:szCs w:val="24"/>
        </w:rPr>
        <w:t xml:space="preserve">absolute </w:t>
      </w:r>
      <w:r>
        <w:rPr>
          <w:sz w:val="24"/>
          <w:szCs w:val="24"/>
        </w:rPr>
        <w:t xml:space="preserve">detection efficiency. </w:t>
      </w:r>
      <w:r w:rsidRPr="00973ED9">
        <w:rPr>
          <w:sz w:val="24"/>
          <w:szCs w:val="24"/>
        </w:rPr>
        <w:t xml:space="preserve">The </w:t>
      </w:r>
      <w:r w:rsidR="00BD414A">
        <w:rPr>
          <w:sz w:val="24"/>
          <w:szCs w:val="24"/>
        </w:rPr>
        <w:t>hypothetical</w:t>
      </w:r>
      <w:r w:rsidRPr="00973ED9">
        <w:rPr>
          <w:sz w:val="24"/>
          <w:szCs w:val="24"/>
        </w:rPr>
        <w:t xml:space="preserve"> benefit of such an array is that an increase in </w:t>
      </w:r>
      <w:r>
        <w:rPr>
          <w:sz w:val="24"/>
          <w:szCs w:val="24"/>
        </w:rPr>
        <w:t xml:space="preserve">detection </w:t>
      </w:r>
      <w:r w:rsidRPr="00973ED9">
        <w:rPr>
          <w:sz w:val="24"/>
          <w:szCs w:val="24"/>
        </w:rPr>
        <w:t xml:space="preserve">efficiency might allow greater differentiation between the </w:t>
      </w:r>
      <w:r>
        <w:rPr>
          <w:sz w:val="24"/>
          <w:szCs w:val="24"/>
        </w:rPr>
        <w:t xml:space="preserve">total </w:t>
      </w:r>
      <w:r w:rsidRPr="00973ED9">
        <w:rPr>
          <w:sz w:val="24"/>
          <w:szCs w:val="24"/>
        </w:rPr>
        <w:t xml:space="preserve">neutron emissions from each sample. </w:t>
      </w:r>
      <w:r>
        <w:rPr>
          <w:sz w:val="24"/>
          <w:szCs w:val="24"/>
        </w:rPr>
        <w:t>Following the confirmation of consistent detector responses over multiple measurement iterations,</w:t>
      </w:r>
      <w:r w:rsidR="00BD414A">
        <w:rPr>
          <w:sz w:val="24"/>
          <w:szCs w:val="24"/>
        </w:rPr>
        <w:t xml:space="preserve"> it was planned that</w:t>
      </w:r>
      <w:r>
        <w:rPr>
          <w:sz w:val="24"/>
          <w:szCs w:val="24"/>
        </w:rPr>
        <w:t xml:space="preserve"> the single, large array of detectors </w:t>
      </w:r>
      <w:r w:rsidR="00BD414A">
        <w:rPr>
          <w:sz w:val="24"/>
          <w:szCs w:val="24"/>
        </w:rPr>
        <w:t>would</w:t>
      </w:r>
      <w:r>
        <w:rPr>
          <w:sz w:val="24"/>
          <w:szCs w:val="24"/>
        </w:rPr>
        <w:t xml:space="preserve"> be used to compare multiple samples over different measurements, when also compared to background neutron measurement. Whilst this measurement method would not compare the background neutron level at the time of </w:t>
      </w:r>
      <w:r>
        <w:rPr>
          <w:sz w:val="24"/>
          <w:szCs w:val="24"/>
        </w:rPr>
        <w:lastRenderedPageBreak/>
        <w:t xml:space="preserve">sample measurement, an average background value would </w:t>
      </w:r>
      <w:r w:rsidR="00BD414A">
        <w:rPr>
          <w:sz w:val="24"/>
          <w:szCs w:val="24"/>
        </w:rPr>
        <w:t>yield</w:t>
      </w:r>
      <w:r>
        <w:rPr>
          <w:sz w:val="24"/>
          <w:szCs w:val="24"/>
        </w:rPr>
        <w:t xml:space="preserve"> a sufficient subtraction from each sample neutron count to provide comparisons across a sample set.</w:t>
      </w:r>
    </w:p>
    <w:p w14:paraId="17336191" w14:textId="77777777" w:rsidR="00F37CA9" w:rsidRPr="00AF04C7" w:rsidRDefault="00F37CA9" w:rsidP="00F37CA9">
      <w:pPr>
        <w:spacing w:line="480" w:lineRule="auto"/>
        <w:ind w:firstLine="567"/>
        <w:rPr>
          <w:rFonts w:cstheme="minorHAnsi"/>
          <w:sz w:val="24"/>
          <w:szCs w:val="24"/>
        </w:rPr>
      </w:pPr>
    </w:p>
    <w:p w14:paraId="2932BFD5" w14:textId="77777777" w:rsidR="00F37CA9" w:rsidRDefault="00F37CA9" w:rsidP="00F37CA9">
      <w:pPr>
        <w:spacing w:line="480" w:lineRule="auto"/>
        <w:rPr>
          <w:rFonts w:cstheme="minorHAnsi"/>
          <w:b/>
          <w:sz w:val="28"/>
          <w:szCs w:val="24"/>
        </w:rPr>
      </w:pPr>
      <w:r>
        <w:rPr>
          <w:rFonts w:cstheme="minorHAnsi"/>
          <w:b/>
          <w:sz w:val="28"/>
          <w:szCs w:val="24"/>
        </w:rPr>
        <w:t>2</w:t>
      </w:r>
      <w:r w:rsidRPr="008B1C34">
        <w:rPr>
          <w:rFonts w:cstheme="minorHAnsi"/>
          <w:b/>
          <w:sz w:val="28"/>
          <w:szCs w:val="24"/>
        </w:rPr>
        <w:t>.</w:t>
      </w:r>
      <w:r>
        <w:rPr>
          <w:rFonts w:cstheme="minorHAnsi"/>
          <w:b/>
          <w:sz w:val="28"/>
          <w:szCs w:val="24"/>
        </w:rPr>
        <w:t>2.3</w:t>
      </w:r>
      <w:r w:rsidRPr="008B1C34">
        <w:rPr>
          <w:rFonts w:cstheme="minorHAnsi"/>
          <w:b/>
          <w:sz w:val="28"/>
          <w:szCs w:val="24"/>
        </w:rPr>
        <w:t xml:space="preserve"> 16-Detector array Neutron Measurement</w:t>
      </w:r>
    </w:p>
    <w:p w14:paraId="75A7E9AA" w14:textId="438D0C02" w:rsidR="00253E01" w:rsidRDefault="00F37CA9" w:rsidP="00210D18">
      <w:pPr>
        <w:spacing w:line="480" w:lineRule="auto"/>
        <w:ind w:firstLine="567"/>
        <w:rPr>
          <w:rFonts w:cstheme="minorHAnsi"/>
          <w:noProof/>
          <w:sz w:val="24"/>
          <w:szCs w:val="24"/>
        </w:rPr>
      </w:pPr>
      <w:r w:rsidRPr="00AF04C7">
        <w:rPr>
          <w:rFonts w:cstheme="minorHAnsi"/>
          <w:sz w:val="24"/>
          <w:szCs w:val="24"/>
        </w:rPr>
        <w:t>The 16-detector neutron array measurement is a single array, made up of 16 Scionix EJ-309 liquid scintillators with PMTs configured into a 4x4x4x4 array surrounding the samples</w:t>
      </w:r>
      <w:r w:rsidR="00A933F7">
        <w:rPr>
          <w:rFonts w:cstheme="minorHAnsi"/>
          <w:sz w:val="24"/>
          <w:szCs w:val="24"/>
        </w:rPr>
        <w:t>.</w:t>
      </w:r>
      <w:r>
        <w:rPr>
          <w:rFonts w:cstheme="minorHAnsi"/>
          <w:sz w:val="24"/>
          <w:szCs w:val="24"/>
        </w:rPr>
        <w:t xml:space="preserve"> </w:t>
      </w:r>
      <w:r w:rsidR="00A933F7">
        <w:rPr>
          <w:rFonts w:cstheme="minorHAnsi"/>
          <w:sz w:val="24"/>
          <w:szCs w:val="24"/>
        </w:rPr>
        <w:t xml:space="preserve">The array is </w:t>
      </w:r>
      <w:r>
        <w:rPr>
          <w:rFonts w:cstheme="minorHAnsi"/>
          <w:sz w:val="24"/>
          <w:szCs w:val="24"/>
        </w:rPr>
        <w:t>pictured</w:t>
      </w:r>
      <w:r w:rsidR="00543B42">
        <w:rPr>
          <w:rFonts w:cstheme="minorHAnsi"/>
          <w:sz w:val="24"/>
          <w:szCs w:val="24"/>
        </w:rPr>
        <w:t xml:space="preserve"> in </w:t>
      </w:r>
      <w:r w:rsidR="00A212E5">
        <w:rPr>
          <w:rFonts w:cstheme="minorHAnsi"/>
          <w:sz w:val="24"/>
          <w:szCs w:val="24"/>
        </w:rPr>
        <w:fldChar w:fldCharType="begin"/>
      </w:r>
      <w:r w:rsidR="00A212E5">
        <w:rPr>
          <w:rFonts w:cstheme="minorHAnsi"/>
          <w:sz w:val="24"/>
          <w:szCs w:val="24"/>
        </w:rPr>
        <w:instrText xml:space="preserve"> REF _Ref31357550 \h </w:instrText>
      </w:r>
      <w:r w:rsidR="00A212E5">
        <w:rPr>
          <w:rFonts w:cstheme="minorHAnsi"/>
          <w:sz w:val="24"/>
          <w:szCs w:val="24"/>
        </w:rPr>
      </w:r>
      <w:r w:rsidR="00A212E5">
        <w:rPr>
          <w:rFonts w:cstheme="minorHAnsi"/>
          <w:sz w:val="24"/>
          <w:szCs w:val="24"/>
        </w:rPr>
        <w:fldChar w:fldCharType="separate"/>
      </w:r>
      <w:r w:rsidR="00161FDC" w:rsidRPr="00C45EC1">
        <w:rPr>
          <w:sz w:val="20"/>
        </w:rPr>
        <w:t xml:space="preserve">Figure </w:t>
      </w:r>
      <w:r w:rsidR="00161FDC">
        <w:rPr>
          <w:noProof/>
          <w:sz w:val="20"/>
        </w:rPr>
        <w:t>10</w:t>
      </w:r>
      <w:r w:rsidR="00A212E5">
        <w:rPr>
          <w:rFonts w:cstheme="minorHAnsi"/>
          <w:sz w:val="24"/>
          <w:szCs w:val="24"/>
        </w:rPr>
        <w:fldChar w:fldCharType="end"/>
      </w:r>
      <w:r>
        <w:rPr>
          <w:rFonts w:cstheme="minorHAnsi"/>
          <w:sz w:val="24"/>
          <w:szCs w:val="24"/>
        </w:rPr>
        <w:t xml:space="preserve"> below </w:t>
      </w:r>
      <w:r w:rsidR="00A933F7">
        <w:rPr>
          <w:rFonts w:cstheme="minorHAnsi"/>
          <w:sz w:val="24"/>
          <w:szCs w:val="24"/>
        </w:rPr>
        <w:t xml:space="preserve">and shown diagrammatically in </w:t>
      </w:r>
      <w:r w:rsidR="00A212E5">
        <w:rPr>
          <w:rFonts w:cstheme="minorHAnsi"/>
          <w:sz w:val="24"/>
          <w:szCs w:val="24"/>
        </w:rPr>
        <w:fldChar w:fldCharType="begin"/>
      </w:r>
      <w:r w:rsidR="00A212E5">
        <w:rPr>
          <w:rFonts w:cstheme="minorHAnsi"/>
          <w:sz w:val="24"/>
          <w:szCs w:val="24"/>
        </w:rPr>
        <w:instrText xml:space="preserve"> REF _Ref31357594 \h </w:instrText>
      </w:r>
      <w:r w:rsidR="00A212E5">
        <w:rPr>
          <w:rFonts w:cstheme="minorHAnsi"/>
          <w:sz w:val="24"/>
          <w:szCs w:val="24"/>
        </w:rPr>
      </w:r>
      <w:r w:rsidR="00A212E5">
        <w:rPr>
          <w:rFonts w:cstheme="minorHAnsi"/>
          <w:sz w:val="24"/>
          <w:szCs w:val="24"/>
        </w:rPr>
        <w:fldChar w:fldCharType="separate"/>
      </w:r>
      <w:r w:rsidR="00161FDC" w:rsidRPr="00C45EC1">
        <w:rPr>
          <w:sz w:val="20"/>
        </w:rPr>
        <w:t xml:space="preserve">Figure </w:t>
      </w:r>
      <w:r w:rsidR="00161FDC">
        <w:rPr>
          <w:noProof/>
          <w:sz w:val="20"/>
        </w:rPr>
        <w:t>11</w:t>
      </w:r>
      <w:r w:rsidR="00A212E5">
        <w:rPr>
          <w:rFonts w:cstheme="minorHAnsi"/>
          <w:sz w:val="24"/>
          <w:szCs w:val="24"/>
        </w:rPr>
        <w:fldChar w:fldCharType="end"/>
      </w:r>
      <w:r>
        <w:rPr>
          <w:rFonts w:cstheme="minorHAnsi"/>
          <w:sz w:val="24"/>
          <w:szCs w:val="24"/>
        </w:rPr>
        <w:t>.</w:t>
      </w:r>
      <w:r w:rsidRPr="009D738C">
        <w:rPr>
          <w:rFonts w:cstheme="minorHAnsi"/>
          <w:noProof/>
          <w:sz w:val="24"/>
          <w:szCs w:val="24"/>
        </w:rPr>
        <w:t xml:space="preserve"> </w:t>
      </w:r>
      <w:r>
        <w:rPr>
          <w:rFonts w:cstheme="minorHAnsi"/>
          <w:noProof/>
          <w:sz w:val="24"/>
          <w:szCs w:val="24"/>
        </w:rPr>
        <w:t>Samples were placed centrally within the array, set upon a stack to try to ensure consistent measurements between the upper and lower detector layers.</w:t>
      </w:r>
    </w:p>
    <w:p w14:paraId="2F52628B" w14:textId="77777777" w:rsidR="00253E01" w:rsidRPr="00AF04C7" w:rsidRDefault="00253E01" w:rsidP="00253E01">
      <w:pPr>
        <w:spacing w:line="480" w:lineRule="auto"/>
        <w:ind w:firstLine="567"/>
        <w:rPr>
          <w:rFonts w:cstheme="minorHAnsi"/>
          <w:sz w:val="24"/>
          <w:szCs w:val="24"/>
        </w:rPr>
      </w:pPr>
      <w:r w:rsidRPr="00AF04C7">
        <w:rPr>
          <w:rFonts w:cstheme="minorHAnsi"/>
          <w:sz w:val="24"/>
          <w:szCs w:val="24"/>
        </w:rPr>
        <w:t xml:space="preserve">The detectors are connected to four Hybrid Instruments Mixed Field Analysers (MFAs), which are connected via TTL port to a 16-channel circuit counter and processed via </w:t>
      </w:r>
      <w:r>
        <w:rPr>
          <w:rFonts w:cstheme="minorHAnsi"/>
          <w:sz w:val="24"/>
          <w:szCs w:val="24"/>
        </w:rPr>
        <w:t>Field-Programmable Gate Array (</w:t>
      </w:r>
      <w:r w:rsidRPr="00AF04C7">
        <w:rPr>
          <w:rFonts w:cstheme="minorHAnsi"/>
          <w:sz w:val="24"/>
          <w:szCs w:val="24"/>
        </w:rPr>
        <w:t>FPGA</w:t>
      </w:r>
      <w:r>
        <w:rPr>
          <w:rFonts w:cstheme="minorHAnsi"/>
          <w:sz w:val="24"/>
          <w:szCs w:val="24"/>
        </w:rPr>
        <w:t>)</w:t>
      </w:r>
      <w:r w:rsidRPr="00AF04C7">
        <w:rPr>
          <w:rFonts w:cstheme="minorHAnsi"/>
          <w:sz w:val="24"/>
          <w:szCs w:val="24"/>
        </w:rPr>
        <w:t xml:space="preserve"> before file dump to a laptop computer running “PuTTY”, the data-processing freeware.</w:t>
      </w:r>
    </w:p>
    <w:p w14:paraId="17F3EE01" w14:textId="77777777" w:rsidR="00D524B1" w:rsidRDefault="00F37CA9" w:rsidP="00D524B1">
      <w:pPr>
        <w:keepNext/>
        <w:spacing w:line="480" w:lineRule="auto"/>
        <w:ind w:firstLine="567"/>
      </w:pPr>
      <w:r>
        <w:rPr>
          <w:rFonts w:cstheme="minorHAnsi"/>
          <w:noProof/>
          <w:sz w:val="24"/>
          <w:szCs w:val="24"/>
          <w:lang w:eastAsia="en-GB"/>
        </w:rPr>
        <w:lastRenderedPageBreak/>
        <w:drawing>
          <wp:inline distT="0" distB="0" distL="0" distR="0" wp14:anchorId="56761AAA" wp14:editId="0BE9C826">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 det array.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3FE64D3" w14:textId="3C82FE8F" w:rsidR="00D524B1" w:rsidRPr="00C45EC1" w:rsidRDefault="00D524B1" w:rsidP="00C45EC1">
      <w:pPr>
        <w:pStyle w:val="Caption"/>
        <w:jc w:val="center"/>
        <w:rPr>
          <w:sz w:val="20"/>
        </w:rPr>
      </w:pPr>
      <w:bookmarkStart w:id="13" w:name="_Ref31357550"/>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10</w:t>
      </w:r>
      <w:r w:rsidRPr="00C45EC1">
        <w:rPr>
          <w:sz w:val="20"/>
        </w:rPr>
        <w:fldChar w:fldCharType="end"/>
      </w:r>
      <w:bookmarkEnd w:id="13"/>
      <w:r w:rsidRPr="00C45EC1">
        <w:rPr>
          <w:sz w:val="20"/>
        </w:rPr>
        <w:t xml:space="preserve"> The final neutron array used within the project. The array consists of 16 Scionix EJ309 detectors with photo multiplier tubes, attached to four Hybrid Instruments mixed field analysers (MFAs) which are linked to laptop via Field Programmable Gate Array (FPGA) and pulse counting circuit. The detectors are aligned around a central point at which the samples are placed.</w:t>
      </w:r>
    </w:p>
    <w:p w14:paraId="0739C36D" w14:textId="77777777" w:rsidR="000B0F18" w:rsidRDefault="000B0F18" w:rsidP="000B0F18">
      <w:pPr>
        <w:keepNext/>
        <w:spacing w:line="480" w:lineRule="auto"/>
        <w:ind w:firstLine="567"/>
      </w:pPr>
      <w:r>
        <w:rPr>
          <w:noProof/>
          <w:lang w:eastAsia="en-GB"/>
        </w:rPr>
        <w:drawing>
          <wp:inline distT="0" distB="0" distL="0" distR="0" wp14:anchorId="421A6A7E" wp14:editId="56350A8C">
            <wp:extent cx="5502449" cy="2278967"/>
            <wp:effectExtent l="0" t="0" r="3175"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195" t="33682" r="20452" b="14516"/>
                    <a:stretch/>
                  </pic:blipFill>
                  <pic:spPr bwMode="auto">
                    <a:xfrm>
                      <a:off x="0" y="0"/>
                      <a:ext cx="5560775" cy="2303124"/>
                    </a:xfrm>
                    <a:prstGeom prst="rect">
                      <a:avLst/>
                    </a:prstGeom>
                    <a:ln>
                      <a:noFill/>
                    </a:ln>
                    <a:extLst>
                      <a:ext uri="{53640926-AAD7-44D8-BBD7-CCE9431645EC}">
                        <a14:shadowObscured xmlns:a14="http://schemas.microsoft.com/office/drawing/2010/main"/>
                      </a:ext>
                    </a:extLst>
                  </pic:spPr>
                </pic:pic>
              </a:graphicData>
            </a:graphic>
          </wp:inline>
        </w:drawing>
      </w:r>
    </w:p>
    <w:p w14:paraId="12268B30" w14:textId="0741B91A" w:rsidR="00C76DD1" w:rsidRPr="00C45EC1" w:rsidRDefault="000B0F18" w:rsidP="00C45EC1">
      <w:pPr>
        <w:pStyle w:val="Caption"/>
        <w:jc w:val="center"/>
        <w:rPr>
          <w:rFonts w:cstheme="minorHAnsi"/>
          <w:b/>
          <w:sz w:val="32"/>
          <w:szCs w:val="24"/>
        </w:rPr>
      </w:pPr>
      <w:bookmarkStart w:id="14" w:name="_Ref31357594"/>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11</w:t>
      </w:r>
      <w:r w:rsidRPr="00C45EC1">
        <w:rPr>
          <w:sz w:val="20"/>
        </w:rPr>
        <w:fldChar w:fldCharType="end"/>
      </w:r>
      <w:bookmarkEnd w:id="14"/>
      <w:r w:rsidRPr="00C45EC1">
        <w:rPr>
          <w:sz w:val="20"/>
        </w:rPr>
        <w:t xml:space="preserve"> Diagram of the 16-detector neutron array with accompanying key. The cables, laptop, and signal counting circuit/FPGA are not included in the diagram. Approximate dimensions are shown in the diagram for the constituent parts of the array.</w:t>
      </w:r>
    </w:p>
    <w:p w14:paraId="2D4C8354" w14:textId="4865F832" w:rsidR="00F37CA9" w:rsidRPr="00AF04C7" w:rsidRDefault="00F37CA9" w:rsidP="00F37CA9">
      <w:pPr>
        <w:spacing w:line="480" w:lineRule="auto"/>
        <w:ind w:firstLine="567"/>
        <w:rPr>
          <w:rFonts w:cstheme="minorHAnsi"/>
          <w:sz w:val="24"/>
          <w:szCs w:val="24"/>
        </w:rPr>
      </w:pPr>
      <w:r>
        <w:rPr>
          <w:rFonts w:cstheme="minorHAnsi"/>
          <w:sz w:val="24"/>
          <w:szCs w:val="24"/>
        </w:rPr>
        <w:t>Passive, single</w:t>
      </w:r>
      <w:r w:rsidRPr="00AF04C7">
        <w:rPr>
          <w:rFonts w:cstheme="minorHAnsi"/>
          <w:sz w:val="24"/>
          <w:szCs w:val="24"/>
        </w:rPr>
        <w:t xml:space="preserve"> fast neutron emissions were measured from 14 soil samples over four sets of four-hour measurements. Throughout the sample measurements, the neutron background was periodically measured to compare to, and ultimately </w:t>
      </w:r>
      <w:r w:rsidR="00BD414A">
        <w:rPr>
          <w:rFonts w:cstheme="minorHAnsi"/>
          <w:sz w:val="24"/>
          <w:szCs w:val="24"/>
        </w:rPr>
        <w:t>providing</w:t>
      </w:r>
      <w:r w:rsidRPr="00AF04C7">
        <w:rPr>
          <w:rFonts w:cstheme="minorHAnsi"/>
          <w:sz w:val="24"/>
          <w:szCs w:val="24"/>
        </w:rPr>
        <w:t xml:space="preserve"> a value for background subtraction. The average background was subtracted to account for the intrinsic </w:t>
      </w:r>
      <w:r w:rsidRPr="00AF04C7">
        <w:rPr>
          <w:rFonts w:cstheme="minorHAnsi"/>
          <w:sz w:val="24"/>
          <w:szCs w:val="24"/>
        </w:rPr>
        <w:lastRenderedPageBreak/>
        <w:t xml:space="preserve">variability in intensity of the background neutron radiation which is heavily influenced by weather and </w:t>
      </w:r>
      <w:r w:rsidR="00BD414A">
        <w:rPr>
          <w:rFonts w:cstheme="minorHAnsi"/>
          <w:sz w:val="24"/>
          <w:szCs w:val="24"/>
        </w:rPr>
        <w:t>atmospheric pressure</w:t>
      </w:r>
      <w:r w:rsidRPr="00AF04C7">
        <w:rPr>
          <w:rFonts w:cstheme="minorHAnsi"/>
          <w:sz w:val="24"/>
          <w:szCs w:val="24"/>
        </w:rPr>
        <w:t>.</w:t>
      </w:r>
    </w:p>
    <w:p w14:paraId="6B56EC61" w14:textId="6E0A8B5D" w:rsidR="00F37CA9" w:rsidRDefault="00F37CA9" w:rsidP="00F37CA9">
      <w:pPr>
        <w:spacing w:line="480" w:lineRule="auto"/>
        <w:ind w:firstLine="567"/>
        <w:rPr>
          <w:rFonts w:cstheme="minorHAnsi"/>
          <w:sz w:val="24"/>
          <w:szCs w:val="24"/>
        </w:rPr>
      </w:pPr>
      <w:r w:rsidRPr="00AF04C7">
        <w:rPr>
          <w:rFonts w:cstheme="minorHAnsi"/>
          <w:sz w:val="24"/>
          <w:szCs w:val="24"/>
        </w:rPr>
        <w:t xml:space="preserve">The 16-detector array was recalibrated based on the same protocol as the other </w:t>
      </w:r>
      <w:r>
        <w:rPr>
          <w:rFonts w:cstheme="minorHAnsi"/>
          <w:sz w:val="24"/>
          <w:szCs w:val="24"/>
        </w:rPr>
        <w:t xml:space="preserve">neutron </w:t>
      </w:r>
      <w:r w:rsidRPr="00AF04C7">
        <w:rPr>
          <w:rFonts w:cstheme="minorHAnsi"/>
          <w:sz w:val="24"/>
          <w:szCs w:val="24"/>
        </w:rPr>
        <w:t>measurement arrays, however</w:t>
      </w:r>
      <w:r>
        <w:rPr>
          <w:rFonts w:cstheme="minorHAnsi"/>
          <w:sz w:val="24"/>
          <w:szCs w:val="24"/>
        </w:rPr>
        <w:t>,</w:t>
      </w:r>
      <w:r w:rsidRPr="00AF04C7">
        <w:rPr>
          <w:rFonts w:cstheme="minorHAnsi"/>
          <w:sz w:val="24"/>
          <w:szCs w:val="24"/>
        </w:rPr>
        <w:t xml:space="preserve"> whenever the detectors were disturbed, only those disturbed were recalibrated</w:t>
      </w:r>
      <w:r>
        <w:rPr>
          <w:rFonts w:cstheme="minorHAnsi"/>
          <w:sz w:val="24"/>
          <w:szCs w:val="24"/>
        </w:rPr>
        <w:t xml:space="preserve"> due to the added </w:t>
      </w:r>
      <w:r w:rsidR="00660D8D">
        <w:rPr>
          <w:rFonts w:cstheme="minorHAnsi"/>
          <w:sz w:val="24"/>
          <w:szCs w:val="24"/>
        </w:rPr>
        <w:t xml:space="preserve">geometry </w:t>
      </w:r>
      <w:r>
        <w:rPr>
          <w:rFonts w:cstheme="minorHAnsi"/>
          <w:sz w:val="24"/>
          <w:szCs w:val="24"/>
        </w:rPr>
        <w:t>complications.</w:t>
      </w:r>
    </w:p>
    <w:p w14:paraId="00B72E4B" w14:textId="4222E023" w:rsidR="00F37CA9" w:rsidRDefault="00F37CA9" w:rsidP="00F37CA9">
      <w:pPr>
        <w:spacing w:line="480" w:lineRule="auto"/>
        <w:ind w:firstLine="567"/>
        <w:rPr>
          <w:rFonts w:cstheme="minorHAnsi"/>
          <w:sz w:val="24"/>
          <w:szCs w:val="24"/>
        </w:rPr>
      </w:pPr>
      <w:r>
        <w:rPr>
          <w:rFonts w:cstheme="minorHAnsi"/>
          <w:sz w:val="24"/>
          <w:szCs w:val="24"/>
        </w:rPr>
        <w:t xml:space="preserve">Measurements taken from the 16-detector array were adjusted after identifying anomalous counts. The anomalies can be seen in </w:t>
      </w:r>
      <w:r w:rsidR="00BF149A">
        <w:rPr>
          <w:rFonts w:cstheme="minorHAnsi"/>
          <w:sz w:val="24"/>
          <w:szCs w:val="24"/>
        </w:rPr>
        <w:fldChar w:fldCharType="begin"/>
      </w:r>
      <w:r w:rsidR="00BF149A">
        <w:rPr>
          <w:rFonts w:cstheme="minorHAnsi"/>
          <w:sz w:val="24"/>
          <w:szCs w:val="24"/>
        </w:rPr>
        <w:instrText xml:space="preserve"> REF _Ref31359347 \h </w:instrText>
      </w:r>
      <w:r w:rsidR="00BF149A">
        <w:rPr>
          <w:rFonts w:cstheme="minorHAnsi"/>
          <w:sz w:val="24"/>
          <w:szCs w:val="24"/>
        </w:rPr>
      </w:r>
      <w:r w:rsidR="00BF149A">
        <w:rPr>
          <w:rFonts w:cstheme="minorHAnsi"/>
          <w:sz w:val="24"/>
          <w:szCs w:val="24"/>
        </w:rPr>
        <w:fldChar w:fldCharType="separate"/>
      </w:r>
      <w:r w:rsidR="00161FDC" w:rsidRPr="00C45EC1">
        <w:rPr>
          <w:sz w:val="20"/>
        </w:rPr>
        <w:t xml:space="preserve">Figure </w:t>
      </w:r>
      <w:r w:rsidR="00161FDC">
        <w:rPr>
          <w:noProof/>
          <w:sz w:val="20"/>
        </w:rPr>
        <w:t>12</w:t>
      </w:r>
      <w:r w:rsidR="00BF149A">
        <w:rPr>
          <w:rFonts w:cstheme="minorHAnsi"/>
          <w:sz w:val="24"/>
          <w:szCs w:val="24"/>
        </w:rPr>
        <w:fldChar w:fldCharType="end"/>
      </w:r>
      <w:r>
        <w:rPr>
          <w:rFonts w:cstheme="minorHAnsi"/>
          <w:sz w:val="24"/>
          <w:szCs w:val="24"/>
        </w:rPr>
        <w:t xml:space="preserve"> below.</w:t>
      </w:r>
    </w:p>
    <w:p w14:paraId="0E7799D6" w14:textId="77777777" w:rsidR="00F37CA9" w:rsidRDefault="00F37CA9" w:rsidP="00F37CA9">
      <w:pPr>
        <w:rPr>
          <w:noProof/>
          <w:sz w:val="24"/>
          <w:szCs w:val="24"/>
        </w:rPr>
      </w:pPr>
      <w:r>
        <w:rPr>
          <w:noProof/>
          <w:sz w:val="24"/>
          <w:szCs w:val="24"/>
        </w:rPr>
        <w:br w:type="page"/>
      </w:r>
    </w:p>
    <w:p w14:paraId="1D556F20" w14:textId="77777777" w:rsidR="00F37CA9" w:rsidRDefault="00F37CA9" w:rsidP="00F37CA9">
      <w:pPr>
        <w:spacing w:line="480" w:lineRule="auto"/>
        <w:ind w:firstLine="567"/>
        <w:rPr>
          <w:noProof/>
          <w:sz w:val="24"/>
          <w:szCs w:val="24"/>
        </w:rPr>
        <w:sectPr w:rsidR="00F37CA9" w:rsidSect="00497DCB">
          <w:footerReference w:type="default" r:id="rId22"/>
          <w:pgSz w:w="11906" w:h="16838"/>
          <w:pgMar w:top="1440" w:right="1440" w:bottom="1440" w:left="1440" w:header="708" w:footer="708" w:gutter="0"/>
          <w:cols w:space="708"/>
          <w:titlePg/>
          <w:docGrid w:linePitch="360"/>
        </w:sectPr>
      </w:pPr>
    </w:p>
    <w:p w14:paraId="58106947" w14:textId="77777777" w:rsidR="000B0F18" w:rsidRDefault="00606019" w:rsidP="000B0F18">
      <w:pPr>
        <w:keepNext/>
        <w:spacing w:line="480" w:lineRule="auto"/>
        <w:ind w:firstLine="567"/>
      </w:pPr>
      <w:r w:rsidRPr="00606019">
        <w:rPr>
          <w:noProof/>
          <w:sz w:val="24"/>
          <w:szCs w:val="24"/>
          <w:lang w:eastAsia="en-GB"/>
        </w:rPr>
        <w:lastRenderedPageBreak/>
        <mc:AlternateContent>
          <mc:Choice Requires="wps">
            <w:drawing>
              <wp:anchor distT="45720" distB="45720" distL="114300" distR="114300" simplePos="0" relativeHeight="251658240" behindDoc="0" locked="0" layoutInCell="1" allowOverlap="1" wp14:anchorId="3CE9F61E" wp14:editId="199E4EFC">
                <wp:simplePos x="0" y="0"/>
                <wp:positionH relativeFrom="leftMargin">
                  <wp:posOffset>572017</wp:posOffset>
                </wp:positionH>
                <wp:positionV relativeFrom="page">
                  <wp:posOffset>3623561</wp:posOffset>
                </wp:positionV>
                <wp:extent cx="353695" cy="290830"/>
                <wp:effectExtent l="0" t="6667" r="1587" b="1588"/>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3695" cy="290830"/>
                        </a:xfrm>
                        <a:prstGeom prst="rect">
                          <a:avLst/>
                        </a:prstGeom>
                        <a:solidFill>
                          <a:srgbClr val="FFFFFF"/>
                        </a:solidFill>
                        <a:ln w="9525">
                          <a:noFill/>
                          <a:miter lim="800000"/>
                          <a:headEnd/>
                          <a:tailEnd/>
                        </a:ln>
                      </wps:spPr>
                      <wps:txbx>
                        <w:txbxContent>
                          <w:p w14:paraId="6B711E0D" w14:textId="32C0F7D7" w:rsidR="006F1462" w:rsidRPr="003707CC" w:rsidRDefault="006F1462">
                            <w:r w:rsidRPr="003707CC">
                              <w:t>4</w:t>
                            </w: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E9F61E" id="_x0000_t202" coordsize="21600,21600" o:spt="202" path="m,l,21600r21600,l21600,xe">
                <v:stroke joinstyle="miter"/>
                <v:path gradientshapeok="t" o:connecttype="rect"/>
              </v:shapetype>
              <v:shape id="Text Box 2" o:spid="_x0000_s1026" type="#_x0000_t202" style="position:absolute;left:0;text-align:left;margin-left:45.05pt;margin-top:285.3pt;width:27.85pt;height:22.9pt;rotation:90;z-index:2516582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" stroked="f">
                <v:textbox>
                  <w:txbxContent>
                    <w:p w14:paraId="6B711E0D" w14:textId="32C0F7D7" w:rsidR="006F1462" w:rsidRPr="003707CC" w:rsidRDefault="006F1462">
                      <w:r w:rsidRPr="003707CC">
                        <w:t>4</w:t>
                      </w:r>
                      <w:r>
                        <w:t>3</w:t>
                      </w:r>
                    </w:p>
                  </w:txbxContent>
                </v:textbox>
                <w10:wrap anchorx="margin" anchory="page"/>
              </v:shape>
            </w:pict>
          </mc:Fallback>
        </mc:AlternateContent>
      </w:r>
      <w:r w:rsidR="009044FF">
        <w:rPr>
          <w:noProof/>
          <w:lang w:eastAsia="en-GB"/>
        </w:rPr>
        <w:drawing>
          <wp:inline distT="0" distB="0" distL="0" distR="0" wp14:anchorId="6E632181" wp14:editId="733B8D2B">
            <wp:extent cx="8757093" cy="4514850"/>
            <wp:effectExtent l="0" t="0" r="6350" b="0"/>
            <wp:docPr id="202" name="Chart 202">
              <a:extLst xmlns:a="http://schemas.openxmlformats.org/drawingml/2006/main">
                <a:ext uri="{FF2B5EF4-FFF2-40B4-BE49-F238E27FC236}">
                  <a16:creationId xmlns:a16="http://schemas.microsoft.com/office/drawing/2014/main" id="{B4232FF5-6A88-4EE1-BA0F-3F622D19B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A3AF26" w14:textId="338534DB" w:rsidR="000B0F18" w:rsidRPr="00C45EC1" w:rsidRDefault="000B0F18" w:rsidP="00C45EC1">
      <w:pPr>
        <w:pStyle w:val="Caption"/>
        <w:jc w:val="center"/>
        <w:rPr>
          <w:sz w:val="20"/>
        </w:rPr>
      </w:pPr>
      <w:bookmarkStart w:id="15" w:name="_Ref31359347"/>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12</w:t>
      </w:r>
      <w:r w:rsidRPr="00C45EC1">
        <w:rPr>
          <w:sz w:val="20"/>
        </w:rPr>
        <w:fldChar w:fldCharType="end"/>
      </w:r>
      <w:bookmarkEnd w:id="15"/>
      <w:r w:rsidRPr="00C45EC1">
        <w:rPr>
          <w:sz w:val="20"/>
        </w:rPr>
        <w:t xml:space="preserve"> The total neutron count average over four, 4-hour periods per detector as a function of sample for a total of 16 different detectors within an array. Background measurements are shown as red bars, while each of the sample measurements are subsequent green-shaded bars. The figure clearly shows detector 12’s measurement of the ambient background as an outlier to the rest of the measurements, and hence it was omitted from further analysis. Overall the figure shows little variation in detector response, apart from detector 15.</w:t>
      </w:r>
    </w:p>
    <w:p w14:paraId="79B25E7C" w14:textId="169AE32F" w:rsidR="00F37CA9" w:rsidRDefault="00F37CA9" w:rsidP="008D5D51">
      <w:pPr>
        <w:spacing w:line="480" w:lineRule="auto"/>
        <w:rPr>
          <w:noProof/>
          <w:sz w:val="24"/>
          <w:szCs w:val="24"/>
        </w:rPr>
        <w:sectPr w:rsidR="00F37CA9" w:rsidSect="00497DCB">
          <w:footerReference w:type="default" r:id="rId24"/>
          <w:pgSz w:w="16838" w:h="11906" w:orient="landscape" w:code="9"/>
          <w:pgMar w:top="1440" w:right="1440" w:bottom="1440" w:left="1440" w:header="709" w:footer="709" w:gutter="0"/>
          <w:cols w:space="708"/>
          <w:docGrid w:linePitch="360"/>
        </w:sectPr>
      </w:pPr>
    </w:p>
    <w:p w14:paraId="00DDBD81" w14:textId="1BFBE4B9" w:rsidR="00F37CA9" w:rsidRPr="002809FE" w:rsidRDefault="00F37CA9" w:rsidP="00F37CA9">
      <w:pPr>
        <w:spacing w:line="480" w:lineRule="auto"/>
        <w:ind w:firstLine="720"/>
        <w:rPr>
          <w:sz w:val="24"/>
          <w:szCs w:val="24"/>
        </w:rPr>
      </w:pPr>
      <w:r>
        <w:rPr>
          <w:sz w:val="24"/>
        </w:rPr>
        <w:lastRenderedPageBreak/>
        <w:t xml:space="preserve">Overall, the counts per detector in </w:t>
      </w:r>
      <w:r w:rsidR="00BF149A">
        <w:rPr>
          <w:sz w:val="24"/>
          <w:szCs w:val="24"/>
        </w:rPr>
        <w:fldChar w:fldCharType="begin"/>
      </w:r>
      <w:r w:rsidR="00BF149A">
        <w:rPr>
          <w:sz w:val="24"/>
        </w:rPr>
        <w:instrText xml:space="preserve"> REF _Ref31359347 \h </w:instrText>
      </w:r>
      <w:r w:rsidR="00BF149A">
        <w:rPr>
          <w:sz w:val="24"/>
          <w:szCs w:val="24"/>
        </w:rPr>
      </w:r>
      <w:r w:rsidR="00BF149A">
        <w:rPr>
          <w:sz w:val="24"/>
          <w:szCs w:val="24"/>
        </w:rPr>
        <w:fldChar w:fldCharType="separate"/>
      </w:r>
      <w:r w:rsidR="00161FDC" w:rsidRPr="00C45EC1">
        <w:rPr>
          <w:sz w:val="20"/>
        </w:rPr>
        <w:t xml:space="preserve">Figure </w:t>
      </w:r>
      <w:r w:rsidR="00161FDC">
        <w:rPr>
          <w:noProof/>
          <w:sz w:val="20"/>
        </w:rPr>
        <w:t>12</w:t>
      </w:r>
      <w:r w:rsidR="00BF149A">
        <w:rPr>
          <w:sz w:val="24"/>
          <w:szCs w:val="24"/>
        </w:rPr>
        <w:fldChar w:fldCharType="end"/>
      </w:r>
      <w:r w:rsidR="00BF149A">
        <w:rPr>
          <w:sz w:val="24"/>
          <w:szCs w:val="24"/>
        </w:rPr>
        <w:t xml:space="preserve"> </w:t>
      </w:r>
      <w:r>
        <w:rPr>
          <w:sz w:val="24"/>
        </w:rPr>
        <w:t>show consistency with one another</w:t>
      </w:r>
      <w:r w:rsidR="00BD414A">
        <w:rPr>
          <w:sz w:val="24"/>
        </w:rPr>
        <w:t xml:space="preserve"> (with slightly lower responses in detectors 7 and 9)</w:t>
      </w:r>
      <w:r>
        <w:rPr>
          <w:sz w:val="24"/>
        </w:rPr>
        <w:t xml:space="preserve">, providing confidence in the stability of the neutron counting apparatus. However, the variation in the neutron counts between some detectors is likely due to the combination of two different factors. Firstly, the neutron counts will be affected by </w:t>
      </w:r>
      <w:r w:rsidR="00BD414A">
        <w:rPr>
          <w:sz w:val="24"/>
        </w:rPr>
        <w:t>unavoidable</w:t>
      </w:r>
      <w:r>
        <w:rPr>
          <w:sz w:val="24"/>
        </w:rPr>
        <w:t xml:space="preserve"> variation in the detector responses, caused by differences in orientation and in the liquid scintillant material. Secondly, the counts will be affected by the heterogeneity of the samples, which means that not all of the 16 detectors will be subjected to the same neutron flux of sample origin as one another. This is not unexpected, as soil is inherently heterogenous, and so it would be highly unlikely for the samples to exhibit homogenous characteristics.</w:t>
      </w:r>
      <w:r w:rsidRPr="00D26A52">
        <w:rPr>
          <w:sz w:val="24"/>
        </w:rPr>
        <w:t xml:space="preserve"> </w:t>
      </w:r>
      <w:r>
        <w:rPr>
          <w:sz w:val="24"/>
        </w:rPr>
        <w:t xml:space="preserve">Grinding of the soil samples could provide an increase in homogeneity, but if the neutron detection method was to be adopted for industrial use, it would be much more time efficient for the samples to only be processed to the extent of complete drying. </w:t>
      </w:r>
      <w:r w:rsidR="00B5772E">
        <w:rPr>
          <w:sz w:val="24"/>
        </w:rPr>
        <w:t>Further, i</w:t>
      </w:r>
      <w:r>
        <w:rPr>
          <w:sz w:val="24"/>
        </w:rPr>
        <w:t xml:space="preserve">f grinding large samples, specialist equipment would be essential </w:t>
      </w:r>
      <w:r w:rsidR="00DA71C0">
        <w:rPr>
          <w:sz w:val="24"/>
        </w:rPr>
        <w:t>but would not necessarily</w:t>
      </w:r>
      <w:r>
        <w:rPr>
          <w:sz w:val="24"/>
        </w:rPr>
        <w:t xml:space="preserve"> guarantee an increase in homogeneity of radionuclides </w:t>
      </w:r>
      <w:r w:rsidR="00DA71C0">
        <w:rPr>
          <w:sz w:val="24"/>
        </w:rPr>
        <w:t>within the soil</w:t>
      </w:r>
      <w:r w:rsidR="00F252E2">
        <w:rPr>
          <w:sz w:val="24"/>
        </w:rPr>
        <w:t>.</w:t>
      </w:r>
      <w:r w:rsidR="00DA71C0">
        <w:rPr>
          <w:sz w:val="24"/>
        </w:rPr>
        <w:t xml:space="preserve"> </w:t>
      </w:r>
      <w:r w:rsidR="00F252E2">
        <w:rPr>
          <w:sz w:val="24"/>
        </w:rPr>
        <w:t xml:space="preserve">For this reason, </w:t>
      </w:r>
      <w:r>
        <w:rPr>
          <w:sz w:val="24"/>
        </w:rPr>
        <w:t>it was considered most appropriate for the measurement methods to minimise sample preparation</w:t>
      </w:r>
      <w:r w:rsidR="00316FDE">
        <w:rPr>
          <w:sz w:val="24"/>
        </w:rPr>
        <w:t xml:space="preserve">, therefore </w:t>
      </w:r>
      <w:r>
        <w:rPr>
          <w:sz w:val="24"/>
        </w:rPr>
        <w:t>optimis</w:t>
      </w:r>
      <w:r w:rsidR="00316FDE">
        <w:rPr>
          <w:sz w:val="24"/>
        </w:rPr>
        <w:t>ing</w:t>
      </w:r>
      <w:r>
        <w:rPr>
          <w:sz w:val="24"/>
        </w:rPr>
        <w:t xml:space="preserve"> the methodology for industrial conditions. This heterogeneity in the sample matrix is also accounted for when analysing the data to give the gross neutron counts per array for each sample per unit time, as well as the average neutron count per detector per unit time.</w:t>
      </w:r>
      <w:r w:rsidR="00AB7BBA">
        <w:rPr>
          <w:sz w:val="24"/>
        </w:rPr>
        <w:t xml:space="preserve"> However, we would not expect any variation of the order of what is seen to be due to heterogeneity.</w:t>
      </w:r>
    </w:p>
    <w:p w14:paraId="55BBBDB4" w14:textId="74717500" w:rsidR="00F37CA9" w:rsidRDefault="00F37CA9" w:rsidP="00F37CA9">
      <w:pPr>
        <w:spacing w:line="480" w:lineRule="auto"/>
        <w:ind w:firstLine="720"/>
        <w:rPr>
          <w:sz w:val="24"/>
          <w:szCs w:val="24"/>
        </w:rPr>
      </w:pPr>
      <w:r w:rsidRPr="002809FE">
        <w:rPr>
          <w:sz w:val="24"/>
          <w:szCs w:val="24"/>
        </w:rPr>
        <w:t xml:space="preserve">The errors for each detector measurement were calculated </w:t>
      </w:r>
      <w:r>
        <w:rPr>
          <w:sz w:val="24"/>
          <w:szCs w:val="24"/>
        </w:rPr>
        <w:t>by square-rooting each value as the</w:t>
      </w:r>
      <w:r w:rsidR="00660D8D">
        <w:rPr>
          <w:sz w:val="24"/>
          <w:szCs w:val="24"/>
        </w:rPr>
        <w:t xml:space="preserve"> detector</w:t>
      </w:r>
      <w:r>
        <w:rPr>
          <w:sz w:val="24"/>
          <w:szCs w:val="24"/>
        </w:rPr>
        <w:t xml:space="preserve"> measurements are Poisson distributed </w:t>
      </w:r>
      <w:r w:rsidR="00477A16">
        <w:rPr>
          <w:sz w:val="24"/>
          <w:szCs w:val="24"/>
        </w:rPr>
        <w:fldChar w:fldCharType="begin" w:fldLock="1"/>
      </w:r>
      <w:r w:rsidR="000B0F18">
        <w:rPr>
          <w:sz w:val="24"/>
          <w:szCs w:val="24"/>
        </w:rPr>
        <w:instrText>ADDIN CSL_CITATION {"citationItems":[{"id":"ITEM-1","itemData":{"author":[{"dropping-particle":"","family":"Frank A. Haight","given":"","non-dropping-particle":"","parse-names":false,"suffix":""}],"id":"ITEM-1","issued":{"date-parts":[["1967"]]},"publisher":"Wiley","title":"Handbook of the Poisson Distribution","type":"book"},"uris":["http://www.mendeley.com/documents/?uuid=47f87371-f105-3870-98b1-c45bf1db81b8"]}],"mendeley":{"formattedCitation":"[52]","plainTextFormattedCitation":"[52]","previouslyFormattedCitation":"[52]"},"properties":{"noteIndex":0},"schema":"https://github.com/citation-style-language/schema/raw/master/csl-citation.json"}</w:instrText>
      </w:r>
      <w:r w:rsidR="00477A16">
        <w:rPr>
          <w:sz w:val="24"/>
          <w:szCs w:val="24"/>
        </w:rPr>
        <w:fldChar w:fldCharType="separate"/>
      </w:r>
      <w:r w:rsidR="007D1AB4" w:rsidRPr="007D1AB4">
        <w:rPr>
          <w:noProof/>
          <w:sz w:val="24"/>
          <w:szCs w:val="24"/>
        </w:rPr>
        <w:t>[52]</w:t>
      </w:r>
      <w:r w:rsidR="00477A16">
        <w:rPr>
          <w:sz w:val="24"/>
          <w:szCs w:val="24"/>
        </w:rPr>
        <w:fldChar w:fldCharType="end"/>
      </w:r>
      <w:r w:rsidRPr="00253436">
        <w:rPr>
          <w:sz w:val="24"/>
          <w:szCs w:val="24"/>
        </w:rPr>
        <w:t xml:space="preserve">, </w:t>
      </w:r>
      <w:r>
        <w:rPr>
          <w:sz w:val="24"/>
          <w:szCs w:val="24"/>
        </w:rPr>
        <w:t xml:space="preserve">which </w:t>
      </w:r>
      <w:r w:rsidR="00AB7BBA">
        <w:rPr>
          <w:sz w:val="24"/>
          <w:szCs w:val="24"/>
        </w:rPr>
        <w:t>were</w:t>
      </w:r>
      <w:r w:rsidRPr="002809FE">
        <w:rPr>
          <w:sz w:val="24"/>
          <w:szCs w:val="24"/>
        </w:rPr>
        <w:t xml:space="preserve"> </w:t>
      </w:r>
      <w:r>
        <w:rPr>
          <w:sz w:val="24"/>
          <w:szCs w:val="24"/>
        </w:rPr>
        <w:t xml:space="preserve">then </w:t>
      </w:r>
      <w:r w:rsidRPr="002809FE">
        <w:rPr>
          <w:sz w:val="24"/>
          <w:szCs w:val="24"/>
        </w:rPr>
        <w:t xml:space="preserve">propagated with the formula: </w:t>
      </w:r>
    </w:p>
    <w:p w14:paraId="1E6972F1" w14:textId="04EC18FB" w:rsidR="00F37CA9" w:rsidRPr="00195A51" w:rsidRDefault="00F37CA9" w:rsidP="00F37CA9">
      <w:pPr>
        <w:spacing w:line="480" w:lineRule="auto"/>
        <w:ind w:firstLine="720"/>
        <w:jc w:val="center"/>
        <w:rPr>
          <w:rFonts w:eastAsiaTheme="minorEastAsia"/>
          <w:sz w:val="24"/>
          <w:szCs w:val="24"/>
        </w:rPr>
      </w:pPr>
      <m:oMath>
        <m:r>
          <w:rPr>
            <w:rFonts w:ascii="Cambria Math" w:hAnsi="Cambria Math"/>
            <w:sz w:val="24"/>
            <w:szCs w:val="24"/>
          </w:rPr>
          <w:lastRenderedPageBreak/>
          <m:t>Error=</m:t>
        </m:r>
        <m:rad>
          <m:radPr>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r>
              <w:rPr>
                <w:rFonts w:ascii="Cambria Math" w:hAnsi="Cambria Math"/>
                <w:sz w:val="24"/>
                <w:szCs w:val="24"/>
              </w:rPr>
              <m:t>+...</m:t>
            </m:r>
          </m:e>
        </m:rad>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Equation (1)</w:t>
      </w:r>
      <w:r>
        <w:rPr>
          <w:rFonts w:eastAsiaTheme="minorEastAsia"/>
          <w:sz w:val="24"/>
          <w:szCs w:val="24"/>
        </w:rPr>
        <w:br/>
      </w:r>
      <w:r>
        <w:rPr>
          <w:rFonts w:eastAsiaTheme="minorEastAsia"/>
          <w:i/>
          <w:sz w:val="24"/>
          <w:szCs w:val="24"/>
        </w:rPr>
        <w:t>a</w:t>
      </w:r>
      <w:r>
        <w:rPr>
          <w:rFonts w:eastAsiaTheme="minorEastAsia"/>
          <w:sz w:val="24"/>
          <w:szCs w:val="24"/>
        </w:rPr>
        <w:t xml:space="preserve">, </w:t>
      </w:r>
      <w:r>
        <w:rPr>
          <w:rFonts w:eastAsiaTheme="minorEastAsia"/>
          <w:i/>
          <w:sz w:val="24"/>
          <w:szCs w:val="24"/>
        </w:rPr>
        <w:t>b</w:t>
      </w:r>
      <w:r>
        <w:rPr>
          <w:rFonts w:eastAsiaTheme="minorEastAsia"/>
          <w:sz w:val="24"/>
          <w:szCs w:val="24"/>
        </w:rPr>
        <w:t xml:space="preserve">, and </w:t>
      </w:r>
      <w:r>
        <w:rPr>
          <w:rFonts w:eastAsiaTheme="minorEastAsia"/>
          <w:i/>
          <w:sz w:val="24"/>
          <w:szCs w:val="24"/>
        </w:rPr>
        <w:t>c</w:t>
      </w:r>
      <w:r>
        <w:rPr>
          <w:rFonts w:eastAsiaTheme="minorEastAsia"/>
          <w:sz w:val="24"/>
          <w:szCs w:val="24"/>
        </w:rPr>
        <w:t xml:space="preserve"> denote the error values of each repeat count value.</w:t>
      </w:r>
    </w:p>
    <w:p w14:paraId="4E6B509B" w14:textId="3FDA25C9" w:rsidR="00F37CA9" w:rsidRDefault="00F37CA9" w:rsidP="00F37CA9">
      <w:pPr>
        <w:spacing w:line="480" w:lineRule="auto"/>
        <w:ind w:firstLine="567"/>
        <w:rPr>
          <w:sz w:val="24"/>
          <w:szCs w:val="24"/>
        </w:rPr>
      </w:pPr>
      <w:r>
        <w:rPr>
          <w:sz w:val="24"/>
          <w:szCs w:val="24"/>
        </w:rPr>
        <w:t xml:space="preserve">The background measurement of detector 12 </w:t>
      </w:r>
      <w:r w:rsidR="00BF149A">
        <w:rPr>
          <w:sz w:val="24"/>
          <w:szCs w:val="24"/>
        </w:rPr>
        <w:t>(</w:t>
      </w:r>
      <w:r>
        <w:rPr>
          <w:sz w:val="24"/>
          <w:szCs w:val="24"/>
        </w:rPr>
        <w:t xml:space="preserve">as seen in </w:t>
      </w:r>
      <w:r w:rsidR="00BF149A">
        <w:rPr>
          <w:sz w:val="24"/>
          <w:szCs w:val="24"/>
        </w:rPr>
        <w:fldChar w:fldCharType="begin"/>
      </w:r>
      <w:r w:rsidR="00BF149A">
        <w:rPr>
          <w:sz w:val="24"/>
          <w:szCs w:val="24"/>
        </w:rPr>
        <w:instrText xml:space="preserve"> REF _Ref31359347 \h </w:instrText>
      </w:r>
      <w:r w:rsidR="00BF149A">
        <w:rPr>
          <w:sz w:val="24"/>
          <w:szCs w:val="24"/>
        </w:rPr>
      </w:r>
      <w:r w:rsidR="00BF149A">
        <w:rPr>
          <w:sz w:val="24"/>
          <w:szCs w:val="24"/>
        </w:rPr>
        <w:fldChar w:fldCharType="separate"/>
      </w:r>
      <w:r w:rsidR="00161FDC" w:rsidRPr="00C45EC1">
        <w:rPr>
          <w:sz w:val="20"/>
        </w:rPr>
        <w:t xml:space="preserve">Figure </w:t>
      </w:r>
      <w:r w:rsidR="00161FDC">
        <w:rPr>
          <w:noProof/>
          <w:sz w:val="20"/>
        </w:rPr>
        <w:t>12</w:t>
      </w:r>
      <w:r w:rsidR="00BF149A">
        <w:rPr>
          <w:sz w:val="24"/>
          <w:szCs w:val="24"/>
        </w:rPr>
        <w:fldChar w:fldCharType="end"/>
      </w:r>
      <w:r>
        <w:rPr>
          <w:sz w:val="24"/>
          <w:szCs w:val="24"/>
        </w:rPr>
        <w:t xml:space="preserve"> as a red line</w:t>
      </w:r>
      <w:r w:rsidR="00BF149A">
        <w:rPr>
          <w:sz w:val="24"/>
          <w:szCs w:val="24"/>
        </w:rPr>
        <w:t>)</w:t>
      </w:r>
      <w:r>
        <w:rPr>
          <w:sz w:val="24"/>
          <w:szCs w:val="24"/>
        </w:rPr>
        <w:t xml:space="preserve"> was removed from the dataset following its identification as an anomaly. As it was a background measurement</w:t>
      </w:r>
      <w:r w:rsidRPr="002809FE">
        <w:rPr>
          <w:sz w:val="24"/>
          <w:szCs w:val="24"/>
        </w:rPr>
        <w:t xml:space="preserve"> there is no chance of the orientation of the sample presenting a more active particle to detector 12 like there is in </w:t>
      </w:r>
      <w:r>
        <w:rPr>
          <w:sz w:val="24"/>
          <w:szCs w:val="24"/>
        </w:rPr>
        <w:t xml:space="preserve">sample </w:t>
      </w:r>
      <w:r w:rsidRPr="002809FE">
        <w:rPr>
          <w:sz w:val="24"/>
          <w:szCs w:val="24"/>
        </w:rPr>
        <w:t xml:space="preserve">DSRL9 as shown in </w:t>
      </w:r>
      <w:r>
        <w:rPr>
          <w:sz w:val="24"/>
          <w:szCs w:val="24"/>
        </w:rPr>
        <w:t>the figure</w:t>
      </w:r>
      <w:r w:rsidRPr="002809FE">
        <w:rPr>
          <w:sz w:val="24"/>
          <w:szCs w:val="24"/>
        </w:rPr>
        <w:t xml:space="preserve"> for the same detector.</w:t>
      </w:r>
      <w:r>
        <w:rPr>
          <w:sz w:val="24"/>
          <w:szCs w:val="24"/>
        </w:rPr>
        <w:t xml:space="preserve"> </w:t>
      </w:r>
      <w:r w:rsidRPr="002809FE">
        <w:rPr>
          <w:sz w:val="24"/>
          <w:szCs w:val="24"/>
        </w:rPr>
        <w:t>This anomaly removal reduces the average count for</w:t>
      </w:r>
      <w:r>
        <w:rPr>
          <w:sz w:val="24"/>
          <w:szCs w:val="24"/>
        </w:rPr>
        <w:t xml:space="preserve"> the</w:t>
      </w:r>
      <w:r w:rsidRPr="002809FE">
        <w:rPr>
          <w:sz w:val="24"/>
          <w:szCs w:val="24"/>
        </w:rPr>
        <w:t xml:space="preserve"> ambient background to 1019</w:t>
      </w:r>
      <w:r>
        <w:rPr>
          <w:sz w:val="24"/>
          <w:szCs w:val="24"/>
        </w:rPr>
        <w:t>±8</w:t>
      </w:r>
      <w:r w:rsidRPr="002809FE">
        <w:rPr>
          <w:sz w:val="24"/>
          <w:szCs w:val="24"/>
        </w:rPr>
        <w:t xml:space="preserve"> and drops the mean </w:t>
      </w:r>
      <w:r>
        <w:rPr>
          <w:sz w:val="24"/>
          <w:szCs w:val="24"/>
        </w:rPr>
        <w:t>neutron counts</w:t>
      </w:r>
      <w:r w:rsidRPr="002809FE">
        <w:rPr>
          <w:sz w:val="24"/>
          <w:szCs w:val="24"/>
        </w:rPr>
        <w:t xml:space="preserve"> across all detectors to 10</w:t>
      </w:r>
      <w:r w:rsidR="00AB7BBA">
        <w:rPr>
          <w:sz w:val="24"/>
          <w:szCs w:val="24"/>
        </w:rPr>
        <w:t>40</w:t>
      </w:r>
      <w:r>
        <w:rPr>
          <w:sz w:val="24"/>
          <w:szCs w:val="24"/>
        </w:rPr>
        <w:t>±</w:t>
      </w:r>
      <w:r w:rsidR="00AB7BBA">
        <w:rPr>
          <w:sz w:val="24"/>
          <w:szCs w:val="24"/>
        </w:rPr>
        <w:t>30</w:t>
      </w:r>
      <w:r w:rsidRPr="002809FE">
        <w:rPr>
          <w:sz w:val="24"/>
          <w:szCs w:val="24"/>
        </w:rPr>
        <w:t>. The error for background</w:t>
      </w:r>
      <w:r>
        <w:rPr>
          <w:sz w:val="24"/>
          <w:szCs w:val="24"/>
        </w:rPr>
        <w:t xml:space="preserve"> neutrons</w:t>
      </w:r>
      <w:r w:rsidRPr="002809FE">
        <w:rPr>
          <w:sz w:val="24"/>
          <w:szCs w:val="24"/>
        </w:rPr>
        <w:t xml:space="preserve"> reduces from 16 to 8, </w:t>
      </w:r>
      <w:r>
        <w:rPr>
          <w:sz w:val="24"/>
          <w:szCs w:val="24"/>
        </w:rPr>
        <w:t>but still shows</w:t>
      </w:r>
      <w:r w:rsidRPr="002809FE">
        <w:rPr>
          <w:sz w:val="24"/>
          <w:szCs w:val="24"/>
        </w:rPr>
        <w:t xml:space="preserve"> </w:t>
      </w:r>
      <w:r>
        <w:rPr>
          <w:sz w:val="24"/>
          <w:szCs w:val="24"/>
        </w:rPr>
        <w:t>no significant difference to</w:t>
      </w:r>
      <w:r w:rsidRPr="002809FE">
        <w:rPr>
          <w:sz w:val="24"/>
          <w:szCs w:val="24"/>
        </w:rPr>
        <w:t xml:space="preserve"> average neutron count</w:t>
      </w:r>
      <w:r>
        <w:rPr>
          <w:sz w:val="24"/>
          <w:szCs w:val="24"/>
        </w:rPr>
        <w:t>s</w:t>
      </w:r>
      <w:r w:rsidRPr="002809FE">
        <w:rPr>
          <w:sz w:val="24"/>
          <w:szCs w:val="24"/>
        </w:rPr>
        <w:t xml:space="preserve"> when</w:t>
      </w:r>
      <w:r>
        <w:rPr>
          <w:sz w:val="24"/>
          <w:szCs w:val="24"/>
        </w:rPr>
        <w:t xml:space="preserve"> the</w:t>
      </w:r>
      <w:r w:rsidRPr="002809FE">
        <w:rPr>
          <w:sz w:val="24"/>
          <w:szCs w:val="24"/>
        </w:rPr>
        <w:t xml:space="preserve"> anomaly</w:t>
      </w:r>
      <w:r>
        <w:rPr>
          <w:sz w:val="24"/>
          <w:szCs w:val="24"/>
        </w:rPr>
        <w:t xml:space="preserve"> is </w:t>
      </w:r>
      <w:r w:rsidRPr="002809FE">
        <w:rPr>
          <w:sz w:val="24"/>
          <w:szCs w:val="24"/>
        </w:rPr>
        <w:t>exclude</w:t>
      </w:r>
      <w:r>
        <w:rPr>
          <w:sz w:val="24"/>
          <w:szCs w:val="24"/>
        </w:rPr>
        <w:t>d</w:t>
      </w:r>
      <w:r w:rsidRPr="002809FE">
        <w:rPr>
          <w:sz w:val="24"/>
          <w:szCs w:val="24"/>
        </w:rPr>
        <w:t>.</w:t>
      </w:r>
    </w:p>
    <w:p w14:paraId="060027F9" w14:textId="09B8E1C2" w:rsidR="00F37CA9" w:rsidRDefault="00F37CA9" w:rsidP="00F37CA9">
      <w:pPr>
        <w:spacing w:line="480" w:lineRule="auto"/>
        <w:ind w:firstLine="567"/>
        <w:rPr>
          <w:sz w:val="24"/>
        </w:rPr>
      </w:pPr>
      <w:r w:rsidRPr="00C07361">
        <w:rPr>
          <w:sz w:val="24"/>
        </w:rPr>
        <w:t xml:space="preserve">The </w:t>
      </w:r>
      <w:r>
        <w:rPr>
          <w:sz w:val="24"/>
        </w:rPr>
        <w:t xml:space="preserve">background was calculated by carrying out multiple neutron measurements in the array with no sample present, over various periods of differing weather conditions. Differing weather conditions </w:t>
      </w:r>
      <w:r w:rsidR="00AB7BBA">
        <w:rPr>
          <w:sz w:val="24"/>
        </w:rPr>
        <w:t xml:space="preserve">can </w:t>
      </w:r>
      <w:r>
        <w:rPr>
          <w:sz w:val="24"/>
        </w:rPr>
        <w:t xml:space="preserve">correspond to a difference in the atmospheric pressure, which is known to have a significant effect on the amount of </w:t>
      </w:r>
      <w:r w:rsidR="00AB7BBA">
        <w:rPr>
          <w:sz w:val="24"/>
        </w:rPr>
        <w:t xml:space="preserve">cosmic </w:t>
      </w:r>
      <w:r>
        <w:rPr>
          <w:sz w:val="24"/>
        </w:rPr>
        <w:t xml:space="preserve">neutron counts in background </w:t>
      </w:r>
      <w:r w:rsidR="00477A16">
        <w:rPr>
          <w:sz w:val="24"/>
        </w:rPr>
        <w:fldChar w:fldCharType="begin" w:fldLock="1"/>
      </w:r>
      <w:r w:rsidR="000B0F18">
        <w:rPr>
          <w:sz w:val="24"/>
        </w:rPr>
        <w:instrText>ADDIN CSL_CITATION {"citationItems":[{"id":"ITEM-1","itemData":{"DOI":"10.1029/2012JA018026","ISSN":"21699380","author":[{"dropping-particle":"","family":"Mendonça","given":"R. R. S.","non-dropping-particle":"De","parse-names":false,"suffix":""},{"dropping-particle":"","family":"Raulin","given":"J. -P.","non-dropping-particle":"","parse-names":false,"suffix":""},{"dropping-particle":"","family":"Echer","given":"E.","non-dropping-particle":"","parse-names":false,"suffix":""},{"dropping-particle":"","family":"Makhmutov","given":"V. S.","non-dropping-particle":"","parse-names":false,"suffix":""},{"dropping-particle":"","family":"Fernandez","given":"G.","non-dropping-particle":"","parse-names":false,"suffix":""}],"container-title":"Journal of Geophysical Research: Space Physics","id":"ITEM-1","issue":"4","issued":{"date-parts":[["2013","4","1"]]},"page":"1403-1409","publisher":"John Wiley &amp; Sons, Ltd","title":"Analysis of atmospheric pressure and temperature effects on cosmic ray measurements","type":"article-journal","volume":"118"},"uris":["http://www.mendeley.com/documents/?uuid=e1967ac3-dc6e-37ba-94d5-c4402be521ec"]}],"mendeley":{"formattedCitation":"[53]","plainTextFormattedCitation":"[53]","previouslyFormattedCitation":"[53]"},"properties":{"noteIndex":0},"schema":"https://github.com/citation-style-language/schema/raw/master/csl-citation.json"}</w:instrText>
      </w:r>
      <w:r w:rsidR="00477A16">
        <w:rPr>
          <w:sz w:val="24"/>
        </w:rPr>
        <w:fldChar w:fldCharType="separate"/>
      </w:r>
      <w:r w:rsidR="007D1AB4" w:rsidRPr="007D1AB4">
        <w:rPr>
          <w:noProof/>
          <w:sz w:val="24"/>
        </w:rPr>
        <w:t>[53]</w:t>
      </w:r>
      <w:r w:rsidR="00477A16">
        <w:rPr>
          <w:sz w:val="24"/>
        </w:rPr>
        <w:fldChar w:fldCharType="end"/>
      </w:r>
      <w:r w:rsidR="000E5057">
        <w:rPr>
          <w:sz w:val="24"/>
        </w:rPr>
        <w:fldChar w:fldCharType="begin" w:fldLock="1"/>
      </w:r>
      <w:r w:rsidR="000B0F18">
        <w:rPr>
          <w:sz w:val="24"/>
        </w:rPr>
        <w:instrText>ADDIN CSL_CITATION {"citationItems":[{"id":"ITEM-1","itemData":{"DOI":"10.1088/1742-6596/675/3/032030","ISSN":"1742-6588","abstract":"Pressure variation in lower atmosphere which take place after intensive solar proton events and Forbush-decreases of galactic cosmic rays (GCRs) are analyzed for the period 1980-2006. There were plotted groups of charts (multifields) for 48 solar proton events with energies of particles Eр &gt; 90 MeV and for 48 Forbush-decreases of GCRs with amplitudes dN/N &gt; 2.5%. These multifields revealed a growth of matrix norm over North Atlantic region and North of European part of Russia during days following the bursts of solar protons and Forbush-decreases of GCRs, respectively. These results confirm hypothesis about relation of regional cyclogenesis processes with short-term variations of solar and galactic cosmic rays.","author":[{"dropping-particle":"","family":"Artamonova","given":"I.V","non-dropping-particle":"","parse-names":false,"suffix":""},{"dropping-particle":"","family":"Volobuev","given":"D M","non-dropping-particle":"","parse-names":false,"suffix":""},{"dropping-particle":"","family":"Makarenko","given":"N G","non-dropping-particle":"","parse-names":false,"suffix":""}],"container-title":"Journal of Physics: Conference Series","id":"ITEM-1","issue":"3","issued":{"date-parts":[["2016","2","5"]]},"page":"032030","title":"Analysis of lower atmosphere pressure field response for short-time cosmic ray variations by Multifield Comparison Measure method","type":"article-journal","volume":"675"},"uris":["http://www.mendeley.com/documents/?uuid=7a9fa5f1-12b9-3005-b42f-b5f833c2f3d8"]}],"mendeley":{"formattedCitation":"[54]","plainTextFormattedCitation":"[54]","previouslyFormattedCitation":"[54]"},"properties":{"noteIndex":0},"schema":"https://github.com/citation-style-language/schema/raw/master/csl-citation.json"}</w:instrText>
      </w:r>
      <w:r w:rsidR="000E5057">
        <w:rPr>
          <w:sz w:val="24"/>
        </w:rPr>
        <w:fldChar w:fldCharType="separate"/>
      </w:r>
      <w:r w:rsidR="007D1AB4" w:rsidRPr="007D1AB4">
        <w:rPr>
          <w:noProof/>
          <w:sz w:val="24"/>
        </w:rPr>
        <w:t>[54]</w:t>
      </w:r>
      <w:r w:rsidR="000E5057">
        <w:rPr>
          <w:sz w:val="24"/>
        </w:rPr>
        <w:fldChar w:fldCharType="end"/>
      </w:r>
      <w:r>
        <w:rPr>
          <w:sz w:val="24"/>
        </w:rPr>
        <w:t xml:space="preserve">. The mean of these measurements was used as the </w:t>
      </w:r>
      <w:r w:rsidR="00660D8D">
        <w:rPr>
          <w:sz w:val="24"/>
        </w:rPr>
        <w:t xml:space="preserve">background </w:t>
      </w:r>
      <w:r>
        <w:rPr>
          <w:sz w:val="24"/>
        </w:rPr>
        <w:t>subtraction value. Due to the multiple different background measurements it is possible that an example of high neutron background has been calculated, which could be contrary to the background conditions measured during a sample run, though this would likely be dampened by the average of many different measurements and so is not a likely to be a confounding variable.</w:t>
      </w:r>
    </w:p>
    <w:p w14:paraId="55021522" w14:textId="0230B482" w:rsidR="00F37CA9" w:rsidRPr="00E45BAB" w:rsidRDefault="00F37CA9" w:rsidP="00E45BAB">
      <w:pPr>
        <w:tabs>
          <w:tab w:val="left" w:pos="3075"/>
        </w:tabs>
        <w:spacing w:line="480" w:lineRule="auto"/>
        <w:ind w:firstLine="567"/>
        <w:rPr>
          <w:sz w:val="24"/>
        </w:rPr>
      </w:pPr>
      <w:r>
        <w:rPr>
          <w:sz w:val="24"/>
        </w:rPr>
        <w:t xml:space="preserve">Consideration of the array geometry is also </w:t>
      </w:r>
      <w:r w:rsidR="00326303">
        <w:rPr>
          <w:sz w:val="24"/>
        </w:rPr>
        <w:t>important</w:t>
      </w:r>
      <w:r>
        <w:rPr>
          <w:sz w:val="24"/>
        </w:rPr>
        <w:t xml:space="preserve"> for this campaign of measurements. As the array only covered the horizontal plane of neutron emission, neutrons would not be detected if emitted a</w:t>
      </w:r>
      <w:r w:rsidR="00326303">
        <w:rPr>
          <w:sz w:val="24"/>
        </w:rPr>
        <w:t>long the vertical plane from the origin of</w:t>
      </w:r>
      <w:r>
        <w:rPr>
          <w:sz w:val="24"/>
        </w:rPr>
        <w:t xml:space="preserve"> the sample. For this reason, a </w:t>
      </w:r>
      <w:r w:rsidR="00326303">
        <w:rPr>
          <w:sz w:val="24"/>
        </w:rPr>
        <w:t>correction for the sample coverage</w:t>
      </w:r>
      <w:r w:rsidR="009666EB">
        <w:rPr>
          <w:sz w:val="24"/>
        </w:rPr>
        <w:t xml:space="preserve"> surface area</w:t>
      </w:r>
      <w:r w:rsidR="00326303">
        <w:rPr>
          <w:sz w:val="24"/>
        </w:rPr>
        <w:t xml:space="preserve"> </w:t>
      </w:r>
      <w:r>
        <w:rPr>
          <w:sz w:val="24"/>
        </w:rPr>
        <w:t xml:space="preserve">was applied to </w:t>
      </w:r>
      <w:r>
        <w:rPr>
          <w:sz w:val="24"/>
        </w:rPr>
        <w:lastRenderedPageBreak/>
        <w:t xml:space="preserve">the </w:t>
      </w:r>
      <w:r w:rsidR="00326303">
        <w:rPr>
          <w:sz w:val="24"/>
        </w:rPr>
        <w:t xml:space="preserve">neutron </w:t>
      </w:r>
      <w:r>
        <w:rPr>
          <w:sz w:val="24"/>
        </w:rPr>
        <w:t>count number</w:t>
      </w:r>
      <w:r w:rsidR="00326303">
        <w:rPr>
          <w:sz w:val="24"/>
        </w:rPr>
        <w:t>,</w:t>
      </w:r>
      <w:r>
        <w:rPr>
          <w:sz w:val="24"/>
        </w:rPr>
        <w:t xml:space="preserve"> of </w:t>
      </w:r>
      <w:r w:rsidR="009666EB">
        <w:rPr>
          <w:sz w:val="24"/>
        </w:rPr>
        <w:t>1.5,</w:t>
      </w:r>
      <w:r w:rsidR="00326303">
        <w:rPr>
          <w:sz w:val="24"/>
        </w:rPr>
        <w:t xml:space="preserve"> to account</w:t>
      </w:r>
      <w:r>
        <w:rPr>
          <w:sz w:val="24"/>
        </w:rPr>
        <w:t xml:space="preserve"> for the incomplete sample coverage, assuming two-thirds sample coverage at time of measurement. This correction was only applied to the summed </w:t>
      </w:r>
      <w:r w:rsidR="00326303">
        <w:rPr>
          <w:sz w:val="24"/>
        </w:rPr>
        <w:t>‘</w:t>
      </w:r>
      <w:r>
        <w:rPr>
          <w:sz w:val="24"/>
        </w:rPr>
        <w:t>counts per array</w:t>
      </w:r>
      <w:r w:rsidR="00326303">
        <w:rPr>
          <w:sz w:val="24"/>
        </w:rPr>
        <w:t>’</w:t>
      </w:r>
      <w:r>
        <w:rPr>
          <w:sz w:val="24"/>
        </w:rPr>
        <w:t xml:space="preserve"> measurements, including the background. </w:t>
      </w:r>
    </w:p>
    <w:p w14:paraId="50386AAF" w14:textId="77777777" w:rsidR="00536063" w:rsidRDefault="00536063">
      <w:pPr>
        <w:rPr>
          <w:rFonts w:cstheme="minorHAnsi"/>
          <w:b/>
          <w:sz w:val="28"/>
          <w:szCs w:val="24"/>
        </w:rPr>
      </w:pPr>
      <w:r>
        <w:rPr>
          <w:rFonts w:cstheme="minorHAnsi"/>
          <w:b/>
          <w:sz w:val="28"/>
          <w:szCs w:val="24"/>
        </w:rPr>
        <w:br w:type="page"/>
      </w:r>
    </w:p>
    <w:p w14:paraId="4BF19AAF" w14:textId="0E117EC1" w:rsidR="00F37CA9" w:rsidRPr="008B1C34" w:rsidRDefault="00F37CA9" w:rsidP="00F37CA9">
      <w:pPr>
        <w:spacing w:line="480" w:lineRule="auto"/>
        <w:rPr>
          <w:rFonts w:cstheme="minorHAnsi"/>
          <w:b/>
          <w:sz w:val="28"/>
          <w:szCs w:val="24"/>
        </w:rPr>
      </w:pPr>
      <w:r>
        <w:rPr>
          <w:rFonts w:cstheme="minorHAnsi"/>
          <w:b/>
          <w:sz w:val="28"/>
          <w:szCs w:val="24"/>
        </w:rPr>
        <w:lastRenderedPageBreak/>
        <w:t>2</w:t>
      </w:r>
      <w:r w:rsidRPr="008B1C34">
        <w:rPr>
          <w:rFonts w:cstheme="minorHAnsi"/>
          <w:b/>
          <w:sz w:val="28"/>
          <w:szCs w:val="24"/>
        </w:rPr>
        <w:t>.</w:t>
      </w:r>
      <w:r>
        <w:rPr>
          <w:rFonts w:cstheme="minorHAnsi"/>
          <w:b/>
          <w:sz w:val="28"/>
          <w:szCs w:val="24"/>
        </w:rPr>
        <w:t>3</w:t>
      </w:r>
      <w:r w:rsidRPr="008B1C34">
        <w:rPr>
          <w:rFonts w:cstheme="minorHAnsi"/>
          <w:b/>
          <w:sz w:val="28"/>
          <w:szCs w:val="24"/>
        </w:rPr>
        <w:t xml:space="preserve"> Gamma-ray Spectrometry</w:t>
      </w:r>
    </w:p>
    <w:p w14:paraId="404DDBC3" w14:textId="3E081434" w:rsidR="00BB4DE7" w:rsidRDefault="00F37CA9" w:rsidP="000B0F18">
      <w:pPr>
        <w:keepNext/>
        <w:spacing w:line="480" w:lineRule="auto"/>
        <w:ind w:firstLine="567"/>
        <w:rPr>
          <w:rFonts w:cstheme="minorHAnsi"/>
          <w:sz w:val="24"/>
          <w:szCs w:val="24"/>
        </w:rPr>
      </w:pPr>
      <w:r w:rsidRPr="00AF04C7">
        <w:rPr>
          <w:rFonts w:cstheme="minorHAnsi"/>
          <w:sz w:val="24"/>
          <w:szCs w:val="24"/>
        </w:rPr>
        <w:t xml:space="preserve">The gamma-ray spectrometry measurements were carried out at the Culham Centre for Fusion Energy (CCFE) utilising their </w:t>
      </w:r>
      <w:r>
        <w:rPr>
          <w:rFonts w:cstheme="minorHAnsi"/>
          <w:sz w:val="24"/>
          <w:szCs w:val="24"/>
        </w:rPr>
        <w:t>h</w:t>
      </w:r>
      <w:r w:rsidRPr="00AF04C7">
        <w:rPr>
          <w:rFonts w:cstheme="minorHAnsi"/>
          <w:sz w:val="24"/>
          <w:szCs w:val="24"/>
        </w:rPr>
        <w:t>igh</w:t>
      </w:r>
      <w:r>
        <w:rPr>
          <w:rFonts w:cstheme="minorHAnsi"/>
          <w:sz w:val="24"/>
          <w:szCs w:val="24"/>
        </w:rPr>
        <w:t>-p</w:t>
      </w:r>
      <w:r w:rsidRPr="00AF04C7">
        <w:rPr>
          <w:rFonts w:cstheme="minorHAnsi"/>
          <w:sz w:val="24"/>
          <w:szCs w:val="24"/>
        </w:rPr>
        <w:t xml:space="preserve">urity Broad Energy Germanium (BEGe) </w:t>
      </w:r>
      <w:r w:rsidR="00477A16">
        <w:rPr>
          <w:rFonts w:cstheme="minorHAnsi"/>
          <w:sz w:val="24"/>
          <w:szCs w:val="24"/>
        </w:rPr>
        <w:fldChar w:fldCharType="begin" w:fldLock="1"/>
      </w:r>
      <w:r w:rsidR="000B0F18">
        <w:rPr>
          <w:rFonts w:cstheme="minorHAnsi"/>
          <w:sz w:val="24"/>
          <w:szCs w:val="24"/>
        </w:rPr>
        <w:instrText>ADDIN CSL_CITATION {"citationItems":[{"id":"ITEM-1","itemData":{"abstract":"</w:instrText>
      </w:r>
      <w:r w:rsidR="000B0F18">
        <w:rPr>
          <w:rFonts w:ascii="Arial" w:hAnsi="Arial" w:cs="Arial"/>
          <w:sz w:val="24"/>
          <w:szCs w:val="24"/>
        </w:rPr>
        <w:instrText>■</w:instrText>
      </w:r>
      <w:r w:rsidR="000B0F18">
        <w:rPr>
          <w:rFonts w:cstheme="minorHAnsi"/>
          <w:sz w:val="24"/>
          <w:szCs w:val="24"/>
        </w:rPr>
        <w:instrText xml:space="preserve"> Energy range from 3 keV to 3 MeV combines the spectral advantages of Low Energy and Coaxial HPGe detectors </w:instrText>
      </w:r>
      <w:r w:rsidR="000B0F18">
        <w:rPr>
          <w:rFonts w:ascii="Arial" w:hAnsi="Arial" w:cs="Arial"/>
          <w:sz w:val="24"/>
          <w:szCs w:val="24"/>
        </w:rPr>
        <w:instrText>■</w:instrText>
      </w:r>
      <w:r w:rsidR="000B0F18">
        <w:rPr>
          <w:rFonts w:cstheme="minorHAnsi"/>
          <w:sz w:val="24"/>
          <w:szCs w:val="24"/>
        </w:rPr>
        <w:instrText xml:space="preserve"> Detection efficiencies and energy resolutions are optimized in the 3 keV to 662 keV energy region where most tightly-grouped gamma lines of interest are located </w:instrText>
      </w:r>
      <w:r w:rsidR="000B0F18">
        <w:rPr>
          <w:rFonts w:ascii="Arial" w:hAnsi="Arial" w:cs="Arial"/>
          <w:sz w:val="24"/>
          <w:szCs w:val="24"/>
        </w:rPr>
        <w:instrText>■</w:instrText>
      </w:r>
      <w:r w:rsidR="000B0F18">
        <w:rPr>
          <w:rFonts w:cstheme="minorHAnsi"/>
          <w:sz w:val="24"/>
          <w:szCs w:val="24"/>
        </w:rPr>
        <w:instrText xml:space="preserve"> Flat, non-bulletized crystals offer optimum efficiencies for samples counted close to the detector </w:instrText>
      </w:r>
      <w:r w:rsidR="000B0F18">
        <w:rPr>
          <w:rFonts w:ascii="Arial" w:hAnsi="Arial" w:cs="Arial"/>
          <w:sz w:val="24"/>
          <w:szCs w:val="24"/>
        </w:rPr>
        <w:instrText>■</w:instrText>
      </w:r>
      <w:r w:rsidR="000B0F18">
        <w:rPr>
          <w:rFonts w:cstheme="minorHAnsi"/>
          <w:sz w:val="24"/>
          <w:szCs w:val="24"/>
        </w:rPr>
        <w:instrText xml:space="preserve"> Thin, stable entrance window allows the detector to be stored warm with no fear of low energy efficiency loss over time Description The CANBERRA Broad Energy Ge (BEGe) Detector covers the energy range of 3 keV to 3 MeV like no other. The resolution at low energies is equivalent to that of our Low Energy Ge (LEGe) Detector and the resolution at high energy is comparable to that of good quality coaxial (SEGe) detectors. Most importantly the BEGe has a short, fat shape which greatly enhances the efficiency below 1 MeV for typical sample geometries. This shape is chosen for optimum efficiency for real samples in the energy range that is most important for routine gamma analysis. This is in stark contrast to the traditional relative efficiency measurement – a 60 Co point source at 25 cm which is hardly a relevant test condition for real samples. See the figures below comparing absolute detector efficiencies of a 5000 mm 2 and 6500 mm 2 BEGe Detector to coaxial detectors with approximately 60% relative efficiency. In addition to higher efficiency for typical samples, the BEGe exhibits lower background than typical coaxial detectors because it is more transparent to high energy cosmogenic background radiation that permeates above ground laboratories and to high energy gammas from naturally occurring radioisotopes such as 40 K and 208 Tl (thorium). This aspect of thin detector performance has long been recognized in applications such as actinide lung burden analysis. Most Low Energy Detectors are aptly named because they do not give good resolution at higher energies. In fact resolution is not usually specified above 122 keV. The BEGe represents a breakthrough in this respect. The BEGe is designed with an electrode structure that enhances low energy resolution and is fabricated from select germanium having an impurity profile that improves charge collection (thus resolution and peak shape) at high energies. Indeed, this ensures good resolution and peak shape over the entire mid-range which is particularly important in analysis of the complex spectra from uranium and plutonium.","author":[{"dropping-particle":"","family":"Canberra","given":"","non-dropping-particle":"","parse-names":false,"suffix":""}],"id":"ITEM-1","issued":{"date-parts":[["2013"]]},"number-of-pages":"1-2","title":"Broad Energy Germanium Detectors (BEGe)","type":"book"},"uris":["http://www.mendeley.com/documents/?uuid=48de7491-2d03-3b9b-b31a-11b37d67c212"]}],"mendeley":{"formattedCitation":"[55]","plainTextFormattedCitation":"[55]","previouslyFormattedCitation":"[55]"},"properties":{"noteIndex":0},"schema":"https://github.com/citation-style-language/schema/raw/master/csl-citation.json"}</w:instrText>
      </w:r>
      <w:r w:rsidR="00477A16">
        <w:rPr>
          <w:rFonts w:cstheme="minorHAnsi"/>
          <w:sz w:val="24"/>
          <w:szCs w:val="24"/>
        </w:rPr>
        <w:fldChar w:fldCharType="separate"/>
      </w:r>
      <w:r w:rsidR="007D1AB4" w:rsidRPr="007D1AB4">
        <w:rPr>
          <w:rFonts w:cstheme="minorHAnsi"/>
          <w:noProof/>
          <w:sz w:val="24"/>
          <w:szCs w:val="24"/>
        </w:rPr>
        <w:t>[55]</w:t>
      </w:r>
      <w:r w:rsidR="00477A16">
        <w:rPr>
          <w:rFonts w:cstheme="minorHAnsi"/>
          <w:sz w:val="24"/>
          <w:szCs w:val="24"/>
        </w:rPr>
        <w:fldChar w:fldCharType="end"/>
      </w:r>
      <w:r w:rsidR="00F16236">
        <w:rPr>
          <w:rFonts w:cstheme="minorHAnsi"/>
          <w:sz w:val="24"/>
          <w:szCs w:val="24"/>
        </w:rPr>
        <w:t xml:space="preserve"> </w:t>
      </w:r>
      <w:r w:rsidR="004764D2">
        <w:rPr>
          <w:rFonts w:cstheme="minorHAnsi"/>
          <w:sz w:val="24"/>
          <w:szCs w:val="24"/>
        </w:rPr>
        <w:t xml:space="preserve">gamma </w:t>
      </w:r>
      <w:r w:rsidRPr="00AF04C7">
        <w:rPr>
          <w:rFonts w:cstheme="minorHAnsi"/>
          <w:sz w:val="24"/>
          <w:szCs w:val="24"/>
        </w:rPr>
        <w:t>detector</w:t>
      </w:r>
      <w:r>
        <w:rPr>
          <w:rFonts w:cstheme="minorHAnsi"/>
          <w:sz w:val="24"/>
          <w:szCs w:val="24"/>
        </w:rPr>
        <w:t>;</w:t>
      </w:r>
      <w:r w:rsidRPr="00AF04C7">
        <w:rPr>
          <w:rFonts w:cstheme="minorHAnsi"/>
          <w:sz w:val="24"/>
          <w:szCs w:val="24"/>
        </w:rPr>
        <w:t xml:space="preserve"> an ultra-high efficiency detector in an ultra-low background housing of lead as </w:t>
      </w:r>
      <w:r w:rsidRPr="008B1C34">
        <w:rPr>
          <w:rFonts w:cstheme="minorHAnsi"/>
          <w:sz w:val="24"/>
          <w:szCs w:val="24"/>
        </w:rPr>
        <w:t xml:space="preserve">shown in </w:t>
      </w:r>
      <w:r w:rsidR="00BF149A">
        <w:rPr>
          <w:rFonts w:cstheme="minorHAnsi"/>
          <w:sz w:val="24"/>
          <w:szCs w:val="24"/>
        </w:rPr>
        <w:fldChar w:fldCharType="begin"/>
      </w:r>
      <w:r w:rsidR="00BF149A">
        <w:rPr>
          <w:rFonts w:cstheme="minorHAnsi"/>
          <w:sz w:val="24"/>
          <w:szCs w:val="24"/>
        </w:rPr>
        <w:instrText xml:space="preserve"> REF _Ref31359508 \h </w:instrText>
      </w:r>
      <w:r w:rsidR="00BF149A">
        <w:rPr>
          <w:rFonts w:cstheme="minorHAnsi"/>
          <w:sz w:val="24"/>
          <w:szCs w:val="24"/>
        </w:rPr>
      </w:r>
      <w:r w:rsidR="00BF149A">
        <w:rPr>
          <w:rFonts w:cstheme="minorHAnsi"/>
          <w:sz w:val="24"/>
          <w:szCs w:val="24"/>
        </w:rPr>
        <w:fldChar w:fldCharType="separate"/>
      </w:r>
      <w:r w:rsidR="00161FDC" w:rsidRPr="00C45EC1">
        <w:rPr>
          <w:sz w:val="20"/>
        </w:rPr>
        <w:t xml:space="preserve">Figure </w:t>
      </w:r>
      <w:r w:rsidR="00161FDC">
        <w:rPr>
          <w:noProof/>
          <w:sz w:val="20"/>
        </w:rPr>
        <w:t>13</w:t>
      </w:r>
      <w:r w:rsidR="00BF149A">
        <w:rPr>
          <w:rFonts w:cstheme="minorHAnsi"/>
          <w:sz w:val="24"/>
          <w:szCs w:val="24"/>
        </w:rPr>
        <w:fldChar w:fldCharType="end"/>
      </w:r>
      <w:r>
        <w:rPr>
          <w:rFonts w:cstheme="minorHAnsi"/>
          <w:sz w:val="24"/>
          <w:szCs w:val="24"/>
        </w:rPr>
        <w:t>.</w:t>
      </w:r>
    </w:p>
    <w:p w14:paraId="3A7C5A88" w14:textId="41EA14DF" w:rsidR="000B0F18" w:rsidRPr="000E4D1E" w:rsidRDefault="006D1A02" w:rsidP="000E4D1E">
      <w:pPr>
        <w:keepNext/>
        <w:spacing w:line="480" w:lineRule="auto"/>
        <w:ind w:firstLine="567"/>
        <w:rPr>
          <w:sz w:val="28"/>
        </w:rPr>
      </w:pPr>
      <w:r w:rsidRPr="006D1A02">
        <w:rPr>
          <w:sz w:val="24"/>
        </w:rPr>
        <w:t xml:space="preserve">The </w:t>
      </w:r>
      <w:r w:rsidR="00A26792">
        <w:rPr>
          <w:sz w:val="24"/>
        </w:rPr>
        <w:t>BEGe</w:t>
      </w:r>
      <w:r w:rsidRPr="006D1A02">
        <w:rPr>
          <w:sz w:val="24"/>
        </w:rPr>
        <w:t xml:space="preserve"> is a</w:t>
      </w:r>
      <w:r w:rsidR="00A26792">
        <w:rPr>
          <w:sz w:val="24"/>
        </w:rPr>
        <w:t xml:space="preserve"> type of</w:t>
      </w:r>
      <w:r w:rsidRPr="006D1A02">
        <w:rPr>
          <w:sz w:val="24"/>
        </w:rPr>
        <w:t xml:space="preserve"> HPGe detector, with a</w:t>
      </w:r>
      <w:r w:rsidR="00692FB3">
        <w:rPr>
          <w:sz w:val="24"/>
        </w:rPr>
        <w:t xml:space="preserve"> germanium</w:t>
      </w:r>
      <w:r w:rsidRPr="006D1A02">
        <w:rPr>
          <w:sz w:val="24"/>
        </w:rPr>
        <w:t xml:space="preserve"> crystal that measures 91 mm in diameter and 31 mm in depth, designed to have </w:t>
      </w:r>
      <w:r w:rsidR="00783970" w:rsidRPr="006D1A02">
        <w:rPr>
          <w:sz w:val="24"/>
        </w:rPr>
        <w:t>exceptional</w:t>
      </w:r>
      <w:r w:rsidRPr="006D1A02">
        <w:rPr>
          <w:sz w:val="24"/>
        </w:rPr>
        <w:t xml:space="preserve"> energy resolution across a broad energy range (3 keV </w:t>
      </w:r>
      <w:r w:rsidR="00A26792">
        <w:rPr>
          <w:sz w:val="24"/>
        </w:rPr>
        <w:t>to</w:t>
      </w:r>
      <w:r w:rsidRPr="006D1A02">
        <w:rPr>
          <w:sz w:val="24"/>
        </w:rPr>
        <w:t xml:space="preserve"> 3 MeV)</w:t>
      </w:r>
      <w:r w:rsidR="00A26792">
        <w:rPr>
          <w:sz w:val="24"/>
        </w:rPr>
        <w:t>.</w:t>
      </w:r>
      <w:r w:rsidR="000E5AFB">
        <w:rPr>
          <w:sz w:val="24"/>
        </w:rPr>
        <w:t xml:space="preserve"> </w:t>
      </w:r>
      <w:r w:rsidR="00CE3963">
        <w:rPr>
          <w:sz w:val="24"/>
        </w:rPr>
        <w:t>The detector is cooled by a liquid nitrogen coolant, the container</w:t>
      </w:r>
      <w:r w:rsidR="00A81B9D">
        <w:rPr>
          <w:sz w:val="24"/>
        </w:rPr>
        <w:t xml:space="preserve"> can be seen in </w:t>
      </w:r>
      <w:r w:rsidR="00A81B9D" w:rsidRPr="00A81B9D">
        <w:rPr>
          <w:sz w:val="24"/>
          <w:szCs w:val="24"/>
        </w:rPr>
        <w:fldChar w:fldCharType="begin"/>
      </w:r>
      <w:r w:rsidR="00A81B9D" w:rsidRPr="00A81B9D">
        <w:rPr>
          <w:sz w:val="24"/>
          <w:szCs w:val="24"/>
        </w:rPr>
        <w:instrText xml:space="preserve"> REF _Ref31359508 \h </w:instrText>
      </w:r>
      <w:r w:rsidR="00A81B9D">
        <w:rPr>
          <w:sz w:val="24"/>
          <w:szCs w:val="24"/>
        </w:rPr>
        <w:instrText xml:space="preserve"> \* MERGEFORMAT </w:instrText>
      </w:r>
      <w:r w:rsidR="00A81B9D" w:rsidRPr="00A81B9D">
        <w:rPr>
          <w:sz w:val="24"/>
          <w:szCs w:val="24"/>
        </w:rPr>
      </w:r>
      <w:r w:rsidR="00A81B9D" w:rsidRPr="00A81B9D">
        <w:rPr>
          <w:sz w:val="24"/>
          <w:szCs w:val="24"/>
        </w:rPr>
        <w:fldChar w:fldCharType="separate"/>
      </w:r>
      <w:r w:rsidR="00161FDC" w:rsidRPr="00161FDC">
        <w:rPr>
          <w:sz w:val="24"/>
          <w:szCs w:val="24"/>
        </w:rPr>
        <w:t xml:space="preserve">Figure </w:t>
      </w:r>
      <w:r w:rsidR="00161FDC" w:rsidRPr="00161FDC">
        <w:rPr>
          <w:noProof/>
          <w:sz w:val="24"/>
          <w:szCs w:val="24"/>
        </w:rPr>
        <w:t>13</w:t>
      </w:r>
      <w:r w:rsidR="00A81B9D" w:rsidRPr="00A81B9D">
        <w:rPr>
          <w:sz w:val="24"/>
          <w:szCs w:val="24"/>
        </w:rPr>
        <w:fldChar w:fldCharType="end"/>
      </w:r>
      <w:r w:rsidR="00A81B9D">
        <w:rPr>
          <w:sz w:val="24"/>
          <w:szCs w:val="24"/>
        </w:rPr>
        <w:t>.</w:t>
      </w:r>
      <w:r w:rsidR="00A81B9D">
        <w:rPr>
          <w:sz w:val="24"/>
        </w:rPr>
        <w:t xml:space="preserve"> </w:t>
      </w:r>
      <w:r w:rsidR="00F37CA9" w:rsidRPr="00AF04C7">
        <w:rPr>
          <w:rFonts w:cstheme="minorHAnsi"/>
          <w:sz w:val="24"/>
          <w:szCs w:val="24"/>
        </w:rPr>
        <w:t>The data was process</w:t>
      </w:r>
      <w:r w:rsidR="00F309E7">
        <w:rPr>
          <w:rFonts w:cstheme="minorHAnsi"/>
          <w:sz w:val="24"/>
          <w:szCs w:val="24"/>
        </w:rPr>
        <w:t>ing</w:t>
      </w:r>
      <w:r w:rsidR="00F37CA9" w:rsidRPr="00AF04C7">
        <w:rPr>
          <w:rFonts w:cstheme="minorHAnsi"/>
          <w:sz w:val="24"/>
          <w:szCs w:val="24"/>
        </w:rPr>
        <w:t xml:space="preserve"> and efficiency calibration</w:t>
      </w:r>
      <w:r w:rsidR="00F309E7">
        <w:rPr>
          <w:rFonts w:cstheme="minorHAnsi"/>
          <w:sz w:val="24"/>
          <w:szCs w:val="24"/>
        </w:rPr>
        <w:t xml:space="preserve"> was </w:t>
      </w:r>
      <w:r w:rsidR="00F37CA9" w:rsidRPr="00AF04C7">
        <w:rPr>
          <w:rFonts w:cstheme="minorHAnsi"/>
          <w:sz w:val="24"/>
          <w:szCs w:val="24"/>
        </w:rPr>
        <w:t>carried out in the Canberra LabSOCS software</w:t>
      </w:r>
      <w:r w:rsidR="00EF1B5D">
        <w:rPr>
          <w:rFonts w:cstheme="minorHAnsi"/>
          <w:sz w:val="24"/>
          <w:szCs w:val="24"/>
        </w:rPr>
        <w:t xml:space="preserve"> </w:t>
      </w:r>
      <w:r w:rsidR="00477A16">
        <w:rPr>
          <w:rFonts w:cstheme="minorHAnsi"/>
          <w:sz w:val="24"/>
          <w:szCs w:val="24"/>
        </w:rPr>
        <w:fldChar w:fldCharType="begin" w:fldLock="1"/>
      </w:r>
      <w:r w:rsidR="000B0F18">
        <w:rPr>
          <w:rFonts w:cstheme="minorHAnsi"/>
          <w:sz w:val="24"/>
          <w:szCs w:val="24"/>
        </w:rPr>
        <w:instrText>ADDIN CSL_CITATION {"citationItems":[{"id":"ITEM-1","itemData":{"author":[{"dropping-particle":"","family":"Mirion Technologies","given":"","non-dropping-particle":"","parse-names":false,"suffix":""}],"id":"ITEM-1","issued":{"date-parts":[["2017"]]},"number-of-pages":"10","title":"Model S574 LabSOCS calibration software","type":"report"},"uris":["http://www.mendeley.com/documents/?uuid=019cf3ff-61e1-38ab-9aa0-2e31c10a3a23"]}],"mendeley":{"formattedCitation":"[56]","plainTextFormattedCitation":"[56]","previouslyFormattedCitation":"[56]"},"properties":{"noteIndex":0},"schema":"https://github.com/citation-style-language/schema/raw/master/csl-citation.json"}</w:instrText>
      </w:r>
      <w:r w:rsidR="00477A16">
        <w:rPr>
          <w:rFonts w:cstheme="minorHAnsi"/>
          <w:sz w:val="24"/>
          <w:szCs w:val="24"/>
        </w:rPr>
        <w:fldChar w:fldCharType="separate"/>
      </w:r>
      <w:r w:rsidR="007D1AB4" w:rsidRPr="007D1AB4">
        <w:rPr>
          <w:rFonts w:cstheme="minorHAnsi"/>
          <w:noProof/>
          <w:sz w:val="24"/>
          <w:szCs w:val="24"/>
        </w:rPr>
        <w:t>[56]</w:t>
      </w:r>
      <w:r w:rsidR="00477A16">
        <w:rPr>
          <w:rFonts w:cstheme="minorHAnsi"/>
          <w:sz w:val="24"/>
          <w:szCs w:val="24"/>
        </w:rPr>
        <w:fldChar w:fldCharType="end"/>
      </w:r>
      <w:r w:rsidR="00F37CA9" w:rsidRPr="00AF04C7">
        <w:rPr>
          <w:rFonts w:cstheme="minorHAnsi"/>
          <w:sz w:val="24"/>
          <w:szCs w:val="24"/>
        </w:rPr>
        <w:t>.</w:t>
      </w:r>
      <w:r w:rsidR="00F37CA9">
        <w:rPr>
          <w:rFonts w:cstheme="minorHAnsi"/>
          <w:noProof/>
          <w:sz w:val="24"/>
          <w:szCs w:val="24"/>
          <w:lang w:eastAsia="en-GB"/>
        </w:rPr>
        <w:drawing>
          <wp:inline distT="0" distB="0" distL="0" distR="0" wp14:anchorId="3DAC9158" wp14:editId="2050A6C6">
            <wp:extent cx="5752214" cy="322389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60907_095846488_HD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7825" cy="3227040"/>
                    </a:xfrm>
                    <a:prstGeom prst="rect">
                      <a:avLst/>
                    </a:prstGeom>
                  </pic:spPr>
                </pic:pic>
              </a:graphicData>
            </a:graphic>
          </wp:inline>
        </w:drawing>
      </w:r>
    </w:p>
    <w:p w14:paraId="4FA9DD36" w14:textId="6E6F8E13" w:rsidR="000B0F18" w:rsidRPr="00C45EC1" w:rsidRDefault="000B0F18" w:rsidP="00C45EC1">
      <w:pPr>
        <w:pStyle w:val="Caption"/>
        <w:jc w:val="center"/>
        <w:rPr>
          <w:sz w:val="20"/>
        </w:rPr>
      </w:pPr>
      <w:bookmarkStart w:id="16" w:name="_Ref31359508"/>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13</w:t>
      </w:r>
      <w:r w:rsidRPr="00C45EC1">
        <w:rPr>
          <w:sz w:val="20"/>
        </w:rPr>
        <w:fldChar w:fldCharType="end"/>
      </w:r>
      <w:bookmarkEnd w:id="16"/>
      <w:r w:rsidRPr="00C45EC1">
        <w:rPr>
          <w:sz w:val="20"/>
        </w:rPr>
        <w:t xml:space="preserve"> The Broad Energy Germanium detector used in this research at CCFE, and part of the ADRIANA toolkit which is part of the National Nuclear User Facility (NNUF.ac.uk). The lead housing is the container in the left of the image and hosts the germanium crystal, with the liquid nitrogen coolant in the dewar container to the right.</w:t>
      </w:r>
    </w:p>
    <w:p w14:paraId="7EE0E826" w14:textId="027B3D87" w:rsidR="001606A8" w:rsidRDefault="00F37CA9" w:rsidP="001606A8">
      <w:pPr>
        <w:spacing w:line="480" w:lineRule="auto"/>
        <w:ind w:firstLine="567"/>
        <w:rPr>
          <w:rFonts w:cstheme="minorHAnsi"/>
          <w:sz w:val="24"/>
          <w:szCs w:val="24"/>
        </w:rPr>
      </w:pPr>
      <w:r w:rsidRPr="008B1C34">
        <w:rPr>
          <w:rFonts w:cstheme="minorHAnsi"/>
          <w:noProof/>
          <w:sz w:val="24"/>
          <w:szCs w:val="24"/>
        </w:rPr>
        <w:t xml:space="preserve"> </w:t>
      </w:r>
      <w:r w:rsidR="001606A8">
        <w:rPr>
          <w:rFonts w:cstheme="minorHAnsi"/>
          <w:sz w:val="24"/>
          <w:szCs w:val="24"/>
        </w:rPr>
        <w:t>The BEGe detector was chosen over the SAGe (Small Anode Germanium) detector</w:t>
      </w:r>
      <w:r w:rsidR="00690ACA">
        <w:rPr>
          <w:rFonts w:cstheme="minorHAnsi"/>
          <w:sz w:val="24"/>
          <w:szCs w:val="24"/>
        </w:rPr>
        <w:t xml:space="preserve"> </w:t>
      </w:r>
      <w:r w:rsidR="00690ACA">
        <w:rPr>
          <w:rFonts w:cstheme="minorHAnsi"/>
          <w:sz w:val="24"/>
          <w:szCs w:val="24"/>
        </w:rPr>
        <w:fldChar w:fldCharType="begin" w:fldLock="1"/>
      </w:r>
      <w:r w:rsidR="000B0F18">
        <w:rPr>
          <w:rFonts w:cstheme="minorHAnsi"/>
          <w:sz w:val="24"/>
          <w:szCs w:val="24"/>
        </w:rPr>
        <w:instrText>ADDIN CSL_CITATION {"citationItems":[{"id":"ITEM-1","itemData":{"author":[{"dropping-particle":"","family":"Canberra","given":"","non-dropping-particle":"","parse-names":false,"suffix":""}],"id":"ITEM-1","issued":{"date-parts":[["2016"]]},"number-of-pages":"1-4","title":"Small Anode Germanium (SAGe) Well Detector Features","type":"book"},"uris":["http://www.mendeley.com/documents/?uuid=459b95e9-ab73-3b4f-a969-9b8b7a7a4495"]}],"mendeley":{"formattedCitation":"[57]","plainTextFormattedCitation":"[57]","previouslyFormattedCitation":"[57]"},"properties":{"noteIndex":0},"schema":"https://github.com/citation-style-language/schema/raw/master/csl-citation.json"}</w:instrText>
      </w:r>
      <w:r w:rsidR="00690ACA">
        <w:rPr>
          <w:rFonts w:cstheme="minorHAnsi"/>
          <w:sz w:val="24"/>
          <w:szCs w:val="24"/>
        </w:rPr>
        <w:fldChar w:fldCharType="separate"/>
      </w:r>
      <w:r w:rsidR="007D1AB4" w:rsidRPr="007D1AB4">
        <w:rPr>
          <w:rFonts w:cstheme="minorHAnsi"/>
          <w:noProof/>
          <w:sz w:val="24"/>
          <w:szCs w:val="24"/>
        </w:rPr>
        <w:t>[57]</w:t>
      </w:r>
      <w:r w:rsidR="00690ACA">
        <w:rPr>
          <w:rFonts w:cstheme="minorHAnsi"/>
          <w:sz w:val="24"/>
          <w:szCs w:val="24"/>
        </w:rPr>
        <w:fldChar w:fldCharType="end"/>
      </w:r>
      <w:r w:rsidR="00690ACA">
        <w:rPr>
          <w:rFonts w:cstheme="minorHAnsi"/>
          <w:sz w:val="24"/>
          <w:szCs w:val="24"/>
        </w:rPr>
        <w:t xml:space="preserve"> </w:t>
      </w:r>
      <w:r w:rsidR="001606A8">
        <w:rPr>
          <w:rFonts w:cstheme="minorHAnsi"/>
          <w:sz w:val="24"/>
          <w:szCs w:val="24"/>
        </w:rPr>
        <w:t>- a</w:t>
      </w:r>
      <w:r w:rsidR="00125E33">
        <w:rPr>
          <w:rFonts w:cstheme="minorHAnsi"/>
          <w:sz w:val="24"/>
          <w:szCs w:val="24"/>
        </w:rPr>
        <w:t>nother</w:t>
      </w:r>
      <w:r w:rsidR="00101E85">
        <w:rPr>
          <w:rFonts w:cstheme="minorHAnsi"/>
          <w:sz w:val="24"/>
          <w:szCs w:val="24"/>
        </w:rPr>
        <w:t xml:space="preserve"> high-purity germanium detector</w:t>
      </w:r>
      <w:r w:rsidR="001606A8">
        <w:rPr>
          <w:rFonts w:cstheme="minorHAnsi"/>
          <w:sz w:val="24"/>
          <w:szCs w:val="24"/>
        </w:rPr>
        <w:t xml:space="preserve"> at CCFE – due to its high resolution at low </w:t>
      </w:r>
      <w:r w:rsidR="001606A8">
        <w:rPr>
          <w:rFonts w:cstheme="minorHAnsi"/>
          <w:sz w:val="24"/>
          <w:szCs w:val="24"/>
        </w:rPr>
        <w:lastRenderedPageBreak/>
        <w:t xml:space="preserve">energies of the gamma spectrum. </w:t>
      </w:r>
      <w:r w:rsidR="00C3457F">
        <w:rPr>
          <w:rFonts w:cstheme="minorHAnsi"/>
          <w:sz w:val="24"/>
          <w:szCs w:val="24"/>
        </w:rPr>
        <w:t>Throughout the gamma spectrum</w:t>
      </w:r>
      <w:r w:rsidR="001606A8">
        <w:rPr>
          <w:rFonts w:cstheme="minorHAnsi"/>
          <w:sz w:val="24"/>
          <w:szCs w:val="24"/>
        </w:rPr>
        <w:t>, the BEGe has a</w:t>
      </w:r>
      <w:r w:rsidR="00096A9F">
        <w:rPr>
          <w:rFonts w:cstheme="minorHAnsi"/>
          <w:sz w:val="24"/>
          <w:szCs w:val="24"/>
        </w:rPr>
        <w:t xml:space="preserve"> slightly</w:t>
      </w:r>
      <w:r w:rsidR="001606A8">
        <w:rPr>
          <w:rFonts w:cstheme="minorHAnsi"/>
          <w:sz w:val="24"/>
          <w:szCs w:val="24"/>
        </w:rPr>
        <w:t xml:space="preserve"> higher </w:t>
      </w:r>
      <w:r w:rsidR="00096A9F">
        <w:rPr>
          <w:rFonts w:cstheme="minorHAnsi"/>
          <w:sz w:val="24"/>
          <w:szCs w:val="24"/>
        </w:rPr>
        <w:t>resolution</w:t>
      </w:r>
      <w:r w:rsidR="001606A8">
        <w:rPr>
          <w:rFonts w:cstheme="minorHAnsi"/>
          <w:sz w:val="24"/>
          <w:szCs w:val="24"/>
        </w:rPr>
        <w:t xml:space="preserve"> than SAGe. </w:t>
      </w:r>
      <w:r w:rsidR="00C3457F">
        <w:rPr>
          <w:rFonts w:cstheme="minorHAnsi"/>
          <w:sz w:val="24"/>
          <w:szCs w:val="24"/>
        </w:rPr>
        <w:t xml:space="preserve">It was thought that the greater resolution </w:t>
      </w:r>
      <w:r w:rsidR="001606A8">
        <w:rPr>
          <w:rFonts w:cstheme="minorHAnsi"/>
          <w:sz w:val="24"/>
          <w:szCs w:val="24"/>
        </w:rPr>
        <w:t>would provide more accurate measurements of</w:t>
      </w:r>
      <w:r w:rsidR="00C3457F">
        <w:rPr>
          <w:rFonts w:cstheme="minorHAnsi"/>
          <w:sz w:val="24"/>
          <w:szCs w:val="24"/>
        </w:rPr>
        <w:t xml:space="preserve"> plutonium gamma-ray emissions, including the</w:t>
      </w:r>
      <w:r w:rsidR="001606A8">
        <w:rPr>
          <w:rFonts w:cstheme="minorHAnsi"/>
          <w:sz w:val="24"/>
          <w:szCs w:val="24"/>
        </w:rPr>
        <w:t xml:space="preserve"> americium-241 gamma line</w:t>
      </w:r>
      <w:r w:rsidR="00C3457F">
        <w:rPr>
          <w:rFonts w:cstheme="minorHAnsi"/>
          <w:sz w:val="24"/>
          <w:szCs w:val="24"/>
        </w:rPr>
        <w:t>, allowing differentiation of peaks</w:t>
      </w:r>
      <w:r w:rsidR="001606A8">
        <w:rPr>
          <w:rFonts w:cstheme="minorHAnsi"/>
          <w:sz w:val="24"/>
          <w:szCs w:val="24"/>
        </w:rPr>
        <w:t xml:space="preserve">. </w:t>
      </w:r>
      <w:r w:rsidR="00C3457F">
        <w:rPr>
          <w:rFonts w:cstheme="minorHAnsi"/>
          <w:sz w:val="24"/>
          <w:szCs w:val="24"/>
        </w:rPr>
        <w:t xml:space="preserve">The Mirion technologies SAGe detector application note </w:t>
      </w:r>
      <w:r w:rsidR="00690ACA">
        <w:rPr>
          <w:rFonts w:cstheme="minorHAnsi"/>
          <w:sz w:val="24"/>
          <w:szCs w:val="24"/>
        </w:rPr>
        <w:fldChar w:fldCharType="begin" w:fldLock="1"/>
      </w:r>
      <w:r w:rsidR="000B0F18">
        <w:rPr>
          <w:rFonts w:cstheme="minorHAnsi"/>
          <w:sz w:val="24"/>
          <w:szCs w:val="24"/>
        </w:rPr>
        <w:instrText>ADDIN CSL_CITATION {"citationItems":[{"id":"ITEM-1","itemData":{"author":[{"dropping-particle":"","family":"Canberra","given":"","non-dropping-particle":"","parse-names":false,"suffix":""}],"id":"ITEM-1","issued":{"date-parts":[["2016"]]},"number-of-pages":"1-4","title":"Small Anode Germanium (SAGe) Well Detector Features","type":"book"},"uris":["http://www.mendeley.com/documents/?uuid=459b95e9-ab73-3b4f-a969-9b8b7a7a4495"]}],"mendeley":{"formattedCitation":"[57]","plainTextFormattedCitation":"[57]","previouslyFormattedCitation":"[57]"},"properties":{"noteIndex":0},"schema":"https://github.com/citation-style-language/schema/raw/master/csl-citation.json"}</w:instrText>
      </w:r>
      <w:r w:rsidR="00690ACA">
        <w:rPr>
          <w:rFonts w:cstheme="minorHAnsi"/>
          <w:sz w:val="24"/>
          <w:szCs w:val="24"/>
        </w:rPr>
        <w:fldChar w:fldCharType="separate"/>
      </w:r>
      <w:r w:rsidR="007D1AB4" w:rsidRPr="007D1AB4">
        <w:rPr>
          <w:rFonts w:cstheme="minorHAnsi"/>
          <w:noProof/>
          <w:sz w:val="24"/>
          <w:szCs w:val="24"/>
        </w:rPr>
        <w:t>[57]</w:t>
      </w:r>
      <w:r w:rsidR="00690ACA">
        <w:rPr>
          <w:rFonts w:cstheme="minorHAnsi"/>
          <w:sz w:val="24"/>
          <w:szCs w:val="24"/>
        </w:rPr>
        <w:fldChar w:fldCharType="end"/>
      </w:r>
      <w:r w:rsidR="00C3457F">
        <w:rPr>
          <w:rFonts w:cstheme="minorHAnsi"/>
          <w:sz w:val="24"/>
          <w:szCs w:val="24"/>
        </w:rPr>
        <w:t xml:space="preserve"> informed this decision</w:t>
      </w:r>
      <w:r w:rsidR="001606A8">
        <w:rPr>
          <w:rFonts w:cstheme="minorHAnsi"/>
          <w:sz w:val="24"/>
          <w:szCs w:val="24"/>
        </w:rPr>
        <w:t>.</w:t>
      </w:r>
      <w:r w:rsidR="00C3457F">
        <w:rPr>
          <w:rFonts w:cstheme="minorHAnsi"/>
          <w:sz w:val="24"/>
          <w:szCs w:val="24"/>
        </w:rPr>
        <w:t xml:space="preserve"> </w:t>
      </w:r>
    </w:p>
    <w:p w14:paraId="2A3CA86A" w14:textId="3CF8A111" w:rsidR="00F37CA9" w:rsidRDefault="00F37CA9" w:rsidP="00F37CA9">
      <w:pPr>
        <w:spacing w:line="480" w:lineRule="auto"/>
        <w:ind w:firstLine="567"/>
        <w:rPr>
          <w:rFonts w:cstheme="minorHAnsi"/>
          <w:sz w:val="24"/>
          <w:szCs w:val="24"/>
        </w:rPr>
      </w:pPr>
      <w:r w:rsidRPr="00AF04C7">
        <w:rPr>
          <w:rFonts w:cstheme="minorHAnsi"/>
          <w:sz w:val="24"/>
          <w:szCs w:val="24"/>
        </w:rPr>
        <w:t xml:space="preserve">The BEGe detector </w:t>
      </w:r>
      <w:r>
        <w:rPr>
          <w:rFonts w:cstheme="minorHAnsi"/>
          <w:sz w:val="24"/>
          <w:szCs w:val="24"/>
        </w:rPr>
        <w:t>i</w:t>
      </w:r>
      <w:r w:rsidRPr="00AF04C7">
        <w:rPr>
          <w:rFonts w:cstheme="minorHAnsi"/>
          <w:sz w:val="24"/>
          <w:szCs w:val="24"/>
        </w:rPr>
        <w:t xml:space="preserve">s calibrated in-house at CCFE with a mixed point source every fortnight. Details of this source </w:t>
      </w:r>
      <w:r w:rsidR="009316D0">
        <w:rPr>
          <w:rFonts w:cstheme="minorHAnsi"/>
          <w:sz w:val="24"/>
          <w:szCs w:val="24"/>
        </w:rPr>
        <w:t>are</w:t>
      </w:r>
      <w:r w:rsidRPr="00AF04C7">
        <w:rPr>
          <w:rFonts w:cstheme="minorHAnsi"/>
          <w:sz w:val="24"/>
          <w:szCs w:val="24"/>
        </w:rPr>
        <w:t xml:space="preserve"> found in the appendices.</w:t>
      </w:r>
    </w:p>
    <w:p w14:paraId="1C91869B" w14:textId="2A343CF0" w:rsidR="00113523" w:rsidRPr="00AF04C7" w:rsidRDefault="00113523" w:rsidP="00F37CA9">
      <w:pPr>
        <w:spacing w:line="480" w:lineRule="auto"/>
        <w:ind w:firstLine="567"/>
        <w:rPr>
          <w:rFonts w:cstheme="minorHAnsi"/>
          <w:sz w:val="24"/>
          <w:szCs w:val="24"/>
        </w:rPr>
      </w:pPr>
      <w:r>
        <w:rPr>
          <w:rFonts w:cstheme="minorHAnsi"/>
          <w:sz w:val="24"/>
          <w:szCs w:val="24"/>
        </w:rPr>
        <w:t xml:space="preserve">Sub-samples of each sample within the project were decanted into </w:t>
      </w:r>
      <w:r w:rsidR="00435B88">
        <w:rPr>
          <w:rFonts w:cstheme="minorHAnsi"/>
          <w:sz w:val="24"/>
          <w:szCs w:val="24"/>
        </w:rPr>
        <w:t xml:space="preserve">100 ml containers, </w:t>
      </w:r>
      <w:r w:rsidR="00A834E1">
        <w:rPr>
          <w:rFonts w:cstheme="minorHAnsi"/>
          <w:sz w:val="24"/>
          <w:szCs w:val="24"/>
        </w:rPr>
        <w:t xml:space="preserve">and during measurement were placed </w:t>
      </w:r>
      <w:r w:rsidR="006E46B5">
        <w:rPr>
          <w:rFonts w:cstheme="minorHAnsi"/>
          <w:sz w:val="24"/>
          <w:szCs w:val="24"/>
        </w:rPr>
        <w:t>directly on the germanium crystal.</w:t>
      </w:r>
    </w:p>
    <w:p w14:paraId="7415B7D5" w14:textId="76B3BB91" w:rsidR="00F37CA9" w:rsidRDefault="00F37CA9" w:rsidP="00F37CA9">
      <w:pPr>
        <w:spacing w:line="480" w:lineRule="auto"/>
        <w:ind w:firstLine="567"/>
        <w:rPr>
          <w:rFonts w:cstheme="minorHAnsi"/>
          <w:i/>
          <w:sz w:val="24"/>
          <w:szCs w:val="24"/>
        </w:rPr>
      </w:pPr>
      <w:r w:rsidRPr="00AF04C7">
        <w:rPr>
          <w:rFonts w:cstheme="minorHAnsi"/>
          <w:sz w:val="24"/>
          <w:szCs w:val="24"/>
        </w:rPr>
        <w:t xml:space="preserve">Each measurement in the BEGe detector was carried out over 24 hours, and the gamma emission spectrum of sub-samples of each soil sample was recorded. </w:t>
      </w:r>
      <w:r w:rsidR="00113523">
        <w:rPr>
          <w:rFonts w:cstheme="minorHAnsi"/>
          <w:sz w:val="24"/>
          <w:szCs w:val="24"/>
        </w:rPr>
        <w:t>The</w:t>
      </w:r>
      <w:r w:rsidRPr="00AF04C7">
        <w:rPr>
          <w:rFonts w:cstheme="minorHAnsi"/>
          <w:sz w:val="24"/>
          <w:szCs w:val="24"/>
        </w:rPr>
        <w:t xml:space="preserve"> sub-sample pot</w:t>
      </w:r>
      <w:r w:rsidR="00D52909">
        <w:rPr>
          <w:rFonts w:cstheme="minorHAnsi"/>
          <w:sz w:val="24"/>
          <w:szCs w:val="24"/>
        </w:rPr>
        <w:t xml:space="preserve"> of each sample</w:t>
      </w:r>
      <w:r w:rsidRPr="00AF04C7">
        <w:rPr>
          <w:rFonts w:cstheme="minorHAnsi"/>
          <w:sz w:val="24"/>
          <w:szCs w:val="24"/>
        </w:rPr>
        <w:t xml:space="preserve"> was filled to the same </w:t>
      </w:r>
      <w:r w:rsidR="004764D2">
        <w:rPr>
          <w:rFonts w:cstheme="minorHAnsi"/>
          <w:sz w:val="24"/>
          <w:szCs w:val="24"/>
        </w:rPr>
        <w:t>dimensions</w:t>
      </w:r>
      <w:r w:rsidRPr="00AF04C7">
        <w:rPr>
          <w:rFonts w:cstheme="minorHAnsi"/>
          <w:sz w:val="24"/>
          <w:szCs w:val="24"/>
        </w:rPr>
        <w:t xml:space="preserve"> </w:t>
      </w:r>
      <w:r>
        <w:rPr>
          <w:rFonts w:cstheme="minorHAnsi"/>
          <w:sz w:val="24"/>
          <w:szCs w:val="24"/>
        </w:rPr>
        <w:t xml:space="preserve">of </w:t>
      </w:r>
      <w:r w:rsidR="00435B88">
        <w:rPr>
          <w:rFonts w:cstheme="minorHAnsi"/>
          <w:sz w:val="24"/>
          <w:szCs w:val="24"/>
        </w:rPr>
        <w:t>5</w:t>
      </w:r>
      <w:r w:rsidR="00AB7BBA">
        <w:rPr>
          <w:rFonts w:cstheme="minorHAnsi"/>
          <w:sz w:val="24"/>
          <w:szCs w:val="24"/>
        </w:rPr>
        <w:t xml:space="preserve"> </w:t>
      </w:r>
      <w:r>
        <w:rPr>
          <w:rFonts w:cstheme="minorHAnsi"/>
          <w:sz w:val="24"/>
          <w:szCs w:val="24"/>
        </w:rPr>
        <w:t>cm</w:t>
      </w:r>
      <w:r w:rsidRPr="00AF04C7">
        <w:rPr>
          <w:rFonts w:cstheme="minorHAnsi"/>
          <w:sz w:val="24"/>
          <w:szCs w:val="24"/>
        </w:rPr>
        <w:t xml:space="preserve"> for consistency in the system</w:t>
      </w:r>
      <w:r>
        <w:rPr>
          <w:rFonts w:cstheme="minorHAnsi"/>
          <w:sz w:val="24"/>
          <w:szCs w:val="24"/>
        </w:rPr>
        <w:t>,</w:t>
      </w:r>
      <w:r w:rsidRPr="00AF04C7">
        <w:rPr>
          <w:rFonts w:cstheme="minorHAnsi"/>
          <w:sz w:val="24"/>
          <w:szCs w:val="24"/>
        </w:rPr>
        <w:t xml:space="preserve"> with similar </w:t>
      </w:r>
      <w:r>
        <w:rPr>
          <w:rFonts w:cstheme="minorHAnsi"/>
          <w:sz w:val="24"/>
          <w:szCs w:val="24"/>
        </w:rPr>
        <w:t>soil compositions</w:t>
      </w:r>
      <w:r w:rsidR="00D52909">
        <w:rPr>
          <w:rFonts w:cstheme="minorHAnsi"/>
          <w:sz w:val="24"/>
          <w:szCs w:val="24"/>
        </w:rPr>
        <w:t xml:space="preserve"> taken from each sample (for example, any clumped soil or vegetation was avoided)</w:t>
      </w:r>
      <w:r>
        <w:rPr>
          <w:rFonts w:cstheme="minorHAnsi"/>
          <w:sz w:val="24"/>
          <w:szCs w:val="24"/>
        </w:rPr>
        <w:t>, to maintain consistent density range</w:t>
      </w:r>
      <w:r w:rsidRPr="00AF04C7">
        <w:rPr>
          <w:rFonts w:cstheme="minorHAnsi"/>
          <w:sz w:val="24"/>
          <w:szCs w:val="24"/>
        </w:rPr>
        <w:t>.</w:t>
      </w:r>
      <w:r>
        <w:rPr>
          <w:rFonts w:cstheme="minorHAnsi"/>
          <w:sz w:val="24"/>
          <w:szCs w:val="24"/>
        </w:rPr>
        <w:t xml:space="preserve"> For each measurement, a geometry model of the 100</w:t>
      </w:r>
      <w:r w:rsidR="00AB7BBA">
        <w:rPr>
          <w:rFonts w:cstheme="minorHAnsi"/>
          <w:sz w:val="24"/>
          <w:szCs w:val="24"/>
        </w:rPr>
        <w:t xml:space="preserve"> </w:t>
      </w:r>
      <w:r>
        <w:rPr>
          <w:rFonts w:cstheme="minorHAnsi"/>
          <w:sz w:val="24"/>
          <w:szCs w:val="24"/>
        </w:rPr>
        <w:t xml:space="preserve">ml soil containers was loaded from a pre-set file on the ADRIANA lab database into the LabSOCS geometry composer, the </w:t>
      </w:r>
      <w:r w:rsidR="00D52909">
        <w:rPr>
          <w:rFonts w:cstheme="minorHAnsi"/>
          <w:sz w:val="24"/>
          <w:szCs w:val="24"/>
        </w:rPr>
        <w:t>density</w:t>
      </w:r>
      <w:r>
        <w:rPr>
          <w:rFonts w:cstheme="minorHAnsi"/>
          <w:sz w:val="24"/>
          <w:szCs w:val="24"/>
        </w:rPr>
        <w:t xml:space="preserve"> of soil was modified within the model to correspond with the</w:t>
      </w:r>
      <w:r w:rsidR="00D52909">
        <w:rPr>
          <w:rFonts w:cstheme="minorHAnsi"/>
          <w:sz w:val="24"/>
          <w:szCs w:val="24"/>
        </w:rPr>
        <w:t xml:space="preserve"> mass</w:t>
      </w:r>
      <w:r>
        <w:rPr>
          <w:rFonts w:cstheme="minorHAnsi"/>
          <w:sz w:val="24"/>
          <w:szCs w:val="24"/>
        </w:rPr>
        <w:t xml:space="preserve"> of each sub-sample. Once the geometry was validated, an efficiency table was generated to calculate the absolute efficiency for a s</w:t>
      </w:r>
      <w:r w:rsidR="0077113B">
        <w:rPr>
          <w:rFonts w:cstheme="minorHAnsi"/>
          <w:sz w:val="24"/>
          <w:szCs w:val="24"/>
        </w:rPr>
        <w:t>pread</w:t>
      </w:r>
      <w:r>
        <w:rPr>
          <w:rFonts w:cstheme="minorHAnsi"/>
          <w:sz w:val="24"/>
          <w:szCs w:val="24"/>
        </w:rPr>
        <w:t xml:space="preserve"> of arbitrary energies using a</w:t>
      </w:r>
      <w:r w:rsidR="003047F9">
        <w:rPr>
          <w:rFonts w:cstheme="minorHAnsi"/>
          <w:sz w:val="24"/>
          <w:szCs w:val="24"/>
        </w:rPr>
        <w:t xml:space="preserve"> pre-made</w:t>
      </w:r>
      <w:r>
        <w:rPr>
          <w:rFonts w:cstheme="minorHAnsi"/>
          <w:sz w:val="24"/>
          <w:szCs w:val="24"/>
        </w:rPr>
        <w:t xml:space="preserve"> LabSOCS model of the BEGe detector and the soil container geometry</w:t>
      </w:r>
      <w:r w:rsidR="00EE41CE">
        <w:rPr>
          <w:rFonts w:cstheme="minorHAnsi"/>
          <w:sz w:val="24"/>
          <w:szCs w:val="24"/>
        </w:rPr>
        <w:t xml:space="preserve"> specified earlier</w:t>
      </w:r>
      <w:r>
        <w:rPr>
          <w:rFonts w:cstheme="minorHAnsi"/>
          <w:sz w:val="24"/>
          <w:szCs w:val="24"/>
        </w:rPr>
        <w:t xml:space="preserve"> to calculate the intrinsic and geometric efficiencies respectively. Following this, an absolute efficiency calibration was carried out within the LabSOCS software so that each gamma-ray emission within each spectrum is </w:t>
      </w:r>
      <w:r w:rsidR="004764D2">
        <w:rPr>
          <w:rFonts w:cstheme="minorHAnsi"/>
          <w:sz w:val="24"/>
          <w:szCs w:val="24"/>
        </w:rPr>
        <w:t>validated</w:t>
      </w:r>
      <w:r>
        <w:rPr>
          <w:rFonts w:cstheme="minorHAnsi"/>
          <w:sz w:val="24"/>
          <w:szCs w:val="24"/>
        </w:rPr>
        <w:t>.</w:t>
      </w:r>
    </w:p>
    <w:p w14:paraId="003A519B" w14:textId="2BBD835E" w:rsidR="00F37CA9" w:rsidRDefault="00F37CA9" w:rsidP="00F37CA9">
      <w:pPr>
        <w:spacing w:line="480" w:lineRule="auto"/>
        <w:ind w:firstLine="567"/>
        <w:rPr>
          <w:rFonts w:cstheme="minorHAnsi"/>
          <w:sz w:val="24"/>
          <w:szCs w:val="24"/>
        </w:rPr>
      </w:pPr>
      <w:r>
        <w:rPr>
          <w:rFonts w:cstheme="minorHAnsi"/>
          <w:sz w:val="24"/>
          <w:szCs w:val="24"/>
        </w:rPr>
        <w:lastRenderedPageBreak/>
        <w:t xml:space="preserve">Following efficiency calibration, a basic spectrum analysis was carried out within the Genie 2000 software, where the efficiency calibration file is supplied, and a nuclide library file is chosen to determine the presence of peaks within said nuclide library. The </w:t>
      </w:r>
      <w:r w:rsidR="009316D0">
        <w:rPr>
          <w:rFonts w:cstheme="minorHAnsi"/>
          <w:sz w:val="24"/>
          <w:szCs w:val="24"/>
        </w:rPr>
        <w:t>staff at CCFE suggested the chosen nuclide library</w:t>
      </w:r>
      <w:r>
        <w:rPr>
          <w:rFonts w:cstheme="minorHAnsi"/>
          <w:sz w:val="24"/>
          <w:szCs w:val="24"/>
        </w:rPr>
        <w:t xml:space="preserve"> as it is the standard nuclide library used by the radiometric analysis team at CCFE for analysis of radionuclide-contaminated materials and includes all plutonium isotopes and all of their common daughter products</w:t>
      </w:r>
      <w:r w:rsidR="00F9411D">
        <w:rPr>
          <w:rFonts w:cstheme="minorHAnsi"/>
          <w:sz w:val="24"/>
          <w:szCs w:val="24"/>
        </w:rPr>
        <w:t xml:space="preserve"> such as americium</w:t>
      </w:r>
      <w:r w:rsidR="001C2E02">
        <w:rPr>
          <w:rFonts w:cstheme="minorHAnsi"/>
          <w:sz w:val="24"/>
          <w:szCs w:val="24"/>
        </w:rPr>
        <w:t>, thorium and uranium</w:t>
      </w:r>
      <w:r>
        <w:rPr>
          <w:rFonts w:cstheme="minorHAnsi"/>
          <w:sz w:val="24"/>
          <w:szCs w:val="24"/>
        </w:rPr>
        <w:t>. The Curie MDA report mode was added to this, to state the minimum detectable activity of nuclides with peaks present in the spectra.</w:t>
      </w:r>
      <w:r w:rsidR="006F1462">
        <w:rPr>
          <w:rFonts w:cstheme="minorHAnsi"/>
          <w:sz w:val="24"/>
          <w:szCs w:val="24"/>
        </w:rPr>
        <w:t xml:space="preserve"> The MDA reports validate</w:t>
      </w:r>
      <w:r w:rsidR="00387606">
        <w:rPr>
          <w:rFonts w:cstheme="minorHAnsi"/>
          <w:sz w:val="24"/>
          <w:szCs w:val="24"/>
        </w:rPr>
        <w:t>d</w:t>
      </w:r>
      <w:r w:rsidR="006F1462">
        <w:rPr>
          <w:rFonts w:cstheme="minorHAnsi"/>
          <w:sz w:val="24"/>
          <w:szCs w:val="24"/>
        </w:rPr>
        <w:t xml:space="preserve"> the presence of </w:t>
      </w:r>
      <w:r w:rsidR="006F1462">
        <w:rPr>
          <w:rFonts w:cstheme="minorHAnsi"/>
          <w:sz w:val="24"/>
          <w:szCs w:val="24"/>
          <w:vertAlign w:val="superscript"/>
        </w:rPr>
        <w:t>241</w:t>
      </w:r>
      <w:r w:rsidR="006F1462">
        <w:rPr>
          <w:rFonts w:cstheme="minorHAnsi"/>
          <w:sz w:val="24"/>
          <w:szCs w:val="24"/>
        </w:rPr>
        <w:t>Am in some of the samples,</w:t>
      </w:r>
      <w:r w:rsidR="00E45BAB">
        <w:rPr>
          <w:rFonts w:cstheme="minorHAnsi"/>
          <w:sz w:val="24"/>
          <w:szCs w:val="24"/>
        </w:rPr>
        <w:t xml:space="preserve"> and the complete lack of plutonium.</w:t>
      </w:r>
    </w:p>
    <w:p w14:paraId="64D6E478" w14:textId="075FF186" w:rsidR="00617753" w:rsidRPr="00DB367A" w:rsidRDefault="00617753" w:rsidP="00F37CA9">
      <w:pPr>
        <w:spacing w:line="480" w:lineRule="auto"/>
        <w:ind w:firstLine="567"/>
        <w:rPr>
          <w:rFonts w:cstheme="minorHAnsi"/>
          <w:sz w:val="24"/>
          <w:szCs w:val="24"/>
        </w:rPr>
      </w:pPr>
      <w:r>
        <w:rPr>
          <w:rFonts w:cstheme="minorHAnsi"/>
          <w:sz w:val="24"/>
          <w:szCs w:val="24"/>
        </w:rPr>
        <w:t xml:space="preserve">Geometry efficiency was calculated within the Genie software, </w:t>
      </w:r>
      <w:r w:rsidR="00EB6FD8">
        <w:rPr>
          <w:rFonts w:cstheme="minorHAnsi"/>
          <w:sz w:val="24"/>
          <w:szCs w:val="24"/>
        </w:rPr>
        <w:t xml:space="preserve">with the efficiencies from energies 10 to 2000 </w:t>
      </w:r>
      <w:r w:rsidR="00A22400">
        <w:rPr>
          <w:rFonts w:cstheme="minorHAnsi"/>
          <w:sz w:val="24"/>
          <w:szCs w:val="24"/>
        </w:rPr>
        <w:t xml:space="preserve">published. At 60 keV where the </w:t>
      </w:r>
      <w:r w:rsidR="00BC55AF">
        <w:rPr>
          <w:rFonts w:cstheme="minorHAnsi"/>
          <w:sz w:val="24"/>
          <w:szCs w:val="24"/>
          <w:vertAlign w:val="superscript"/>
        </w:rPr>
        <w:t>241</w:t>
      </w:r>
      <w:r w:rsidR="00BC55AF">
        <w:rPr>
          <w:rFonts w:cstheme="minorHAnsi"/>
          <w:sz w:val="24"/>
          <w:szCs w:val="24"/>
        </w:rPr>
        <w:t xml:space="preserve">Am peak is observed, the efficiency </w:t>
      </w:r>
      <w:r w:rsidR="008D70BE">
        <w:rPr>
          <w:rFonts w:cstheme="minorHAnsi"/>
          <w:sz w:val="24"/>
          <w:szCs w:val="24"/>
        </w:rPr>
        <w:t xml:space="preserve">calculated was </w:t>
      </w:r>
      <w:r w:rsidR="0090180A">
        <w:rPr>
          <w:rFonts w:cstheme="minorHAnsi"/>
          <w:sz w:val="24"/>
          <w:szCs w:val="24"/>
        </w:rPr>
        <w:t>8.53x10</w:t>
      </w:r>
      <w:r w:rsidR="0090180A">
        <w:rPr>
          <w:rFonts w:cstheme="minorHAnsi"/>
          <w:sz w:val="24"/>
          <w:szCs w:val="24"/>
          <w:vertAlign w:val="superscript"/>
        </w:rPr>
        <w:t xml:space="preserve">-2 </w:t>
      </w:r>
      <w:r w:rsidR="00A22332">
        <w:rPr>
          <w:rFonts w:cstheme="minorHAnsi"/>
          <w:sz w:val="24"/>
          <w:szCs w:val="24"/>
        </w:rPr>
        <w:t>(±8.53x10</w:t>
      </w:r>
      <w:r w:rsidR="00A22332">
        <w:rPr>
          <w:rFonts w:cstheme="minorHAnsi"/>
          <w:sz w:val="24"/>
          <w:szCs w:val="24"/>
          <w:vertAlign w:val="superscript"/>
        </w:rPr>
        <w:t>-3</w:t>
      </w:r>
      <w:r w:rsidR="00DB367A">
        <w:rPr>
          <w:rFonts w:cstheme="minorHAnsi"/>
          <w:sz w:val="24"/>
          <w:szCs w:val="24"/>
        </w:rPr>
        <w:t>).</w:t>
      </w:r>
    </w:p>
    <w:p w14:paraId="58595816" w14:textId="47C1963D" w:rsidR="00F37CA9" w:rsidRDefault="00F37CA9" w:rsidP="00F37CA9">
      <w:pPr>
        <w:spacing w:line="480" w:lineRule="auto"/>
        <w:ind w:firstLine="567"/>
        <w:rPr>
          <w:rFonts w:cstheme="minorHAnsi"/>
          <w:sz w:val="24"/>
          <w:szCs w:val="24"/>
        </w:rPr>
      </w:pPr>
      <w:r w:rsidRPr="00AF04C7">
        <w:rPr>
          <w:rFonts w:cstheme="minorHAnsi"/>
          <w:sz w:val="24"/>
          <w:szCs w:val="24"/>
        </w:rPr>
        <w:t xml:space="preserve">Spectra files were analysed </w:t>
      </w:r>
      <w:r>
        <w:rPr>
          <w:rFonts w:cstheme="minorHAnsi"/>
          <w:sz w:val="24"/>
          <w:szCs w:val="24"/>
        </w:rPr>
        <w:t xml:space="preserve">in Lancaster </w:t>
      </w:r>
      <w:r w:rsidRPr="00AF04C7">
        <w:rPr>
          <w:rFonts w:cstheme="minorHAnsi"/>
          <w:sz w:val="24"/>
          <w:szCs w:val="24"/>
        </w:rPr>
        <w:t>in the Canberra software, ProSpect</w:t>
      </w:r>
      <w:r w:rsidR="00063BCA">
        <w:rPr>
          <w:rFonts w:cstheme="minorHAnsi"/>
          <w:sz w:val="24"/>
          <w:szCs w:val="24"/>
        </w:rPr>
        <w:t xml:space="preserve"> </w:t>
      </w:r>
      <w:r w:rsidR="00D03C4E">
        <w:rPr>
          <w:rFonts w:cstheme="minorHAnsi"/>
          <w:sz w:val="24"/>
          <w:szCs w:val="24"/>
        </w:rPr>
        <w:fldChar w:fldCharType="begin" w:fldLock="1"/>
      </w:r>
      <w:r w:rsidR="000B0F18">
        <w:rPr>
          <w:rFonts w:cstheme="minorHAnsi"/>
          <w:sz w:val="24"/>
          <w:szCs w:val="24"/>
        </w:rPr>
        <w:instrText>ADDIN CSL_CITATION {"citationItems":[{"id":"ITEM-1","itemData":{"author":[{"dropping-particle":"","family":"Mirion Technologies","given":"","non-dropping-particle":"","parse-names":false,"suffix":""}],"id":"ITEM-1","issued":{"date-parts":[["2013"]]},"number-of-pages":"6","title":"Prospect Gamma Spectroscopy Software Features","type":"report"},"uris":["http://www.mendeley.com/documents/?uuid=69a3e4b6-23ee-374f-8007-e4a90c11e7a7"]}],"mendeley":{"formattedCitation":"[58]","plainTextFormattedCitation":"[58]","previouslyFormattedCitation":"[58]"},"properties":{"noteIndex":0},"schema":"https://github.com/citation-style-language/schema/raw/master/csl-citation.json"}</w:instrText>
      </w:r>
      <w:r w:rsidR="00D03C4E">
        <w:rPr>
          <w:rFonts w:cstheme="minorHAnsi"/>
          <w:sz w:val="24"/>
          <w:szCs w:val="24"/>
        </w:rPr>
        <w:fldChar w:fldCharType="separate"/>
      </w:r>
      <w:r w:rsidR="007D1AB4" w:rsidRPr="007D1AB4">
        <w:rPr>
          <w:rFonts w:cstheme="minorHAnsi"/>
          <w:noProof/>
          <w:sz w:val="24"/>
          <w:szCs w:val="24"/>
        </w:rPr>
        <w:t>[58]</w:t>
      </w:r>
      <w:r w:rsidR="00D03C4E">
        <w:rPr>
          <w:rFonts w:cstheme="minorHAnsi"/>
          <w:sz w:val="24"/>
          <w:szCs w:val="24"/>
        </w:rPr>
        <w:fldChar w:fldCharType="end"/>
      </w:r>
      <w:r w:rsidRPr="00AF04C7">
        <w:rPr>
          <w:rFonts w:cstheme="minorHAnsi"/>
          <w:sz w:val="24"/>
          <w:szCs w:val="24"/>
        </w:rPr>
        <w:t>. Here peaks were identified and compared to the literature gamma emission peaks, giving likely emitters for each peak. The peak counts were recorded to identify estimates for the abundance of nuclides within each sample.</w:t>
      </w:r>
    </w:p>
    <w:p w14:paraId="76952758" w14:textId="4D53D8FE" w:rsidR="00F37CA9" w:rsidRPr="002809FE" w:rsidRDefault="00F37CA9" w:rsidP="00F37CA9">
      <w:pPr>
        <w:spacing w:line="480" w:lineRule="auto"/>
        <w:ind w:firstLine="567"/>
        <w:rPr>
          <w:sz w:val="24"/>
          <w:szCs w:val="24"/>
        </w:rPr>
      </w:pPr>
      <w:r w:rsidRPr="002809FE">
        <w:rPr>
          <w:sz w:val="24"/>
          <w:szCs w:val="24"/>
        </w:rPr>
        <w:t xml:space="preserve">Due to the close relationship between </w:t>
      </w:r>
      <w:r w:rsidRPr="00D53624">
        <w:rPr>
          <w:sz w:val="24"/>
          <w:szCs w:val="24"/>
          <w:vertAlign w:val="superscript"/>
        </w:rPr>
        <w:t>241</w:t>
      </w:r>
      <w:r w:rsidR="00D53624">
        <w:rPr>
          <w:sz w:val="24"/>
          <w:szCs w:val="24"/>
        </w:rPr>
        <w:t>Am</w:t>
      </w:r>
      <w:r w:rsidRPr="002809FE">
        <w:rPr>
          <w:sz w:val="24"/>
          <w:szCs w:val="24"/>
        </w:rPr>
        <w:t xml:space="preserve"> and </w:t>
      </w:r>
      <w:r w:rsidRPr="00D53624">
        <w:rPr>
          <w:sz w:val="24"/>
          <w:szCs w:val="24"/>
          <w:vertAlign w:val="superscript"/>
        </w:rPr>
        <w:t>241</w:t>
      </w:r>
      <w:r w:rsidR="00D53624">
        <w:rPr>
          <w:sz w:val="24"/>
          <w:szCs w:val="24"/>
        </w:rPr>
        <w:t>Pu</w:t>
      </w:r>
      <w:r w:rsidRPr="002809FE">
        <w:rPr>
          <w:sz w:val="24"/>
          <w:szCs w:val="24"/>
        </w:rPr>
        <w:t xml:space="preserve">, with approximately 99.7% of </w:t>
      </w:r>
      <w:r w:rsidR="00D53624" w:rsidRPr="00D53624">
        <w:rPr>
          <w:sz w:val="24"/>
          <w:szCs w:val="24"/>
          <w:vertAlign w:val="superscript"/>
        </w:rPr>
        <w:t>241</w:t>
      </w:r>
      <w:r w:rsidR="00D53624">
        <w:rPr>
          <w:sz w:val="24"/>
          <w:szCs w:val="24"/>
        </w:rPr>
        <w:t>Pu</w:t>
      </w:r>
      <w:r w:rsidR="00D53624" w:rsidRPr="002809FE">
        <w:rPr>
          <w:sz w:val="24"/>
          <w:szCs w:val="24"/>
        </w:rPr>
        <w:t xml:space="preserve"> </w:t>
      </w:r>
      <w:r w:rsidRPr="002809FE">
        <w:rPr>
          <w:sz w:val="24"/>
          <w:szCs w:val="24"/>
        </w:rPr>
        <w:t xml:space="preserve">decaying to </w:t>
      </w:r>
      <w:r w:rsidR="00D53624" w:rsidRPr="00D53624">
        <w:rPr>
          <w:sz w:val="24"/>
          <w:szCs w:val="24"/>
          <w:vertAlign w:val="superscript"/>
        </w:rPr>
        <w:t>241</w:t>
      </w:r>
      <w:r w:rsidR="00D53624">
        <w:rPr>
          <w:sz w:val="24"/>
          <w:szCs w:val="24"/>
        </w:rPr>
        <w:t>Am</w:t>
      </w:r>
      <w:r w:rsidRPr="002809FE">
        <w:rPr>
          <w:sz w:val="24"/>
          <w:szCs w:val="24"/>
        </w:rPr>
        <w:t xml:space="preserve"> </w:t>
      </w:r>
      <w:r w:rsidR="00D03C4E">
        <w:rPr>
          <w:sz w:val="24"/>
          <w:szCs w:val="24"/>
        </w:rPr>
        <w:fldChar w:fldCharType="begin" w:fldLock="1"/>
      </w:r>
      <w:r w:rsidR="007B6045">
        <w:rPr>
          <w:sz w:val="24"/>
          <w:szCs w:val="24"/>
        </w:rPr>
        <w:instrText>ADDIN CSL_CITATION {"citationItems":[{"id":"ITEM-1","itemData":{"ISBN":"9780123848734","abstract":"3rd ed. V. METHODS OF QUENCH CORRECTION IN LIQUID SCINTILLATION COUNTING. The updated and much expanded Third Edition of the \"Handbook of Radioactivity Analysis\" is an authoritative reference providing the principles, practical techniques, and procedures for the accurate measurement of radioactivity from the very low levels encountered in the environment to higher levels measured in radioisotope research, clinical laboratories, biological sciences, radionuclide standardization, nuclear medicine, nuclear power, fuel cycle facilities and in the implementation of nuclear forensic analysis and nuclear safeguards. The Third Edition contains seven new chapters providing a. Chapter 1 -- Radiation Physics and Radionuclide Decay; I. INTRODUCTION; II. DISCOVERY AND EARLY CHARACTERIZATION OF RADIOACTIVITY; III. BASIC UNITS AND DEFINITIONS; IV. PROPERTIES OF THE NUCLEUS; V. NATURALLY OCCURRING RADIONUCLIDES; VI. ARTIFICIALLY PRODUCED RADIONUCLIDES; VII. NUCLEAR REACTIONS; VIII. PARTICULATE RADIATION; IX. ELECTROMAGNETIC RADIATION -- PHOTONS. X. INTERACTION OF ELECTROMAGNETIC RADIATION WITH MATTERXI. RADIOACTIVE NUCLEAR RECOIL; XII. COSMIC RADIATION; XIII. RADIATION DOSE; XIV. STOPPING POWER AND LINEAR ENERGY TRANSFER; XV. RADIONUCLIDE DECAY, INGROWTH, AND EQUILIBRIUM; XVI. RADIOACTIVITY UNITS AND RADIONUCLIDE MASS; REFERENCES; Chapter 2 -- Radioactivity Counting Statistics; I. INTRODUCTION; II. STATISTICAL DISTRIBUTIONS; III. ANALYSIS OF A SAMPLE OF RESULTS; IV. STATISTICAL INFERENCE; V. REGRESSION; VI. DETECTION LIMITS; VII. METROLOGY APPLICATIONS; REFERENCES; RELEVANT STATISTICAL REFERENCES TABLES. Chapter 3 -- Gas Ionization DetectorsI. INTRODUCTION: PRINCIPLES OF RADIATION DETECTION BY GAS IONIZATION; II. CHARACTERIZATION OF GAS IONIZATION DETECTORS; III. DEFINITION OF OPERATING CHARACTERISTICS OF GAS IONIZATION DETECTORS; IV. ION CHAMBERS; V. PROPORTIONAL GAS IONIZATION DETECTORS; VI. GEIGER-MÜLLER COUNTERS; VII. SPECIAL TYPES OF IONIZATION DETECTORS; REFERENCES; Chapter 4 -- Solid-State Nuclear Track Detectors; PART 1 ELEMENTS; I. INTRODUCTION; II. DETECTOR MATERIALS AND CLASSIFICATION OF SOLID-STATE NUCLEAR TRACK DETECTORS. III. RECORDABLE PARTICLES WITH SOLID-STATE NUCLEAR TRACK DETECTORSIV. TRACK FORMATION MECHANISMS AND CRITERIA; V. TRACK REVELATION; VI. PARTICLE IDENTIFICATION; VII. TRACK FADING AND ANNEALING; VIII. INSTRUMENTATION; PART 2 APPLICATIONS; I. INTRODUCTION; II. PHYSICAL SCIENCES AND NUCLEAR TECHNOLOGY; III. EARTH AND PLANETARY SCIENCES; IV.…","author":[{"dropping-particle":"","family":"L'Annunziata","given":"Michael F.","non-dropping-particle":"","parse-names":false,"suffix":""}],"id":"ITEM-1","issued":{"date-parts":[["2012"]]},"number-of-pages":"1419","publisher":"Elsevier Science","title":"Handbook of radioactivity analysis","type":"book"},"uris":["http://www.mendeley.com/documents/?uuid=edb68f40-8873-38f3-87a5-9ffaeabb30cc"]}],"mendeley":{"formattedCitation":"[20]","plainTextFormattedCitation":"[20]","previouslyFormattedCitation":"[20]"},"properties":{"noteIndex":0},"schema":"https://github.com/citation-style-language/schema/raw/master/csl-citation.json"}</w:instrText>
      </w:r>
      <w:r w:rsidR="00D03C4E">
        <w:rPr>
          <w:sz w:val="24"/>
          <w:szCs w:val="24"/>
        </w:rPr>
        <w:fldChar w:fldCharType="separate"/>
      </w:r>
      <w:r w:rsidR="00CD23B7" w:rsidRPr="00CD23B7">
        <w:rPr>
          <w:noProof/>
          <w:sz w:val="24"/>
          <w:szCs w:val="24"/>
        </w:rPr>
        <w:t>[20]</w:t>
      </w:r>
      <w:r w:rsidR="00D03C4E">
        <w:rPr>
          <w:sz w:val="24"/>
          <w:szCs w:val="24"/>
        </w:rPr>
        <w:fldChar w:fldCharType="end"/>
      </w:r>
      <w:r>
        <w:rPr>
          <w:sz w:val="24"/>
          <w:szCs w:val="24"/>
        </w:rPr>
        <w:t>, it was possible</w:t>
      </w:r>
      <w:r w:rsidRPr="002809FE">
        <w:rPr>
          <w:sz w:val="24"/>
          <w:szCs w:val="24"/>
        </w:rPr>
        <w:t xml:space="preserve"> to quantify the amount of </w:t>
      </w:r>
      <w:r w:rsidR="00D53624" w:rsidRPr="00D53624">
        <w:rPr>
          <w:sz w:val="24"/>
          <w:szCs w:val="24"/>
          <w:vertAlign w:val="superscript"/>
        </w:rPr>
        <w:t>241</w:t>
      </w:r>
      <w:r w:rsidR="00D53624">
        <w:rPr>
          <w:sz w:val="24"/>
          <w:szCs w:val="24"/>
        </w:rPr>
        <w:t>Pu</w:t>
      </w:r>
      <w:r w:rsidR="00D53624" w:rsidRPr="002809FE">
        <w:rPr>
          <w:sz w:val="24"/>
          <w:szCs w:val="24"/>
        </w:rPr>
        <w:t xml:space="preserve"> </w:t>
      </w:r>
      <w:r w:rsidRPr="002809FE">
        <w:rPr>
          <w:sz w:val="24"/>
          <w:szCs w:val="24"/>
        </w:rPr>
        <w:t>currently in each sample using the estimate</w:t>
      </w:r>
      <w:r>
        <w:rPr>
          <w:sz w:val="24"/>
          <w:szCs w:val="24"/>
        </w:rPr>
        <w:t>d</w:t>
      </w:r>
      <w:r w:rsidRPr="002809FE">
        <w:rPr>
          <w:sz w:val="24"/>
          <w:szCs w:val="24"/>
        </w:rPr>
        <w:t xml:space="preserve"> amount</w:t>
      </w:r>
      <w:r>
        <w:rPr>
          <w:sz w:val="24"/>
          <w:szCs w:val="24"/>
        </w:rPr>
        <w:t>s</w:t>
      </w:r>
      <w:r w:rsidRPr="002809FE">
        <w:rPr>
          <w:sz w:val="24"/>
          <w:szCs w:val="24"/>
        </w:rPr>
        <w:t xml:space="preserve"> of </w:t>
      </w:r>
      <w:r w:rsidR="00D53624" w:rsidRPr="00D53624">
        <w:rPr>
          <w:sz w:val="24"/>
          <w:szCs w:val="24"/>
          <w:vertAlign w:val="superscript"/>
        </w:rPr>
        <w:t>241</w:t>
      </w:r>
      <w:r w:rsidR="00D53624">
        <w:rPr>
          <w:sz w:val="24"/>
          <w:szCs w:val="24"/>
        </w:rPr>
        <w:t>Am</w:t>
      </w:r>
      <w:r w:rsidR="00D53624" w:rsidRPr="002809FE">
        <w:rPr>
          <w:sz w:val="24"/>
          <w:szCs w:val="24"/>
        </w:rPr>
        <w:t xml:space="preserve"> </w:t>
      </w:r>
      <w:r w:rsidR="00AB7BBA">
        <w:rPr>
          <w:sz w:val="24"/>
          <w:szCs w:val="24"/>
        </w:rPr>
        <w:t xml:space="preserve">via the 59.5 keV </w:t>
      </w:r>
      <w:r w:rsidR="00AB7BBA">
        <w:rPr>
          <w:sz w:val="24"/>
          <w:szCs w:val="24"/>
          <w:vertAlign w:val="superscript"/>
        </w:rPr>
        <w:t>241</w:t>
      </w:r>
      <w:r w:rsidR="00AB7BBA">
        <w:rPr>
          <w:sz w:val="24"/>
          <w:szCs w:val="24"/>
        </w:rPr>
        <w:t>Am photopeak a</w:t>
      </w:r>
      <w:r w:rsidRPr="00AB7BBA">
        <w:rPr>
          <w:sz w:val="24"/>
          <w:szCs w:val="24"/>
        </w:rPr>
        <w:t>nd</w:t>
      </w:r>
      <w:r w:rsidRPr="002809FE">
        <w:rPr>
          <w:sz w:val="24"/>
          <w:szCs w:val="24"/>
        </w:rPr>
        <w:t xml:space="preserve"> literature values of</w:t>
      </w:r>
      <w:r>
        <w:rPr>
          <w:sz w:val="24"/>
          <w:szCs w:val="24"/>
        </w:rPr>
        <w:t xml:space="preserve"> the</w:t>
      </w:r>
      <w:r w:rsidRPr="002809FE">
        <w:rPr>
          <w:sz w:val="24"/>
          <w:szCs w:val="24"/>
        </w:rPr>
        <w:t xml:space="preserve"> decay rates</w:t>
      </w:r>
      <w:r>
        <w:rPr>
          <w:sz w:val="24"/>
          <w:szCs w:val="24"/>
        </w:rPr>
        <w:t xml:space="preserve"> and </w:t>
      </w:r>
      <w:r w:rsidRPr="002809FE">
        <w:rPr>
          <w:sz w:val="24"/>
          <w:szCs w:val="24"/>
        </w:rPr>
        <w:t xml:space="preserve">half-lives of both americium and </w:t>
      </w:r>
      <w:r w:rsidR="00D53624" w:rsidRPr="00D53624">
        <w:rPr>
          <w:sz w:val="24"/>
          <w:szCs w:val="24"/>
          <w:vertAlign w:val="superscript"/>
        </w:rPr>
        <w:t>241</w:t>
      </w:r>
      <w:r w:rsidR="00D53624">
        <w:rPr>
          <w:sz w:val="24"/>
          <w:szCs w:val="24"/>
        </w:rPr>
        <w:t xml:space="preserve">Pu </w:t>
      </w:r>
      <w:r w:rsidRPr="002809FE">
        <w:rPr>
          <w:sz w:val="24"/>
          <w:szCs w:val="24"/>
        </w:rPr>
        <w:t xml:space="preserve">isotopes. This is possible with use of the Bateman equation </w:t>
      </w:r>
      <w:r w:rsidR="00D03C4E">
        <w:rPr>
          <w:sz w:val="24"/>
          <w:szCs w:val="24"/>
        </w:rPr>
        <w:fldChar w:fldCharType="begin" w:fldLock="1"/>
      </w:r>
      <w:r w:rsidR="000B0F18">
        <w:rPr>
          <w:sz w:val="24"/>
          <w:szCs w:val="24"/>
        </w:rPr>
        <w:instrText>ADDIN CSL_CITATION {"citationItems":[{"id":"ITEM-1","itemData":{"abstract":"The solution of a system of differential equations occurring in the theory of radioactive transformations","author":[{"dropping-particle":"","family":"Harry Bateman","given":"","non-dropping-particle":"","parse-names":false,"suffix":""}],"container-title":"Proceedings of the Cambridge Philosophical Society, Mathematical and physical sciences","id":"ITEM-1","issued":{"date-parts":[["1910"]]},"page":"423-427","title":"The solution of a system of differential equations occurring in the theory of radioactive transformations","type":"article-journal","volume":"11"},"uris":["http://www.mendeley.com/documents/?uuid=a5fb7260-a157-3053-8ed3-d6d278feba3c"]}],"mendeley":{"formattedCitation":"[59]","plainTextFormattedCitation":"[59]","previouslyFormattedCitation":"[59]"},"properties":{"noteIndex":0},"schema":"https://github.com/citation-style-language/schema/raw/master/csl-citation.json"}</w:instrText>
      </w:r>
      <w:r w:rsidR="00D03C4E">
        <w:rPr>
          <w:sz w:val="24"/>
          <w:szCs w:val="24"/>
        </w:rPr>
        <w:fldChar w:fldCharType="separate"/>
      </w:r>
      <w:r w:rsidR="007D1AB4" w:rsidRPr="007D1AB4">
        <w:rPr>
          <w:noProof/>
          <w:sz w:val="24"/>
          <w:szCs w:val="24"/>
        </w:rPr>
        <w:t>[59]</w:t>
      </w:r>
      <w:r w:rsidR="00D03C4E">
        <w:rPr>
          <w:sz w:val="24"/>
          <w:szCs w:val="24"/>
        </w:rPr>
        <w:fldChar w:fldCharType="end"/>
      </w:r>
      <w:r w:rsidRPr="002809FE">
        <w:rPr>
          <w:sz w:val="24"/>
          <w:szCs w:val="24"/>
        </w:rPr>
        <w:t xml:space="preserve">, which describes abundances and </w:t>
      </w:r>
      <w:r w:rsidRPr="002809FE">
        <w:rPr>
          <w:sz w:val="24"/>
          <w:szCs w:val="24"/>
        </w:rPr>
        <w:lastRenderedPageBreak/>
        <w:t>activities</w:t>
      </w:r>
      <w:r>
        <w:rPr>
          <w:sz w:val="24"/>
          <w:szCs w:val="24"/>
        </w:rPr>
        <w:t xml:space="preserve"> of radionuclides</w:t>
      </w:r>
      <w:r w:rsidRPr="002809FE">
        <w:rPr>
          <w:sz w:val="24"/>
          <w:szCs w:val="24"/>
        </w:rPr>
        <w:t xml:space="preserve"> in a decay chain as a function of time, based on the decay rates and initial abundances </w:t>
      </w:r>
      <w:r>
        <w:rPr>
          <w:sz w:val="24"/>
          <w:szCs w:val="24"/>
        </w:rPr>
        <w:t xml:space="preserve">of the isotopes within a given material </w:t>
      </w:r>
      <w:r w:rsidR="00D03C4E">
        <w:rPr>
          <w:sz w:val="24"/>
          <w:szCs w:val="24"/>
        </w:rPr>
        <w:fldChar w:fldCharType="begin" w:fldLock="1"/>
      </w:r>
      <w:r w:rsidR="000B0F18">
        <w:rPr>
          <w:sz w:val="24"/>
          <w:szCs w:val="24"/>
        </w:rPr>
        <w:instrText>ADDIN CSL_CITATION {"citationItems":[{"id":"ITEM-1","itemData":{"DOI":"10.1016/j.anucene.2006.02.004","ISSN":"03064549","abstract":"The paper concerns the linear chain method of solving Bateman equations for nuclear transmutation in derivation of the general solution for linear chain with repeated transitions and thus elimination of existing numerical problems. In addition, applications of derived equations for transmutation trajectory analysis method is presented.","author":[{"dropping-particle":"","family":"Cetnar","given":"Jerzy","non-dropping-particle":"","parse-names":false,"suffix":""}],"container-title":"Annals of Nuclear Energy","id":"ITEM-1","issue":"7","issued":{"date-parts":[["2006","5"]]},"page":"640-645","title":"General solution of Bateman equations for nuclear transmutations","type":"article-journal","volume":"33"},"uris":["http://www.mendeley.com/documents/?uuid=1a0fafab-9ae9-3589-8518-8a5004ed73df"]}],"mendeley":{"formattedCitation":"[60]","plainTextFormattedCitation":"[60]","previouslyFormattedCitation":"[60]"},"properties":{"noteIndex":0},"schema":"https://github.com/citation-style-language/schema/raw/master/csl-citation.json"}</w:instrText>
      </w:r>
      <w:r w:rsidR="00D03C4E">
        <w:rPr>
          <w:sz w:val="24"/>
          <w:szCs w:val="24"/>
        </w:rPr>
        <w:fldChar w:fldCharType="separate"/>
      </w:r>
      <w:r w:rsidR="007D1AB4" w:rsidRPr="007D1AB4">
        <w:rPr>
          <w:noProof/>
          <w:sz w:val="24"/>
          <w:szCs w:val="24"/>
        </w:rPr>
        <w:t>[60]</w:t>
      </w:r>
      <w:r w:rsidR="00D03C4E">
        <w:rPr>
          <w:sz w:val="24"/>
          <w:szCs w:val="24"/>
        </w:rPr>
        <w:fldChar w:fldCharType="end"/>
      </w:r>
      <w:r w:rsidRPr="002809FE">
        <w:rPr>
          <w:sz w:val="24"/>
          <w:szCs w:val="24"/>
        </w:rPr>
        <w:t>.</w:t>
      </w:r>
    </w:p>
    <w:p w14:paraId="53136403" w14:textId="2BDC1252" w:rsidR="00F37CA9" w:rsidRPr="00AF04C7" w:rsidRDefault="00F37CA9" w:rsidP="00F37CA9">
      <w:pPr>
        <w:spacing w:line="480" w:lineRule="auto"/>
        <w:ind w:firstLine="567"/>
        <w:rPr>
          <w:rFonts w:cstheme="minorHAnsi"/>
          <w:sz w:val="24"/>
          <w:szCs w:val="24"/>
        </w:rPr>
      </w:pPr>
      <w:r w:rsidRPr="002809FE">
        <w:rPr>
          <w:sz w:val="24"/>
          <w:szCs w:val="24"/>
        </w:rPr>
        <w:t xml:space="preserve">The time component of </w:t>
      </w:r>
      <w:r>
        <w:rPr>
          <w:sz w:val="24"/>
          <w:szCs w:val="24"/>
        </w:rPr>
        <w:t xml:space="preserve">the equation of </w:t>
      </w:r>
      <w:r w:rsidRPr="002809FE">
        <w:rPr>
          <w:sz w:val="24"/>
          <w:szCs w:val="24"/>
        </w:rPr>
        <w:t xml:space="preserve">approximately 35 years was provided by contacts at DSRL as an estimate for when </w:t>
      </w:r>
      <w:r w:rsidR="00D53624" w:rsidRPr="00D53624">
        <w:rPr>
          <w:sz w:val="24"/>
          <w:szCs w:val="24"/>
          <w:vertAlign w:val="superscript"/>
        </w:rPr>
        <w:t>241</w:t>
      </w:r>
      <w:r w:rsidR="00D53624">
        <w:rPr>
          <w:sz w:val="24"/>
          <w:szCs w:val="24"/>
        </w:rPr>
        <w:t>Pu</w:t>
      </w:r>
      <w:r w:rsidRPr="002809FE">
        <w:rPr>
          <w:sz w:val="24"/>
          <w:szCs w:val="24"/>
        </w:rPr>
        <w:t xml:space="preserve"> may have been </w:t>
      </w:r>
      <w:r>
        <w:rPr>
          <w:sz w:val="24"/>
          <w:szCs w:val="24"/>
        </w:rPr>
        <w:t xml:space="preserve">deposited - </w:t>
      </w:r>
      <w:r w:rsidRPr="002809FE">
        <w:rPr>
          <w:sz w:val="24"/>
          <w:szCs w:val="24"/>
        </w:rPr>
        <w:t>at the latest</w:t>
      </w:r>
      <w:r>
        <w:rPr>
          <w:sz w:val="24"/>
          <w:szCs w:val="24"/>
        </w:rPr>
        <w:t xml:space="preserve"> -</w:t>
      </w:r>
      <w:r w:rsidRPr="002809FE">
        <w:rPr>
          <w:sz w:val="24"/>
          <w:szCs w:val="24"/>
        </w:rPr>
        <w:t xml:space="preserve"> on site</w:t>
      </w:r>
      <w:r>
        <w:rPr>
          <w:sz w:val="24"/>
          <w:szCs w:val="24"/>
        </w:rPr>
        <w:t xml:space="preserve"> (35 years prior to current date</w:t>
      </w:r>
      <w:r w:rsidR="00AB7BBA">
        <w:rPr>
          <w:sz w:val="24"/>
          <w:szCs w:val="24"/>
        </w:rPr>
        <w:t xml:space="preserve"> i.e. 1983</w:t>
      </w:r>
      <w:r>
        <w:rPr>
          <w:sz w:val="24"/>
          <w:szCs w:val="24"/>
        </w:rPr>
        <w:t xml:space="preserve">). These </w:t>
      </w:r>
      <w:r w:rsidR="00AB7BBA">
        <w:rPr>
          <w:sz w:val="24"/>
          <w:szCs w:val="24"/>
        </w:rPr>
        <w:t>assumptions are likely to over-</w:t>
      </w:r>
      <w:r w:rsidRPr="002809FE">
        <w:rPr>
          <w:sz w:val="24"/>
          <w:szCs w:val="24"/>
        </w:rPr>
        <w:t xml:space="preserve">estimate </w:t>
      </w:r>
      <w:r w:rsidR="00AB7BBA">
        <w:rPr>
          <w:sz w:val="24"/>
          <w:szCs w:val="24"/>
        </w:rPr>
        <w:t>the quantity responsible</w:t>
      </w:r>
      <w:r w:rsidRPr="002809FE">
        <w:rPr>
          <w:sz w:val="24"/>
          <w:szCs w:val="24"/>
        </w:rPr>
        <w:t xml:space="preserve">, but when working with </w:t>
      </w:r>
      <w:r w:rsidR="00AB7BBA">
        <w:rPr>
          <w:sz w:val="24"/>
          <w:szCs w:val="24"/>
        </w:rPr>
        <w:t>radioactive</w:t>
      </w:r>
      <w:r w:rsidRPr="002809FE">
        <w:rPr>
          <w:sz w:val="24"/>
          <w:szCs w:val="24"/>
        </w:rPr>
        <w:t xml:space="preserve"> nuclides of unknown concentrations (like </w:t>
      </w:r>
      <w:r w:rsidR="00D53624" w:rsidRPr="00D53624">
        <w:rPr>
          <w:sz w:val="24"/>
          <w:szCs w:val="24"/>
          <w:vertAlign w:val="superscript"/>
        </w:rPr>
        <w:t>241</w:t>
      </w:r>
      <w:r w:rsidR="00D53624">
        <w:rPr>
          <w:sz w:val="24"/>
          <w:szCs w:val="24"/>
        </w:rPr>
        <w:t>Pu</w:t>
      </w:r>
      <w:r w:rsidRPr="002809FE">
        <w:rPr>
          <w:sz w:val="24"/>
          <w:szCs w:val="24"/>
        </w:rPr>
        <w:t>) in a decommissioning scenario</w:t>
      </w:r>
      <w:r>
        <w:rPr>
          <w:sz w:val="24"/>
          <w:szCs w:val="24"/>
        </w:rPr>
        <w:t>,</w:t>
      </w:r>
      <w:r w:rsidRPr="002809FE">
        <w:rPr>
          <w:sz w:val="24"/>
          <w:szCs w:val="24"/>
        </w:rPr>
        <w:t xml:space="preserve"> </w:t>
      </w:r>
      <w:r>
        <w:rPr>
          <w:sz w:val="24"/>
          <w:szCs w:val="24"/>
        </w:rPr>
        <w:t xml:space="preserve">the precautionary principle </w:t>
      </w:r>
      <w:r w:rsidR="00D03C4E">
        <w:rPr>
          <w:sz w:val="24"/>
          <w:szCs w:val="24"/>
        </w:rPr>
        <w:fldChar w:fldCharType="begin" w:fldLock="1"/>
      </w:r>
      <w:r w:rsidR="000B0F18">
        <w:rPr>
          <w:sz w:val="24"/>
          <w:szCs w:val="24"/>
        </w:rPr>
        <w:instrText>ADDIN CSL_CITATION {"citationItems":[{"id":"ITEM-1","itemData":{"DOI":"10.1080/00207230108711351","ISSN":"0020-7233","abstract":"Increasingly, the “Precautionary Principle” is being discussed as a basis for decision‐making to protect environmental and human health where there are risks of serious or irreversible damage but where there are gaps in knowledge and uncertainties to demonstrate conclusively either the existence of the risks or their levels. Many analyses of the precautionary principle focus on the abstract or philosophical theories of the principle. Here, I provide a more practical case study to demonstrate some of the prospects and problems of the principle. While the case study focuses specifically on the disposal of high‐level radioactive waste at a potential repository at Yucca Mountain, Nevada, it also provides insight to other problems of complex technologies and the protection of health.","author":[{"dropping-particle":"","family":"Lemons","given":"John","non-dropping-particle":"","parse-names":false,"suffix":""}],"container-title":"International Journal of Environmental Studies","id":"ITEM-1","issue":"5","issued":{"date-parts":[["2001","8"]]},"page":"549-583","publisher":" Taylor &amp; Francis Group ","title":"Erring with high‐level nuclear waste disposal: a case study of the precautionary principle","type":"article-journal","volume":"58"},"uris":["http://www.mendeley.com/documents/?uuid=34943f52-5c9b-352e-b032-5e72bf098165"]}],"mendeley":{"formattedCitation":"[61]","plainTextFormattedCitation":"[61]","previouslyFormattedCitation":"[61]"},"properties":{"noteIndex":0},"schema":"https://github.com/citation-style-language/schema/raw/master/csl-citation.json"}</w:instrText>
      </w:r>
      <w:r w:rsidR="00D03C4E">
        <w:rPr>
          <w:sz w:val="24"/>
          <w:szCs w:val="24"/>
        </w:rPr>
        <w:fldChar w:fldCharType="separate"/>
      </w:r>
      <w:r w:rsidR="007D1AB4" w:rsidRPr="007D1AB4">
        <w:rPr>
          <w:noProof/>
          <w:sz w:val="24"/>
          <w:szCs w:val="24"/>
        </w:rPr>
        <w:t>[61]</w:t>
      </w:r>
      <w:r w:rsidR="00D03C4E">
        <w:rPr>
          <w:sz w:val="24"/>
          <w:szCs w:val="24"/>
        </w:rPr>
        <w:fldChar w:fldCharType="end"/>
      </w:r>
      <w:r w:rsidR="00840AFA">
        <w:rPr>
          <w:sz w:val="24"/>
          <w:szCs w:val="24"/>
        </w:rPr>
        <w:t xml:space="preserve"> </w:t>
      </w:r>
      <w:r>
        <w:rPr>
          <w:sz w:val="24"/>
          <w:szCs w:val="24"/>
        </w:rPr>
        <w:t>applies in the absence of better data rather than underestimate the radioactive presence within the soil on site</w:t>
      </w:r>
      <w:r w:rsidRPr="002809FE">
        <w:rPr>
          <w:sz w:val="24"/>
          <w:szCs w:val="24"/>
        </w:rPr>
        <w:t>.</w:t>
      </w:r>
    </w:p>
    <w:p w14:paraId="29F0A979" w14:textId="650D3EA4" w:rsidR="00F37CA9" w:rsidRPr="00AF04C7" w:rsidRDefault="00E517FB" w:rsidP="00F37CA9">
      <w:pPr>
        <w:spacing w:line="480" w:lineRule="auto"/>
        <w:ind w:firstLine="567"/>
        <w:rPr>
          <w:rFonts w:cstheme="minorHAnsi"/>
          <w:b/>
          <w:sz w:val="24"/>
          <w:szCs w:val="24"/>
          <w:u w:val="single"/>
          <w:shd w:val="clear" w:color="auto" w:fill="FFFFFF"/>
        </w:rPr>
      </w:pPr>
      <w:r>
        <w:rPr>
          <w:rFonts w:cstheme="minorHAnsi"/>
          <w:sz w:val="24"/>
          <w:szCs w:val="24"/>
          <w:shd w:val="clear" w:color="auto" w:fill="FFFFFF"/>
        </w:rPr>
        <w:t>The f</w:t>
      </w:r>
      <w:r w:rsidR="00F37CA9" w:rsidRPr="00AF04C7">
        <w:rPr>
          <w:rFonts w:cstheme="minorHAnsi"/>
          <w:sz w:val="24"/>
          <w:szCs w:val="24"/>
          <w:shd w:val="clear" w:color="auto" w:fill="FFFFFF"/>
        </w:rPr>
        <w:t>ollowing is a</w:t>
      </w:r>
      <w:r>
        <w:rPr>
          <w:rFonts w:cstheme="minorHAnsi"/>
          <w:sz w:val="24"/>
          <w:szCs w:val="24"/>
          <w:shd w:val="clear" w:color="auto" w:fill="FFFFFF"/>
        </w:rPr>
        <w:t xml:space="preserve"> step-by-step</w:t>
      </w:r>
      <w:r w:rsidR="00F37CA9" w:rsidRPr="00AF04C7">
        <w:rPr>
          <w:rFonts w:cstheme="minorHAnsi"/>
          <w:sz w:val="24"/>
          <w:szCs w:val="24"/>
          <w:shd w:val="clear" w:color="auto" w:fill="FFFFFF"/>
        </w:rPr>
        <w:t xml:space="preserve"> explanation of the analysis of the spectra gained from CCFE</w:t>
      </w:r>
      <w:r w:rsidR="00F37CA9">
        <w:rPr>
          <w:rFonts w:cstheme="minorHAnsi"/>
          <w:sz w:val="24"/>
          <w:szCs w:val="24"/>
          <w:shd w:val="clear" w:color="auto" w:fill="FFFFFF"/>
        </w:rPr>
        <w:t>:</w:t>
      </w:r>
    </w:p>
    <w:p w14:paraId="10A24D65" w14:textId="4ADE4DF3" w:rsidR="00F37CA9" w:rsidRPr="00AF04C7" w:rsidRDefault="00F37CA9" w:rsidP="00F37CA9">
      <w:pPr>
        <w:spacing w:line="480" w:lineRule="auto"/>
        <w:rPr>
          <w:rFonts w:cstheme="minorHAnsi"/>
          <w:sz w:val="24"/>
          <w:szCs w:val="24"/>
          <w:shd w:val="clear" w:color="auto" w:fill="FFFFFF"/>
        </w:rPr>
      </w:pPr>
      <w:r w:rsidRPr="00AF04C7">
        <w:rPr>
          <w:rFonts w:cstheme="minorHAnsi"/>
          <w:b/>
          <w:sz w:val="24"/>
          <w:szCs w:val="24"/>
          <w:u w:val="single"/>
          <w:shd w:val="clear" w:color="auto" w:fill="FFFFFF"/>
        </w:rPr>
        <w:t>Sampling</w:t>
      </w:r>
      <w:r w:rsidRPr="00AF04C7">
        <w:rPr>
          <w:rFonts w:cstheme="minorHAnsi"/>
          <w:sz w:val="24"/>
          <w:szCs w:val="24"/>
          <w:shd w:val="clear" w:color="auto" w:fill="FFFFFF"/>
        </w:rPr>
        <w:t xml:space="preserve">: To begin, a </w:t>
      </w:r>
      <w:r w:rsidR="00E517FB">
        <w:rPr>
          <w:rFonts w:cstheme="minorHAnsi"/>
          <w:sz w:val="24"/>
          <w:szCs w:val="24"/>
          <w:shd w:val="clear" w:color="auto" w:fill="FFFFFF"/>
        </w:rPr>
        <w:t xml:space="preserve">separate </w:t>
      </w:r>
      <w:r w:rsidRPr="00AF04C7">
        <w:rPr>
          <w:rFonts w:cstheme="minorHAnsi"/>
          <w:sz w:val="24"/>
          <w:szCs w:val="24"/>
          <w:shd w:val="clear" w:color="auto" w:fill="FFFFFF"/>
        </w:rPr>
        <w:t>100</w:t>
      </w:r>
      <w:r w:rsidR="00E517FB">
        <w:rPr>
          <w:rFonts w:cstheme="minorHAnsi"/>
          <w:sz w:val="24"/>
          <w:szCs w:val="24"/>
          <w:shd w:val="clear" w:color="auto" w:fill="FFFFFF"/>
        </w:rPr>
        <w:t xml:space="preserve"> </w:t>
      </w:r>
      <w:r w:rsidRPr="00AF04C7">
        <w:rPr>
          <w:rFonts w:cstheme="minorHAnsi"/>
          <w:sz w:val="24"/>
          <w:szCs w:val="24"/>
          <w:shd w:val="clear" w:color="auto" w:fill="FFFFFF"/>
        </w:rPr>
        <w:t xml:space="preserve">ml pot was filled </w:t>
      </w:r>
      <w:r w:rsidR="00E517FB">
        <w:rPr>
          <w:rFonts w:cstheme="minorHAnsi"/>
          <w:sz w:val="24"/>
          <w:szCs w:val="24"/>
          <w:shd w:val="clear" w:color="auto" w:fill="FFFFFF"/>
        </w:rPr>
        <w:t>for each</w:t>
      </w:r>
      <w:r w:rsidRPr="00AF04C7">
        <w:rPr>
          <w:rFonts w:cstheme="minorHAnsi"/>
          <w:sz w:val="24"/>
          <w:szCs w:val="24"/>
          <w:shd w:val="clear" w:color="auto" w:fill="FFFFFF"/>
        </w:rPr>
        <w:t xml:space="preserve"> sample to </w:t>
      </w:r>
      <w:r>
        <w:rPr>
          <w:rFonts w:cstheme="minorHAnsi"/>
          <w:sz w:val="24"/>
          <w:szCs w:val="24"/>
          <w:shd w:val="clear" w:color="auto" w:fill="FFFFFF"/>
        </w:rPr>
        <w:t xml:space="preserve">a </w:t>
      </w:r>
      <w:r w:rsidR="00D53624">
        <w:rPr>
          <w:rFonts w:cstheme="minorHAnsi"/>
          <w:sz w:val="24"/>
          <w:szCs w:val="24"/>
          <w:shd w:val="clear" w:color="auto" w:fill="FFFFFF"/>
        </w:rPr>
        <w:t xml:space="preserve">consistent and </w:t>
      </w:r>
      <w:r w:rsidRPr="00AF04C7">
        <w:rPr>
          <w:rFonts w:cstheme="minorHAnsi"/>
          <w:sz w:val="24"/>
          <w:szCs w:val="24"/>
          <w:shd w:val="clear" w:color="auto" w:fill="FFFFFF"/>
        </w:rPr>
        <w:t xml:space="preserve">specific height (required for efficiency analysis) and weighed. The sample pots were placed in the BEGe detector for 24 hours to record the spectra of </w:t>
      </w:r>
      <w:r w:rsidR="00780048">
        <w:rPr>
          <w:sz w:val="24"/>
          <w:szCs w:val="24"/>
        </w:rPr>
        <w:t>gamma</w:t>
      </w:r>
      <w:r w:rsidRPr="00AF04C7">
        <w:rPr>
          <w:rFonts w:cstheme="minorHAnsi"/>
          <w:sz w:val="24"/>
          <w:szCs w:val="24"/>
          <w:shd w:val="clear" w:color="auto" w:fill="FFFFFF"/>
        </w:rPr>
        <w:t xml:space="preserve">-ray emissions from each sample. </w:t>
      </w:r>
    </w:p>
    <w:p w14:paraId="3D7FC547" w14:textId="19689A4C" w:rsidR="00F37CA9" w:rsidRPr="007903F2" w:rsidRDefault="00F37CA9" w:rsidP="00F37CA9">
      <w:pPr>
        <w:spacing w:line="480" w:lineRule="auto"/>
        <w:rPr>
          <w:rFonts w:cstheme="minorHAnsi"/>
          <w:sz w:val="24"/>
          <w:szCs w:val="24"/>
          <w:shd w:val="clear" w:color="auto" w:fill="FFFFFF"/>
        </w:rPr>
      </w:pPr>
      <w:r w:rsidRPr="00AF04C7">
        <w:rPr>
          <w:rFonts w:cstheme="minorHAnsi"/>
          <w:b/>
          <w:sz w:val="24"/>
          <w:szCs w:val="24"/>
          <w:u w:val="single"/>
          <w:shd w:val="clear" w:color="auto" w:fill="FFFFFF"/>
        </w:rPr>
        <w:t>Peak Identification</w:t>
      </w:r>
      <w:r w:rsidRPr="00AF04C7">
        <w:rPr>
          <w:rFonts w:cstheme="minorHAnsi"/>
          <w:sz w:val="24"/>
          <w:szCs w:val="24"/>
          <w:shd w:val="clear" w:color="auto" w:fill="FFFFFF"/>
        </w:rPr>
        <w:t xml:space="preserve">: The spectra measured from each sample were analysed for emission peaks from any known </w:t>
      </w:r>
      <w:r w:rsidR="00780048">
        <w:rPr>
          <w:sz w:val="24"/>
          <w:szCs w:val="24"/>
        </w:rPr>
        <w:t>gamma</w:t>
      </w:r>
      <w:r w:rsidRPr="00AF04C7">
        <w:rPr>
          <w:rFonts w:cstheme="minorHAnsi"/>
          <w:sz w:val="24"/>
          <w:szCs w:val="24"/>
          <w:shd w:val="clear" w:color="auto" w:fill="FFFFFF"/>
        </w:rPr>
        <w:t>-ray emitters in the plutonium decay chain.</w:t>
      </w:r>
      <w:r>
        <w:rPr>
          <w:rFonts w:cstheme="minorHAnsi"/>
          <w:sz w:val="24"/>
          <w:szCs w:val="24"/>
          <w:shd w:val="clear" w:color="auto" w:fill="FFFFFF"/>
        </w:rPr>
        <w:t xml:space="preserve"> </w:t>
      </w:r>
      <w:r w:rsidRPr="00AF04C7">
        <w:rPr>
          <w:rFonts w:cstheme="minorHAnsi"/>
          <w:sz w:val="24"/>
          <w:szCs w:val="24"/>
          <w:shd w:val="clear" w:color="auto" w:fill="FFFFFF"/>
        </w:rPr>
        <w:t>Overall</w:t>
      </w:r>
      <w:r w:rsidR="00E517FB">
        <w:rPr>
          <w:rFonts w:cstheme="minorHAnsi"/>
          <w:sz w:val="24"/>
          <w:szCs w:val="24"/>
          <w:shd w:val="clear" w:color="auto" w:fill="FFFFFF"/>
        </w:rPr>
        <w:t xml:space="preserve"> and unsurprisingly</w:t>
      </w:r>
      <w:r w:rsidRPr="00AF04C7">
        <w:rPr>
          <w:rFonts w:cstheme="minorHAnsi"/>
          <w:sz w:val="24"/>
          <w:szCs w:val="24"/>
          <w:shd w:val="clear" w:color="auto" w:fill="FFFFFF"/>
        </w:rPr>
        <w:t xml:space="preserve">, the peaks </w:t>
      </w:r>
      <w:r w:rsidR="00E517FB">
        <w:rPr>
          <w:rFonts w:cstheme="minorHAnsi"/>
          <w:sz w:val="24"/>
          <w:szCs w:val="24"/>
          <w:shd w:val="clear" w:color="auto" w:fill="FFFFFF"/>
        </w:rPr>
        <w:t xml:space="preserve">observed </w:t>
      </w:r>
      <w:r w:rsidRPr="00AF04C7">
        <w:rPr>
          <w:rFonts w:cstheme="minorHAnsi"/>
          <w:sz w:val="24"/>
          <w:szCs w:val="24"/>
          <w:shd w:val="clear" w:color="auto" w:fill="FFFFFF"/>
        </w:rPr>
        <w:t>were generally caused by daughter products of naturally</w:t>
      </w:r>
      <w:r w:rsidR="00E517FB">
        <w:rPr>
          <w:rFonts w:cstheme="minorHAnsi"/>
          <w:sz w:val="24"/>
          <w:szCs w:val="24"/>
          <w:shd w:val="clear" w:color="auto" w:fill="FFFFFF"/>
        </w:rPr>
        <w:t>-</w:t>
      </w:r>
      <w:r w:rsidRPr="00AF04C7">
        <w:rPr>
          <w:rFonts w:cstheme="minorHAnsi"/>
          <w:sz w:val="24"/>
          <w:szCs w:val="24"/>
          <w:shd w:val="clear" w:color="auto" w:fill="FFFFFF"/>
        </w:rPr>
        <w:t xml:space="preserve">occurring uranium (lead, thorium etc.). Among some spectra however, an </w:t>
      </w:r>
      <w:r w:rsidR="00D53624" w:rsidRPr="00D53624">
        <w:rPr>
          <w:sz w:val="24"/>
          <w:szCs w:val="24"/>
          <w:vertAlign w:val="superscript"/>
        </w:rPr>
        <w:t>241</w:t>
      </w:r>
      <w:r w:rsidR="00D53624">
        <w:rPr>
          <w:sz w:val="24"/>
          <w:szCs w:val="24"/>
        </w:rPr>
        <w:t>Am</w:t>
      </w:r>
      <w:r w:rsidR="00D53624" w:rsidRPr="00AF04C7">
        <w:rPr>
          <w:rFonts w:cstheme="minorHAnsi"/>
          <w:sz w:val="24"/>
          <w:szCs w:val="24"/>
          <w:shd w:val="clear" w:color="auto" w:fill="FFFFFF"/>
        </w:rPr>
        <w:t xml:space="preserve"> </w:t>
      </w:r>
      <w:r w:rsidRPr="00AF04C7">
        <w:rPr>
          <w:rFonts w:cstheme="minorHAnsi"/>
          <w:sz w:val="24"/>
          <w:szCs w:val="24"/>
          <w:shd w:val="clear" w:color="auto" w:fill="FFFFFF"/>
        </w:rPr>
        <w:t>peak was identified due to its characteristic 59.5 keV emission.</w:t>
      </w:r>
      <w:r w:rsidRPr="00AF04C7">
        <w:rPr>
          <w:rFonts w:cstheme="minorHAnsi"/>
          <w:sz w:val="24"/>
          <w:szCs w:val="24"/>
          <w:shd w:val="clear" w:color="auto" w:fill="FFFFFF"/>
        </w:rPr>
        <w:br/>
      </w:r>
      <w:r w:rsidRPr="00AF04C7">
        <w:rPr>
          <w:rFonts w:cstheme="minorHAnsi"/>
          <w:b/>
          <w:sz w:val="24"/>
          <w:szCs w:val="24"/>
          <w:u w:val="single"/>
          <w:shd w:val="clear" w:color="auto" w:fill="FFFFFF"/>
        </w:rPr>
        <w:t>Americium-241</w:t>
      </w:r>
      <w:r w:rsidRPr="00AF04C7">
        <w:rPr>
          <w:rFonts w:cstheme="minorHAnsi"/>
          <w:sz w:val="24"/>
          <w:szCs w:val="24"/>
          <w:shd w:val="clear" w:color="auto" w:fill="FFFFFF"/>
        </w:rPr>
        <w:t xml:space="preserve">: </w:t>
      </w:r>
      <w:r w:rsidR="00D53624" w:rsidRPr="00D53624">
        <w:rPr>
          <w:sz w:val="24"/>
          <w:szCs w:val="24"/>
          <w:vertAlign w:val="superscript"/>
        </w:rPr>
        <w:t>241</w:t>
      </w:r>
      <w:r w:rsidR="00D53624">
        <w:rPr>
          <w:sz w:val="24"/>
          <w:szCs w:val="24"/>
        </w:rPr>
        <w:t>Am</w:t>
      </w:r>
      <w:r w:rsidR="00D53624" w:rsidRPr="00AF04C7">
        <w:rPr>
          <w:rFonts w:cstheme="minorHAnsi"/>
          <w:sz w:val="24"/>
          <w:szCs w:val="24"/>
          <w:shd w:val="clear" w:color="auto" w:fill="FFFFFF"/>
        </w:rPr>
        <w:t xml:space="preserve"> </w:t>
      </w:r>
      <w:r w:rsidRPr="00AF04C7">
        <w:rPr>
          <w:rFonts w:cstheme="minorHAnsi"/>
          <w:sz w:val="24"/>
          <w:szCs w:val="24"/>
          <w:shd w:val="clear" w:color="auto" w:fill="FFFFFF"/>
        </w:rPr>
        <w:t xml:space="preserve">is a decay product of </w:t>
      </w:r>
      <w:r w:rsidR="00D53624" w:rsidRPr="00D53624">
        <w:rPr>
          <w:sz w:val="24"/>
          <w:szCs w:val="24"/>
          <w:vertAlign w:val="superscript"/>
        </w:rPr>
        <w:t>241</w:t>
      </w:r>
      <w:r w:rsidR="00D53624">
        <w:rPr>
          <w:sz w:val="24"/>
          <w:szCs w:val="24"/>
        </w:rPr>
        <w:t>Pu</w:t>
      </w:r>
      <w:r w:rsidRPr="00AF04C7">
        <w:rPr>
          <w:rFonts w:cstheme="minorHAnsi"/>
          <w:sz w:val="24"/>
          <w:szCs w:val="24"/>
          <w:shd w:val="clear" w:color="auto" w:fill="FFFFFF"/>
        </w:rPr>
        <w:t xml:space="preserve">, which is </w:t>
      </w:r>
      <w:r w:rsidR="00E517FB">
        <w:rPr>
          <w:rFonts w:cstheme="minorHAnsi"/>
          <w:sz w:val="24"/>
          <w:szCs w:val="24"/>
          <w:shd w:val="clear" w:color="auto" w:fill="FFFFFF"/>
        </w:rPr>
        <w:t>an activation</w:t>
      </w:r>
      <w:r w:rsidRPr="00AF04C7">
        <w:rPr>
          <w:rFonts w:cstheme="minorHAnsi"/>
          <w:sz w:val="24"/>
          <w:szCs w:val="24"/>
          <w:shd w:val="clear" w:color="auto" w:fill="FFFFFF"/>
        </w:rPr>
        <w:t xml:space="preserve"> product of the nuclear fuel process. The energy range surrounding the </w:t>
      </w:r>
      <w:r w:rsidR="00D53624">
        <w:rPr>
          <w:rFonts w:cstheme="minorHAnsi"/>
          <w:sz w:val="24"/>
          <w:szCs w:val="24"/>
          <w:shd w:val="clear" w:color="auto" w:fill="FFFFFF"/>
        </w:rPr>
        <w:t xml:space="preserve">59.5 </w:t>
      </w:r>
      <w:r w:rsidRPr="00AF04C7">
        <w:rPr>
          <w:rFonts w:cstheme="minorHAnsi"/>
          <w:sz w:val="24"/>
          <w:szCs w:val="24"/>
          <w:shd w:val="clear" w:color="auto" w:fill="FFFFFF"/>
        </w:rPr>
        <w:t>keV peak (59-60 keV) was identified and the number of counts was collated in this range for each sample.</w:t>
      </w:r>
      <w:r w:rsidRPr="00AF04C7">
        <w:rPr>
          <w:rFonts w:cstheme="minorHAnsi"/>
          <w:sz w:val="24"/>
          <w:szCs w:val="24"/>
          <w:shd w:val="clear" w:color="auto" w:fill="FFFFFF"/>
        </w:rPr>
        <w:br/>
      </w:r>
      <w:r w:rsidR="00D53624" w:rsidRPr="00D53624">
        <w:rPr>
          <w:sz w:val="24"/>
          <w:szCs w:val="24"/>
          <w:vertAlign w:val="superscript"/>
        </w:rPr>
        <w:lastRenderedPageBreak/>
        <w:t>241</w:t>
      </w:r>
      <w:r w:rsidR="00D53624">
        <w:rPr>
          <w:sz w:val="24"/>
          <w:szCs w:val="24"/>
        </w:rPr>
        <w:t>Am</w:t>
      </w:r>
      <w:r w:rsidR="00D53624" w:rsidRPr="00AF04C7">
        <w:rPr>
          <w:rFonts w:cstheme="minorHAnsi"/>
          <w:sz w:val="24"/>
          <w:szCs w:val="24"/>
          <w:shd w:val="clear" w:color="auto" w:fill="FFFFFF"/>
        </w:rPr>
        <w:t xml:space="preserve"> </w:t>
      </w:r>
      <w:r w:rsidRPr="00AF04C7">
        <w:rPr>
          <w:rFonts w:cstheme="minorHAnsi"/>
          <w:sz w:val="24"/>
          <w:szCs w:val="24"/>
          <w:shd w:val="clear" w:color="auto" w:fill="FFFFFF"/>
        </w:rPr>
        <w:t>was chosen as the main focus in the spectra as it is the closest</w:t>
      </w:r>
      <w:r w:rsidR="00E517FB">
        <w:rPr>
          <w:rFonts w:cstheme="minorHAnsi"/>
          <w:sz w:val="24"/>
          <w:szCs w:val="24"/>
          <w:shd w:val="clear" w:color="auto" w:fill="FFFFFF"/>
        </w:rPr>
        <w:t>,</w:t>
      </w:r>
      <w:r w:rsidRPr="00AF04C7">
        <w:rPr>
          <w:rFonts w:cstheme="minorHAnsi"/>
          <w:sz w:val="24"/>
          <w:szCs w:val="24"/>
          <w:shd w:val="clear" w:color="auto" w:fill="FFFFFF"/>
        </w:rPr>
        <w:t xml:space="preserve"> visible</w:t>
      </w:r>
      <w:r w:rsidR="00E517FB">
        <w:rPr>
          <w:rFonts w:cstheme="minorHAnsi"/>
          <w:sz w:val="24"/>
          <w:szCs w:val="24"/>
          <w:shd w:val="clear" w:color="auto" w:fill="FFFFFF"/>
        </w:rPr>
        <w:t>, uncontaminated</w:t>
      </w:r>
      <w:r w:rsidRPr="00AF04C7">
        <w:rPr>
          <w:rFonts w:cstheme="minorHAnsi"/>
          <w:sz w:val="24"/>
          <w:szCs w:val="24"/>
          <w:shd w:val="clear" w:color="auto" w:fill="FFFFFF"/>
        </w:rPr>
        <w:t xml:space="preserve"> radionuclide to the plutonium decay series, and with literature values estimates for the overall number of plutonium atoms in each sample can be calculated to then get an estimate for the number of neutrons each sample was likely to emit. This neutron estimate allows corroboration of the neutron counts from the</w:t>
      </w:r>
      <w:r w:rsidR="00E517FB">
        <w:rPr>
          <w:rFonts w:cstheme="minorHAnsi"/>
          <w:sz w:val="24"/>
          <w:szCs w:val="24"/>
          <w:shd w:val="clear" w:color="auto" w:fill="FFFFFF"/>
        </w:rPr>
        <w:t xml:space="preserve"> organic scintillator</w:t>
      </w:r>
      <w:r w:rsidRPr="00AF04C7">
        <w:rPr>
          <w:rFonts w:cstheme="minorHAnsi"/>
          <w:sz w:val="24"/>
          <w:szCs w:val="24"/>
          <w:shd w:val="clear" w:color="auto" w:fill="FFFFFF"/>
        </w:rPr>
        <w:t xml:space="preserve"> detector arrays.</w:t>
      </w:r>
      <w:r w:rsidRPr="00AF04C7">
        <w:rPr>
          <w:rFonts w:cstheme="minorHAnsi"/>
          <w:sz w:val="24"/>
          <w:szCs w:val="24"/>
          <w:shd w:val="clear" w:color="auto" w:fill="FFFFFF"/>
        </w:rPr>
        <w:br/>
      </w:r>
      <w:r w:rsidRPr="00AF04C7">
        <w:rPr>
          <w:rFonts w:cstheme="minorHAnsi"/>
          <w:b/>
          <w:sz w:val="24"/>
          <w:szCs w:val="24"/>
          <w:u w:val="single"/>
          <w:shd w:val="clear" w:color="auto" w:fill="FFFFFF"/>
        </w:rPr>
        <w:t>Background Subtraction</w:t>
      </w:r>
      <w:r w:rsidRPr="00AF04C7">
        <w:rPr>
          <w:rFonts w:cstheme="minorHAnsi"/>
          <w:sz w:val="24"/>
          <w:szCs w:val="24"/>
          <w:shd w:val="clear" w:color="auto" w:fill="FFFFFF"/>
        </w:rPr>
        <w:t>: When count</w:t>
      </w:r>
      <w:r w:rsidR="00E517FB">
        <w:rPr>
          <w:rFonts w:cstheme="minorHAnsi"/>
          <w:sz w:val="24"/>
          <w:szCs w:val="24"/>
          <w:shd w:val="clear" w:color="auto" w:fill="FFFFFF"/>
        </w:rPr>
        <w:t>s</w:t>
      </w:r>
      <w:r w:rsidRPr="00AF04C7">
        <w:rPr>
          <w:rFonts w:cstheme="minorHAnsi"/>
          <w:sz w:val="24"/>
          <w:szCs w:val="24"/>
          <w:shd w:val="clear" w:color="auto" w:fill="FFFFFF"/>
        </w:rPr>
        <w:t xml:space="preserve"> for </w:t>
      </w:r>
      <w:r w:rsidR="00D53624" w:rsidRPr="00D53624">
        <w:rPr>
          <w:sz w:val="24"/>
          <w:szCs w:val="24"/>
          <w:vertAlign w:val="superscript"/>
        </w:rPr>
        <w:t>241</w:t>
      </w:r>
      <w:r w:rsidR="00D53624">
        <w:rPr>
          <w:sz w:val="24"/>
          <w:szCs w:val="24"/>
        </w:rPr>
        <w:t>Am</w:t>
      </w:r>
      <w:r w:rsidRPr="00AF04C7">
        <w:rPr>
          <w:rFonts w:cstheme="minorHAnsi"/>
          <w:sz w:val="24"/>
          <w:szCs w:val="24"/>
          <w:shd w:val="clear" w:color="auto" w:fill="FFFFFF"/>
        </w:rPr>
        <w:t xml:space="preserve"> emission were measured for each sample, estimates were calculated for the background counts in each peak to subtract from the count number measured in the peak overall. This was an efficient way to assume the removal of background counts from the calculations.</w:t>
      </w:r>
      <w:r w:rsidRPr="00AF04C7">
        <w:rPr>
          <w:rFonts w:cstheme="minorHAnsi"/>
          <w:color w:val="FF0000"/>
          <w:sz w:val="24"/>
          <w:szCs w:val="24"/>
          <w:shd w:val="clear" w:color="auto" w:fill="FFFFFF"/>
        </w:rPr>
        <w:br/>
      </w:r>
      <w:r w:rsidRPr="00AF04C7">
        <w:rPr>
          <w:rFonts w:cstheme="minorHAnsi"/>
          <w:b/>
          <w:sz w:val="24"/>
          <w:szCs w:val="24"/>
          <w:u w:val="single"/>
          <w:shd w:val="clear" w:color="auto" w:fill="FFFFFF"/>
        </w:rPr>
        <w:t>Decay Rate</w:t>
      </w:r>
      <w:r w:rsidRPr="00AF04C7">
        <w:rPr>
          <w:rFonts w:cstheme="minorHAnsi"/>
          <w:sz w:val="24"/>
          <w:szCs w:val="24"/>
          <w:shd w:val="clear" w:color="auto" w:fill="FFFFFF"/>
        </w:rPr>
        <w:t xml:space="preserve">: Next, the total number of </w:t>
      </w:r>
      <w:r w:rsidR="00D53624" w:rsidRPr="00D53624">
        <w:rPr>
          <w:sz w:val="24"/>
          <w:szCs w:val="24"/>
          <w:vertAlign w:val="superscript"/>
        </w:rPr>
        <w:t>241</w:t>
      </w:r>
      <w:r w:rsidR="00D53624">
        <w:rPr>
          <w:sz w:val="24"/>
          <w:szCs w:val="24"/>
        </w:rPr>
        <w:t>Am</w:t>
      </w:r>
      <w:r w:rsidR="00D53624" w:rsidRPr="00AF04C7">
        <w:rPr>
          <w:rFonts w:cstheme="minorHAnsi"/>
          <w:sz w:val="24"/>
          <w:szCs w:val="24"/>
          <w:shd w:val="clear" w:color="auto" w:fill="FFFFFF"/>
        </w:rPr>
        <w:t xml:space="preserve"> </w:t>
      </w:r>
      <w:r w:rsidRPr="00AF04C7">
        <w:rPr>
          <w:rFonts w:cstheme="minorHAnsi"/>
          <w:sz w:val="24"/>
          <w:szCs w:val="24"/>
          <w:shd w:val="clear" w:color="auto" w:fill="FFFFFF"/>
        </w:rPr>
        <w:t xml:space="preserve">atoms that decayed over the 24 hours was determined using values from the </w:t>
      </w:r>
      <w:r w:rsidR="00D53624" w:rsidRPr="00D53624">
        <w:rPr>
          <w:sz w:val="24"/>
          <w:szCs w:val="24"/>
          <w:vertAlign w:val="superscript"/>
        </w:rPr>
        <w:t>241</w:t>
      </w:r>
      <w:r w:rsidR="00D53624">
        <w:rPr>
          <w:sz w:val="24"/>
          <w:szCs w:val="24"/>
        </w:rPr>
        <w:t>Am</w:t>
      </w:r>
      <w:r w:rsidR="00D53624" w:rsidRPr="00AF04C7">
        <w:rPr>
          <w:rFonts w:cstheme="minorHAnsi"/>
          <w:sz w:val="24"/>
          <w:szCs w:val="24"/>
          <w:shd w:val="clear" w:color="auto" w:fill="FFFFFF"/>
        </w:rPr>
        <w:t xml:space="preserve"> </w:t>
      </w:r>
      <w:r w:rsidRPr="00AF04C7">
        <w:rPr>
          <w:rFonts w:cstheme="minorHAnsi"/>
          <w:sz w:val="24"/>
          <w:szCs w:val="24"/>
          <w:shd w:val="clear" w:color="auto" w:fill="FFFFFF"/>
        </w:rPr>
        <w:t xml:space="preserve">decay scheme </w:t>
      </w:r>
      <w:r w:rsidR="00D03C4E">
        <w:rPr>
          <w:rFonts w:cstheme="minorHAnsi"/>
          <w:sz w:val="24"/>
          <w:szCs w:val="24"/>
          <w:shd w:val="clear" w:color="auto" w:fill="FFFFFF"/>
        </w:rPr>
        <w:fldChar w:fldCharType="begin" w:fldLock="1"/>
      </w:r>
      <w:r w:rsidR="000B0F18">
        <w:rPr>
          <w:rFonts w:cstheme="minorHAnsi"/>
          <w:sz w:val="24"/>
          <w:szCs w:val="24"/>
          <w:shd w:val="clear" w:color="auto" w:fill="FFFFFF"/>
        </w:rPr>
        <w:instrText>ADDIN CSL_CITATION {"citationItems":[{"id":"ITEM-1","itemData":{"DOI":"10.2172/5265462","abstract":"This report presents a review of the methods and capabilities of nondestructive measurements of the isotopic composition of plutonium using gamma-ray spectroscopy.","author":[{"dropping-particle":"","family":"Sampson","given":"T.E.","non-dropping-particle":"","parse-names":false,"suffix":""}],"id":"ITEM-1","issued":{"date-parts":[["1986","9","1"]]},"number-of-pages":"55","publisher-place":"Los Alamos, NM","title":"Plutonium isotopic composition by gamma-ray spectroscopy: a review","type":"report"},"uris":["http://www.mendeley.com/documents/?uuid=c0be79ae-7a2e-3af5-9dff-87780c216ad1"]}],"mendeley":{"formattedCitation":"[62]","plainTextFormattedCitation":"[62]","previouslyFormattedCitation":"[62]"},"properties":{"noteIndex":0},"schema":"https://github.com/citation-style-language/schema/raw/master/csl-citation.json"}</w:instrText>
      </w:r>
      <w:r w:rsidR="00D03C4E">
        <w:rPr>
          <w:rFonts w:cstheme="minorHAnsi"/>
          <w:sz w:val="24"/>
          <w:szCs w:val="24"/>
          <w:shd w:val="clear" w:color="auto" w:fill="FFFFFF"/>
        </w:rPr>
        <w:fldChar w:fldCharType="separate"/>
      </w:r>
      <w:r w:rsidR="007D1AB4" w:rsidRPr="007D1AB4">
        <w:rPr>
          <w:rFonts w:cstheme="minorHAnsi"/>
          <w:noProof/>
          <w:sz w:val="24"/>
          <w:szCs w:val="24"/>
          <w:shd w:val="clear" w:color="auto" w:fill="FFFFFF"/>
        </w:rPr>
        <w:t>[62]</w:t>
      </w:r>
      <w:r w:rsidR="00D03C4E">
        <w:rPr>
          <w:rFonts w:cstheme="minorHAnsi"/>
          <w:sz w:val="24"/>
          <w:szCs w:val="24"/>
          <w:shd w:val="clear" w:color="auto" w:fill="FFFFFF"/>
        </w:rPr>
        <w:fldChar w:fldCharType="end"/>
      </w:r>
      <w:r w:rsidR="00D03C4E">
        <w:rPr>
          <w:rFonts w:cstheme="minorHAnsi"/>
          <w:sz w:val="24"/>
          <w:szCs w:val="24"/>
          <w:shd w:val="clear" w:color="auto" w:fill="FFFFFF"/>
        </w:rPr>
        <w:t>.</w:t>
      </w:r>
      <w:r w:rsidRPr="00AF04C7">
        <w:rPr>
          <w:rFonts w:cstheme="minorHAnsi"/>
          <w:sz w:val="24"/>
          <w:szCs w:val="24"/>
          <w:shd w:val="clear" w:color="auto" w:fill="FFFFFF"/>
        </w:rPr>
        <w:t xml:space="preserve"> This value was then converted to decays per second (Bq) and then Bq/g.</w:t>
      </w:r>
      <w:r w:rsidRPr="00AF04C7">
        <w:rPr>
          <w:rFonts w:cstheme="minorHAnsi"/>
          <w:sz w:val="24"/>
          <w:szCs w:val="24"/>
          <w:shd w:val="clear" w:color="auto" w:fill="FFFFFF"/>
        </w:rPr>
        <w:br/>
      </w:r>
      <w:r w:rsidRPr="00AF04C7">
        <w:rPr>
          <w:rFonts w:cstheme="minorHAnsi"/>
          <w:b/>
          <w:sz w:val="24"/>
          <w:szCs w:val="24"/>
          <w:u w:val="single"/>
          <w:shd w:val="clear" w:color="auto" w:fill="FFFFFF"/>
        </w:rPr>
        <w:t>No. of Americium-241 Atoms per Sample</w:t>
      </w:r>
      <w:r w:rsidRPr="00AF04C7">
        <w:rPr>
          <w:rFonts w:cstheme="minorHAnsi"/>
          <w:sz w:val="24"/>
          <w:szCs w:val="24"/>
          <w:shd w:val="clear" w:color="auto" w:fill="FFFFFF"/>
        </w:rPr>
        <w:t xml:space="preserve">: From the decay rate it is possible to calculate an estimate for the current number of </w:t>
      </w:r>
      <w:r w:rsidR="00D53624" w:rsidRPr="00D53624">
        <w:rPr>
          <w:sz w:val="24"/>
          <w:szCs w:val="24"/>
          <w:vertAlign w:val="superscript"/>
        </w:rPr>
        <w:t>241</w:t>
      </w:r>
      <w:r w:rsidR="00D53624">
        <w:rPr>
          <w:sz w:val="24"/>
          <w:szCs w:val="24"/>
        </w:rPr>
        <w:t>Am</w:t>
      </w:r>
      <w:r w:rsidR="00D53624" w:rsidRPr="00AF04C7">
        <w:rPr>
          <w:rFonts w:cstheme="minorHAnsi"/>
          <w:sz w:val="24"/>
          <w:szCs w:val="24"/>
          <w:shd w:val="clear" w:color="auto" w:fill="FFFFFF"/>
        </w:rPr>
        <w:t xml:space="preserve"> </w:t>
      </w:r>
      <w:r w:rsidRPr="00AF04C7">
        <w:rPr>
          <w:rFonts w:cstheme="minorHAnsi"/>
          <w:sz w:val="24"/>
          <w:szCs w:val="24"/>
          <w:shd w:val="clear" w:color="auto" w:fill="FFFFFF"/>
        </w:rPr>
        <w:t xml:space="preserve">atoms per sample by dividing the decay rate by the </w:t>
      </w:r>
      <w:r w:rsidR="00D53624" w:rsidRPr="00D53624">
        <w:rPr>
          <w:sz w:val="24"/>
          <w:szCs w:val="24"/>
          <w:vertAlign w:val="superscript"/>
        </w:rPr>
        <w:t>241</w:t>
      </w:r>
      <w:r w:rsidR="00D53624">
        <w:rPr>
          <w:sz w:val="24"/>
          <w:szCs w:val="24"/>
        </w:rPr>
        <w:t>Am</w:t>
      </w:r>
      <w:r w:rsidR="00D53624" w:rsidRPr="00AF04C7">
        <w:rPr>
          <w:rFonts w:cstheme="minorHAnsi"/>
          <w:sz w:val="24"/>
          <w:szCs w:val="24"/>
          <w:shd w:val="clear" w:color="auto" w:fill="FFFFFF"/>
        </w:rPr>
        <w:t xml:space="preserve"> </w:t>
      </w:r>
      <w:r w:rsidRPr="00AF04C7">
        <w:rPr>
          <w:rFonts w:cstheme="minorHAnsi"/>
          <w:sz w:val="24"/>
          <w:szCs w:val="24"/>
          <w:shd w:val="clear" w:color="auto" w:fill="FFFFFF"/>
        </w:rPr>
        <w:t>decay constant, which is derived from the rate of decay equation.</w:t>
      </w:r>
      <w:r w:rsidRPr="00AF04C7">
        <w:rPr>
          <w:rFonts w:cstheme="minorHAnsi"/>
          <w:sz w:val="24"/>
          <w:szCs w:val="24"/>
          <w:shd w:val="clear" w:color="auto" w:fill="FFFFFF"/>
        </w:rPr>
        <w:br/>
      </w:r>
      <w:r w:rsidRPr="00AF04C7">
        <w:rPr>
          <w:rFonts w:cstheme="minorHAnsi"/>
          <w:b/>
          <w:sz w:val="24"/>
          <w:szCs w:val="24"/>
          <w:u w:val="single"/>
          <w:shd w:val="clear" w:color="auto" w:fill="FFFFFF"/>
        </w:rPr>
        <w:t>No. Plutonium-241 Atoms Originally</w:t>
      </w:r>
      <w:r w:rsidRPr="00AF04C7">
        <w:rPr>
          <w:rFonts w:cstheme="minorHAnsi"/>
          <w:sz w:val="24"/>
          <w:szCs w:val="24"/>
          <w:shd w:val="clear" w:color="auto" w:fill="FFFFFF"/>
        </w:rPr>
        <w:t xml:space="preserve">: The current number of </w:t>
      </w:r>
      <w:r w:rsidR="00D53624" w:rsidRPr="00D53624">
        <w:rPr>
          <w:sz w:val="24"/>
          <w:szCs w:val="24"/>
          <w:vertAlign w:val="superscript"/>
        </w:rPr>
        <w:t>241</w:t>
      </w:r>
      <w:r w:rsidR="00D53624">
        <w:rPr>
          <w:sz w:val="24"/>
          <w:szCs w:val="24"/>
        </w:rPr>
        <w:t>Am</w:t>
      </w:r>
      <w:r w:rsidR="00D53624" w:rsidRPr="00AF04C7">
        <w:rPr>
          <w:rFonts w:cstheme="minorHAnsi"/>
          <w:sz w:val="24"/>
          <w:szCs w:val="24"/>
          <w:shd w:val="clear" w:color="auto" w:fill="FFFFFF"/>
        </w:rPr>
        <w:t xml:space="preserve"> </w:t>
      </w:r>
      <w:r w:rsidRPr="00AF04C7">
        <w:rPr>
          <w:rFonts w:cstheme="minorHAnsi"/>
          <w:sz w:val="24"/>
          <w:szCs w:val="24"/>
          <w:shd w:val="clear" w:color="auto" w:fill="FFFFFF"/>
        </w:rPr>
        <w:t xml:space="preserve">atoms per sample can be used to calculate an estimate for the number of </w:t>
      </w:r>
      <w:r w:rsidR="00D53624" w:rsidRPr="00D53624">
        <w:rPr>
          <w:sz w:val="24"/>
          <w:szCs w:val="24"/>
          <w:vertAlign w:val="superscript"/>
        </w:rPr>
        <w:t>241</w:t>
      </w:r>
      <w:r w:rsidR="00D53624">
        <w:rPr>
          <w:sz w:val="24"/>
          <w:szCs w:val="24"/>
        </w:rPr>
        <w:t>Pu</w:t>
      </w:r>
      <w:r w:rsidR="00D53624" w:rsidRPr="00AF04C7">
        <w:rPr>
          <w:rFonts w:cstheme="minorHAnsi"/>
          <w:sz w:val="24"/>
          <w:szCs w:val="24"/>
          <w:shd w:val="clear" w:color="auto" w:fill="FFFFFF"/>
        </w:rPr>
        <w:t xml:space="preserve"> </w:t>
      </w:r>
      <w:r w:rsidRPr="00AF04C7">
        <w:rPr>
          <w:rFonts w:cstheme="minorHAnsi"/>
          <w:sz w:val="24"/>
          <w:szCs w:val="24"/>
          <w:shd w:val="clear" w:color="auto" w:fill="FFFFFF"/>
        </w:rPr>
        <w:t xml:space="preserve">atoms originally in each sample. This is done using the Bateman </w:t>
      </w:r>
      <w:r w:rsidRPr="007903F2">
        <w:rPr>
          <w:rFonts w:cstheme="minorHAnsi"/>
          <w:sz w:val="24"/>
          <w:szCs w:val="24"/>
          <w:shd w:val="clear" w:color="auto" w:fill="FFFFFF"/>
        </w:rPr>
        <w:t xml:space="preserve">equation </w:t>
      </w:r>
      <w:r w:rsidR="00D03C4E">
        <w:rPr>
          <w:rFonts w:cstheme="minorHAnsi"/>
          <w:sz w:val="24"/>
          <w:szCs w:val="24"/>
          <w:shd w:val="clear" w:color="auto" w:fill="FFFFFF"/>
        </w:rPr>
        <w:fldChar w:fldCharType="begin" w:fldLock="1"/>
      </w:r>
      <w:r w:rsidR="000B0F18">
        <w:rPr>
          <w:rFonts w:cstheme="minorHAnsi"/>
          <w:sz w:val="24"/>
          <w:szCs w:val="24"/>
          <w:shd w:val="clear" w:color="auto" w:fill="FFFFFF"/>
        </w:rPr>
        <w:instrText>ADDIN CSL_CITATION {"citationItems":[{"id":"ITEM-1","itemData":{"abstract":"The solution of a system of differential equations occurring in the theory of radioactive transformations","author":[{"dropping-particle":"","family":"Harry Bateman","given":"","non-dropping-particle":"","parse-names":false,"suffix":""}],"container-title":"Proceedings of the Cambridge Philosophical Society, Mathematical and physical sciences","id":"ITEM-1","issued":{"date-parts":[["1910"]]},"page":"423-427","title":"The solution of a system of differential equations occurring in the theory of radioactive transformations","type":"article-journal","volume":"11"},"uris":["http://www.mendeley.com/documents/?uuid=a5fb7260-a157-3053-8ed3-d6d278feba3c"]}],"mendeley":{"formattedCitation":"[59]","plainTextFormattedCitation":"[59]","previouslyFormattedCitation":"[59]"},"properties":{"noteIndex":0},"schema":"https://github.com/citation-style-language/schema/raw/master/csl-citation.json"}</w:instrText>
      </w:r>
      <w:r w:rsidR="00D03C4E">
        <w:rPr>
          <w:rFonts w:cstheme="minorHAnsi"/>
          <w:sz w:val="24"/>
          <w:szCs w:val="24"/>
          <w:shd w:val="clear" w:color="auto" w:fill="FFFFFF"/>
        </w:rPr>
        <w:fldChar w:fldCharType="separate"/>
      </w:r>
      <w:r w:rsidR="007D1AB4" w:rsidRPr="007D1AB4">
        <w:rPr>
          <w:rFonts w:cstheme="minorHAnsi"/>
          <w:noProof/>
          <w:sz w:val="24"/>
          <w:szCs w:val="24"/>
          <w:shd w:val="clear" w:color="auto" w:fill="FFFFFF"/>
        </w:rPr>
        <w:t>[59]</w:t>
      </w:r>
      <w:r w:rsidR="00D03C4E">
        <w:rPr>
          <w:rFonts w:cstheme="minorHAnsi"/>
          <w:sz w:val="24"/>
          <w:szCs w:val="24"/>
          <w:shd w:val="clear" w:color="auto" w:fill="FFFFFF"/>
        </w:rPr>
        <w:fldChar w:fldCharType="end"/>
      </w:r>
      <w:r w:rsidRPr="007903F2">
        <w:rPr>
          <w:rFonts w:cstheme="minorHAnsi"/>
          <w:sz w:val="24"/>
          <w:szCs w:val="24"/>
          <w:shd w:val="clear" w:color="auto" w:fill="FFFFFF"/>
        </w:rPr>
        <w:t>:</w:t>
      </w:r>
    </w:p>
    <w:p w14:paraId="69C0075D" w14:textId="41BD4994" w:rsidR="00F37CA9" w:rsidRPr="00A95095" w:rsidRDefault="00F37CA9" w:rsidP="00F37CA9">
      <w:pPr>
        <w:spacing w:line="480" w:lineRule="auto"/>
        <w:rPr>
          <w:rFonts w:eastAsiaTheme="minorEastAsia" w:cstheme="minorHAnsi"/>
          <w:sz w:val="24"/>
          <w:szCs w:val="24"/>
          <w:shd w:val="clear" w:color="auto" w:fill="FFFFFF"/>
          <w:lang w:val="fr-FR"/>
        </w:rPr>
      </w:pPr>
      <w:r w:rsidRPr="00AF04C7">
        <w:rPr>
          <w:rFonts w:cstheme="minorHAnsi"/>
          <w:sz w:val="24"/>
          <w:szCs w:val="24"/>
          <w:shd w:val="clear" w:color="auto" w:fill="FFFFFF"/>
        </w:rPr>
        <w:tab/>
      </w:r>
      <w:r w:rsidRPr="00AF04C7">
        <w:rPr>
          <w:rFonts w:cstheme="minorHAnsi"/>
          <w:sz w:val="24"/>
          <w:szCs w:val="24"/>
          <w:shd w:val="clear" w:color="auto" w:fill="FFFFFF"/>
        </w:rPr>
        <w:tab/>
      </w:r>
      <w:r w:rsidRPr="00AF04C7">
        <w:rPr>
          <w:rFonts w:cstheme="minorHAnsi"/>
          <w:sz w:val="24"/>
          <w:szCs w:val="24"/>
          <w:shd w:val="clear" w:color="auto" w:fill="FFFFFF"/>
        </w:rPr>
        <w:tab/>
      </w:r>
      <w:r w:rsidRPr="008E51B5">
        <w:rPr>
          <w:rFonts w:cstheme="minorHAnsi"/>
          <w:sz w:val="24"/>
          <w:szCs w:val="24"/>
          <w:shd w:val="clear" w:color="auto" w:fill="FFFFFF"/>
          <w:lang w:val="fr-FR"/>
        </w:rPr>
        <w:t>N</w:t>
      </w:r>
      <w:r w:rsidRPr="008E51B5">
        <w:rPr>
          <w:rFonts w:cstheme="minorHAnsi"/>
          <w:sz w:val="24"/>
          <w:szCs w:val="24"/>
          <w:shd w:val="clear" w:color="auto" w:fill="FFFFFF"/>
          <w:vertAlign w:val="subscript"/>
          <w:lang w:val="fr-FR"/>
        </w:rPr>
        <w:t>2</w:t>
      </w:r>
      <w:r w:rsidRPr="008E51B5">
        <w:rPr>
          <w:rFonts w:cstheme="minorHAnsi"/>
          <w:sz w:val="24"/>
          <w:szCs w:val="24"/>
          <w:shd w:val="clear" w:color="auto" w:fill="FFFFFF"/>
          <w:lang w:val="fr-FR"/>
        </w:rPr>
        <w:t>(t) = N</w:t>
      </w:r>
      <w:r w:rsidRPr="008E51B5">
        <w:rPr>
          <w:rFonts w:cstheme="minorHAnsi"/>
          <w:sz w:val="24"/>
          <w:szCs w:val="24"/>
          <w:shd w:val="clear" w:color="auto" w:fill="FFFFFF"/>
          <w:vertAlign w:val="subscript"/>
          <w:lang w:val="fr-FR"/>
        </w:rPr>
        <w:t>0</w:t>
      </w:r>
      <w:r w:rsidRPr="008E51B5">
        <w:rPr>
          <w:rFonts w:cstheme="minorHAnsi"/>
          <w:sz w:val="24"/>
          <w:szCs w:val="24"/>
          <w:shd w:val="clear" w:color="auto" w:fill="FFFFFF"/>
          <w:lang w:val="fr-FR"/>
        </w:rPr>
        <w:t xml:space="preserve"> (</w:t>
      </w:r>
      <m:oMath>
        <m:f>
          <m:fPr>
            <m:ctrlPr>
              <w:rPr>
                <w:rFonts w:ascii="Cambria Math" w:hAnsi="Cambria Math" w:cstheme="minorHAnsi"/>
                <w:i/>
                <w:sz w:val="24"/>
                <w:szCs w:val="24"/>
                <w:shd w:val="clear" w:color="auto" w:fill="FFFFFF"/>
              </w:rPr>
            </m:ctrlPr>
          </m:fPr>
          <m:num>
            <m:sSub>
              <m:sSubPr>
                <m:ctrlPr>
                  <w:rPr>
                    <w:rFonts w:ascii="Cambria Math" w:hAnsi="Cambria Math" w:cstheme="minorHAnsi"/>
                    <w:i/>
                    <w:sz w:val="24"/>
                    <w:szCs w:val="24"/>
                    <w:shd w:val="clear" w:color="auto" w:fill="FFFFFF"/>
                  </w:rPr>
                </m:ctrlPr>
              </m:sSubPr>
              <m:e>
                <m:r>
                  <w:rPr>
                    <w:rFonts w:ascii="Cambria Math" w:hAnsi="Cambria Math" w:cstheme="minorHAnsi"/>
                    <w:sz w:val="24"/>
                    <w:szCs w:val="24"/>
                    <w:shd w:val="clear" w:color="auto" w:fill="FFFFFF"/>
                  </w:rPr>
                  <m:t>λ</m:t>
                </m:r>
              </m:e>
              <m:sub>
                <m:r>
                  <w:rPr>
                    <w:rFonts w:ascii="Cambria Math" w:hAnsi="Cambria Math" w:cstheme="minorHAnsi"/>
                    <w:sz w:val="24"/>
                    <w:szCs w:val="24"/>
                    <w:shd w:val="clear" w:color="auto" w:fill="FFFFFF"/>
                    <w:lang w:val="fr-FR"/>
                  </w:rPr>
                  <m:t>1</m:t>
                </m:r>
              </m:sub>
            </m:sSub>
          </m:num>
          <m:den>
            <m:sSub>
              <m:sSubPr>
                <m:ctrlPr>
                  <w:rPr>
                    <w:rFonts w:ascii="Cambria Math" w:hAnsi="Cambria Math" w:cstheme="minorHAnsi"/>
                    <w:i/>
                    <w:sz w:val="24"/>
                    <w:szCs w:val="24"/>
                    <w:shd w:val="clear" w:color="auto" w:fill="FFFFFF"/>
                  </w:rPr>
                </m:ctrlPr>
              </m:sSubPr>
              <m:e>
                <m:r>
                  <w:rPr>
                    <w:rFonts w:ascii="Cambria Math" w:hAnsi="Cambria Math" w:cstheme="minorHAnsi"/>
                    <w:sz w:val="24"/>
                    <w:szCs w:val="24"/>
                    <w:shd w:val="clear" w:color="auto" w:fill="FFFFFF"/>
                  </w:rPr>
                  <m:t>λ</m:t>
                </m:r>
              </m:e>
              <m:sub>
                <m:r>
                  <w:rPr>
                    <w:rFonts w:ascii="Cambria Math" w:hAnsi="Cambria Math" w:cstheme="minorHAnsi"/>
                    <w:sz w:val="24"/>
                    <w:szCs w:val="24"/>
                    <w:shd w:val="clear" w:color="auto" w:fill="FFFFFF"/>
                    <w:lang w:val="fr-FR"/>
                  </w:rPr>
                  <m:t>2</m:t>
                </m:r>
              </m:sub>
            </m:sSub>
            <m:r>
              <w:rPr>
                <w:rFonts w:ascii="Cambria Math" w:hAnsi="Cambria Math" w:cstheme="minorHAnsi"/>
                <w:sz w:val="24"/>
                <w:szCs w:val="24"/>
                <w:shd w:val="clear" w:color="auto" w:fill="FFFFFF"/>
                <w:lang w:val="fr-FR"/>
              </w:rPr>
              <m:t>-</m:t>
            </m:r>
            <m:sSub>
              <m:sSubPr>
                <m:ctrlPr>
                  <w:rPr>
                    <w:rFonts w:ascii="Cambria Math" w:hAnsi="Cambria Math" w:cstheme="minorHAnsi"/>
                    <w:i/>
                    <w:sz w:val="24"/>
                    <w:szCs w:val="24"/>
                    <w:shd w:val="clear" w:color="auto" w:fill="FFFFFF"/>
                  </w:rPr>
                </m:ctrlPr>
              </m:sSubPr>
              <m:e>
                <m:r>
                  <w:rPr>
                    <w:rFonts w:ascii="Cambria Math" w:hAnsi="Cambria Math" w:cstheme="minorHAnsi"/>
                    <w:sz w:val="24"/>
                    <w:szCs w:val="24"/>
                    <w:shd w:val="clear" w:color="auto" w:fill="FFFFFF"/>
                  </w:rPr>
                  <m:t>λ</m:t>
                </m:r>
              </m:e>
              <m:sub>
                <m:r>
                  <w:rPr>
                    <w:rFonts w:ascii="Cambria Math" w:hAnsi="Cambria Math" w:cstheme="minorHAnsi"/>
                    <w:sz w:val="24"/>
                    <w:szCs w:val="24"/>
                    <w:shd w:val="clear" w:color="auto" w:fill="FFFFFF"/>
                    <w:lang w:val="fr-FR"/>
                  </w:rPr>
                  <m:t>1</m:t>
                </m:r>
              </m:sub>
            </m:sSub>
          </m:den>
        </m:f>
      </m:oMath>
      <w:r w:rsidRPr="008E51B5">
        <w:rPr>
          <w:rFonts w:eastAsiaTheme="minorEastAsia" w:cstheme="minorHAnsi"/>
          <w:sz w:val="24"/>
          <w:szCs w:val="24"/>
          <w:shd w:val="clear" w:color="auto" w:fill="FFFFFF"/>
          <w:lang w:val="fr-FR"/>
        </w:rPr>
        <w:t>)(</w:t>
      </w:r>
      <m:oMath>
        <m:sSup>
          <m:sSupPr>
            <m:ctrlPr>
              <w:rPr>
                <w:rFonts w:ascii="Cambria Math" w:eastAsiaTheme="minorEastAsia" w:hAnsi="Cambria Math" w:cstheme="minorHAnsi"/>
                <w:i/>
                <w:sz w:val="24"/>
                <w:szCs w:val="24"/>
                <w:shd w:val="clear" w:color="auto" w:fill="FFFFFF"/>
              </w:rPr>
            </m:ctrlPr>
          </m:sSupPr>
          <m:e>
            <m:r>
              <w:rPr>
                <w:rFonts w:ascii="Cambria Math" w:eastAsiaTheme="minorEastAsia" w:hAnsi="Cambria Math" w:cstheme="minorHAnsi"/>
                <w:sz w:val="24"/>
                <w:szCs w:val="24"/>
                <w:shd w:val="clear" w:color="auto" w:fill="FFFFFF"/>
              </w:rPr>
              <m:t>e</m:t>
            </m:r>
          </m:e>
          <m:sup>
            <m:r>
              <w:rPr>
                <w:rFonts w:ascii="Cambria Math" w:eastAsiaTheme="minorEastAsia" w:hAnsi="Cambria Math" w:cstheme="minorHAnsi"/>
                <w:sz w:val="24"/>
                <w:szCs w:val="24"/>
                <w:shd w:val="clear" w:color="auto" w:fill="FFFFFF"/>
                <w:lang w:val="fr-FR"/>
              </w:rPr>
              <m:t>-</m:t>
            </m:r>
            <m:sSub>
              <m:sSubPr>
                <m:ctrlPr>
                  <w:rPr>
                    <w:rFonts w:ascii="Cambria Math" w:hAnsi="Cambria Math" w:cstheme="minorHAnsi"/>
                    <w:i/>
                    <w:sz w:val="24"/>
                    <w:szCs w:val="24"/>
                    <w:shd w:val="clear" w:color="auto" w:fill="FFFFFF"/>
                  </w:rPr>
                </m:ctrlPr>
              </m:sSubPr>
              <m:e>
                <m:r>
                  <w:rPr>
                    <w:rFonts w:ascii="Cambria Math" w:hAnsi="Cambria Math" w:cstheme="minorHAnsi"/>
                    <w:sz w:val="24"/>
                    <w:szCs w:val="24"/>
                    <w:shd w:val="clear" w:color="auto" w:fill="FFFFFF"/>
                  </w:rPr>
                  <m:t>λ</m:t>
                </m:r>
              </m:e>
              <m:sub>
                <m:r>
                  <w:rPr>
                    <w:rFonts w:ascii="Cambria Math" w:hAnsi="Cambria Math" w:cstheme="minorHAnsi"/>
                    <w:sz w:val="24"/>
                    <w:szCs w:val="24"/>
                    <w:shd w:val="clear" w:color="auto" w:fill="FFFFFF"/>
                    <w:lang w:val="fr-FR"/>
                  </w:rPr>
                  <m:t>2</m:t>
                </m:r>
              </m:sub>
            </m:sSub>
            <m:r>
              <w:rPr>
                <w:rFonts w:ascii="Cambria Math" w:eastAsiaTheme="minorEastAsia" w:hAnsi="Cambria Math" w:cstheme="minorHAnsi"/>
                <w:sz w:val="24"/>
                <w:szCs w:val="24"/>
                <w:shd w:val="clear" w:color="auto" w:fill="FFFFFF"/>
              </w:rPr>
              <m:t>t</m:t>
            </m:r>
          </m:sup>
        </m:sSup>
        <m:r>
          <w:rPr>
            <w:rFonts w:ascii="Cambria Math" w:eastAsiaTheme="minorEastAsia" w:hAnsi="Cambria Math" w:cstheme="minorHAnsi"/>
            <w:sz w:val="24"/>
            <w:szCs w:val="24"/>
            <w:shd w:val="clear" w:color="auto" w:fill="FFFFFF"/>
            <w:lang w:val="fr-FR"/>
          </w:rPr>
          <m:t>-</m:t>
        </m:r>
        <m:sSup>
          <m:sSupPr>
            <m:ctrlPr>
              <w:rPr>
                <w:rFonts w:ascii="Cambria Math" w:eastAsiaTheme="minorEastAsia" w:hAnsi="Cambria Math" w:cstheme="minorHAnsi"/>
                <w:i/>
                <w:sz w:val="24"/>
                <w:szCs w:val="24"/>
                <w:shd w:val="clear" w:color="auto" w:fill="FFFFFF"/>
              </w:rPr>
            </m:ctrlPr>
          </m:sSupPr>
          <m:e>
            <m:r>
              <w:rPr>
                <w:rFonts w:ascii="Cambria Math" w:eastAsiaTheme="minorEastAsia" w:hAnsi="Cambria Math" w:cstheme="minorHAnsi"/>
                <w:sz w:val="24"/>
                <w:szCs w:val="24"/>
                <w:shd w:val="clear" w:color="auto" w:fill="FFFFFF"/>
              </w:rPr>
              <m:t>e</m:t>
            </m:r>
          </m:e>
          <m:sup>
            <m:r>
              <w:rPr>
                <w:rFonts w:ascii="Cambria Math" w:eastAsiaTheme="minorEastAsia" w:hAnsi="Cambria Math" w:cstheme="minorHAnsi"/>
                <w:sz w:val="24"/>
                <w:szCs w:val="24"/>
                <w:shd w:val="clear" w:color="auto" w:fill="FFFFFF"/>
                <w:lang w:val="fr-FR"/>
              </w:rPr>
              <m:t>-</m:t>
            </m:r>
            <m:sSub>
              <m:sSubPr>
                <m:ctrlPr>
                  <w:rPr>
                    <w:rFonts w:ascii="Cambria Math" w:hAnsi="Cambria Math" w:cstheme="minorHAnsi"/>
                    <w:i/>
                    <w:sz w:val="24"/>
                    <w:szCs w:val="24"/>
                    <w:shd w:val="clear" w:color="auto" w:fill="FFFFFF"/>
                  </w:rPr>
                </m:ctrlPr>
              </m:sSubPr>
              <m:e>
                <m:r>
                  <w:rPr>
                    <w:rFonts w:ascii="Cambria Math" w:hAnsi="Cambria Math" w:cstheme="minorHAnsi"/>
                    <w:sz w:val="24"/>
                    <w:szCs w:val="24"/>
                    <w:shd w:val="clear" w:color="auto" w:fill="FFFFFF"/>
                  </w:rPr>
                  <m:t>λ</m:t>
                </m:r>
              </m:e>
              <m:sub>
                <m:r>
                  <w:rPr>
                    <w:rFonts w:ascii="Cambria Math" w:hAnsi="Cambria Math" w:cstheme="minorHAnsi"/>
                    <w:sz w:val="24"/>
                    <w:szCs w:val="24"/>
                    <w:shd w:val="clear" w:color="auto" w:fill="FFFFFF"/>
                    <w:lang w:val="fr-FR"/>
                  </w:rPr>
                  <m:t>1</m:t>
                </m:r>
              </m:sub>
            </m:sSub>
            <m:r>
              <w:rPr>
                <w:rFonts w:ascii="Cambria Math" w:eastAsiaTheme="minorEastAsia" w:hAnsi="Cambria Math" w:cstheme="minorHAnsi"/>
                <w:sz w:val="24"/>
                <w:szCs w:val="24"/>
                <w:shd w:val="clear" w:color="auto" w:fill="FFFFFF"/>
              </w:rPr>
              <m:t>t</m:t>
            </m:r>
          </m:sup>
        </m:sSup>
      </m:oMath>
      <w:r w:rsidRPr="00A95095">
        <w:rPr>
          <w:rFonts w:eastAsiaTheme="minorEastAsia" w:cstheme="minorHAnsi"/>
          <w:sz w:val="24"/>
          <w:szCs w:val="24"/>
          <w:shd w:val="clear" w:color="auto" w:fill="FFFFFF"/>
          <w:lang w:val="fr-FR"/>
        </w:rPr>
        <w:t>)</w:t>
      </w:r>
      <w:r w:rsidRPr="00A95095">
        <w:rPr>
          <w:rFonts w:eastAsiaTheme="minorEastAsia" w:cstheme="minorHAnsi"/>
          <w:sz w:val="24"/>
          <w:szCs w:val="24"/>
          <w:shd w:val="clear" w:color="auto" w:fill="FFFFFF"/>
          <w:lang w:val="fr-FR"/>
        </w:rPr>
        <w:tab/>
      </w:r>
      <w:r w:rsidRPr="00A95095">
        <w:rPr>
          <w:rFonts w:eastAsiaTheme="minorEastAsia" w:cstheme="minorHAnsi"/>
          <w:sz w:val="24"/>
          <w:szCs w:val="24"/>
          <w:shd w:val="clear" w:color="auto" w:fill="FFFFFF"/>
          <w:lang w:val="fr-FR"/>
        </w:rPr>
        <w:tab/>
      </w:r>
      <w:r w:rsidRPr="00A95095">
        <w:rPr>
          <w:rFonts w:eastAsiaTheme="minorEastAsia" w:cstheme="minorHAnsi"/>
          <w:sz w:val="24"/>
          <w:szCs w:val="24"/>
          <w:shd w:val="clear" w:color="auto" w:fill="FFFFFF"/>
          <w:lang w:val="fr-FR"/>
        </w:rPr>
        <w:tab/>
        <w:t>Equation (2)</w:t>
      </w:r>
    </w:p>
    <w:p w14:paraId="06E75B12" w14:textId="4A5F4C45" w:rsidR="00F37CA9" w:rsidRPr="00AF04C7" w:rsidRDefault="00F37CA9" w:rsidP="00F37CA9">
      <w:pPr>
        <w:spacing w:line="480" w:lineRule="auto"/>
        <w:rPr>
          <w:rFonts w:eastAsiaTheme="minorEastAsia" w:cstheme="minorHAnsi"/>
          <w:sz w:val="24"/>
          <w:szCs w:val="24"/>
          <w:shd w:val="clear" w:color="auto" w:fill="FFFFFF"/>
        </w:rPr>
      </w:pPr>
      <w:r w:rsidRPr="00AF04C7">
        <w:rPr>
          <w:rFonts w:eastAsiaTheme="minorEastAsia" w:cstheme="minorHAnsi"/>
          <w:sz w:val="24"/>
          <w:szCs w:val="24"/>
          <w:shd w:val="clear" w:color="auto" w:fill="FFFFFF"/>
        </w:rPr>
        <w:t>Where:</w:t>
      </w:r>
      <w:r w:rsidRPr="00AF04C7">
        <w:rPr>
          <w:rFonts w:eastAsiaTheme="minorEastAsia" w:cstheme="minorHAnsi"/>
          <w:sz w:val="24"/>
          <w:szCs w:val="24"/>
          <w:shd w:val="clear" w:color="auto" w:fill="FFFFFF"/>
        </w:rPr>
        <w:tab/>
        <w:t>N</w:t>
      </w:r>
      <w:r w:rsidRPr="00AF04C7">
        <w:rPr>
          <w:rFonts w:eastAsiaTheme="minorEastAsia" w:cstheme="minorHAnsi"/>
          <w:sz w:val="24"/>
          <w:szCs w:val="24"/>
          <w:shd w:val="clear" w:color="auto" w:fill="FFFFFF"/>
          <w:vertAlign w:val="subscript"/>
        </w:rPr>
        <w:t>2</w:t>
      </w:r>
      <w:r w:rsidRPr="00AF04C7">
        <w:rPr>
          <w:rFonts w:eastAsiaTheme="minorEastAsia" w:cstheme="minorHAnsi"/>
          <w:sz w:val="24"/>
          <w:szCs w:val="24"/>
          <w:shd w:val="clear" w:color="auto" w:fill="FFFFFF"/>
        </w:rPr>
        <w:t xml:space="preserve"> = Number of americium-241 atoms</w:t>
      </w:r>
      <w:r w:rsidRPr="00AF04C7">
        <w:rPr>
          <w:rFonts w:eastAsiaTheme="minorEastAsia" w:cstheme="minorHAnsi"/>
          <w:sz w:val="24"/>
          <w:szCs w:val="24"/>
          <w:shd w:val="clear" w:color="auto" w:fill="FFFFFF"/>
        </w:rPr>
        <w:br/>
      </w:r>
      <w:r w:rsidRPr="00AF04C7">
        <w:rPr>
          <w:rFonts w:eastAsiaTheme="minorEastAsia" w:cstheme="minorHAnsi"/>
          <w:sz w:val="24"/>
          <w:szCs w:val="24"/>
          <w:shd w:val="clear" w:color="auto" w:fill="FFFFFF"/>
        </w:rPr>
        <w:tab/>
      </w:r>
      <w:r w:rsidR="00E517FB">
        <w:rPr>
          <w:rFonts w:eastAsiaTheme="minorEastAsia" w:cstheme="minorHAnsi"/>
          <w:sz w:val="24"/>
          <w:szCs w:val="24"/>
          <w:shd w:val="clear" w:color="auto" w:fill="FFFFFF"/>
        </w:rPr>
        <w:tab/>
      </w:r>
      <w:r w:rsidRPr="00AF04C7">
        <w:rPr>
          <w:rFonts w:eastAsiaTheme="minorEastAsia" w:cstheme="minorHAnsi"/>
          <w:sz w:val="24"/>
          <w:szCs w:val="24"/>
          <w:shd w:val="clear" w:color="auto" w:fill="FFFFFF"/>
        </w:rPr>
        <w:t>N</w:t>
      </w:r>
      <w:r w:rsidRPr="00AF04C7">
        <w:rPr>
          <w:rFonts w:eastAsiaTheme="minorEastAsia" w:cstheme="minorHAnsi"/>
          <w:sz w:val="24"/>
          <w:szCs w:val="24"/>
          <w:shd w:val="clear" w:color="auto" w:fill="FFFFFF"/>
          <w:vertAlign w:val="subscript"/>
        </w:rPr>
        <w:t>0</w:t>
      </w:r>
      <w:r w:rsidRPr="00AF04C7">
        <w:rPr>
          <w:rFonts w:eastAsiaTheme="minorEastAsia" w:cstheme="minorHAnsi"/>
          <w:sz w:val="24"/>
          <w:szCs w:val="24"/>
          <w:shd w:val="clear" w:color="auto" w:fill="FFFFFF"/>
        </w:rPr>
        <w:t xml:space="preserve"> = Number of plutonium-241 atoms</w:t>
      </w:r>
      <w:r w:rsidRPr="00AF04C7">
        <w:rPr>
          <w:rFonts w:eastAsiaTheme="minorEastAsia" w:cstheme="minorHAnsi"/>
          <w:sz w:val="24"/>
          <w:szCs w:val="24"/>
          <w:shd w:val="clear" w:color="auto" w:fill="FFFFFF"/>
        </w:rPr>
        <w:br/>
      </w:r>
      <w:r w:rsidRPr="00AF04C7">
        <w:rPr>
          <w:rFonts w:eastAsiaTheme="minorEastAsia" w:cstheme="minorHAnsi"/>
          <w:sz w:val="24"/>
          <w:szCs w:val="24"/>
          <w:shd w:val="clear" w:color="auto" w:fill="FFFFFF"/>
        </w:rPr>
        <w:tab/>
      </w:r>
      <w:r w:rsidR="00E517FB">
        <w:rPr>
          <w:rFonts w:eastAsiaTheme="minorEastAsia" w:cstheme="minorHAnsi"/>
          <w:sz w:val="24"/>
          <w:szCs w:val="24"/>
          <w:shd w:val="clear" w:color="auto" w:fill="FFFFFF"/>
        </w:rPr>
        <w:tab/>
      </w:r>
      <w:r w:rsidRPr="00AF04C7">
        <w:rPr>
          <w:rFonts w:eastAsiaTheme="minorEastAsia" w:cstheme="minorHAnsi"/>
          <w:sz w:val="24"/>
          <w:szCs w:val="24"/>
          <w:shd w:val="clear" w:color="auto" w:fill="FFFFFF"/>
        </w:rPr>
        <w:t>λ</w:t>
      </w:r>
      <w:r w:rsidRPr="00AF04C7">
        <w:rPr>
          <w:rFonts w:eastAsiaTheme="minorEastAsia" w:cstheme="minorHAnsi"/>
          <w:sz w:val="24"/>
          <w:szCs w:val="24"/>
          <w:shd w:val="clear" w:color="auto" w:fill="FFFFFF"/>
          <w:vertAlign w:val="subscript"/>
        </w:rPr>
        <w:t>1</w:t>
      </w:r>
      <w:r w:rsidRPr="00AF04C7">
        <w:rPr>
          <w:rFonts w:eastAsiaTheme="minorEastAsia" w:cstheme="minorHAnsi"/>
          <w:sz w:val="24"/>
          <w:szCs w:val="24"/>
          <w:shd w:val="clear" w:color="auto" w:fill="FFFFFF"/>
        </w:rPr>
        <w:t xml:space="preserve"> = Plutonium-241 decay constant</w:t>
      </w:r>
      <w:r w:rsidRPr="00AF04C7">
        <w:rPr>
          <w:rFonts w:eastAsiaTheme="minorEastAsia" w:cstheme="minorHAnsi"/>
          <w:sz w:val="24"/>
          <w:szCs w:val="24"/>
          <w:shd w:val="clear" w:color="auto" w:fill="FFFFFF"/>
        </w:rPr>
        <w:br/>
      </w:r>
      <w:r w:rsidRPr="00AF04C7">
        <w:rPr>
          <w:rFonts w:eastAsiaTheme="minorEastAsia" w:cstheme="minorHAnsi"/>
          <w:sz w:val="24"/>
          <w:szCs w:val="24"/>
          <w:shd w:val="clear" w:color="auto" w:fill="FFFFFF"/>
        </w:rPr>
        <w:lastRenderedPageBreak/>
        <w:tab/>
      </w:r>
      <w:r w:rsidR="00E517FB">
        <w:rPr>
          <w:rFonts w:eastAsiaTheme="minorEastAsia" w:cstheme="minorHAnsi"/>
          <w:sz w:val="24"/>
          <w:szCs w:val="24"/>
          <w:shd w:val="clear" w:color="auto" w:fill="FFFFFF"/>
        </w:rPr>
        <w:tab/>
      </w:r>
      <w:r w:rsidRPr="00AF04C7">
        <w:rPr>
          <w:rFonts w:eastAsiaTheme="minorEastAsia" w:cstheme="minorHAnsi"/>
          <w:sz w:val="24"/>
          <w:szCs w:val="24"/>
          <w:shd w:val="clear" w:color="auto" w:fill="FFFFFF"/>
        </w:rPr>
        <w:t>λ</w:t>
      </w:r>
      <w:r w:rsidRPr="00AF04C7">
        <w:rPr>
          <w:rFonts w:eastAsiaTheme="minorEastAsia" w:cstheme="minorHAnsi"/>
          <w:sz w:val="24"/>
          <w:szCs w:val="24"/>
          <w:shd w:val="clear" w:color="auto" w:fill="FFFFFF"/>
          <w:vertAlign w:val="subscript"/>
        </w:rPr>
        <w:t>2</w:t>
      </w:r>
      <w:r w:rsidRPr="00AF04C7">
        <w:rPr>
          <w:rFonts w:eastAsiaTheme="minorEastAsia" w:cstheme="minorHAnsi"/>
          <w:sz w:val="24"/>
          <w:szCs w:val="24"/>
          <w:shd w:val="clear" w:color="auto" w:fill="FFFFFF"/>
        </w:rPr>
        <w:t xml:space="preserve"> = Americium-241 decay constant</w:t>
      </w:r>
      <w:r w:rsidRPr="00AF04C7">
        <w:rPr>
          <w:rFonts w:eastAsiaTheme="minorEastAsia" w:cstheme="minorHAnsi"/>
          <w:sz w:val="24"/>
          <w:szCs w:val="24"/>
          <w:shd w:val="clear" w:color="auto" w:fill="FFFFFF"/>
        </w:rPr>
        <w:br/>
      </w:r>
      <w:r w:rsidRPr="00AF04C7">
        <w:rPr>
          <w:rFonts w:eastAsiaTheme="minorEastAsia" w:cstheme="minorHAnsi"/>
          <w:sz w:val="24"/>
          <w:szCs w:val="24"/>
          <w:shd w:val="clear" w:color="auto" w:fill="FFFFFF"/>
        </w:rPr>
        <w:tab/>
      </w:r>
      <w:r w:rsidR="00E517FB">
        <w:rPr>
          <w:rFonts w:eastAsiaTheme="minorEastAsia" w:cstheme="minorHAnsi"/>
          <w:sz w:val="24"/>
          <w:szCs w:val="24"/>
          <w:shd w:val="clear" w:color="auto" w:fill="FFFFFF"/>
        </w:rPr>
        <w:tab/>
      </w:r>
      <w:r w:rsidRPr="00AF04C7">
        <w:rPr>
          <w:rFonts w:eastAsiaTheme="minorEastAsia" w:cstheme="minorHAnsi"/>
          <w:sz w:val="24"/>
          <w:szCs w:val="24"/>
          <w:shd w:val="clear" w:color="auto" w:fill="FFFFFF"/>
        </w:rPr>
        <w:t>t   = Time (s)</w:t>
      </w:r>
    </w:p>
    <w:p w14:paraId="749D84AC" w14:textId="4E9A7C40" w:rsidR="00F37CA9" w:rsidRDefault="00F37CA9" w:rsidP="00F37CA9">
      <w:pPr>
        <w:spacing w:line="480" w:lineRule="auto"/>
        <w:rPr>
          <w:rFonts w:eastAsiaTheme="minorEastAsia" w:cstheme="minorHAnsi"/>
          <w:sz w:val="24"/>
          <w:szCs w:val="24"/>
          <w:shd w:val="clear" w:color="auto" w:fill="FFFFFF"/>
        </w:rPr>
      </w:pPr>
      <w:r w:rsidRPr="00AF04C7">
        <w:rPr>
          <w:rFonts w:eastAsiaTheme="minorEastAsia" w:cstheme="minorHAnsi"/>
          <w:b/>
          <w:sz w:val="24"/>
          <w:szCs w:val="24"/>
          <w:u w:val="single"/>
          <w:shd w:val="clear" w:color="auto" w:fill="FFFFFF"/>
        </w:rPr>
        <w:t>Original Plutonium-241 Activity</w:t>
      </w:r>
      <w:r w:rsidRPr="00AF04C7">
        <w:rPr>
          <w:rFonts w:eastAsiaTheme="minorEastAsia" w:cstheme="minorHAnsi"/>
          <w:sz w:val="24"/>
          <w:szCs w:val="24"/>
          <w:shd w:val="clear" w:color="auto" w:fill="FFFFFF"/>
        </w:rPr>
        <w:t xml:space="preserve">: From the original atoms of </w:t>
      </w:r>
      <w:r w:rsidR="00D53624" w:rsidRPr="00D53624">
        <w:rPr>
          <w:sz w:val="24"/>
          <w:szCs w:val="24"/>
          <w:vertAlign w:val="superscript"/>
        </w:rPr>
        <w:t>241</w:t>
      </w:r>
      <w:r w:rsidR="00D53624">
        <w:rPr>
          <w:sz w:val="24"/>
          <w:szCs w:val="24"/>
        </w:rPr>
        <w:t>Pu</w:t>
      </w:r>
      <w:r w:rsidRPr="00AF04C7">
        <w:rPr>
          <w:rFonts w:eastAsiaTheme="minorEastAsia" w:cstheme="minorHAnsi"/>
          <w:sz w:val="24"/>
          <w:szCs w:val="24"/>
          <w:shd w:val="clear" w:color="auto" w:fill="FFFFFF"/>
        </w:rPr>
        <w:t xml:space="preserve"> it is possible to quantify the mass of </w:t>
      </w:r>
      <w:r w:rsidR="00D53624" w:rsidRPr="00D53624">
        <w:rPr>
          <w:sz w:val="24"/>
          <w:szCs w:val="24"/>
          <w:vertAlign w:val="superscript"/>
        </w:rPr>
        <w:t>241</w:t>
      </w:r>
      <w:r w:rsidR="00D53624">
        <w:rPr>
          <w:sz w:val="24"/>
          <w:szCs w:val="24"/>
        </w:rPr>
        <w:t>Pu</w:t>
      </w:r>
      <w:r w:rsidR="00D53624" w:rsidRPr="00AF04C7">
        <w:rPr>
          <w:rFonts w:eastAsiaTheme="minorEastAsia" w:cstheme="minorHAnsi"/>
          <w:sz w:val="24"/>
          <w:szCs w:val="24"/>
          <w:shd w:val="clear" w:color="auto" w:fill="FFFFFF"/>
        </w:rPr>
        <w:t xml:space="preserve"> </w:t>
      </w:r>
      <w:r w:rsidRPr="00AF04C7">
        <w:rPr>
          <w:rFonts w:eastAsiaTheme="minorEastAsia" w:cstheme="minorHAnsi"/>
          <w:sz w:val="24"/>
          <w:szCs w:val="24"/>
          <w:shd w:val="clear" w:color="auto" w:fill="FFFFFF"/>
        </w:rPr>
        <w:t>per gram and activity (Bq/g) per gram</w:t>
      </w:r>
      <w:r w:rsidR="00E517FB">
        <w:rPr>
          <w:rFonts w:eastAsiaTheme="minorEastAsia" w:cstheme="minorHAnsi"/>
          <w:sz w:val="24"/>
          <w:szCs w:val="24"/>
          <w:shd w:val="clear" w:color="auto" w:fill="FFFFFF"/>
        </w:rPr>
        <w:t xml:space="preserve"> sample</w:t>
      </w:r>
      <w:r w:rsidRPr="00AF04C7">
        <w:rPr>
          <w:rFonts w:eastAsiaTheme="minorEastAsia" w:cstheme="minorHAnsi"/>
          <w:sz w:val="24"/>
          <w:szCs w:val="24"/>
          <w:shd w:val="clear" w:color="auto" w:fill="FFFFFF"/>
        </w:rPr>
        <w:t xml:space="preserve">. This was </w:t>
      </w:r>
      <w:r w:rsidR="00E517FB">
        <w:rPr>
          <w:rFonts w:eastAsiaTheme="minorEastAsia" w:cstheme="minorHAnsi"/>
          <w:sz w:val="24"/>
          <w:szCs w:val="24"/>
          <w:shd w:val="clear" w:color="auto" w:fill="FFFFFF"/>
        </w:rPr>
        <w:t>done</w:t>
      </w:r>
      <w:r w:rsidRPr="00AF04C7">
        <w:rPr>
          <w:rFonts w:eastAsiaTheme="minorEastAsia" w:cstheme="minorHAnsi"/>
          <w:sz w:val="24"/>
          <w:szCs w:val="24"/>
          <w:shd w:val="clear" w:color="auto" w:fill="FFFFFF"/>
        </w:rPr>
        <w:t xml:space="preserve"> to try to identify the potential source of the </w:t>
      </w:r>
      <w:r w:rsidR="00D53624" w:rsidRPr="00D53624">
        <w:rPr>
          <w:sz w:val="24"/>
          <w:szCs w:val="24"/>
          <w:vertAlign w:val="superscript"/>
        </w:rPr>
        <w:t>241</w:t>
      </w:r>
      <w:r w:rsidR="00D53624">
        <w:rPr>
          <w:sz w:val="24"/>
          <w:szCs w:val="24"/>
        </w:rPr>
        <w:t>Pu</w:t>
      </w:r>
      <w:r w:rsidR="00D53624" w:rsidRPr="00AF04C7">
        <w:rPr>
          <w:rFonts w:eastAsiaTheme="minorEastAsia" w:cstheme="minorHAnsi"/>
          <w:sz w:val="24"/>
          <w:szCs w:val="24"/>
          <w:shd w:val="clear" w:color="auto" w:fill="FFFFFF"/>
        </w:rPr>
        <w:t xml:space="preserve"> </w:t>
      </w:r>
      <w:r w:rsidRPr="00AF04C7">
        <w:rPr>
          <w:rFonts w:eastAsiaTheme="minorEastAsia" w:cstheme="minorHAnsi"/>
          <w:sz w:val="24"/>
          <w:szCs w:val="24"/>
          <w:shd w:val="clear" w:color="auto" w:fill="FFFFFF"/>
        </w:rPr>
        <w:t xml:space="preserve">later down the line. Knowing the level of activity of the </w:t>
      </w:r>
      <w:r w:rsidR="00D53624" w:rsidRPr="00D53624">
        <w:rPr>
          <w:sz w:val="24"/>
          <w:szCs w:val="24"/>
          <w:vertAlign w:val="superscript"/>
        </w:rPr>
        <w:t>241</w:t>
      </w:r>
      <w:r w:rsidR="00D53624">
        <w:rPr>
          <w:sz w:val="24"/>
          <w:szCs w:val="24"/>
        </w:rPr>
        <w:t>Pu</w:t>
      </w:r>
      <w:r w:rsidR="00D53624" w:rsidRPr="00AF04C7">
        <w:rPr>
          <w:rFonts w:eastAsiaTheme="minorEastAsia" w:cstheme="minorHAnsi"/>
          <w:sz w:val="24"/>
          <w:szCs w:val="24"/>
          <w:shd w:val="clear" w:color="auto" w:fill="FFFFFF"/>
        </w:rPr>
        <w:t xml:space="preserve"> </w:t>
      </w:r>
      <w:r w:rsidRPr="00AF04C7">
        <w:rPr>
          <w:rFonts w:eastAsiaTheme="minorEastAsia" w:cstheme="minorHAnsi"/>
          <w:sz w:val="24"/>
          <w:szCs w:val="24"/>
          <w:shd w:val="clear" w:color="auto" w:fill="FFFFFF"/>
        </w:rPr>
        <w:t xml:space="preserve">can allow links to be made to known data of nuclear fuel </w:t>
      </w:r>
      <w:r w:rsidR="00E517FB">
        <w:rPr>
          <w:rFonts w:eastAsiaTheme="minorEastAsia" w:cstheme="minorHAnsi"/>
          <w:sz w:val="24"/>
          <w:szCs w:val="24"/>
          <w:shd w:val="clear" w:color="auto" w:fill="FFFFFF"/>
        </w:rPr>
        <w:t xml:space="preserve">burn-up </w:t>
      </w:r>
      <w:r w:rsidRPr="00AF04C7">
        <w:rPr>
          <w:rFonts w:eastAsiaTheme="minorEastAsia" w:cstheme="minorHAnsi"/>
          <w:sz w:val="24"/>
          <w:szCs w:val="24"/>
          <w:shd w:val="clear" w:color="auto" w:fill="FFFFFF"/>
        </w:rPr>
        <w:t xml:space="preserve">at different times, and </w:t>
      </w:r>
      <w:r w:rsidR="00AA40A7">
        <w:rPr>
          <w:rFonts w:eastAsiaTheme="minorEastAsia" w:cstheme="minorHAnsi"/>
          <w:sz w:val="24"/>
          <w:szCs w:val="24"/>
          <w:shd w:val="clear" w:color="auto" w:fill="FFFFFF"/>
        </w:rPr>
        <w:t xml:space="preserve">ranges </w:t>
      </w:r>
      <w:r w:rsidRPr="00AF04C7">
        <w:rPr>
          <w:rFonts w:eastAsiaTheme="minorEastAsia" w:cstheme="minorHAnsi"/>
          <w:sz w:val="24"/>
          <w:szCs w:val="24"/>
          <w:shd w:val="clear" w:color="auto" w:fill="FFFFFF"/>
        </w:rPr>
        <w:t>of enrichment levels, at Dounreay.</w:t>
      </w:r>
      <w:r w:rsidRPr="00AF04C7">
        <w:rPr>
          <w:rFonts w:eastAsiaTheme="minorEastAsia" w:cstheme="minorHAnsi"/>
          <w:sz w:val="24"/>
          <w:szCs w:val="24"/>
          <w:shd w:val="clear" w:color="auto" w:fill="FFFFFF"/>
        </w:rPr>
        <w:br/>
      </w:r>
      <w:r w:rsidRPr="00AF04C7">
        <w:rPr>
          <w:rFonts w:eastAsiaTheme="minorEastAsia" w:cstheme="minorHAnsi"/>
          <w:b/>
          <w:sz w:val="24"/>
          <w:szCs w:val="24"/>
          <w:u w:val="single"/>
          <w:shd w:val="clear" w:color="auto" w:fill="FFFFFF"/>
        </w:rPr>
        <w:t>Current Plutonium-241 Atoms and Activity</w:t>
      </w:r>
      <w:r w:rsidRPr="00AF04C7">
        <w:rPr>
          <w:rFonts w:eastAsiaTheme="minorEastAsia" w:cstheme="minorHAnsi"/>
          <w:sz w:val="24"/>
          <w:szCs w:val="24"/>
          <w:shd w:val="clear" w:color="auto" w:fill="FFFFFF"/>
        </w:rPr>
        <w:t xml:space="preserve">: The estimated current number of </w:t>
      </w:r>
      <w:r w:rsidR="00D53624" w:rsidRPr="00D53624">
        <w:rPr>
          <w:sz w:val="24"/>
          <w:szCs w:val="24"/>
          <w:vertAlign w:val="superscript"/>
        </w:rPr>
        <w:t>241</w:t>
      </w:r>
      <w:r w:rsidR="00D53624">
        <w:rPr>
          <w:sz w:val="24"/>
          <w:szCs w:val="24"/>
        </w:rPr>
        <w:t>Pu</w:t>
      </w:r>
      <w:r w:rsidR="00D53624" w:rsidRPr="00AF04C7">
        <w:rPr>
          <w:rFonts w:eastAsiaTheme="minorEastAsia" w:cstheme="minorHAnsi"/>
          <w:sz w:val="24"/>
          <w:szCs w:val="24"/>
          <w:shd w:val="clear" w:color="auto" w:fill="FFFFFF"/>
        </w:rPr>
        <w:t xml:space="preserve"> </w:t>
      </w:r>
      <w:r w:rsidRPr="00AF04C7">
        <w:rPr>
          <w:rFonts w:eastAsiaTheme="minorEastAsia" w:cstheme="minorHAnsi"/>
          <w:sz w:val="24"/>
          <w:szCs w:val="24"/>
          <w:shd w:val="clear" w:color="auto" w:fill="FFFFFF"/>
        </w:rPr>
        <w:t xml:space="preserve">atoms in the samples was calculated from the original estimated atoms of the isotope, then the activity per gram of samples and the mass of </w:t>
      </w:r>
      <w:r w:rsidR="00D53624" w:rsidRPr="00D53624">
        <w:rPr>
          <w:sz w:val="24"/>
          <w:szCs w:val="24"/>
          <w:vertAlign w:val="superscript"/>
        </w:rPr>
        <w:t>241</w:t>
      </w:r>
      <w:r w:rsidR="00D53624">
        <w:rPr>
          <w:sz w:val="24"/>
          <w:szCs w:val="24"/>
        </w:rPr>
        <w:t>Pu</w:t>
      </w:r>
      <w:r w:rsidR="00D53624" w:rsidRPr="00AF04C7">
        <w:rPr>
          <w:rFonts w:eastAsiaTheme="minorEastAsia" w:cstheme="minorHAnsi"/>
          <w:sz w:val="24"/>
          <w:szCs w:val="24"/>
          <w:shd w:val="clear" w:color="auto" w:fill="FFFFFF"/>
        </w:rPr>
        <w:t xml:space="preserve"> </w:t>
      </w:r>
      <w:r w:rsidRPr="00AF04C7">
        <w:rPr>
          <w:rFonts w:eastAsiaTheme="minorEastAsia" w:cstheme="minorHAnsi"/>
          <w:sz w:val="24"/>
          <w:szCs w:val="24"/>
          <w:shd w:val="clear" w:color="auto" w:fill="FFFFFF"/>
        </w:rPr>
        <w:t xml:space="preserve">per gram of sample was calculated using the same methods as </w:t>
      </w:r>
      <w:r w:rsidR="00AA40A7">
        <w:rPr>
          <w:rFonts w:eastAsiaTheme="minorEastAsia" w:cstheme="minorHAnsi"/>
          <w:sz w:val="24"/>
          <w:szCs w:val="24"/>
          <w:shd w:val="clear" w:color="auto" w:fill="FFFFFF"/>
        </w:rPr>
        <w:t xml:space="preserve">was used in </w:t>
      </w:r>
      <w:r w:rsidRPr="00AF04C7">
        <w:rPr>
          <w:rFonts w:eastAsiaTheme="minorEastAsia" w:cstheme="minorHAnsi"/>
          <w:sz w:val="24"/>
          <w:szCs w:val="24"/>
          <w:shd w:val="clear" w:color="auto" w:fill="FFFFFF"/>
        </w:rPr>
        <w:t xml:space="preserve">the </w:t>
      </w:r>
      <w:r w:rsidR="00D53624" w:rsidRPr="00D53624">
        <w:rPr>
          <w:sz w:val="24"/>
          <w:szCs w:val="24"/>
          <w:vertAlign w:val="superscript"/>
        </w:rPr>
        <w:t>241</w:t>
      </w:r>
      <w:r w:rsidR="00D53624">
        <w:rPr>
          <w:sz w:val="24"/>
          <w:szCs w:val="24"/>
        </w:rPr>
        <w:t>Am</w:t>
      </w:r>
      <w:r w:rsidR="00D53624" w:rsidRPr="00AF04C7">
        <w:rPr>
          <w:rFonts w:eastAsiaTheme="minorEastAsia" w:cstheme="minorHAnsi"/>
          <w:sz w:val="24"/>
          <w:szCs w:val="24"/>
          <w:shd w:val="clear" w:color="auto" w:fill="FFFFFF"/>
        </w:rPr>
        <w:t xml:space="preserve"> </w:t>
      </w:r>
      <w:r w:rsidRPr="00AF04C7">
        <w:rPr>
          <w:rFonts w:eastAsiaTheme="minorEastAsia" w:cstheme="minorHAnsi"/>
          <w:sz w:val="24"/>
          <w:szCs w:val="24"/>
          <w:shd w:val="clear" w:color="auto" w:fill="FFFFFF"/>
        </w:rPr>
        <w:t>calculations.</w:t>
      </w:r>
    </w:p>
    <w:p w14:paraId="7C86B9BD" w14:textId="77777777" w:rsidR="00D53624" w:rsidRPr="008E0F1A" w:rsidRDefault="00D53624" w:rsidP="00F37CA9">
      <w:pPr>
        <w:spacing w:line="480" w:lineRule="auto"/>
        <w:rPr>
          <w:rFonts w:eastAsiaTheme="minorEastAsia" w:cstheme="minorHAnsi"/>
          <w:sz w:val="24"/>
          <w:szCs w:val="24"/>
          <w:shd w:val="clear" w:color="auto" w:fill="FFFFFF"/>
        </w:rPr>
      </w:pPr>
    </w:p>
    <w:p w14:paraId="7E79EBFE" w14:textId="77777777" w:rsidR="00536063" w:rsidRDefault="00536063">
      <w:pPr>
        <w:rPr>
          <w:rFonts w:cstheme="minorHAnsi"/>
          <w:b/>
          <w:sz w:val="28"/>
          <w:szCs w:val="24"/>
        </w:rPr>
      </w:pPr>
      <w:r>
        <w:rPr>
          <w:rFonts w:cstheme="minorHAnsi"/>
          <w:b/>
          <w:sz w:val="28"/>
          <w:szCs w:val="24"/>
        </w:rPr>
        <w:br w:type="page"/>
      </w:r>
    </w:p>
    <w:p w14:paraId="59F7B118" w14:textId="1F619ABC" w:rsidR="00F37CA9" w:rsidRPr="008B1C34" w:rsidRDefault="00F37CA9" w:rsidP="00F37CA9">
      <w:pPr>
        <w:spacing w:line="480" w:lineRule="auto"/>
        <w:rPr>
          <w:rFonts w:cstheme="minorHAnsi"/>
          <w:b/>
          <w:sz w:val="28"/>
          <w:szCs w:val="24"/>
        </w:rPr>
      </w:pPr>
      <w:r>
        <w:rPr>
          <w:rFonts w:cstheme="minorHAnsi"/>
          <w:b/>
          <w:sz w:val="28"/>
          <w:szCs w:val="24"/>
        </w:rPr>
        <w:lastRenderedPageBreak/>
        <w:t xml:space="preserve">2.4 </w:t>
      </w:r>
      <w:r w:rsidRPr="008B1C34">
        <w:rPr>
          <w:rFonts w:cstheme="minorHAnsi"/>
          <w:b/>
          <w:sz w:val="28"/>
          <w:szCs w:val="24"/>
        </w:rPr>
        <w:t>Accelerator Mass Spectrometry</w:t>
      </w:r>
    </w:p>
    <w:p w14:paraId="0E51D43E" w14:textId="77777777" w:rsidR="00F37CA9" w:rsidRPr="00AF04C7" w:rsidRDefault="00F37CA9" w:rsidP="00F37CA9">
      <w:pPr>
        <w:spacing w:line="480" w:lineRule="auto"/>
        <w:rPr>
          <w:rFonts w:cstheme="minorHAnsi"/>
          <w:b/>
          <w:sz w:val="24"/>
          <w:szCs w:val="24"/>
        </w:rPr>
      </w:pPr>
      <w:r>
        <w:rPr>
          <w:rFonts w:cstheme="minorHAnsi"/>
          <w:b/>
          <w:sz w:val="24"/>
          <w:szCs w:val="24"/>
        </w:rPr>
        <w:t xml:space="preserve">2.4.1 </w:t>
      </w:r>
      <w:r w:rsidRPr="00AF04C7">
        <w:rPr>
          <w:rFonts w:cstheme="minorHAnsi"/>
          <w:b/>
          <w:sz w:val="24"/>
          <w:szCs w:val="24"/>
        </w:rPr>
        <w:t>Sample Preparation</w:t>
      </w:r>
    </w:p>
    <w:p w14:paraId="7447FEED" w14:textId="0533BDC8" w:rsidR="00F37CA9" w:rsidRPr="00AF04C7" w:rsidRDefault="00F37CA9" w:rsidP="00F37CA9">
      <w:pPr>
        <w:spacing w:line="480" w:lineRule="auto"/>
        <w:ind w:firstLine="567"/>
        <w:rPr>
          <w:rFonts w:cstheme="minorHAnsi"/>
          <w:sz w:val="24"/>
          <w:szCs w:val="24"/>
        </w:rPr>
      </w:pPr>
      <w:r w:rsidRPr="00AF04C7">
        <w:rPr>
          <w:rFonts w:cstheme="minorHAnsi"/>
          <w:sz w:val="24"/>
          <w:szCs w:val="24"/>
        </w:rPr>
        <w:t xml:space="preserve">Prior to any </w:t>
      </w:r>
      <w:r w:rsidR="00AA40A7">
        <w:rPr>
          <w:rFonts w:cstheme="minorHAnsi"/>
          <w:sz w:val="24"/>
          <w:szCs w:val="24"/>
        </w:rPr>
        <w:t xml:space="preserve">accelerator mass spectrometry </w:t>
      </w:r>
      <w:r w:rsidRPr="00AF04C7">
        <w:rPr>
          <w:rFonts w:cstheme="minorHAnsi"/>
          <w:sz w:val="24"/>
          <w:szCs w:val="24"/>
        </w:rPr>
        <w:t>measurements, the soil samples were ground with a pestle and mortar to maximise the surface area of the samples, increasing the potential</w:t>
      </w:r>
      <w:r w:rsidR="00AA40A7">
        <w:rPr>
          <w:rFonts w:cstheme="minorHAnsi"/>
          <w:sz w:val="24"/>
          <w:szCs w:val="24"/>
        </w:rPr>
        <w:t xml:space="preserve"> for</w:t>
      </w:r>
      <w:r w:rsidRPr="00AF04C7">
        <w:rPr>
          <w:rFonts w:cstheme="minorHAnsi"/>
          <w:sz w:val="24"/>
          <w:szCs w:val="24"/>
        </w:rPr>
        <w:t xml:space="preserve"> release of actinides from the soil matrix. Sub-samples of 5</w:t>
      </w:r>
      <w:r w:rsidR="00AA40A7">
        <w:rPr>
          <w:rFonts w:cstheme="minorHAnsi"/>
          <w:sz w:val="24"/>
          <w:szCs w:val="24"/>
        </w:rPr>
        <w:t xml:space="preserve"> </w:t>
      </w:r>
      <w:r w:rsidRPr="00AF04C7">
        <w:rPr>
          <w:rFonts w:cstheme="minorHAnsi"/>
          <w:sz w:val="24"/>
          <w:szCs w:val="24"/>
        </w:rPr>
        <w:t xml:space="preserve">g mass were transferred to Teflon beakers </w:t>
      </w:r>
      <w:r>
        <w:rPr>
          <w:rFonts w:cstheme="minorHAnsi"/>
          <w:sz w:val="24"/>
          <w:szCs w:val="24"/>
        </w:rPr>
        <w:t>and</w:t>
      </w:r>
      <w:r w:rsidRPr="00AF04C7">
        <w:rPr>
          <w:rFonts w:cstheme="minorHAnsi"/>
          <w:sz w:val="24"/>
          <w:szCs w:val="24"/>
        </w:rPr>
        <w:t xml:space="preserve"> spiked with 100</w:t>
      </w:r>
      <w:r w:rsidR="00AA40A7">
        <w:rPr>
          <w:rFonts w:cstheme="minorHAnsi"/>
          <w:sz w:val="24"/>
          <w:szCs w:val="24"/>
        </w:rPr>
        <w:t xml:space="preserve"> </w:t>
      </w:r>
      <w:r w:rsidRPr="00AF04C7">
        <w:rPr>
          <w:rFonts w:cstheme="minorHAnsi"/>
          <w:sz w:val="24"/>
          <w:szCs w:val="24"/>
        </w:rPr>
        <w:t>µl of</w:t>
      </w:r>
      <w:r w:rsidR="00D53624">
        <w:rPr>
          <w:rFonts w:cstheme="minorHAnsi"/>
          <w:sz w:val="24"/>
          <w:szCs w:val="24"/>
        </w:rPr>
        <w:t xml:space="preserve"> </w:t>
      </w:r>
      <w:r w:rsidRPr="00D53624">
        <w:rPr>
          <w:rFonts w:cstheme="minorHAnsi"/>
          <w:sz w:val="24"/>
          <w:szCs w:val="24"/>
          <w:vertAlign w:val="superscript"/>
        </w:rPr>
        <w:t>233</w:t>
      </w:r>
      <w:r w:rsidR="00D53624">
        <w:rPr>
          <w:rFonts w:cstheme="minorHAnsi"/>
          <w:sz w:val="24"/>
          <w:szCs w:val="24"/>
        </w:rPr>
        <w:t>U</w:t>
      </w:r>
      <w:r w:rsidRPr="00AF04C7">
        <w:rPr>
          <w:rFonts w:cstheme="minorHAnsi"/>
          <w:sz w:val="24"/>
          <w:szCs w:val="24"/>
        </w:rPr>
        <w:t xml:space="preserve"> and 200</w:t>
      </w:r>
      <w:r w:rsidR="00AA40A7">
        <w:rPr>
          <w:rFonts w:cstheme="minorHAnsi"/>
          <w:sz w:val="24"/>
          <w:szCs w:val="24"/>
        </w:rPr>
        <w:t xml:space="preserve"> </w:t>
      </w:r>
      <w:r w:rsidRPr="00AF04C7">
        <w:rPr>
          <w:rFonts w:cstheme="minorHAnsi"/>
          <w:sz w:val="24"/>
          <w:szCs w:val="24"/>
        </w:rPr>
        <w:t xml:space="preserve">µl of </w:t>
      </w:r>
      <w:r w:rsidR="00D53624" w:rsidRPr="00D53624">
        <w:rPr>
          <w:sz w:val="24"/>
          <w:szCs w:val="24"/>
          <w:vertAlign w:val="superscript"/>
        </w:rPr>
        <w:t>24</w:t>
      </w:r>
      <w:r w:rsidR="00D53624">
        <w:rPr>
          <w:sz w:val="24"/>
          <w:szCs w:val="24"/>
          <w:vertAlign w:val="superscript"/>
        </w:rPr>
        <w:t>2</w:t>
      </w:r>
      <w:r w:rsidR="00D53624">
        <w:rPr>
          <w:sz w:val="24"/>
          <w:szCs w:val="24"/>
        </w:rPr>
        <w:t>Pu</w:t>
      </w:r>
      <w:r w:rsidR="00D53624" w:rsidRPr="00AF04C7">
        <w:rPr>
          <w:rFonts w:cstheme="minorHAnsi"/>
          <w:sz w:val="24"/>
          <w:szCs w:val="24"/>
        </w:rPr>
        <w:t xml:space="preserve"> </w:t>
      </w:r>
      <w:r w:rsidRPr="00AF04C7">
        <w:rPr>
          <w:rFonts w:cstheme="minorHAnsi"/>
          <w:sz w:val="24"/>
          <w:szCs w:val="24"/>
        </w:rPr>
        <w:t xml:space="preserve">tracer solutions of known concentrations. </w:t>
      </w:r>
    </w:p>
    <w:p w14:paraId="090BB0FA" w14:textId="77777777" w:rsidR="00F37CA9" w:rsidRPr="00AF04C7" w:rsidRDefault="00F37CA9" w:rsidP="00F37CA9">
      <w:pPr>
        <w:spacing w:line="480" w:lineRule="auto"/>
        <w:rPr>
          <w:rFonts w:cstheme="minorHAnsi"/>
          <w:b/>
          <w:sz w:val="24"/>
          <w:szCs w:val="24"/>
        </w:rPr>
      </w:pPr>
      <w:r w:rsidRPr="00AF04C7">
        <w:rPr>
          <w:rFonts w:cstheme="minorHAnsi"/>
          <w:b/>
          <w:sz w:val="24"/>
          <w:szCs w:val="24"/>
        </w:rPr>
        <w:t>Leaching</w:t>
      </w:r>
    </w:p>
    <w:p w14:paraId="2091296F" w14:textId="13FF7794" w:rsidR="00F37CA9" w:rsidRPr="00AF04C7" w:rsidRDefault="00F37CA9" w:rsidP="00F37CA9">
      <w:pPr>
        <w:spacing w:line="480" w:lineRule="auto"/>
        <w:ind w:firstLine="567"/>
        <w:rPr>
          <w:rFonts w:cstheme="minorHAnsi"/>
          <w:sz w:val="24"/>
          <w:szCs w:val="24"/>
        </w:rPr>
      </w:pPr>
      <w:r w:rsidRPr="00AF04C7">
        <w:rPr>
          <w:rFonts w:cstheme="minorHAnsi"/>
          <w:sz w:val="24"/>
          <w:szCs w:val="24"/>
        </w:rPr>
        <w:t>1</w:t>
      </w:r>
      <w:r w:rsidR="00AA40A7">
        <w:rPr>
          <w:rFonts w:cstheme="minorHAnsi"/>
          <w:sz w:val="24"/>
          <w:szCs w:val="24"/>
        </w:rPr>
        <w:t xml:space="preserve"> </w:t>
      </w:r>
      <w:r w:rsidRPr="00AF04C7">
        <w:rPr>
          <w:rFonts w:cstheme="minorHAnsi"/>
          <w:sz w:val="24"/>
          <w:szCs w:val="24"/>
        </w:rPr>
        <w:t>ml of distilled water was added to moisten the soil samples before addition of 5</w:t>
      </w:r>
      <w:r w:rsidR="00AA40A7">
        <w:rPr>
          <w:rFonts w:cstheme="minorHAnsi"/>
          <w:sz w:val="24"/>
          <w:szCs w:val="24"/>
        </w:rPr>
        <w:t xml:space="preserve"> </w:t>
      </w:r>
      <w:r w:rsidRPr="00AF04C7">
        <w:rPr>
          <w:rFonts w:cstheme="minorHAnsi"/>
          <w:sz w:val="24"/>
          <w:szCs w:val="24"/>
        </w:rPr>
        <w:t>ml of HNO</w:t>
      </w:r>
      <w:r w:rsidRPr="00AF04C7">
        <w:rPr>
          <w:rFonts w:cstheme="minorHAnsi"/>
          <w:sz w:val="24"/>
          <w:szCs w:val="24"/>
        </w:rPr>
        <w:softHyphen/>
      </w:r>
      <w:r w:rsidRPr="00AF04C7">
        <w:rPr>
          <w:rFonts w:cstheme="minorHAnsi"/>
          <w:sz w:val="24"/>
          <w:szCs w:val="24"/>
          <w:vertAlign w:val="subscript"/>
        </w:rPr>
        <w:t>3</w:t>
      </w:r>
      <w:r w:rsidRPr="00AF04C7">
        <w:rPr>
          <w:rFonts w:cstheme="minorHAnsi"/>
          <w:sz w:val="24"/>
          <w:szCs w:val="24"/>
        </w:rPr>
        <w:t xml:space="preserve"> and 1</w:t>
      </w:r>
      <w:r w:rsidR="00AA40A7">
        <w:rPr>
          <w:rFonts w:cstheme="minorHAnsi"/>
          <w:sz w:val="24"/>
          <w:szCs w:val="24"/>
        </w:rPr>
        <w:t xml:space="preserve"> </w:t>
      </w:r>
      <w:r w:rsidRPr="00AF04C7">
        <w:rPr>
          <w:rFonts w:cstheme="minorHAnsi"/>
          <w:sz w:val="24"/>
          <w:szCs w:val="24"/>
        </w:rPr>
        <w:t>ml of H</w:t>
      </w:r>
      <w:r w:rsidRPr="00AF04C7">
        <w:rPr>
          <w:rFonts w:cstheme="minorHAnsi"/>
          <w:sz w:val="24"/>
          <w:szCs w:val="24"/>
          <w:vertAlign w:val="subscript"/>
        </w:rPr>
        <w:t>2</w:t>
      </w:r>
      <w:r w:rsidRPr="00AF04C7">
        <w:rPr>
          <w:rFonts w:cstheme="minorHAnsi"/>
          <w:sz w:val="24"/>
          <w:szCs w:val="24"/>
        </w:rPr>
        <w:t>O</w:t>
      </w:r>
      <w:r w:rsidRPr="00AF04C7">
        <w:rPr>
          <w:rFonts w:cstheme="minorHAnsi"/>
          <w:sz w:val="24"/>
          <w:szCs w:val="24"/>
          <w:vertAlign w:val="subscript"/>
        </w:rPr>
        <w:t>2</w:t>
      </w:r>
      <w:r w:rsidRPr="00AF04C7">
        <w:rPr>
          <w:rFonts w:cstheme="minorHAnsi"/>
          <w:sz w:val="24"/>
          <w:szCs w:val="24"/>
        </w:rPr>
        <w:t>. The samples were placed on a hot plate at 50</w:t>
      </w:r>
      <w:r w:rsidRPr="00AF04C7">
        <w:rPr>
          <w:rFonts w:cstheme="minorHAnsi"/>
          <w:sz w:val="24"/>
          <w:szCs w:val="24"/>
          <w:vertAlign w:val="superscript"/>
        </w:rPr>
        <w:t>o</w:t>
      </w:r>
      <w:r w:rsidRPr="00AF04C7">
        <w:rPr>
          <w:rFonts w:cstheme="minorHAnsi"/>
          <w:sz w:val="24"/>
          <w:szCs w:val="24"/>
        </w:rPr>
        <w:t xml:space="preserve">C and swilled periodically. This process was repeated 3-5 times until reactions ceased to take place. The samples were </w:t>
      </w:r>
      <w:r w:rsidR="00AA40A7">
        <w:rPr>
          <w:rFonts w:cstheme="minorHAnsi"/>
          <w:sz w:val="24"/>
          <w:szCs w:val="24"/>
        </w:rPr>
        <w:t xml:space="preserve">then </w:t>
      </w:r>
      <w:r w:rsidRPr="00AF04C7">
        <w:rPr>
          <w:rFonts w:cstheme="minorHAnsi"/>
          <w:sz w:val="24"/>
          <w:szCs w:val="24"/>
        </w:rPr>
        <w:t>centrifuged, and the supernatant was filtered via syringe back into a clean Teflon beaker. 5</w:t>
      </w:r>
      <w:r w:rsidR="00AA40A7">
        <w:rPr>
          <w:rFonts w:cstheme="minorHAnsi"/>
          <w:sz w:val="24"/>
          <w:szCs w:val="24"/>
        </w:rPr>
        <w:t xml:space="preserve"> </w:t>
      </w:r>
      <w:r w:rsidRPr="00AF04C7">
        <w:rPr>
          <w:rFonts w:cstheme="minorHAnsi"/>
          <w:sz w:val="24"/>
          <w:szCs w:val="24"/>
        </w:rPr>
        <w:t>ml of 8M HNO</w:t>
      </w:r>
      <w:r w:rsidRPr="00AF04C7">
        <w:rPr>
          <w:rFonts w:cstheme="minorHAnsi"/>
          <w:sz w:val="24"/>
          <w:szCs w:val="24"/>
          <w:vertAlign w:val="subscript"/>
        </w:rPr>
        <w:t>3</w:t>
      </w:r>
      <w:r w:rsidRPr="00AF04C7">
        <w:rPr>
          <w:rFonts w:cstheme="minorHAnsi"/>
          <w:sz w:val="24"/>
          <w:szCs w:val="24"/>
        </w:rPr>
        <w:t xml:space="preserve"> was added to the centrifuge tube still containing the pellet and the step was repeated following cleaning of the syringe. Following</w:t>
      </w:r>
      <w:r>
        <w:rPr>
          <w:rFonts w:cstheme="minorHAnsi"/>
          <w:sz w:val="24"/>
          <w:szCs w:val="24"/>
        </w:rPr>
        <w:t xml:space="preserve"> the</w:t>
      </w:r>
      <w:r w:rsidRPr="00AF04C7">
        <w:rPr>
          <w:rFonts w:cstheme="minorHAnsi"/>
          <w:sz w:val="24"/>
          <w:szCs w:val="24"/>
        </w:rPr>
        <w:t xml:space="preserve"> filtering of particulate, the samples were evaporated overnight to dryness at 110</w:t>
      </w:r>
      <w:r w:rsidRPr="00AF04C7">
        <w:rPr>
          <w:rFonts w:cstheme="minorHAnsi"/>
          <w:sz w:val="24"/>
          <w:szCs w:val="24"/>
        </w:rPr>
        <w:softHyphen/>
      </w:r>
      <w:r w:rsidRPr="00AF04C7">
        <w:rPr>
          <w:rFonts w:cstheme="minorHAnsi"/>
          <w:sz w:val="24"/>
          <w:szCs w:val="24"/>
          <w:vertAlign w:val="superscript"/>
        </w:rPr>
        <w:t>o</w:t>
      </w:r>
      <w:r w:rsidRPr="00AF04C7">
        <w:rPr>
          <w:rFonts w:cstheme="minorHAnsi"/>
          <w:sz w:val="24"/>
          <w:szCs w:val="24"/>
        </w:rPr>
        <w:t>C. 10</w:t>
      </w:r>
      <w:r w:rsidR="00AA40A7">
        <w:rPr>
          <w:rFonts w:cstheme="minorHAnsi"/>
          <w:sz w:val="24"/>
          <w:szCs w:val="24"/>
        </w:rPr>
        <w:t xml:space="preserve"> </w:t>
      </w:r>
      <w:r w:rsidRPr="00AF04C7">
        <w:rPr>
          <w:rFonts w:cstheme="minorHAnsi"/>
          <w:sz w:val="24"/>
          <w:szCs w:val="24"/>
        </w:rPr>
        <w:t>ml of 8M HNO</w:t>
      </w:r>
      <w:r w:rsidRPr="00AF04C7">
        <w:rPr>
          <w:rFonts w:cstheme="minorHAnsi"/>
          <w:sz w:val="24"/>
          <w:szCs w:val="24"/>
          <w:vertAlign w:val="subscript"/>
        </w:rPr>
        <w:t>3</w:t>
      </w:r>
      <w:r w:rsidRPr="00AF04C7">
        <w:rPr>
          <w:rFonts w:cstheme="minorHAnsi"/>
          <w:sz w:val="24"/>
          <w:szCs w:val="24"/>
        </w:rPr>
        <w:t xml:space="preserve"> was added to the evaporated beakers, followed by 0.2</w:t>
      </w:r>
      <w:r w:rsidR="00AA40A7">
        <w:rPr>
          <w:rFonts w:cstheme="minorHAnsi"/>
          <w:sz w:val="24"/>
          <w:szCs w:val="24"/>
        </w:rPr>
        <w:t xml:space="preserve"> </w:t>
      </w:r>
      <w:r w:rsidRPr="00AF04C7">
        <w:rPr>
          <w:rFonts w:cstheme="minorHAnsi"/>
          <w:sz w:val="24"/>
          <w:szCs w:val="24"/>
        </w:rPr>
        <w:t>ml of 3M NaNO</w:t>
      </w:r>
      <w:r w:rsidRPr="00AF04C7">
        <w:rPr>
          <w:rFonts w:cstheme="minorHAnsi"/>
          <w:sz w:val="24"/>
          <w:szCs w:val="24"/>
          <w:vertAlign w:val="subscript"/>
        </w:rPr>
        <w:t>2</w:t>
      </w:r>
      <w:r w:rsidRPr="00AF04C7">
        <w:rPr>
          <w:rFonts w:cstheme="minorHAnsi"/>
          <w:sz w:val="24"/>
          <w:szCs w:val="24"/>
        </w:rPr>
        <w:t xml:space="preserve"> for valence adjustment of the actinides.</w:t>
      </w:r>
      <w:r w:rsidR="00F04EC3">
        <w:rPr>
          <w:rFonts w:cstheme="minorHAnsi"/>
          <w:sz w:val="24"/>
          <w:szCs w:val="24"/>
        </w:rPr>
        <w:t xml:space="preserve"> The valence adjustment ensures that the </w:t>
      </w:r>
      <w:r w:rsidR="003145C3">
        <w:rPr>
          <w:rFonts w:cstheme="minorHAnsi"/>
          <w:sz w:val="24"/>
          <w:szCs w:val="24"/>
        </w:rPr>
        <w:t xml:space="preserve">actinides </w:t>
      </w:r>
      <w:r w:rsidR="005E207B">
        <w:rPr>
          <w:rFonts w:cstheme="minorHAnsi"/>
          <w:sz w:val="24"/>
          <w:szCs w:val="24"/>
        </w:rPr>
        <w:t>bind within the resin upon contact, rather than pass through.</w:t>
      </w:r>
      <w:r w:rsidRPr="00AF04C7">
        <w:rPr>
          <w:rFonts w:cstheme="minorHAnsi"/>
          <w:sz w:val="24"/>
          <w:szCs w:val="24"/>
        </w:rPr>
        <w:t xml:space="preserve"> The solution was transferred to centrifuge tubes, and the beakers rinsed and transferred again to ensure complete transference of sample.</w:t>
      </w:r>
    </w:p>
    <w:p w14:paraId="7BEF4D27" w14:textId="77777777" w:rsidR="00F37CA9" w:rsidRPr="00AF04C7" w:rsidRDefault="00F37CA9" w:rsidP="00F37CA9">
      <w:pPr>
        <w:spacing w:line="480" w:lineRule="auto"/>
        <w:rPr>
          <w:rFonts w:cstheme="minorHAnsi"/>
          <w:sz w:val="24"/>
          <w:szCs w:val="24"/>
        </w:rPr>
      </w:pPr>
      <w:r w:rsidRPr="00AF04C7">
        <w:rPr>
          <w:rFonts w:cstheme="minorHAnsi"/>
          <w:b/>
          <w:sz w:val="24"/>
          <w:szCs w:val="24"/>
        </w:rPr>
        <w:t>Sample Concentration and Conditioning</w:t>
      </w:r>
    </w:p>
    <w:p w14:paraId="266FDC76" w14:textId="557E812C" w:rsidR="00F37CA9" w:rsidRDefault="00F37CA9" w:rsidP="00F37CA9">
      <w:pPr>
        <w:spacing w:line="480" w:lineRule="auto"/>
        <w:ind w:firstLine="567"/>
        <w:rPr>
          <w:rFonts w:cstheme="minorHAnsi"/>
          <w:sz w:val="24"/>
          <w:szCs w:val="24"/>
        </w:rPr>
      </w:pPr>
      <w:r w:rsidRPr="00AF04C7">
        <w:rPr>
          <w:rFonts w:cstheme="minorHAnsi"/>
          <w:sz w:val="24"/>
          <w:szCs w:val="24"/>
        </w:rPr>
        <w:lastRenderedPageBreak/>
        <w:t>Once transferred to centrifuge tubes, 0.5</w:t>
      </w:r>
      <w:r w:rsidR="0054566D">
        <w:rPr>
          <w:rFonts w:cstheme="minorHAnsi"/>
          <w:sz w:val="24"/>
          <w:szCs w:val="24"/>
        </w:rPr>
        <w:t xml:space="preserve"> </w:t>
      </w:r>
      <w:r w:rsidRPr="00AF04C7">
        <w:rPr>
          <w:rFonts w:cstheme="minorHAnsi"/>
          <w:sz w:val="24"/>
          <w:szCs w:val="24"/>
        </w:rPr>
        <w:t>ml of Fe</w:t>
      </w:r>
      <w:r w:rsidRPr="00AF04C7">
        <w:rPr>
          <w:rFonts w:cstheme="minorHAnsi"/>
          <w:sz w:val="24"/>
          <w:szCs w:val="24"/>
          <w:vertAlign w:val="superscript"/>
        </w:rPr>
        <w:t>3+</w:t>
      </w:r>
      <w:r w:rsidRPr="00AF04C7">
        <w:rPr>
          <w:rFonts w:cstheme="minorHAnsi"/>
          <w:sz w:val="24"/>
          <w:szCs w:val="24"/>
        </w:rPr>
        <w:t xml:space="preserve"> (50</w:t>
      </w:r>
      <w:r w:rsidR="0054566D">
        <w:rPr>
          <w:rFonts w:cstheme="minorHAnsi"/>
          <w:sz w:val="24"/>
          <w:szCs w:val="24"/>
        </w:rPr>
        <w:t xml:space="preserve"> </w:t>
      </w:r>
      <w:r w:rsidRPr="00AF04C7">
        <w:rPr>
          <w:rFonts w:cstheme="minorHAnsi"/>
          <w:sz w:val="24"/>
          <w:szCs w:val="24"/>
        </w:rPr>
        <w:t>mg/ml) was added to the solution, followed by concentrated NH</w:t>
      </w:r>
      <w:r w:rsidRPr="00AF04C7">
        <w:rPr>
          <w:rFonts w:cstheme="minorHAnsi"/>
          <w:sz w:val="24"/>
          <w:szCs w:val="24"/>
          <w:vertAlign w:val="subscript"/>
        </w:rPr>
        <w:t>4</w:t>
      </w:r>
      <w:r w:rsidRPr="00AF04C7">
        <w:rPr>
          <w:rFonts w:cstheme="minorHAnsi"/>
          <w:sz w:val="24"/>
          <w:szCs w:val="24"/>
        </w:rPr>
        <w:t>OH until</w:t>
      </w:r>
      <w:r w:rsidR="0054566D">
        <w:rPr>
          <w:rFonts w:cstheme="minorHAnsi"/>
          <w:sz w:val="24"/>
          <w:szCs w:val="24"/>
        </w:rPr>
        <w:t xml:space="preserve"> an</w:t>
      </w:r>
      <w:r w:rsidRPr="00AF04C7">
        <w:rPr>
          <w:rFonts w:cstheme="minorHAnsi"/>
          <w:sz w:val="24"/>
          <w:szCs w:val="24"/>
        </w:rPr>
        <w:t xml:space="preserve"> iron precipitate form</w:t>
      </w:r>
      <w:r w:rsidR="0054566D">
        <w:rPr>
          <w:rFonts w:cstheme="minorHAnsi"/>
          <w:sz w:val="24"/>
          <w:szCs w:val="24"/>
        </w:rPr>
        <w:t>ed</w:t>
      </w:r>
      <w:r w:rsidRPr="00AF04C7">
        <w:rPr>
          <w:rFonts w:cstheme="minorHAnsi"/>
          <w:sz w:val="24"/>
          <w:szCs w:val="24"/>
        </w:rPr>
        <w:t>. Once the precipitate ha</w:t>
      </w:r>
      <w:r w:rsidR="0054566D">
        <w:rPr>
          <w:rFonts w:cstheme="minorHAnsi"/>
          <w:sz w:val="24"/>
          <w:szCs w:val="24"/>
        </w:rPr>
        <w:t>d</w:t>
      </w:r>
      <w:r w:rsidRPr="00AF04C7">
        <w:rPr>
          <w:rFonts w:cstheme="minorHAnsi"/>
          <w:sz w:val="24"/>
          <w:szCs w:val="24"/>
        </w:rPr>
        <w:t xml:space="preserve"> formed, the solution </w:t>
      </w:r>
      <w:r w:rsidR="0054566D">
        <w:rPr>
          <w:rFonts w:cstheme="minorHAnsi"/>
          <w:sz w:val="24"/>
          <w:szCs w:val="24"/>
        </w:rPr>
        <w:t>was</w:t>
      </w:r>
      <w:r w:rsidRPr="00AF04C7">
        <w:rPr>
          <w:rFonts w:cstheme="minorHAnsi"/>
          <w:sz w:val="24"/>
          <w:szCs w:val="24"/>
        </w:rPr>
        <w:t xml:space="preserve"> centrifuged, and the supernatant </w:t>
      </w:r>
      <w:r w:rsidR="0054566D">
        <w:rPr>
          <w:rFonts w:cstheme="minorHAnsi"/>
          <w:sz w:val="24"/>
          <w:szCs w:val="24"/>
        </w:rPr>
        <w:t>wa</w:t>
      </w:r>
      <w:r w:rsidRPr="00AF04C7">
        <w:rPr>
          <w:rFonts w:cstheme="minorHAnsi"/>
          <w:sz w:val="24"/>
          <w:szCs w:val="24"/>
        </w:rPr>
        <w:t xml:space="preserve">s carefully discarded </w:t>
      </w:r>
      <w:r>
        <w:rPr>
          <w:rFonts w:cstheme="minorHAnsi"/>
          <w:sz w:val="24"/>
          <w:szCs w:val="24"/>
        </w:rPr>
        <w:t>(</w:t>
      </w:r>
      <w:r w:rsidRPr="00AF04C7">
        <w:rPr>
          <w:rFonts w:cstheme="minorHAnsi"/>
          <w:sz w:val="24"/>
          <w:szCs w:val="24"/>
        </w:rPr>
        <w:t xml:space="preserve">so as not to lose </w:t>
      </w:r>
      <w:r>
        <w:rPr>
          <w:rFonts w:cstheme="minorHAnsi"/>
          <w:sz w:val="24"/>
          <w:szCs w:val="24"/>
        </w:rPr>
        <w:t>any</w:t>
      </w:r>
      <w:r w:rsidRPr="00AF04C7">
        <w:rPr>
          <w:rFonts w:cstheme="minorHAnsi"/>
          <w:sz w:val="24"/>
          <w:szCs w:val="24"/>
        </w:rPr>
        <w:t xml:space="preserve"> precipitate</w:t>
      </w:r>
      <w:r>
        <w:rPr>
          <w:rFonts w:cstheme="minorHAnsi"/>
          <w:sz w:val="24"/>
          <w:szCs w:val="24"/>
        </w:rPr>
        <w:t>)</w:t>
      </w:r>
      <w:r w:rsidR="0054566D">
        <w:rPr>
          <w:rFonts w:cstheme="minorHAnsi"/>
          <w:sz w:val="24"/>
          <w:szCs w:val="24"/>
        </w:rPr>
        <w:t>.</w:t>
      </w:r>
      <w:r w:rsidRPr="00AF04C7">
        <w:rPr>
          <w:rFonts w:cstheme="minorHAnsi"/>
          <w:sz w:val="24"/>
          <w:szCs w:val="24"/>
        </w:rPr>
        <w:t xml:space="preserve"> </w:t>
      </w:r>
      <w:r w:rsidR="0054566D">
        <w:rPr>
          <w:rFonts w:cstheme="minorHAnsi"/>
          <w:sz w:val="24"/>
          <w:szCs w:val="24"/>
        </w:rPr>
        <w:t>This was</w:t>
      </w:r>
      <w:r w:rsidRPr="00AF04C7">
        <w:rPr>
          <w:rFonts w:cstheme="minorHAnsi"/>
          <w:sz w:val="24"/>
          <w:szCs w:val="24"/>
        </w:rPr>
        <w:t xml:space="preserve"> set aside until extraction columns ha</w:t>
      </w:r>
      <w:r w:rsidR="0054566D">
        <w:rPr>
          <w:rFonts w:cstheme="minorHAnsi"/>
          <w:sz w:val="24"/>
          <w:szCs w:val="24"/>
        </w:rPr>
        <w:t>d</w:t>
      </w:r>
      <w:r w:rsidRPr="00AF04C7">
        <w:rPr>
          <w:rFonts w:cstheme="minorHAnsi"/>
          <w:sz w:val="24"/>
          <w:szCs w:val="24"/>
        </w:rPr>
        <w:t xml:space="preserve"> been preconditioned. Extraction columns</w:t>
      </w:r>
      <w:r>
        <w:rPr>
          <w:rFonts w:cstheme="minorHAnsi"/>
          <w:sz w:val="24"/>
          <w:szCs w:val="24"/>
        </w:rPr>
        <w:t xml:space="preserve"> for extraction chromatography</w:t>
      </w:r>
      <w:r w:rsidRPr="00AF04C7">
        <w:rPr>
          <w:rFonts w:cstheme="minorHAnsi"/>
          <w:sz w:val="24"/>
          <w:szCs w:val="24"/>
        </w:rPr>
        <w:t xml:space="preserve"> are constructed with </w:t>
      </w:r>
      <w:r w:rsidR="001B5B6D">
        <w:rPr>
          <w:rFonts w:cstheme="minorHAnsi"/>
          <w:sz w:val="24"/>
          <w:szCs w:val="24"/>
        </w:rPr>
        <w:t>commercially available</w:t>
      </w:r>
      <w:r w:rsidRPr="00AF04C7">
        <w:rPr>
          <w:rFonts w:cstheme="minorHAnsi"/>
          <w:sz w:val="24"/>
          <w:szCs w:val="24"/>
        </w:rPr>
        <w:t xml:space="preserve"> TEVA and UTEVA</w:t>
      </w:r>
      <w:r>
        <w:rPr>
          <w:rFonts w:cstheme="minorHAnsi"/>
          <w:sz w:val="24"/>
          <w:szCs w:val="24"/>
        </w:rPr>
        <w:t xml:space="preserve"> r</w:t>
      </w:r>
      <w:r w:rsidRPr="00AF04C7">
        <w:rPr>
          <w:rFonts w:cstheme="minorHAnsi"/>
          <w:sz w:val="24"/>
          <w:szCs w:val="24"/>
        </w:rPr>
        <w:t xml:space="preserve">esins </w:t>
      </w:r>
      <w:r w:rsidR="0054566D">
        <w:rPr>
          <w:rFonts w:cstheme="minorHAnsi"/>
          <w:sz w:val="24"/>
          <w:szCs w:val="24"/>
        </w:rPr>
        <w:t>formulated</w:t>
      </w:r>
      <w:r w:rsidRPr="00AF04C7">
        <w:rPr>
          <w:rFonts w:cstheme="minorHAnsi"/>
          <w:sz w:val="24"/>
          <w:szCs w:val="24"/>
        </w:rPr>
        <w:t xml:space="preserve"> to capture plutonium and uranium</w:t>
      </w:r>
      <w:r>
        <w:rPr>
          <w:rFonts w:cstheme="minorHAnsi"/>
          <w:sz w:val="24"/>
          <w:szCs w:val="24"/>
        </w:rPr>
        <w:t xml:space="preserve"> following preconditioning</w:t>
      </w:r>
      <w:r w:rsidRPr="00AF04C7">
        <w:rPr>
          <w:rFonts w:cstheme="minorHAnsi"/>
          <w:sz w:val="24"/>
          <w:szCs w:val="24"/>
        </w:rPr>
        <w:t>.</w:t>
      </w:r>
    </w:p>
    <w:p w14:paraId="35F8AAA3" w14:textId="5D9EFB36" w:rsidR="000B0F18" w:rsidRDefault="00F37CA9" w:rsidP="000B0F18">
      <w:pPr>
        <w:keepNext/>
        <w:spacing w:line="480" w:lineRule="auto"/>
        <w:ind w:firstLine="567"/>
      </w:pPr>
      <w:r w:rsidRPr="00FC1057">
        <w:rPr>
          <w:rFonts w:cstheme="minorHAnsi"/>
          <w:noProof/>
          <w:sz w:val="24"/>
          <w:szCs w:val="24"/>
        </w:rPr>
        <w:lastRenderedPageBreak/>
        <w:t xml:space="preserve"> </w:t>
      </w:r>
      <w:r>
        <w:rPr>
          <w:rFonts w:cstheme="minorHAnsi"/>
          <w:noProof/>
          <w:sz w:val="24"/>
          <w:szCs w:val="24"/>
          <w:lang w:eastAsia="en-GB"/>
        </w:rPr>
        <w:drawing>
          <wp:inline distT="0" distB="0" distL="0" distR="0" wp14:anchorId="588B48A9" wp14:editId="726F7167">
            <wp:extent cx="4184734" cy="65627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umnChromatograph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86420" cy="6565369"/>
                    </a:xfrm>
                    <a:prstGeom prst="rect">
                      <a:avLst/>
                    </a:prstGeom>
                  </pic:spPr>
                </pic:pic>
              </a:graphicData>
            </a:graphic>
          </wp:inline>
        </w:drawing>
      </w:r>
    </w:p>
    <w:p w14:paraId="1FB6F38D" w14:textId="4FAD1AA4" w:rsidR="000B0F18" w:rsidRPr="00C45EC1" w:rsidRDefault="000B0F18" w:rsidP="00C45EC1">
      <w:pPr>
        <w:pStyle w:val="Caption"/>
        <w:jc w:val="center"/>
        <w:rPr>
          <w:sz w:val="20"/>
        </w:rPr>
      </w:pPr>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14</w:t>
      </w:r>
      <w:r w:rsidRPr="00C45EC1">
        <w:rPr>
          <w:sz w:val="20"/>
        </w:rPr>
        <w:fldChar w:fldCharType="end"/>
      </w:r>
      <w:r w:rsidRPr="00C45EC1">
        <w:rPr>
          <w:sz w:val="20"/>
        </w:rPr>
        <w:t xml:space="preserve"> A picture taken of the column chromatography method in use at ETH Zϋrich for the AMS measurement preparation. Following dissolution, the samples were placed in the syringes in the image before being pulled via vacuum through the ion exchange resins and into the waste or sample containers as appropriate.</w:t>
      </w:r>
    </w:p>
    <w:p w14:paraId="4B9DDF8A" w14:textId="64970602" w:rsidR="000B0F18" w:rsidRDefault="00F37CA9" w:rsidP="000B0F18">
      <w:pPr>
        <w:keepNext/>
        <w:spacing w:line="480" w:lineRule="auto"/>
        <w:ind w:firstLine="567"/>
      </w:pPr>
      <w:r w:rsidRPr="00AF04C7">
        <w:rPr>
          <w:rFonts w:cstheme="minorHAnsi"/>
          <w:sz w:val="24"/>
          <w:szCs w:val="24"/>
        </w:rPr>
        <w:t xml:space="preserve"> The columns are constructed with three-way valves leading to waste and sample pots, with </w:t>
      </w:r>
      <w:r>
        <w:rPr>
          <w:rFonts w:cstheme="minorHAnsi"/>
          <w:sz w:val="24"/>
          <w:szCs w:val="24"/>
        </w:rPr>
        <w:t>the</w:t>
      </w:r>
      <w:r w:rsidRPr="00AF04C7">
        <w:rPr>
          <w:rFonts w:cstheme="minorHAnsi"/>
          <w:sz w:val="24"/>
          <w:szCs w:val="24"/>
        </w:rPr>
        <w:t xml:space="preserve"> third option preventing flow through the columns. Solutions are drawn through the columns by vacuum, produced by a pump. The columns are preconditioned with HNO</w:t>
      </w:r>
      <w:r w:rsidRPr="00AF04C7">
        <w:rPr>
          <w:rFonts w:cstheme="minorHAnsi"/>
          <w:sz w:val="24"/>
          <w:szCs w:val="24"/>
          <w:vertAlign w:val="subscript"/>
        </w:rPr>
        <w:t>3</w:t>
      </w:r>
      <w:r w:rsidRPr="00AF04C7">
        <w:rPr>
          <w:rFonts w:cstheme="minorHAnsi"/>
          <w:sz w:val="24"/>
          <w:szCs w:val="24"/>
        </w:rPr>
        <w:t xml:space="preserve"> </w:t>
      </w:r>
      <w:r w:rsidRPr="00AF04C7">
        <w:rPr>
          <w:rFonts w:cstheme="minorHAnsi"/>
          <w:sz w:val="24"/>
          <w:szCs w:val="24"/>
        </w:rPr>
        <w:lastRenderedPageBreak/>
        <w:t>before addition of the sample, to both activate the TEVA and UTEVA resins, and clear the columns of any contaminants. Following column conditioning, 15</w:t>
      </w:r>
      <w:r w:rsidR="0054566D">
        <w:rPr>
          <w:rFonts w:cstheme="minorHAnsi"/>
          <w:sz w:val="24"/>
          <w:szCs w:val="24"/>
        </w:rPr>
        <w:t xml:space="preserve"> </w:t>
      </w:r>
      <w:r w:rsidRPr="00AF04C7">
        <w:rPr>
          <w:rFonts w:cstheme="minorHAnsi"/>
          <w:sz w:val="24"/>
          <w:szCs w:val="24"/>
        </w:rPr>
        <w:t>ml of 8M HNO</w:t>
      </w:r>
      <w:r w:rsidRPr="00AF04C7">
        <w:rPr>
          <w:rFonts w:cstheme="minorHAnsi"/>
          <w:sz w:val="24"/>
          <w:szCs w:val="24"/>
          <w:vertAlign w:val="subscript"/>
        </w:rPr>
        <w:t>3</w:t>
      </w:r>
      <w:r w:rsidRPr="00AF04C7">
        <w:rPr>
          <w:rFonts w:cstheme="minorHAnsi"/>
          <w:sz w:val="24"/>
          <w:szCs w:val="24"/>
        </w:rPr>
        <w:t xml:space="preserve"> was added to the centrifuge tubes to re-dissolve</w:t>
      </w:r>
      <w:r w:rsidR="0054566D">
        <w:rPr>
          <w:rFonts w:cstheme="minorHAnsi"/>
          <w:sz w:val="24"/>
          <w:szCs w:val="24"/>
        </w:rPr>
        <w:t xml:space="preserve"> the</w:t>
      </w:r>
      <w:r w:rsidRPr="00AF04C7">
        <w:rPr>
          <w:rFonts w:cstheme="minorHAnsi"/>
          <w:sz w:val="24"/>
          <w:szCs w:val="24"/>
        </w:rPr>
        <w:t xml:space="preserve"> iron precipitates and </w:t>
      </w:r>
      <w:r>
        <w:rPr>
          <w:rFonts w:cstheme="minorHAnsi"/>
          <w:sz w:val="24"/>
          <w:szCs w:val="24"/>
        </w:rPr>
        <w:t>the contents</w:t>
      </w:r>
      <w:r w:rsidR="0054566D">
        <w:rPr>
          <w:rFonts w:cstheme="minorHAnsi"/>
          <w:sz w:val="24"/>
          <w:szCs w:val="24"/>
        </w:rPr>
        <w:t xml:space="preserve"> were</w:t>
      </w:r>
      <w:r>
        <w:rPr>
          <w:rFonts w:cstheme="minorHAnsi"/>
          <w:sz w:val="24"/>
          <w:szCs w:val="24"/>
        </w:rPr>
        <w:t xml:space="preserve"> </w:t>
      </w:r>
      <w:r w:rsidRPr="00AF04C7">
        <w:rPr>
          <w:rFonts w:cstheme="minorHAnsi"/>
          <w:sz w:val="24"/>
          <w:szCs w:val="24"/>
        </w:rPr>
        <w:t xml:space="preserve">poured into the column syringes. This </w:t>
      </w:r>
      <w:r w:rsidR="0054566D">
        <w:rPr>
          <w:rFonts w:cstheme="minorHAnsi"/>
          <w:sz w:val="24"/>
          <w:szCs w:val="24"/>
        </w:rPr>
        <w:t>was</w:t>
      </w:r>
      <w:r w:rsidRPr="00AF04C7">
        <w:rPr>
          <w:rFonts w:cstheme="minorHAnsi"/>
          <w:sz w:val="24"/>
          <w:szCs w:val="24"/>
        </w:rPr>
        <w:t xml:space="preserve"> repeated 3 times with 5</w:t>
      </w:r>
      <w:r w:rsidR="0054566D">
        <w:rPr>
          <w:rFonts w:cstheme="minorHAnsi"/>
          <w:sz w:val="24"/>
          <w:szCs w:val="24"/>
        </w:rPr>
        <w:t xml:space="preserve"> </w:t>
      </w:r>
      <w:r w:rsidRPr="00AF04C7">
        <w:rPr>
          <w:rFonts w:cstheme="minorHAnsi"/>
          <w:sz w:val="24"/>
          <w:szCs w:val="24"/>
        </w:rPr>
        <w:t>ml of 8M HNO</w:t>
      </w:r>
      <w:r w:rsidRPr="00AF04C7">
        <w:rPr>
          <w:rFonts w:cstheme="minorHAnsi"/>
          <w:sz w:val="24"/>
          <w:szCs w:val="24"/>
          <w:vertAlign w:val="subscript"/>
        </w:rPr>
        <w:t>3</w:t>
      </w:r>
      <w:r w:rsidRPr="00AF04C7">
        <w:rPr>
          <w:rFonts w:cstheme="minorHAnsi"/>
          <w:sz w:val="24"/>
          <w:szCs w:val="24"/>
        </w:rPr>
        <w:t xml:space="preserve"> to ensure samples ha</w:t>
      </w:r>
      <w:r w:rsidR="0054566D">
        <w:rPr>
          <w:rFonts w:cstheme="minorHAnsi"/>
          <w:sz w:val="24"/>
          <w:szCs w:val="24"/>
        </w:rPr>
        <w:t>d</w:t>
      </w:r>
      <w:r w:rsidRPr="00AF04C7">
        <w:rPr>
          <w:rFonts w:cstheme="minorHAnsi"/>
          <w:sz w:val="24"/>
          <w:szCs w:val="24"/>
        </w:rPr>
        <w:t xml:space="preserve"> been fully washed through the columns. Following column chromatography, the solutions </w:t>
      </w:r>
      <w:r w:rsidR="0054566D">
        <w:rPr>
          <w:rFonts w:cstheme="minorHAnsi"/>
          <w:sz w:val="24"/>
          <w:szCs w:val="24"/>
        </w:rPr>
        <w:t>wer</w:t>
      </w:r>
      <w:r w:rsidRPr="00AF04C7">
        <w:rPr>
          <w:rFonts w:cstheme="minorHAnsi"/>
          <w:sz w:val="24"/>
          <w:szCs w:val="24"/>
        </w:rPr>
        <w:t>e evaporated periodically from crucibles on</w:t>
      </w:r>
      <w:r w:rsidR="0054566D">
        <w:rPr>
          <w:rFonts w:cstheme="minorHAnsi"/>
          <w:sz w:val="24"/>
          <w:szCs w:val="24"/>
        </w:rPr>
        <w:t>to</w:t>
      </w:r>
      <w:r w:rsidRPr="00AF04C7">
        <w:rPr>
          <w:rFonts w:cstheme="minorHAnsi"/>
          <w:sz w:val="24"/>
          <w:szCs w:val="24"/>
        </w:rPr>
        <w:t xml:space="preserve"> a hot plate at 80</w:t>
      </w:r>
      <w:r w:rsidRPr="00AF04C7">
        <w:rPr>
          <w:rFonts w:cstheme="minorHAnsi"/>
          <w:sz w:val="24"/>
          <w:szCs w:val="24"/>
          <w:vertAlign w:val="superscript"/>
        </w:rPr>
        <w:t>o</w:t>
      </w:r>
      <w:r w:rsidRPr="00AF04C7">
        <w:rPr>
          <w:rFonts w:cstheme="minorHAnsi"/>
          <w:sz w:val="24"/>
          <w:szCs w:val="24"/>
        </w:rPr>
        <w:t>C until only dry particulate remain</w:t>
      </w:r>
      <w:r w:rsidR="0054566D">
        <w:rPr>
          <w:rFonts w:cstheme="minorHAnsi"/>
          <w:sz w:val="24"/>
          <w:szCs w:val="24"/>
        </w:rPr>
        <w:t>ed</w:t>
      </w:r>
      <w:r w:rsidRPr="00AF04C7">
        <w:rPr>
          <w:rFonts w:cstheme="minorHAnsi"/>
          <w:sz w:val="24"/>
          <w:szCs w:val="24"/>
        </w:rPr>
        <w:t xml:space="preserve">. The crucibles </w:t>
      </w:r>
      <w:r w:rsidR="0054566D">
        <w:rPr>
          <w:rFonts w:cstheme="minorHAnsi"/>
          <w:sz w:val="24"/>
          <w:szCs w:val="24"/>
        </w:rPr>
        <w:t>we</w:t>
      </w:r>
      <w:r w:rsidRPr="00AF04C7">
        <w:rPr>
          <w:rFonts w:cstheme="minorHAnsi"/>
          <w:sz w:val="24"/>
          <w:szCs w:val="24"/>
        </w:rPr>
        <w:t>re place</w:t>
      </w:r>
      <w:r>
        <w:rPr>
          <w:rFonts w:cstheme="minorHAnsi"/>
          <w:sz w:val="24"/>
          <w:szCs w:val="24"/>
        </w:rPr>
        <w:t>d</w:t>
      </w:r>
      <w:r w:rsidRPr="00AF04C7">
        <w:rPr>
          <w:rFonts w:cstheme="minorHAnsi"/>
          <w:sz w:val="24"/>
          <w:szCs w:val="24"/>
        </w:rPr>
        <w:t xml:space="preserve"> in an oven and thermally activated at 700</w:t>
      </w:r>
      <w:r w:rsidRPr="00AF04C7">
        <w:rPr>
          <w:rFonts w:cstheme="minorHAnsi"/>
          <w:sz w:val="24"/>
          <w:szCs w:val="24"/>
          <w:vertAlign w:val="superscript"/>
        </w:rPr>
        <w:t>o</w:t>
      </w:r>
      <w:r w:rsidRPr="00AF04C7">
        <w:rPr>
          <w:rFonts w:cstheme="minorHAnsi"/>
          <w:sz w:val="24"/>
          <w:szCs w:val="24"/>
        </w:rPr>
        <w:t xml:space="preserve">C overnight. The crucibles </w:t>
      </w:r>
      <w:r w:rsidR="0054566D">
        <w:rPr>
          <w:rFonts w:cstheme="minorHAnsi"/>
          <w:sz w:val="24"/>
          <w:szCs w:val="24"/>
        </w:rPr>
        <w:t>we</w:t>
      </w:r>
      <w:r w:rsidRPr="00AF04C7">
        <w:rPr>
          <w:rFonts w:cstheme="minorHAnsi"/>
          <w:sz w:val="24"/>
          <w:szCs w:val="24"/>
        </w:rPr>
        <w:t xml:space="preserve">re left to cool, then individually, </w:t>
      </w:r>
      <w:r>
        <w:rPr>
          <w:rFonts w:cstheme="minorHAnsi"/>
          <w:sz w:val="24"/>
          <w:szCs w:val="24"/>
        </w:rPr>
        <w:t>n</w:t>
      </w:r>
      <w:r w:rsidRPr="00AF04C7">
        <w:rPr>
          <w:rFonts w:cstheme="minorHAnsi"/>
          <w:sz w:val="24"/>
          <w:szCs w:val="24"/>
        </w:rPr>
        <w:t xml:space="preserve">iobium </w:t>
      </w:r>
      <w:r w:rsidR="005768B1">
        <w:rPr>
          <w:rFonts w:cstheme="minorHAnsi"/>
          <w:sz w:val="24"/>
          <w:szCs w:val="24"/>
        </w:rPr>
        <w:t>wa</w:t>
      </w:r>
      <w:r w:rsidRPr="00AF04C7">
        <w:rPr>
          <w:rFonts w:cstheme="minorHAnsi"/>
          <w:sz w:val="24"/>
          <w:szCs w:val="24"/>
        </w:rPr>
        <w:t>s added to each</w:t>
      </w:r>
      <w:r w:rsidR="005768B1">
        <w:rPr>
          <w:rFonts w:cstheme="minorHAnsi"/>
          <w:sz w:val="24"/>
          <w:szCs w:val="24"/>
        </w:rPr>
        <w:t xml:space="preserve"> one</w:t>
      </w:r>
      <w:r w:rsidRPr="00AF04C7">
        <w:rPr>
          <w:rFonts w:cstheme="minorHAnsi"/>
          <w:sz w:val="24"/>
          <w:szCs w:val="24"/>
        </w:rPr>
        <w:t xml:space="preserve"> and mixed</w:t>
      </w:r>
      <w:r>
        <w:rPr>
          <w:rFonts w:cstheme="minorHAnsi"/>
          <w:sz w:val="24"/>
          <w:szCs w:val="24"/>
        </w:rPr>
        <w:t xml:space="preserve"> into the samples</w:t>
      </w:r>
      <w:r w:rsidRPr="00AF04C7">
        <w:rPr>
          <w:rFonts w:cstheme="minorHAnsi"/>
          <w:sz w:val="24"/>
          <w:szCs w:val="24"/>
        </w:rPr>
        <w:t>, before pouring into the target press. The</w:t>
      </w:r>
      <w:r>
        <w:rPr>
          <w:rFonts w:cstheme="minorHAnsi"/>
          <w:sz w:val="24"/>
          <w:szCs w:val="24"/>
        </w:rPr>
        <w:t xml:space="preserve"> samples</w:t>
      </w:r>
      <w:r w:rsidRPr="00AF04C7">
        <w:rPr>
          <w:rFonts w:cstheme="minorHAnsi"/>
          <w:sz w:val="24"/>
          <w:szCs w:val="24"/>
        </w:rPr>
        <w:t xml:space="preserve"> are then pressed into titanium targets, sealed by compressed ball-bearings before being placed </w:t>
      </w:r>
      <w:r w:rsidR="005768B1" w:rsidRPr="00AF04C7">
        <w:rPr>
          <w:rFonts w:cstheme="minorHAnsi"/>
          <w:sz w:val="24"/>
          <w:szCs w:val="24"/>
        </w:rPr>
        <w:t xml:space="preserve">sequentially </w:t>
      </w:r>
      <w:r w:rsidRPr="00AF04C7">
        <w:rPr>
          <w:rFonts w:cstheme="minorHAnsi"/>
          <w:sz w:val="24"/>
          <w:szCs w:val="24"/>
        </w:rPr>
        <w:t>in the detector wheel for AMS analysis</w:t>
      </w:r>
      <w:r w:rsidRPr="002F7582">
        <w:rPr>
          <w:rFonts w:cstheme="minorHAnsi"/>
          <w:sz w:val="24"/>
          <w:szCs w:val="24"/>
        </w:rPr>
        <w:t>.</w:t>
      </w:r>
      <w:r w:rsidRPr="002F7582">
        <w:rPr>
          <w:noProof/>
          <w:sz w:val="24"/>
          <w:szCs w:val="24"/>
        </w:rPr>
        <w:t xml:space="preserve"> A diagram of </w:t>
      </w:r>
      <w:r>
        <w:rPr>
          <w:noProof/>
          <w:sz w:val="24"/>
          <w:szCs w:val="24"/>
        </w:rPr>
        <w:t xml:space="preserve">the accelerator mass </w:t>
      </w:r>
      <w:r>
        <w:rPr>
          <w:noProof/>
          <w:sz w:val="24"/>
          <w:szCs w:val="24"/>
        </w:rPr>
        <w:lastRenderedPageBreak/>
        <w:t>spectrometer</w:t>
      </w:r>
      <w:r w:rsidRPr="002F7582">
        <w:rPr>
          <w:noProof/>
          <w:sz w:val="24"/>
          <w:szCs w:val="24"/>
        </w:rPr>
        <w:t xml:space="preserve"> apparatus is shown in </w:t>
      </w:r>
      <w:r w:rsidR="00F4746F">
        <w:rPr>
          <w:noProof/>
          <w:sz w:val="24"/>
          <w:szCs w:val="24"/>
        </w:rPr>
        <w:fldChar w:fldCharType="begin"/>
      </w:r>
      <w:r w:rsidR="00F4746F">
        <w:rPr>
          <w:noProof/>
          <w:sz w:val="24"/>
          <w:szCs w:val="24"/>
        </w:rPr>
        <w:instrText xml:space="preserve"> REF _Ref31282171 \h </w:instrText>
      </w:r>
      <w:r w:rsidR="00F4746F">
        <w:rPr>
          <w:noProof/>
          <w:sz w:val="24"/>
          <w:szCs w:val="24"/>
        </w:rPr>
      </w:r>
      <w:r w:rsidR="00F4746F">
        <w:rPr>
          <w:noProof/>
          <w:sz w:val="24"/>
          <w:szCs w:val="24"/>
        </w:rPr>
        <w:fldChar w:fldCharType="separate"/>
      </w:r>
      <w:r w:rsidR="00161FDC" w:rsidRPr="00C45EC1">
        <w:rPr>
          <w:sz w:val="20"/>
          <w:szCs w:val="20"/>
        </w:rPr>
        <w:t xml:space="preserve">Figure </w:t>
      </w:r>
      <w:r w:rsidR="00161FDC">
        <w:rPr>
          <w:noProof/>
          <w:sz w:val="20"/>
          <w:szCs w:val="20"/>
        </w:rPr>
        <w:t>15</w:t>
      </w:r>
      <w:r w:rsidR="00F4746F">
        <w:rPr>
          <w:noProof/>
          <w:sz w:val="24"/>
          <w:szCs w:val="24"/>
        </w:rPr>
        <w:fldChar w:fldCharType="end"/>
      </w:r>
      <w:r w:rsidR="00F4746F">
        <w:rPr>
          <w:noProof/>
          <w:sz w:val="24"/>
          <w:szCs w:val="24"/>
        </w:rPr>
        <w:t xml:space="preserve"> </w:t>
      </w:r>
      <w:r w:rsidRPr="002F7582">
        <w:rPr>
          <w:noProof/>
          <w:sz w:val="24"/>
          <w:szCs w:val="24"/>
        </w:rPr>
        <w:t>below.</w:t>
      </w:r>
      <w:r w:rsidR="00AC6C6B">
        <w:rPr>
          <w:rFonts w:cstheme="minorHAnsi"/>
          <w:noProof/>
          <w:sz w:val="24"/>
          <w:szCs w:val="24"/>
          <w:lang w:eastAsia="en-GB"/>
        </w:rPr>
        <w:drawing>
          <wp:inline distT="0" distB="0" distL="0" distR="0" wp14:anchorId="796C4A55" wp14:editId="41EE65D4">
            <wp:extent cx="5369442" cy="3908567"/>
            <wp:effectExtent l="0" t="0" r="317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TANDY ETH Zurich.jpg"/>
                    <pic:cNvPicPr/>
                  </pic:nvPicPr>
                  <pic:blipFill>
                    <a:blip r:embed="rId27">
                      <a:extLst>
                        <a:ext uri="{28A0092B-C50C-407E-A947-70E740481C1C}">
                          <a14:useLocalDpi xmlns:a14="http://schemas.microsoft.com/office/drawing/2010/main" val="0"/>
                        </a:ext>
                      </a:extLst>
                    </a:blip>
                    <a:stretch>
                      <a:fillRect/>
                    </a:stretch>
                  </pic:blipFill>
                  <pic:spPr>
                    <a:xfrm>
                      <a:off x="0" y="0"/>
                      <a:ext cx="5436981" cy="3957730"/>
                    </a:xfrm>
                    <a:prstGeom prst="rect">
                      <a:avLst/>
                    </a:prstGeom>
                  </pic:spPr>
                </pic:pic>
              </a:graphicData>
            </a:graphic>
          </wp:inline>
        </w:drawing>
      </w:r>
    </w:p>
    <w:p w14:paraId="02959B4F" w14:textId="14B1AD7C" w:rsidR="000B0F18" w:rsidRPr="00C45EC1" w:rsidRDefault="000B0F18" w:rsidP="00C45EC1">
      <w:pPr>
        <w:pStyle w:val="Caption"/>
        <w:jc w:val="center"/>
        <w:rPr>
          <w:sz w:val="20"/>
          <w:szCs w:val="20"/>
        </w:rPr>
      </w:pPr>
      <w:bookmarkStart w:id="17" w:name="_Ref31282171"/>
      <w:r w:rsidRPr="00C45EC1">
        <w:rPr>
          <w:sz w:val="20"/>
          <w:szCs w:val="20"/>
        </w:rPr>
        <w:t xml:space="preserve">Figure </w:t>
      </w:r>
      <w:r w:rsidRPr="00C45EC1">
        <w:rPr>
          <w:sz w:val="20"/>
          <w:szCs w:val="20"/>
        </w:rPr>
        <w:fldChar w:fldCharType="begin"/>
      </w:r>
      <w:r w:rsidRPr="00C45EC1">
        <w:rPr>
          <w:sz w:val="20"/>
          <w:szCs w:val="20"/>
        </w:rPr>
        <w:instrText xml:space="preserve"> SEQ Figure \* ARABIC </w:instrText>
      </w:r>
      <w:r w:rsidRPr="00C45EC1">
        <w:rPr>
          <w:sz w:val="20"/>
          <w:szCs w:val="20"/>
        </w:rPr>
        <w:fldChar w:fldCharType="separate"/>
      </w:r>
      <w:r w:rsidR="00161FDC">
        <w:rPr>
          <w:noProof/>
          <w:sz w:val="20"/>
          <w:szCs w:val="20"/>
        </w:rPr>
        <w:t>15</w:t>
      </w:r>
      <w:r w:rsidRPr="00C45EC1">
        <w:rPr>
          <w:sz w:val="20"/>
          <w:szCs w:val="20"/>
        </w:rPr>
        <w:fldChar w:fldCharType="end"/>
      </w:r>
      <w:bookmarkEnd w:id="17"/>
      <w:r w:rsidRPr="00C45EC1">
        <w:rPr>
          <w:sz w:val="20"/>
          <w:szCs w:val="20"/>
        </w:rPr>
        <w:t xml:space="preserve"> A diagrammatical representation of the TANDY AMS at ETH Zϋrich. The samples are processed clockwise around the system, with the titanium targets placed into the system after the MC-SNICS Ion Source </w:t>
      </w:r>
      <w:r w:rsidRPr="00C45EC1">
        <w:rPr>
          <w:sz w:val="20"/>
          <w:szCs w:val="20"/>
        </w:rPr>
        <w:fldChar w:fldCharType="begin" w:fldLock="1"/>
      </w:r>
      <w:r w:rsidR="00767A68" w:rsidRPr="00C45EC1">
        <w:rPr>
          <w:sz w:val="20"/>
          <w:szCs w:val="20"/>
        </w:rPr>
        <w:instrText>ADDIN CSL_CITATION {"citationItems":[{"id":"ITEM-1","itemData":{"DOI":"10.1016/J.NIMB.2010.05.104","ISSN":"0168-583X","author":[{"dropping-particle":"","family":"A.M. Muller, M. Christl, J. Lachner, M. Suter","given":"H.-A. Synal","non-dropping-particle":"","parse-names":false,"suffix":""}],"container-title":"Nuclear Instruments and Methods in Physics Research Section B: Beam Interactions with Materials and Atoms","id":"ITEM-1","issue":"17-18","issued":{"date-parts":[["2010","9","1"]]},"page":"2801-2807","publisher":"North-Holland","title":"Competitive 10Be measurements below 1 MeV with the upgraded ETH–TANDY AMS facility","type":"article-journal","volume":"268"},"uris":["http://www.mendeley.com/documents/?uuid=68308175-5291-3ac5-af63-42ccfee64297"]}],"mendeley":{"formattedCitation":"[63]","plainTextFormattedCitation":"[63]","previouslyFormattedCitation":"[63]"},"properties":{"noteIndex":0},"schema":"https://github.com/citation-style-language/schema/raw/master/csl-citation.json"}</w:instrText>
      </w:r>
      <w:r w:rsidRPr="00C45EC1">
        <w:rPr>
          <w:sz w:val="20"/>
          <w:szCs w:val="20"/>
        </w:rPr>
        <w:fldChar w:fldCharType="separate"/>
      </w:r>
      <w:r w:rsidRPr="00C45EC1">
        <w:rPr>
          <w:i w:val="0"/>
          <w:noProof/>
          <w:sz w:val="20"/>
          <w:szCs w:val="20"/>
        </w:rPr>
        <w:t>[63]</w:t>
      </w:r>
      <w:r w:rsidRPr="00C45EC1">
        <w:rPr>
          <w:sz w:val="20"/>
          <w:szCs w:val="20"/>
        </w:rPr>
        <w:fldChar w:fldCharType="end"/>
      </w:r>
      <w:r w:rsidRPr="00C45EC1">
        <w:rPr>
          <w:rFonts w:eastAsiaTheme="minorEastAsia"/>
          <w:sz w:val="20"/>
          <w:szCs w:val="20"/>
        </w:rPr>
        <w:t>.</w:t>
      </w:r>
    </w:p>
    <w:p w14:paraId="5C86E649" w14:textId="301B7A2E" w:rsidR="00C45EC1" w:rsidRDefault="00F37CA9" w:rsidP="00BF149A">
      <w:pPr>
        <w:spacing w:line="480" w:lineRule="auto"/>
        <w:ind w:firstLine="567"/>
        <w:rPr>
          <w:rFonts w:cstheme="minorHAnsi"/>
          <w:noProof/>
          <w:sz w:val="24"/>
          <w:szCs w:val="24"/>
        </w:rPr>
      </w:pPr>
      <w:r w:rsidRPr="00B24A39">
        <w:rPr>
          <w:rFonts w:cstheme="minorHAnsi"/>
          <w:noProof/>
          <w:sz w:val="24"/>
          <w:szCs w:val="24"/>
        </w:rPr>
        <w:t xml:space="preserve"> </w:t>
      </w:r>
      <w:r w:rsidR="00936595">
        <w:rPr>
          <w:rFonts w:cstheme="minorHAnsi"/>
          <w:noProof/>
          <w:sz w:val="24"/>
          <w:szCs w:val="24"/>
        </w:rPr>
        <w:t xml:space="preserve">Due to suspected </w:t>
      </w:r>
      <w:r w:rsidR="00536063">
        <w:rPr>
          <w:rFonts w:cstheme="minorHAnsi"/>
          <w:noProof/>
          <w:sz w:val="24"/>
          <w:szCs w:val="24"/>
        </w:rPr>
        <w:t>errors</w:t>
      </w:r>
      <w:r w:rsidR="00936595">
        <w:rPr>
          <w:rFonts w:cstheme="minorHAnsi"/>
          <w:noProof/>
          <w:sz w:val="24"/>
          <w:szCs w:val="24"/>
        </w:rPr>
        <w:t xml:space="preserve"> in the </w:t>
      </w:r>
      <w:r w:rsidR="00936595">
        <w:rPr>
          <w:rFonts w:cstheme="minorHAnsi"/>
          <w:noProof/>
          <w:sz w:val="24"/>
          <w:szCs w:val="24"/>
          <w:vertAlign w:val="superscript"/>
        </w:rPr>
        <w:t>236</w:t>
      </w:r>
      <w:r w:rsidR="00936595">
        <w:rPr>
          <w:rFonts w:cstheme="minorHAnsi"/>
          <w:noProof/>
          <w:sz w:val="24"/>
          <w:szCs w:val="24"/>
        </w:rPr>
        <w:t xml:space="preserve">U measurements, they are included in this section in </w:t>
      </w:r>
      <w:r w:rsidR="00BF149A">
        <w:rPr>
          <w:rFonts w:cstheme="minorHAnsi"/>
          <w:noProof/>
          <w:sz w:val="24"/>
          <w:szCs w:val="24"/>
        </w:rPr>
        <w:fldChar w:fldCharType="begin"/>
      </w:r>
      <w:r w:rsidR="00BF149A">
        <w:rPr>
          <w:rFonts w:cstheme="minorHAnsi"/>
          <w:noProof/>
          <w:sz w:val="24"/>
          <w:szCs w:val="24"/>
        </w:rPr>
        <w:instrText xml:space="preserve"> REF _Ref31359687 \h </w:instrText>
      </w:r>
      <w:r w:rsidR="00BF149A">
        <w:rPr>
          <w:rFonts w:cstheme="minorHAnsi"/>
          <w:noProof/>
          <w:sz w:val="24"/>
          <w:szCs w:val="24"/>
        </w:rPr>
      </w:r>
      <w:r w:rsidR="00BF149A">
        <w:rPr>
          <w:rFonts w:cstheme="minorHAnsi"/>
          <w:noProof/>
          <w:sz w:val="24"/>
          <w:szCs w:val="24"/>
        </w:rPr>
        <w:fldChar w:fldCharType="separate"/>
      </w:r>
      <w:r w:rsidR="00161FDC" w:rsidRPr="00C45EC1">
        <w:rPr>
          <w:sz w:val="20"/>
        </w:rPr>
        <w:t xml:space="preserve">Figure </w:t>
      </w:r>
      <w:r w:rsidR="00161FDC">
        <w:rPr>
          <w:noProof/>
          <w:sz w:val="20"/>
        </w:rPr>
        <w:t>16</w:t>
      </w:r>
      <w:r w:rsidR="00BF149A">
        <w:rPr>
          <w:rFonts w:cstheme="minorHAnsi"/>
          <w:noProof/>
          <w:sz w:val="24"/>
          <w:szCs w:val="24"/>
        </w:rPr>
        <w:fldChar w:fldCharType="end"/>
      </w:r>
      <w:r w:rsidR="00936595">
        <w:rPr>
          <w:rFonts w:cstheme="minorHAnsi"/>
          <w:noProof/>
          <w:sz w:val="24"/>
          <w:szCs w:val="24"/>
        </w:rPr>
        <w:t xml:space="preserve">. The measurements have a high uncertainty, and display abundances much higher than that described in literature examples that would be expected to be an example of high global </w:t>
      </w:r>
      <w:r w:rsidR="00936595">
        <w:rPr>
          <w:rFonts w:cstheme="minorHAnsi"/>
          <w:noProof/>
          <w:sz w:val="24"/>
          <w:szCs w:val="24"/>
          <w:vertAlign w:val="superscript"/>
        </w:rPr>
        <w:t>236</w:t>
      </w:r>
      <w:r w:rsidR="00936595">
        <w:rPr>
          <w:rFonts w:cstheme="minorHAnsi"/>
          <w:noProof/>
          <w:sz w:val="24"/>
          <w:szCs w:val="24"/>
        </w:rPr>
        <w:t xml:space="preserve">U levels from Bikini Atoll </w:t>
      </w:r>
      <w:r w:rsidR="00D03C4E">
        <w:rPr>
          <w:rFonts w:cstheme="minorHAnsi"/>
          <w:noProof/>
          <w:sz w:val="24"/>
          <w:szCs w:val="24"/>
        </w:rPr>
        <w:fldChar w:fldCharType="begin" w:fldLock="1"/>
      </w:r>
      <w:r w:rsidR="000B0F18">
        <w:rPr>
          <w:rFonts w:cstheme="minorHAnsi"/>
          <w:noProof/>
          <w:sz w:val="24"/>
          <w:szCs w:val="24"/>
        </w:rPr>
        <w:instrText>ADDIN CSL_CITATION {"citationItems":[{"id":"ITEM-1","itemData":{"DOI":"10.1016/J.NIMB.2015.02.066","ISSN":"0168-583X","abstract":"The performance of the 1MV AMS system at the CNA (Centro Nacional de Aceleradores, Seville, Spain) for 236U and 239,240Pu measurements has been extensively investigated. A very promising 236U/238U abundance sensitivity of about 3×10−11 has been recently achieved, and background figures for 239Pu of about 106 atoms were reported in the past. These promising results lead to the use of conventional low energy AMS systems for the analysis of 236U and 239Pu and its further application in environmental studies. First 236U results obtained on our AMS system for marine samples (sediments and water) are presented here. Results of two new IAEA reference materials (IAEA-410 and IAEA-412, marine sediments from Pacific Ocean) are reported. The obtained 236U/239Pu atom ratios, of 0.12 and 0.022, respectively, show a dependency with the contamination source (i.e. local fallout from the US tests performed at the Bikini Atoll and general fallout). The results obtained for a third IAEA reference material (IAEA-381, seawater from the Irish Sea), are also presented. In the following, the uranium and plutonium isotopic compositions obtained on a set of 5 intercomparison seawater samples from the Arctic Ocean provided by the ETH Zürich are discussed. By comparing them with the obtained results on the 600kV AMS facility Tandy at the ETH Zürich, we demonstrate the solidity of the CNA technique for 236U/238U determinations at, at least, 7×10−10 level. Finally, these results are discussed in their environmental context.","author":[{"dropping-particle":"","family":"Chamizo","given":"Elena","non-dropping-particle":"","parse-names":false,"suffix":""},{"dropping-particle":"","family":"López-Lora","given":"Mercedes","non-dropping-particle":"","parse-names":false,"suffix":""},{"dropping-particle":"","family":"Villa","given":"María","non-dropping-particle":"","parse-names":false,"suffix":""},{"dropping-particle":"","family":"Casacuberta","given":"Núria","non-dropping-particle":"","parse-names":false,"suffix":""},{"dropping-particle":"","family":"López-Gutiérrez","given":"José María","non-dropping-particle":"","parse-names":false,"suffix":""},{"dropping-particle":"","family":"Pham","given":"Mai Khanh","non-dropping-particle":"","parse-names":false,"suffix":""}],"container-title":"Nuclear Instruments and Methods in Physics Research Section B: Beam Interactions with Materials and Atoms","id":"ITEM-1","issued":{"date-parts":[["2015","10","15"]]},"page":"535-540","publisher":"North-Holland","title":"Analysis of 236U and plutonium isotopes, 239,240Pu, on the 1 MV AMS system at the Centro Nacional de Aceleradores, as a potential tool in oceanography","type":"article-journal","volume":"361"},"uris":["http://www.mendeley.com/documents/?uuid=e32a6b30-fb21-361b-8943-64e299596310"]}],"mendeley":{"formattedCitation":"[44]","plainTextFormattedCitation":"[44]","previouslyFormattedCitation":"[44]"},"properties":{"noteIndex":0},"schema":"https://github.com/citation-style-language/schema/raw/master/csl-citation.json"}</w:instrText>
      </w:r>
      <w:r w:rsidR="00D03C4E">
        <w:rPr>
          <w:rFonts w:cstheme="minorHAnsi"/>
          <w:noProof/>
          <w:sz w:val="24"/>
          <w:szCs w:val="24"/>
        </w:rPr>
        <w:fldChar w:fldCharType="separate"/>
      </w:r>
      <w:r w:rsidR="007D1AB4" w:rsidRPr="007D1AB4">
        <w:rPr>
          <w:rFonts w:cstheme="minorHAnsi"/>
          <w:noProof/>
          <w:sz w:val="24"/>
          <w:szCs w:val="24"/>
        </w:rPr>
        <w:t>[44]</w:t>
      </w:r>
      <w:r w:rsidR="00D03C4E">
        <w:rPr>
          <w:rFonts w:cstheme="minorHAnsi"/>
          <w:noProof/>
          <w:sz w:val="24"/>
          <w:szCs w:val="24"/>
        </w:rPr>
        <w:fldChar w:fldCharType="end"/>
      </w:r>
      <w:r w:rsidR="00C45EC1">
        <w:rPr>
          <w:rFonts w:cstheme="minorHAnsi"/>
          <w:noProof/>
          <w:sz w:val="24"/>
          <w:szCs w:val="24"/>
        </w:rPr>
        <w:t>.</w:t>
      </w:r>
    </w:p>
    <w:p w14:paraId="45925971" w14:textId="0F737CC9" w:rsidR="00F4746F" w:rsidRDefault="00256B11" w:rsidP="00C45EC1">
      <w:pPr>
        <w:spacing w:line="480" w:lineRule="auto"/>
      </w:pPr>
      <w:r w:rsidRPr="002809FE">
        <w:rPr>
          <w:noProof/>
          <w:sz w:val="24"/>
          <w:szCs w:val="24"/>
          <w:lang w:eastAsia="en-GB"/>
        </w:rPr>
        <w:lastRenderedPageBreak/>
        <w:drawing>
          <wp:inline distT="0" distB="0" distL="0" distR="0" wp14:anchorId="3D2722E1" wp14:editId="2171E8CF">
            <wp:extent cx="5720080" cy="3685309"/>
            <wp:effectExtent l="0" t="0" r="0" b="0"/>
            <wp:docPr id="247" name="Chart 247">
              <a:extLst xmlns:a="http://schemas.openxmlformats.org/drawingml/2006/main">
                <a:ext uri="{FF2B5EF4-FFF2-40B4-BE49-F238E27FC236}">
                  <a16:creationId xmlns:a16="http://schemas.microsoft.com/office/drawing/2014/main" id="{39FD2995-5099-4711-AE17-F1FFED449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7E1A39" w14:textId="4EB187E5" w:rsidR="00F4746F" w:rsidRPr="00C45EC1" w:rsidRDefault="00F4746F" w:rsidP="00C45EC1">
      <w:pPr>
        <w:pStyle w:val="Caption"/>
        <w:jc w:val="center"/>
        <w:rPr>
          <w:sz w:val="20"/>
        </w:rPr>
      </w:pPr>
      <w:bookmarkStart w:id="18" w:name="_Ref31359687"/>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16</w:t>
      </w:r>
      <w:r w:rsidRPr="00C45EC1">
        <w:rPr>
          <w:sz w:val="20"/>
        </w:rPr>
        <w:fldChar w:fldCharType="end"/>
      </w:r>
      <w:bookmarkEnd w:id="18"/>
      <w:r w:rsidRPr="00C45EC1">
        <w:rPr>
          <w:sz w:val="20"/>
        </w:rPr>
        <w:t xml:space="preserve"> Abundances of </w:t>
      </w:r>
      <w:r w:rsidRPr="00C45EC1">
        <w:rPr>
          <w:sz w:val="20"/>
          <w:vertAlign w:val="superscript"/>
        </w:rPr>
        <w:t>236</w:t>
      </w:r>
      <w:r w:rsidRPr="00C45EC1">
        <w:rPr>
          <w:sz w:val="20"/>
        </w:rPr>
        <w:t>U as measured with the AMS system at ETH Zϋrich. Further details are described in the Experimental Methods section. Solid black bars represent samples collected on-site at Dounreay, red striped bars represent samples collected off-site from the Dounreay locality, while the blue dotted bars represent samples collected by the author in English sites as named.</w:t>
      </w:r>
    </w:p>
    <w:p w14:paraId="130B5283" w14:textId="4E95990C" w:rsidR="00256B11" w:rsidRPr="00256B11" w:rsidRDefault="00256B11" w:rsidP="00F37CA9">
      <w:pPr>
        <w:spacing w:line="480" w:lineRule="auto"/>
        <w:ind w:firstLine="567"/>
        <w:rPr>
          <w:sz w:val="24"/>
          <w:szCs w:val="24"/>
        </w:rPr>
      </w:pPr>
      <w:r>
        <w:rPr>
          <w:sz w:val="24"/>
          <w:szCs w:val="24"/>
        </w:rPr>
        <w:t xml:space="preserve">In </w:t>
      </w:r>
      <w:r w:rsidR="00BF149A">
        <w:rPr>
          <w:sz w:val="24"/>
          <w:szCs w:val="24"/>
        </w:rPr>
        <w:fldChar w:fldCharType="begin"/>
      </w:r>
      <w:r w:rsidR="00BF149A">
        <w:rPr>
          <w:sz w:val="24"/>
          <w:szCs w:val="24"/>
        </w:rPr>
        <w:instrText xml:space="preserve"> REF _Ref31359687 \h </w:instrText>
      </w:r>
      <w:r w:rsidR="00BF149A">
        <w:rPr>
          <w:sz w:val="24"/>
          <w:szCs w:val="24"/>
        </w:rPr>
      </w:r>
      <w:r w:rsidR="00BF149A">
        <w:rPr>
          <w:sz w:val="24"/>
          <w:szCs w:val="24"/>
        </w:rPr>
        <w:fldChar w:fldCharType="separate"/>
      </w:r>
      <w:r w:rsidR="00161FDC" w:rsidRPr="00C45EC1">
        <w:rPr>
          <w:sz w:val="20"/>
        </w:rPr>
        <w:t xml:space="preserve">Figure </w:t>
      </w:r>
      <w:r w:rsidR="00161FDC">
        <w:rPr>
          <w:noProof/>
          <w:sz w:val="20"/>
        </w:rPr>
        <w:t>16</w:t>
      </w:r>
      <w:r w:rsidR="00BF149A">
        <w:rPr>
          <w:sz w:val="24"/>
          <w:szCs w:val="24"/>
        </w:rPr>
        <w:fldChar w:fldCharType="end"/>
      </w:r>
      <w:r>
        <w:rPr>
          <w:sz w:val="24"/>
          <w:szCs w:val="24"/>
        </w:rPr>
        <w:t xml:space="preserve">’s display of the </w:t>
      </w:r>
      <w:r>
        <w:rPr>
          <w:sz w:val="24"/>
          <w:szCs w:val="24"/>
          <w:vertAlign w:val="superscript"/>
        </w:rPr>
        <w:t>236</w:t>
      </w:r>
      <w:r>
        <w:rPr>
          <w:sz w:val="24"/>
          <w:szCs w:val="24"/>
        </w:rPr>
        <w:t xml:space="preserve">U estimates, Malham shows a marked difference. In this measurement, Malham has negligible amounts of </w:t>
      </w:r>
      <w:r>
        <w:rPr>
          <w:sz w:val="24"/>
          <w:szCs w:val="24"/>
          <w:vertAlign w:val="superscript"/>
        </w:rPr>
        <w:t>236</w:t>
      </w:r>
      <w:r>
        <w:rPr>
          <w:sz w:val="24"/>
          <w:szCs w:val="24"/>
        </w:rPr>
        <w:t>U while all other samples are in the range of 40,000 to 160,000 fg/g of sample</w:t>
      </w:r>
      <w:r w:rsidR="00AE38DA">
        <w:rPr>
          <w:sz w:val="24"/>
          <w:szCs w:val="24"/>
        </w:rPr>
        <w:t>, around a factor of a thousand higher than the measurement in Chamizo et al.’s study which was 88±1 fg/g. The measurements are discussed in Section 4, with the potential measurement issues specified.</w:t>
      </w:r>
    </w:p>
    <w:p w14:paraId="5FC682C7" w14:textId="77777777" w:rsidR="003A1346" w:rsidRDefault="00F37CA9" w:rsidP="00D53624">
      <w:pPr>
        <w:rPr>
          <w:b/>
          <w:sz w:val="32"/>
          <w:szCs w:val="24"/>
          <w:u w:val="single"/>
        </w:rPr>
      </w:pPr>
      <w:r>
        <w:rPr>
          <w:b/>
          <w:sz w:val="28"/>
        </w:rPr>
        <w:br w:type="page"/>
      </w:r>
      <w:r w:rsidRPr="00DD014F">
        <w:rPr>
          <w:b/>
          <w:sz w:val="32"/>
          <w:szCs w:val="24"/>
          <w:u w:val="single"/>
        </w:rPr>
        <w:lastRenderedPageBreak/>
        <w:t>Chapter 3</w:t>
      </w:r>
    </w:p>
    <w:p w14:paraId="41586CDD" w14:textId="0166CCAC" w:rsidR="00BA5AD6" w:rsidRDefault="00F37CA9" w:rsidP="00BA5AD6">
      <w:pPr>
        <w:rPr>
          <w:b/>
          <w:sz w:val="32"/>
          <w:szCs w:val="24"/>
        </w:rPr>
      </w:pPr>
      <w:r w:rsidRPr="00AF1013">
        <w:rPr>
          <w:b/>
          <w:sz w:val="32"/>
          <w:szCs w:val="24"/>
        </w:rPr>
        <w:t>3. Results</w:t>
      </w:r>
    </w:p>
    <w:p w14:paraId="55451687" w14:textId="77777777" w:rsidR="00D31D0B" w:rsidRPr="00D53624" w:rsidRDefault="00D31D0B" w:rsidP="00D53624">
      <w:pPr>
        <w:rPr>
          <w:b/>
          <w:sz w:val="28"/>
        </w:rPr>
      </w:pPr>
    </w:p>
    <w:p w14:paraId="7855316C" w14:textId="7D6F1B9A" w:rsidR="00F37CA9" w:rsidRDefault="00F37CA9" w:rsidP="00F37CA9">
      <w:pPr>
        <w:spacing w:line="480" w:lineRule="auto"/>
        <w:ind w:firstLine="567"/>
        <w:rPr>
          <w:sz w:val="24"/>
          <w:szCs w:val="24"/>
        </w:rPr>
      </w:pPr>
      <w:r>
        <w:rPr>
          <w:sz w:val="24"/>
          <w:szCs w:val="24"/>
        </w:rPr>
        <w:t>This c</w:t>
      </w:r>
      <w:r w:rsidRPr="002809FE">
        <w:rPr>
          <w:sz w:val="24"/>
          <w:szCs w:val="24"/>
        </w:rPr>
        <w:t xml:space="preserve">hapter presents the results of the </w:t>
      </w:r>
      <w:r>
        <w:rPr>
          <w:sz w:val="24"/>
          <w:szCs w:val="24"/>
        </w:rPr>
        <w:t>experiments described in the Experimental Methods chapter</w:t>
      </w:r>
      <w:r w:rsidRPr="002809FE">
        <w:rPr>
          <w:sz w:val="24"/>
          <w:szCs w:val="24"/>
        </w:rPr>
        <w:t xml:space="preserve">. It </w:t>
      </w:r>
      <w:r>
        <w:rPr>
          <w:sz w:val="24"/>
          <w:szCs w:val="24"/>
        </w:rPr>
        <w:t>is</w:t>
      </w:r>
      <w:r w:rsidRPr="002809FE">
        <w:rPr>
          <w:sz w:val="24"/>
          <w:szCs w:val="24"/>
        </w:rPr>
        <w:t xml:space="preserve"> split into </w:t>
      </w:r>
      <w:r>
        <w:rPr>
          <w:sz w:val="24"/>
          <w:szCs w:val="24"/>
        </w:rPr>
        <w:t>4</w:t>
      </w:r>
      <w:r w:rsidRPr="002809FE">
        <w:rPr>
          <w:sz w:val="24"/>
          <w:szCs w:val="24"/>
        </w:rPr>
        <w:t xml:space="preserve"> sections</w:t>
      </w:r>
      <w:r>
        <w:rPr>
          <w:sz w:val="24"/>
          <w:szCs w:val="24"/>
        </w:rPr>
        <w:t>.</w:t>
      </w:r>
    </w:p>
    <w:p w14:paraId="775A1CB1" w14:textId="77777777" w:rsidR="003C09AE" w:rsidRDefault="003C09AE" w:rsidP="003C09AE">
      <w:pPr>
        <w:spacing w:line="480" w:lineRule="auto"/>
        <w:ind w:firstLine="567"/>
        <w:rPr>
          <w:sz w:val="24"/>
          <w:szCs w:val="24"/>
        </w:rPr>
      </w:pPr>
      <w:r w:rsidRPr="00284F23">
        <w:rPr>
          <w:sz w:val="24"/>
          <w:szCs w:val="24"/>
        </w:rPr>
        <w:t>Measurements</w:t>
      </w:r>
      <w:r>
        <w:rPr>
          <w:sz w:val="24"/>
          <w:szCs w:val="24"/>
        </w:rPr>
        <w:t xml:space="preserve"> were carried out to investigate the possibility of the assessment of trace quantities of plutonium in UK soils. The measurements included neutron counting, gamma-ray spectrometry, and accelerator mass spectrometry.</w:t>
      </w:r>
    </w:p>
    <w:p w14:paraId="775605F3" w14:textId="76E3586E" w:rsidR="00F37CA9" w:rsidRDefault="00F37CA9" w:rsidP="00F37CA9">
      <w:pPr>
        <w:spacing w:line="480" w:lineRule="auto"/>
        <w:ind w:firstLine="567"/>
        <w:rPr>
          <w:sz w:val="24"/>
          <w:szCs w:val="24"/>
        </w:rPr>
      </w:pPr>
      <w:r>
        <w:rPr>
          <w:sz w:val="24"/>
          <w:szCs w:val="24"/>
        </w:rPr>
        <w:t>Section 3</w:t>
      </w:r>
      <w:r w:rsidRPr="002809FE">
        <w:rPr>
          <w:sz w:val="24"/>
          <w:szCs w:val="24"/>
        </w:rPr>
        <w:t xml:space="preserve">.1 covers the dual array measurements of the sample neutrons </w:t>
      </w:r>
      <w:r>
        <w:rPr>
          <w:sz w:val="24"/>
          <w:szCs w:val="24"/>
        </w:rPr>
        <w:t xml:space="preserve">compared </w:t>
      </w:r>
      <w:r w:rsidRPr="002809FE">
        <w:rPr>
          <w:sz w:val="24"/>
          <w:szCs w:val="24"/>
        </w:rPr>
        <w:t>against the ambient background neutrons</w:t>
      </w:r>
      <w:r>
        <w:rPr>
          <w:sz w:val="24"/>
          <w:szCs w:val="24"/>
        </w:rPr>
        <w:t>, then</w:t>
      </w:r>
      <w:r w:rsidRPr="002809FE">
        <w:rPr>
          <w:sz w:val="24"/>
          <w:szCs w:val="24"/>
        </w:rPr>
        <w:t xml:space="preserve"> </w:t>
      </w:r>
      <w:r>
        <w:rPr>
          <w:sz w:val="24"/>
          <w:szCs w:val="24"/>
        </w:rPr>
        <w:t>a</w:t>
      </w:r>
      <w:r w:rsidRPr="002809FE">
        <w:rPr>
          <w:sz w:val="24"/>
          <w:szCs w:val="24"/>
        </w:rPr>
        <w:t xml:space="preserve"> comparison of the detectors and MFAs </w:t>
      </w:r>
      <w:r>
        <w:rPr>
          <w:sz w:val="24"/>
          <w:szCs w:val="24"/>
        </w:rPr>
        <w:t>is presented</w:t>
      </w:r>
      <w:r w:rsidRPr="002809FE">
        <w:rPr>
          <w:sz w:val="24"/>
          <w:szCs w:val="24"/>
        </w:rPr>
        <w:t xml:space="preserve">, identifying any </w:t>
      </w:r>
      <w:r w:rsidR="003C09AE">
        <w:rPr>
          <w:sz w:val="24"/>
          <w:szCs w:val="24"/>
        </w:rPr>
        <w:t>systematic</w:t>
      </w:r>
      <w:r w:rsidRPr="002809FE">
        <w:rPr>
          <w:sz w:val="24"/>
          <w:szCs w:val="24"/>
        </w:rPr>
        <w:t xml:space="preserve"> differences</w:t>
      </w:r>
      <w:r>
        <w:rPr>
          <w:sz w:val="24"/>
          <w:szCs w:val="24"/>
        </w:rPr>
        <w:t xml:space="preserve"> of</w:t>
      </w:r>
      <w:r w:rsidRPr="002809FE">
        <w:rPr>
          <w:sz w:val="24"/>
          <w:szCs w:val="24"/>
        </w:rPr>
        <w:t xml:space="preserve"> </w:t>
      </w:r>
      <w:r>
        <w:rPr>
          <w:sz w:val="24"/>
          <w:szCs w:val="24"/>
        </w:rPr>
        <w:t xml:space="preserve">measurements </w:t>
      </w:r>
      <w:r w:rsidR="003C09AE">
        <w:rPr>
          <w:sz w:val="24"/>
          <w:szCs w:val="24"/>
        </w:rPr>
        <w:t>due to issues with</w:t>
      </w:r>
      <w:r>
        <w:rPr>
          <w:sz w:val="24"/>
          <w:szCs w:val="24"/>
        </w:rPr>
        <w:t xml:space="preserve"> </w:t>
      </w:r>
      <w:r w:rsidRPr="002809FE">
        <w:rPr>
          <w:sz w:val="24"/>
          <w:szCs w:val="24"/>
        </w:rPr>
        <w:t>the equipment</w:t>
      </w:r>
      <w:r>
        <w:rPr>
          <w:sz w:val="24"/>
          <w:szCs w:val="24"/>
        </w:rPr>
        <w:t>. Section</w:t>
      </w:r>
      <w:r w:rsidRPr="002809FE">
        <w:rPr>
          <w:sz w:val="24"/>
          <w:szCs w:val="24"/>
        </w:rPr>
        <w:t xml:space="preserve"> </w:t>
      </w:r>
      <w:r>
        <w:rPr>
          <w:sz w:val="24"/>
          <w:szCs w:val="24"/>
        </w:rPr>
        <w:t>3</w:t>
      </w:r>
      <w:r w:rsidRPr="002809FE">
        <w:rPr>
          <w:sz w:val="24"/>
          <w:szCs w:val="24"/>
        </w:rPr>
        <w:t>.</w:t>
      </w:r>
      <w:r>
        <w:rPr>
          <w:sz w:val="24"/>
          <w:szCs w:val="24"/>
        </w:rPr>
        <w:t>2</w:t>
      </w:r>
      <w:r w:rsidRPr="002809FE">
        <w:rPr>
          <w:sz w:val="24"/>
          <w:szCs w:val="24"/>
        </w:rPr>
        <w:t xml:space="preserve"> describes the results </w:t>
      </w:r>
      <w:r>
        <w:rPr>
          <w:sz w:val="24"/>
          <w:szCs w:val="24"/>
        </w:rPr>
        <w:t>obtained</w:t>
      </w:r>
      <w:r w:rsidRPr="002809FE">
        <w:rPr>
          <w:sz w:val="24"/>
          <w:szCs w:val="24"/>
        </w:rPr>
        <w:t xml:space="preserve"> from the</w:t>
      </w:r>
      <w:r>
        <w:rPr>
          <w:sz w:val="24"/>
          <w:szCs w:val="24"/>
        </w:rPr>
        <w:t xml:space="preserve"> neutron measurements made with the 16-detector array. Gamma-ray spec</w:t>
      </w:r>
      <w:r w:rsidRPr="002809FE">
        <w:rPr>
          <w:sz w:val="24"/>
          <w:szCs w:val="24"/>
        </w:rPr>
        <w:t>t</w:t>
      </w:r>
      <w:r>
        <w:rPr>
          <w:sz w:val="24"/>
          <w:szCs w:val="24"/>
        </w:rPr>
        <w:t>rometry</w:t>
      </w:r>
      <w:r w:rsidRPr="002809FE">
        <w:rPr>
          <w:sz w:val="24"/>
          <w:szCs w:val="24"/>
        </w:rPr>
        <w:t xml:space="preserve"> results are </w:t>
      </w:r>
      <w:r w:rsidR="003C09AE">
        <w:rPr>
          <w:sz w:val="24"/>
          <w:szCs w:val="24"/>
        </w:rPr>
        <w:t>presented</w:t>
      </w:r>
      <w:r w:rsidRPr="002809FE">
        <w:rPr>
          <w:sz w:val="24"/>
          <w:szCs w:val="24"/>
        </w:rPr>
        <w:t xml:space="preserve"> in</w:t>
      </w:r>
      <w:r>
        <w:rPr>
          <w:sz w:val="24"/>
          <w:szCs w:val="24"/>
        </w:rPr>
        <w:t xml:space="preserve"> section</w:t>
      </w:r>
      <w:r w:rsidRPr="002809FE">
        <w:rPr>
          <w:sz w:val="24"/>
          <w:szCs w:val="24"/>
        </w:rPr>
        <w:t xml:space="preserve"> </w:t>
      </w:r>
      <w:r>
        <w:rPr>
          <w:sz w:val="24"/>
          <w:szCs w:val="24"/>
        </w:rPr>
        <w:t>3</w:t>
      </w:r>
      <w:r w:rsidRPr="002809FE">
        <w:rPr>
          <w:sz w:val="24"/>
          <w:szCs w:val="24"/>
        </w:rPr>
        <w:t>.</w:t>
      </w:r>
      <w:r>
        <w:rPr>
          <w:sz w:val="24"/>
          <w:szCs w:val="24"/>
        </w:rPr>
        <w:t>3. The peaks of interest are displayed and analysed</w:t>
      </w:r>
      <w:r w:rsidRPr="002809FE">
        <w:rPr>
          <w:sz w:val="24"/>
          <w:szCs w:val="24"/>
        </w:rPr>
        <w:t xml:space="preserve"> to </w:t>
      </w:r>
      <w:r>
        <w:rPr>
          <w:sz w:val="24"/>
          <w:szCs w:val="24"/>
        </w:rPr>
        <w:t>obtain</w:t>
      </w:r>
      <w:r w:rsidRPr="002809FE">
        <w:rPr>
          <w:sz w:val="24"/>
          <w:szCs w:val="24"/>
        </w:rPr>
        <w:t xml:space="preserve"> estimate</w:t>
      </w:r>
      <w:r>
        <w:rPr>
          <w:sz w:val="24"/>
          <w:szCs w:val="24"/>
        </w:rPr>
        <w:t>s of</w:t>
      </w:r>
      <w:r w:rsidRPr="002809FE">
        <w:rPr>
          <w:sz w:val="24"/>
          <w:szCs w:val="24"/>
        </w:rPr>
        <w:t xml:space="preserve"> absolute </w:t>
      </w:r>
      <w:r>
        <w:rPr>
          <w:sz w:val="24"/>
          <w:szCs w:val="24"/>
        </w:rPr>
        <w:t xml:space="preserve">mass </w:t>
      </w:r>
      <w:r w:rsidRPr="002809FE">
        <w:rPr>
          <w:sz w:val="24"/>
          <w:szCs w:val="24"/>
        </w:rPr>
        <w:t xml:space="preserve">values of actinides </w:t>
      </w:r>
      <w:r w:rsidR="00182422">
        <w:rPr>
          <w:sz w:val="24"/>
          <w:szCs w:val="24"/>
        </w:rPr>
        <w:t>to</w:t>
      </w:r>
      <w:r w:rsidRPr="002809FE">
        <w:rPr>
          <w:sz w:val="24"/>
          <w:szCs w:val="24"/>
        </w:rPr>
        <w:t xml:space="preserve"> compar</w:t>
      </w:r>
      <w:r w:rsidR="00182422">
        <w:rPr>
          <w:sz w:val="24"/>
          <w:szCs w:val="24"/>
        </w:rPr>
        <w:t>e</w:t>
      </w:r>
      <w:r>
        <w:rPr>
          <w:sz w:val="24"/>
          <w:szCs w:val="24"/>
        </w:rPr>
        <w:t xml:space="preserve"> the samples with earlier datasets</w:t>
      </w:r>
      <w:r w:rsidRPr="002809FE">
        <w:rPr>
          <w:sz w:val="24"/>
          <w:szCs w:val="24"/>
        </w:rPr>
        <w:t xml:space="preserve">. Finally, </w:t>
      </w:r>
      <w:r>
        <w:rPr>
          <w:sz w:val="24"/>
          <w:szCs w:val="24"/>
        </w:rPr>
        <w:t>section 3</w:t>
      </w:r>
      <w:r w:rsidRPr="002809FE">
        <w:rPr>
          <w:sz w:val="24"/>
          <w:szCs w:val="24"/>
        </w:rPr>
        <w:t>.</w:t>
      </w:r>
      <w:r>
        <w:rPr>
          <w:sz w:val="24"/>
          <w:szCs w:val="24"/>
        </w:rPr>
        <w:t>4</w:t>
      </w:r>
      <w:r w:rsidRPr="002809FE">
        <w:rPr>
          <w:sz w:val="24"/>
          <w:szCs w:val="24"/>
        </w:rPr>
        <w:t xml:space="preserve"> </w:t>
      </w:r>
      <w:r>
        <w:rPr>
          <w:sz w:val="24"/>
          <w:szCs w:val="24"/>
        </w:rPr>
        <w:t>presents</w:t>
      </w:r>
      <w:r w:rsidRPr="002809FE">
        <w:rPr>
          <w:sz w:val="24"/>
          <w:szCs w:val="24"/>
        </w:rPr>
        <w:t xml:space="preserve"> the results achieved from AMS measurements</w:t>
      </w:r>
      <w:r w:rsidRPr="00700B0D">
        <w:rPr>
          <w:sz w:val="24"/>
          <w:szCs w:val="24"/>
        </w:rPr>
        <w:t xml:space="preserve"> </w:t>
      </w:r>
      <w:r w:rsidRPr="002809FE">
        <w:rPr>
          <w:sz w:val="24"/>
          <w:szCs w:val="24"/>
        </w:rPr>
        <w:t xml:space="preserve">of each sample </w:t>
      </w:r>
      <w:r>
        <w:rPr>
          <w:sz w:val="24"/>
          <w:szCs w:val="24"/>
        </w:rPr>
        <w:t>carried out at ETH Z</w:t>
      </w:r>
      <w:r w:rsidR="003C09AE">
        <w:rPr>
          <w:sz w:val="24"/>
          <w:szCs w:val="24"/>
        </w:rPr>
        <w:t>ϋ</w:t>
      </w:r>
      <w:r>
        <w:rPr>
          <w:sz w:val="24"/>
          <w:szCs w:val="24"/>
        </w:rPr>
        <w:t xml:space="preserve">rich for comparison with the </w:t>
      </w:r>
      <w:r w:rsidR="003C09AE">
        <w:rPr>
          <w:sz w:val="24"/>
          <w:szCs w:val="24"/>
        </w:rPr>
        <w:t xml:space="preserve">radiation </w:t>
      </w:r>
      <w:r>
        <w:rPr>
          <w:sz w:val="24"/>
          <w:szCs w:val="24"/>
        </w:rPr>
        <w:t>measurement results.</w:t>
      </w:r>
    </w:p>
    <w:p w14:paraId="41F8F0D1" w14:textId="1280B90A" w:rsidR="009F6D10" w:rsidRPr="003D7659" w:rsidRDefault="00F37CA9" w:rsidP="00F37CA9">
      <w:pPr>
        <w:spacing w:line="480" w:lineRule="auto"/>
        <w:ind w:firstLine="567"/>
        <w:rPr>
          <w:sz w:val="24"/>
          <w:szCs w:val="24"/>
        </w:rPr>
      </w:pPr>
      <w:r>
        <w:rPr>
          <w:sz w:val="24"/>
          <w:szCs w:val="24"/>
        </w:rPr>
        <w:t>Neutron-based measurements are presented here in two different iterations that reflect the development of the array configurations throughout this research. These developments enabled an increase in system detection efficiency, moving from two 4-detector arrays to a single 16-detector array, as well as some developments in the associated electronic counting equipment.</w:t>
      </w:r>
      <w:r w:rsidR="009F6D10">
        <w:rPr>
          <w:sz w:val="24"/>
          <w:szCs w:val="24"/>
        </w:rPr>
        <w:t xml:space="preserve"> The 16-detector array was used to measure </w:t>
      </w:r>
      <w:r w:rsidR="009F6D10">
        <w:rPr>
          <w:sz w:val="24"/>
          <w:szCs w:val="24"/>
        </w:rPr>
        <w:lastRenderedPageBreak/>
        <w:t>project soil samples</w:t>
      </w:r>
      <w:r w:rsidR="003D7659">
        <w:rPr>
          <w:sz w:val="24"/>
          <w:szCs w:val="24"/>
        </w:rPr>
        <w:t xml:space="preserve"> as collected from their sampling sites, and also a single sample spiked with a known amount of </w:t>
      </w:r>
      <w:r w:rsidR="003D7659">
        <w:rPr>
          <w:sz w:val="24"/>
          <w:szCs w:val="24"/>
          <w:vertAlign w:val="superscript"/>
        </w:rPr>
        <w:t>240</w:t>
      </w:r>
      <w:r w:rsidR="003D7659">
        <w:rPr>
          <w:sz w:val="24"/>
          <w:szCs w:val="24"/>
        </w:rPr>
        <w:t>Pu for comparison.</w:t>
      </w:r>
    </w:p>
    <w:p w14:paraId="27CE2731" w14:textId="261E65B4" w:rsidR="00F37CA9" w:rsidRDefault="00F37CA9" w:rsidP="00F37CA9">
      <w:pPr>
        <w:spacing w:line="480" w:lineRule="auto"/>
        <w:ind w:firstLine="567"/>
        <w:rPr>
          <w:sz w:val="24"/>
          <w:szCs w:val="24"/>
        </w:rPr>
      </w:pPr>
      <w:r>
        <w:rPr>
          <w:sz w:val="24"/>
          <w:szCs w:val="24"/>
        </w:rPr>
        <w:t xml:space="preserve">Gamma-ray measurements were carried out for every soil sample and led to further analyses, post-measurement, combining experimental results and values from the literature to make further estimates, such as </w:t>
      </w:r>
      <w:r w:rsidR="00D53624" w:rsidRPr="00D53624">
        <w:rPr>
          <w:sz w:val="24"/>
          <w:szCs w:val="24"/>
          <w:vertAlign w:val="superscript"/>
        </w:rPr>
        <w:t>241</w:t>
      </w:r>
      <w:r w:rsidR="00D53624">
        <w:rPr>
          <w:sz w:val="24"/>
          <w:szCs w:val="24"/>
        </w:rPr>
        <w:t>Pu</w:t>
      </w:r>
      <w:r>
        <w:rPr>
          <w:sz w:val="24"/>
          <w:szCs w:val="24"/>
        </w:rPr>
        <w:t xml:space="preserve"> abundance, within the samples.</w:t>
      </w:r>
    </w:p>
    <w:p w14:paraId="3D3C5FFB" w14:textId="6B5F7987" w:rsidR="00F37CA9" w:rsidRPr="00155549" w:rsidRDefault="00F37CA9" w:rsidP="00F37CA9">
      <w:pPr>
        <w:spacing w:line="480" w:lineRule="auto"/>
        <w:ind w:firstLine="567"/>
        <w:rPr>
          <w:b/>
          <w:szCs w:val="24"/>
        </w:rPr>
      </w:pPr>
      <w:r>
        <w:rPr>
          <w:sz w:val="24"/>
          <w:szCs w:val="24"/>
        </w:rPr>
        <w:t>AMS results from a single campaign of measurements at ETH Z</w:t>
      </w:r>
      <w:r w:rsidR="003C09AE">
        <w:rPr>
          <w:sz w:val="24"/>
          <w:szCs w:val="24"/>
        </w:rPr>
        <w:t>ϋ</w:t>
      </w:r>
      <w:r>
        <w:rPr>
          <w:sz w:val="24"/>
          <w:szCs w:val="24"/>
        </w:rPr>
        <w:t xml:space="preserve">rich of all but two samples have been used to estimate </w:t>
      </w:r>
      <w:r w:rsidR="00D53624" w:rsidRPr="00D53624">
        <w:rPr>
          <w:sz w:val="24"/>
          <w:szCs w:val="24"/>
          <w:vertAlign w:val="superscript"/>
        </w:rPr>
        <w:t>2</w:t>
      </w:r>
      <w:r w:rsidR="00D53624">
        <w:rPr>
          <w:sz w:val="24"/>
          <w:szCs w:val="24"/>
          <w:vertAlign w:val="superscript"/>
        </w:rPr>
        <w:t>39</w:t>
      </w:r>
      <w:r w:rsidR="00D53624">
        <w:rPr>
          <w:sz w:val="24"/>
          <w:szCs w:val="24"/>
        </w:rPr>
        <w:t>Pu</w:t>
      </w:r>
      <w:r>
        <w:rPr>
          <w:sz w:val="24"/>
          <w:szCs w:val="24"/>
        </w:rPr>
        <w:t xml:space="preserve">, </w:t>
      </w:r>
      <w:r w:rsidR="00D53624" w:rsidRPr="00D53624">
        <w:rPr>
          <w:sz w:val="24"/>
          <w:szCs w:val="24"/>
          <w:vertAlign w:val="superscript"/>
        </w:rPr>
        <w:t>24</w:t>
      </w:r>
      <w:r w:rsidR="00D53624">
        <w:rPr>
          <w:sz w:val="24"/>
          <w:szCs w:val="24"/>
          <w:vertAlign w:val="superscript"/>
        </w:rPr>
        <w:t>0</w:t>
      </w:r>
      <w:r w:rsidR="00D53624">
        <w:rPr>
          <w:sz w:val="24"/>
          <w:szCs w:val="24"/>
        </w:rPr>
        <w:t>Pu</w:t>
      </w:r>
      <w:r>
        <w:rPr>
          <w:sz w:val="24"/>
          <w:szCs w:val="24"/>
        </w:rPr>
        <w:t xml:space="preserve">, </w:t>
      </w:r>
      <w:r w:rsidRPr="00D53624">
        <w:rPr>
          <w:sz w:val="24"/>
          <w:szCs w:val="24"/>
          <w:vertAlign w:val="superscript"/>
        </w:rPr>
        <w:t>242</w:t>
      </w:r>
      <w:r w:rsidR="00D53624">
        <w:rPr>
          <w:sz w:val="24"/>
          <w:szCs w:val="24"/>
        </w:rPr>
        <w:t>Pu</w:t>
      </w:r>
      <w:r>
        <w:rPr>
          <w:sz w:val="24"/>
          <w:szCs w:val="24"/>
        </w:rPr>
        <w:t xml:space="preserve">, and </w:t>
      </w:r>
      <w:r w:rsidR="00D53624" w:rsidRPr="00D53624">
        <w:rPr>
          <w:sz w:val="24"/>
          <w:szCs w:val="24"/>
          <w:vertAlign w:val="superscript"/>
        </w:rPr>
        <w:t>2</w:t>
      </w:r>
      <w:r w:rsidR="00D53624">
        <w:rPr>
          <w:sz w:val="24"/>
          <w:szCs w:val="24"/>
          <w:vertAlign w:val="superscript"/>
        </w:rPr>
        <w:t>36</w:t>
      </w:r>
      <w:r w:rsidR="00D53624">
        <w:rPr>
          <w:sz w:val="24"/>
          <w:szCs w:val="24"/>
        </w:rPr>
        <w:t>U</w:t>
      </w:r>
      <w:r>
        <w:rPr>
          <w:sz w:val="24"/>
          <w:szCs w:val="24"/>
        </w:rPr>
        <w:t xml:space="preserve"> abundances and the </w:t>
      </w:r>
      <w:r w:rsidR="007903F2">
        <w:rPr>
          <w:sz w:val="24"/>
          <w:szCs w:val="24"/>
        </w:rPr>
        <w:t>244-mass</w:t>
      </w:r>
      <w:r>
        <w:rPr>
          <w:sz w:val="24"/>
          <w:szCs w:val="24"/>
        </w:rPr>
        <w:t xml:space="preserve"> isobar in the samples to compare with the other measurements.</w:t>
      </w:r>
      <w:r w:rsidRPr="00284F23">
        <w:rPr>
          <w:b/>
          <w:szCs w:val="24"/>
        </w:rPr>
        <w:br w:type="page"/>
      </w:r>
      <w:r>
        <w:rPr>
          <w:b/>
          <w:sz w:val="28"/>
          <w:szCs w:val="24"/>
        </w:rPr>
        <w:lastRenderedPageBreak/>
        <w:t>3.1. Neutron Results</w:t>
      </w:r>
      <w:r w:rsidR="00155549">
        <w:rPr>
          <w:b/>
          <w:szCs w:val="24"/>
        </w:rPr>
        <w:br/>
      </w:r>
      <w:r>
        <w:rPr>
          <w:b/>
          <w:sz w:val="28"/>
          <w:szCs w:val="24"/>
        </w:rPr>
        <w:t>3</w:t>
      </w:r>
      <w:r w:rsidRPr="00992FAA">
        <w:rPr>
          <w:b/>
          <w:sz w:val="28"/>
          <w:szCs w:val="24"/>
        </w:rPr>
        <w:t>.</w:t>
      </w:r>
      <w:r>
        <w:rPr>
          <w:b/>
          <w:sz w:val="28"/>
          <w:szCs w:val="24"/>
        </w:rPr>
        <w:t>1.1.</w:t>
      </w:r>
      <w:r w:rsidRPr="00992FAA">
        <w:rPr>
          <w:b/>
          <w:sz w:val="28"/>
          <w:szCs w:val="24"/>
        </w:rPr>
        <w:t xml:space="preserve"> Parallel Neutron Array</w:t>
      </w:r>
    </w:p>
    <w:p w14:paraId="503AFF1E" w14:textId="053E8718" w:rsidR="00F37CA9" w:rsidRDefault="00F37CA9" w:rsidP="00F37CA9">
      <w:pPr>
        <w:spacing w:line="480" w:lineRule="auto"/>
        <w:ind w:firstLine="567"/>
        <w:rPr>
          <w:sz w:val="24"/>
          <w:szCs w:val="24"/>
        </w:rPr>
      </w:pPr>
      <w:r>
        <w:rPr>
          <w:sz w:val="24"/>
          <w:szCs w:val="24"/>
        </w:rPr>
        <w:t>Presented here are</w:t>
      </w:r>
      <w:r w:rsidRPr="002809FE">
        <w:rPr>
          <w:sz w:val="24"/>
          <w:szCs w:val="24"/>
        </w:rPr>
        <w:t xml:space="preserve"> the result</w:t>
      </w:r>
      <w:r>
        <w:rPr>
          <w:sz w:val="24"/>
          <w:szCs w:val="24"/>
        </w:rPr>
        <w:t>s</w:t>
      </w:r>
      <w:r w:rsidRPr="002809FE">
        <w:rPr>
          <w:sz w:val="24"/>
          <w:szCs w:val="24"/>
        </w:rPr>
        <w:t xml:space="preserve"> of measurements</w:t>
      </w:r>
      <w:r>
        <w:rPr>
          <w:sz w:val="24"/>
          <w:szCs w:val="24"/>
        </w:rPr>
        <w:t xml:space="preserve"> made to compare the</w:t>
      </w:r>
      <w:r w:rsidRPr="002809FE">
        <w:rPr>
          <w:sz w:val="24"/>
          <w:szCs w:val="24"/>
        </w:rPr>
        <w:t xml:space="preserve"> difference in net neutrons </w:t>
      </w:r>
      <w:r>
        <w:rPr>
          <w:sz w:val="24"/>
          <w:szCs w:val="24"/>
        </w:rPr>
        <w:t>detected</w:t>
      </w:r>
      <w:r w:rsidRPr="002809FE">
        <w:rPr>
          <w:sz w:val="24"/>
          <w:szCs w:val="24"/>
        </w:rPr>
        <w:t xml:space="preserve"> in parallel arrays</w:t>
      </w:r>
      <w:r>
        <w:rPr>
          <w:sz w:val="24"/>
          <w:szCs w:val="24"/>
        </w:rPr>
        <w:t>,</w:t>
      </w:r>
      <w:r w:rsidRPr="002809FE">
        <w:rPr>
          <w:sz w:val="24"/>
          <w:szCs w:val="24"/>
        </w:rPr>
        <w:t xml:space="preserve"> measuring both background and samples</w:t>
      </w:r>
      <w:r>
        <w:rPr>
          <w:sz w:val="24"/>
          <w:szCs w:val="24"/>
        </w:rPr>
        <w:t xml:space="preserve">. Parallel arrays consist of two independent neutron detector arrays identical in components and orientation. One array contains the sample to be measured while the other measures the neutron background. Both measurements are carried out over the same time </w:t>
      </w:r>
      <w:r w:rsidR="003C09AE">
        <w:rPr>
          <w:sz w:val="24"/>
          <w:szCs w:val="24"/>
        </w:rPr>
        <w:t>period</w:t>
      </w:r>
      <w:r>
        <w:rPr>
          <w:sz w:val="24"/>
          <w:szCs w:val="24"/>
        </w:rPr>
        <w:t>, so the background neutron counts can be subtracted from the sample neutron counts, theoretically presenting the neutron counts generated from the sample only.</w:t>
      </w:r>
    </w:p>
    <w:p w14:paraId="025A0110" w14:textId="05B0AF3F" w:rsidR="00F37CA9" w:rsidRPr="002809FE" w:rsidRDefault="00F37CA9" w:rsidP="00F37CA9">
      <w:pPr>
        <w:spacing w:line="480" w:lineRule="auto"/>
        <w:ind w:firstLine="567"/>
        <w:rPr>
          <w:sz w:val="24"/>
          <w:szCs w:val="24"/>
        </w:rPr>
      </w:pPr>
      <w:r>
        <w:rPr>
          <w:sz w:val="24"/>
          <w:szCs w:val="24"/>
        </w:rPr>
        <w:t>These results are followed by a</w:t>
      </w:r>
      <w:r w:rsidRPr="002809FE">
        <w:rPr>
          <w:sz w:val="24"/>
          <w:szCs w:val="24"/>
        </w:rPr>
        <w:t xml:space="preserve"> compari</w:t>
      </w:r>
      <w:r>
        <w:rPr>
          <w:sz w:val="24"/>
          <w:szCs w:val="24"/>
        </w:rPr>
        <w:t>son of</w:t>
      </w:r>
      <w:r w:rsidRPr="002809FE">
        <w:rPr>
          <w:sz w:val="24"/>
          <w:szCs w:val="24"/>
        </w:rPr>
        <w:t xml:space="preserve"> the intrinsic differences between </w:t>
      </w:r>
      <w:r>
        <w:rPr>
          <w:sz w:val="24"/>
          <w:szCs w:val="24"/>
        </w:rPr>
        <w:t xml:space="preserve">the </w:t>
      </w:r>
      <w:r w:rsidRPr="002809FE">
        <w:rPr>
          <w:sz w:val="24"/>
          <w:szCs w:val="24"/>
        </w:rPr>
        <w:t xml:space="preserve">two different MFA and detector set-ups by </w:t>
      </w:r>
      <w:r>
        <w:rPr>
          <w:sz w:val="24"/>
          <w:szCs w:val="24"/>
        </w:rPr>
        <w:t>exchanging</w:t>
      </w:r>
      <w:r w:rsidRPr="002809FE">
        <w:rPr>
          <w:sz w:val="24"/>
          <w:szCs w:val="24"/>
        </w:rPr>
        <w:t xml:space="preserve"> the detectors between</w:t>
      </w:r>
      <w:r>
        <w:rPr>
          <w:sz w:val="24"/>
          <w:szCs w:val="24"/>
        </w:rPr>
        <w:t xml:space="preserve"> </w:t>
      </w:r>
      <w:r w:rsidRPr="002809FE">
        <w:rPr>
          <w:sz w:val="24"/>
          <w:szCs w:val="24"/>
        </w:rPr>
        <w:t xml:space="preserve">MFA units. </w:t>
      </w:r>
      <w:r>
        <w:rPr>
          <w:sz w:val="24"/>
          <w:szCs w:val="24"/>
        </w:rPr>
        <w:t>N</w:t>
      </w:r>
      <w:r w:rsidRPr="002809FE">
        <w:rPr>
          <w:sz w:val="24"/>
          <w:szCs w:val="24"/>
        </w:rPr>
        <w:t>eutron count</w:t>
      </w:r>
      <w:r>
        <w:rPr>
          <w:sz w:val="24"/>
          <w:szCs w:val="24"/>
        </w:rPr>
        <w:t>s</w:t>
      </w:r>
      <w:r w:rsidRPr="002809FE">
        <w:rPr>
          <w:sz w:val="24"/>
          <w:szCs w:val="24"/>
        </w:rPr>
        <w:t xml:space="preserve"> of the background</w:t>
      </w:r>
      <w:r>
        <w:rPr>
          <w:sz w:val="24"/>
          <w:szCs w:val="24"/>
        </w:rPr>
        <w:t>,</w:t>
      </w:r>
      <w:r w:rsidRPr="002809FE">
        <w:rPr>
          <w:sz w:val="24"/>
          <w:szCs w:val="24"/>
        </w:rPr>
        <w:t xml:space="preserve"> </w:t>
      </w:r>
      <w:r>
        <w:rPr>
          <w:sz w:val="24"/>
          <w:szCs w:val="24"/>
        </w:rPr>
        <w:t>measured by</w:t>
      </w:r>
      <w:r w:rsidRPr="002809FE">
        <w:rPr>
          <w:sz w:val="24"/>
          <w:szCs w:val="24"/>
        </w:rPr>
        <w:t xml:space="preserve"> eight detectors </w:t>
      </w:r>
      <w:r>
        <w:rPr>
          <w:sz w:val="24"/>
          <w:szCs w:val="24"/>
        </w:rPr>
        <w:t>and</w:t>
      </w:r>
      <w:r w:rsidRPr="002809FE">
        <w:rPr>
          <w:sz w:val="24"/>
          <w:szCs w:val="24"/>
        </w:rPr>
        <w:t xml:space="preserve"> two MFAs</w:t>
      </w:r>
      <w:r>
        <w:rPr>
          <w:sz w:val="24"/>
          <w:szCs w:val="24"/>
        </w:rPr>
        <w:t xml:space="preserve"> are compared</w:t>
      </w:r>
      <w:r w:rsidRPr="002809FE">
        <w:rPr>
          <w:sz w:val="24"/>
          <w:szCs w:val="24"/>
        </w:rPr>
        <w:t xml:space="preserve">. The </w:t>
      </w:r>
      <w:r>
        <w:rPr>
          <w:sz w:val="24"/>
          <w:szCs w:val="24"/>
        </w:rPr>
        <w:t>two</w:t>
      </w:r>
      <w:r w:rsidRPr="002809FE">
        <w:rPr>
          <w:sz w:val="24"/>
          <w:szCs w:val="24"/>
        </w:rPr>
        <w:t xml:space="preserve"> measurements are carried out with the same equipment</w:t>
      </w:r>
      <w:r>
        <w:rPr>
          <w:sz w:val="24"/>
          <w:szCs w:val="24"/>
        </w:rPr>
        <w:t>,</w:t>
      </w:r>
      <w:r w:rsidRPr="002809FE">
        <w:rPr>
          <w:sz w:val="24"/>
          <w:szCs w:val="24"/>
        </w:rPr>
        <w:t xml:space="preserve"> </w:t>
      </w:r>
      <w:r>
        <w:rPr>
          <w:sz w:val="24"/>
          <w:szCs w:val="24"/>
        </w:rPr>
        <w:t xml:space="preserve">but detectors were split into two groups of four and </w:t>
      </w:r>
      <w:r w:rsidR="003C09AE">
        <w:rPr>
          <w:sz w:val="24"/>
          <w:szCs w:val="24"/>
        </w:rPr>
        <w:t xml:space="preserve">detectors </w:t>
      </w:r>
      <w:r>
        <w:rPr>
          <w:sz w:val="24"/>
          <w:szCs w:val="24"/>
        </w:rPr>
        <w:t xml:space="preserve">were not </w:t>
      </w:r>
      <w:r w:rsidR="003C09AE">
        <w:rPr>
          <w:sz w:val="24"/>
          <w:szCs w:val="24"/>
        </w:rPr>
        <w:t>exchanged</w:t>
      </w:r>
      <w:r>
        <w:rPr>
          <w:sz w:val="24"/>
          <w:szCs w:val="24"/>
        </w:rPr>
        <w:t xml:space="preserve"> throughout the measurements</w:t>
      </w:r>
      <w:r w:rsidRPr="002809FE">
        <w:rPr>
          <w:sz w:val="24"/>
          <w:szCs w:val="24"/>
        </w:rPr>
        <w:t>.</w:t>
      </w:r>
      <w:r>
        <w:rPr>
          <w:sz w:val="24"/>
          <w:szCs w:val="24"/>
        </w:rPr>
        <w:t xml:space="preserve"> </w:t>
      </w:r>
      <w:r w:rsidRPr="002809FE">
        <w:rPr>
          <w:sz w:val="24"/>
          <w:szCs w:val="24"/>
        </w:rPr>
        <w:t xml:space="preserve">The </w:t>
      </w:r>
      <w:r>
        <w:rPr>
          <w:sz w:val="24"/>
          <w:szCs w:val="24"/>
        </w:rPr>
        <w:t>experimental methods for these measurements are</w:t>
      </w:r>
      <w:r w:rsidRPr="002809FE">
        <w:rPr>
          <w:sz w:val="24"/>
          <w:szCs w:val="24"/>
        </w:rPr>
        <w:t xml:space="preserve"> described in section 3.</w:t>
      </w:r>
      <w:r>
        <w:rPr>
          <w:sz w:val="24"/>
          <w:szCs w:val="24"/>
        </w:rPr>
        <w:t>4 of the Experimental Methods chapter.</w:t>
      </w:r>
    </w:p>
    <w:p w14:paraId="2041457E" w14:textId="7FFC26E2" w:rsidR="00F4746F" w:rsidRDefault="00F37CA9" w:rsidP="00F4746F">
      <w:pPr>
        <w:keepNext/>
        <w:spacing w:line="480" w:lineRule="auto"/>
        <w:ind w:firstLine="567"/>
      </w:pPr>
      <w:r>
        <w:rPr>
          <w:sz w:val="24"/>
          <w:szCs w:val="24"/>
        </w:rPr>
        <w:t>These experiments</w:t>
      </w:r>
      <w:r w:rsidRPr="002809FE">
        <w:rPr>
          <w:sz w:val="24"/>
          <w:szCs w:val="24"/>
        </w:rPr>
        <w:t xml:space="preserve"> began by</w:t>
      </w:r>
      <w:r>
        <w:rPr>
          <w:sz w:val="24"/>
          <w:szCs w:val="24"/>
        </w:rPr>
        <w:t xml:space="preserve"> measuring the sample and</w:t>
      </w:r>
      <w:r w:rsidRPr="002809FE">
        <w:rPr>
          <w:sz w:val="24"/>
          <w:szCs w:val="24"/>
        </w:rPr>
        <w:t xml:space="preserve"> background neutrons in </w:t>
      </w:r>
      <w:r>
        <w:rPr>
          <w:sz w:val="24"/>
          <w:szCs w:val="24"/>
        </w:rPr>
        <w:t>separate arrays</w:t>
      </w:r>
      <w:r w:rsidRPr="002809FE">
        <w:rPr>
          <w:sz w:val="24"/>
          <w:szCs w:val="24"/>
        </w:rPr>
        <w:t xml:space="preserve"> over four-hour periods</w:t>
      </w:r>
      <w:r>
        <w:rPr>
          <w:sz w:val="24"/>
          <w:szCs w:val="24"/>
        </w:rPr>
        <w:t xml:space="preserve">. </w:t>
      </w:r>
      <w:r w:rsidR="00182422">
        <w:rPr>
          <w:sz w:val="24"/>
          <w:szCs w:val="24"/>
        </w:rPr>
        <w:t>This measurement period was chosen as it allowed multiple measurements daily whilst maintaining significant measurements. Hourly measurements were taken early into the project but the counts were consistently too low.</w:t>
      </w:r>
      <w:r>
        <w:rPr>
          <w:sz w:val="24"/>
          <w:szCs w:val="24"/>
        </w:rPr>
        <w:t xml:space="preserve"> The measurements were averaged</w:t>
      </w:r>
      <w:r w:rsidRPr="002809FE">
        <w:rPr>
          <w:sz w:val="24"/>
          <w:szCs w:val="24"/>
        </w:rPr>
        <w:t xml:space="preserve"> </w:t>
      </w:r>
      <w:r>
        <w:rPr>
          <w:sz w:val="24"/>
          <w:szCs w:val="24"/>
        </w:rPr>
        <w:t xml:space="preserve">and </w:t>
      </w:r>
      <w:r w:rsidRPr="002809FE">
        <w:rPr>
          <w:sz w:val="24"/>
          <w:szCs w:val="24"/>
        </w:rPr>
        <w:t xml:space="preserve">then the neutron </w:t>
      </w:r>
      <w:r>
        <w:rPr>
          <w:sz w:val="24"/>
          <w:szCs w:val="24"/>
        </w:rPr>
        <w:t xml:space="preserve">contribution </w:t>
      </w:r>
      <w:r w:rsidRPr="002809FE">
        <w:rPr>
          <w:sz w:val="24"/>
          <w:szCs w:val="24"/>
        </w:rPr>
        <w:t>detected</w:t>
      </w:r>
      <w:r>
        <w:rPr>
          <w:sz w:val="24"/>
          <w:szCs w:val="24"/>
        </w:rPr>
        <w:t xml:space="preserve"> in the background array</w:t>
      </w:r>
      <w:r w:rsidRPr="002809FE">
        <w:rPr>
          <w:sz w:val="24"/>
          <w:szCs w:val="24"/>
        </w:rPr>
        <w:t xml:space="preserve"> </w:t>
      </w:r>
      <w:r w:rsidR="003C09AE">
        <w:rPr>
          <w:sz w:val="24"/>
          <w:szCs w:val="24"/>
        </w:rPr>
        <w:t>was</w:t>
      </w:r>
      <w:r>
        <w:rPr>
          <w:sz w:val="24"/>
          <w:szCs w:val="24"/>
        </w:rPr>
        <w:t xml:space="preserve"> subtracted </w:t>
      </w:r>
      <w:r w:rsidRPr="002809FE">
        <w:rPr>
          <w:sz w:val="24"/>
          <w:szCs w:val="24"/>
        </w:rPr>
        <w:t>from the neutron</w:t>
      </w:r>
      <w:r>
        <w:rPr>
          <w:sz w:val="24"/>
          <w:szCs w:val="24"/>
        </w:rPr>
        <w:t xml:space="preserve"> measurement made by</w:t>
      </w:r>
      <w:r w:rsidRPr="002809FE">
        <w:rPr>
          <w:sz w:val="24"/>
          <w:szCs w:val="24"/>
        </w:rPr>
        <w:t xml:space="preserve"> the sample array. </w:t>
      </w:r>
      <w:r>
        <w:rPr>
          <w:sz w:val="24"/>
          <w:szCs w:val="24"/>
        </w:rPr>
        <w:t>The</w:t>
      </w:r>
      <w:r w:rsidRPr="002809FE">
        <w:rPr>
          <w:sz w:val="24"/>
          <w:szCs w:val="24"/>
        </w:rPr>
        <w:t xml:space="preserve"> measurements</w:t>
      </w:r>
      <w:r>
        <w:rPr>
          <w:sz w:val="24"/>
          <w:szCs w:val="24"/>
        </w:rPr>
        <w:t xml:space="preserve"> were carried out</w:t>
      </w:r>
      <w:r w:rsidRPr="002809FE">
        <w:rPr>
          <w:sz w:val="24"/>
          <w:szCs w:val="24"/>
        </w:rPr>
        <w:t xml:space="preserve"> on samples DSRL7, 8, 9, and 10</w:t>
      </w:r>
      <w:r>
        <w:rPr>
          <w:sz w:val="24"/>
          <w:szCs w:val="24"/>
        </w:rPr>
        <w:t>,</w:t>
      </w:r>
      <w:r w:rsidRPr="002809FE">
        <w:rPr>
          <w:sz w:val="24"/>
          <w:szCs w:val="24"/>
        </w:rPr>
        <w:t xml:space="preserve"> and the results </w:t>
      </w:r>
      <w:r w:rsidRPr="002809FE">
        <w:rPr>
          <w:sz w:val="24"/>
          <w:szCs w:val="24"/>
        </w:rPr>
        <w:lastRenderedPageBreak/>
        <w:t xml:space="preserve">are shown in </w:t>
      </w:r>
      <w:r w:rsidR="00C9116B">
        <w:rPr>
          <w:sz w:val="24"/>
          <w:szCs w:val="24"/>
        </w:rPr>
        <w:fldChar w:fldCharType="begin"/>
      </w:r>
      <w:r w:rsidR="00C9116B">
        <w:rPr>
          <w:sz w:val="24"/>
          <w:szCs w:val="24"/>
        </w:rPr>
        <w:instrText xml:space="preserve"> REF _Ref31282858 \h </w:instrText>
      </w:r>
      <w:r w:rsidR="00C9116B">
        <w:rPr>
          <w:sz w:val="24"/>
          <w:szCs w:val="24"/>
        </w:rPr>
      </w:r>
      <w:r w:rsidR="00C9116B">
        <w:rPr>
          <w:sz w:val="24"/>
          <w:szCs w:val="24"/>
        </w:rPr>
        <w:fldChar w:fldCharType="separate"/>
      </w:r>
      <w:r w:rsidR="00161FDC" w:rsidRPr="00C45EC1">
        <w:rPr>
          <w:sz w:val="20"/>
        </w:rPr>
        <w:t xml:space="preserve">Figure </w:t>
      </w:r>
      <w:r w:rsidR="00161FDC">
        <w:rPr>
          <w:noProof/>
          <w:sz w:val="20"/>
        </w:rPr>
        <w:t>17</w:t>
      </w:r>
      <w:r w:rsidR="00C9116B">
        <w:rPr>
          <w:sz w:val="24"/>
          <w:szCs w:val="24"/>
        </w:rPr>
        <w:fldChar w:fldCharType="end"/>
      </w:r>
      <w:r w:rsidRPr="002809FE">
        <w:rPr>
          <w:sz w:val="24"/>
          <w:szCs w:val="24"/>
        </w:rPr>
        <w:t xml:space="preserve"> and </w:t>
      </w:r>
      <w:r w:rsidR="00C9116B">
        <w:rPr>
          <w:sz w:val="24"/>
          <w:szCs w:val="24"/>
        </w:rPr>
        <w:fldChar w:fldCharType="begin"/>
      </w:r>
      <w:r w:rsidR="00C9116B">
        <w:rPr>
          <w:sz w:val="24"/>
          <w:szCs w:val="24"/>
        </w:rPr>
        <w:instrText xml:space="preserve"> REF _Ref31359746 \h </w:instrText>
      </w:r>
      <w:r w:rsidR="00C9116B">
        <w:rPr>
          <w:sz w:val="24"/>
          <w:szCs w:val="24"/>
        </w:rPr>
      </w:r>
      <w:r w:rsidR="00C9116B">
        <w:rPr>
          <w:sz w:val="24"/>
          <w:szCs w:val="24"/>
        </w:rPr>
        <w:fldChar w:fldCharType="separate"/>
      </w:r>
      <w:r w:rsidR="00161FDC" w:rsidRPr="00C45EC1">
        <w:rPr>
          <w:sz w:val="20"/>
        </w:rPr>
        <w:t xml:space="preserve">Figure </w:t>
      </w:r>
      <w:r w:rsidR="00161FDC">
        <w:rPr>
          <w:noProof/>
          <w:sz w:val="20"/>
        </w:rPr>
        <w:t>18</w:t>
      </w:r>
      <w:r w:rsidR="00C9116B">
        <w:rPr>
          <w:sz w:val="24"/>
          <w:szCs w:val="24"/>
        </w:rPr>
        <w:fldChar w:fldCharType="end"/>
      </w:r>
      <w:r>
        <w:rPr>
          <w:sz w:val="24"/>
          <w:szCs w:val="24"/>
        </w:rPr>
        <w:t>, for the mean and subtracted</w:t>
      </w:r>
      <w:r w:rsidR="003C09AE">
        <w:rPr>
          <w:sz w:val="24"/>
          <w:szCs w:val="24"/>
        </w:rPr>
        <w:t xml:space="preserve"> cases</w:t>
      </w:r>
      <w:r>
        <w:rPr>
          <w:sz w:val="24"/>
          <w:szCs w:val="24"/>
        </w:rPr>
        <w:t>, respectively.</w:t>
      </w:r>
      <w:r w:rsidRPr="002809FE">
        <w:rPr>
          <w:noProof/>
          <w:sz w:val="24"/>
          <w:szCs w:val="24"/>
          <w:lang w:eastAsia="en-GB"/>
        </w:rPr>
        <w:drawing>
          <wp:inline distT="0" distB="0" distL="0" distR="0" wp14:anchorId="62425488" wp14:editId="0865CD94">
            <wp:extent cx="5676900" cy="3076575"/>
            <wp:effectExtent l="0" t="0" r="0" b="0"/>
            <wp:docPr id="231" name="Chart 231">
              <a:extLst xmlns:a="http://schemas.openxmlformats.org/drawingml/2006/main">
                <a:ext uri="{FF2B5EF4-FFF2-40B4-BE49-F238E27FC236}">
                  <a16:creationId xmlns:a16="http://schemas.microsoft.com/office/drawing/2014/main" id="{C554D9C2-DE64-4364-8A2B-CE4C80A34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313C1C0" w14:textId="772FC076" w:rsidR="00F4746F" w:rsidRPr="00C45EC1" w:rsidRDefault="00F4746F" w:rsidP="00C45EC1">
      <w:pPr>
        <w:pStyle w:val="Caption"/>
        <w:jc w:val="center"/>
        <w:rPr>
          <w:sz w:val="20"/>
        </w:rPr>
      </w:pPr>
      <w:bookmarkStart w:id="19" w:name="_Ref31282858"/>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17</w:t>
      </w:r>
      <w:r w:rsidRPr="00C45EC1">
        <w:rPr>
          <w:sz w:val="20"/>
        </w:rPr>
        <w:fldChar w:fldCharType="end"/>
      </w:r>
      <w:bookmarkEnd w:id="19"/>
      <w:r w:rsidRPr="00C45EC1">
        <w:rPr>
          <w:sz w:val="20"/>
        </w:rPr>
        <w:t xml:space="preserve"> The neutron counts averaged over five, 4-hour measurements of both sample and background detector arrays. Sample array measurements are shown in black, while background measurements are shown in horizontal striped red. All samples but DSRL9 are within error of their ambient background neutron counts but there is a trend toward over response of the background assay relative to the sample.</w:t>
      </w:r>
    </w:p>
    <w:p w14:paraId="1B0D109B" w14:textId="77777777" w:rsidR="006925FF" w:rsidRDefault="006925FF" w:rsidP="006925FF">
      <w:pPr>
        <w:keepNext/>
        <w:spacing w:line="480" w:lineRule="auto"/>
        <w:ind w:firstLine="567"/>
      </w:pPr>
      <w:r>
        <w:rPr>
          <w:noProof/>
          <w:lang w:eastAsia="en-GB"/>
        </w:rPr>
        <w:drawing>
          <wp:inline distT="0" distB="0" distL="0" distR="0" wp14:anchorId="5FB41692" wp14:editId="1AD2D20E">
            <wp:extent cx="5143500" cy="2710513"/>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962" t="28955" r="25438" b="13335"/>
                    <a:stretch/>
                  </pic:blipFill>
                  <pic:spPr bwMode="auto">
                    <a:xfrm>
                      <a:off x="0" y="0"/>
                      <a:ext cx="5152098" cy="2715044"/>
                    </a:xfrm>
                    <a:prstGeom prst="rect">
                      <a:avLst/>
                    </a:prstGeom>
                    <a:ln>
                      <a:noFill/>
                    </a:ln>
                    <a:extLst>
                      <a:ext uri="{53640926-AAD7-44D8-BBD7-CCE9431645EC}">
                        <a14:shadowObscured xmlns:a14="http://schemas.microsoft.com/office/drawing/2010/main"/>
                      </a:ext>
                    </a:extLst>
                  </pic:spPr>
                </pic:pic>
              </a:graphicData>
            </a:graphic>
          </wp:inline>
        </w:drawing>
      </w:r>
    </w:p>
    <w:p w14:paraId="5EDF648B" w14:textId="15A051BE" w:rsidR="00F4746F" w:rsidRPr="00C45EC1" w:rsidRDefault="006925FF" w:rsidP="00C45EC1">
      <w:pPr>
        <w:pStyle w:val="Caption"/>
        <w:jc w:val="center"/>
        <w:rPr>
          <w:sz w:val="20"/>
        </w:rPr>
      </w:pPr>
      <w:bookmarkStart w:id="20" w:name="_Ref31359746"/>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18</w:t>
      </w:r>
      <w:r w:rsidRPr="00C45EC1">
        <w:rPr>
          <w:sz w:val="20"/>
        </w:rPr>
        <w:fldChar w:fldCharType="end"/>
      </w:r>
      <w:bookmarkEnd w:id="20"/>
      <w:r w:rsidRPr="00C45EC1">
        <w:rPr>
          <w:sz w:val="20"/>
        </w:rPr>
        <w:t xml:space="preserve"> Neutron counts compared across samples following ambient background subtraction from the sample counts. All samples are consistent with zero counts. The figure shows the </w:t>
      </w:r>
      <w:r w:rsidRPr="00C45EC1">
        <w:rPr>
          <w:sz w:val="20"/>
        </w:rPr>
        <w:fldChar w:fldCharType="begin"/>
      </w:r>
      <w:r w:rsidRPr="00C45EC1">
        <w:rPr>
          <w:sz w:val="20"/>
        </w:rPr>
        <w:instrText xml:space="preserve"> REF _Ref31282858 \h </w:instrText>
      </w:r>
      <w:r w:rsidR="00C45EC1">
        <w:rPr>
          <w:sz w:val="20"/>
        </w:rPr>
        <w:instrText xml:space="preserve"> \* MERGEFORMAT </w:instrText>
      </w:r>
      <w:r w:rsidRPr="00C45EC1">
        <w:rPr>
          <w:sz w:val="20"/>
        </w:rPr>
      </w:r>
      <w:r w:rsidRPr="00C45EC1">
        <w:rPr>
          <w:sz w:val="20"/>
        </w:rPr>
        <w:fldChar w:fldCharType="separate"/>
      </w:r>
      <w:r w:rsidR="00161FDC" w:rsidRPr="00C45EC1">
        <w:rPr>
          <w:sz w:val="20"/>
        </w:rPr>
        <w:t xml:space="preserve">Figure </w:t>
      </w:r>
      <w:r w:rsidR="00161FDC">
        <w:rPr>
          <w:noProof/>
          <w:sz w:val="20"/>
        </w:rPr>
        <w:t>17</w:t>
      </w:r>
      <w:r w:rsidRPr="00C45EC1">
        <w:rPr>
          <w:sz w:val="20"/>
        </w:rPr>
        <w:fldChar w:fldCharType="end"/>
      </w:r>
      <w:r w:rsidRPr="00C45EC1">
        <w:rPr>
          <w:sz w:val="20"/>
        </w:rPr>
        <w:t xml:space="preserve"> values following background subtraction.</w:t>
      </w:r>
    </w:p>
    <w:p w14:paraId="7F492BAA" w14:textId="4FCE16D5" w:rsidR="00C9116B" w:rsidRDefault="00C9116B">
      <w:pPr>
        <w:rPr>
          <w:sz w:val="24"/>
          <w:szCs w:val="24"/>
        </w:rPr>
      </w:pPr>
      <w:r>
        <w:rPr>
          <w:sz w:val="24"/>
          <w:szCs w:val="24"/>
        </w:rPr>
        <w:br w:type="page"/>
      </w:r>
    </w:p>
    <w:p w14:paraId="2602CCA0" w14:textId="0B3F86EB" w:rsidR="00F37CA9" w:rsidRPr="00155549" w:rsidRDefault="00F37CA9" w:rsidP="00155549">
      <w:pPr>
        <w:spacing w:line="480" w:lineRule="auto"/>
        <w:ind w:left="-567" w:firstLine="567"/>
        <w:rPr>
          <w:sz w:val="24"/>
          <w:szCs w:val="24"/>
        </w:rPr>
      </w:pPr>
      <w:r w:rsidRPr="00745BE4">
        <w:rPr>
          <w:b/>
          <w:sz w:val="28"/>
          <w:szCs w:val="24"/>
        </w:rPr>
        <w:lastRenderedPageBreak/>
        <w:t>3.1.2 16-Detector Neutron Array Measurements</w:t>
      </w:r>
    </w:p>
    <w:p w14:paraId="19EE35FD" w14:textId="41CAB694" w:rsidR="00D166CA" w:rsidRDefault="00F37CA9" w:rsidP="00D35623">
      <w:pPr>
        <w:spacing w:line="480" w:lineRule="auto"/>
        <w:ind w:firstLine="567"/>
        <w:rPr>
          <w:sz w:val="24"/>
          <w:szCs w:val="24"/>
        </w:rPr>
      </w:pPr>
      <w:r>
        <w:rPr>
          <w:sz w:val="24"/>
          <w:szCs w:val="24"/>
        </w:rPr>
        <w:t>Presented here are the results</w:t>
      </w:r>
      <w:r w:rsidRPr="002809FE">
        <w:rPr>
          <w:sz w:val="24"/>
          <w:szCs w:val="24"/>
        </w:rPr>
        <w:t xml:space="preserve"> from the measurement of neutrons emitted from </w:t>
      </w:r>
      <w:r>
        <w:rPr>
          <w:sz w:val="24"/>
          <w:szCs w:val="24"/>
        </w:rPr>
        <w:t xml:space="preserve">most </w:t>
      </w:r>
      <w:r w:rsidRPr="002809FE">
        <w:rPr>
          <w:sz w:val="24"/>
          <w:szCs w:val="24"/>
        </w:rPr>
        <w:t xml:space="preserve">samples </w:t>
      </w:r>
      <w:r>
        <w:rPr>
          <w:sz w:val="24"/>
          <w:szCs w:val="24"/>
        </w:rPr>
        <w:t xml:space="preserve">studied </w:t>
      </w:r>
      <w:r w:rsidRPr="002809FE">
        <w:rPr>
          <w:sz w:val="24"/>
          <w:szCs w:val="24"/>
        </w:rPr>
        <w:t xml:space="preserve">in the project, using the 16-detector array. The experimental methods for these measurements are described in section </w:t>
      </w:r>
      <w:r>
        <w:rPr>
          <w:sz w:val="24"/>
          <w:szCs w:val="24"/>
        </w:rPr>
        <w:t>2.2</w:t>
      </w:r>
      <w:r w:rsidRPr="002809FE">
        <w:rPr>
          <w:sz w:val="24"/>
          <w:szCs w:val="24"/>
        </w:rPr>
        <w:t>.</w:t>
      </w:r>
      <w:r>
        <w:rPr>
          <w:sz w:val="24"/>
          <w:szCs w:val="24"/>
        </w:rPr>
        <w:t xml:space="preserve">3 </w:t>
      </w:r>
      <w:r w:rsidRPr="002809FE">
        <w:rPr>
          <w:sz w:val="24"/>
          <w:szCs w:val="24"/>
        </w:rPr>
        <w:t>of the Experimental Methods chapter.</w:t>
      </w:r>
      <w:r w:rsidR="00D166CA">
        <w:rPr>
          <w:sz w:val="24"/>
          <w:szCs w:val="24"/>
        </w:rPr>
        <w:t xml:space="preserve"> </w:t>
      </w:r>
      <w:r>
        <w:rPr>
          <w:sz w:val="24"/>
          <w:szCs w:val="24"/>
        </w:rPr>
        <w:t xml:space="preserve">The neutron measurements of all samples are illustrated, averaged over four, 4-hour counting periods. The average neutron count per detector for each sample is presented, followed by the summed neutron count measured in the entire array per sample. The results in </w:t>
      </w:r>
      <w:r w:rsidR="006925FF">
        <w:rPr>
          <w:sz w:val="24"/>
          <w:szCs w:val="24"/>
        </w:rPr>
        <w:fldChar w:fldCharType="begin"/>
      </w:r>
      <w:r w:rsidR="006925FF">
        <w:rPr>
          <w:sz w:val="24"/>
          <w:szCs w:val="24"/>
        </w:rPr>
        <w:instrText xml:space="preserve"> REF _Ref31283038 \h </w:instrText>
      </w:r>
      <w:r w:rsidR="006925FF">
        <w:rPr>
          <w:sz w:val="24"/>
          <w:szCs w:val="24"/>
        </w:rPr>
      </w:r>
      <w:r w:rsidR="006925FF">
        <w:rPr>
          <w:sz w:val="24"/>
          <w:szCs w:val="24"/>
        </w:rPr>
        <w:fldChar w:fldCharType="separate"/>
      </w:r>
      <w:r w:rsidR="00161FDC" w:rsidRPr="00C45EC1">
        <w:rPr>
          <w:sz w:val="20"/>
        </w:rPr>
        <w:t xml:space="preserve">Figure </w:t>
      </w:r>
      <w:r w:rsidR="00161FDC">
        <w:rPr>
          <w:noProof/>
          <w:sz w:val="20"/>
        </w:rPr>
        <w:t>19</w:t>
      </w:r>
      <w:r w:rsidR="006925FF">
        <w:rPr>
          <w:sz w:val="24"/>
          <w:szCs w:val="24"/>
        </w:rPr>
        <w:fldChar w:fldCharType="end"/>
      </w:r>
      <w:r>
        <w:rPr>
          <w:sz w:val="24"/>
          <w:szCs w:val="24"/>
        </w:rPr>
        <w:t xml:space="preserve"> and </w:t>
      </w:r>
      <w:r w:rsidR="006925FF">
        <w:rPr>
          <w:sz w:val="24"/>
          <w:szCs w:val="24"/>
        </w:rPr>
        <w:fldChar w:fldCharType="begin"/>
      </w:r>
      <w:r w:rsidR="006925FF">
        <w:rPr>
          <w:sz w:val="24"/>
          <w:szCs w:val="24"/>
        </w:rPr>
        <w:instrText xml:space="preserve"> REF _Ref31283050 \h </w:instrText>
      </w:r>
      <w:r w:rsidR="006925FF">
        <w:rPr>
          <w:sz w:val="24"/>
          <w:szCs w:val="24"/>
        </w:rPr>
      </w:r>
      <w:r w:rsidR="006925FF">
        <w:rPr>
          <w:sz w:val="24"/>
          <w:szCs w:val="24"/>
        </w:rPr>
        <w:fldChar w:fldCharType="separate"/>
      </w:r>
      <w:r w:rsidR="00161FDC" w:rsidRPr="00C45EC1">
        <w:rPr>
          <w:sz w:val="20"/>
        </w:rPr>
        <w:t xml:space="preserve">Figure </w:t>
      </w:r>
      <w:r w:rsidR="00161FDC">
        <w:rPr>
          <w:noProof/>
          <w:sz w:val="20"/>
        </w:rPr>
        <w:t>20</w:t>
      </w:r>
      <w:r w:rsidR="006925FF">
        <w:rPr>
          <w:sz w:val="24"/>
          <w:szCs w:val="24"/>
        </w:rPr>
        <w:fldChar w:fldCharType="end"/>
      </w:r>
      <w:r>
        <w:rPr>
          <w:sz w:val="24"/>
          <w:szCs w:val="24"/>
        </w:rPr>
        <w:t xml:space="preserve"> are normalised to the mass of sample</w:t>
      </w:r>
      <w:r w:rsidR="0092501C">
        <w:rPr>
          <w:sz w:val="24"/>
          <w:szCs w:val="24"/>
        </w:rPr>
        <w:t xml:space="preserve"> and have the background subtracted</w:t>
      </w:r>
      <w:r>
        <w:rPr>
          <w:sz w:val="24"/>
          <w:szCs w:val="24"/>
        </w:rPr>
        <w:t xml:space="preserve">. Without subtracting background counts, the measurements may fail to identify any disproportionate neutron counts amongst a campaign of measurements that includes samples of inconsistent mass. </w:t>
      </w:r>
      <w:r w:rsidR="006925FF">
        <w:rPr>
          <w:sz w:val="24"/>
          <w:szCs w:val="24"/>
        </w:rPr>
        <w:fldChar w:fldCharType="begin"/>
      </w:r>
      <w:r w:rsidR="006925FF">
        <w:rPr>
          <w:sz w:val="24"/>
          <w:szCs w:val="24"/>
        </w:rPr>
        <w:instrText xml:space="preserve"> REF _Ref31283038 \h </w:instrText>
      </w:r>
      <w:r w:rsidR="006925FF">
        <w:rPr>
          <w:sz w:val="24"/>
          <w:szCs w:val="24"/>
        </w:rPr>
      </w:r>
      <w:r w:rsidR="006925FF">
        <w:rPr>
          <w:sz w:val="24"/>
          <w:szCs w:val="24"/>
        </w:rPr>
        <w:fldChar w:fldCharType="separate"/>
      </w:r>
      <w:r w:rsidR="00161FDC" w:rsidRPr="00C45EC1">
        <w:rPr>
          <w:sz w:val="20"/>
        </w:rPr>
        <w:t xml:space="preserve">Figure </w:t>
      </w:r>
      <w:r w:rsidR="00161FDC">
        <w:rPr>
          <w:noProof/>
          <w:sz w:val="20"/>
        </w:rPr>
        <w:t>19</w:t>
      </w:r>
      <w:r w:rsidR="006925FF">
        <w:rPr>
          <w:sz w:val="24"/>
          <w:szCs w:val="24"/>
        </w:rPr>
        <w:fldChar w:fldCharType="end"/>
      </w:r>
      <w:r>
        <w:rPr>
          <w:sz w:val="24"/>
          <w:szCs w:val="24"/>
        </w:rPr>
        <w:t xml:space="preserve"> and </w:t>
      </w:r>
      <w:r w:rsidR="006925FF">
        <w:rPr>
          <w:sz w:val="24"/>
          <w:szCs w:val="24"/>
        </w:rPr>
        <w:fldChar w:fldCharType="begin"/>
      </w:r>
      <w:r w:rsidR="006925FF">
        <w:rPr>
          <w:sz w:val="24"/>
          <w:szCs w:val="24"/>
        </w:rPr>
        <w:instrText xml:space="preserve"> REF _Ref31283050 \h </w:instrText>
      </w:r>
      <w:r w:rsidR="006925FF">
        <w:rPr>
          <w:sz w:val="24"/>
          <w:szCs w:val="24"/>
        </w:rPr>
      </w:r>
      <w:r w:rsidR="006925FF">
        <w:rPr>
          <w:sz w:val="24"/>
          <w:szCs w:val="24"/>
        </w:rPr>
        <w:fldChar w:fldCharType="separate"/>
      </w:r>
      <w:r w:rsidR="00161FDC" w:rsidRPr="00C45EC1">
        <w:rPr>
          <w:sz w:val="20"/>
        </w:rPr>
        <w:t xml:space="preserve">Figure </w:t>
      </w:r>
      <w:r w:rsidR="00161FDC">
        <w:rPr>
          <w:noProof/>
          <w:sz w:val="20"/>
        </w:rPr>
        <w:t>20</w:t>
      </w:r>
      <w:r w:rsidR="006925FF">
        <w:rPr>
          <w:sz w:val="24"/>
          <w:szCs w:val="24"/>
        </w:rPr>
        <w:fldChar w:fldCharType="end"/>
      </w:r>
      <w:r w:rsidR="006925FF">
        <w:rPr>
          <w:sz w:val="24"/>
          <w:szCs w:val="24"/>
        </w:rPr>
        <w:t xml:space="preserve"> </w:t>
      </w:r>
      <w:r>
        <w:rPr>
          <w:sz w:val="24"/>
          <w:szCs w:val="24"/>
        </w:rPr>
        <w:t>below illustrate this difference following efficiency correction</w:t>
      </w:r>
      <w:r w:rsidR="0092501C">
        <w:rPr>
          <w:sz w:val="24"/>
          <w:szCs w:val="24"/>
        </w:rPr>
        <w:t>s</w:t>
      </w:r>
      <w:r>
        <w:rPr>
          <w:sz w:val="24"/>
          <w:szCs w:val="24"/>
        </w:rPr>
        <w:t>, normalisation to mass and background</w:t>
      </w:r>
      <w:r w:rsidR="00D35623">
        <w:rPr>
          <w:sz w:val="24"/>
          <w:szCs w:val="24"/>
        </w:rPr>
        <w:t xml:space="preserve"> s</w:t>
      </w:r>
      <w:r>
        <w:rPr>
          <w:sz w:val="24"/>
          <w:szCs w:val="24"/>
        </w:rPr>
        <w:t>ubtraction.</w:t>
      </w:r>
    </w:p>
    <w:p w14:paraId="46902FA2" w14:textId="77777777" w:rsidR="00D166CA" w:rsidRDefault="00D166CA">
      <w:pPr>
        <w:rPr>
          <w:sz w:val="24"/>
          <w:szCs w:val="24"/>
        </w:rPr>
      </w:pPr>
      <w:r>
        <w:rPr>
          <w:sz w:val="24"/>
          <w:szCs w:val="24"/>
        </w:rPr>
        <w:br w:type="page"/>
      </w:r>
    </w:p>
    <w:p w14:paraId="0E7329ED" w14:textId="6299EFC4" w:rsidR="006925FF" w:rsidRPr="00D35623" w:rsidRDefault="00F37CA9" w:rsidP="00D35623">
      <w:pPr>
        <w:spacing w:line="480" w:lineRule="auto"/>
        <w:ind w:firstLine="567"/>
        <w:rPr>
          <w:sz w:val="24"/>
          <w:szCs w:val="24"/>
        </w:rPr>
      </w:pPr>
      <w:r>
        <w:rPr>
          <w:noProof/>
          <w:lang w:eastAsia="en-GB"/>
        </w:rPr>
        <w:lastRenderedPageBreak/>
        <w:drawing>
          <wp:inline distT="0" distB="0" distL="0" distR="0" wp14:anchorId="1D9F9805" wp14:editId="0E97C4EC">
            <wp:extent cx="5731510" cy="3257550"/>
            <wp:effectExtent l="0" t="0" r="2540" b="0"/>
            <wp:docPr id="229" name="Chart 229">
              <a:extLst xmlns:a="http://schemas.openxmlformats.org/drawingml/2006/main">
                <a:ext uri="{FF2B5EF4-FFF2-40B4-BE49-F238E27FC236}">
                  <a16:creationId xmlns:a16="http://schemas.microsoft.com/office/drawing/2014/main" id="{CEE3729F-53C5-4CBE-ABDC-F63AC37E9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1C23EA" w14:textId="0DCA23A3" w:rsidR="006925FF" w:rsidRPr="00C45EC1" w:rsidRDefault="006925FF" w:rsidP="00C45EC1">
      <w:pPr>
        <w:pStyle w:val="Caption"/>
        <w:jc w:val="center"/>
        <w:rPr>
          <w:sz w:val="20"/>
        </w:rPr>
      </w:pPr>
      <w:bookmarkStart w:id="21" w:name="_Ref31283038"/>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19</w:t>
      </w:r>
      <w:r w:rsidRPr="00C45EC1">
        <w:rPr>
          <w:sz w:val="20"/>
        </w:rPr>
        <w:fldChar w:fldCharType="end"/>
      </w:r>
      <w:bookmarkEnd w:id="21"/>
      <w:r w:rsidRPr="00C45EC1">
        <w:rPr>
          <w:sz w:val="20"/>
        </w:rPr>
        <w:t xml:space="preserve"> The background-subtracted neutron counts per four hours per detector measured per kilogram of sample in the 16-detector array. A mass correction to one kilogram was applied to the sample data, along with efficiency corrections and a notional detection efficiency of 1% to account for neutrons missed by the detectors to better reflect sample emission. On-site Dounreay samples are displayed as solid black bars, off-site Dounreay is depicted as a diagonal red striped bar, and other off-site samples are depicted as spotted blue bars.</w:t>
      </w:r>
    </w:p>
    <w:p w14:paraId="0F82D4E6" w14:textId="77777777" w:rsidR="00D35623" w:rsidRDefault="00D35623">
      <w:r>
        <w:br w:type="page"/>
      </w:r>
    </w:p>
    <w:p w14:paraId="59B10815" w14:textId="3D696635" w:rsidR="006925FF" w:rsidRDefault="00F37CA9" w:rsidP="006925FF">
      <w:pPr>
        <w:keepNext/>
        <w:spacing w:line="480" w:lineRule="auto"/>
      </w:pPr>
      <w:r>
        <w:rPr>
          <w:noProof/>
          <w:lang w:eastAsia="en-GB"/>
        </w:rPr>
        <w:lastRenderedPageBreak/>
        <w:drawing>
          <wp:inline distT="0" distB="0" distL="0" distR="0" wp14:anchorId="37BA517D" wp14:editId="1E236EB1">
            <wp:extent cx="5731510" cy="3068955"/>
            <wp:effectExtent l="0" t="0" r="2540" b="0"/>
            <wp:docPr id="22" name="Chart 22">
              <a:extLst xmlns:a="http://schemas.openxmlformats.org/drawingml/2006/main">
                <a:ext uri="{FF2B5EF4-FFF2-40B4-BE49-F238E27FC236}">
                  <a16:creationId xmlns:a16="http://schemas.microsoft.com/office/drawing/2014/main" id="{552F933A-08ED-4D38-B240-8EF180805C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9000A4" w14:textId="3B6755C5" w:rsidR="006925FF" w:rsidRPr="00C45EC1" w:rsidRDefault="006925FF" w:rsidP="00C45EC1">
      <w:pPr>
        <w:pStyle w:val="Caption"/>
        <w:jc w:val="center"/>
        <w:rPr>
          <w:sz w:val="20"/>
        </w:rPr>
      </w:pPr>
      <w:bookmarkStart w:id="22" w:name="_Ref31283050"/>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20</w:t>
      </w:r>
      <w:r w:rsidRPr="00C45EC1">
        <w:rPr>
          <w:sz w:val="20"/>
        </w:rPr>
        <w:fldChar w:fldCharType="end"/>
      </w:r>
      <w:bookmarkEnd w:id="22"/>
      <w:r w:rsidRPr="00C45EC1">
        <w:rPr>
          <w:sz w:val="20"/>
        </w:rPr>
        <w:t xml:space="preserve"> This figure illustrates the differences between the sample and background counts. The neutron counts per four hours per detector array following subtraction of the average background, per kilogram of sample.  A mass correction to one kilogram was applied to the sample data, along with efficiency corrections, accounting for two thirds coverage of the samples by the detectors and a notional detection efficiency of 1% to account for neutrons missed by the detectors to better reflect sample emission. On-site Dounreay samples are depicted by solid black bars, off-site Dounreay is displayed as diagonal red striped bars, and other off-site samples are depicted as spotted blue bars.</w:t>
      </w:r>
    </w:p>
    <w:p w14:paraId="73F60D94" w14:textId="77777777" w:rsidR="006925FF" w:rsidRPr="006925FF" w:rsidRDefault="006925FF" w:rsidP="006925FF"/>
    <w:p w14:paraId="55D68EE4" w14:textId="35D5FC74" w:rsidR="00F37CA9" w:rsidRDefault="00F37CA9" w:rsidP="006925FF">
      <w:pPr>
        <w:spacing w:line="480" w:lineRule="auto"/>
        <w:ind w:firstLine="567"/>
        <w:rPr>
          <w:noProof/>
          <w:sz w:val="24"/>
          <w:szCs w:val="24"/>
        </w:rPr>
      </w:pPr>
      <w:r w:rsidRPr="00CF322D">
        <w:rPr>
          <w:noProof/>
          <w:sz w:val="24"/>
          <w:szCs w:val="24"/>
        </w:rPr>
        <w:t xml:space="preserve"> </w:t>
      </w:r>
      <w:r>
        <w:rPr>
          <w:sz w:val="24"/>
          <w:szCs w:val="24"/>
        </w:rPr>
        <w:t xml:space="preserve">Calculating the background subtracted neutron counts shown in </w:t>
      </w:r>
      <w:r w:rsidR="006925FF">
        <w:rPr>
          <w:sz w:val="24"/>
          <w:szCs w:val="24"/>
        </w:rPr>
        <w:fldChar w:fldCharType="begin"/>
      </w:r>
      <w:r w:rsidR="006925FF">
        <w:rPr>
          <w:sz w:val="24"/>
          <w:szCs w:val="24"/>
        </w:rPr>
        <w:instrText xml:space="preserve"> REF _Ref31283038 \h </w:instrText>
      </w:r>
      <w:r w:rsidR="006925FF">
        <w:rPr>
          <w:sz w:val="24"/>
          <w:szCs w:val="24"/>
        </w:rPr>
      </w:r>
      <w:r w:rsidR="006925FF">
        <w:rPr>
          <w:sz w:val="24"/>
          <w:szCs w:val="24"/>
        </w:rPr>
        <w:fldChar w:fldCharType="separate"/>
      </w:r>
      <w:r w:rsidR="00161FDC" w:rsidRPr="00C45EC1">
        <w:rPr>
          <w:sz w:val="20"/>
        </w:rPr>
        <w:t xml:space="preserve">Figure </w:t>
      </w:r>
      <w:r w:rsidR="00161FDC">
        <w:rPr>
          <w:noProof/>
          <w:sz w:val="20"/>
        </w:rPr>
        <w:t>19</w:t>
      </w:r>
      <w:r w:rsidR="006925FF">
        <w:rPr>
          <w:sz w:val="24"/>
          <w:szCs w:val="24"/>
        </w:rPr>
        <w:fldChar w:fldCharType="end"/>
      </w:r>
      <w:r w:rsidR="006925FF">
        <w:rPr>
          <w:sz w:val="24"/>
          <w:szCs w:val="24"/>
        </w:rPr>
        <w:t xml:space="preserve"> </w:t>
      </w:r>
      <w:r>
        <w:rPr>
          <w:sz w:val="24"/>
          <w:szCs w:val="24"/>
        </w:rPr>
        <w:t xml:space="preserve">and </w:t>
      </w:r>
      <w:r w:rsidR="006925FF">
        <w:rPr>
          <w:sz w:val="24"/>
          <w:szCs w:val="24"/>
        </w:rPr>
        <w:fldChar w:fldCharType="begin"/>
      </w:r>
      <w:r w:rsidR="006925FF">
        <w:rPr>
          <w:sz w:val="24"/>
          <w:szCs w:val="24"/>
        </w:rPr>
        <w:instrText xml:space="preserve"> REF _Ref31283050 \h </w:instrText>
      </w:r>
      <w:r w:rsidR="006925FF">
        <w:rPr>
          <w:sz w:val="24"/>
          <w:szCs w:val="24"/>
        </w:rPr>
      </w:r>
      <w:r w:rsidR="006925FF">
        <w:rPr>
          <w:sz w:val="24"/>
          <w:szCs w:val="24"/>
        </w:rPr>
        <w:fldChar w:fldCharType="separate"/>
      </w:r>
      <w:r w:rsidR="00161FDC" w:rsidRPr="00C45EC1">
        <w:rPr>
          <w:sz w:val="20"/>
        </w:rPr>
        <w:t xml:space="preserve">Figure </w:t>
      </w:r>
      <w:r w:rsidR="00161FDC">
        <w:rPr>
          <w:noProof/>
          <w:sz w:val="20"/>
        </w:rPr>
        <w:t>20</w:t>
      </w:r>
      <w:r w:rsidR="006925FF">
        <w:rPr>
          <w:sz w:val="24"/>
          <w:szCs w:val="24"/>
        </w:rPr>
        <w:fldChar w:fldCharType="end"/>
      </w:r>
      <w:r>
        <w:rPr>
          <w:sz w:val="24"/>
          <w:szCs w:val="24"/>
        </w:rPr>
        <w:t xml:space="preserve"> is </w:t>
      </w:r>
      <w:r w:rsidR="005805CA">
        <w:rPr>
          <w:sz w:val="24"/>
          <w:szCs w:val="24"/>
        </w:rPr>
        <w:t>insightful</w:t>
      </w:r>
      <w:r>
        <w:rPr>
          <w:sz w:val="24"/>
          <w:szCs w:val="24"/>
        </w:rPr>
        <w:t xml:space="preserve"> as it gives direct estimates for the number of neutrons emitted from each sample. </w:t>
      </w:r>
    </w:p>
    <w:p w14:paraId="2334A47C" w14:textId="59D9C6D9" w:rsidR="00F37CA9" w:rsidRDefault="00F37CA9" w:rsidP="00F37CA9">
      <w:pPr>
        <w:spacing w:line="480" w:lineRule="auto"/>
        <w:ind w:firstLine="567"/>
        <w:rPr>
          <w:sz w:val="24"/>
          <w:szCs w:val="24"/>
        </w:rPr>
      </w:pPr>
      <w:r w:rsidRPr="002809FE">
        <w:rPr>
          <w:sz w:val="24"/>
          <w:szCs w:val="24"/>
        </w:rPr>
        <w:t xml:space="preserve">In summary, </w:t>
      </w:r>
      <w:r>
        <w:rPr>
          <w:sz w:val="24"/>
          <w:szCs w:val="24"/>
        </w:rPr>
        <w:t>there is</w:t>
      </w:r>
      <w:r w:rsidRPr="002809FE">
        <w:rPr>
          <w:sz w:val="24"/>
          <w:szCs w:val="24"/>
        </w:rPr>
        <w:t xml:space="preserve"> some variation in </w:t>
      </w:r>
      <w:r>
        <w:rPr>
          <w:sz w:val="24"/>
          <w:szCs w:val="24"/>
        </w:rPr>
        <w:t>neutron emission</w:t>
      </w:r>
      <w:r w:rsidRPr="002809FE">
        <w:rPr>
          <w:sz w:val="24"/>
          <w:szCs w:val="24"/>
        </w:rPr>
        <w:t xml:space="preserve"> between the samples</w:t>
      </w:r>
      <w:r>
        <w:rPr>
          <w:sz w:val="24"/>
          <w:szCs w:val="24"/>
        </w:rPr>
        <w:t>.</w:t>
      </w:r>
      <w:r w:rsidRPr="002809FE">
        <w:rPr>
          <w:sz w:val="24"/>
          <w:szCs w:val="24"/>
        </w:rPr>
        <w:br/>
      </w:r>
      <w:r w:rsidR="005805CA">
        <w:rPr>
          <w:sz w:val="24"/>
          <w:szCs w:val="24"/>
        </w:rPr>
        <w:t>However t</w:t>
      </w:r>
      <w:r w:rsidRPr="002809FE">
        <w:rPr>
          <w:sz w:val="24"/>
          <w:szCs w:val="24"/>
        </w:rPr>
        <w:t xml:space="preserve">he </w:t>
      </w:r>
      <w:r>
        <w:rPr>
          <w:sz w:val="24"/>
          <w:szCs w:val="24"/>
        </w:rPr>
        <w:t xml:space="preserve">sample </w:t>
      </w:r>
      <w:r w:rsidRPr="002809FE">
        <w:rPr>
          <w:sz w:val="24"/>
          <w:szCs w:val="24"/>
        </w:rPr>
        <w:t xml:space="preserve">data show </w:t>
      </w:r>
      <w:r>
        <w:rPr>
          <w:sz w:val="24"/>
          <w:szCs w:val="24"/>
        </w:rPr>
        <w:t>little variation from the mean neutron emissions and most samples are consistent with zero neutron counts following background subtraction.</w:t>
      </w:r>
    </w:p>
    <w:p w14:paraId="3596F2DA" w14:textId="0075E3C7" w:rsidR="00F37CA9" w:rsidRDefault="00F37CA9" w:rsidP="00F37CA9">
      <w:pPr>
        <w:spacing w:line="480" w:lineRule="auto"/>
        <w:ind w:firstLine="567"/>
        <w:rPr>
          <w:sz w:val="24"/>
          <w:szCs w:val="24"/>
        </w:rPr>
      </w:pPr>
      <w:r>
        <w:rPr>
          <w:sz w:val="24"/>
          <w:szCs w:val="24"/>
        </w:rPr>
        <w:t>When considering average counts per detector</w:t>
      </w:r>
      <w:r w:rsidR="000F62E1">
        <w:rPr>
          <w:sz w:val="24"/>
          <w:szCs w:val="24"/>
        </w:rPr>
        <w:t xml:space="preserve"> from </w:t>
      </w:r>
      <w:r w:rsidR="006925FF">
        <w:rPr>
          <w:sz w:val="24"/>
          <w:szCs w:val="24"/>
        </w:rPr>
        <w:fldChar w:fldCharType="begin"/>
      </w:r>
      <w:r w:rsidR="006925FF">
        <w:rPr>
          <w:sz w:val="24"/>
          <w:szCs w:val="24"/>
        </w:rPr>
        <w:instrText xml:space="preserve"> REF _Ref31283038 \h </w:instrText>
      </w:r>
      <w:r w:rsidR="006925FF">
        <w:rPr>
          <w:sz w:val="24"/>
          <w:szCs w:val="24"/>
        </w:rPr>
      </w:r>
      <w:r w:rsidR="006925FF">
        <w:rPr>
          <w:sz w:val="24"/>
          <w:szCs w:val="24"/>
        </w:rPr>
        <w:fldChar w:fldCharType="separate"/>
      </w:r>
      <w:r w:rsidR="00161FDC" w:rsidRPr="00C45EC1">
        <w:rPr>
          <w:sz w:val="20"/>
        </w:rPr>
        <w:t xml:space="preserve">Figure </w:t>
      </w:r>
      <w:r w:rsidR="00161FDC">
        <w:rPr>
          <w:noProof/>
          <w:sz w:val="20"/>
        </w:rPr>
        <w:t>19</w:t>
      </w:r>
      <w:r w:rsidR="006925FF">
        <w:rPr>
          <w:sz w:val="24"/>
          <w:szCs w:val="24"/>
        </w:rPr>
        <w:fldChar w:fldCharType="end"/>
      </w:r>
      <w:r>
        <w:rPr>
          <w:sz w:val="24"/>
          <w:szCs w:val="24"/>
        </w:rPr>
        <w:t xml:space="preserve">, DSRL4, 5, 9, 10 and DSRLB1 are significantly higher than zero counts following an average background subtraction, whereas all other samples are consistent with or lower than zero. Further, the </w:t>
      </w:r>
      <w:r>
        <w:rPr>
          <w:sz w:val="24"/>
          <w:szCs w:val="24"/>
        </w:rPr>
        <w:lastRenderedPageBreak/>
        <w:t>summed counts per array share a similar trend, with only DSRL9 and 10 demonstrating counts significantly higher than zero after subtracting the background counts.</w:t>
      </w:r>
    </w:p>
    <w:p w14:paraId="4E07E380" w14:textId="7E3317AE" w:rsidR="00F37CA9" w:rsidRPr="009D62D2" w:rsidRDefault="00F37CA9" w:rsidP="00F37CA9">
      <w:pPr>
        <w:spacing w:line="480" w:lineRule="auto"/>
        <w:ind w:firstLine="567"/>
        <w:rPr>
          <w:sz w:val="24"/>
          <w:szCs w:val="24"/>
        </w:rPr>
      </w:pPr>
      <w:r>
        <w:rPr>
          <w:sz w:val="24"/>
          <w:szCs w:val="24"/>
        </w:rPr>
        <w:t>These figures</w:t>
      </w:r>
      <w:r w:rsidRPr="002809FE">
        <w:rPr>
          <w:sz w:val="24"/>
          <w:szCs w:val="24"/>
        </w:rPr>
        <w:t xml:space="preserve"> will be explored in more detail in the discussion in Chapter </w:t>
      </w:r>
      <w:r w:rsidR="009D62D2">
        <w:rPr>
          <w:sz w:val="24"/>
          <w:szCs w:val="24"/>
        </w:rPr>
        <w:t>4</w:t>
      </w:r>
      <w:r w:rsidRPr="002809FE">
        <w:rPr>
          <w:sz w:val="24"/>
          <w:szCs w:val="24"/>
        </w:rPr>
        <w:t xml:space="preserve"> and compared to results gained from the other measurement methods, which are described </w:t>
      </w:r>
      <w:r>
        <w:rPr>
          <w:sz w:val="24"/>
          <w:szCs w:val="24"/>
        </w:rPr>
        <w:t xml:space="preserve">in the </w:t>
      </w:r>
      <w:r w:rsidRPr="002809FE">
        <w:rPr>
          <w:sz w:val="24"/>
          <w:szCs w:val="24"/>
        </w:rPr>
        <w:t xml:space="preserve">next </w:t>
      </w:r>
      <w:r>
        <w:rPr>
          <w:sz w:val="24"/>
          <w:szCs w:val="24"/>
        </w:rPr>
        <w:t>section</w:t>
      </w:r>
      <w:r w:rsidRPr="002809FE">
        <w:rPr>
          <w:sz w:val="24"/>
          <w:szCs w:val="24"/>
        </w:rPr>
        <w:t>.</w:t>
      </w:r>
      <w:r w:rsidR="009D62D2">
        <w:rPr>
          <w:sz w:val="24"/>
          <w:szCs w:val="24"/>
        </w:rPr>
        <w:br/>
      </w:r>
      <w:r w:rsidR="009D62D2">
        <w:rPr>
          <w:sz w:val="24"/>
          <w:szCs w:val="24"/>
        </w:rPr>
        <w:br/>
      </w:r>
      <w:r w:rsidRPr="00745BE4">
        <w:rPr>
          <w:b/>
          <w:sz w:val="28"/>
          <w:szCs w:val="24"/>
        </w:rPr>
        <w:t xml:space="preserve">3.1.3 </w:t>
      </w:r>
      <w:bookmarkStart w:id="23" w:name="_Hlk7440387"/>
      <w:r w:rsidRPr="00745BE4">
        <w:rPr>
          <w:b/>
          <w:sz w:val="28"/>
          <w:szCs w:val="24"/>
        </w:rPr>
        <w:t>Spiked Soil Sample Comparison</w:t>
      </w:r>
      <w:bookmarkEnd w:id="23"/>
    </w:p>
    <w:p w14:paraId="5BD051EE" w14:textId="053EAF18" w:rsidR="0043243B" w:rsidRDefault="00F37CA9" w:rsidP="0043243B">
      <w:pPr>
        <w:keepNext/>
        <w:spacing w:line="480" w:lineRule="auto"/>
        <w:ind w:firstLine="567"/>
      </w:pPr>
      <w:r>
        <w:rPr>
          <w:sz w:val="24"/>
          <w:szCs w:val="24"/>
        </w:rPr>
        <w:tab/>
        <w:t xml:space="preserve">After identifying the minimal radioactivity of the previous samples, the need for a comparison sample became apparent. For this, DSRL provided a spike of </w:t>
      </w:r>
      <w:r w:rsidRPr="009D62D2">
        <w:rPr>
          <w:sz w:val="24"/>
          <w:szCs w:val="24"/>
          <w:vertAlign w:val="superscript"/>
        </w:rPr>
        <w:t>240</w:t>
      </w:r>
      <w:r w:rsidR="009D62D2">
        <w:rPr>
          <w:sz w:val="24"/>
          <w:szCs w:val="24"/>
        </w:rPr>
        <w:t>Pu</w:t>
      </w:r>
      <w:r>
        <w:rPr>
          <w:sz w:val="24"/>
          <w:szCs w:val="24"/>
        </w:rPr>
        <w:t xml:space="preserve"> for the DSRLB2 sample which was split into two smaller samples. One sample remained unchanged, while one had a 45n</w:t>
      </w:r>
      <w:r w:rsidR="009D62D2">
        <w:rPr>
          <w:sz w:val="24"/>
          <w:szCs w:val="24"/>
        </w:rPr>
        <w:t>g</w:t>
      </w:r>
      <w:r>
        <w:rPr>
          <w:sz w:val="24"/>
          <w:szCs w:val="24"/>
        </w:rPr>
        <w:t xml:space="preserve"> spike of </w:t>
      </w:r>
      <w:r w:rsidR="009D62D2" w:rsidRPr="009D62D2">
        <w:rPr>
          <w:sz w:val="24"/>
          <w:szCs w:val="24"/>
          <w:vertAlign w:val="superscript"/>
        </w:rPr>
        <w:t>240</w:t>
      </w:r>
      <w:r w:rsidR="009D62D2">
        <w:rPr>
          <w:sz w:val="24"/>
          <w:szCs w:val="24"/>
        </w:rPr>
        <w:t xml:space="preserve">Pu </w:t>
      </w:r>
      <w:r>
        <w:rPr>
          <w:sz w:val="24"/>
          <w:szCs w:val="24"/>
        </w:rPr>
        <w:t xml:space="preserve">standard solution added, equivalent to 375.5 Bq for the entire sample, and by extension just over 1 Bq/g activity. The samples were measured following the same method as previous neutron measurements over six, four-hour increments which led to 24 hours total detection time. The 6 cumulative measurements allowed visualisation of the higher rate of neutron detection for the spiked sample than the unchanged sample. The results are </w:t>
      </w:r>
      <w:r w:rsidR="005805CA">
        <w:rPr>
          <w:sz w:val="24"/>
          <w:szCs w:val="24"/>
        </w:rPr>
        <w:t>given</w:t>
      </w:r>
      <w:r>
        <w:rPr>
          <w:sz w:val="24"/>
          <w:szCs w:val="24"/>
        </w:rPr>
        <w:t xml:space="preserve"> below, in </w:t>
      </w:r>
      <w:r w:rsidR="0043243B">
        <w:rPr>
          <w:sz w:val="24"/>
          <w:szCs w:val="24"/>
        </w:rPr>
        <w:fldChar w:fldCharType="begin"/>
      </w:r>
      <w:r w:rsidR="0043243B">
        <w:rPr>
          <w:sz w:val="24"/>
          <w:szCs w:val="24"/>
        </w:rPr>
        <w:instrText xml:space="preserve"> REF _Ref31283416 \h </w:instrText>
      </w:r>
      <w:r w:rsidR="0043243B">
        <w:rPr>
          <w:sz w:val="24"/>
          <w:szCs w:val="24"/>
        </w:rPr>
      </w:r>
      <w:r w:rsidR="0043243B">
        <w:rPr>
          <w:sz w:val="24"/>
          <w:szCs w:val="24"/>
        </w:rPr>
        <w:fldChar w:fldCharType="separate"/>
      </w:r>
      <w:r w:rsidR="00161FDC" w:rsidRPr="00C45EC1">
        <w:rPr>
          <w:sz w:val="20"/>
        </w:rPr>
        <w:t xml:space="preserve">Figure </w:t>
      </w:r>
      <w:r w:rsidR="00161FDC">
        <w:rPr>
          <w:noProof/>
          <w:sz w:val="20"/>
        </w:rPr>
        <w:t>21</w:t>
      </w:r>
      <w:r w:rsidR="0043243B">
        <w:rPr>
          <w:sz w:val="24"/>
          <w:szCs w:val="24"/>
        </w:rPr>
        <w:fldChar w:fldCharType="end"/>
      </w:r>
      <w:r>
        <w:rPr>
          <w:sz w:val="24"/>
          <w:szCs w:val="24"/>
        </w:rPr>
        <w:t>.</w:t>
      </w:r>
      <w:r w:rsidR="009D62D2">
        <w:rPr>
          <w:sz w:val="24"/>
          <w:szCs w:val="24"/>
        </w:rPr>
        <w:br/>
      </w:r>
      <w:r w:rsidR="009D62D2">
        <w:rPr>
          <w:sz w:val="24"/>
          <w:szCs w:val="24"/>
        </w:rPr>
        <w:lastRenderedPageBreak/>
        <w:br/>
      </w:r>
      <w:r>
        <w:rPr>
          <w:noProof/>
          <w:lang w:eastAsia="en-GB"/>
        </w:rPr>
        <w:drawing>
          <wp:inline distT="0" distB="0" distL="0" distR="0" wp14:anchorId="0483677B" wp14:editId="402580DF">
            <wp:extent cx="5731510" cy="3135630"/>
            <wp:effectExtent l="0" t="0" r="2540" b="7620"/>
            <wp:docPr id="25" name="Chart 25">
              <a:extLst xmlns:a="http://schemas.openxmlformats.org/drawingml/2006/main">
                <a:ext uri="{FF2B5EF4-FFF2-40B4-BE49-F238E27FC236}">
                  <a16:creationId xmlns:a16="http://schemas.microsoft.com/office/drawing/2014/main" id="{A6499008-BE49-4010-A9FC-9B3D21CB3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E3FF03" w14:textId="6D0211E8" w:rsidR="0043243B" w:rsidRPr="00C45EC1" w:rsidRDefault="0043243B" w:rsidP="00C45EC1">
      <w:pPr>
        <w:pStyle w:val="Caption"/>
        <w:jc w:val="center"/>
        <w:rPr>
          <w:sz w:val="20"/>
        </w:rPr>
      </w:pPr>
      <w:bookmarkStart w:id="24" w:name="_Ref31283416"/>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21</w:t>
      </w:r>
      <w:r w:rsidRPr="00C45EC1">
        <w:rPr>
          <w:sz w:val="20"/>
        </w:rPr>
        <w:fldChar w:fldCharType="end"/>
      </w:r>
      <w:bookmarkEnd w:id="24"/>
      <w:r w:rsidRPr="00C45EC1">
        <w:rPr>
          <w:sz w:val="20"/>
        </w:rPr>
        <w:t xml:space="preserve"> A graph to illustrate the difference in neutrons detected over time, in four-hour increments between a spiked and non-spiked soil sample. The blue points represent the spiked sample neutron counts, while the orange data show the sample without the spike. Each measurement was significantly different to one another, though the error bars are smaller than the data points at 1</w:t>
      </w:r>
      <w:r w:rsidRPr="00C45EC1">
        <w:rPr>
          <w:rFonts w:cstheme="minorHAnsi"/>
          <w:sz w:val="20"/>
        </w:rPr>
        <w:t>ơ</w:t>
      </w:r>
      <w:r w:rsidRPr="00C45EC1">
        <w:rPr>
          <w:sz w:val="20"/>
        </w:rPr>
        <w:t>. The count numbers were normalised per kilogram of soil.</w:t>
      </w:r>
    </w:p>
    <w:p w14:paraId="1DCD6F91" w14:textId="73D96941" w:rsidR="00F37CA9" w:rsidRDefault="00F37CA9" w:rsidP="00F37CA9">
      <w:pPr>
        <w:spacing w:line="480" w:lineRule="auto"/>
        <w:ind w:firstLine="567"/>
        <w:rPr>
          <w:sz w:val="24"/>
          <w:szCs w:val="24"/>
        </w:rPr>
      </w:pPr>
      <w:r>
        <w:rPr>
          <w:sz w:val="24"/>
          <w:szCs w:val="24"/>
        </w:rPr>
        <w:tab/>
        <w:t xml:space="preserve">As can be seen from </w:t>
      </w:r>
      <w:r w:rsidR="0043243B">
        <w:rPr>
          <w:sz w:val="24"/>
          <w:szCs w:val="24"/>
        </w:rPr>
        <w:fldChar w:fldCharType="begin"/>
      </w:r>
      <w:r w:rsidR="0043243B">
        <w:rPr>
          <w:sz w:val="24"/>
          <w:szCs w:val="24"/>
        </w:rPr>
        <w:instrText xml:space="preserve"> REF _Ref31283416 \h </w:instrText>
      </w:r>
      <w:r w:rsidR="0043243B">
        <w:rPr>
          <w:sz w:val="24"/>
          <w:szCs w:val="24"/>
        </w:rPr>
      </w:r>
      <w:r w:rsidR="0043243B">
        <w:rPr>
          <w:sz w:val="24"/>
          <w:szCs w:val="24"/>
        </w:rPr>
        <w:fldChar w:fldCharType="separate"/>
      </w:r>
      <w:r w:rsidR="00161FDC" w:rsidRPr="00C45EC1">
        <w:rPr>
          <w:sz w:val="20"/>
        </w:rPr>
        <w:t xml:space="preserve">Figure </w:t>
      </w:r>
      <w:r w:rsidR="00161FDC">
        <w:rPr>
          <w:noProof/>
          <w:sz w:val="20"/>
        </w:rPr>
        <w:t>21</w:t>
      </w:r>
      <w:r w:rsidR="0043243B">
        <w:rPr>
          <w:sz w:val="24"/>
          <w:szCs w:val="24"/>
        </w:rPr>
        <w:fldChar w:fldCharType="end"/>
      </w:r>
      <w:r>
        <w:rPr>
          <w:sz w:val="24"/>
          <w:szCs w:val="24"/>
        </w:rPr>
        <w:t>, there is a clear increased rate of neutron detection over the entire 24-hour period for the spiked sample. Each spiked measurement is significantly higher in neutron count than the unchanged sample, showing a clear difference in neutrons detected between the two.</w:t>
      </w:r>
    </w:p>
    <w:p w14:paraId="2D99CB0C" w14:textId="77777777" w:rsidR="00891B4C" w:rsidRDefault="00F37CA9" w:rsidP="00891B4C">
      <w:pPr>
        <w:ind w:firstLine="567"/>
        <w:rPr>
          <w:sz w:val="24"/>
          <w:szCs w:val="24"/>
        </w:rPr>
      </w:pPr>
      <w:r>
        <w:rPr>
          <w:sz w:val="24"/>
          <w:szCs w:val="24"/>
        </w:rPr>
        <w:br w:type="page"/>
      </w:r>
    </w:p>
    <w:p w14:paraId="751C475B" w14:textId="15F2D1FF" w:rsidR="00F37CA9" w:rsidRPr="00745BE4" w:rsidRDefault="00F37CA9" w:rsidP="00947F9A">
      <w:pPr>
        <w:spacing w:line="480" w:lineRule="auto"/>
        <w:rPr>
          <w:b/>
          <w:sz w:val="28"/>
          <w:szCs w:val="24"/>
        </w:rPr>
      </w:pPr>
      <w:r w:rsidRPr="00745BE4">
        <w:rPr>
          <w:b/>
          <w:sz w:val="28"/>
          <w:szCs w:val="24"/>
        </w:rPr>
        <w:lastRenderedPageBreak/>
        <w:t>3.2 Gamma Spectra Results</w:t>
      </w:r>
    </w:p>
    <w:p w14:paraId="58EA5815" w14:textId="7B5712DA" w:rsidR="00F37CA9" w:rsidRPr="002809FE" w:rsidRDefault="00F37CA9" w:rsidP="00F37CA9">
      <w:pPr>
        <w:spacing w:line="480" w:lineRule="auto"/>
        <w:ind w:firstLine="567"/>
        <w:rPr>
          <w:sz w:val="24"/>
          <w:szCs w:val="24"/>
        </w:rPr>
      </w:pPr>
      <w:r w:rsidRPr="002809FE">
        <w:rPr>
          <w:sz w:val="24"/>
          <w:szCs w:val="24"/>
        </w:rPr>
        <w:t>The following results</w:t>
      </w:r>
      <w:r>
        <w:rPr>
          <w:sz w:val="24"/>
          <w:szCs w:val="24"/>
        </w:rPr>
        <w:t xml:space="preserve"> were</w:t>
      </w:r>
      <w:r w:rsidRPr="002809FE">
        <w:rPr>
          <w:sz w:val="24"/>
          <w:szCs w:val="24"/>
        </w:rPr>
        <w:t xml:space="preserve"> gained from High Purity Germanium detection of the project samples at CCFE, as described in the </w:t>
      </w:r>
      <w:r>
        <w:rPr>
          <w:sz w:val="24"/>
          <w:szCs w:val="24"/>
        </w:rPr>
        <w:t>Experimental M</w:t>
      </w:r>
      <w:r w:rsidRPr="002809FE">
        <w:rPr>
          <w:sz w:val="24"/>
          <w:szCs w:val="24"/>
        </w:rPr>
        <w:t xml:space="preserve">ethods </w:t>
      </w:r>
      <w:r>
        <w:rPr>
          <w:sz w:val="24"/>
          <w:szCs w:val="24"/>
        </w:rPr>
        <w:t>chapter</w:t>
      </w:r>
      <w:r w:rsidRPr="002809FE">
        <w:rPr>
          <w:sz w:val="24"/>
          <w:szCs w:val="24"/>
        </w:rPr>
        <w:t>.</w:t>
      </w:r>
      <w:r w:rsidRPr="002809FE">
        <w:rPr>
          <w:sz w:val="24"/>
          <w:szCs w:val="24"/>
        </w:rPr>
        <w:br/>
      </w:r>
      <w:r>
        <w:rPr>
          <w:sz w:val="24"/>
          <w:szCs w:val="24"/>
        </w:rPr>
        <w:t>E</w:t>
      </w:r>
      <w:r w:rsidRPr="002809FE">
        <w:rPr>
          <w:sz w:val="24"/>
          <w:szCs w:val="24"/>
        </w:rPr>
        <w:t>xample spectra from the measurements</w:t>
      </w:r>
      <w:r>
        <w:rPr>
          <w:sz w:val="24"/>
          <w:szCs w:val="24"/>
        </w:rPr>
        <w:t xml:space="preserve"> are displayed in </w:t>
      </w:r>
      <w:r w:rsidR="0043243B">
        <w:rPr>
          <w:sz w:val="24"/>
          <w:szCs w:val="24"/>
        </w:rPr>
        <w:fldChar w:fldCharType="begin"/>
      </w:r>
      <w:r w:rsidR="0043243B">
        <w:rPr>
          <w:sz w:val="24"/>
          <w:szCs w:val="24"/>
        </w:rPr>
        <w:instrText xml:space="preserve"> REF _Ref31283524 \h </w:instrText>
      </w:r>
      <w:r w:rsidR="0043243B">
        <w:rPr>
          <w:sz w:val="24"/>
          <w:szCs w:val="24"/>
        </w:rPr>
      </w:r>
      <w:r w:rsidR="0043243B">
        <w:rPr>
          <w:sz w:val="24"/>
          <w:szCs w:val="24"/>
        </w:rPr>
        <w:fldChar w:fldCharType="separate"/>
      </w:r>
      <w:r w:rsidR="00161FDC" w:rsidRPr="00C45EC1">
        <w:rPr>
          <w:sz w:val="20"/>
        </w:rPr>
        <w:t xml:space="preserve">Figure </w:t>
      </w:r>
      <w:r w:rsidR="00161FDC">
        <w:rPr>
          <w:noProof/>
          <w:sz w:val="20"/>
        </w:rPr>
        <w:t>22</w:t>
      </w:r>
      <w:r w:rsidR="0043243B">
        <w:rPr>
          <w:sz w:val="24"/>
          <w:szCs w:val="24"/>
        </w:rPr>
        <w:fldChar w:fldCharType="end"/>
      </w:r>
      <w:r>
        <w:rPr>
          <w:sz w:val="24"/>
          <w:szCs w:val="24"/>
        </w:rPr>
        <w:t xml:space="preserve"> to </w:t>
      </w:r>
      <w:r w:rsidR="0043243B">
        <w:rPr>
          <w:sz w:val="24"/>
          <w:szCs w:val="24"/>
        </w:rPr>
        <w:fldChar w:fldCharType="begin"/>
      </w:r>
      <w:r w:rsidR="0043243B">
        <w:rPr>
          <w:sz w:val="24"/>
          <w:szCs w:val="24"/>
        </w:rPr>
        <w:instrText xml:space="preserve"> REF _Ref31283669 \h </w:instrText>
      </w:r>
      <w:r w:rsidR="0043243B">
        <w:rPr>
          <w:sz w:val="24"/>
          <w:szCs w:val="24"/>
        </w:rPr>
      </w:r>
      <w:r w:rsidR="0043243B">
        <w:rPr>
          <w:sz w:val="24"/>
          <w:szCs w:val="24"/>
        </w:rPr>
        <w:fldChar w:fldCharType="separate"/>
      </w:r>
      <w:r w:rsidR="00161FDC" w:rsidRPr="00C45EC1">
        <w:rPr>
          <w:sz w:val="20"/>
        </w:rPr>
        <w:t xml:space="preserve">Figure </w:t>
      </w:r>
      <w:r w:rsidR="00161FDC">
        <w:rPr>
          <w:noProof/>
          <w:sz w:val="20"/>
        </w:rPr>
        <w:t>24</w:t>
      </w:r>
      <w:r w:rsidR="0043243B">
        <w:rPr>
          <w:sz w:val="24"/>
          <w:szCs w:val="24"/>
        </w:rPr>
        <w:fldChar w:fldCharType="end"/>
      </w:r>
      <w:r w:rsidRPr="002809FE">
        <w:rPr>
          <w:sz w:val="24"/>
          <w:szCs w:val="24"/>
        </w:rPr>
        <w:t>, highlighting areas and peaks of interest</w:t>
      </w:r>
      <w:r w:rsidR="009D62D2">
        <w:rPr>
          <w:sz w:val="24"/>
          <w:szCs w:val="24"/>
        </w:rPr>
        <w:t xml:space="preserve"> in DSRL1 and DSRL2</w:t>
      </w:r>
      <w:r w:rsidRPr="002809FE">
        <w:rPr>
          <w:sz w:val="24"/>
          <w:szCs w:val="24"/>
        </w:rPr>
        <w:t xml:space="preserve">. The results following </w:t>
      </w:r>
      <w:r>
        <w:rPr>
          <w:sz w:val="24"/>
          <w:szCs w:val="24"/>
        </w:rPr>
        <w:t>spectra</w:t>
      </w:r>
      <w:r w:rsidR="005805CA">
        <w:rPr>
          <w:sz w:val="24"/>
          <w:szCs w:val="24"/>
        </w:rPr>
        <w:t>l</w:t>
      </w:r>
      <w:r>
        <w:rPr>
          <w:sz w:val="24"/>
          <w:szCs w:val="24"/>
        </w:rPr>
        <w:t xml:space="preserve"> analysis</w:t>
      </w:r>
      <w:r w:rsidRPr="002809FE">
        <w:rPr>
          <w:sz w:val="24"/>
          <w:szCs w:val="24"/>
        </w:rPr>
        <w:t xml:space="preserve"> are </w:t>
      </w:r>
      <w:r>
        <w:rPr>
          <w:sz w:val="24"/>
          <w:szCs w:val="24"/>
        </w:rPr>
        <w:t xml:space="preserve">also </w:t>
      </w:r>
      <w:r w:rsidRPr="002809FE">
        <w:rPr>
          <w:sz w:val="24"/>
          <w:szCs w:val="24"/>
        </w:rPr>
        <w:t xml:space="preserve">displayed, </w:t>
      </w:r>
      <w:r>
        <w:rPr>
          <w:sz w:val="24"/>
          <w:szCs w:val="24"/>
        </w:rPr>
        <w:t xml:space="preserve">including </w:t>
      </w:r>
      <w:r w:rsidRPr="002809FE">
        <w:rPr>
          <w:sz w:val="24"/>
          <w:szCs w:val="24"/>
        </w:rPr>
        <w:t>transformation of the counts to absolute mass concentrations</w:t>
      </w:r>
      <w:r>
        <w:rPr>
          <w:sz w:val="24"/>
          <w:szCs w:val="24"/>
        </w:rPr>
        <w:t>,</w:t>
      </w:r>
      <w:r w:rsidRPr="002809FE">
        <w:rPr>
          <w:sz w:val="24"/>
          <w:szCs w:val="24"/>
        </w:rPr>
        <w:t xml:space="preserve"> and use of the Bateman equation to estimate the mass per gram of </w:t>
      </w:r>
      <w:r w:rsidRPr="009D62D2">
        <w:rPr>
          <w:sz w:val="24"/>
          <w:szCs w:val="24"/>
          <w:vertAlign w:val="superscript"/>
        </w:rPr>
        <w:t>241</w:t>
      </w:r>
      <w:r w:rsidR="009D62D2">
        <w:rPr>
          <w:sz w:val="24"/>
          <w:szCs w:val="24"/>
        </w:rPr>
        <w:t>Pu</w:t>
      </w:r>
      <w:r w:rsidRPr="002809FE">
        <w:rPr>
          <w:sz w:val="24"/>
          <w:szCs w:val="24"/>
        </w:rPr>
        <w:t xml:space="preserve"> using estimates of the mass of </w:t>
      </w:r>
      <w:r w:rsidRPr="009D62D2">
        <w:rPr>
          <w:sz w:val="24"/>
          <w:szCs w:val="24"/>
          <w:vertAlign w:val="superscript"/>
        </w:rPr>
        <w:t>241</w:t>
      </w:r>
      <w:r w:rsidR="009D62D2">
        <w:rPr>
          <w:sz w:val="24"/>
          <w:szCs w:val="24"/>
        </w:rPr>
        <w:t>Am</w:t>
      </w:r>
      <w:r>
        <w:rPr>
          <w:sz w:val="24"/>
          <w:szCs w:val="24"/>
        </w:rPr>
        <w:t xml:space="preserve"> derived from </w:t>
      </w:r>
      <w:r w:rsidR="005805CA">
        <w:rPr>
          <w:sz w:val="24"/>
          <w:szCs w:val="24"/>
        </w:rPr>
        <w:t>these</w:t>
      </w:r>
      <w:r>
        <w:rPr>
          <w:sz w:val="24"/>
          <w:szCs w:val="24"/>
        </w:rPr>
        <w:t xml:space="preserve"> data.</w:t>
      </w:r>
    </w:p>
    <w:p w14:paraId="3141F85E" w14:textId="443CCF79" w:rsidR="00F37CA9" w:rsidRPr="002809FE" w:rsidRDefault="00F37CA9" w:rsidP="00F37CA9">
      <w:pPr>
        <w:spacing w:line="480" w:lineRule="auto"/>
        <w:ind w:firstLine="567"/>
        <w:rPr>
          <w:sz w:val="24"/>
          <w:szCs w:val="24"/>
        </w:rPr>
      </w:pPr>
      <w:r w:rsidRPr="002809FE">
        <w:rPr>
          <w:sz w:val="24"/>
          <w:szCs w:val="24"/>
        </w:rPr>
        <w:t xml:space="preserve">The gamma spectra show clear evidence of </w:t>
      </w:r>
      <w:r w:rsidR="009D62D2" w:rsidRPr="009D62D2">
        <w:rPr>
          <w:sz w:val="24"/>
          <w:szCs w:val="24"/>
          <w:vertAlign w:val="superscript"/>
        </w:rPr>
        <w:t>241</w:t>
      </w:r>
      <w:r w:rsidR="009D62D2">
        <w:rPr>
          <w:sz w:val="24"/>
          <w:szCs w:val="24"/>
        </w:rPr>
        <w:t>Am</w:t>
      </w:r>
      <w:r w:rsidR="009D62D2" w:rsidRPr="002809FE">
        <w:rPr>
          <w:sz w:val="24"/>
          <w:szCs w:val="24"/>
        </w:rPr>
        <w:t xml:space="preserve"> </w:t>
      </w:r>
      <w:r w:rsidR="009D62D2">
        <w:rPr>
          <w:sz w:val="24"/>
          <w:szCs w:val="24"/>
        </w:rPr>
        <w:t>in most samples</w:t>
      </w:r>
      <w:r w:rsidRPr="002809FE">
        <w:rPr>
          <w:sz w:val="24"/>
          <w:szCs w:val="24"/>
        </w:rPr>
        <w:t xml:space="preserve">, </w:t>
      </w:r>
      <w:r w:rsidR="005805CA">
        <w:rPr>
          <w:sz w:val="24"/>
          <w:szCs w:val="24"/>
        </w:rPr>
        <w:t>evidenced</w:t>
      </w:r>
      <w:r w:rsidRPr="002809FE">
        <w:rPr>
          <w:sz w:val="24"/>
          <w:szCs w:val="24"/>
        </w:rPr>
        <w:t xml:space="preserve"> by the </w:t>
      </w:r>
      <w:r w:rsidR="009D62D2">
        <w:rPr>
          <w:sz w:val="24"/>
          <w:szCs w:val="24"/>
        </w:rPr>
        <w:t>59.5</w:t>
      </w:r>
      <w:r>
        <w:rPr>
          <w:sz w:val="24"/>
          <w:szCs w:val="24"/>
        </w:rPr>
        <w:t xml:space="preserve"> </w:t>
      </w:r>
      <w:r w:rsidRPr="002809FE">
        <w:rPr>
          <w:sz w:val="24"/>
          <w:szCs w:val="24"/>
        </w:rPr>
        <w:t>keV peak. Those samples where there w</w:t>
      </w:r>
      <w:r>
        <w:rPr>
          <w:sz w:val="24"/>
          <w:szCs w:val="24"/>
        </w:rPr>
        <w:t>as</w:t>
      </w:r>
      <w:r w:rsidRPr="002809FE">
        <w:rPr>
          <w:sz w:val="24"/>
          <w:szCs w:val="24"/>
        </w:rPr>
        <w:t xml:space="preserve"> no clear</w:t>
      </w:r>
      <w:r>
        <w:rPr>
          <w:sz w:val="24"/>
          <w:szCs w:val="24"/>
        </w:rPr>
        <w:t xml:space="preserve"> isotope</w:t>
      </w:r>
      <w:r w:rsidRPr="002809FE">
        <w:rPr>
          <w:sz w:val="24"/>
          <w:szCs w:val="24"/>
        </w:rPr>
        <w:t xml:space="preserve"> peak were processed in the same way</w:t>
      </w:r>
      <w:r>
        <w:rPr>
          <w:sz w:val="24"/>
          <w:szCs w:val="24"/>
        </w:rPr>
        <w:t>,</w:t>
      </w:r>
      <w:r w:rsidRPr="002809FE">
        <w:rPr>
          <w:sz w:val="24"/>
          <w:szCs w:val="24"/>
        </w:rPr>
        <w:t xml:space="preserve"> and so</w:t>
      </w:r>
      <w:r w:rsidR="005805CA">
        <w:rPr>
          <w:sz w:val="24"/>
          <w:szCs w:val="24"/>
        </w:rPr>
        <w:t xml:space="preserve"> it</w:t>
      </w:r>
      <w:r w:rsidRPr="002809FE">
        <w:rPr>
          <w:sz w:val="24"/>
          <w:szCs w:val="24"/>
        </w:rPr>
        <w:t xml:space="preserve"> must be remembered when considering the results, as while there was no discernible peak in some spectra, there may still be high counts </w:t>
      </w:r>
      <w:r>
        <w:rPr>
          <w:sz w:val="24"/>
          <w:szCs w:val="24"/>
        </w:rPr>
        <w:t>in</w:t>
      </w:r>
      <w:r w:rsidRPr="002809FE">
        <w:rPr>
          <w:sz w:val="24"/>
          <w:szCs w:val="24"/>
        </w:rPr>
        <w:t xml:space="preserve"> the same energy range due to higher background emission</w:t>
      </w:r>
      <w:r>
        <w:rPr>
          <w:sz w:val="24"/>
          <w:szCs w:val="24"/>
        </w:rPr>
        <w:t>s</w:t>
      </w:r>
      <w:r w:rsidRPr="002809FE">
        <w:rPr>
          <w:sz w:val="24"/>
          <w:szCs w:val="24"/>
        </w:rPr>
        <w:t xml:space="preserve"> within the sample.</w:t>
      </w:r>
    </w:p>
    <w:p w14:paraId="4AE206B7" w14:textId="20D6AE32" w:rsidR="00F37CA9" w:rsidRDefault="009D62D2" w:rsidP="00F37CA9">
      <w:pPr>
        <w:spacing w:line="480" w:lineRule="auto"/>
        <w:ind w:firstLine="567"/>
        <w:rPr>
          <w:sz w:val="24"/>
          <w:szCs w:val="24"/>
        </w:rPr>
        <w:sectPr w:rsidR="00F37CA9" w:rsidSect="00F37CA9">
          <w:headerReference w:type="default" r:id="rId34"/>
          <w:footerReference w:type="default" r:id="rId35"/>
          <w:pgSz w:w="11906" w:h="16838"/>
          <w:pgMar w:top="1440" w:right="1440" w:bottom="1440" w:left="1440" w:header="708" w:footer="708" w:gutter="0"/>
          <w:cols w:space="708"/>
          <w:docGrid w:linePitch="360"/>
        </w:sectPr>
      </w:pPr>
      <w:r>
        <w:rPr>
          <w:sz w:val="24"/>
          <w:szCs w:val="24"/>
        </w:rPr>
        <w:br/>
      </w:r>
    </w:p>
    <w:p w14:paraId="76087959" w14:textId="77777777" w:rsidR="0043243B" w:rsidRDefault="00FD4AA2" w:rsidP="0043243B">
      <w:pPr>
        <w:keepNext/>
        <w:spacing w:line="480" w:lineRule="auto"/>
        <w:ind w:firstLine="567"/>
      </w:pPr>
      <w:r>
        <w:rPr>
          <w:noProof/>
          <w:sz w:val="24"/>
          <w:szCs w:val="24"/>
          <w:lang w:eastAsia="en-GB"/>
        </w:rPr>
        <w:lastRenderedPageBreak/>
        <mc:AlternateContent>
          <mc:Choice Requires="wps">
            <w:drawing>
              <wp:anchor distT="0" distB="0" distL="114300" distR="114300" simplePos="0" relativeHeight="251658273" behindDoc="0" locked="0" layoutInCell="1" allowOverlap="1" wp14:anchorId="0819E638" wp14:editId="631F8C8A">
                <wp:simplePos x="0" y="0"/>
                <wp:positionH relativeFrom="margin">
                  <wp:posOffset>100014</wp:posOffset>
                </wp:positionH>
                <wp:positionV relativeFrom="paragraph">
                  <wp:posOffset>1566227</wp:posOffset>
                </wp:positionV>
                <wp:extent cx="619123" cy="286388"/>
                <wp:effectExtent l="0" t="5398" r="4763" b="4762"/>
                <wp:wrapNone/>
                <wp:docPr id="320" name="Text Box 320"/>
                <wp:cNvGraphicFramePr/>
                <a:graphic xmlns:a="http://schemas.openxmlformats.org/drawingml/2006/main">
                  <a:graphicData uri="http://schemas.microsoft.com/office/word/2010/wordprocessingShape">
                    <wps:wsp>
                      <wps:cNvSpPr txBox="1"/>
                      <wps:spPr>
                        <a:xfrm rot="16200000">
                          <a:off x="0" y="0"/>
                          <a:ext cx="619123" cy="286388"/>
                        </a:xfrm>
                        <a:prstGeom prst="rect">
                          <a:avLst/>
                        </a:prstGeom>
                        <a:solidFill>
                          <a:srgbClr val="A3A3A3"/>
                        </a:solidFill>
                        <a:ln w="6350">
                          <a:noFill/>
                        </a:ln>
                      </wps:spPr>
                      <wps:txbx>
                        <w:txbxContent>
                          <w:p w14:paraId="1C06AC29" w14:textId="7B277F1E" w:rsidR="006F1462" w:rsidRPr="00FD4AA2" w:rsidRDefault="006F1462" w:rsidP="00FD4AA2">
                            <w:r>
                              <w:t>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9E638" id="Text Box 320" o:spid="_x0000_s1027" type="#_x0000_t202" style="position:absolute;left:0;text-align:left;margin-left:7.9pt;margin-top:123.3pt;width:48.75pt;height:22.55pt;rotation:-90;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" fillcolor="#a3a3a3" stroked="f" strokeweight=".5pt">
                <v:textbox>
                  <w:txbxContent>
                    <w:p w14:paraId="1C06AC29" w14:textId="7B277F1E" w:rsidR="006F1462" w:rsidRPr="00FD4AA2" w:rsidRDefault="006F1462" w:rsidP="00FD4AA2">
                      <w:r>
                        <w:t>Counts</w:t>
                      </w: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58272" behindDoc="0" locked="0" layoutInCell="1" allowOverlap="1" wp14:anchorId="2D4AE55C" wp14:editId="1D495F8F">
                <wp:simplePos x="0" y="0"/>
                <wp:positionH relativeFrom="column">
                  <wp:posOffset>4410075</wp:posOffset>
                </wp:positionH>
                <wp:positionV relativeFrom="paragraph">
                  <wp:posOffset>4543425</wp:posOffset>
                </wp:positionV>
                <wp:extent cx="962025" cy="276225"/>
                <wp:effectExtent l="0" t="0" r="9525" b="9525"/>
                <wp:wrapNone/>
                <wp:docPr id="314" name="Text Box 314"/>
                <wp:cNvGraphicFramePr/>
                <a:graphic xmlns:a="http://schemas.openxmlformats.org/drawingml/2006/main">
                  <a:graphicData uri="http://schemas.microsoft.com/office/word/2010/wordprocessingShape">
                    <wps:wsp>
                      <wps:cNvSpPr txBox="1"/>
                      <wps:spPr>
                        <a:xfrm>
                          <a:off x="0" y="0"/>
                          <a:ext cx="962025" cy="276225"/>
                        </a:xfrm>
                        <a:prstGeom prst="rect">
                          <a:avLst/>
                        </a:prstGeom>
                        <a:solidFill>
                          <a:srgbClr val="A3A3A3"/>
                        </a:solidFill>
                        <a:ln w="6350">
                          <a:noFill/>
                        </a:ln>
                      </wps:spPr>
                      <wps:txbx>
                        <w:txbxContent>
                          <w:p w14:paraId="59A10999" w14:textId="686A6E22" w:rsidR="006F1462" w:rsidRDefault="006F1462">
                            <w:r>
                              <w:t>Energy (keV)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E55C" id="Text Box 314" o:spid="_x0000_s1028" type="#_x0000_t202" style="position:absolute;left:0;text-align:left;margin-left:347.25pt;margin-top:357.75pt;width:75.75pt;height:21.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" fillcolor="#a3a3a3" stroked="f" strokeweight=".5pt">
                <v:textbox>
                  <w:txbxContent>
                    <w:p w14:paraId="59A10999" w14:textId="686A6E22" w:rsidR="006F1462" w:rsidRDefault="006F1462">
                      <w:r>
                        <w:t>Energy (keV)</w:t>
                      </w:r>
                    </w:p>
                  </w:txbxContent>
                </v:textbox>
              </v:shape>
            </w:pict>
          </mc:Fallback>
        </mc:AlternateContent>
      </w:r>
      <w:r w:rsidR="003707CC" w:rsidRPr="003707CC">
        <w:rPr>
          <w:noProof/>
          <w:sz w:val="24"/>
          <w:szCs w:val="24"/>
          <w:lang w:eastAsia="en-GB"/>
        </w:rPr>
        <mc:AlternateContent>
          <mc:Choice Requires="wps">
            <w:drawing>
              <wp:anchor distT="45720" distB="45720" distL="114300" distR="114300" simplePos="0" relativeHeight="251658241" behindDoc="0" locked="0" layoutInCell="1" allowOverlap="1" wp14:anchorId="352A2D4E" wp14:editId="153F7E42">
                <wp:simplePos x="0" y="0"/>
                <wp:positionH relativeFrom="leftMargin">
                  <wp:align>right</wp:align>
                </wp:positionH>
                <wp:positionV relativeFrom="paragraph">
                  <wp:posOffset>2714413</wp:posOffset>
                </wp:positionV>
                <wp:extent cx="379095" cy="296545"/>
                <wp:effectExtent l="3175" t="0" r="508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79095" cy="296545"/>
                        </a:xfrm>
                        <a:prstGeom prst="rect">
                          <a:avLst/>
                        </a:prstGeom>
                        <a:solidFill>
                          <a:srgbClr val="FFFFFF"/>
                        </a:solidFill>
                        <a:ln w="9525">
                          <a:noFill/>
                          <a:miter lim="800000"/>
                          <a:headEnd/>
                          <a:tailEnd/>
                        </a:ln>
                      </wps:spPr>
                      <wps:txbx>
                        <w:txbxContent>
                          <w:p w14:paraId="4C1F1234" w14:textId="62950E83" w:rsidR="006F1462" w:rsidRPr="003707CC" w:rsidRDefault="00AE7E8B">
                            <w:r w:rsidRPr="003707CC">
                              <w:t>6</w:t>
                            </w:r>
                            <w:r w:rsidR="0058789A">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A2D4E" id="_x0000_s1029" type="#_x0000_t202" style="position:absolute;left:0;text-align:left;margin-left:-21.35pt;margin-top:213.75pt;width:29.85pt;height:23.35pt;rotation:90;z-index:251658241;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" stroked="f">
                <v:textbox>
                  <w:txbxContent>
                    <w:p w14:paraId="4C1F1234" w14:textId="62950E83" w:rsidR="006F1462" w:rsidRPr="003707CC" w:rsidRDefault="00AE7E8B">
                      <w:r w:rsidRPr="003707CC">
                        <w:t>6</w:t>
                      </w:r>
                      <w:r w:rsidR="0058789A">
                        <w:t>9</w:t>
                      </w:r>
                    </w:p>
                  </w:txbxContent>
                </v:textbox>
                <w10:wrap anchorx="margin"/>
              </v:shape>
            </w:pict>
          </mc:Fallback>
        </mc:AlternateContent>
      </w:r>
      <w:r w:rsidR="00F37CA9">
        <w:rPr>
          <w:noProof/>
          <w:lang w:eastAsia="en-GB"/>
        </w:rPr>
        <w:drawing>
          <wp:inline distT="0" distB="0" distL="0" distR="0" wp14:anchorId="79CDC4C6" wp14:editId="6602D0FF">
            <wp:extent cx="8772525" cy="4819650"/>
            <wp:effectExtent l="0" t="0" r="9525" b="0"/>
            <wp:docPr id="230" name="Picture 230" descr="C:\Users\Christopher\AppData\Local\Microsoft\Windows\Temporary Internet Files\Content.MSO\C2A34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pher\AppData\Local\Microsoft\Windows\Temporary Internet Files\Content.MSO\C2A34A85.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72525" cy="4819650"/>
                    </a:xfrm>
                    <a:prstGeom prst="rect">
                      <a:avLst/>
                    </a:prstGeom>
                    <a:noFill/>
                    <a:ln>
                      <a:noFill/>
                    </a:ln>
                  </pic:spPr>
                </pic:pic>
              </a:graphicData>
            </a:graphic>
          </wp:inline>
        </w:drawing>
      </w:r>
    </w:p>
    <w:p w14:paraId="3E2438A7" w14:textId="69BF20D0" w:rsidR="0043243B" w:rsidRPr="00C45EC1" w:rsidRDefault="0043243B" w:rsidP="00C45EC1">
      <w:pPr>
        <w:pStyle w:val="Caption"/>
        <w:jc w:val="center"/>
        <w:rPr>
          <w:sz w:val="20"/>
        </w:rPr>
      </w:pPr>
      <w:bookmarkStart w:id="25" w:name="_Ref31283524"/>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22</w:t>
      </w:r>
      <w:r w:rsidRPr="00C45EC1">
        <w:rPr>
          <w:sz w:val="20"/>
        </w:rPr>
        <w:fldChar w:fldCharType="end"/>
      </w:r>
      <w:bookmarkEnd w:id="25"/>
      <w:r w:rsidRPr="00C45EC1">
        <w:rPr>
          <w:sz w:val="20"/>
        </w:rPr>
        <w:t xml:space="preserve"> An example spectrum for DSRL1. The spectrum demonstrates the largest peaks are mainly due to the uranium decay chain isotopes of elements such as bismuth and lead, along with caesium-137 and potassium-40. The spectra shown is corrected for efficiency within LabSOCS.</w:t>
      </w:r>
    </w:p>
    <w:p w14:paraId="5C2868C7" w14:textId="6D415C51" w:rsidR="00F37CA9" w:rsidRDefault="00F37CA9" w:rsidP="00F37CA9">
      <w:pPr>
        <w:spacing w:line="480" w:lineRule="auto"/>
        <w:ind w:firstLine="567"/>
        <w:rPr>
          <w:sz w:val="24"/>
          <w:szCs w:val="24"/>
        </w:rPr>
        <w:sectPr w:rsidR="00F37CA9" w:rsidSect="00497DCB">
          <w:headerReference w:type="default" r:id="rId37"/>
          <w:footerReference w:type="default" r:id="rId38"/>
          <w:pgSz w:w="16838" w:h="11906" w:orient="landscape"/>
          <w:pgMar w:top="1440" w:right="1440" w:bottom="1440" w:left="1440" w:header="708" w:footer="708" w:gutter="0"/>
          <w:cols w:space="708"/>
          <w:docGrid w:linePitch="360"/>
        </w:sectPr>
      </w:pPr>
    </w:p>
    <w:p w14:paraId="48529D4C" w14:textId="30D14E5E" w:rsidR="009D62D2" w:rsidRDefault="004A1482" w:rsidP="00F37CA9">
      <w:pPr>
        <w:spacing w:line="480" w:lineRule="auto"/>
        <w:ind w:firstLine="567"/>
        <w:rPr>
          <w:sz w:val="24"/>
          <w:szCs w:val="24"/>
        </w:rPr>
      </w:pPr>
      <w:r>
        <w:rPr>
          <w:noProof/>
          <w:sz w:val="24"/>
          <w:szCs w:val="24"/>
          <w:lang w:eastAsia="en-GB"/>
        </w:rPr>
        <w:lastRenderedPageBreak/>
        <mc:AlternateContent>
          <mc:Choice Requires="wps">
            <w:drawing>
              <wp:anchor distT="0" distB="0" distL="114300" distR="114300" simplePos="0" relativeHeight="251658285" behindDoc="0" locked="0" layoutInCell="1" allowOverlap="1" wp14:anchorId="387310F7" wp14:editId="7FBDF3F3">
                <wp:simplePos x="0" y="0"/>
                <wp:positionH relativeFrom="margin">
                  <wp:align>center</wp:align>
                </wp:positionH>
                <wp:positionV relativeFrom="page">
                  <wp:posOffset>3744568</wp:posOffset>
                </wp:positionV>
                <wp:extent cx="857250" cy="262255"/>
                <wp:effectExtent l="0" t="0" r="0" b="4445"/>
                <wp:wrapNone/>
                <wp:docPr id="321" name="Text Box 321"/>
                <wp:cNvGraphicFramePr/>
                <a:graphic xmlns:a="http://schemas.openxmlformats.org/drawingml/2006/main">
                  <a:graphicData uri="http://schemas.microsoft.com/office/word/2010/wordprocessingShape">
                    <wps:wsp>
                      <wps:cNvSpPr txBox="1"/>
                      <wps:spPr>
                        <a:xfrm>
                          <a:off x="0" y="0"/>
                          <a:ext cx="857250" cy="262255"/>
                        </a:xfrm>
                        <a:prstGeom prst="rect">
                          <a:avLst/>
                        </a:prstGeom>
                        <a:noFill/>
                        <a:ln w="6350">
                          <a:noFill/>
                        </a:ln>
                      </wps:spPr>
                      <wps:txbx>
                        <w:txbxContent>
                          <w:p w14:paraId="407A42B2" w14:textId="77777777" w:rsidR="006F1462" w:rsidRPr="001B79B5" w:rsidRDefault="006F1462" w:rsidP="005950DD">
                            <w:pPr>
                              <w:rPr>
                                <w:sz w:val="20"/>
                                <w:szCs w:val="20"/>
                              </w:rPr>
                            </w:pPr>
                            <w:r w:rsidRPr="001B79B5">
                              <w:rPr>
                                <w:sz w:val="20"/>
                                <w:szCs w:val="20"/>
                              </w:rPr>
                              <w:t>Energy (keV)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310F7" id="Text Box 321" o:spid="_x0000_s1030" type="#_x0000_t202" style="position:absolute;left:0;text-align:left;margin-left:0;margin-top:294.85pt;width:67.5pt;height:20.65pt;z-index:25165828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" filled="f" stroked="f" strokeweight=".5pt">
                <v:textbox>
                  <w:txbxContent>
                    <w:p w14:paraId="407A42B2" w14:textId="77777777" w:rsidR="006F1462" w:rsidRPr="001B79B5" w:rsidRDefault="006F1462" w:rsidP="005950DD">
                      <w:pPr>
                        <w:rPr>
                          <w:sz w:val="20"/>
                          <w:szCs w:val="20"/>
                        </w:rPr>
                      </w:pPr>
                      <w:r w:rsidRPr="001B79B5">
                        <w:rPr>
                          <w:sz w:val="20"/>
                          <w:szCs w:val="20"/>
                        </w:rPr>
                        <w:t>Energy (keV)</w:t>
                      </w:r>
                    </w:p>
                  </w:txbxContent>
                </v:textbox>
                <w10:wrap anchorx="margin" anchory="page"/>
              </v:shape>
            </w:pict>
          </mc:Fallback>
        </mc:AlternateContent>
      </w:r>
      <w:r w:rsidR="00070190">
        <w:rPr>
          <w:noProof/>
          <w:sz w:val="24"/>
          <w:szCs w:val="24"/>
          <w:lang w:eastAsia="en-GB"/>
        </w:rPr>
        <mc:AlternateContent>
          <mc:Choice Requires="wps">
            <w:drawing>
              <wp:anchor distT="0" distB="0" distL="114300" distR="114300" simplePos="0" relativeHeight="251658274" behindDoc="0" locked="0" layoutInCell="1" allowOverlap="1" wp14:anchorId="2072D64F" wp14:editId="2412B0E2">
                <wp:simplePos x="0" y="0"/>
                <wp:positionH relativeFrom="margin">
                  <wp:posOffset>-73508</wp:posOffset>
                </wp:positionH>
                <wp:positionV relativeFrom="page">
                  <wp:posOffset>1836848</wp:posOffset>
                </wp:positionV>
                <wp:extent cx="579865" cy="257175"/>
                <wp:effectExtent l="0" t="0" r="635" b="0"/>
                <wp:wrapNone/>
                <wp:docPr id="322" name="Text Box 322"/>
                <wp:cNvGraphicFramePr/>
                <a:graphic xmlns:a="http://schemas.openxmlformats.org/drawingml/2006/main">
                  <a:graphicData uri="http://schemas.microsoft.com/office/word/2010/wordprocessingShape">
                    <wps:wsp>
                      <wps:cNvSpPr txBox="1"/>
                      <wps:spPr>
                        <a:xfrm rot="16200000">
                          <a:off x="0" y="0"/>
                          <a:ext cx="579865" cy="257175"/>
                        </a:xfrm>
                        <a:prstGeom prst="rect">
                          <a:avLst/>
                        </a:prstGeom>
                        <a:noFill/>
                        <a:ln w="6350">
                          <a:noFill/>
                        </a:ln>
                      </wps:spPr>
                      <wps:txbx>
                        <w:txbxContent>
                          <w:p w14:paraId="211405BE" w14:textId="77777777" w:rsidR="006F1462" w:rsidRPr="00070190" w:rsidRDefault="006F1462" w:rsidP="00FD4AA2">
                            <w:pPr>
                              <w:rPr>
                                <w:sz w:val="20"/>
                                <w:szCs w:val="20"/>
                              </w:rPr>
                            </w:pPr>
                            <w:r w:rsidRPr="00070190">
                              <w:rPr>
                                <w:sz w:val="20"/>
                                <w:szCs w:val="20"/>
                              </w:rPr>
                              <w:t>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2D64F" id="Text Box 322" o:spid="_x0000_s1031" type="#_x0000_t202" style="position:absolute;left:0;text-align:left;margin-left:-5.8pt;margin-top:144.65pt;width:45.65pt;height:20.25pt;rotation:-90;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" filled="f" stroked="f" strokeweight=".5pt">
                <v:textbox>
                  <w:txbxContent>
                    <w:p w14:paraId="211405BE" w14:textId="77777777" w:rsidR="006F1462" w:rsidRPr="00070190" w:rsidRDefault="006F1462" w:rsidP="00FD4AA2">
                      <w:pPr>
                        <w:rPr>
                          <w:sz w:val="20"/>
                          <w:szCs w:val="20"/>
                        </w:rPr>
                      </w:pPr>
                      <w:r w:rsidRPr="00070190">
                        <w:rPr>
                          <w:sz w:val="20"/>
                          <w:szCs w:val="20"/>
                        </w:rPr>
                        <w:t>Counts</w:t>
                      </w:r>
                    </w:p>
                  </w:txbxContent>
                </v:textbox>
                <w10:wrap anchorx="margin" anchory="page"/>
              </v:shape>
            </w:pict>
          </mc:Fallback>
        </mc:AlternateContent>
      </w:r>
      <w:r w:rsidR="004D3B73" w:rsidRPr="001B79B5">
        <w:rPr>
          <w:noProof/>
          <w:sz w:val="24"/>
          <w:szCs w:val="24"/>
          <w:lang w:eastAsia="en-GB"/>
        </w:rPr>
        <mc:AlternateContent>
          <mc:Choice Requires="wps">
            <w:drawing>
              <wp:anchor distT="45720" distB="45720" distL="114300" distR="114300" simplePos="0" relativeHeight="251658282" behindDoc="0" locked="0" layoutInCell="1" allowOverlap="1" wp14:anchorId="5A8F7A9B" wp14:editId="6B693C8B">
                <wp:simplePos x="0" y="0"/>
                <wp:positionH relativeFrom="column">
                  <wp:posOffset>4889831</wp:posOffset>
                </wp:positionH>
                <wp:positionV relativeFrom="page">
                  <wp:posOffset>3712845</wp:posOffset>
                </wp:positionV>
                <wp:extent cx="314325" cy="203835"/>
                <wp:effectExtent l="0" t="0" r="0" b="571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03835"/>
                        </a:xfrm>
                        <a:prstGeom prst="rect">
                          <a:avLst/>
                        </a:prstGeom>
                        <a:noFill/>
                        <a:ln w="9525">
                          <a:noFill/>
                          <a:miter lim="800000"/>
                          <a:headEnd/>
                          <a:tailEnd/>
                        </a:ln>
                      </wps:spPr>
                      <wps:txbx>
                        <w:txbxContent>
                          <w:p w14:paraId="1DE34A08" w14:textId="7183F279" w:rsidR="006F1462" w:rsidRPr="001B79B5" w:rsidRDefault="006F1462" w:rsidP="001B79B5">
                            <w:pPr>
                              <w:rPr>
                                <w:sz w:val="16"/>
                                <w:szCs w:val="16"/>
                              </w:rPr>
                            </w:pPr>
                            <w:r>
                              <w:rPr>
                                <w:sz w:val="16"/>
                                <w:szCs w:val="16"/>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F7A9B" id="_x0000_s1032" type="#_x0000_t202" style="position:absolute;left:0;text-align:left;margin-left:385.05pt;margin-top:292.35pt;width:24.75pt;height:16.0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" filled="f" stroked="f">
                <v:textbox>
                  <w:txbxContent>
                    <w:p w14:paraId="1DE34A08" w14:textId="7183F279" w:rsidR="006F1462" w:rsidRPr="001B79B5" w:rsidRDefault="006F1462" w:rsidP="001B79B5">
                      <w:pPr>
                        <w:rPr>
                          <w:sz w:val="16"/>
                          <w:szCs w:val="16"/>
                        </w:rPr>
                      </w:pPr>
                      <w:r>
                        <w:rPr>
                          <w:sz w:val="16"/>
                          <w:szCs w:val="16"/>
                        </w:rPr>
                        <w:t>64</w:t>
                      </w:r>
                    </w:p>
                  </w:txbxContent>
                </v:textbox>
                <w10:wrap anchory="page"/>
              </v:shape>
            </w:pict>
          </mc:Fallback>
        </mc:AlternateContent>
      </w:r>
      <w:r w:rsidR="004D3B73" w:rsidRPr="001B79B5">
        <w:rPr>
          <w:noProof/>
          <w:sz w:val="24"/>
          <w:szCs w:val="24"/>
          <w:lang w:eastAsia="en-GB"/>
        </w:rPr>
        <mc:AlternateContent>
          <mc:Choice Requires="wps">
            <w:drawing>
              <wp:anchor distT="45720" distB="45720" distL="114300" distR="114300" simplePos="0" relativeHeight="251658281" behindDoc="0" locked="0" layoutInCell="1" allowOverlap="1" wp14:anchorId="34020041" wp14:editId="252915D0">
                <wp:simplePos x="0" y="0"/>
                <wp:positionH relativeFrom="column">
                  <wp:posOffset>4070681</wp:posOffset>
                </wp:positionH>
                <wp:positionV relativeFrom="page">
                  <wp:posOffset>3712237</wp:posOffset>
                </wp:positionV>
                <wp:extent cx="314325" cy="204470"/>
                <wp:effectExtent l="0" t="0" r="0" b="508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04470"/>
                        </a:xfrm>
                        <a:prstGeom prst="rect">
                          <a:avLst/>
                        </a:prstGeom>
                        <a:noFill/>
                        <a:ln w="9525">
                          <a:noFill/>
                          <a:miter lim="800000"/>
                          <a:headEnd/>
                          <a:tailEnd/>
                        </a:ln>
                      </wps:spPr>
                      <wps:txbx>
                        <w:txbxContent>
                          <w:p w14:paraId="283D546F" w14:textId="00F20665" w:rsidR="006F1462" w:rsidRPr="001B79B5" w:rsidRDefault="006F1462" w:rsidP="001B79B5">
                            <w:pPr>
                              <w:rPr>
                                <w:sz w:val="16"/>
                                <w:szCs w:val="16"/>
                              </w:rPr>
                            </w:pPr>
                            <w:r>
                              <w:rPr>
                                <w:sz w:val="16"/>
                                <w:szCs w:val="16"/>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20041" id="_x0000_s1033" type="#_x0000_t202" style="position:absolute;left:0;text-align:left;margin-left:320.55pt;margin-top:292.3pt;width:24.75pt;height:16.1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" filled="f" stroked="f">
                <v:textbox>
                  <w:txbxContent>
                    <w:p w14:paraId="283D546F" w14:textId="00F20665" w:rsidR="006F1462" w:rsidRPr="001B79B5" w:rsidRDefault="006F1462" w:rsidP="001B79B5">
                      <w:pPr>
                        <w:rPr>
                          <w:sz w:val="16"/>
                          <w:szCs w:val="16"/>
                        </w:rPr>
                      </w:pPr>
                      <w:r>
                        <w:rPr>
                          <w:sz w:val="16"/>
                          <w:szCs w:val="16"/>
                        </w:rPr>
                        <w:t>62</w:t>
                      </w:r>
                    </w:p>
                  </w:txbxContent>
                </v:textbox>
                <w10:wrap anchory="page"/>
              </v:shape>
            </w:pict>
          </mc:Fallback>
        </mc:AlternateContent>
      </w:r>
      <w:r w:rsidR="00121688" w:rsidRPr="001B79B5">
        <w:rPr>
          <w:noProof/>
          <w:sz w:val="24"/>
          <w:szCs w:val="24"/>
          <w:lang w:eastAsia="en-GB"/>
        </w:rPr>
        <mc:AlternateContent>
          <mc:Choice Requires="wps">
            <w:drawing>
              <wp:anchor distT="45720" distB="45720" distL="114300" distR="114300" simplePos="0" relativeHeight="251658286" behindDoc="0" locked="0" layoutInCell="1" allowOverlap="1" wp14:anchorId="374876D1" wp14:editId="617CC0C9">
                <wp:simplePos x="0" y="0"/>
                <wp:positionH relativeFrom="column">
                  <wp:posOffset>3156668</wp:posOffset>
                </wp:positionH>
                <wp:positionV relativeFrom="page">
                  <wp:posOffset>3713259</wp:posOffset>
                </wp:positionV>
                <wp:extent cx="314325" cy="204470"/>
                <wp:effectExtent l="0" t="0" r="0" b="508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04470"/>
                        </a:xfrm>
                        <a:prstGeom prst="rect">
                          <a:avLst/>
                        </a:prstGeom>
                        <a:noFill/>
                        <a:ln w="9525">
                          <a:noFill/>
                          <a:miter lim="800000"/>
                          <a:headEnd/>
                          <a:tailEnd/>
                        </a:ln>
                      </wps:spPr>
                      <wps:txbx>
                        <w:txbxContent>
                          <w:p w14:paraId="2A42CB40" w14:textId="65D86B38" w:rsidR="006F1462" w:rsidRPr="001B79B5" w:rsidRDefault="006F1462" w:rsidP="005A19D7">
                            <w:pPr>
                              <w:rPr>
                                <w:sz w:val="16"/>
                                <w:szCs w:val="16"/>
                              </w:rPr>
                            </w:pPr>
                            <w:r>
                              <w:rPr>
                                <w:sz w:val="16"/>
                                <w:szCs w:val="16"/>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876D1" id="_x0000_s1034" type="#_x0000_t202" style="position:absolute;left:0;text-align:left;margin-left:248.55pt;margin-top:292.4pt;width:24.75pt;height:16.1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" filled="f" stroked="f">
                <v:textbox>
                  <w:txbxContent>
                    <w:p w14:paraId="2A42CB40" w14:textId="65D86B38" w:rsidR="006F1462" w:rsidRPr="001B79B5" w:rsidRDefault="006F1462" w:rsidP="005A19D7">
                      <w:pPr>
                        <w:rPr>
                          <w:sz w:val="16"/>
                          <w:szCs w:val="16"/>
                        </w:rPr>
                      </w:pPr>
                      <w:r>
                        <w:rPr>
                          <w:sz w:val="16"/>
                          <w:szCs w:val="16"/>
                        </w:rPr>
                        <w:t>60</w:t>
                      </w:r>
                    </w:p>
                  </w:txbxContent>
                </v:textbox>
                <w10:wrap anchory="page"/>
              </v:shape>
            </w:pict>
          </mc:Fallback>
        </mc:AlternateContent>
      </w:r>
      <w:r w:rsidR="00121688" w:rsidRPr="001B79B5">
        <w:rPr>
          <w:noProof/>
          <w:sz w:val="24"/>
          <w:szCs w:val="24"/>
          <w:lang w:eastAsia="en-GB"/>
        </w:rPr>
        <mc:AlternateContent>
          <mc:Choice Requires="wps">
            <w:drawing>
              <wp:anchor distT="45720" distB="45720" distL="114300" distR="114300" simplePos="0" relativeHeight="251658283" behindDoc="0" locked="0" layoutInCell="1" allowOverlap="1" wp14:anchorId="3F851110" wp14:editId="6DA02BC9">
                <wp:simplePos x="0" y="0"/>
                <wp:positionH relativeFrom="column">
                  <wp:posOffset>1391478</wp:posOffset>
                </wp:positionH>
                <wp:positionV relativeFrom="page">
                  <wp:posOffset>3721210</wp:posOffset>
                </wp:positionV>
                <wp:extent cx="314325" cy="220345"/>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20345"/>
                        </a:xfrm>
                        <a:prstGeom prst="rect">
                          <a:avLst/>
                        </a:prstGeom>
                        <a:noFill/>
                        <a:ln w="9525">
                          <a:noFill/>
                          <a:miter lim="800000"/>
                          <a:headEnd/>
                          <a:tailEnd/>
                        </a:ln>
                      </wps:spPr>
                      <wps:txbx>
                        <w:txbxContent>
                          <w:p w14:paraId="44C927FC" w14:textId="45510F51" w:rsidR="006F1462" w:rsidRPr="001B79B5" w:rsidRDefault="006F1462" w:rsidP="001B79B5">
                            <w:pPr>
                              <w:rPr>
                                <w:sz w:val="16"/>
                                <w:szCs w:val="16"/>
                              </w:rPr>
                            </w:pPr>
                            <w:r w:rsidRPr="001B79B5">
                              <w:rPr>
                                <w:sz w:val="16"/>
                                <w:szCs w:val="16"/>
                              </w:rPr>
                              <w:t>5</w:t>
                            </w:r>
                            <w:r>
                              <w:rPr>
                                <w:sz w:val="16"/>
                                <w:szCs w:val="1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51110" id="_x0000_s1035" type="#_x0000_t202" style="position:absolute;left:0;text-align:left;margin-left:109.55pt;margin-top:293pt;width:24.75pt;height:17.3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" filled="f" stroked="f">
                <v:textbox>
                  <w:txbxContent>
                    <w:p w14:paraId="44C927FC" w14:textId="45510F51" w:rsidR="006F1462" w:rsidRPr="001B79B5" w:rsidRDefault="006F1462" w:rsidP="001B79B5">
                      <w:pPr>
                        <w:rPr>
                          <w:sz w:val="16"/>
                          <w:szCs w:val="16"/>
                        </w:rPr>
                      </w:pPr>
                      <w:r w:rsidRPr="001B79B5">
                        <w:rPr>
                          <w:sz w:val="16"/>
                          <w:szCs w:val="16"/>
                        </w:rPr>
                        <w:t>5</w:t>
                      </w:r>
                      <w:r>
                        <w:rPr>
                          <w:sz w:val="16"/>
                          <w:szCs w:val="16"/>
                        </w:rPr>
                        <w:t>6</w:t>
                      </w:r>
                    </w:p>
                  </w:txbxContent>
                </v:textbox>
                <w10:wrap anchory="page"/>
              </v:shape>
            </w:pict>
          </mc:Fallback>
        </mc:AlternateContent>
      </w:r>
      <w:r w:rsidR="00121688" w:rsidRPr="001B79B5">
        <w:rPr>
          <w:noProof/>
          <w:sz w:val="24"/>
          <w:szCs w:val="24"/>
          <w:lang w:eastAsia="en-GB"/>
        </w:rPr>
        <mc:AlternateContent>
          <mc:Choice Requires="wps">
            <w:drawing>
              <wp:anchor distT="45720" distB="45720" distL="114300" distR="114300" simplePos="0" relativeHeight="251658284" behindDoc="0" locked="0" layoutInCell="1" allowOverlap="1" wp14:anchorId="419F2205" wp14:editId="449F1F44">
                <wp:simplePos x="0" y="0"/>
                <wp:positionH relativeFrom="column">
                  <wp:posOffset>2266122</wp:posOffset>
                </wp:positionH>
                <wp:positionV relativeFrom="page">
                  <wp:posOffset>3713259</wp:posOffset>
                </wp:positionV>
                <wp:extent cx="314325" cy="206375"/>
                <wp:effectExtent l="0" t="0" r="0"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06375"/>
                        </a:xfrm>
                        <a:prstGeom prst="rect">
                          <a:avLst/>
                        </a:prstGeom>
                        <a:noFill/>
                        <a:ln w="9525">
                          <a:noFill/>
                          <a:miter lim="800000"/>
                          <a:headEnd/>
                          <a:tailEnd/>
                        </a:ln>
                      </wps:spPr>
                      <wps:txbx>
                        <w:txbxContent>
                          <w:p w14:paraId="55FE2524" w14:textId="21D763BF" w:rsidR="006F1462" w:rsidRPr="001B79B5" w:rsidRDefault="006F1462" w:rsidP="001B79B5">
                            <w:pPr>
                              <w:rPr>
                                <w:sz w:val="16"/>
                                <w:szCs w:val="16"/>
                              </w:rPr>
                            </w:pPr>
                            <w:r w:rsidRPr="001B79B5">
                              <w:rPr>
                                <w:sz w:val="16"/>
                                <w:szCs w:val="16"/>
                              </w:rPr>
                              <w:t>5</w:t>
                            </w:r>
                            <w:r>
                              <w:rPr>
                                <w:sz w:val="16"/>
                                <w:szCs w:val="1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F2205" id="_x0000_s1036" type="#_x0000_t202" style="position:absolute;left:0;text-align:left;margin-left:178.45pt;margin-top:292.4pt;width:24.75pt;height:16.2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" filled="f" stroked="f">
                <v:textbox>
                  <w:txbxContent>
                    <w:p w14:paraId="55FE2524" w14:textId="21D763BF" w:rsidR="006F1462" w:rsidRPr="001B79B5" w:rsidRDefault="006F1462" w:rsidP="001B79B5">
                      <w:pPr>
                        <w:rPr>
                          <w:sz w:val="16"/>
                          <w:szCs w:val="16"/>
                        </w:rPr>
                      </w:pPr>
                      <w:r w:rsidRPr="001B79B5">
                        <w:rPr>
                          <w:sz w:val="16"/>
                          <w:szCs w:val="16"/>
                        </w:rPr>
                        <w:t>5</w:t>
                      </w:r>
                      <w:r>
                        <w:rPr>
                          <w:sz w:val="16"/>
                          <w:szCs w:val="16"/>
                        </w:rPr>
                        <w:t>8</w:t>
                      </w:r>
                    </w:p>
                  </w:txbxContent>
                </v:textbox>
                <w10:wrap anchory="page"/>
              </v:shape>
            </w:pict>
          </mc:Fallback>
        </mc:AlternateContent>
      </w:r>
      <w:r w:rsidR="00121688" w:rsidRPr="001B79B5">
        <w:rPr>
          <w:noProof/>
          <w:sz w:val="24"/>
          <w:szCs w:val="24"/>
          <w:lang w:eastAsia="en-GB"/>
        </w:rPr>
        <mc:AlternateContent>
          <mc:Choice Requires="wps">
            <w:drawing>
              <wp:anchor distT="45720" distB="45720" distL="114300" distR="114300" simplePos="0" relativeHeight="251658287" behindDoc="0" locked="0" layoutInCell="1" allowOverlap="1" wp14:anchorId="0FC587AB" wp14:editId="1784EF20">
                <wp:simplePos x="0" y="0"/>
                <wp:positionH relativeFrom="column">
                  <wp:posOffset>47708</wp:posOffset>
                </wp:positionH>
                <wp:positionV relativeFrom="page">
                  <wp:posOffset>3617843</wp:posOffset>
                </wp:positionV>
                <wp:extent cx="285115" cy="206375"/>
                <wp:effectExtent l="0" t="0" r="0" b="317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06375"/>
                        </a:xfrm>
                        <a:prstGeom prst="rect">
                          <a:avLst/>
                        </a:prstGeom>
                        <a:noFill/>
                        <a:ln w="9525">
                          <a:noFill/>
                          <a:miter lim="800000"/>
                          <a:headEnd/>
                          <a:tailEnd/>
                        </a:ln>
                      </wps:spPr>
                      <wps:txbx>
                        <w:txbxContent>
                          <w:p w14:paraId="12E21593" w14:textId="104F53E9" w:rsidR="006F1462" w:rsidRPr="005572D6" w:rsidRDefault="006F1462" w:rsidP="00227B88">
                            <w:pPr>
                              <w:rPr>
                                <w:sz w:val="14"/>
                                <w:szCs w:val="14"/>
                              </w:rPr>
                            </w:pPr>
                            <w:r w:rsidRPr="005572D6">
                              <w:rPr>
                                <w:sz w:val="14"/>
                                <w:szCs w:val="14"/>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587AB" id="_x0000_s1037" type="#_x0000_t202" style="position:absolute;left:0;text-align:left;margin-left:3.75pt;margin-top:284.85pt;width:22.45pt;height:16.2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" filled="f" stroked="f">
                <v:textbox>
                  <w:txbxContent>
                    <w:p w14:paraId="12E21593" w14:textId="104F53E9" w:rsidR="006F1462" w:rsidRPr="005572D6" w:rsidRDefault="006F1462" w:rsidP="00227B88">
                      <w:pPr>
                        <w:rPr>
                          <w:sz w:val="14"/>
                          <w:szCs w:val="14"/>
                        </w:rPr>
                      </w:pPr>
                      <w:r w:rsidRPr="005572D6">
                        <w:rPr>
                          <w:sz w:val="14"/>
                          <w:szCs w:val="14"/>
                        </w:rPr>
                        <w:t>43</w:t>
                      </w:r>
                    </w:p>
                  </w:txbxContent>
                </v:textbox>
                <w10:wrap anchory="page"/>
              </v:shape>
            </w:pict>
          </mc:Fallback>
        </mc:AlternateContent>
      </w:r>
      <w:r w:rsidR="00121688" w:rsidRPr="001B79B5">
        <w:rPr>
          <w:noProof/>
          <w:sz w:val="24"/>
          <w:szCs w:val="24"/>
          <w:lang w:eastAsia="en-GB"/>
        </w:rPr>
        <mc:AlternateContent>
          <mc:Choice Requires="wps">
            <w:drawing>
              <wp:anchor distT="45720" distB="45720" distL="114300" distR="114300" simplePos="0" relativeHeight="251658288" behindDoc="0" locked="0" layoutInCell="1" allowOverlap="1" wp14:anchorId="2AD5889F" wp14:editId="77B0AEC0">
                <wp:simplePos x="0" y="0"/>
                <wp:positionH relativeFrom="column">
                  <wp:posOffset>23854</wp:posOffset>
                </wp:positionH>
                <wp:positionV relativeFrom="page">
                  <wp:posOffset>2918129</wp:posOffset>
                </wp:positionV>
                <wp:extent cx="285750" cy="200025"/>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0025"/>
                        </a:xfrm>
                        <a:prstGeom prst="rect">
                          <a:avLst/>
                        </a:prstGeom>
                        <a:noFill/>
                        <a:ln w="9525">
                          <a:noFill/>
                          <a:miter lim="800000"/>
                          <a:headEnd/>
                          <a:tailEnd/>
                        </a:ln>
                      </wps:spPr>
                      <wps:txbx>
                        <w:txbxContent>
                          <w:p w14:paraId="662FF01C" w14:textId="14BEB508" w:rsidR="006F1462" w:rsidRPr="005572D6" w:rsidRDefault="006F1462" w:rsidP="00227B88">
                            <w:pPr>
                              <w:rPr>
                                <w:sz w:val="14"/>
                                <w:szCs w:val="14"/>
                              </w:rPr>
                            </w:pPr>
                            <w:r w:rsidRPr="005572D6">
                              <w:rPr>
                                <w:sz w:val="14"/>
                                <w:szCs w:val="14"/>
                              </w:rPr>
                              <w:t>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5889F" id="_x0000_s1038" type="#_x0000_t202" style="position:absolute;left:0;text-align:left;margin-left:1.9pt;margin-top:229.75pt;width:22.5pt;height:15.7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" filled="f" stroked="f">
                <v:textbox>
                  <w:txbxContent>
                    <w:p w14:paraId="662FF01C" w14:textId="14BEB508" w:rsidR="006F1462" w:rsidRPr="005572D6" w:rsidRDefault="006F1462" w:rsidP="00227B88">
                      <w:pPr>
                        <w:rPr>
                          <w:sz w:val="14"/>
                          <w:szCs w:val="14"/>
                        </w:rPr>
                      </w:pPr>
                      <w:r w:rsidRPr="005572D6">
                        <w:rPr>
                          <w:sz w:val="14"/>
                          <w:szCs w:val="14"/>
                        </w:rPr>
                        <w:t>97</w:t>
                      </w:r>
                    </w:p>
                  </w:txbxContent>
                </v:textbox>
                <w10:wrap anchory="page"/>
              </v:shape>
            </w:pict>
          </mc:Fallback>
        </mc:AlternateContent>
      </w:r>
      <w:r w:rsidR="00121688" w:rsidRPr="001B79B5">
        <w:rPr>
          <w:noProof/>
          <w:sz w:val="24"/>
          <w:szCs w:val="24"/>
          <w:lang w:eastAsia="en-GB"/>
        </w:rPr>
        <mc:AlternateContent>
          <mc:Choice Requires="wps">
            <w:drawing>
              <wp:anchor distT="45720" distB="45720" distL="114300" distR="114300" simplePos="0" relativeHeight="251658289" behindDoc="0" locked="0" layoutInCell="1" allowOverlap="1" wp14:anchorId="40ED8F5A" wp14:editId="53BC95AE">
                <wp:simplePos x="0" y="0"/>
                <wp:positionH relativeFrom="margin">
                  <wp:posOffset>0</wp:posOffset>
                </wp:positionH>
                <wp:positionV relativeFrom="page">
                  <wp:posOffset>1518699</wp:posOffset>
                </wp:positionV>
                <wp:extent cx="343535" cy="197485"/>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97485"/>
                        </a:xfrm>
                        <a:prstGeom prst="rect">
                          <a:avLst/>
                        </a:prstGeom>
                        <a:noFill/>
                        <a:ln w="9525">
                          <a:noFill/>
                          <a:miter lim="800000"/>
                          <a:headEnd/>
                          <a:tailEnd/>
                        </a:ln>
                      </wps:spPr>
                      <wps:txbx>
                        <w:txbxContent>
                          <w:p w14:paraId="6451A9E8" w14:textId="6F2F37A2" w:rsidR="006F1462" w:rsidRPr="00227B88" w:rsidRDefault="006F1462" w:rsidP="00227B88">
                            <w:pPr>
                              <w:rPr>
                                <w:sz w:val="14"/>
                                <w:szCs w:val="14"/>
                              </w:rPr>
                            </w:pPr>
                            <w:r w:rsidRPr="00227B88">
                              <w:rPr>
                                <w:sz w:val="14"/>
                                <w:szCs w:val="14"/>
                              </w:rPr>
                              <w:t>204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D8F5A" id="_x0000_s1039" type="#_x0000_t202" style="position:absolute;left:0;text-align:left;margin-left:0;margin-top:119.6pt;width:27.05pt;height:15.55pt;z-index:251658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" filled="f" stroked="f">
                <v:textbox>
                  <w:txbxContent>
                    <w:p w14:paraId="6451A9E8" w14:textId="6F2F37A2" w:rsidR="006F1462" w:rsidRPr="00227B88" w:rsidRDefault="006F1462" w:rsidP="00227B88">
                      <w:pPr>
                        <w:rPr>
                          <w:sz w:val="14"/>
                          <w:szCs w:val="14"/>
                        </w:rPr>
                      </w:pPr>
                      <w:r w:rsidRPr="00227B88">
                        <w:rPr>
                          <w:sz w:val="14"/>
                          <w:szCs w:val="14"/>
                        </w:rPr>
                        <w:t>204</w:t>
                      </w:r>
                    </w:p>
                  </w:txbxContent>
                </v:textbox>
                <w10:wrap anchorx="margin" anchory="page"/>
              </v:shape>
            </w:pict>
          </mc:Fallback>
        </mc:AlternateContent>
      </w:r>
      <w:r w:rsidR="00121688" w:rsidRPr="001B79B5">
        <w:rPr>
          <w:noProof/>
          <w:sz w:val="24"/>
          <w:szCs w:val="24"/>
          <w:lang w:eastAsia="en-GB"/>
        </w:rPr>
        <mc:AlternateContent>
          <mc:Choice Requires="wps">
            <w:drawing>
              <wp:anchor distT="45720" distB="45720" distL="114300" distR="114300" simplePos="0" relativeHeight="251658290" behindDoc="0" locked="0" layoutInCell="1" allowOverlap="1" wp14:anchorId="34D8FCBD" wp14:editId="481210F9">
                <wp:simplePos x="0" y="0"/>
                <wp:positionH relativeFrom="margin">
                  <wp:align>left</wp:align>
                </wp:positionH>
                <wp:positionV relativeFrom="page">
                  <wp:posOffset>922351</wp:posOffset>
                </wp:positionV>
                <wp:extent cx="328295" cy="212090"/>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12090"/>
                        </a:xfrm>
                        <a:prstGeom prst="rect">
                          <a:avLst/>
                        </a:prstGeom>
                        <a:noFill/>
                        <a:ln w="9525">
                          <a:noFill/>
                          <a:miter lim="800000"/>
                          <a:headEnd/>
                          <a:tailEnd/>
                        </a:ln>
                      </wps:spPr>
                      <wps:txbx>
                        <w:txbxContent>
                          <w:p w14:paraId="51BB0E2F" w14:textId="1E12355E" w:rsidR="006F1462" w:rsidRPr="00227B88" w:rsidRDefault="006F1462" w:rsidP="00227B88">
                            <w:pPr>
                              <w:rPr>
                                <w:sz w:val="14"/>
                                <w:szCs w:val="14"/>
                              </w:rPr>
                            </w:pPr>
                            <w:r w:rsidRPr="00227B88">
                              <w:rPr>
                                <w:sz w:val="14"/>
                                <w:szCs w:val="14"/>
                              </w:rPr>
                              <w:t>252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8FCBD" id="_x0000_s1040" type="#_x0000_t202" style="position:absolute;left:0;text-align:left;margin-left:0;margin-top:72.65pt;width:25.85pt;height:16.7pt;z-index:25165829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" filled="f" stroked="f">
                <v:textbox>
                  <w:txbxContent>
                    <w:p w14:paraId="51BB0E2F" w14:textId="1E12355E" w:rsidR="006F1462" w:rsidRPr="00227B88" w:rsidRDefault="006F1462" w:rsidP="00227B88">
                      <w:pPr>
                        <w:rPr>
                          <w:sz w:val="14"/>
                          <w:szCs w:val="14"/>
                        </w:rPr>
                      </w:pPr>
                      <w:r w:rsidRPr="00227B88">
                        <w:rPr>
                          <w:sz w:val="14"/>
                          <w:szCs w:val="14"/>
                        </w:rPr>
                        <w:t>252</w:t>
                      </w:r>
                    </w:p>
                  </w:txbxContent>
                </v:textbox>
                <w10:wrap anchorx="margin" anchory="page"/>
              </v:shape>
            </w:pict>
          </mc:Fallback>
        </mc:AlternateContent>
      </w:r>
      <w:r w:rsidR="00121688" w:rsidRPr="001B79B5">
        <w:rPr>
          <w:noProof/>
          <w:sz w:val="24"/>
          <w:szCs w:val="24"/>
          <w:lang w:eastAsia="en-GB"/>
        </w:rPr>
        <mc:AlternateContent>
          <mc:Choice Requires="wps">
            <w:drawing>
              <wp:anchor distT="45720" distB="45720" distL="114300" distR="114300" simplePos="0" relativeHeight="251658291" behindDoc="0" locked="0" layoutInCell="1" allowOverlap="1" wp14:anchorId="054D5C21" wp14:editId="6743A2F9">
                <wp:simplePos x="0" y="0"/>
                <wp:positionH relativeFrom="column">
                  <wp:posOffset>15903</wp:posOffset>
                </wp:positionH>
                <wp:positionV relativeFrom="page">
                  <wp:posOffset>2226365</wp:posOffset>
                </wp:positionV>
                <wp:extent cx="327025" cy="197485"/>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97485"/>
                        </a:xfrm>
                        <a:prstGeom prst="rect">
                          <a:avLst/>
                        </a:prstGeom>
                        <a:noFill/>
                        <a:ln w="9525">
                          <a:noFill/>
                          <a:miter lim="800000"/>
                          <a:headEnd/>
                          <a:tailEnd/>
                        </a:ln>
                      </wps:spPr>
                      <wps:txbx>
                        <w:txbxContent>
                          <w:p w14:paraId="09EFA268" w14:textId="352949D3" w:rsidR="006F1462" w:rsidRPr="00227B88" w:rsidRDefault="006F1462" w:rsidP="00121688">
                            <w:pPr>
                              <w:rPr>
                                <w:sz w:val="14"/>
                                <w:szCs w:val="14"/>
                              </w:rPr>
                            </w:pPr>
                            <w:r>
                              <w:rPr>
                                <w:sz w:val="14"/>
                                <w:szCs w:val="14"/>
                              </w:rPr>
                              <w:t>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D5C21" id="_x0000_s1041" type="#_x0000_t202" style="position:absolute;left:0;text-align:left;margin-left:1.25pt;margin-top:175.3pt;width:25.75pt;height:15.55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" filled="f" stroked="f">
                <v:textbox>
                  <w:txbxContent>
                    <w:p w14:paraId="09EFA268" w14:textId="352949D3" w:rsidR="006F1462" w:rsidRPr="00227B88" w:rsidRDefault="006F1462" w:rsidP="00121688">
                      <w:pPr>
                        <w:rPr>
                          <w:sz w:val="14"/>
                          <w:szCs w:val="14"/>
                        </w:rPr>
                      </w:pPr>
                      <w:r>
                        <w:rPr>
                          <w:sz w:val="14"/>
                          <w:szCs w:val="14"/>
                        </w:rPr>
                        <w:t>150</w:t>
                      </w:r>
                    </w:p>
                  </w:txbxContent>
                </v:textbox>
                <w10:wrap anchory="page"/>
              </v:shape>
            </w:pict>
          </mc:Fallback>
        </mc:AlternateContent>
      </w:r>
      <w:r w:rsidR="00121688" w:rsidRPr="003707CC">
        <w:rPr>
          <w:noProof/>
          <w:sz w:val="24"/>
          <w:szCs w:val="24"/>
          <w:lang w:eastAsia="en-GB"/>
        </w:rPr>
        <mc:AlternateContent>
          <mc:Choice Requires="wps">
            <w:drawing>
              <wp:anchor distT="45720" distB="45720" distL="114300" distR="114300" simplePos="0" relativeHeight="251658242" behindDoc="0" locked="0" layoutInCell="1" allowOverlap="1" wp14:anchorId="331CC89B" wp14:editId="73C603BD">
                <wp:simplePos x="0" y="0"/>
                <wp:positionH relativeFrom="column">
                  <wp:posOffset>2675670</wp:posOffset>
                </wp:positionH>
                <wp:positionV relativeFrom="page">
                  <wp:posOffset>2549276</wp:posOffset>
                </wp:positionV>
                <wp:extent cx="612476" cy="319405"/>
                <wp:effectExtent l="0" t="0" r="0" b="444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76" cy="319405"/>
                        </a:xfrm>
                        <a:prstGeom prst="rect">
                          <a:avLst/>
                        </a:prstGeom>
                        <a:solidFill>
                          <a:srgbClr val="FFFFFF"/>
                        </a:solidFill>
                        <a:ln w="9525">
                          <a:noFill/>
                          <a:miter lim="800000"/>
                          <a:headEnd/>
                          <a:tailEnd/>
                        </a:ln>
                      </wps:spPr>
                      <wps:txbx>
                        <w:txbxContent>
                          <w:p w14:paraId="18EE1DD0" w14:textId="0DDA0719" w:rsidR="006F1462" w:rsidRPr="002666D0" w:rsidRDefault="006F1462">
                            <w:pPr>
                              <w:rPr>
                                <w:sz w:val="24"/>
                                <w:szCs w:val="24"/>
                              </w:rPr>
                            </w:pPr>
                            <w:r w:rsidRPr="002666D0">
                              <w:rPr>
                                <w:sz w:val="24"/>
                                <w:szCs w:val="24"/>
                                <w:vertAlign w:val="superscript"/>
                              </w:rPr>
                              <w:t>241</w:t>
                            </w:r>
                            <w:r w:rsidRPr="002666D0">
                              <w:rPr>
                                <w:sz w:val="24"/>
                                <w:szCs w:val="24"/>
                              </w:rPr>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CC89B" id="_x0000_s1042" type="#_x0000_t202" style="position:absolute;left:0;text-align:left;margin-left:210.7pt;margin-top:200.75pt;width:48.25pt;height:25.1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" stroked="f">
                <v:textbox>
                  <w:txbxContent>
                    <w:p w14:paraId="18EE1DD0" w14:textId="0DDA0719" w:rsidR="006F1462" w:rsidRPr="002666D0" w:rsidRDefault="006F1462">
                      <w:pPr>
                        <w:rPr>
                          <w:sz w:val="24"/>
                          <w:szCs w:val="24"/>
                        </w:rPr>
                      </w:pPr>
                      <w:r w:rsidRPr="002666D0">
                        <w:rPr>
                          <w:sz w:val="24"/>
                          <w:szCs w:val="24"/>
                          <w:vertAlign w:val="superscript"/>
                        </w:rPr>
                        <w:t>241</w:t>
                      </w:r>
                      <w:r w:rsidRPr="002666D0">
                        <w:rPr>
                          <w:sz w:val="24"/>
                          <w:szCs w:val="24"/>
                        </w:rPr>
                        <w:t>Am</w:t>
                      </w:r>
                    </w:p>
                  </w:txbxContent>
                </v:textbox>
                <w10:wrap anchory="page"/>
              </v:shape>
            </w:pict>
          </mc:Fallback>
        </mc:AlternateContent>
      </w:r>
      <w:r w:rsidR="00121688" w:rsidRPr="003707CC">
        <w:rPr>
          <w:noProof/>
          <w:sz w:val="24"/>
          <w:szCs w:val="24"/>
          <w:lang w:eastAsia="en-GB"/>
        </w:rPr>
        <mc:AlternateContent>
          <mc:Choice Requires="wps">
            <w:drawing>
              <wp:anchor distT="45720" distB="45720" distL="114300" distR="114300" simplePos="0" relativeHeight="251658249" behindDoc="0" locked="0" layoutInCell="1" allowOverlap="1" wp14:anchorId="5F591647" wp14:editId="6C44CA22">
                <wp:simplePos x="0" y="0"/>
                <wp:positionH relativeFrom="margin">
                  <wp:posOffset>4147848</wp:posOffset>
                </wp:positionH>
                <wp:positionV relativeFrom="page">
                  <wp:posOffset>1676318</wp:posOffset>
                </wp:positionV>
                <wp:extent cx="619125" cy="319405"/>
                <wp:effectExtent l="0" t="0" r="0" b="4445"/>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9405"/>
                        </a:xfrm>
                        <a:prstGeom prst="rect">
                          <a:avLst/>
                        </a:prstGeom>
                        <a:noFill/>
                        <a:ln w="9525">
                          <a:noFill/>
                          <a:miter lim="800000"/>
                          <a:headEnd/>
                          <a:tailEnd/>
                        </a:ln>
                      </wps:spPr>
                      <wps:txbx>
                        <w:txbxContent>
                          <w:p w14:paraId="3613A4DC" w14:textId="084A74BC" w:rsidR="006F1462" w:rsidRPr="002666D0" w:rsidRDefault="006F1462" w:rsidP="00042BC7">
                            <w:pPr>
                              <w:rPr>
                                <w:sz w:val="24"/>
                                <w:szCs w:val="24"/>
                              </w:rPr>
                            </w:pPr>
                            <w:r w:rsidRPr="002666D0">
                              <w:rPr>
                                <w:sz w:val="24"/>
                                <w:szCs w:val="24"/>
                                <w:vertAlign w:val="superscript"/>
                              </w:rPr>
                              <w:t>234</w:t>
                            </w:r>
                            <w:r w:rsidRPr="002666D0">
                              <w:rPr>
                                <w:sz w:val="24"/>
                                <w:szCs w:val="24"/>
                              </w:rPr>
                              <w:t>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91647" id="_x0000_s1043" type="#_x0000_t202" style="position:absolute;left:0;text-align:left;margin-left:326.6pt;margin-top:132pt;width:48.75pt;height:25.1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" filled="f" stroked="f">
                <v:textbox>
                  <w:txbxContent>
                    <w:p w14:paraId="3613A4DC" w14:textId="084A74BC" w:rsidR="006F1462" w:rsidRPr="002666D0" w:rsidRDefault="006F1462" w:rsidP="00042BC7">
                      <w:pPr>
                        <w:rPr>
                          <w:sz w:val="24"/>
                          <w:szCs w:val="24"/>
                        </w:rPr>
                      </w:pPr>
                      <w:r w:rsidRPr="002666D0">
                        <w:rPr>
                          <w:sz w:val="24"/>
                          <w:szCs w:val="24"/>
                          <w:vertAlign w:val="superscript"/>
                        </w:rPr>
                        <w:t>234</w:t>
                      </w:r>
                      <w:r w:rsidRPr="002666D0">
                        <w:rPr>
                          <w:sz w:val="24"/>
                          <w:szCs w:val="24"/>
                        </w:rPr>
                        <w:t>Th</w:t>
                      </w:r>
                    </w:p>
                  </w:txbxContent>
                </v:textbox>
                <w10:wrap anchorx="margin" anchory="page"/>
              </v:shape>
            </w:pict>
          </mc:Fallback>
        </mc:AlternateContent>
      </w:r>
      <w:r w:rsidR="00F37CA9">
        <w:rPr>
          <w:noProof/>
          <w:lang w:eastAsia="en-GB"/>
        </w:rPr>
        <w:drawing>
          <wp:inline distT="0" distB="0" distL="0" distR="0" wp14:anchorId="3B6B4D32" wp14:editId="56A591D8">
            <wp:extent cx="5517819" cy="2861110"/>
            <wp:effectExtent l="0" t="0" r="6985" b="0"/>
            <wp:docPr id="30" name="Picture 30" descr="C:\Users\Christopher\AppData\Local\Microsoft\Windows\Temporary Internet Files\Content.MSO\32AE44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topher\AppData\Local\Microsoft\Windows\Temporary Internet Files\Content.MSO\32AE447D.tmp"/>
                    <pic:cNvPicPr>
                      <a:picLocks noChangeAspect="1" noChangeArrowheads="1"/>
                    </pic:cNvPicPr>
                  </pic:nvPicPr>
                  <pic:blipFill rotWithShape="1">
                    <a:blip r:embed="rId39">
                      <a:extLst>
                        <a:ext uri="{28A0092B-C50C-407E-A947-70E740481C1C}">
                          <a14:useLocalDpi xmlns:a14="http://schemas.microsoft.com/office/drawing/2010/main" val="0"/>
                        </a:ext>
                      </a:extLst>
                    </a:blip>
                    <a:srcRect l="3189" t="1547" r="553" b="5700"/>
                    <a:stretch/>
                  </pic:blipFill>
                  <pic:spPr bwMode="auto">
                    <a:xfrm>
                      <a:off x="0" y="0"/>
                      <a:ext cx="5534221" cy="2869615"/>
                    </a:xfrm>
                    <a:prstGeom prst="rect">
                      <a:avLst/>
                    </a:prstGeom>
                    <a:noFill/>
                    <a:ln>
                      <a:noFill/>
                    </a:ln>
                    <a:extLst>
                      <a:ext uri="{53640926-AAD7-44D8-BBD7-CCE9431645EC}">
                        <a14:shadowObscured xmlns:a14="http://schemas.microsoft.com/office/drawing/2010/main"/>
                      </a:ext>
                    </a:extLst>
                  </pic:spPr>
                </pic:pic>
              </a:graphicData>
            </a:graphic>
          </wp:inline>
        </w:drawing>
      </w:r>
    </w:p>
    <w:p w14:paraId="02573426" w14:textId="77777777" w:rsidR="0043243B" w:rsidRDefault="00E41409" w:rsidP="0043243B">
      <w:pPr>
        <w:keepNext/>
        <w:spacing w:line="480" w:lineRule="auto"/>
        <w:ind w:firstLine="567"/>
      </w:pPr>
      <w:r w:rsidRPr="001B79B5">
        <w:rPr>
          <w:noProof/>
          <w:sz w:val="24"/>
          <w:szCs w:val="24"/>
          <w:lang w:eastAsia="en-GB"/>
        </w:rPr>
        <mc:AlternateContent>
          <mc:Choice Requires="wps">
            <w:drawing>
              <wp:anchor distT="45720" distB="45720" distL="114300" distR="114300" simplePos="0" relativeHeight="251658299" behindDoc="0" locked="0" layoutInCell="1" allowOverlap="1" wp14:anchorId="19764E98" wp14:editId="0AA2E89F">
                <wp:simplePos x="0" y="0"/>
                <wp:positionH relativeFrom="margin">
                  <wp:posOffset>3395980</wp:posOffset>
                </wp:positionH>
                <wp:positionV relativeFrom="page">
                  <wp:posOffset>6848309</wp:posOffset>
                </wp:positionV>
                <wp:extent cx="349857" cy="220345"/>
                <wp:effectExtent l="0" t="0" r="0" b="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57" cy="220345"/>
                        </a:xfrm>
                        <a:prstGeom prst="rect">
                          <a:avLst/>
                        </a:prstGeom>
                        <a:noFill/>
                        <a:ln w="9525">
                          <a:noFill/>
                          <a:miter lim="800000"/>
                          <a:headEnd/>
                          <a:tailEnd/>
                        </a:ln>
                      </wps:spPr>
                      <wps:txbx>
                        <w:txbxContent>
                          <w:p w14:paraId="4D551372" w14:textId="117CD648" w:rsidR="006F1462" w:rsidRPr="00474989" w:rsidRDefault="006F1462" w:rsidP="00235F23">
                            <w:pPr>
                              <w:rPr>
                                <w:sz w:val="14"/>
                                <w:szCs w:val="14"/>
                              </w:rPr>
                            </w:pPr>
                            <w:r>
                              <w:rPr>
                                <w:sz w:val="14"/>
                                <w:szCs w:val="14"/>
                              </w:rPr>
                              <w:t>135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64E98" id="_x0000_s1044" type="#_x0000_t202" style="position:absolute;left:0;text-align:left;margin-left:267.4pt;margin-top:539.25pt;width:27.55pt;height:17.35pt;z-index:251658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" filled="f" stroked="f">
                <v:textbox>
                  <w:txbxContent>
                    <w:p w14:paraId="4D551372" w14:textId="117CD648" w:rsidR="006F1462" w:rsidRPr="00474989" w:rsidRDefault="006F1462" w:rsidP="00235F23">
                      <w:pPr>
                        <w:rPr>
                          <w:sz w:val="14"/>
                          <w:szCs w:val="14"/>
                        </w:rPr>
                      </w:pPr>
                      <w:r>
                        <w:rPr>
                          <w:sz w:val="14"/>
                          <w:szCs w:val="14"/>
                        </w:rPr>
                        <w:t>135</w:t>
                      </w:r>
                    </w:p>
                  </w:txbxContent>
                </v:textbox>
                <w10:wrap anchorx="margin" anchory="page"/>
              </v:shape>
            </w:pict>
          </mc:Fallback>
        </mc:AlternateContent>
      </w:r>
      <w:r w:rsidR="00197664" w:rsidRPr="001B79B5">
        <w:rPr>
          <w:noProof/>
          <w:sz w:val="24"/>
          <w:szCs w:val="24"/>
          <w:lang w:eastAsia="en-GB"/>
        </w:rPr>
        <mc:AlternateContent>
          <mc:Choice Requires="wps">
            <w:drawing>
              <wp:anchor distT="45720" distB="45720" distL="114300" distR="114300" simplePos="0" relativeHeight="251658300" behindDoc="0" locked="0" layoutInCell="1" allowOverlap="1" wp14:anchorId="2E35BDC1" wp14:editId="084EAC03">
                <wp:simplePos x="0" y="0"/>
                <wp:positionH relativeFrom="margin">
                  <wp:posOffset>4636135</wp:posOffset>
                </wp:positionH>
                <wp:positionV relativeFrom="page">
                  <wp:posOffset>6861755</wp:posOffset>
                </wp:positionV>
                <wp:extent cx="349857" cy="220345"/>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57" cy="220345"/>
                        </a:xfrm>
                        <a:prstGeom prst="rect">
                          <a:avLst/>
                        </a:prstGeom>
                        <a:noFill/>
                        <a:ln w="9525">
                          <a:noFill/>
                          <a:miter lim="800000"/>
                          <a:headEnd/>
                          <a:tailEnd/>
                        </a:ln>
                      </wps:spPr>
                      <wps:txbx>
                        <w:txbxContent>
                          <w:p w14:paraId="1AF89ADD" w14:textId="07AFC31C" w:rsidR="006F1462" w:rsidRPr="00474989" w:rsidRDefault="006F1462" w:rsidP="00197664">
                            <w:pPr>
                              <w:rPr>
                                <w:sz w:val="14"/>
                                <w:szCs w:val="14"/>
                              </w:rPr>
                            </w:pPr>
                            <w:r>
                              <w:rPr>
                                <w:sz w:val="14"/>
                                <w:szCs w:val="14"/>
                              </w:rPr>
                              <w:t>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5BDC1" id="_x0000_s1045" type="#_x0000_t202" style="position:absolute;left:0;text-align:left;margin-left:365.05pt;margin-top:540.3pt;width:27.55pt;height:17.35pt;z-index:251658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" filled="f" stroked="f">
                <v:textbox>
                  <w:txbxContent>
                    <w:p w14:paraId="1AF89ADD" w14:textId="07AFC31C" w:rsidR="006F1462" w:rsidRPr="00474989" w:rsidRDefault="006F1462" w:rsidP="00197664">
                      <w:pPr>
                        <w:rPr>
                          <w:sz w:val="14"/>
                          <w:szCs w:val="14"/>
                        </w:rPr>
                      </w:pPr>
                      <w:r>
                        <w:rPr>
                          <w:sz w:val="14"/>
                          <w:szCs w:val="14"/>
                        </w:rPr>
                        <w:t>150</w:t>
                      </w:r>
                    </w:p>
                  </w:txbxContent>
                </v:textbox>
                <w10:wrap anchorx="margin" anchory="page"/>
              </v:shape>
            </w:pict>
          </mc:Fallback>
        </mc:AlternateContent>
      </w:r>
      <w:r w:rsidR="00235F23" w:rsidRPr="001B79B5">
        <w:rPr>
          <w:noProof/>
          <w:sz w:val="24"/>
          <w:szCs w:val="24"/>
          <w:lang w:eastAsia="en-GB"/>
        </w:rPr>
        <mc:AlternateContent>
          <mc:Choice Requires="wps">
            <w:drawing>
              <wp:anchor distT="45720" distB="45720" distL="114300" distR="114300" simplePos="0" relativeHeight="251658298" behindDoc="0" locked="0" layoutInCell="1" allowOverlap="1" wp14:anchorId="217B6048" wp14:editId="1A478B8A">
                <wp:simplePos x="0" y="0"/>
                <wp:positionH relativeFrom="margin">
                  <wp:posOffset>2170706</wp:posOffset>
                </wp:positionH>
                <wp:positionV relativeFrom="page">
                  <wp:posOffset>6859629</wp:posOffset>
                </wp:positionV>
                <wp:extent cx="349857" cy="220345"/>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57" cy="220345"/>
                        </a:xfrm>
                        <a:prstGeom prst="rect">
                          <a:avLst/>
                        </a:prstGeom>
                        <a:noFill/>
                        <a:ln w="9525">
                          <a:noFill/>
                          <a:miter lim="800000"/>
                          <a:headEnd/>
                          <a:tailEnd/>
                        </a:ln>
                      </wps:spPr>
                      <wps:txbx>
                        <w:txbxContent>
                          <w:p w14:paraId="6B24531D" w14:textId="76A6B8F7" w:rsidR="006F1462" w:rsidRPr="00474989" w:rsidRDefault="006F1462" w:rsidP="00235F23">
                            <w:pPr>
                              <w:rPr>
                                <w:sz w:val="14"/>
                                <w:szCs w:val="14"/>
                              </w:rPr>
                            </w:pPr>
                            <w:r>
                              <w:rPr>
                                <w:sz w:val="14"/>
                                <w:szCs w:val="14"/>
                              </w:rPr>
                              <w:t>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B6048" id="_x0000_s1046" type="#_x0000_t202" style="position:absolute;left:0;text-align:left;margin-left:170.9pt;margin-top:540.15pt;width:27.55pt;height:17.35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" filled="f" stroked="f">
                <v:textbox>
                  <w:txbxContent>
                    <w:p w14:paraId="6B24531D" w14:textId="76A6B8F7" w:rsidR="006F1462" w:rsidRPr="00474989" w:rsidRDefault="006F1462" w:rsidP="00235F23">
                      <w:pPr>
                        <w:rPr>
                          <w:sz w:val="14"/>
                          <w:szCs w:val="14"/>
                        </w:rPr>
                      </w:pPr>
                      <w:r>
                        <w:rPr>
                          <w:sz w:val="14"/>
                          <w:szCs w:val="14"/>
                        </w:rPr>
                        <w:t>120</w:t>
                      </w:r>
                    </w:p>
                  </w:txbxContent>
                </v:textbox>
                <w10:wrap anchorx="margin" anchory="page"/>
              </v:shape>
            </w:pict>
          </mc:Fallback>
        </mc:AlternateContent>
      </w:r>
      <w:r w:rsidR="00D37B29" w:rsidRPr="001B79B5">
        <w:rPr>
          <w:noProof/>
          <w:sz w:val="24"/>
          <w:szCs w:val="24"/>
          <w:lang w:eastAsia="en-GB"/>
        </w:rPr>
        <mc:AlternateContent>
          <mc:Choice Requires="wps">
            <w:drawing>
              <wp:anchor distT="45720" distB="45720" distL="114300" distR="114300" simplePos="0" relativeHeight="251658297" behindDoc="0" locked="0" layoutInCell="1" allowOverlap="1" wp14:anchorId="4E571469" wp14:editId="4E2AF000">
                <wp:simplePos x="0" y="0"/>
                <wp:positionH relativeFrom="margin">
                  <wp:posOffset>914317</wp:posOffset>
                </wp:positionH>
                <wp:positionV relativeFrom="page">
                  <wp:posOffset>6861810</wp:posOffset>
                </wp:positionV>
                <wp:extent cx="349857" cy="220345"/>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57" cy="220345"/>
                        </a:xfrm>
                        <a:prstGeom prst="rect">
                          <a:avLst/>
                        </a:prstGeom>
                        <a:noFill/>
                        <a:ln w="9525">
                          <a:noFill/>
                          <a:miter lim="800000"/>
                          <a:headEnd/>
                          <a:tailEnd/>
                        </a:ln>
                      </wps:spPr>
                      <wps:txbx>
                        <w:txbxContent>
                          <w:p w14:paraId="0CFA4815" w14:textId="7C30BDD7" w:rsidR="006F1462" w:rsidRPr="00474989" w:rsidRDefault="006F1462" w:rsidP="00D37B29">
                            <w:pPr>
                              <w:rPr>
                                <w:sz w:val="14"/>
                                <w:szCs w:val="14"/>
                              </w:rPr>
                            </w:pPr>
                            <w:r>
                              <w:rPr>
                                <w:sz w:val="14"/>
                                <w:szCs w:val="14"/>
                              </w:rPr>
                              <w:t>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71469" id="_x0000_s1047" type="#_x0000_t202" style="position:absolute;left:0;text-align:left;margin-left:1in;margin-top:540.3pt;width:27.55pt;height:17.35pt;z-index:251658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" filled="f" stroked="f">
                <v:textbox>
                  <w:txbxContent>
                    <w:p w14:paraId="0CFA4815" w14:textId="7C30BDD7" w:rsidR="006F1462" w:rsidRPr="00474989" w:rsidRDefault="006F1462" w:rsidP="00D37B29">
                      <w:pPr>
                        <w:rPr>
                          <w:sz w:val="14"/>
                          <w:szCs w:val="14"/>
                        </w:rPr>
                      </w:pPr>
                      <w:r>
                        <w:rPr>
                          <w:sz w:val="14"/>
                          <w:szCs w:val="14"/>
                        </w:rPr>
                        <w:t>105</w:t>
                      </w:r>
                    </w:p>
                  </w:txbxContent>
                </v:textbox>
                <w10:wrap anchorx="margin" anchory="page"/>
              </v:shape>
            </w:pict>
          </mc:Fallback>
        </mc:AlternateContent>
      </w:r>
      <w:r w:rsidR="00D37B29" w:rsidRPr="001B79B5">
        <w:rPr>
          <w:noProof/>
          <w:sz w:val="24"/>
          <w:szCs w:val="24"/>
          <w:lang w:eastAsia="en-GB"/>
        </w:rPr>
        <mc:AlternateContent>
          <mc:Choice Requires="wps">
            <w:drawing>
              <wp:anchor distT="45720" distB="45720" distL="114300" distR="114300" simplePos="0" relativeHeight="251658296" behindDoc="0" locked="0" layoutInCell="1" allowOverlap="1" wp14:anchorId="6F60328C" wp14:editId="0A2292E6">
                <wp:simplePos x="0" y="0"/>
                <wp:positionH relativeFrom="margin">
                  <wp:posOffset>104664</wp:posOffset>
                </wp:positionH>
                <wp:positionV relativeFrom="page">
                  <wp:posOffset>6711950</wp:posOffset>
                </wp:positionV>
                <wp:extent cx="290057" cy="220345"/>
                <wp:effectExtent l="0" t="0" r="0" b="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57" cy="220345"/>
                        </a:xfrm>
                        <a:prstGeom prst="rect">
                          <a:avLst/>
                        </a:prstGeom>
                        <a:noFill/>
                        <a:ln w="9525">
                          <a:noFill/>
                          <a:miter lim="800000"/>
                          <a:headEnd/>
                          <a:tailEnd/>
                        </a:ln>
                      </wps:spPr>
                      <wps:txbx>
                        <w:txbxContent>
                          <w:p w14:paraId="12992B0F" w14:textId="42B00499" w:rsidR="006F1462" w:rsidRPr="00474989" w:rsidRDefault="006F1462" w:rsidP="00D37B29">
                            <w:pPr>
                              <w:rPr>
                                <w:sz w:val="14"/>
                                <w:szCs w:val="14"/>
                              </w:rPr>
                            </w:pPr>
                            <w:r>
                              <w:rPr>
                                <w:sz w:val="14"/>
                                <w:szCs w:val="1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0328C" id="_x0000_s1048" type="#_x0000_t202" style="position:absolute;left:0;text-align:left;margin-left:8.25pt;margin-top:528.5pt;width:22.85pt;height:17.35pt;z-index:251658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" filled="f" stroked="f">
                <v:textbox>
                  <w:txbxContent>
                    <w:p w14:paraId="12992B0F" w14:textId="42B00499" w:rsidR="006F1462" w:rsidRPr="00474989" w:rsidRDefault="006F1462" w:rsidP="00D37B29">
                      <w:pPr>
                        <w:rPr>
                          <w:sz w:val="14"/>
                          <w:szCs w:val="14"/>
                        </w:rPr>
                      </w:pPr>
                      <w:r>
                        <w:rPr>
                          <w:sz w:val="14"/>
                          <w:szCs w:val="14"/>
                        </w:rPr>
                        <w:t>21</w:t>
                      </w:r>
                    </w:p>
                  </w:txbxContent>
                </v:textbox>
                <w10:wrap anchorx="margin" anchory="page"/>
              </v:shape>
            </w:pict>
          </mc:Fallback>
        </mc:AlternateContent>
      </w:r>
      <w:r w:rsidR="00EE7CE4" w:rsidRPr="001B79B5">
        <w:rPr>
          <w:noProof/>
          <w:sz w:val="24"/>
          <w:szCs w:val="24"/>
          <w:lang w:eastAsia="en-GB"/>
        </w:rPr>
        <mc:AlternateContent>
          <mc:Choice Requires="wps">
            <w:drawing>
              <wp:anchor distT="45720" distB="45720" distL="114300" distR="114300" simplePos="0" relativeHeight="251658295" behindDoc="0" locked="0" layoutInCell="1" allowOverlap="1" wp14:anchorId="40BCA687" wp14:editId="136DA669">
                <wp:simplePos x="0" y="0"/>
                <wp:positionH relativeFrom="margin">
                  <wp:posOffset>95167</wp:posOffset>
                </wp:positionH>
                <wp:positionV relativeFrom="page">
                  <wp:posOffset>6035040</wp:posOffset>
                </wp:positionV>
                <wp:extent cx="290057" cy="220345"/>
                <wp:effectExtent l="0" t="0" r="0"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57" cy="220345"/>
                        </a:xfrm>
                        <a:prstGeom prst="rect">
                          <a:avLst/>
                        </a:prstGeom>
                        <a:noFill/>
                        <a:ln w="9525">
                          <a:noFill/>
                          <a:miter lim="800000"/>
                          <a:headEnd/>
                          <a:tailEnd/>
                        </a:ln>
                      </wps:spPr>
                      <wps:txbx>
                        <w:txbxContent>
                          <w:p w14:paraId="64A82407" w14:textId="1B2F8C22" w:rsidR="006F1462" w:rsidRPr="00474989" w:rsidRDefault="006F1462" w:rsidP="00EE7CE4">
                            <w:pPr>
                              <w:rPr>
                                <w:sz w:val="14"/>
                                <w:szCs w:val="14"/>
                              </w:rPr>
                            </w:pPr>
                            <w:r>
                              <w:rPr>
                                <w:sz w:val="14"/>
                                <w:szCs w:val="14"/>
                              </w:rPr>
                              <w:t>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CA687" id="_x0000_s1049" type="#_x0000_t202" style="position:absolute;left:0;text-align:left;margin-left:7.5pt;margin-top:475.2pt;width:22.85pt;height:17.35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mnDwIAAPsDAAAOAAAAZHJzL2Uyb0RvYy54bWysU9uO2yAQfa/Uf0C8N3Ycp7u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" filled="f" stroked="f">
                <v:textbox>
                  <w:txbxContent>
                    <w:p w14:paraId="64A82407" w14:textId="1B2F8C22" w:rsidR="006F1462" w:rsidRPr="00474989" w:rsidRDefault="006F1462" w:rsidP="00EE7CE4">
                      <w:pPr>
                        <w:rPr>
                          <w:sz w:val="14"/>
                          <w:szCs w:val="14"/>
                        </w:rPr>
                      </w:pPr>
                      <w:r>
                        <w:rPr>
                          <w:sz w:val="14"/>
                          <w:szCs w:val="14"/>
                        </w:rPr>
                        <w:t>85</w:t>
                      </w:r>
                    </w:p>
                  </w:txbxContent>
                </v:textbox>
                <w10:wrap anchorx="margin" anchory="page"/>
              </v:shape>
            </w:pict>
          </mc:Fallback>
        </mc:AlternateContent>
      </w:r>
      <w:r w:rsidR="00E62F22" w:rsidRPr="001B79B5">
        <w:rPr>
          <w:noProof/>
          <w:sz w:val="24"/>
          <w:szCs w:val="24"/>
          <w:lang w:eastAsia="en-GB"/>
        </w:rPr>
        <mc:AlternateContent>
          <mc:Choice Requires="wps">
            <w:drawing>
              <wp:anchor distT="45720" distB="45720" distL="114300" distR="114300" simplePos="0" relativeHeight="251658294" behindDoc="0" locked="0" layoutInCell="1" allowOverlap="1" wp14:anchorId="76863A1A" wp14:editId="2BC98BEF">
                <wp:simplePos x="0" y="0"/>
                <wp:positionH relativeFrom="margin">
                  <wp:posOffset>64825</wp:posOffset>
                </wp:positionH>
                <wp:positionV relativeFrom="page">
                  <wp:posOffset>5328561</wp:posOffset>
                </wp:positionV>
                <wp:extent cx="329813" cy="220345"/>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3" cy="220345"/>
                        </a:xfrm>
                        <a:prstGeom prst="rect">
                          <a:avLst/>
                        </a:prstGeom>
                        <a:noFill/>
                        <a:ln w="9525">
                          <a:noFill/>
                          <a:miter lim="800000"/>
                          <a:headEnd/>
                          <a:tailEnd/>
                        </a:ln>
                      </wps:spPr>
                      <wps:txbx>
                        <w:txbxContent>
                          <w:p w14:paraId="1FC7E5CE" w14:textId="7BC99DEF" w:rsidR="006F1462" w:rsidRPr="00474989" w:rsidRDefault="006F1462" w:rsidP="00E62F22">
                            <w:pPr>
                              <w:rPr>
                                <w:sz w:val="14"/>
                                <w:szCs w:val="14"/>
                              </w:rPr>
                            </w:pPr>
                            <w:r>
                              <w:rPr>
                                <w:sz w:val="14"/>
                                <w:szCs w:val="14"/>
                              </w:rPr>
                              <w:t>139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63A1A" id="_x0000_s1050" type="#_x0000_t202" style="position:absolute;left:0;text-align:left;margin-left:5.1pt;margin-top:419.55pt;width:25.95pt;height:17.35pt;z-index:2516582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" filled="f" stroked="f">
                <v:textbox>
                  <w:txbxContent>
                    <w:p w14:paraId="1FC7E5CE" w14:textId="7BC99DEF" w:rsidR="006F1462" w:rsidRPr="00474989" w:rsidRDefault="006F1462" w:rsidP="00E62F22">
                      <w:pPr>
                        <w:rPr>
                          <w:sz w:val="14"/>
                          <w:szCs w:val="14"/>
                        </w:rPr>
                      </w:pPr>
                      <w:r>
                        <w:rPr>
                          <w:sz w:val="14"/>
                          <w:szCs w:val="14"/>
                        </w:rPr>
                        <w:t>139</w:t>
                      </w:r>
                    </w:p>
                  </w:txbxContent>
                </v:textbox>
                <w10:wrap anchorx="margin" anchory="page"/>
              </v:shape>
            </w:pict>
          </mc:Fallback>
        </mc:AlternateContent>
      </w:r>
      <w:r w:rsidR="001F7056" w:rsidRPr="001B79B5">
        <w:rPr>
          <w:noProof/>
          <w:sz w:val="24"/>
          <w:szCs w:val="24"/>
          <w:lang w:eastAsia="en-GB"/>
        </w:rPr>
        <mc:AlternateContent>
          <mc:Choice Requires="wps">
            <w:drawing>
              <wp:anchor distT="45720" distB="45720" distL="114300" distR="114300" simplePos="0" relativeHeight="251658293" behindDoc="0" locked="0" layoutInCell="1" allowOverlap="1" wp14:anchorId="10373268" wp14:editId="6D2F8ADD">
                <wp:simplePos x="0" y="0"/>
                <wp:positionH relativeFrom="margin">
                  <wp:posOffset>64853</wp:posOffset>
                </wp:positionH>
                <wp:positionV relativeFrom="page">
                  <wp:posOffset>4652783</wp:posOffset>
                </wp:positionV>
                <wp:extent cx="329813" cy="220345"/>
                <wp:effectExtent l="0" t="0" r="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3" cy="220345"/>
                        </a:xfrm>
                        <a:prstGeom prst="rect">
                          <a:avLst/>
                        </a:prstGeom>
                        <a:noFill/>
                        <a:ln w="9525">
                          <a:noFill/>
                          <a:miter lim="800000"/>
                          <a:headEnd/>
                          <a:tailEnd/>
                        </a:ln>
                      </wps:spPr>
                      <wps:txbx>
                        <w:txbxContent>
                          <w:p w14:paraId="27E302C7" w14:textId="4370245E" w:rsidR="006F1462" w:rsidRPr="00474989" w:rsidRDefault="006F1462" w:rsidP="001F7056">
                            <w:pPr>
                              <w:rPr>
                                <w:sz w:val="14"/>
                                <w:szCs w:val="14"/>
                              </w:rPr>
                            </w:pPr>
                            <w:r>
                              <w:rPr>
                                <w:sz w:val="14"/>
                                <w:szCs w:val="14"/>
                              </w:rPr>
                              <w:t>193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73268" id="_x0000_s1051" type="#_x0000_t202" style="position:absolute;left:0;text-align:left;margin-left:5.1pt;margin-top:366.35pt;width:25.95pt;height:17.35pt;z-index:251658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" filled="f" stroked="f">
                <v:textbox>
                  <w:txbxContent>
                    <w:p w14:paraId="27E302C7" w14:textId="4370245E" w:rsidR="006F1462" w:rsidRPr="00474989" w:rsidRDefault="006F1462" w:rsidP="001F7056">
                      <w:pPr>
                        <w:rPr>
                          <w:sz w:val="14"/>
                          <w:szCs w:val="14"/>
                        </w:rPr>
                      </w:pPr>
                      <w:r>
                        <w:rPr>
                          <w:sz w:val="14"/>
                          <w:szCs w:val="14"/>
                        </w:rPr>
                        <w:t>193</w:t>
                      </w:r>
                    </w:p>
                  </w:txbxContent>
                </v:textbox>
                <w10:wrap anchorx="margin" anchory="page"/>
              </v:shape>
            </w:pict>
          </mc:Fallback>
        </mc:AlternateContent>
      </w:r>
      <w:r w:rsidR="00B14AE0" w:rsidRPr="001B79B5">
        <w:rPr>
          <w:noProof/>
          <w:sz w:val="24"/>
          <w:szCs w:val="24"/>
          <w:lang w:eastAsia="en-GB"/>
        </w:rPr>
        <mc:AlternateContent>
          <mc:Choice Requires="wps">
            <w:drawing>
              <wp:anchor distT="45720" distB="45720" distL="114300" distR="114300" simplePos="0" relativeHeight="251658292" behindDoc="0" locked="0" layoutInCell="1" allowOverlap="1" wp14:anchorId="381AA23C" wp14:editId="3DEEC7A4">
                <wp:simplePos x="0" y="0"/>
                <wp:positionH relativeFrom="margin">
                  <wp:posOffset>47321</wp:posOffset>
                </wp:positionH>
                <wp:positionV relativeFrom="page">
                  <wp:posOffset>4054807</wp:posOffset>
                </wp:positionV>
                <wp:extent cx="329813" cy="220345"/>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3" cy="220345"/>
                        </a:xfrm>
                        <a:prstGeom prst="rect">
                          <a:avLst/>
                        </a:prstGeom>
                        <a:noFill/>
                        <a:ln w="9525">
                          <a:noFill/>
                          <a:miter lim="800000"/>
                          <a:headEnd/>
                          <a:tailEnd/>
                        </a:ln>
                      </wps:spPr>
                      <wps:txbx>
                        <w:txbxContent>
                          <w:p w14:paraId="04B81E51" w14:textId="43852CAC" w:rsidR="006F1462" w:rsidRPr="00474989" w:rsidRDefault="006F1462" w:rsidP="00B14AE0">
                            <w:pPr>
                              <w:rPr>
                                <w:sz w:val="14"/>
                                <w:szCs w:val="14"/>
                              </w:rPr>
                            </w:pPr>
                            <w:r w:rsidRPr="00474989">
                              <w:rPr>
                                <w:sz w:val="14"/>
                                <w:szCs w:val="14"/>
                              </w:rPr>
                              <w:t>247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AA23C" id="_x0000_s1052" type="#_x0000_t202" style="position:absolute;left:0;text-align:left;margin-left:3.75pt;margin-top:319.3pt;width:25.95pt;height:17.35pt;z-index:2516582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" filled="f" stroked="f">
                <v:textbox>
                  <w:txbxContent>
                    <w:p w14:paraId="04B81E51" w14:textId="43852CAC" w:rsidR="006F1462" w:rsidRPr="00474989" w:rsidRDefault="006F1462" w:rsidP="00B14AE0">
                      <w:pPr>
                        <w:rPr>
                          <w:sz w:val="14"/>
                          <w:szCs w:val="14"/>
                        </w:rPr>
                      </w:pPr>
                      <w:r w:rsidRPr="00474989">
                        <w:rPr>
                          <w:sz w:val="14"/>
                          <w:szCs w:val="14"/>
                        </w:rPr>
                        <w:t>247</w:t>
                      </w:r>
                    </w:p>
                  </w:txbxContent>
                </v:textbox>
                <w10:wrap anchorx="margin" anchory="page"/>
              </v:shape>
            </w:pict>
          </mc:Fallback>
        </mc:AlternateContent>
      </w:r>
      <w:r w:rsidR="00B14AE0">
        <w:rPr>
          <w:noProof/>
          <w:sz w:val="24"/>
          <w:szCs w:val="24"/>
          <w:lang w:eastAsia="en-GB"/>
        </w:rPr>
        <mc:AlternateContent>
          <mc:Choice Requires="wps">
            <w:drawing>
              <wp:anchor distT="0" distB="0" distL="114300" distR="114300" simplePos="0" relativeHeight="251658275" behindDoc="0" locked="0" layoutInCell="1" allowOverlap="1" wp14:anchorId="3C7204F6" wp14:editId="41B9069D">
                <wp:simplePos x="0" y="0"/>
                <wp:positionH relativeFrom="column">
                  <wp:posOffset>2562225</wp:posOffset>
                </wp:positionH>
                <wp:positionV relativeFrom="page">
                  <wp:posOffset>6829425</wp:posOffset>
                </wp:positionV>
                <wp:extent cx="962025" cy="276225"/>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962025" cy="276225"/>
                        </a:xfrm>
                        <a:prstGeom prst="rect">
                          <a:avLst/>
                        </a:prstGeom>
                        <a:noFill/>
                        <a:ln w="6350">
                          <a:noFill/>
                        </a:ln>
                      </wps:spPr>
                      <wps:txbx>
                        <w:txbxContent>
                          <w:p w14:paraId="7E7B6E9C" w14:textId="77777777" w:rsidR="006F1462" w:rsidRPr="001D2E4A" w:rsidRDefault="006F1462" w:rsidP="00FD4AA2">
                            <w:pPr>
                              <w:rPr>
                                <w:sz w:val="20"/>
                                <w:szCs w:val="20"/>
                              </w:rPr>
                            </w:pPr>
                            <w:r w:rsidRPr="001D2E4A">
                              <w:rPr>
                                <w:sz w:val="20"/>
                                <w:szCs w:val="20"/>
                              </w:rPr>
                              <w:t>Energy (keV)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204F6" id="Text Box 325" o:spid="_x0000_s1053" type="#_x0000_t202" style="position:absolute;left:0;text-align:left;margin-left:201.75pt;margin-top:537.75pt;width:75.75pt;height:21.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" filled="f" stroked="f" strokeweight=".5pt">
                <v:textbox>
                  <w:txbxContent>
                    <w:p w14:paraId="7E7B6E9C" w14:textId="77777777" w:rsidR="006F1462" w:rsidRPr="001D2E4A" w:rsidRDefault="006F1462" w:rsidP="00FD4AA2">
                      <w:pPr>
                        <w:rPr>
                          <w:sz w:val="20"/>
                          <w:szCs w:val="20"/>
                        </w:rPr>
                      </w:pPr>
                      <w:r w:rsidRPr="001D2E4A">
                        <w:rPr>
                          <w:sz w:val="20"/>
                          <w:szCs w:val="20"/>
                        </w:rPr>
                        <w:t>Energy (keV)</w:t>
                      </w:r>
                    </w:p>
                  </w:txbxContent>
                </v:textbox>
                <w10:wrap anchory="page"/>
              </v:shape>
            </w:pict>
          </mc:Fallback>
        </mc:AlternateContent>
      </w:r>
      <w:r w:rsidR="000076D6" w:rsidRPr="003707CC">
        <w:rPr>
          <w:noProof/>
          <w:sz w:val="24"/>
          <w:szCs w:val="24"/>
          <w:lang w:eastAsia="en-GB"/>
        </w:rPr>
        <mc:AlternateContent>
          <mc:Choice Requires="wps">
            <w:drawing>
              <wp:anchor distT="45720" distB="45720" distL="114300" distR="114300" simplePos="0" relativeHeight="251658247" behindDoc="0" locked="0" layoutInCell="1" allowOverlap="1" wp14:anchorId="209AE33F" wp14:editId="4C165B3D">
                <wp:simplePos x="0" y="0"/>
                <wp:positionH relativeFrom="margin">
                  <wp:posOffset>3977999</wp:posOffset>
                </wp:positionH>
                <wp:positionV relativeFrom="page">
                  <wp:posOffset>5931949</wp:posOffset>
                </wp:positionV>
                <wp:extent cx="590550" cy="319405"/>
                <wp:effectExtent l="0" t="0" r="0" b="4445"/>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19405"/>
                        </a:xfrm>
                        <a:prstGeom prst="rect">
                          <a:avLst/>
                        </a:prstGeom>
                        <a:noFill/>
                        <a:ln w="9525">
                          <a:noFill/>
                          <a:miter lim="800000"/>
                          <a:headEnd/>
                          <a:tailEnd/>
                        </a:ln>
                      </wps:spPr>
                      <wps:txbx>
                        <w:txbxContent>
                          <w:p w14:paraId="3C1B99CE" w14:textId="3B78A6D3" w:rsidR="006F1462" w:rsidRPr="002666D0" w:rsidRDefault="006F1462" w:rsidP="00042BC7">
                            <w:pPr>
                              <w:rPr>
                                <w:sz w:val="24"/>
                                <w:szCs w:val="24"/>
                              </w:rPr>
                            </w:pPr>
                            <w:r w:rsidRPr="002666D0">
                              <w:rPr>
                                <w:sz w:val="24"/>
                                <w:szCs w:val="24"/>
                                <w:vertAlign w:val="superscript"/>
                              </w:rPr>
                              <w:t>230</w:t>
                            </w:r>
                            <w:r w:rsidRPr="002666D0">
                              <w:rPr>
                                <w:sz w:val="24"/>
                                <w:szCs w:val="24"/>
                              </w:rPr>
                              <w:t>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AE33F" id="_x0000_s1054" type="#_x0000_t202" style="position:absolute;left:0;text-align:left;margin-left:313.25pt;margin-top:467.1pt;width:46.5pt;height:25.1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" filled="f" stroked="f">
                <v:textbox>
                  <w:txbxContent>
                    <w:p w14:paraId="3C1B99CE" w14:textId="3B78A6D3" w:rsidR="006F1462" w:rsidRPr="002666D0" w:rsidRDefault="006F1462" w:rsidP="00042BC7">
                      <w:pPr>
                        <w:rPr>
                          <w:sz w:val="24"/>
                          <w:szCs w:val="24"/>
                        </w:rPr>
                      </w:pPr>
                      <w:r w:rsidRPr="002666D0">
                        <w:rPr>
                          <w:sz w:val="24"/>
                          <w:szCs w:val="24"/>
                          <w:vertAlign w:val="superscript"/>
                        </w:rPr>
                        <w:t>230</w:t>
                      </w:r>
                      <w:r w:rsidRPr="002666D0">
                        <w:rPr>
                          <w:sz w:val="24"/>
                          <w:szCs w:val="24"/>
                        </w:rPr>
                        <w:t>Th</w:t>
                      </w:r>
                    </w:p>
                  </w:txbxContent>
                </v:textbox>
                <w10:wrap anchorx="margin" anchory="page"/>
              </v:shape>
            </w:pict>
          </mc:Fallback>
        </mc:AlternateContent>
      </w:r>
      <w:r w:rsidR="001D2E4A" w:rsidRPr="003707CC">
        <w:rPr>
          <w:noProof/>
          <w:sz w:val="24"/>
          <w:szCs w:val="24"/>
          <w:lang w:eastAsia="en-GB"/>
        </w:rPr>
        <mc:AlternateContent>
          <mc:Choice Requires="wps">
            <w:drawing>
              <wp:anchor distT="45720" distB="45720" distL="114300" distR="114300" simplePos="0" relativeHeight="251658248" behindDoc="0" locked="0" layoutInCell="1" allowOverlap="1" wp14:anchorId="22437E82" wp14:editId="35D3480C">
                <wp:simplePos x="0" y="0"/>
                <wp:positionH relativeFrom="margin">
                  <wp:posOffset>4866198</wp:posOffset>
                </wp:positionH>
                <wp:positionV relativeFrom="page">
                  <wp:posOffset>6122504</wp:posOffset>
                </wp:positionV>
                <wp:extent cx="580445" cy="309880"/>
                <wp:effectExtent l="0" t="0" r="0" b="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45" cy="309880"/>
                        </a:xfrm>
                        <a:prstGeom prst="rect">
                          <a:avLst/>
                        </a:prstGeom>
                        <a:noFill/>
                        <a:ln w="9525">
                          <a:noFill/>
                          <a:miter lim="800000"/>
                          <a:headEnd/>
                          <a:tailEnd/>
                        </a:ln>
                      </wps:spPr>
                      <wps:txbx>
                        <w:txbxContent>
                          <w:p w14:paraId="66FC4B48" w14:textId="4228F7D5" w:rsidR="006F1462" w:rsidRPr="002666D0" w:rsidRDefault="006F1462" w:rsidP="00042BC7">
                            <w:pPr>
                              <w:rPr>
                                <w:sz w:val="24"/>
                                <w:szCs w:val="24"/>
                              </w:rPr>
                            </w:pPr>
                            <w:r w:rsidRPr="002666D0">
                              <w:rPr>
                                <w:sz w:val="24"/>
                                <w:szCs w:val="24"/>
                                <w:vertAlign w:val="superscript"/>
                              </w:rPr>
                              <w:t>223</w:t>
                            </w:r>
                            <w:r w:rsidRPr="002666D0">
                              <w:rPr>
                                <w:sz w:val="24"/>
                                <w:szCs w:val="24"/>
                              </w:rPr>
                              <w: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37E82" id="_x0000_s1055" type="#_x0000_t202" style="position:absolute;left:0;text-align:left;margin-left:383.15pt;margin-top:482.1pt;width:45.7pt;height:24.4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" filled="f" stroked="f">
                <v:textbox>
                  <w:txbxContent>
                    <w:p w14:paraId="66FC4B48" w14:textId="4228F7D5" w:rsidR="006F1462" w:rsidRPr="002666D0" w:rsidRDefault="006F1462" w:rsidP="00042BC7">
                      <w:pPr>
                        <w:rPr>
                          <w:sz w:val="24"/>
                          <w:szCs w:val="24"/>
                        </w:rPr>
                      </w:pPr>
                      <w:r w:rsidRPr="002666D0">
                        <w:rPr>
                          <w:sz w:val="24"/>
                          <w:szCs w:val="24"/>
                          <w:vertAlign w:val="superscript"/>
                        </w:rPr>
                        <w:t>223</w:t>
                      </w:r>
                      <w:r w:rsidRPr="002666D0">
                        <w:rPr>
                          <w:sz w:val="24"/>
                          <w:szCs w:val="24"/>
                        </w:rPr>
                        <w:t>Ra</w:t>
                      </w:r>
                    </w:p>
                  </w:txbxContent>
                </v:textbox>
                <w10:wrap anchorx="margin" anchory="page"/>
              </v:shape>
            </w:pict>
          </mc:Fallback>
        </mc:AlternateContent>
      </w:r>
      <w:r w:rsidR="001D2E4A" w:rsidRPr="003707CC">
        <w:rPr>
          <w:noProof/>
          <w:sz w:val="24"/>
          <w:szCs w:val="24"/>
          <w:lang w:eastAsia="en-GB"/>
        </w:rPr>
        <mc:AlternateContent>
          <mc:Choice Requires="wps">
            <w:drawing>
              <wp:anchor distT="45720" distB="45720" distL="114300" distR="114300" simplePos="0" relativeHeight="251658243" behindDoc="0" locked="0" layoutInCell="1" allowOverlap="1" wp14:anchorId="4550B89F" wp14:editId="536F0D99">
                <wp:simplePos x="0" y="0"/>
                <wp:positionH relativeFrom="column">
                  <wp:posOffset>2743201</wp:posOffset>
                </wp:positionH>
                <wp:positionV relativeFrom="page">
                  <wp:posOffset>5724939</wp:posOffset>
                </wp:positionV>
                <wp:extent cx="596348" cy="295275"/>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48" cy="295275"/>
                        </a:xfrm>
                        <a:prstGeom prst="rect">
                          <a:avLst/>
                        </a:prstGeom>
                        <a:noFill/>
                        <a:ln w="9525">
                          <a:noFill/>
                          <a:miter lim="800000"/>
                          <a:headEnd/>
                          <a:tailEnd/>
                        </a:ln>
                      </wps:spPr>
                      <wps:txbx>
                        <w:txbxContent>
                          <w:p w14:paraId="0E686AFA" w14:textId="46026A68" w:rsidR="006F1462" w:rsidRPr="002666D0" w:rsidRDefault="006F1462" w:rsidP="000E40A9">
                            <w:pPr>
                              <w:rPr>
                                <w:sz w:val="24"/>
                                <w:szCs w:val="24"/>
                              </w:rPr>
                            </w:pPr>
                            <w:r w:rsidRPr="002666D0">
                              <w:rPr>
                                <w:sz w:val="24"/>
                                <w:szCs w:val="24"/>
                                <w:vertAlign w:val="superscript"/>
                              </w:rPr>
                              <w:t>228</w:t>
                            </w:r>
                            <w:r w:rsidRPr="002666D0">
                              <w:rPr>
                                <w:sz w:val="24"/>
                                <w:szCs w:val="24"/>
                              </w:rPr>
                              <w:t>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B89F" id="_x0000_s1056" type="#_x0000_t202" style="position:absolute;left:0;text-align:left;margin-left:3in;margin-top:450.8pt;width:46.95pt;height:23.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" filled="f" stroked="f">
                <v:textbox>
                  <w:txbxContent>
                    <w:p w14:paraId="0E686AFA" w14:textId="46026A68" w:rsidR="006F1462" w:rsidRPr="002666D0" w:rsidRDefault="006F1462" w:rsidP="000E40A9">
                      <w:pPr>
                        <w:rPr>
                          <w:sz w:val="24"/>
                          <w:szCs w:val="24"/>
                        </w:rPr>
                      </w:pPr>
                      <w:r w:rsidRPr="002666D0">
                        <w:rPr>
                          <w:sz w:val="24"/>
                          <w:szCs w:val="24"/>
                          <w:vertAlign w:val="superscript"/>
                        </w:rPr>
                        <w:t>228</w:t>
                      </w:r>
                      <w:r w:rsidRPr="002666D0">
                        <w:rPr>
                          <w:sz w:val="24"/>
                          <w:szCs w:val="24"/>
                        </w:rPr>
                        <w:t>Ac</w:t>
                      </w:r>
                    </w:p>
                  </w:txbxContent>
                </v:textbox>
                <w10:wrap anchory="page"/>
              </v:shape>
            </w:pict>
          </mc:Fallback>
        </mc:AlternateContent>
      </w:r>
      <w:r w:rsidR="001D2E4A" w:rsidRPr="003707CC">
        <w:rPr>
          <w:noProof/>
          <w:sz w:val="24"/>
          <w:szCs w:val="24"/>
          <w:lang w:eastAsia="en-GB"/>
        </w:rPr>
        <mc:AlternateContent>
          <mc:Choice Requires="wps">
            <w:drawing>
              <wp:anchor distT="45720" distB="45720" distL="114300" distR="114300" simplePos="0" relativeHeight="251658250" behindDoc="0" locked="0" layoutInCell="1" allowOverlap="1" wp14:anchorId="5B5D2D53" wp14:editId="1CE266DE">
                <wp:simplePos x="0" y="0"/>
                <wp:positionH relativeFrom="column">
                  <wp:posOffset>1534602</wp:posOffset>
                </wp:positionH>
                <wp:positionV relativeFrom="page">
                  <wp:posOffset>6106602</wp:posOffset>
                </wp:positionV>
                <wp:extent cx="699715" cy="287655"/>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15" cy="287655"/>
                        </a:xfrm>
                        <a:prstGeom prst="rect">
                          <a:avLst/>
                        </a:prstGeom>
                        <a:noFill/>
                        <a:ln w="9525">
                          <a:noFill/>
                          <a:miter lim="800000"/>
                          <a:headEnd/>
                          <a:tailEnd/>
                        </a:ln>
                      </wps:spPr>
                      <wps:txbx>
                        <w:txbxContent>
                          <w:p w14:paraId="350D315B" w14:textId="15B5F223" w:rsidR="006F1462" w:rsidRPr="007F2A59" w:rsidRDefault="006F1462" w:rsidP="00042BC7">
                            <w:r w:rsidRPr="007F2A59">
                              <w:t>Unclear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D2D53" id="_x0000_s1057" type="#_x0000_t202" style="position:absolute;left:0;text-align:left;margin-left:120.85pt;margin-top:480.85pt;width:55.1pt;height:22.6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" filled="f" stroked="f">
                <v:textbox>
                  <w:txbxContent>
                    <w:p w14:paraId="350D315B" w14:textId="15B5F223" w:rsidR="006F1462" w:rsidRPr="007F2A59" w:rsidRDefault="006F1462" w:rsidP="00042BC7">
                      <w:r w:rsidRPr="007F2A59">
                        <w:t>Unclear</w:t>
                      </w:r>
                    </w:p>
                  </w:txbxContent>
                </v:textbox>
                <w10:wrap anchory="page"/>
              </v:shape>
            </w:pict>
          </mc:Fallback>
        </mc:AlternateContent>
      </w:r>
      <w:r w:rsidR="001D2E4A" w:rsidRPr="003707CC">
        <w:rPr>
          <w:noProof/>
          <w:sz w:val="24"/>
          <w:szCs w:val="24"/>
          <w:lang w:eastAsia="en-GB"/>
        </w:rPr>
        <mc:AlternateContent>
          <mc:Choice Requires="wps">
            <w:drawing>
              <wp:anchor distT="45720" distB="45720" distL="114300" distR="114300" simplePos="0" relativeHeight="251658252" behindDoc="0" locked="0" layoutInCell="1" allowOverlap="1" wp14:anchorId="0EF9C043" wp14:editId="44013AAE">
                <wp:simplePos x="0" y="0"/>
                <wp:positionH relativeFrom="column">
                  <wp:posOffset>326003</wp:posOffset>
                </wp:positionH>
                <wp:positionV relativeFrom="page">
                  <wp:posOffset>5923722</wp:posOffset>
                </wp:positionV>
                <wp:extent cx="691764" cy="326003"/>
                <wp:effectExtent l="0" t="0" r="0" b="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764" cy="326003"/>
                        </a:xfrm>
                        <a:prstGeom prst="rect">
                          <a:avLst/>
                        </a:prstGeom>
                        <a:noFill/>
                        <a:ln w="9525">
                          <a:noFill/>
                          <a:miter lim="800000"/>
                          <a:headEnd/>
                          <a:tailEnd/>
                        </a:ln>
                      </wps:spPr>
                      <wps:txbx>
                        <w:txbxContent>
                          <w:p w14:paraId="5ED8BA70" w14:textId="77777777" w:rsidR="006F1462" w:rsidRPr="007F2A59" w:rsidRDefault="006F1462" w:rsidP="00DB45CE">
                            <w:r w:rsidRPr="007F2A59">
                              <w:t>Unclear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9C043" id="_x0000_s1058" type="#_x0000_t202" style="position:absolute;left:0;text-align:left;margin-left:25.65pt;margin-top:466.45pt;width:54.45pt;height:25.6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" filled="f" stroked="f">
                <v:textbox>
                  <w:txbxContent>
                    <w:p w14:paraId="5ED8BA70" w14:textId="77777777" w:rsidR="006F1462" w:rsidRPr="007F2A59" w:rsidRDefault="006F1462" w:rsidP="00DB45CE">
                      <w:r w:rsidRPr="007F2A59">
                        <w:t>Unclear</w:t>
                      </w:r>
                    </w:p>
                  </w:txbxContent>
                </v:textbox>
                <w10:wrap anchory="page"/>
              </v:shape>
            </w:pict>
          </mc:Fallback>
        </mc:AlternateContent>
      </w:r>
      <w:r w:rsidR="001D2E4A" w:rsidRPr="003707CC">
        <w:rPr>
          <w:noProof/>
          <w:sz w:val="24"/>
          <w:szCs w:val="24"/>
          <w:lang w:eastAsia="en-GB"/>
        </w:rPr>
        <mc:AlternateContent>
          <mc:Choice Requires="wps">
            <w:drawing>
              <wp:anchor distT="45720" distB="45720" distL="114300" distR="114300" simplePos="0" relativeHeight="251658251" behindDoc="0" locked="0" layoutInCell="1" allowOverlap="1" wp14:anchorId="306B8113" wp14:editId="5F143482">
                <wp:simplePos x="0" y="0"/>
                <wp:positionH relativeFrom="column">
                  <wp:posOffset>930303</wp:posOffset>
                </wp:positionH>
                <wp:positionV relativeFrom="page">
                  <wp:posOffset>6019137</wp:posOffset>
                </wp:positionV>
                <wp:extent cx="707666" cy="286247"/>
                <wp:effectExtent l="0" t="0" r="0"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66" cy="286247"/>
                        </a:xfrm>
                        <a:prstGeom prst="rect">
                          <a:avLst/>
                        </a:prstGeom>
                        <a:noFill/>
                        <a:ln w="9525">
                          <a:noFill/>
                          <a:miter lim="800000"/>
                          <a:headEnd/>
                          <a:tailEnd/>
                        </a:ln>
                      </wps:spPr>
                      <wps:txbx>
                        <w:txbxContent>
                          <w:p w14:paraId="43DDFD72" w14:textId="77777777" w:rsidR="006F1462" w:rsidRPr="007F2A59" w:rsidRDefault="006F1462" w:rsidP="00042BC7">
                            <w:r w:rsidRPr="007F2A59">
                              <w:t>Unclear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B8113" id="_x0000_s1059" type="#_x0000_t202" style="position:absolute;left:0;text-align:left;margin-left:73.25pt;margin-top:473.95pt;width:55.7pt;height:22.5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" filled="f" stroked="f">
                <v:textbox>
                  <w:txbxContent>
                    <w:p w14:paraId="43DDFD72" w14:textId="77777777" w:rsidR="006F1462" w:rsidRPr="007F2A59" w:rsidRDefault="006F1462" w:rsidP="00042BC7">
                      <w:r w:rsidRPr="007F2A59">
                        <w:t>Unclear</w:t>
                      </w:r>
                    </w:p>
                  </w:txbxContent>
                </v:textbox>
                <w10:wrap anchory="page"/>
              </v:shape>
            </w:pict>
          </mc:Fallback>
        </mc:AlternateContent>
      </w:r>
      <w:r w:rsidR="001D2E4A">
        <w:rPr>
          <w:noProof/>
          <w:sz w:val="24"/>
          <w:szCs w:val="24"/>
          <w:lang w:eastAsia="en-GB"/>
        </w:rPr>
        <mc:AlternateContent>
          <mc:Choice Requires="wps">
            <w:drawing>
              <wp:anchor distT="0" distB="0" distL="114300" distR="114300" simplePos="0" relativeHeight="251658276" behindDoc="0" locked="0" layoutInCell="1" allowOverlap="1" wp14:anchorId="16C9F888" wp14:editId="48065C37">
                <wp:simplePos x="0" y="0"/>
                <wp:positionH relativeFrom="margin">
                  <wp:posOffset>-47707</wp:posOffset>
                </wp:positionH>
                <wp:positionV relativeFrom="page">
                  <wp:posOffset>4921857</wp:posOffset>
                </wp:positionV>
                <wp:extent cx="572135" cy="286385"/>
                <wp:effectExtent l="0" t="0" r="0" b="0"/>
                <wp:wrapNone/>
                <wp:docPr id="326" name="Text Box 326"/>
                <wp:cNvGraphicFramePr/>
                <a:graphic xmlns:a="http://schemas.openxmlformats.org/drawingml/2006/main">
                  <a:graphicData uri="http://schemas.microsoft.com/office/word/2010/wordprocessingShape">
                    <wps:wsp>
                      <wps:cNvSpPr txBox="1"/>
                      <wps:spPr>
                        <a:xfrm rot="16200000">
                          <a:off x="0" y="0"/>
                          <a:ext cx="572135" cy="286385"/>
                        </a:xfrm>
                        <a:prstGeom prst="rect">
                          <a:avLst/>
                        </a:prstGeom>
                        <a:noFill/>
                        <a:ln w="6350">
                          <a:noFill/>
                        </a:ln>
                      </wps:spPr>
                      <wps:txbx>
                        <w:txbxContent>
                          <w:p w14:paraId="42F5A1E2" w14:textId="77777777" w:rsidR="006F1462" w:rsidRPr="001D2E4A" w:rsidRDefault="006F1462" w:rsidP="00FD4AA2">
                            <w:pPr>
                              <w:rPr>
                                <w:sz w:val="20"/>
                                <w:szCs w:val="20"/>
                              </w:rPr>
                            </w:pPr>
                            <w:r w:rsidRPr="001D2E4A">
                              <w:rPr>
                                <w:sz w:val="20"/>
                                <w:szCs w:val="20"/>
                              </w:rPr>
                              <w:t>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9F888" id="Text Box 326" o:spid="_x0000_s1060" type="#_x0000_t202" style="position:absolute;left:0;text-align:left;margin-left:-3.75pt;margin-top:387.55pt;width:45.05pt;height:22.55pt;rotation:-90;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" filled="f" stroked="f" strokeweight=".5pt">
                <v:textbox>
                  <w:txbxContent>
                    <w:p w14:paraId="42F5A1E2" w14:textId="77777777" w:rsidR="006F1462" w:rsidRPr="001D2E4A" w:rsidRDefault="006F1462" w:rsidP="00FD4AA2">
                      <w:pPr>
                        <w:rPr>
                          <w:sz w:val="20"/>
                          <w:szCs w:val="20"/>
                        </w:rPr>
                      </w:pPr>
                      <w:r w:rsidRPr="001D2E4A">
                        <w:rPr>
                          <w:sz w:val="20"/>
                          <w:szCs w:val="20"/>
                        </w:rPr>
                        <w:t>Counts</w:t>
                      </w:r>
                    </w:p>
                  </w:txbxContent>
                </v:textbox>
                <w10:wrap anchorx="margin" anchory="page"/>
              </v:shape>
            </w:pict>
          </mc:Fallback>
        </mc:AlternateContent>
      </w:r>
      <w:r w:rsidR="00F37CA9">
        <w:rPr>
          <w:noProof/>
          <w:lang w:eastAsia="en-GB"/>
        </w:rPr>
        <w:drawing>
          <wp:inline distT="0" distB="0" distL="0" distR="0" wp14:anchorId="49AD589F" wp14:editId="3A6CF4F3">
            <wp:extent cx="5462546" cy="2845435"/>
            <wp:effectExtent l="0" t="0" r="5080" b="0"/>
            <wp:docPr id="31" name="Picture 31" descr="C:\Users\Christopher\AppData\Local\Microsoft\Windows\Temporary Internet Files\Content.MSO\6505F9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opher\AppData\Local\Microsoft\Windows\Temporary Internet Files\Content.MSO\6505F957.tmp"/>
                    <pic:cNvPicPr>
                      <a:picLocks noChangeAspect="1" noChangeArrowheads="1"/>
                    </pic:cNvPicPr>
                  </pic:nvPicPr>
                  <pic:blipFill rotWithShape="1">
                    <a:blip r:embed="rId40">
                      <a:extLst>
                        <a:ext uri="{28A0092B-C50C-407E-A947-70E740481C1C}">
                          <a14:useLocalDpi xmlns:a14="http://schemas.microsoft.com/office/drawing/2010/main" val="0"/>
                        </a:ext>
                      </a:extLst>
                    </a:blip>
                    <a:srcRect l="3625" t="1043" r="526" b="5655"/>
                    <a:stretch/>
                  </pic:blipFill>
                  <pic:spPr bwMode="auto">
                    <a:xfrm>
                      <a:off x="0" y="0"/>
                      <a:ext cx="5465821" cy="2847141"/>
                    </a:xfrm>
                    <a:prstGeom prst="rect">
                      <a:avLst/>
                    </a:prstGeom>
                    <a:noFill/>
                    <a:ln>
                      <a:noFill/>
                    </a:ln>
                    <a:extLst>
                      <a:ext uri="{53640926-AAD7-44D8-BBD7-CCE9431645EC}">
                        <a14:shadowObscured xmlns:a14="http://schemas.microsoft.com/office/drawing/2010/main"/>
                      </a:ext>
                    </a:extLst>
                  </pic:spPr>
                </pic:pic>
              </a:graphicData>
            </a:graphic>
          </wp:inline>
        </w:drawing>
      </w:r>
    </w:p>
    <w:p w14:paraId="66784409" w14:textId="4CE4C7F5" w:rsidR="0043243B" w:rsidRPr="00C45EC1" w:rsidRDefault="0043243B" w:rsidP="00C45EC1">
      <w:pPr>
        <w:pStyle w:val="Caption"/>
        <w:jc w:val="center"/>
        <w:rPr>
          <w:sz w:val="20"/>
        </w:rPr>
      </w:pPr>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23</w:t>
      </w:r>
      <w:r w:rsidRPr="00C45EC1">
        <w:rPr>
          <w:sz w:val="20"/>
        </w:rPr>
        <w:fldChar w:fldCharType="end"/>
      </w:r>
      <w:r w:rsidRPr="00C45EC1">
        <w:rPr>
          <w:sz w:val="20"/>
        </w:rPr>
        <w:t xml:space="preserve"> Highlighted peaks of interest taken from DSRL1 spectrum of a 24-hour count. The top image shows the 60 keV </w:t>
      </w:r>
      <w:r w:rsidRPr="00C45EC1">
        <w:rPr>
          <w:sz w:val="20"/>
          <w:vertAlign w:val="superscript"/>
        </w:rPr>
        <w:t>241</w:t>
      </w:r>
      <w:r w:rsidRPr="00C45EC1">
        <w:rPr>
          <w:sz w:val="20"/>
        </w:rPr>
        <w:t xml:space="preserve">Am peak in the centre, a small peak but significant enough to identify. The bottom image highlights the 129 keV peak, corresponding to </w:t>
      </w:r>
      <w:r w:rsidRPr="00C45EC1">
        <w:rPr>
          <w:sz w:val="20"/>
          <w:vertAlign w:val="superscript"/>
        </w:rPr>
        <w:t>228</w:t>
      </w:r>
      <w:r w:rsidRPr="00C45EC1">
        <w:rPr>
          <w:sz w:val="20"/>
        </w:rPr>
        <w:t xml:space="preserve">Ac of the thorium decay series and </w:t>
      </w:r>
      <w:r w:rsidRPr="00C45EC1">
        <w:rPr>
          <w:sz w:val="20"/>
          <w:vertAlign w:val="superscript"/>
        </w:rPr>
        <w:t>239</w:t>
      </w:r>
      <w:r w:rsidRPr="00C45EC1">
        <w:rPr>
          <w:sz w:val="20"/>
        </w:rPr>
        <w:t>Pu. Both images show ‘Energy’ (keV) along the x-axis, with ‘Counts’ along the y-axis.</w:t>
      </w:r>
    </w:p>
    <w:p w14:paraId="67745552" w14:textId="724EC744" w:rsidR="0043243B" w:rsidRDefault="0043243B" w:rsidP="0043243B">
      <w:pPr>
        <w:keepNext/>
        <w:spacing w:line="480" w:lineRule="auto"/>
      </w:pPr>
      <w:r>
        <w:rPr>
          <w:noProof/>
          <w:sz w:val="24"/>
          <w:szCs w:val="24"/>
          <w:lang w:eastAsia="en-GB"/>
        </w:rPr>
        <w:lastRenderedPageBreak/>
        <mc:AlternateContent>
          <mc:Choice Requires="wps">
            <w:drawing>
              <wp:anchor distT="0" distB="0" distL="114300" distR="114300" simplePos="0" relativeHeight="251658278" behindDoc="0" locked="0" layoutInCell="1" allowOverlap="1" wp14:anchorId="6913632D" wp14:editId="1413B7B4">
                <wp:simplePos x="0" y="0"/>
                <wp:positionH relativeFrom="leftMargin">
                  <wp:align>right</wp:align>
                </wp:positionH>
                <wp:positionV relativeFrom="page">
                  <wp:posOffset>1816411</wp:posOffset>
                </wp:positionV>
                <wp:extent cx="642496" cy="285611"/>
                <wp:effectExtent l="0" t="0" r="0" b="0"/>
                <wp:wrapNone/>
                <wp:docPr id="328" name="Text Box 328"/>
                <wp:cNvGraphicFramePr/>
                <a:graphic xmlns:a="http://schemas.openxmlformats.org/drawingml/2006/main">
                  <a:graphicData uri="http://schemas.microsoft.com/office/word/2010/wordprocessingShape">
                    <wps:wsp>
                      <wps:cNvSpPr txBox="1"/>
                      <wps:spPr>
                        <a:xfrm rot="16200000">
                          <a:off x="0" y="0"/>
                          <a:ext cx="642496" cy="285611"/>
                        </a:xfrm>
                        <a:prstGeom prst="rect">
                          <a:avLst/>
                        </a:prstGeom>
                        <a:noFill/>
                        <a:ln w="6350">
                          <a:noFill/>
                        </a:ln>
                      </wps:spPr>
                      <wps:txbx>
                        <w:txbxContent>
                          <w:p w14:paraId="41A26A73" w14:textId="77777777" w:rsidR="006F1462" w:rsidRPr="002369B7" w:rsidRDefault="006F1462" w:rsidP="00FD4AA2">
                            <w:pPr>
                              <w:rPr>
                                <w:sz w:val="20"/>
                                <w:szCs w:val="20"/>
                              </w:rPr>
                            </w:pPr>
                            <w:r w:rsidRPr="0043243B">
                              <w:rPr>
                                <w:szCs w:val="20"/>
                              </w:rPr>
                              <w:t>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3632D" id="Text Box 328" o:spid="_x0000_s1061" type="#_x0000_t202" style="position:absolute;margin-left:-.6pt;margin-top:143pt;width:50.6pt;height:22.5pt;rotation:-90;z-index:251658278;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" filled="f" stroked="f" strokeweight=".5pt">
                <v:textbox>
                  <w:txbxContent>
                    <w:p w14:paraId="41A26A73" w14:textId="77777777" w:rsidR="006F1462" w:rsidRPr="002369B7" w:rsidRDefault="006F1462" w:rsidP="00FD4AA2">
                      <w:pPr>
                        <w:rPr>
                          <w:sz w:val="20"/>
                          <w:szCs w:val="20"/>
                        </w:rPr>
                      </w:pPr>
                      <w:r w:rsidRPr="0043243B">
                        <w:rPr>
                          <w:szCs w:val="20"/>
                        </w:rPr>
                        <w:t>Counts</w:t>
                      </w:r>
                    </w:p>
                  </w:txbxContent>
                </v:textbox>
                <w10:wrap anchorx="margin" anchory="page"/>
              </v:shape>
            </w:pict>
          </mc:Fallback>
        </mc:AlternateContent>
      </w:r>
      <w:r w:rsidR="001A3DC0" w:rsidRPr="002E591E">
        <w:rPr>
          <w:noProof/>
          <w:sz w:val="24"/>
          <w:szCs w:val="24"/>
          <w:lang w:eastAsia="en-GB"/>
        </w:rPr>
        <mc:AlternateContent>
          <mc:Choice Requires="wps">
            <w:drawing>
              <wp:anchor distT="45720" distB="45720" distL="114300" distR="114300" simplePos="0" relativeHeight="251658310" behindDoc="0" locked="0" layoutInCell="1" allowOverlap="1" wp14:anchorId="0E5C59C9" wp14:editId="4DF83A5C">
                <wp:simplePos x="0" y="0"/>
                <wp:positionH relativeFrom="column">
                  <wp:posOffset>3630295</wp:posOffset>
                </wp:positionH>
                <wp:positionV relativeFrom="page">
                  <wp:posOffset>3699510</wp:posOffset>
                </wp:positionV>
                <wp:extent cx="301625" cy="198755"/>
                <wp:effectExtent l="0" t="0" r="0" b="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98755"/>
                        </a:xfrm>
                        <a:prstGeom prst="rect">
                          <a:avLst/>
                        </a:prstGeom>
                        <a:noFill/>
                        <a:ln w="9525">
                          <a:noFill/>
                          <a:miter lim="800000"/>
                          <a:headEnd/>
                          <a:tailEnd/>
                        </a:ln>
                      </wps:spPr>
                      <wps:txbx>
                        <w:txbxContent>
                          <w:p w14:paraId="79EA3775" w14:textId="6732BABE" w:rsidR="006F1462" w:rsidRPr="0000661A" w:rsidRDefault="006F1462" w:rsidP="007F2A59">
                            <w:pPr>
                              <w:jc w:val="center"/>
                              <w:rPr>
                                <w:sz w:val="14"/>
                                <w:szCs w:val="14"/>
                              </w:rPr>
                            </w:pPr>
                            <w:r>
                              <w:rPr>
                                <w:sz w:val="14"/>
                                <w:szCs w:val="14"/>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C59C9" id="_x0000_s1062" type="#_x0000_t202" style="position:absolute;margin-left:285.85pt;margin-top:291.3pt;width:23.75pt;height:15.6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" filled="f" stroked="f">
                <v:textbox>
                  <w:txbxContent>
                    <w:p w14:paraId="79EA3775" w14:textId="6732BABE" w:rsidR="006F1462" w:rsidRPr="0000661A" w:rsidRDefault="006F1462" w:rsidP="007F2A59">
                      <w:pPr>
                        <w:jc w:val="center"/>
                        <w:rPr>
                          <w:sz w:val="14"/>
                          <w:szCs w:val="14"/>
                        </w:rPr>
                      </w:pPr>
                      <w:r>
                        <w:rPr>
                          <w:sz w:val="14"/>
                          <w:szCs w:val="14"/>
                        </w:rPr>
                        <w:t>62</w:t>
                      </w:r>
                    </w:p>
                  </w:txbxContent>
                </v:textbox>
                <w10:wrap anchory="page"/>
              </v:shape>
            </w:pict>
          </mc:Fallback>
        </mc:AlternateContent>
      </w:r>
      <w:r w:rsidR="001A3DC0" w:rsidRPr="002E591E">
        <w:rPr>
          <w:noProof/>
          <w:sz w:val="24"/>
          <w:szCs w:val="24"/>
          <w:lang w:eastAsia="en-GB"/>
        </w:rPr>
        <mc:AlternateContent>
          <mc:Choice Requires="wps">
            <w:drawing>
              <wp:anchor distT="45720" distB="45720" distL="114300" distR="114300" simplePos="0" relativeHeight="251658311" behindDoc="0" locked="0" layoutInCell="1" allowOverlap="1" wp14:anchorId="28234BFE" wp14:editId="247BA68F">
                <wp:simplePos x="0" y="0"/>
                <wp:positionH relativeFrom="column">
                  <wp:posOffset>4479290</wp:posOffset>
                </wp:positionH>
                <wp:positionV relativeFrom="page">
                  <wp:posOffset>3703320</wp:posOffset>
                </wp:positionV>
                <wp:extent cx="302150" cy="198783"/>
                <wp:effectExtent l="0" t="0" r="0" b="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50" cy="198783"/>
                        </a:xfrm>
                        <a:prstGeom prst="rect">
                          <a:avLst/>
                        </a:prstGeom>
                        <a:noFill/>
                        <a:ln w="9525">
                          <a:noFill/>
                          <a:miter lim="800000"/>
                          <a:headEnd/>
                          <a:tailEnd/>
                        </a:ln>
                      </wps:spPr>
                      <wps:txbx>
                        <w:txbxContent>
                          <w:p w14:paraId="49B5278F" w14:textId="2D59CA4B" w:rsidR="006F1462" w:rsidRPr="0000661A" w:rsidRDefault="006F1462" w:rsidP="007F2A59">
                            <w:pPr>
                              <w:jc w:val="center"/>
                              <w:rPr>
                                <w:sz w:val="14"/>
                                <w:szCs w:val="14"/>
                              </w:rPr>
                            </w:pPr>
                            <w:r>
                              <w:rPr>
                                <w:sz w:val="14"/>
                                <w:szCs w:val="14"/>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34BFE" id="_x0000_s1063" type="#_x0000_t202" style="position:absolute;margin-left:352.7pt;margin-top:291.6pt;width:23.8pt;height:15.65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" filled="f" stroked="f">
                <v:textbox>
                  <w:txbxContent>
                    <w:p w14:paraId="49B5278F" w14:textId="2D59CA4B" w:rsidR="006F1462" w:rsidRPr="0000661A" w:rsidRDefault="006F1462" w:rsidP="007F2A59">
                      <w:pPr>
                        <w:jc w:val="center"/>
                        <w:rPr>
                          <w:sz w:val="14"/>
                          <w:szCs w:val="14"/>
                        </w:rPr>
                      </w:pPr>
                      <w:r>
                        <w:rPr>
                          <w:sz w:val="14"/>
                          <w:szCs w:val="14"/>
                        </w:rPr>
                        <w:t>64</w:t>
                      </w:r>
                    </w:p>
                  </w:txbxContent>
                </v:textbox>
                <w10:wrap anchory="page"/>
              </v:shape>
            </w:pict>
          </mc:Fallback>
        </mc:AlternateContent>
      </w:r>
      <w:r w:rsidR="008173D1" w:rsidRPr="002E591E">
        <w:rPr>
          <w:noProof/>
          <w:sz w:val="24"/>
          <w:szCs w:val="24"/>
          <w:lang w:eastAsia="en-GB"/>
        </w:rPr>
        <mc:AlternateContent>
          <mc:Choice Requires="wps">
            <w:drawing>
              <wp:anchor distT="45720" distB="45720" distL="114300" distR="114300" simplePos="0" relativeHeight="251658309" behindDoc="0" locked="0" layoutInCell="1" allowOverlap="1" wp14:anchorId="7B7FB0F8" wp14:editId="29278A7A">
                <wp:simplePos x="0" y="0"/>
                <wp:positionH relativeFrom="margin">
                  <wp:posOffset>2758440</wp:posOffset>
                </wp:positionH>
                <wp:positionV relativeFrom="page">
                  <wp:posOffset>3689350</wp:posOffset>
                </wp:positionV>
                <wp:extent cx="302150" cy="198783"/>
                <wp:effectExtent l="0" t="0" r="0"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50" cy="198783"/>
                        </a:xfrm>
                        <a:prstGeom prst="rect">
                          <a:avLst/>
                        </a:prstGeom>
                        <a:noFill/>
                        <a:ln w="9525">
                          <a:noFill/>
                          <a:miter lim="800000"/>
                          <a:headEnd/>
                          <a:tailEnd/>
                        </a:ln>
                      </wps:spPr>
                      <wps:txbx>
                        <w:txbxContent>
                          <w:p w14:paraId="44C47F92" w14:textId="404EF710" w:rsidR="006F1462" w:rsidRPr="0000661A" w:rsidRDefault="006F1462" w:rsidP="0000661A">
                            <w:pPr>
                              <w:jc w:val="center"/>
                              <w:rPr>
                                <w:sz w:val="14"/>
                                <w:szCs w:val="14"/>
                              </w:rPr>
                            </w:pPr>
                            <w:r>
                              <w:rPr>
                                <w:sz w:val="14"/>
                                <w:szCs w:val="14"/>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FB0F8" id="_x0000_s1064" type="#_x0000_t202" style="position:absolute;margin-left:217.2pt;margin-top:290.5pt;width:23.8pt;height:15.65pt;z-index:2516583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" filled="f" stroked="f">
                <v:textbox>
                  <w:txbxContent>
                    <w:p w14:paraId="44C47F92" w14:textId="404EF710" w:rsidR="006F1462" w:rsidRPr="0000661A" w:rsidRDefault="006F1462" w:rsidP="0000661A">
                      <w:pPr>
                        <w:jc w:val="center"/>
                        <w:rPr>
                          <w:sz w:val="14"/>
                          <w:szCs w:val="14"/>
                        </w:rPr>
                      </w:pPr>
                      <w:r>
                        <w:rPr>
                          <w:sz w:val="14"/>
                          <w:szCs w:val="14"/>
                        </w:rPr>
                        <w:t>60</w:t>
                      </w:r>
                    </w:p>
                  </w:txbxContent>
                </v:textbox>
                <w10:wrap anchorx="margin" anchory="page"/>
              </v:shape>
            </w:pict>
          </mc:Fallback>
        </mc:AlternateContent>
      </w:r>
      <w:r w:rsidR="008173D1" w:rsidRPr="002E591E">
        <w:rPr>
          <w:noProof/>
          <w:sz w:val="24"/>
          <w:szCs w:val="24"/>
          <w:lang w:eastAsia="en-GB"/>
        </w:rPr>
        <mc:AlternateContent>
          <mc:Choice Requires="wps">
            <w:drawing>
              <wp:anchor distT="45720" distB="45720" distL="114300" distR="114300" simplePos="0" relativeHeight="251658307" behindDoc="0" locked="0" layoutInCell="1" allowOverlap="1" wp14:anchorId="674D2487" wp14:editId="1A73E798">
                <wp:simplePos x="0" y="0"/>
                <wp:positionH relativeFrom="column">
                  <wp:posOffset>1014730</wp:posOffset>
                </wp:positionH>
                <wp:positionV relativeFrom="page">
                  <wp:posOffset>3700145</wp:posOffset>
                </wp:positionV>
                <wp:extent cx="301625" cy="198755"/>
                <wp:effectExtent l="0" t="0" r="0"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98755"/>
                        </a:xfrm>
                        <a:prstGeom prst="rect">
                          <a:avLst/>
                        </a:prstGeom>
                        <a:noFill/>
                        <a:ln w="9525">
                          <a:noFill/>
                          <a:miter lim="800000"/>
                          <a:headEnd/>
                          <a:tailEnd/>
                        </a:ln>
                      </wps:spPr>
                      <wps:txbx>
                        <w:txbxContent>
                          <w:p w14:paraId="03FAC4DF" w14:textId="49BA51D2" w:rsidR="006F1462" w:rsidRPr="0000661A" w:rsidRDefault="006F1462" w:rsidP="0000661A">
                            <w:pPr>
                              <w:jc w:val="center"/>
                              <w:rPr>
                                <w:sz w:val="14"/>
                                <w:szCs w:val="14"/>
                              </w:rPr>
                            </w:pPr>
                            <w:r w:rsidRPr="0000661A">
                              <w:rPr>
                                <w:sz w:val="14"/>
                                <w:szCs w:val="14"/>
                              </w:rPr>
                              <w:t>5</w:t>
                            </w:r>
                            <w:r>
                              <w:rPr>
                                <w:sz w:val="14"/>
                                <w:szCs w:val="1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D2487" id="_x0000_s1065" type="#_x0000_t202" style="position:absolute;margin-left:79.9pt;margin-top:291.35pt;width:23.75pt;height:15.65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" filled="f" stroked="f">
                <v:textbox>
                  <w:txbxContent>
                    <w:p w14:paraId="03FAC4DF" w14:textId="49BA51D2" w:rsidR="006F1462" w:rsidRPr="0000661A" w:rsidRDefault="006F1462" w:rsidP="0000661A">
                      <w:pPr>
                        <w:jc w:val="center"/>
                        <w:rPr>
                          <w:sz w:val="14"/>
                          <w:szCs w:val="14"/>
                        </w:rPr>
                      </w:pPr>
                      <w:r w:rsidRPr="0000661A">
                        <w:rPr>
                          <w:sz w:val="14"/>
                          <w:szCs w:val="14"/>
                        </w:rPr>
                        <w:t>5</w:t>
                      </w:r>
                      <w:r>
                        <w:rPr>
                          <w:sz w:val="14"/>
                          <w:szCs w:val="14"/>
                        </w:rPr>
                        <w:t>6</w:t>
                      </w:r>
                    </w:p>
                  </w:txbxContent>
                </v:textbox>
                <w10:wrap anchory="page"/>
              </v:shape>
            </w:pict>
          </mc:Fallback>
        </mc:AlternateContent>
      </w:r>
      <w:r w:rsidR="008173D1" w:rsidRPr="002E591E">
        <w:rPr>
          <w:noProof/>
          <w:sz w:val="24"/>
          <w:szCs w:val="24"/>
          <w:lang w:eastAsia="en-GB"/>
        </w:rPr>
        <mc:AlternateContent>
          <mc:Choice Requires="wps">
            <w:drawing>
              <wp:anchor distT="45720" distB="45720" distL="114300" distR="114300" simplePos="0" relativeHeight="251658308" behindDoc="0" locked="0" layoutInCell="1" allowOverlap="1" wp14:anchorId="29C31B72" wp14:editId="7A57580E">
                <wp:simplePos x="0" y="0"/>
                <wp:positionH relativeFrom="margin">
                  <wp:posOffset>1899920</wp:posOffset>
                </wp:positionH>
                <wp:positionV relativeFrom="page">
                  <wp:posOffset>3689350</wp:posOffset>
                </wp:positionV>
                <wp:extent cx="301625" cy="198755"/>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98755"/>
                        </a:xfrm>
                        <a:prstGeom prst="rect">
                          <a:avLst/>
                        </a:prstGeom>
                        <a:noFill/>
                        <a:ln w="9525">
                          <a:noFill/>
                          <a:miter lim="800000"/>
                          <a:headEnd/>
                          <a:tailEnd/>
                        </a:ln>
                      </wps:spPr>
                      <wps:txbx>
                        <w:txbxContent>
                          <w:p w14:paraId="7E64D443" w14:textId="790043B0" w:rsidR="006F1462" w:rsidRPr="0000661A" w:rsidRDefault="006F1462" w:rsidP="0000661A">
                            <w:pPr>
                              <w:jc w:val="center"/>
                              <w:rPr>
                                <w:sz w:val="14"/>
                                <w:szCs w:val="14"/>
                              </w:rPr>
                            </w:pPr>
                            <w:r w:rsidRPr="0000661A">
                              <w:rPr>
                                <w:sz w:val="14"/>
                                <w:szCs w:val="14"/>
                              </w:rPr>
                              <w:t>5</w:t>
                            </w:r>
                            <w:r>
                              <w:rPr>
                                <w:sz w:val="14"/>
                                <w:szCs w:val="1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31B72" id="_x0000_s1066" type="#_x0000_t202" style="position:absolute;margin-left:149.6pt;margin-top:290.5pt;width:23.75pt;height:15.6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" filled="f" stroked="f">
                <v:textbox>
                  <w:txbxContent>
                    <w:p w14:paraId="7E64D443" w14:textId="790043B0" w:rsidR="006F1462" w:rsidRPr="0000661A" w:rsidRDefault="006F1462" w:rsidP="0000661A">
                      <w:pPr>
                        <w:jc w:val="center"/>
                        <w:rPr>
                          <w:sz w:val="14"/>
                          <w:szCs w:val="14"/>
                        </w:rPr>
                      </w:pPr>
                      <w:r w:rsidRPr="0000661A">
                        <w:rPr>
                          <w:sz w:val="14"/>
                          <w:szCs w:val="14"/>
                        </w:rPr>
                        <w:t>5</w:t>
                      </w:r>
                      <w:r>
                        <w:rPr>
                          <w:sz w:val="14"/>
                          <w:szCs w:val="14"/>
                        </w:rPr>
                        <w:t>8</w:t>
                      </w:r>
                    </w:p>
                  </w:txbxContent>
                </v:textbox>
                <w10:wrap anchorx="margin" anchory="page"/>
              </v:shape>
            </w:pict>
          </mc:Fallback>
        </mc:AlternateContent>
      </w:r>
      <w:r w:rsidR="00D50343" w:rsidRPr="001B79B5">
        <w:rPr>
          <w:noProof/>
          <w:sz w:val="24"/>
          <w:szCs w:val="24"/>
          <w:lang w:eastAsia="en-GB"/>
        </w:rPr>
        <mc:AlternateContent>
          <mc:Choice Requires="wps">
            <w:drawing>
              <wp:anchor distT="45720" distB="45720" distL="114300" distR="114300" simplePos="0" relativeHeight="251658320" behindDoc="0" locked="0" layoutInCell="1" allowOverlap="1" wp14:anchorId="02210EA2" wp14:editId="68D02B40">
                <wp:simplePos x="0" y="0"/>
                <wp:positionH relativeFrom="leftMargin">
                  <wp:align>right</wp:align>
                </wp:positionH>
                <wp:positionV relativeFrom="margin">
                  <wp:posOffset>2943225</wp:posOffset>
                </wp:positionV>
                <wp:extent cx="335280" cy="200025"/>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00025"/>
                        </a:xfrm>
                        <a:prstGeom prst="rect">
                          <a:avLst/>
                        </a:prstGeom>
                        <a:noFill/>
                        <a:ln w="9525">
                          <a:noFill/>
                          <a:miter lim="800000"/>
                          <a:headEnd/>
                          <a:tailEnd/>
                        </a:ln>
                      </wps:spPr>
                      <wps:txbx>
                        <w:txbxContent>
                          <w:p w14:paraId="22BF815C" w14:textId="5B43B8FD" w:rsidR="006F1462" w:rsidRPr="00474989" w:rsidRDefault="006F1462" w:rsidP="00D50343">
                            <w:pPr>
                              <w:rPr>
                                <w:sz w:val="14"/>
                                <w:szCs w:val="14"/>
                              </w:rPr>
                            </w:pPr>
                            <w:r>
                              <w:rPr>
                                <w:sz w:val="14"/>
                                <w:szCs w:val="14"/>
                              </w:rPr>
                              <w:t>247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10EA2" id="_x0000_s1067" type="#_x0000_t202" style="position:absolute;margin-left:-24.8pt;margin-top:231.75pt;width:26.4pt;height:15.75pt;z-index:25165832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" filled="f" stroked="f">
                <v:textbox>
                  <w:txbxContent>
                    <w:p w14:paraId="22BF815C" w14:textId="5B43B8FD" w:rsidR="006F1462" w:rsidRPr="00474989" w:rsidRDefault="006F1462" w:rsidP="00D50343">
                      <w:pPr>
                        <w:rPr>
                          <w:sz w:val="14"/>
                          <w:szCs w:val="14"/>
                        </w:rPr>
                      </w:pPr>
                      <w:r>
                        <w:rPr>
                          <w:sz w:val="14"/>
                          <w:szCs w:val="14"/>
                        </w:rPr>
                        <w:t>247</w:t>
                      </w:r>
                    </w:p>
                  </w:txbxContent>
                </v:textbox>
                <w10:wrap anchorx="margin" anchory="margin"/>
              </v:shape>
            </w:pict>
          </mc:Fallback>
        </mc:AlternateContent>
      </w:r>
      <w:r w:rsidR="0000661A" w:rsidRPr="002E591E">
        <w:rPr>
          <w:noProof/>
          <w:sz w:val="24"/>
          <w:szCs w:val="24"/>
          <w:lang w:eastAsia="en-GB"/>
        </w:rPr>
        <mc:AlternateContent>
          <mc:Choice Requires="wps">
            <w:drawing>
              <wp:anchor distT="45720" distB="45720" distL="114300" distR="114300" simplePos="0" relativeHeight="251658306" behindDoc="0" locked="0" layoutInCell="1" allowOverlap="1" wp14:anchorId="6C44896B" wp14:editId="2D3208F0">
                <wp:simplePos x="0" y="0"/>
                <wp:positionH relativeFrom="column">
                  <wp:posOffset>182328</wp:posOffset>
                </wp:positionH>
                <wp:positionV relativeFrom="page">
                  <wp:posOffset>3705142</wp:posOffset>
                </wp:positionV>
                <wp:extent cx="302150" cy="198783"/>
                <wp:effectExtent l="0" t="0" r="0" b="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50" cy="198783"/>
                        </a:xfrm>
                        <a:prstGeom prst="rect">
                          <a:avLst/>
                        </a:prstGeom>
                        <a:noFill/>
                        <a:ln w="9525">
                          <a:noFill/>
                          <a:miter lim="800000"/>
                          <a:headEnd/>
                          <a:tailEnd/>
                        </a:ln>
                      </wps:spPr>
                      <wps:txbx>
                        <w:txbxContent>
                          <w:p w14:paraId="205C63B5" w14:textId="09EF2FD9" w:rsidR="006F1462" w:rsidRPr="0000661A" w:rsidRDefault="006F1462" w:rsidP="0000661A">
                            <w:pPr>
                              <w:jc w:val="center"/>
                              <w:rPr>
                                <w:sz w:val="14"/>
                                <w:szCs w:val="14"/>
                              </w:rPr>
                            </w:pPr>
                            <w:r w:rsidRPr="0000661A">
                              <w:rPr>
                                <w:sz w:val="14"/>
                                <w:szCs w:val="14"/>
                              </w:rPr>
                              <w:t>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4896B" id="_x0000_s1068" type="#_x0000_t202" style="position:absolute;margin-left:14.35pt;margin-top:291.75pt;width:23.8pt;height:15.65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" filled="f" stroked="f">
                <v:textbox>
                  <w:txbxContent>
                    <w:p w14:paraId="205C63B5" w14:textId="09EF2FD9" w:rsidR="006F1462" w:rsidRPr="0000661A" w:rsidRDefault="006F1462" w:rsidP="0000661A">
                      <w:pPr>
                        <w:jc w:val="center"/>
                        <w:rPr>
                          <w:sz w:val="14"/>
                          <w:szCs w:val="14"/>
                        </w:rPr>
                      </w:pPr>
                      <w:r w:rsidRPr="0000661A">
                        <w:rPr>
                          <w:sz w:val="14"/>
                          <w:szCs w:val="14"/>
                        </w:rPr>
                        <w:t>54</w:t>
                      </w:r>
                    </w:p>
                  </w:txbxContent>
                </v:textbox>
                <w10:wrap anchory="page"/>
              </v:shape>
            </w:pict>
          </mc:Fallback>
        </mc:AlternateContent>
      </w:r>
      <w:r w:rsidR="00A342E3" w:rsidRPr="001B79B5">
        <w:rPr>
          <w:noProof/>
          <w:sz w:val="24"/>
          <w:szCs w:val="24"/>
          <w:lang w:eastAsia="en-GB"/>
        </w:rPr>
        <mc:AlternateContent>
          <mc:Choice Requires="wps">
            <w:drawing>
              <wp:anchor distT="45720" distB="45720" distL="114300" distR="114300" simplePos="0" relativeHeight="251658305" behindDoc="0" locked="0" layoutInCell="1" allowOverlap="1" wp14:anchorId="322D0CFD" wp14:editId="3FF88F0D">
                <wp:simplePos x="0" y="0"/>
                <wp:positionH relativeFrom="leftMargin">
                  <wp:align>right</wp:align>
                </wp:positionH>
                <wp:positionV relativeFrom="margin">
                  <wp:align>top</wp:align>
                </wp:positionV>
                <wp:extent cx="338510" cy="220345"/>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0" cy="220345"/>
                        </a:xfrm>
                        <a:prstGeom prst="rect">
                          <a:avLst/>
                        </a:prstGeom>
                        <a:noFill/>
                        <a:ln w="9525">
                          <a:noFill/>
                          <a:miter lim="800000"/>
                          <a:headEnd/>
                          <a:tailEnd/>
                        </a:ln>
                      </wps:spPr>
                      <wps:txbx>
                        <w:txbxContent>
                          <w:p w14:paraId="4A1D2D57" w14:textId="014783E8" w:rsidR="006F1462" w:rsidRPr="00474989" w:rsidRDefault="006F1462" w:rsidP="00A342E3">
                            <w:pPr>
                              <w:rPr>
                                <w:sz w:val="14"/>
                                <w:szCs w:val="14"/>
                              </w:rPr>
                            </w:pPr>
                            <w:r>
                              <w:rPr>
                                <w:sz w:val="14"/>
                                <w:szCs w:val="14"/>
                              </w:rPr>
                              <w:t>226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D0CFD" id="_x0000_s1069" type="#_x0000_t202" style="position:absolute;margin-left:-24.55pt;margin-top:0;width:26.65pt;height:17.35pt;z-index:251658305;visibility:visible;mso-wrap-style:square;mso-width-percent:0;mso-height-percent:0;mso-wrap-distance-left:9pt;mso-wrap-distance-top:3.6pt;mso-wrap-distance-right:9pt;mso-wrap-distance-bottom:3.6pt;mso-position-horizontal:right;mso-position-horizontal-relative:left-margin-area;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" filled="f" stroked="f">
                <v:textbox>
                  <w:txbxContent>
                    <w:p w14:paraId="4A1D2D57" w14:textId="014783E8" w:rsidR="006F1462" w:rsidRPr="00474989" w:rsidRDefault="006F1462" w:rsidP="00A342E3">
                      <w:pPr>
                        <w:rPr>
                          <w:sz w:val="14"/>
                          <w:szCs w:val="14"/>
                        </w:rPr>
                      </w:pPr>
                      <w:r>
                        <w:rPr>
                          <w:sz w:val="14"/>
                          <w:szCs w:val="14"/>
                        </w:rPr>
                        <w:t>226</w:t>
                      </w:r>
                    </w:p>
                  </w:txbxContent>
                </v:textbox>
                <w10:wrap anchorx="margin" anchory="margin"/>
              </v:shape>
            </w:pict>
          </mc:Fallback>
        </mc:AlternateContent>
      </w:r>
      <w:r w:rsidR="00EC555A" w:rsidRPr="001B79B5">
        <w:rPr>
          <w:noProof/>
          <w:sz w:val="24"/>
          <w:szCs w:val="24"/>
          <w:lang w:eastAsia="en-GB"/>
        </w:rPr>
        <mc:AlternateContent>
          <mc:Choice Requires="wps">
            <w:drawing>
              <wp:anchor distT="45720" distB="45720" distL="114300" distR="114300" simplePos="0" relativeHeight="251658304" behindDoc="0" locked="0" layoutInCell="1" allowOverlap="1" wp14:anchorId="18865309" wp14:editId="30DF0F7D">
                <wp:simplePos x="0" y="0"/>
                <wp:positionH relativeFrom="leftMargin">
                  <wp:posOffset>575586</wp:posOffset>
                </wp:positionH>
                <wp:positionV relativeFrom="page">
                  <wp:posOffset>1501444</wp:posOffset>
                </wp:positionV>
                <wp:extent cx="338510" cy="220345"/>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0" cy="220345"/>
                        </a:xfrm>
                        <a:prstGeom prst="rect">
                          <a:avLst/>
                        </a:prstGeom>
                        <a:noFill/>
                        <a:ln w="9525">
                          <a:noFill/>
                          <a:miter lim="800000"/>
                          <a:headEnd/>
                          <a:tailEnd/>
                        </a:ln>
                      </wps:spPr>
                      <wps:txbx>
                        <w:txbxContent>
                          <w:p w14:paraId="5F2DC5CE" w14:textId="4D87E27B" w:rsidR="006F1462" w:rsidRPr="00474989" w:rsidRDefault="006F1462" w:rsidP="00EC555A">
                            <w:pPr>
                              <w:rPr>
                                <w:sz w:val="14"/>
                                <w:szCs w:val="14"/>
                              </w:rPr>
                            </w:pPr>
                            <w:r>
                              <w:rPr>
                                <w:sz w:val="14"/>
                                <w:szCs w:val="14"/>
                              </w:rPr>
                              <w:t>180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65309" id="_x0000_s1070" type="#_x0000_t202" style="position:absolute;margin-left:45.3pt;margin-top:118.2pt;width:26.65pt;height:17.35pt;z-index:2516583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" filled="f" stroked="f">
                <v:textbox>
                  <w:txbxContent>
                    <w:p w14:paraId="5F2DC5CE" w14:textId="4D87E27B" w:rsidR="006F1462" w:rsidRPr="00474989" w:rsidRDefault="006F1462" w:rsidP="00EC555A">
                      <w:pPr>
                        <w:rPr>
                          <w:sz w:val="14"/>
                          <w:szCs w:val="14"/>
                        </w:rPr>
                      </w:pPr>
                      <w:r>
                        <w:rPr>
                          <w:sz w:val="14"/>
                          <w:szCs w:val="14"/>
                        </w:rPr>
                        <w:t>180</w:t>
                      </w:r>
                    </w:p>
                  </w:txbxContent>
                </v:textbox>
                <w10:wrap anchorx="margin" anchory="page"/>
              </v:shape>
            </w:pict>
          </mc:Fallback>
        </mc:AlternateContent>
      </w:r>
      <w:r w:rsidR="00A10268" w:rsidRPr="001B79B5">
        <w:rPr>
          <w:noProof/>
          <w:sz w:val="24"/>
          <w:szCs w:val="24"/>
          <w:lang w:eastAsia="en-GB"/>
        </w:rPr>
        <mc:AlternateContent>
          <mc:Choice Requires="wps">
            <w:drawing>
              <wp:anchor distT="45720" distB="45720" distL="114300" distR="114300" simplePos="0" relativeHeight="251658303" behindDoc="0" locked="0" layoutInCell="1" allowOverlap="1" wp14:anchorId="46DF4CCC" wp14:editId="01AA8246">
                <wp:simplePos x="0" y="0"/>
                <wp:positionH relativeFrom="leftMargin">
                  <wp:align>right</wp:align>
                </wp:positionH>
                <wp:positionV relativeFrom="page">
                  <wp:posOffset>2226365</wp:posOffset>
                </wp:positionV>
                <wp:extent cx="338510" cy="220345"/>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0" cy="220345"/>
                        </a:xfrm>
                        <a:prstGeom prst="rect">
                          <a:avLst/>
                        </a:prstGeom>
                        <a:noFill/>
                        <a:ln w="9525">
                          <a:noFill/>
                          <a:miter lim="800000"/>
                          <a:headEnd/>
                          <a:tailEnd/>
                        </a:ln>
                      </wps:spPr>
                      <wps:txbx>
                        <w:txbxContent>
                          <w:p w14:paraId="60307511" w14:textId="70F292ED" w:rsidR="006F1462" w:rsidRPr="00474989" w:rsidRDefault="006F1462" w:rsidP="00A10268">
                            <w:pPr>
                              <w:rPr>
                                <w:sz w:val="14"/>
                                <w:szCs w:val="14"/>
                              </w:rPr>
                            </w:pPr>
                            <w:r>
                              <w:rPr>
                                <w:sz w:val="14"/>
                                <w:szCs w:val="14"/>
                              </w:rPr>
                              <w:t>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F4CCC" id="_x0000_s1071" type="#_x0000_t202" style="position:absolute;margin-left:-24.55pt;margin-top:175.3pt;width:26.65pt;height:17.35pt;z-index:251658303;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" filled="f" stroked="f">
                <v:textbox>
                  <w:txbxContent>
                    <w:p w14:paraId="60307511" w14:textId="70F292ED" w:rsidR="006F1462" w:rsidRPr="00474989" w:rsidRDefault="006F1462" w:rsidP="00A10268">
                      <w:pPr>
                        <w:rPr>
                          <w:sz w:val="14"/>
                          <w:szCs w:val="14"/>
                        </w:rPr>
                      </w:pPr>
                      <w:r>
                        <w:rPr>
                          <w:sz w:val="14"/>
                          <w:szCs w:val="14"/>
                        </w:rPr>
                        <w:t>132</w:t>
                      </w:r>
                    </w:p>
                  </w:txbxContent>
                </v:textbox>
                <w10:wrap anchorx="margin" anchory="page"/>
              </v:shape>
            </w:pict>
          </mc:Fallback>
        </mc:AlternateContent>
      </w:r>
      <w:r w:rsidR="00492C0C" w:rsidRPr="001B79B5">
        <w:rPr>
          <w:noProof/>
          <w:sz w:val="24"/>
          <w:szCs w:val="24"/>
          <w:lang w:eastAsia="en-GB"/>
        </w:rPr>
        <mc:AlternateContent>
          <mc:Choice Requires="wps">
            <w:drawing>
              <wp:anchor distT="45720" distB="45720" distL="114300" distR="114300" simplePos="0" relativeHeight="251658302" behindDoc="0" locked="0" layoutInCell="1" allowOverlap="1" wp14:anchorId="2AA0EE56" wp14:editId="552B8A39">
                <wp:simplePos x="0" y="0"/>
                <wp:positionH relativeFrom="leftMargin">
                  <wp:posOffset>604299</wp:posOffset>
                </wp:positionH>
                <wp:positionV relativeFrom="page">
                  <wp:posOffset>2902226</wp:posOffset>
                </wp:positionV>
                <wp:extent cx="306705" cy="220345"/>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20345"/>
                        </a:xfrm>
                        <a:prstGeom prst="rect">
                          <a:avLst/>
                        </a:prstGeom>
                        <a:noFill/>
                        <a:ln w="9525">
                          <a:noFill/>
                          <a:miter lim="800000"/>
                          <a:headEnd/>
                          <a:tailEnd/>
                        </a:ln>
                      </wps:spPr>
                      <wps:txbx>
                        <w:txbxContent>
                          <w:p w14:paraId="67B81E4C" w14:textId="68E4607C" w:rsidR="006F1462" w:rsidRPr="00474989" w:rsidRDefault="006F1462" w:rsidP="00492C0C">
                            <w:pPr>
                              <w:rPr>
                                <w:sz w:val="14"/>
                                <w:szCs w:val="14"/>
                              </w:rPr>
                            </w:pPr>
                            <w:r>
                              <w:rPr>
                                <w:sz w:val="14"/>
                                <w:szCs w:val="14"/>
                              </w:rPr>
                              <w:t>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0EE56" id="_x0000_s1072" type="#_x0000_t202" style="position:absolute;margin-left:47.6pt;margin-top:228.5pt;width:24.15pt;height:17.35pt;z-index:25165830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" filled="f" stroked="f">
                <v:textbox>
                  <w:txbxContent>
                    <w:p w14:paraId="67B81E4C" w14:textId="68E4607C" w:rsidR="006F1462" w:rsidRPr="00474989" w:rsidRDefault="006F1462" w:rsidP="00492C0C">
                      <w:pPr>
                        <w:rPr>
                          <w:sz w:val="14"/>
                          <w:szCs w:val="14"/>
                        </w:rPr>
                      </w:pPr>
                      <w:r>
                        <w:rPr>
                          <w:sz w:val="14"/>
                          <w:szCs w:val="14"/>
                        </w:rPr>
                        <w:t>87</w:t>
                      </w:r>
                    </w:p>
                  </w:txbxContent>
                </v:textbox>
                <w10:wrap anchorx="margin" anchory="page"/>
              </v:shape>
            </w:pict>
          </mc:Fallback>
        </mc:AlternateContent>
      </w:r>
      <w:r w:rsidR="007F42C5" w:rsidRPr="001B79B5">
        <w:rPr>
          <w:noProof/>
          <w:sz w:val="24"/>
          <w:szCs w:val="24"/>
          <w:lang w:eastAsia="en-GB"/>
        </w:rPr>
        <mc:AlternateContent>
          <mc:Choice Requires="wps">
            <w:drawing>
              <wp:anchor distT="45720" distB="45720" distL="114300" distR="114300" simplePos="0" relativeHeight="251658301" behindDoc="0" locked="0" layoutInCell="1" allowOverlap="1" wp14:anchorId="430475A3" wp14:editId="78D906A2">
                <wp:simplePos x="0" y="0"/>
                <wp:positionH relativeFrom="leftMargin">
                  <wp:align>right</wp:align>
                </wp:positionH>
                <wp:positionV relativeFrom="page">
                  <wp:posOffset>3593990</wp:posOffset>
                </wp:positionV>
                <wp:extent cx="307134" cy="220345"/>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34" cy="220345"/>
                        </a:xfrm>
                        <a:prstGeom prst="rect">
                          <a:avLst/>
                        </a:prstGeom>
                        <a:noFill/>
                        <a:ln w="9525">
                          <a:noFill/>
                          <a:miter lim="800000"/>
                          <a:headEnd/>
                          <a:tailEnd/>
                        </a:ln>
                      </wps:spPr>
                      <wps:txbx>
                        <w:txbxContent>
                          <w:p w14:paraId="44E570BC" w14:textId="4849CC5C" w:rsidR="006F1462" w:rsidRPr="00474989" w:rsidRDefault="006F1462" w:rsidP="007F42C5">
                            <w:pPr>
                              <w:rPr>
                                <w:sz w:val="14"/>
                                <w:szCs w:val="14"/>
                              </w:rPr>
                            </w:pPr>
                            <w:r>
                              <w:rPr>
                                <w:sz w:val="14"/>
                                <w:szCs w:val="14"/>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475A3" id="_x0000_s1073" type="#_x0000_t202" style="position:absolute;margin-left:-27pt;margin-top:283pt;width:24.2pt;height:17.35pt;z-index:251658301;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" filled="f" stroked="f">
                <v:textbox>
                  <w:txbxContent>
                    <w:p w14:paraId="44E570BC" w14:textId="4849CC5C" w:rsidR="006F1462" w:rsidRPr="00474989" w:rsidRDefault="006F1462" w:rsidP="007F42C5">
                      <w:pPr>
                        <w:rPr>
                          <w:sz w:val="14"/>
                          <w:szCs w:val="14"/>
                        </w:rPr>
                      </w:pPr>
                      <w:r>
                        <w:rPr>
                          <w:sz w:val="14"/>
                          <w:szCs w:val="14"/>
                        </w:rPr>
                        <w:t>40</w:t>
                      </w:r>
                    </w:p>
                  </w:txbxContent>
                </v:textbox>
                <w10:wrap anchorx="margin" anchory="page"/>
              </v:shape>
            </w:pict>
          </mc:Fallback>
        </mc:AlternateContent>
      </w:r>
      <w:r w:rsidR="00F76647">
        <w:rPr>
          <w:noProof/>
          <w:sz w:val="24"/>
          <w:szCs w:val="24"/>
          <w:lang w:eastAsia="en-GB"/>
        </w:rPr>
        <mc:AlternateContent>
          <mc:Choice Requires="wps">
            <w:drawing>
              <wp:anchor distT="0" distB="0" distL="114300" distR="114300" simplePos="0" relativeHeight="251658277" behindDoc="0" locked="0" layoutInCell="1" allowOverlap="1" wp14:anchorId="51343B6B" wp14:editId="2B995F40">
                <wp:simplePos x="0" y="0"/>
                <wp:positionH relativeFrom="column">
                  <wp:posOffset>2095500</wp:posOffset>
                </wp:positionH>
                <wp:positionV relativeFrom="page">
                  <wp:posOffset>3676650</wp:posOffset>
                </wp:positionV>
                <wp:extent cx="850265" cy="276225"/>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850265" cy="276225"/>
                        </a:xfrm>
                        <a:prstGeom prst="rect">
                          <a:avLst/>
                        </a:prstGeom>
                        <a:noFill/>
                        <a:ln w="6350">
                          <a:noFill/>
                        </a:ln>
                      </wps:spPr>
                      <wps:txbx>
                        <w:txbxContent>
                          <w:p w14:paraId="57C12D0B" w14:textId="77777777" w:rsidR="006F1462" w:rsidRPr="002369B7" w:rsidRDefault="006F1462" w:rsidP="00FD4AA2">
                            <w:pPr>
                              <w:rPr>
                                <w:sz w:val="20"/>
                                <w:szCs w:val="20"/>
                              </w:rPr>
                            </w:pPr>
                            <w:r w:rsidRPr="002369B7">
                              <w:rPr>
                                <w:sz w:val="20"/>
                                <w:szCs w:val="20"/>
                              </w:rPr>
                              <w:t>Energy (keV)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3B6B" id="Text Box 327" o:spid="_x0000_s1074" type="#_x0000_t202" style="position:absolute;margin-left:165pt;margin-top:289.5pt;width:66.95pt;height:21.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" filled="f" stroked="f" strokeweight=".5pt">
                <v:textbox>
                  <w:txbxContent>
                    <w:p w14:paraId="57C12D0B" w14:textId="77777777" w:rsidR="006F1462" w:rsidRPr="002369B7" w:rsidRDefault="006F1462" w:rsidP="00FD4AA2">
                      <w:pPr>
                        <w:rPr>
                          <w:sz w:val="20"/>
                          <w:szCs w:val="20"/>
                        </w:rPr>
                      </w:pPr>
                      <w:r w:rsidRPr="002369B7">
                        <w:rPr>
                          <w:sz w:val="20"/>
                          <w:szCs w:val="20"/>
                        </w:rPr>
                        <w:t>Energy (keV)</w:t>
                      </w:r>
                    </w:p>
                  </w:txbxContent>
                </v:textbox>
                <w10:wrap anchory="page"/>
              </v:shape>
            </w:pict>
          </mc:Fallback>
        </mc:AlternateContent>
      </w:r>
      <w:r w:rsidR="00F76647" w:rsidRPr="003707CC">
        <w:rPr>
          <w:noProof/>
          <w:sz w:val="24"/>
          <w:szCs w:val="24"/>
          <w:lang w:eastAsia="en-GB"/>
        </w:rPr>
        <mc:AlternateContent>
          <mc:Choice Requires="wps">
            <w:drawing>
              <wp:anchor distT="45720" distB="45720" distL="114300" distR="114300" simplePos="0" relativeHeight="251658245" behindDoc="0" locked="0" layoutInCell="1" allowOverlap="1" wp14:anchorId="23B39030" wp14:editId="4A5259A3">
                <wp:simplePos x="0" y="0"/>
                <wp:positionH relativeFrom="margin">
                  <wp:posOffset>2208172</wp:posOffset>
                </wp:positionH>
                <wp:positionV relativeFrom="page">
                  <wp:posOffset>2293675</wp:posOffset>
                </wp:positionV>
                <wp:extent cx="752475" cy="276053"/>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6053"/>
                        </a:xfrm>
                        <a:prstGeom prst="rect">
                          <a:avLst/>
                        </a:prstGeom>
                        <a:noFill/>
                        <a:ln w="9525">
                          <a:noFill/>
                          <a:miter lim="800000"/>
                          <a:headEnd/>
                          <a:tailEnd/>
                        </a:ln>
                      </wps:spPr>
                      <wps:txbx>
                        <w:txbxContent>
                          <w:p w14:paraId="6B54E428" w14:textId="77777777" w:rsidR="006F1462" w:rsidRPr="00F76647" w:rsidRDefault="006F1462" w:rsidP="000E40A9">
                            <w:pPr>
                              <w:rPr>
                                <w:sz w:val="24"/>
                                <w:szCs w:val="24"/>
                              </w:rPr>
                            </w:pPr>
                            <w:r w:rsidRPr="00F76647">
                              <w:rPr>
                                <w:sz w:val="24"/>
                                <w:szCs w:val="24"/>
                                <w:vertAlign w:val="superscript"/>
                              </w:rPr>
                              <w:t>241</w:t>
                            </w:r>
                            <w:r w:rsidRPr="00F76647">
                              <w:rPr>
                                <w:sz w:val="24"/>
                                <w:szCs w:val="24"/>
                              </w:rPr>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39030" id="_x0000_s1075" type="#_x0000_t202" style="position:absolute;margin-left:173.85pt;margin-top:180.6pt;width:59.25pt;height:21.7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" filled="f" stroked="f">
                <v:textbox>
                  <w:txbxContent>
                    <w:p w14:paraId="6B54E428" w14:textId="77777777" w:rsidR="006F1462" w:rsidRPr="00F76647" w:rsidRDefault="006F1462" w:rsidP="000E40A9">
                      <w:pPr>
                        <w:rPr>
                          <w:sz w:val="24"/>
                          <w:szCs w:val="24"/>
                        </w:rPr>
                      </w:pPr>
                      <w:r w:rsidRPr="00F76647">
                        <w:rPr>
                          <w:sz w:val="24"/>
                          <w:szCs w:val="24"/>
                          <w:vertAlign w:val="superscript"/>
                        </w:rPr>
                        <w:t>241</w:t>
                      </w:r>
                      <w:r w:rsidRPr="00F76647">
                        <w:rPr>
                          <w:sz w:val="24"/>
                          <w:szCs w:val="24"/>
                        </w:rPr>
                        <w:t>Am</w:t>
                      </w:r>
                    </w:p>
                  </w:txbxContent>
                </v:textbox>
                <w10:wrap anchorx="margin" anchory="page"/>
              </v:shape>
            </w:pict>
          </mc:Fallback>
        </mc:AlternateContent>
      </w:r>
      <w:r w:rsidR="00F76647" w:rsidRPr="00734745">
        <w:rPr>
          <w:noProof/>
          <w:sz w:val="24"/>
          <w:szCs w:val="24"/>
          <w:lang w:eastAsia="en-GB"/>
        </w:rPr>
        <mc:AlternateContent>
          <mc:Choice Requires="wps">
            <w:drawing>
              <wp:anchor distT="45720" distB="45720" distL="114300" distR="114300" simplePos="0" relativeHeight="251658246" behindDoc="0" locked="0" layoutInCell="1" allowOverlap="1" wp14:anchorId="477DE402" wp14:editId="5F79E96C">
                <wp:simplePos x="0" y="0"/>
                <wp:positionH relativeFrom="column">
                  <wp:posOffset>3737112</wp:posOffset>
                </wp:positionH>
                <wp:positionV relativeFrom="paragraph">
                  <wp:posOffset>151075</wp:posOffset>
                </wp:positionV>
                <wp:extent cx="532737" cy="28702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37" cy="287020"/>
                        </a:xfrm>
                        <a:prstGeom prst="rect">
                          <a:avLst/>
                        </a:prstGeom>
                        <a:noFill/>
                        <a:ln w="9525">
                          <a:noFill/>
                          <a:miter lim="800000"/>
                          <a:headEnd/>
                          <a:tailEnd/>
                        </a:ln>
                      </wps:spPr>
                      <wps:txbx>
                        <w:txbxContent>
                          <w:p w14:paraId="60ED92F5" w14:textId="5DDF37F8" w:rsidR="006F1462" w:rsidRPr="00F76647" w:rsidRDefault="006F1462">
                            <w:pPr>
                              <w:rPr>
                                <w:sz w:val="24"/>
                                <w:szCs w:val="24"/>
                              </w:rPr>
                            </w:pPr>
                            <w:r w:rsidRPr="00F76647">
                              <w:rPr>
                                <w:sz w:val="24"/>
                                <w:szCs w:val="24"/>
                                <w:vertAlign w:val="superscript"/>
                              </w:rPr>
                              <w:t>234</w:t>
                            </w:r>
                            <w:r w:rsidRPr="00F76647">
                              <w:rPr>
                                <w:sz w:val="24"/>
                                <w:szCs w:val="24"/>
                              </w:rPr>
                              <w:t>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DE402" id="_x0000_s1076" type="#_x0000_t202" style="position:absolute;margin-left:294.25pt;margin-top:11.9pt;width:41.95pt;height:22.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" filled="f" stroked="f">
                <v:textbox>
                  <w:txbxContent>
                    <w:p w14:paraId="60ED92F5" w14:textId="5DDF37F8" w:rsidR="006F1462" w:rsidRPr="00F76647" w:rsidRDefault="006F1462">
                      <w:pPr>
                        <w:rPr>
                          <w:sz w:val="24"/>
                          <w:szCs w:val="24"/>
                        </w:rPr>
                      </w:pPr>
                      <w:r w:rsidRPr="00F76647">
                        <w:rPr>
                          <w:sz w:val="24"/>
                          <w:szCs w:val="24"/>
                          <w:vertAlign w:val="superscript"/>
                        </w:rPr>
                        <w:t>234</w:t>
                      </w:r>
                      <w:r w:rsidRPr="00F76647">
                        <w:rPr>
                          <w:sz w:val="24"/>
                          <w:szCs w:val="24"/>
                        </w:rPr>
                        <w:t>Th</w:t>
                      </w:r>
                    </w:p>
                  </w:txbxContent>
                </v:textbox>
              </v:shape>
            </w:pict>
          </mc:Fallback>
        </mc:AlternateContent>
      </w:r>
      <w:r w:rsidR="00F37CA9">
        <w:rPr>
          <w:noProof/>
          <w:lang w:eastAsia="en-GB"/>
        </w:rPr>
        <w:drawing>
          <wp:inline distT="0" distB="0" distL="0" distR="0" wp14:anchorId="14E3C5F4" wp14:editId="2D5EE705">
            <wp:extent cx="5494351" cy="2837815"/>
            <wp:effectExtent l="0" t="0" r="0" b="635"/>
            <wp:docPr id="29" name="Picture 29" descr="C:\Users\Christopher\AppData\Local\Microsoft\Windows\Temporary Internet Files\Content.MSO\6CC563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opher\AppData\Local\Microsoft\Windows\Temporary Internet Files\Content.MSO\6CC563DB.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3885" t="1812" r="222" b="5804"/>
                    <a:stretch/>
                  </pic:blipFill>
                  <pic:spPr bwMode="auto">
                    <a:xfrm>
                      <a:off x="0" y="0"/>
                      <a:ext cx="5496126" cy="2838732"/>
                    </a:xfrm>
                    <a:prstGeom prst="rect">
                      <a:avLst/>
                    </a:prstGeom>
                    <a:noFill/>
                    <a:ln>
                      <a:noFill/>
                    </a:ln>
                    <a:extLst>
                      <a:ext uri="{53640926-AAD7-44D8-BBD7-CCE9431645EC}">
                        <a14:shadowObscured xmlns:a14="http://schemas.microsoft.com/office/drawing/2010/main"/>
                      </a:ext>
                    </a:extLst>
                  </pic:spPr>
                </pic:pic>
              </a:graphicData>
            </a:graphic>
          </wp:inline>
        </w:drawing>
      </w:r>
      <w:r w:rsidR="008173D1">
        <w:rPr>
          <w:noProof/>
          <w:sz w:val="24"/>
          <w:szCs w:val="24"/>
          <w:lang w:eastAsia="en-GB"/>
        </w:rPr>
        <mc:AlternateContent>
          <mc:Choice Requires="wps">
            <w:drawing>
              <wp:anchor distT="0" distB="0" distL="114300" distR="114300" simplePos="0" relativeHeight="251658313" behindDoc="0" locked="0" layoutInCell="1" allowOverlap="1" wp14:anchorId="3AC94AAE" wp14:editId="3DC78020">
                <wp:simplePos x="0" y="0"/>
                <wp:positionH relativeFrom="column">
                  <wp:posOffset>1790700</wp:posOffset>
                </wp:positionH>
                <wp:positionV relativeFrom="page">
                  <wp:posOffset>6743700</wp:posOffset>
                </wp:positionV>
                <wp:extent cx="325755" cy="198755"/>
                <wp:effectExtent l="0" t="0" r="0" b="0"/>
                <wp:wrapNone/>
                <wp:docPr id="362" name="Text Box 362"/>
                <wp:cNvGraphicFramePr/>
                <a:graphic xmlns:a="http://schemas.openxmlformats.org/drawingml/2006/main">
                  <a:graphicData uri="http://schemas.microsoft.com/office/word/2010/wordprocessingShape">
                    <wps:wsp>
                      <wps:cNvSpPr txBox="1"/>
                      <wps:spPr>
                        <a:xfrm>
                          <a:off x="0" y="0"/>
                          <a:ext cx="325755" cy="198755"/>
                        </a:xfrm>
                        <a:prstGeom prst="rect">
                          <a:avLst/>
                        </a:prstGeom>
                        <a:noFill/>
                        <a:ln w="6350">
                          <a:noFill/>
                        </a:ln>
                      </wps:spPr>
                      <wps:txbx>
                        <w:txbxContent>
                          <w:p w14:paraId="709514CE" w14:textId="2E199AE6" w:rsidR="006F1462" w:rsidRPr="001E0395" w:rsidRDefault="006F1462" w:rsidP="00D50343">
                            <w:pPr>
                              <w:rPr>
                                <w:sz w:val="14"/>
                                <w:szCs w:val="14"/>
                              </w:rPr>
                            </w:pPr>
                            <w:r>
                              <w:rPr>
                                <w:sz w:val="14"/>
                                <w:szCs w:val="14"/>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94AAE" id="Text Box 362" o:spid="_x0000_s1077" type="#_x0000_t202" style="position:absolute;margin-left:141pt;margin-top:531pt;width:25.65pt;height:15.6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" filled="f" stroked="f" strokeweight=".5pt">
                <v:textbox>
                  <w:txbxContent>
                    <w:p w14:paraId="709514CE" w14:textId="2E199AE6" w:rsidR="006F1462" w:rsidRPr="001E0395" w:rsidRDefault="006F1462" w:rsidP="00D50343">
                      <w:pPr>
                        <w:rPr>
                          <w:sz w:val="14"/>
                          <w:szCs w:val="14"/>
                        </w:rPr>
                      </w:pPr>
                      <w:r>
                        <w:rPr>
                          <w:sz w:val="14"/>
                          <w:szCs w:val="14"/>
                        </w:rPr>
                        <w:t>120</w:t>
                      </w:r>
                    </w:p>
                  </w:txbxContent>
                </v:textbox>
                <w10:wrap anchory="page"/>
              </v:shape>
            </w:pict>
          </mc:Fallback>
        </mc:AlternateContent>
      </w:r>
      <w:r w:rsidR="00D50343" w:rsidRPr="001B79B5">
        <w:rPr>
          <w:noProof/>
          <w:sz w:val="24"/>
          <w:szCs w:val="24"/>
          <w:lang w:eastAsia="en-GB"/>
        </w:rPr>
        <mc:AlternateContent>
          <mc:Choice Requires="wps">
            <w:drawing>
              <wp:anchor distT="45720" distB="45720" distL="114300" distR="114300" simplePos="0" relativeHeight="251658319" behindDoc="0" locked="0" layoutInCell="1" allowOverlap="1" wp14:anchorId="45D1E7F7" wp14:editId="52426682">
                <wp:simplePos x="0" y="0"/>
                <wp:positionH relativeFrom="leftMargin">
                  <wp:align>right</wp:align>
                </wp:positionH>
                <wp:positionV relativeFrom="margin">
                  <wp:posOffset>3619500</wp:posOffset>
                </wp:positionV>
                <wp:extent cx="335280" cy="190500"/>
                <wp:effectExtent l="0" t="0" r="0" b="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90500"/>
                        </a:xfrm>
                        <a:prstGeom prst="rect">
                          <a:avLst/>
                        </a:prstGeom>
                        <a:noFill/>
                        <a:ln w="9525">
                          <a:noFill/>
                          <a:miter lim="800000"/>
                          <a:headEnd/>
                          <a:tailEnd/>
                        </a:ln>
                      </wps:spPr>
                      <wps:txbx>
                        <w:txbxContent>
                          <w:p w14:paraId="72418936" w14:textId="1054D2DC" w:rsidR="006F1462" w:rsidRPr="00474989" w:rsidRDefault="006F1462" w:rsidP="00D50343">
                            <w:pPr>
                              <w:rPr>
                                <w:sz w:val="14"/>
                                <w:szCs w:val="14"/>
                              </w:rPr>
                            </w:pPr>
                            <w:r>
                              <w:rPr>
                                <w:sz w:val="14"/>
                                <w:szCs w:val="14"/>
                              </w:rPr>
                              <w:t>193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1E7F7" id="_x0000_s1078" type="#_x0000_t202" style="position:absolute;margin-left:-24.8pt;margin-top:285pt;width:26.4pt;height:15pt;z-index:251658319;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" filled="f" stroked="f">
                <v:textbox>
                  <w:txbxContent>
                    <w:p w14:paraId="72418936" w14:textId="1054D2DC" w:rsidR="006F1462" w:rsidRPr="00474989" w:rsidRDefault="006F1462" w:rsidP="00D50343">
                      <w:pPr>
                        <w:rPr>
                          <w:sz w:val="14"/>
                          <w:szCs w:val="14"/>
                        </w:rPr>
                      </w:pPr>
                      <w:r>
                        <w:rPr>
                          <w:sz w:val="14"/>
                          <w:szCs w:val="14"/>
                        </w:rPr>
                        <w:t>193</w:t>
                      </w:r>
                    </w:p>
                  </w:txbxContent>
                </v:textbox>
                <w10:wrap anchorx="margin" anchory="margin"/>
              </v:shape>
            </w:pict>
          </mc:Fallback>
        </mc:AlternateContent>
      </w:r>
      <w:r w:rsidR="00D50343" w:rsidRPr="001B79B5">
        <w:rPr>
          <w:noProof/>
          <w:sz w:val="24"/>
          <w:szCs w:val="24"/>
          <w:lang w:eastAsia="en-GB"/>
        </w:rPr>
        <mc:AlternateContent>
          <mc:Choice Requires="wps">
            <w:drawing>
              <wp:anchor distT="45720" distB="45720" distL="114300" distR="114300" simplePos="0" relativeHeight="251658318" behindDoc="0" locked="0" layoutInCell="1" allowOverlap="1" wp14:anchorId="44D8AEFE" wp14:editId="042A04A4">
                <wp:simplePos x="0" y="0"/>
                <wp:positionH relativeFrom="leftMargin">
                  <wp:align>right</wp:align>
                </wp:positionH>
                <wp:positionV relativeFrom="margin">
                  <wp:posOffset>4324351</wp:posOffset>
                </wp:positionV>
                <wp:extent cx="335280" cy="190500"/>
                <wp:effectExtent l="0" t="0" r="0" b="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90500"/>
                        </a:xfrm>
                        <a:prstGeom prst="rect">
                          <a:avLst/>
                        </a:prstGeom>
                        <a:noFill/>
                        <a:ln w="9525">
                          <a:noFill/>
                          <a:miter lim="800000"/>
                          <a:headEnd/>
                          <a:tailEnd/>
                        </a:ln>
                      </wps:spPr>
                      <wps:txbx>
                        <w:txbxContent>
                          <w:p w14:paraId="12A0A0E1" w14:textId="3E41C4B2" w:rsidR="006F1462" w:rsidRPr="00474989" w:rsidRDefault="006F1462" w:rsidP="00D50343">
                            <w:pPr>
                              <w:rPr>
                                <w:sz w:val="14"/>
                                <w:szCs w:val="14"/>
                              </w:rPr>
                            </w:pPr>
                            <w:r>
                              <w:rPr>
                                <w:sz w:val="14"/>
                                <w:szCs w:val="14"/>
                              </w:rPr>
                              <w:t>139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8AEFE" id="_x0000_s1079" type="#_x0000_t202" style="position:absolute;margin-left:-24.8pt;margin-top:340.5pt;width:26.4pt;height:15pt;z-index:25165831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" filled="f" stroked="f">
                <v:textbox>
                  <w:txbxContent>
                    <w:p w14:paraId="12A0A0E1" w14:textId="3E41C4B2" w:rsidR="006F1462" w:rsidRPr="00474989" w:rsidRDefault="006F1462" w:rsidP="00D50343">
                      <w:pPr>
                        <w:rPr>
                          <w:sz w:val="14"/>
                          <w:szCs w:val="14"/>
                        </w:rPr>
                      </w:pPr>
                      <w:r>
                        <w:rPr>
                          <w:sz w:val="14"/>
                          <w:szCs w:val="14"/>
                        </w:rPr>
                        <w:t>139</w:t>
                      </w:r>
                    </w:p>
                  </w:txbxContent>
                </v:textbox>
                <w10:wrap anchorx="margin" anchory="margin"/>
              </v:shape>
            </w:pict>
          </mc:Fallback>
        </mc:AlternateContent>
      </w:r>
      <w:r w:rsidR="00D50343">
        <w:rPr>
          <w:noProof/>
          <w:sz w:val="24"/>
          <w:szCs w:val="24"/>
          <w:lang w:eastAsia="en-GB"/>
        </w:rPr>
        <mc:AlternateContent>
          <mc:Choice Requires="wps">
            <w:drawing>
              <wp:anchor distT="0" distB="0" distL="114300" distR="114300" simplePos="0" relativeHeight="251658279" behindDoc="0" locked="0" layoutInCell="1" allowOverlap="1" wp14:anchorId="0874BF97" wp14:editId="7B406DCA">
                <wp:simplePos x="0" y="0"/>
                <wp:positionH relativeFrom="margin">
                  <wp:posOffset>-449898</wp:posOffset>
                </wp:positionH>
                <wp:positionV relativeFrom="page">
                  <wp:posOffset>5498148</wp:posOffset>
                </wp:positionV>
                <wp:extent cx="618490" cy="286385"/>
                <wp:effectExtent l="0" t="0" r="4763" b="0"/>
                <wp:wrapNone/>
                <wp:docPr id="329" name="Text Box 329"/>
                <wp:cNvGraphicFramePr/>
                <a:graphic xmlns:a="http://schemas.openxmlformats.org/drawingml/2006/main">
                  <a:graphicData uri="http://schemas.microsoft.com/office/word/2010/wordprocessingShape">
                    <wps:wsp>
                      <wps:cNvSpPr txBox="1"/>
                      <wps:spPr>
                        <a:xfrm rot="16200000">
                          <a:off x="0" y="0"/>
                          <a:ext cx="618490" cy="286385"/>
                        </a:xfrm>
                        <a:prstGeom prst="rect">
                          <a:avLst/>
                        </a:prstGeom>
                        <a:noFill/>
                        <a:ln w="6350">
                          <a:noFill/>
                        </a:ln>
                      </wps:spPr>
                      <wps:txbx>
                        <w:txbxContent>
                          <w:p w14:paraId="35286D9D" w14:textId="77777777" w:rsidR="006F1462" w:rsidRPr="00FD4AA2" w:rsidRDefault="006F1462" w:rsidP="00FD4AA2">
                            <w:r>
                              <w:t>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4BF97" id="Text Box 329" o:spid="_x0000_s1080" type="#_x0000_t202" style="position:absolute;margin-left:-35.45pt;margin-top:432.95pt;width:48.7pt;height:22.55pt;rotation:-90;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" filled="f" stroked="f" strokeweight=".5pt">
                <v:textbox>
                  <w:txbxContent>
                    <w:p w14:paraId="35286D9D" w14:textId="77777777" w:rsidR="006F1462" w:rsidRPr="00FD4AA2" w:rsidRDefault="006F1462" w:rsidP="00FD4AA2">
                      <w:r>
                        <w:t>Counts</w:t>
                      </w:r>
                    </w:p>
                  </w:txbxContent>
                </v:textbox>
                <w10:wrap anchorx="margin" anchory="page"/>
              </v:shape>
            </w:pict>
          </mc:Fallback>
        </mc:AlternateContent>
      </w:r>
      <w:r w:rsidR="00D50343" w:rsidRPr="001B79B5">
        <w:rPr>
          <w:noProof/>
          <w:sz w:val="24"/>
          <w:szCs w:val="24"/>
          <w:lang w:eastAsia="en-GB"/>
        </w:rPr>
        <mc:AlternateContent>
          <mc:Choice Requires="wps">
            <w:drawing>
              <wp:anchor distT="45720" distB="45720" distL="114300" distR="114300" simplePos="0" relativeHeight="251658317" behindDoc="0" locked="0" layoutInCell="1" allowOverlap="1" wp14:anchorId="128675AB" wp14:editId="3E77D004">
                <wp:simplePos x="0" y="0"/>
                <wp:positionH relativeFrom="leftMargin">
                  <wp:align>right</wp:align>
                </wp:positionH>
                <wp:positionV relativeFrom="page">
                  <wp:posOffset>5924550</wp:posOffset>
                </wp:positionV>
                <wp:extent cx="307134" cy="220345"/>
                <wp:effectExtent l="0" t="0" r="0" b="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34" cy="220345"/>
                        </a:xfrm>
                        <a:prstGeom prst="rect">
                          <a:avLst/>
                        </a:prstGeom>
                        <a:noFill/>
                        <a:ln w="9525">
                          <a:noFill/>
                          <a:miter lim="800000"/>
                          <a:headEnd/>
                          <a:tailEnd/>
                        </a:ln>
                      </wps:spPr>
                      <wps:txbx>
                        <w:txbxContent>
                          <w:p w14:paraId="23B594C3" w14:textId="235A8D67" w:rsidR="006F1462" w:rsidRPr="00474989" w:rsidRDefault="006F1462" w:rsidP="00D50343">
                            <w:pPr>
                              <w:rPr>
                                <w:sz w:val="14"/>
                                <w:szCs w:val="14"/>
                              </w:rPr>
                            </w:pPr>
                            <w:r>
                              <w:rPr>
                                <w:sz w:val="14"/>
                                <w:szCs w:val="14"/>
                              </w:rPr>
                              <w:t>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675AB" id="_x0000_s1081" type="#_x0000_t202" style="position:absolute;margin-left:-27pt;margin-top:466.5pt;width:24.2pt;height:17.35pt;z-index:251658317;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" filled="f" stroked="f">
                <v:textbox>
                  <w:txbxContent>
                    <w:p w14:paraId="23B594C3" w14:textId="235A8D67" w:rsidR="006F1462" w:rsidRPr="00474989" w:rsidRDefault="006F1462" w:rsidP="00D50343">
                      <w:pPr>
                        <w:rPr>
                          <w:sz w:val="14"/>
                          <w:szCs w:val="14"/>
                        </w:rPr>
                      </w:pPr>
                      <w:r>
                        <w:rPr>
                          <w:sz w:val="14"/>
                          <w:szCs w:val="14"/>
                        </w:rPr>
                        <w:t>85</w:t>
                      </w:r>
                    </w:p>
                  </w:txbxContent>
                </v:textbox>
                <w10:wrap anchorx="margin" anchory="page"/>
              </v:shape>
            </w:pict>
          </mc:Fallback>
        </mc:AlternateContent>
      </w:r>
      <w:r w:rsidR="00D50343">
        <w:rPr>
          <w:noProof/>
          <w:sz w:val="24"/>
          <w:szCs w:val="24"/>
          <w:lang w:eastAsia="en-GB"/>
        </w:rPr>
        <mc:AlternateContent>
          <mc:Choice Requires="wps">
            <w:drawing>
              <wp:anchor distT="0" distB="0" distL="114300" distR="114300" simplePos="0" relativeHeight="251658316" behindDoc="0" locked="0" layoutInCell="1" allowOverlap="1" wp14:anchorId="7AB8368F" wp14:editId="74CEF31F">
                <wp:simplePos x="0" y="0"/>
                <wp:positionH relativeFrom="leftMargin">
                  <wp:align>right</wp:align>
                </wp:positionH>
                <wp:positionV relativeFrom="page">
                  <wp:posOffset>6610350</wp:posOffset>
                </wp:positionV>
                <wp:extent cx="325755" cy="198755"/>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325755" cy="198755"/>
                        </a:xfrm>
                        <a:prstGeom prst="rect">
                          <a:avLst/>
                        </a:prstGeom>
                        <a:noFill/>
                        <a:ln w="6350">
                          <a:noFill/>
                        </a:ln>
                      </wps:spPr>
                      <wps:txbx>
                        <w:txbxContent>
                          <w:p w14:paraId="77627C73" w14:textId="073F4BCF" w:rsidR="006F1462" w:rsidRPr="001E0395" w:rsidRDefault="006F1462" w:rsidP="00D50343">
                            <w:pPr>
                              <w:rPr>
                                <w:sz w:val="14"/>
                                <w:szCs w:val="14"/>
                              </w:rPr>
                            </w:pPr>
                            <w:r>
                              <w:rPr>
                                <w:sz w:val="14"/>
                                <w:szCs w:val="14"/>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8368F" id="Text Box 365" o:spid="_x0000_s1082" type="#_x0000_t202" style="position:absolute;margin-left:-25.55pt;margin-top:520.5pt;width:25.65pt;height:15.65pt;z-index:251658316;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" filled="f" stroked="f" strokeweight=".5pt">
                <v:textbox>
                  <w:txbxContent>
                    <w:p w14:paraId="77627C73" w14:textId="073F4BCF" w:rsidR="006F1462" w:rsidRPr="001E0395" w:rsidRDefault="006F1462" w:rsidP="00D50343">
                      <w:pPr>
                        <w:rPr>
                          <w:sz w:val="14"/>
                          <w:szCs w:val="14"/>
                        </w:rPr>
                      </w:pPr>
                      <w:r>
                        <w:rPr>
                          <w:sz w:val="14"/>
                          <w:szCs w:val="14"/>
                        </w:rPr>
                        <w:t>31</w:t>
                      </w:r>
                    </w:p>
                  </w:txbxContent>
                </v:textbox>
                <w10:wrap anchorx="margin" anchory="page"/>
              </v:shape>
            </w:pict>
          </mc:Fallback>
        </mc:AlternateContent>
      </w:r>
      <w:r w:rsidR="00D50343">
        <w:rPr>
          <w:noProof/>
          <w:sz w:val="24"/>
          <w:szCs w:val="24"/>
          <w:lang w:eastAsia="en-GB"/>
        </w:rPr>
        <mc:AlternateContent>
          <mc:Choice Requires="wps">
            <w:drawing>
              <wp:anchor distT="0" distB="0" distL="114300" distR="114300" simplePos="0" relativeHeight="251658315" behindDoc="0" locked="0" layoutInCell="1" allowOverlap="1" wp14:anchorId="01095AEF" wp14:editId="273C721E">
                <wp:simplePos x="0" y="0"/>
                <wp:positionH relativeFrom="column">
                  <wp:posOffset>4276725</wp:posOffset>
                </wp:positionH>
                <wp:positionV relativeFrom="page">
                  <wp:posOffset>6772275</wp:posOffset>
                </wp:positionV>
                <wp:extent cx="325755" cy="198755"/>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325755" cy="198755"/>
                        </a:xfrm>
                        <a:prstGeom prst="rect">
                          <a:avLst/>
                        </a:prstGeom>
                        <a:noFill/>
                        <a:ln w="6350">
                          <a:noFill/>
                        </a:ln>
                      </wps:spPr>
                      <wps:txbx>
                        <w:txbxContent>
                          <w:p w14:paraId="7DF913FD" w14:textId="1BFB8E79" w:rsidR="006F1462" w:rsidRPr="001E0395" w:rsidRDefault="006F1462" w:rsidP="00D50343">
                            <w:pPr>
                              <w:rPr>
                                <w:sz w:val="14"/>
                                <w:szCs w:val="14"/>
                              </w:rPr>
                            </w:pPr>
                            <w:r>
                              <w:rPr>
                                <w:sz w:val="14"/>
                                <w:szCs w:val="14"/>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5AEF" id="Text Box 364" o:spid="_x0000_s1083" type="#_x0000_t202" style="position:absolute;margin-left:336.75pt;margin-top:533.25pt;width:25.65pt;height:15.6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" filled="f" stroked="f" strokeweight=".5pt">
                <v:textbox>
                  <w:txbxContent>
                    <w:p w14:paraId="7DF913FD" w14:textId="1BFB8E79" w:rsidR="006F1462" w:rsidRPr="001E0395" w:rsidRDefault="006F1462" w:rsidP="00D50343">
                      <w:pPr>
                        <w:rPr>
                          <w:sz w:val="14"/>
                          <w:szCs w:val="14"/>
                        </w:rPr>
                      </w:pPr>
                      <w:r>
                        <w:rPr>
                          <w:sz w:val="14"/>
                          <w:szCs w:val="14"/>
                        </w:rPr>
                        <w:t>150</w:t>
                      </w:r>
                    </w:p>
                  </w:txbxContent>
                </v:textbox>
                <w10:wrap anchory="page"/>
              </v:shape>
            </w:pict>
          </mc:Fallback>
        </mc:AlternateContent>
      </w:r>
      <w:r w:rsidR="00D50343">
        <w:rPr>
          <w:noProof/>
          <w:sz w:val="24"/>
          <w:szCs w:val="24"/>
          <w:lang w:eastAsia="en-GB"/>
        </w:rPr>
        <mc:AlternateContent>
          <mc:Choice Requires="wps">
            <w:drawing>
              <wp:anchor distT="0" distB="0" distL="114300" distR="114300" simplePos="0" relativeHeight="251658314" behindDoc="0" locked="0" layoutInCell="1" allowOverlap="1" wp14:anchorId="54A3B819" wp14:editId="03D32EAC">
                <wp:simplePos x="0" y="0"/>
                <wp:positionH relativeFrom="column">
                  <wp:posOffset>3063875</wp:posOffset>
                </wp:positionH>
                <wp:positionV relativeFrom="page">
                  <wp:posOffset>6764020</wp:posOffset>
                </wp:positionV>
                <wp:extent cx="325755" cy="198755"/>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325755" cy="198755"/>
                        </a:xfrm>
                        <a:prstGeom prst="rect">
                          <a:avLst/>
                        </a:prstGeom>
                        <a:noFill/>
                        <a:ln w="6350">
                          <a:noFill/>
                        </a:ln>
                      </wps:spPr>
                      <wps:txbx>
                        <w:txbxContent>
                          <w:p w14:paraId="4D6E97E5" w14:textId="0530AC7A" w:rsidR="006F1462" w:rsidRPr="001E0395" w:rsidRDefault="006F1462" w:rsidP="00D50343">
                            <w:pPr>
                              <w:rPr>
                                <w:sz w:val="14"/>
                                <w:szCs w:val="14"/>
                              </w:rPr>
                            </w:pPr>
                            <w:r>
                              <w:rPr>
                                <w:sz w:val="14"/>
                                <w:szCs w:val="14"/>
                              </w:rPr>
                              <w:t>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3B819" id="Text Box 363" o:spid="_x0000_s1084" type="#_x0000_t202" style="position:absolute;margin-left:241.25pt;margin-top:532.6pt;width:25.65pt;height:15.6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" filled="f" stroked="f" strokeweight=".5pt">
                <v:textbox>
                  <w:txbxContent>
                    <w:p w14:paraId="4D6E97E5" w14:textId="0530AC7A" w:rsidR="006F1462" w:rsidRPr="001E0395" w:rsidRDefault="006F1462" w:rsidP="00D50343">
                      <w:pPr>
                        <w:rPr>
                          <w:sz w:val="14"/>
                          <w:szCs w:val="14"/>
                        </w:rPr>
                      </w:pPr>
                      <w:r>
                        <w:rPr>
                          <w:sz w:val="14"/>
                          <w:szCs w:val="14"/>
                        </w:rPr>
                        <w:t>135</w:t>
                      </w:r>
                    </w:p>
                  </w:txbxContent>
                </v:textbox>
                <w10:wrap anchory="page"/>
              </v:shape>
            </w:pict>
          </mc:Fallback>
        </mc:AlternateContent>
      </w:r>
      <w:r w:rsidR="00D50343">
        <w:rPr>
          <w:noProof/>
          <w:sz w:val="24"/>
          <w:szCs w:val="24"/>
          <w:lang w:eastAsia="en-GB"/>
        </w:rPr>
        <mc:AlternateContent>
          <mc:Choice Requires="wps">
            <w:drawing>
              <wp:anchor distT="0" distB="0" distL="114300" distR="114300" simplePos="0" relativeHeight="251658280" behindDoc="0" locked="0" layoutInCell="1" allowOverlap="1" wp14:anchorId="60C7EA3C" wp14:editId="00460AC9">
                <wp:simplePos x="0" y="0"/>
                <wp:positionH relativeFrom="margin">
                  <wp:posOffset>2219325</wp:posOffset>
                </wp:positionH>
                <wp:positionV relativeFrom="page">
                  <wp:posOffset>6715125</wp:posOffset>
                </wp:positionV>
                <wp:extent cx="962025" cy="276225"/>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962025" cy="276225"/>
                        </a:xfrm>
                        <a:prstGeom prst="rect">
                          <a:avLst/>
                        </a:prstGeom>
                        <a:noFill/>
                        <a:ln w="6350">
                          <a:noFill/>
                        </a:ln>
                      </wps:spPr>
                      <wps:txbx>
                        <w:txbxContent>
                          <w:p w14:paraId="08A28F4E" w14:textId="77777777" w:rsidR="006F1462" w:rsidRDefault="006F1462" w:rsidP="00FD4AA2">
                            <w:r>
                              <w:t>Energy (keV)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7EA3C" id="Text Box 330" o:spid="_x0000_s1085" type="#_x0000_t202" style="position:absolute;margin-left:174.75pt;margin-top:528.75pt;width:75.75pt;height:21.7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" filled="f" stroked="f" strokeweight=".5pt">
                <v:textbox>
                  <w:txbxContent>
                    <w:p w14:paraId="08A28F4E" w14:textId="77777777" w:rsidR="006F1462" w:rsidRDefault="006F1462" w:rsidP="00FD4AA2">
                      <w:r>
                        <w:t>Energy (keV)</w:t>
                      </w:r>
                    </w:p>
                  </w:txbxContent>
                </v:textbox>
                <w10:wrap anchorx="margin" anchory="page"/>
              </v:shape>
            </w:pict>
          </mc:Fallback>
        </mc:AlternateContent>
      </w:r>
      <w:r w:rsidR="001E0395">
        <w:rPr>
          <w:noProof/>
          <w:sz w:val="24"/>
          <w:szCs w:val="24"/>
          <w:lang w:eastAsia="en-GB"/>
        </w:rPr>
        <mc:AlternateContent>
          <mc:Choice Requires="wps">
            <w:drawing>
              <wp:anchor distT="0" distB="0" distL="114300" distR="114300" simplePos="0" relativeHeight="251658312" behindDoc="0" locked="0" layoutInCell="1" allowOverlap="1" wp14:anchorId="664C7F3A" wp14:editId="04C1C2C3">
                <wp:simplePos x="0" y="0"/>
                <wp:positionH relativeFrom="column">
                  <wp:posOffset>600075</wp:posOffset>
                </wp:positionH>
                <wp:positionV relativeFrom="page">
                  <wp:posOffset>6772275</wp:posOffset>
                </wp:positionV>
                <wp:extent cx="325755" cy="198755"/>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325755" cy="198755"/>
                        </a:xfrm>
                        <a:prstGeom prst="rect">
                          <a:avLst/>
                        </a:prstGeom>
                        <a:noFill/>
                        <a:ln w="6350">
                          <a:noFill/>
                        </a:ln>
                      </wps:spPr>
                      <wps:txbx>
                        <w:txbxContent>
                          <w:p w14:paraId="002EB88F" w14:textId="6E71C1F5" w:rsidR="006F1462" w:rsidRPr="001E0395" w:rsidRDefault="006F1462">
                            <w:pPr>
                              <w:rPr>
                                <w:sz w:val="14"/>
                                <w:szCs w:val="14"/>
                              </w:rPr>
                            </w:pPr>
                            <w:r w:rsidRPr="001E0395">
                              <w:rPr>
                                <w:sz w:val="14"/>
                                <w:szCs w:val="14"/>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C7F3A" id="Text Box 361" o:spid="_x0000_s1086" type="#_x0000_t202" style="position:absolute;margin-left:47.25pt;margin-top:533.25pt;width:25.65pt;height:15.6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" filled="f" stroked="f" strokeweight=".5pt">
                <v:textbox>
                  <w:txbxContent>
                    <w:p w14:paraId="002EB88F" w14:textId="6E71C1F5" w:rsidR="006F1462" w:rsidRPr="001E0395" w:rsidRDefault="006F1462">
                      <w:pPr>
                        <w:rPr>
                          <w:sz w:val="14"/>
                          <w:szCs w:val="14"/>
                        </w:rPr>
                      </w:pPr>
                      <w:r w:rsidRPr="001E0395">
                        <w:rPr>
                          <w:sz w:val="14"/>
                          <w:szCs w:val="14"/>
                        </w:rPr>
                        <w:t>105</w:t>
                      </w:r>
                    </w:p>
                  </w:txbxContent>
                </v:textbox>
                <w10:wrap anchory="page"/>
              </v:shape>
            </w:pict>
          </mc:Fallback>
        </mc:AlternateContent>
      </w:r>
      <w:r w:rsidR="007F2A59" w:rsidRPr="003707CC">
        <w:rPr>
          <w:noProof/>
          <w:sz w:val="24"/>
          <w:szCs w:val="24"/>
          <w:lang w:eastAsia="en-GB"/>
        </w:rPr>
        <mc:AlternateContent>
          <mc:Choice Requires="wps">
            <w:drawing>
              <wp:anchor distT="45720" distB="45720" distL="114300" distR="114300" simplePos="0" relativeHeight="251658256" behindDoc="0" locked="0" layoutInCell="1" allowOverlap="1" wp14:anchorId="77D5FCE1" wp14:editId="19FD167B">
                <wp:simplePos x="0" y="0"/>
                <wp:positionH relativeFrom="margin">
                  <wp:posOffset>3725738</wp:posOffset>
                </wp:positionH>
                <wp:positionV relativeFrom="page">
                  <wp:posOffset>5842994</wp:posOffset>
                </wp:positionV>
                <wp:extent cx="609600" cy="30988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9880"/>
                        </a:xfrm>
                        <a:prstGeom prst="rect">
                          <a:avLst/>
                        </a:prstGeom>
                        <a:noFill/>
                        <a:ln w="9525">
                          <a:noFill/>
                          <a:miter lim="800000"/>
                          <a:headEnd/>
                          <a:tailEnd/>
                        </a:ln>
                      </wps:spPr>
                      <wps:txbx>
                        <w:txbxContent>
                          <w:p w14:paraId="0986C90F" w14:textId="77777777" w:rsidR="006F1462" w:rsidRPr="008503EC" w:rsidRDefault="006F1462" w:rsidP="00DB45CE">
                            <w:pPr>
                              <w:rPr>
                                <w:sz w:val="24"/>
                                <w:szCs w:val="24"/>
                              </w:rPr>
                            </w:pPr>
                            <w:r w:rsidRPr="008503EC">
                              <w:rPr>
                                <w:sz w:val="24"/>
                                <w:szCs w:val="24"/>
                                <w:vertAlign w:val="superscript"/>
                              </w:rPr>
                              <w:t>230</w:t>
                            </w:r>
                            <w:r w:rsidRPr="008503EC">
                              <w:rPr>
                                <w:sz w:val="24"/>
                                <w:szCs w:val="24"/>
                              </w:rPr>
                              <w:t>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5FCE1" id="_x0000_s1087" type="#_x0000_t202" style="position:absolute;margin-left:293.35pt;margin-top:460.1pt;width:48pt;height:24.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" filled="f" stroked="f">
                <v:textbox>
                  <w:txbxContent>
                    <w:p w14:paraId="0986C90F" w14:textId="77777777" w:rsidR="006F1462" w:rsidRPr="008503EC" w:rsidRDefault="006F1462" w:rsidP="00DB45CE">
                      <w:pPr>
                        <w:rPr>
                          <w:sz w:val="24"/>
                          <w:szCs w:val="24"/>
                        </w:rPr>
                      </w:pPr>
                      <w:r w:rsidRPr="008503EC">
                        <w:rPr>
                          <w:sz w:val="24"/>
                          <w:szCs w:val="24"/>
                          <w:vertAlign w:val="superscript"/>
                        </w:rPr>
                        <w:t>230</w:t>
                      </w:r>
                      <w:r w:rsidRPr="008503EC">
                        <w:rPr>
                          <w:sz w:val="24"/>
                          <w:szCs w:val="24"/>
                        </w:rPr>
                        <w:t>Th</w:t>
                      </w:r>
                    </w:p>
                  </w:txbxContent>
                </v:textbox>
                <w10:wrap anchorx="margin" anchory="page"/>
              </v:shape>
            </w:pict>
          </mc:Fallback>
        </mc:AlternateContent>
      </w:r>
      <w:r w:rsidR="007F2A59" w:rsidRPr="003707CC">
        <w:rPr>
          <w:noProof/>
          <w:sz w:val="24"/>
          <w:szCs w:val="24"/>
          <w:lang w:eastAsia="en-GB"/>
        </w:rPr>
        <mc:AlternateContent>
          <mc:Choice Requires="wps">
            <w:drawing>
              <wp:anchor distT="45720" distB="45720" distL="114300" distR="114300" simplePos="0" relativeHeight="251658255" behindDoc="0" locked="0" layoutInCell="1" allowOverlap="1" wp14:anchorId="458F8B3F" wp14:editId="02E2F7AA">
                <wp:simplePos x="0" y="0"/>
                <wp:positionH relativeFrom="column">
                  <wp:posOffset>1192972</wp:posOffset>
                </wp:positionH>
                <wp:positionV relativeFrom="page">
                  <wp:posOffset>5976565</wp:posOffset>
                </wp:positionV>
                <wp:extent cx="809625" cy="28765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87655"/>
                        </a:xfrm>
                        <a:prstGeom prst="rect">
                          <a:avLst/>
                        </a:prstGeom>
                        <a:noFill/>
                        <a:ln w="9525">
                          <a:noFill/>
                          <a:miter lim="800000"/>
                          <a:headEnd/>
                          <a:tailEnd/>
                        </a:ln>
                      </wps:spPr>
                      <wps:txbx>
                        <w:txbxContent>
                          <w:p w14:paraId="42BA7780" w14:textId="77777777" w:rsidR="006F1462" w:rsidRPr="007F2A59" w:rsidRDefault="006F1462" w:rsidP="00DB45CE">
                            <w:r w:rsidRPr="007F2A59">
                              <w:t>Unclear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F8B3F" id="_x0000_s1088" type="#_x0000_t202" style="position:absolute;margin-left:93.95pt;margin-top:470.6pt;width:63.75pt;height:22.6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" filled="f" stroked="f">
                <v:textbox>
                  <w:txbxContent>
                    <w:p w14:paraId="42BA7780" w14:textId="77777777" w:rsidR="006F1462" w:rsidRPr="007F2A59" w:rsidRDefault="006F1462" w:rsidP="00DB45CE">
                      <w:r w:rsidRPr="007F2A59">
                        <w:t>Unclear</w:t>
                      </w:r>
                    </w:p>
                  </w:txbxContent>
                </v:textbox>
                <w10:wrap anchory="page"/>
              </v:shape>
            </w:pict>
          </mc:Fallback>
        </mc:AlternateContent>
      </w:r>
      <w:r w:rsidR="007F2A59" w:rsidRPr="003707CC">
        <w:rPr>
          <w:noProof/>
          <w:sz w:val="24"/>
          <w:szCs w:val="24"/>
          <w:lang w:eastAsia="en-GB"/>
        </w:rPr>
        <mc:AlternateContent>
          <mc:Choice Requires="wps">
            <w:drawing>
              <wp:anchor distT="45720" distB="45720" distL="114300" distR="114300" simplePos="0" relativeHeight="251658254" behindDoc="0" locked="0" layoutInCell="1" allowOverlap="1" wp14:anchorId="05799A87" wp14:editId="7DDCBEBE">
                <wp:simplePos x="0" y="0"/>
                <wp:positionH relativeFrom="column">
                  <wp:posOffset>629506</wp:posOffset>
                </wp:positionH>
                <wp:positionV relativeFrom="page">
                  <wp:posOffset>5879576</wp:posOffset>
                </wp:positionV>
                <wp:extent cx="771525" cy="28765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7655"/>
                        </a:xfrm>
                        <a:prstGeom prst="rect">
                          <a:avLst/>
                        </a:prstGeom>
                        <a:noFill/>
                        <a:ln w="9525">
                          <a:noFill/>
                          <a:miter lim="800000"/>
                          <a:headEnd/>
                          <a:tailEnd/>
                        </a:ln>
                      </wps:spPr>
                      <wps:txbx>
                        <w:txbxContent>
                          <w:p w14:paraId="20D7ED8D" w14:textId="77777777" w:rsidR="006F1462" w:rsidRPr="007F2A59" w:rsidRDefault="006F1462" w:rsidP="00DB45CE">
                            <w:r w:rsidRPr="007F2A59">
                              <w:t>Unclear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99A87" id="_x0000_s1089" type="#_x0000_t202" style="position:absolute;margin-left:49.55pt;margin-top:462.95pt;width:60.75pt;height:22.6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" filled="f" stroked="f">
                <v:textbox>
                  <w:txbxContent>
                    <w:p w14:paraId="20D7ED8D" w14:textId="77777777" w:rsidR="006F1462" w:rsidRPr="007F2A59" w:rsidRDefault="006F1462" w:rsidP="00DB45CE">
                      <w:r w:rsidRPr="007F2A59">
                        <w:t>Unclear</w:t>
                      </w:r>
                    </w:p>
                  </w:txbxContent>
                </v:textbox>
                <w10:wrap anchory="page"/>
              </v:shape>
            </w:pict>
          </mc:Fallback>
        </mc:AlternateContent>
      </w:r>
      <w:r w:rsidR="007F2A59" w:rsidRPr="003707CC">
        <w:rPr>
          <w:noProof/>
          <w:sz w:val="24"/>
          <w:szCs w:val="24"/>
          <w:lang w:eastAsia="en-GB"/>
        </w:rPr>
        <mc:AlternateContent>
          <mc:Choice Requires="wps">
            <w:drawing>
              <wp:anchor distT="45720" distB="45720" distL="114300" distR="114300" simplePos="0" relativeHeight="251658253" behindDoc="0" locked="0" layoutInCell="1" allowOverlap="1" wp14:anchorId="333A399A" wp14:editId="72E0F9F1">
                <wp:simplePos x="0" y="0"/>
                <wp:positionH relativeFrom="column">
                  <wp:posOffset>34069</wp:posOffset>
                </wp:positionH>
                <wp:positionV relativeFrom="page">
                  <wp:posOffset>5809836</wp:posOffset>
                </wp:positionV>
                <wp:extent cx="790575" cy="306705"/>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06705"/>
                        </a:xfrm>
                        <a:prstGeom prst="rect">
                          <a:avLst/>
                        </a:prstGeom>
                        <a:noFill/>
                        <a:ln w="9525">
                          <a:noFill/>
                          <a:miter lim="800000"/>
                          <a:headEnd/>
                          <a:tailEnd/>
                        </a:ln>
                      </wps:spPr>
                      <wps:txbx>
                        <w:txbxContent>
                          <w:p w14:paraId="6F13956E" w14:textId="77777777" w:rsidR="006F1462" w:rsidRPr="007F2A59" w:rsidRDefault="006F1462" w:rsidP="00DB45CE">
                            <w:r w:rsidRPr="007F2A59">
                              <w:t>Unclear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A399A" id="_x0000_s1090" type="#_x0000_t202" style="position:absolute;margin-left:2.7pt;margin-top:457.45pt;width:62.25pt;height:24.1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" filled="f" stroked="f">
                <v:textbox>
                  <w:txbxContent>
                    <w:p w14:paraId="6F13956E" w14:textId="77777777" w:rsidR="006F1462" w:rsidRPr="007F2A59" w:rsidRDefault="006F1462" w:rsidP="00DB45CE">
                      <w:r w:rsidRPr="007F2A59">
                        <w:t>Unclear</w:t>
                      </w:r>
                    </w:p>
                  </w:txbxContent>
                </v:textbox>
                <w10:wrap anchory="page"/>
              </v:shape>
            </w:pict>
          </mc:Fallback>
        </mc:AlternateContent>
      </w:r>
      <w:r w:rsidR="008503EC" w:rsidRPr="003707CC">
        <w:rPr>
          <w:noProof/>
          <w:sz w:val="24"/>
          <w:szCs w:val="24"/>
          <w:lang w:eastAsia="en-GB"/>
        </w:rPr>
        <mc:AlternateContent>
          <mc:Choice Requires="wps">
            <w:drawing>
              <wp:anchor distT="45720" distB="45720" distL="114300" distR="114300" simplePos="0" relativeHeight="251658257" behindDoc="0" locked="0" layoutInCell="1" allowOverlap="1" wp14:anchorId="2470D069" wp14:editId="19CC242C">
                <wp:simplePos x="0" y="0"/>
                <wp:positionH relativeFrom="margin">
                  <wp:posOffset>4764239</wp:posOffset>
                </wp:positionH>
                <wp:positionV relativeFrom="page">
                  <wp:posOffset>6038518</wp:posOffset>
                </wp:positionV>
                <wp:extent cx="619125" cy="3098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09880"/>
                        </a:xfrm>
                        <a:prstGeom prst="rect">
                          <a:avLst/>
                        </a:prstGeom>
                        <a:noFill/>
                        <a:ln w="9525">
                          <a:noFill/>
                          <a:miter lim="800000"/>
                          <a:headEnd/>
                          <a:tailEnd/>
                        </a:ln>
                      </wps:spPr>
                      <wps:txbx>
                        <w:txbxContent>
                          <w:p w14:paraId="3B894CAD" w14:textId="77777777" w:rsidR="006F1462" w:rsidRPr="008503EC" w:rsidRDefault="006F1462" w:rsidP="00DB45CE">
                            <w:pPr>
                              <w:rPr>
                                <w:sz w:val="24"/>
                                <w:szCs w:val="24"/>
                              </w:rPr>
                            </w:pPr>
                            <w:r w:rsidRPr="008503EC">
                              <w:rPr>
                                <w:sz w:val="24"/>
                                <w:szCs w:val="24"/>
                                <w:vertAlign w:val="superscript"/>
                              </w:rPr>
                              <w:t>223</w:t>
                            </w:r>
                            <w:r w:rsidRPr="008503EC">
                              <w:rPr>
                                <w:sz w:val="24"/>
                                <w:szCs w:val="24"/>
                              </w:rPr>
                              <w: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0D069" id="_x0000_s1091" type="#_x0000_t202" style="position:absolute;margin-left:375.15pt;margin-top:475.45pt;width:48.75pt;height:24.4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" filled="f" stroked="f">
                <v:textbox>
                  <w:txbxContent>
                    <w:p w14:paraId="3B894CAD" w14:textId="77777777" w:rsidR="006F1462" w:rsidRPr="008503EC" w:rsidRDefault="006F1462" w:rsidP="00DB45CE">
                      <w:pPr>
                        <w:rPr>
                          <w:sz w:val="24"/>
                          <w:szCs w:val="24"/>
                        </w:rPr>
                      </w:pPr>
                      <w:r w:rsidRPr="008503EC">
                        <w:rPr>
                          <w:sz w:val="24"/>
                          <w:szCs w:val="24"/>
                          <w:vertAlign w:val="superscript"/>
                        </w:rPr>
                        <w:t>223</w:t>
                      </w:r>
                      <w:r w:rsidRPr="008503EC">
                        <w:rPr>
                          <w:sz w:val="24"/>
                          <w:szCs w:val="24"/>
                        </w:rPr>
                        <w:t>Ra</w:t>
                      </w:r>
                    </w:p>
                  </w:txbxContent>
                </v:textbox>
                <w10:wrap anchorx="margin" anchory="page"/>
              </v:shape>
            </w:pict>
          </mc:Fallback>
        </mc:AlternateContent>
      </w:r>
      <w:r w:rsidR="008503EC" w:rsidRPr="003707CC">
        <w:rPr>
          <w:noProof/>
          <w:sz w:val="24"/>
          <w:szCs w:val="24"/>
          <w:lang w:eastAsia="en-GB"/>
        </w:rPr>
        <mc:AlternateContent>
          <mc:Choice Requires="wps">
            <w:drawing>
              <wp:anchor distT="45720" distB="45720" distL="114300" distR="114300" simplePos="0" relativeHeight="251658244" behindDoc="0" locked="0" layoutInCell="1" allowOverlap="1" wp14:anchorId="1DAB45CA" wp14:editId="72F1D5ED">
                <wp:simplePos x="0" y="0"/>
                <wp:positionH relativeFrom="margin">
                  <wp:posOffset>2476362</wp:posOffset>
                </wp:positionH>
                <wp:positionV relativeFrom="page">
                  <wp:posOffset>5642527</wp:posOffset>
                </wp:positionV>
                <wp:extent cx="571500" cy="300355"/>
                <wp:effectExtent l="0" t="0" r="0" b="444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0355"/>
                        </a:xfrm>
                        <a:prstGeom prst="rect">
                          <a:avLst/>
                        </a:prstGeom>
                        <a:noFill/>
                        <a:ln w="9525">
                          <a:noFill/>
                          <a:miter lim="800000"/>
                          <a:headEnd/>
                          <a:tailEnd/>
                        </a:ln>
                      </wps:spPr>
                      <wps:txbx>
                        <w:txbxContent>
                          <w:p w14:paraId="7D9FFA68" w14:textId="77777777" w:rsidR="006F1462" w:rsidRPr="008503EC" w:rsidRDefault="006F1462" w:rsidP="000E40A9">
                            <w:pPr>
                              <w:rPr>
                                <w:sz w:val="24"/>
                                <w:szCs w:val="24"/>
                              </w:rPr>
                            </w:pPr>
                            <w:r w:rsidRPr="008503EC">
                              <w:rPr>
                                <w:sz w:val="24"/>
                                <w:szCs w:val="24"/>
                                <w:vertAlign w:val="superscript"/>
                              </w:rPr>
                              <w:t>228</w:t>
                            </w:r>
                            <w:r w:rsidRPr="008503EC">
                              <w:rPr>
                                <w:sz w:val="24"/>
                                <w:szCs w:val="24"/>
                              </w:rPr>
                              <w:t>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B45CA" id="_x0000_s1092" type="#_x0000_t202" style="position:absolute;margin-left:195pt;margin-top:444.3pt;width:45pt;height:23.6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" filled="f" stroked="f">
                <v:textbox>
                  <w:txbxContent>
                    <w:p w14:paraId="7D9FFA68" w14:textId="77777777" w:rsidR="006F1462" w:rsidRPr="008503EC" w:rsidRDefault="006F1462" w:rsidP="000E40A9">
                      <w:pPr>
                        <w:rPr>
                          <w:sz w:val="24"/>
                          <w:szCs w:val="24"/>
                        </w:rPr>
                      </w:pPr>
                      <w:r w:rsidRPr="008503EC">
                        <w:rPr>
                          <w:sz w:val="24"/>
                          <w:szCs w:val="24"/>
                          <w:vertAlign w:val="superscript"/>
                        </w:rPr>
                        <w:t>228</w:t>
                      </w:r>
                      <w:r w:rsidRPr="008503EC">
                        <w:rPr>
                          <w:sz w:val="24"/>
                          <w:szCs w:val="24"/>
                        </w:rPr>
                        <w:t>Ac</w:t>
                      </w:r>
                    </w:p>
                  </w:txbxContent>
                </v:textbox>
                <w10:wrap anchorx="margin" anchory="page"/>
              </v:shape>
            </w:pict>
          </mc:Fallback>
        </mc:AlternateContent>
      </w:r>
      <w:r w:rsidR="00F37CA9">
        <w:rPr>
          <w:noProof/>
          <w:lang w:eastAsia="en-GB"/>
        </w:rPr>
        <w:drawing>
          <wp:inline distT="0" distB="0" distL="0" distR="0" wp14:anchorId="609F3344" wp14:editId="533F6833">
            <wp:extent cx="5502303" cy="2838450"/>
            <wp:effectExtent l="0" t="0" r="3175" b="0"/>
            <wp:docPr id="239" name="Picture 239" descr="C:\Users\Christopher\AppData\Local\Microsoft\Windows\Temporary Internet Files\Content.MSO\7F3163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istopher\AppData\Local\Microsoft\Windows\Temporary Internet Files\Content.MSO\7F316319.tmp"/>
                    <pic:cNvPicPr>
                      <a:picLocks noChangeAspect="1" noChangeArrowheads="1"/>
                    </pic:cNvPicPr>
                  </pic:nvPicPr>
                  <pic:blipFill rotWithShape="1">
                    <a:blip r:embed="rId40">
                      <a:extLst>
                        <a:ext uri="{28A0092B-C50C-407E-A947-70E740481C1C}">
                          <a14:useLocalDpi xmlns:a14="http://schemas.microsoft.com/office/drawing/2010/main" val="0"/>
                        </a:ext>
                      </a:extLst>
                    </a:blip>
                    <a:srcRect l="3608" t="1556" r="370" b="5875"/>
                    <a:stretch/>
                  </pic:blipFill>
                  <pic:spPr bwMode="auto">
                    <a:xfrm>
                      <a:off x="0" y="0"/>
                      <a:ext cx="5503627" cy="2839133"/>
                    </a:xfrm>
                    <a:prstGeom prst="rect">
                      <a:avLst/>
                    </a:prstGeom>
                    <a:noFill/>
                    <a:ln>
                      <a:noFill/>
                    </a:ln>
                    <a:extLst>
                      <a:ext uri="{53640926-AAD7-44D8-BBD7-CCE9431645EC}">
                        <a14:shadowObscured xmlns:a14="http://schemas.microsoft.com/office/drawing/2010/main"/>
                      </a:ext>
                    </a:extLst>
                  </pic:spPr>
                </pic:pic>
              </a:graphicData>
            </a:graphic>
          </wp:inline>
        </w:drawing>
      </w:r>
    </w:p>
    <w:p w14:paraId="74FA2B83" w14:textId="70E3BA10" w:rsidR="0043243B" w:rsidRPr="00C45EC1" w:rsidRDefault="0043243B" w:rsidP="00C45EC1">
      <w:pPr>
        <w:pStyle w:val="Caption"/>
        <w:jc w:val="center"/>
        <w:rPr>
          <w:sz w:val="20"/>
        </w:rPr>
      </w:pPr>
      <w:bookmarkStart w:id="26" w:name="_Ref31283669"/>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24</w:t>
      </w:r>
      <w:r w:rsidRPr="00C45EC1">
        <w:rPr>
          <w:sz w:val="20"/>
        </w:rPr>
        <w:fldChar w:fldCharType="end"/>
      </w:r>
      <w:bookmarkEnd w:id="26"/>
      <w:r w:rsidRPr="00C45EC1">
        <w:rPr>
          <w:sz w:val="20"/>
        </w:rPr>
        <w:t xml:space="preserve"> Highlighted peaks of interest taken from DSRL2 spectrum of a 24-hour count. The top image displays the 60 keV </w:t>
      </w:r>
      <w:r w:rsidRPr="00C45EC1">
        <w:rPr>
          <w:sz w:val="20"/>
          <w:vertAlign w:val="superscript"/>
        </w:rPr>
        <w:t>241</w:t>
      </w:r>
      <w:r w:rsidRPr="00C45EC1">
        <w:rPr>
          <w:sz w:val="20"/>
        </w:rPr>
        <w:t xml:space="preserve">Am peak in the centre of the image, showing significant counts. The bottom image highlights the 129 keV peak – again in the centre of the image, which corresponds to a combination of </w:t>
      </w:r>
      <w:r w:rsidRPr="00C45EC1">
        <w:rPr>
          <w:sz w:val="20"/>
          <w:vertAlign w:val="superscript"/>
        </w:rPr>
        <w:t>239</w:t>
      </w:r>
      <w:r w:rsidRPr="00C45EC1">
        <w:rPr>
          <w:sz w:val="20"/>
        </w:rPr>
        <w:t xml:space="preserve">Pu and </w:t>
      </w:r>
      <w:r w:rsidRPr="00C45EC1">
        <w:rPr>
          <w:sz w:val="20"/>
          <w:vertAlign w:val="superscript"/>
        </w:rPr>
        <w:t>228</w:t>
      </w:r>
      <w:r w:rsidRPr="00C45EC1">
        <w:rPr>
          <w:sz w:val="20"/>
        </w:rPr>
        <w:t>Ac, the latter of the thorium decay series. Both images show ‘Energy’ (keV) along the x-axis, with ‘Counts’ along the y-axis.</w:t>
      </w:r>
    </w:p>
    <w:p w14:paraId="15489361" w14:textId="1FA065F6" w:rsidR="00F37CA9" w:rsidRPr="002809FE" w:rsidRDefault="00F37CA9" w:rsidP="0043243B">
      <w:pPr>
        <w:spacing w:line="480" w:lineRule="auto"/>
        <w:rPr>
          <w:sz w:val="24"/>
          <w:szCs w:val="24"/>
        </w:rPr>
      </w:pPr>
      <w:r w:rsidRPr="002809FE">
        <w:rPr>
          <w:sz w:val="24"/>
          <w:szCs w:val="24"/>
        </w:rPr>
        <w:br w:type="page"/>
      </w:r>
    </w:p>
    <w:p w14:paraId="1C4AB819" w14:textId="108C8A32" w:rsidR="00F37CA9" w:rsidRPr="002809FE" w:rsidRDefault="00F37CA9" w:rsidP="00F37CA9">
      <w:pPr>
        <w:spacing w:line="480" w:lineRule="auto"/>
        <w:ind w:firstLine="567"/>
        <w:rPr>
          <w:sz w:val="24"/>
          <w:szCs w:val="24"/>
        </w:rPr>
      </w:pPr>
      <w:r w:rsidRPr="002809FE">
        <w:rPr>
          <w:sz w:val="24"/>
          <w:szCs w:val="24"/>
        </w:rPr>
        <w:lastRenderedPageBreak/>
        <w:t>Ambient gamma activity</w:t>
      </w:r>
      <w:r>
        <w:rPr>
          <w:sz w:val="24"/>
          <w:szCs w:val="24"/>
        </w:rPr>
        <w:t>, (measured</w:t>
      </w:r>
      <w:r w:rsidRPr="002809FE">
        <w:rPr>
          <w:sz w:val="24"/>
          <w:szCs w:val="24"/>
        </w:rPr>
        <w:t xml:space="preserve"> without a sample in the detector well</w:t>
      </w:r>
      <w:r>
        <w:rPr>
          <w:sz w:val="24"/>
          <w:szCs w:val="24"/>
        </w:rPr>
        <w:t>)</w:t>
      </w:r>
      <w:r w:rsidRPr="002809FE">
        <w:rPr>
          <w:sz w:val="24"/>
          <w:szCs w:val="24"/>
        </w:rPr>
        <w:t xml:space="preserve"> was also measured to identify any gamma emissions not related to the samples</w:t>
      </w:r>
      <w:r w:rsidR="00773528">
        <w:rPr>
          <w:sz w:val="24"/>
          <w:szCs w:val="24"/>
        </w:rPr>
        <w:t>, from for example, the detector materials and atmospheric radiation</w:t>
      </w:r>
      <w:r w:rsidRPr="002809FE">
        <w:rPr>
          <w:sz w:val="24"/>
          <w:szCs w:val="24"/>
        </w:rPr>
        <w:t xml:space="preserve">. </w:t>
      </w:r>
      <w:r>
        <w:rPr>
          <w:sz w:val="24"/>
          <w:szCs w:val="24"/>
        </w:rPr>
        <w:t>T</w:t>
      </w:r>
      <w:r w:rsidRPr="002809FE">
        <w:rPr>
          <w:sz w:val="24"/>
          <w:szCs w:val="24"/>
        </w:rPr>
        <w:t>he channel range at which the peaks of interest occurred</w:t>
      </w:r>
      <w:r>
        <w:rPr>
          <w:sz w:val="24"/>
          <w:szCs w:val="24"/>
        </w:rPr>
        <w:t xml:space="preserve"> were identified</w:t>
      </w:r>
      <w:r w:rsidRPr="002809FE">
        <w:rPr>
          <w:sz w:val="24"/>
          <w:szCs w:val="24"/>
        </w:rPr>
        <w:t xml:space="preserve"> and the number of counts within th</w:t>
      </w:r>
      <w:r>
        <w:rPr>
          <w:sz w:val="24"/>
          <w:szCs w:val="24"/>
        </w:rPr>
        <w:t xml:space="preserve">ese </w:t>
      </w:r>
      <w:r w:rsidRPr="002809FE">
        <w:rPr>
          <w:sz w:val="24"/>
          <w:szCs w:val="24"/>
        </w:rPr>
        <w:t>range</w:t>
      </w:r>
      <w:r>
        <w:rPr>
          <w:sz w:val="24"/>
          <w:szCs w:val="24"/>
        </w:rPr>
        <w:t>s were measured</w:t>
      </w:r>
      <w:r w:rsidRPr="002809FE">
        <w:rPr>
          <w:sz w:val="24"/>
          <w:szCs w:val="24"/>
        </w:rPr>
        <w:t xml:space="preserve"> to subtract from the peaks </w:t>
      </w:r>
      <w:r>
        <w:rPr>
          <w:sz w:val="24"/>
          <w:szCs w:val="24"/>
        </w:rPr>
        <w:t>identified</w:t>
      </w:r>
      <w:r w:rsidRPr="002809FE">
        <w:rPr>
          <w:sz w:val="24"/>
          <w:szCs w:val="24"/>
        </w:rPr>
        <w:t xml:space="preserve"> within each sample.</w:t>
      </w:r>
      <w:r w:rsidRPr="002809FE">
        <w:rPr>
          <w:sz w:val="24"/>
          <w:szCs w:val="24"/>
        </w:rPr>
        <w:br/>
        <w:t>Following time corrections and subtraction of the ambient spectr</w:t>
      </w:r>
      <w:r>
        <w:rPr>
          <w:sz w:val="24"/>
          <w:szCs w:val="24"/>
        </w:rPr>
        <w:t>um</w:t>
      </w:r>
      <w:r w:rsidRPr="002809FE">
        <w:rPr>
          <w:sz w:val="24"/>
          <w:szCs w:val="24"/>
        </w:rPr>
        <w:t xml:space="preserve"> from each sample spectr</w:t>
      </w:r>
      <w:r w:rsidR="00773528">
        <w:rPr>
          <w:sz w:val="24"/>
          <w:szCs w:val="24"/>
        </w:rPr>
        <w:t>um</w:t>
      </w:r>
      <w:r w:rsidRPr="002809FE">
        <w:rPr>
          <w:sz w:val="24"/>
          <w:szCs w:val="24"/>
        </w:rPr>
        <w:t xml:space="preserve">, DSRL10 </w:t>
      </w:r>
      <w:r w:rsidR="00773528">
        <w:rPr>
          <w:sz w:val="24"/>
          <w:szCs w:val="24"/>
        </w:rPr>
        <w:t>exhibited</w:t>
      </w:r>
      <w:r w:rsidRPr="002809FE">
        <w:rPr>
          <w:sz w:val="24"/>
          <w:szCs w:val="24"/>
        </w:rPr>
        <w:t xml:space="preserve"> the highest counts in the 60</w:t>
      </w:r>
      <w:r>
        <w:rPr>
          <w:sz w:val="24"/>
          <w:szCs w:val="24"/>
        </w:rPr>
        <w:t xml:space="preserve"> </w:t>
      </w:r>
      <w:r w:rsidRPr="002809FE">
        <w:rPr>
          <w:sz w:val="24"/>
          <w:szCs w:val="24"/>
        </w:rPr>
        <w:t xml:space="preserve">keV </w:t>
      </w:r>
      <w:bookmarkStart w:id="27" w:name="_Hlk2261118"/>
      <w:r w:rsidRPr="00657F46">
        <w:rPr>
          <w:sz w:val="24"/>
          <w:vertAlign w:val="superscript"/>
        </w:rPr>
        <w:t>241</w:t>
      </w:r>
      <w:r>
        <w:rPr>
          <w:sz w:val="24"/>
        </w:rPr>
        <w:t>Am</w:t>
      </w:r>
      <w:bookmarkEnd w:id="27"/>
      <w:r>
        <w:rPr>
          <w:sz w:val="24"/>
          <w:szCs w:val="24"/>
        </w:rPr>
        <w:t xml:space="preserve"> </w:t>
      </w:r>
      <w:r w:rsidRPr="002809FE">
        <w:rPr>
          <w:sz w:val="24"/>
          <w:szCs w:val="24"/>
        </w:rPr>
        <w:t>peak at 1310</w:t>
      </w:r>
      <w:r w:rsidR="00773528">
        <w:rPr>
          <w:sz w:val="24"/>
          <w:szCs w:val="24"/>
        </w:rPr>
        <w:t>±36</w:t>
      </w:r>
      <w:r w:rsidRPr="002809FE">
        <w:rPr>
          <w:sz w:val="24"/>
          <w:szCs w:val="24"/>
        </w:rPr>
        <w:t>, and DSRL7 the lowest at 101</w:t>
      </w:r>
      <w:r w:rsidR="00773528">
        <w:rPr>
          <w:sz w:val="24"/>
          <w:szCs w:val="24"/>
        </w:rPr>
        <w:t>±10</w:t>
      </w:r>
      <w:r w:rsidRPr="002809FE">
        <w:rPr>
          <w:sz w:val="24"/>
          <w:szCs w:val="24"/>
        </w:rPr>
        <w:t xml:space="preserve"> </w:t>
      </w:r>
      <w:r w:rsidR="00821B0E">
        <w:rPr>
          <w:sz w:val="24"/>
          <w:szCs w:val="24"/>
        </w:rPr>
        <w:t>gamma-rays</w:t>
      </w:r>
      <w:r>
        <w:rPr>
          <w:sz w:val="24"/>
          <w:szCs w:val="24"/>
        </w:rPr>
        <w:t xml:space="preserve"> detected </w:t>
      </w:r>
      <w:r w:rsidRPr="002809FE">
        <w:rPr>
          <w:sz w:val="24"/>
          <w:szCs w:val="24"/>
        </w:rPr>
        <w:t>(rounded to nearest integer).</w:t>
      </w:r>
    </w:p>
    <w:p w14:paraId="798551F9" w14:textId="58C43EF4" w:rsidR="00F37CA9" w:rsidRPr="002809FE" w:rsidRDefault="00F37CA9" w:rsidP="00F37CA9">
      <w:pPr>
        <w:spacing w:line="480" w:lineRule="auto"/>
        <w:ind w:firstLine="567"/>
        <w:rPr>
          <w:sz w:val="24"/>
          <w:szCs w:val="24"/>
        </w:rPr>
      </w:pPr>
      <w:r w:rsidRPr="002809FE">
        <w:rPr>
          <w:sz w:val="24"/>
          <w:szCs w:val="24"/>
        </w:rPr>
        <w:t xml:space="preserve">As seen in the example in </w:t>
      </w:r>
      <w:r w:rsidR="0043243B">
        <w:rPr>
          <w:sz w:val="24"/>
          <w:szCs w:val="24"/>
        </w:rPr>
        <w:fldChar w:fldCharType="begin"/>
      </w:r>
      <w:r w:rsidR="0043243B">
        <w:rPr>
          <w:sz w:val="24"/>
          <w:szCs w:val="24"/>
        </w:rPr>
        <w:instrText xml:space="preserve"> REF _Ref31283524 \h </w:instrText>
      </w:r>
      <w:r w:rsidR="0043243B">
        <w:rPr>
          <w:sz w:val="24"/>
          <w:szCs w:val="24"/>
        </w:rPr>
      </w:r>
      <w:r w:rsidR="0043243B">
        <w:rPr>
          <w:sz w:val="24"/>
          <w:szCs w:val="24"/>
        </w:rPr>
        <w:fldChar w:fldCharType="separate"/>
      </w:r>
      <w:r w:rsidR="00161FDC" w:rsidRPr="00C45EC1">
        <w:rPr>
          <w:sz w:val="20"/>
        </w:rPr>
        <w:t xml:space="preserve">Figure </w:t>
      </w:r>
      <w:r w:rsidR="00161FDC">
        <w:rPr>
          <w:noProof/>
          <w:sz w:val="20"/>
        </w:rPr>
        <w:t>22</w:t>
      </w:r>
      <w:r w:rsidR="0043243B">
        <w:rPr>
          <w:sz w:val="24"/>
          <w:szCs w:val="24"/>
        </w:rPr>
        <w:fldChar w:fldCharType="end"/>
      </w:r>
      <w:r w:rsidR="0043243B">
        <w:rPr>
          <w:sz w:val="24"/>
          <w:szCs w:val="24"/>
        </w:rPr>
        <w:t xml:space="preserve"> </w:t>
      </w:r>
      <w:r w:rsidRPr="002809FE">
        <w:rPr>
          <w:sz w:val="24"/>
          <w:szCs w:val="24"/>
        </w:rPr>
        <w:t xml:space="preserve">there are </w:t>
      </w:r>
      <w:r>
        <w:rPr>
          <w:sz w:val="24"/>
          <w:szCs w:val="24"/>
        </w:rPr>
        <w:t xml:space="preserve">relatively </w:t>
      </w:r>
      <w:r w:rsidRPr="002809FE">
        <w:rPr>
          <w:sz w:val="24"/>
          <w:szCs w:val="24"/>
        </w:rPr>
        <w:t xml:space="preserve">high counts </w:t>
      </w:r>
      <w:r w:rsidR="00B15ECF">
        <w:rPr>
          <w:sz w:val="24"/>
          <w:szCs w:val="24"/>
        </w:rPr>
        <w:t>associated with</w:t>
      </w:r>
      <w:r w:rsidRPr="002809FE">
        <w:rPr>
          <w:sz w:val="24"/>
          <w:szCs w:val="24"/>
        </w:rPr>
        <w:t xml:space="preserve"> </w:t>
      </w:r>
      <w:r w:rsidRPr="00657F46">
        <w:rPr>
          <w:sz w:val="24"/>
          <w:szCs w:val="24"/>
          <w:vertAlign w:val="superscript"/>
        </w:rPr>
        <w:t>40</w:t>
      </w:r>
      <w:r>
        <w:rPr>
          <w:sz w:val="24"/>
          <w:szCs w:val="24"/>
        </w:rPr>
        <w:t>K</w:t>
      </w:r>
      <w:r w:rsidR="00B15ECF">
        <w:rPr>
          <w:sz w:val="24"/>
          <w:szCs w:val="24"/>
        </w:rPr>
        <w:t>, at 1460.6 keV</w:t>
      </w:r>
      <w:r>
        <w:rPr>
          <w:sz w:val="24"/>
          <w:szCs w:val="24"/>
        </w:rPr>
        <w:t xml:space="preserve"> which is common in soils, and</w:t>
      </w:r>
      <w:r w:rsidRPr="002809FE">
        <w:rPr>
          <w:sz w:val="24"/>
          <w:szCs w:val="24"/>
        </w:rPr>
        <w:t xml:space="preserve"> </w:t>
      </w:r>
      <w:r w:rsidRPr="00657F46">
        <w:rPr>
          <w:sz w:val="24"/>
          <w:szCs w:val="24"/>
          <w:vertAlign w:val="superscript"/>
        </w:rPr>
        <w:t>137</w:t>
      </w:r>
      <w:r>
        <w:rPr>
          <w:sz w:val="24"/>
          <w:szCs w:val="24"/>
        </w:rPr>
        <w:t xml:space="preserve">Cs </w:t>
      </w:r>
      <w:r w:rsidRPr="00657F46">
        <w:rPr>
          <w:sz w:val="24"/>
          <w:szCs w:val="24"/>
        </w:rPr>
        <w:t>which</w:t>
      </w:r>
      <w:r w:rsidRPr="002809FE">
        <w:rPr>
          <w:sz w:val="24"/>
          <w:szCs w:val="24"/>
        </w:rPr>
        <w:t xml:space="preserve"> is expected within any soil sample </w:t>
      </w:r>
      <w:r w:rsidR="00B15ECF">
        <w:rPr>
          <w:sz w:val="24"/>
          <w:szCs w:val="24"/>
        </w:rPr>
        <w:t xml:space="preserve">due to </w:t>
      </w:r>
      <w:r w:rsidRPr="002809FE">
        <w:rPr>
          <w:sz w:val="24"/>
          <w:szCs w:val="24"/>
        </w:rPr>
        <w:t>fallout and deposition</w:t>
      </w:r>
      <w:r w:rsidR="00B15ECF">
        <w:rPr>
          <w:sz w:val="24"/>
          <w:szCs w:val="24"/>
        </w:rPr>
        <w:t xml:space="preserve"> of radioactivity from reactor accidents</w:t>
      </w:r>
      <w:r w:rsidRPr="002809FE">
        <w:rPr>
          <w:sz w:val="24"/>
          <w:szCs w:val="24"/>
        </w:rPr>
        <w:t>, most likely</w:t>
      </w:r>
      <w:r>
        <w:rPr>
          <w:sz w:val="24"/>
          <w:szCs w:val="24"/>
        </w:rPr>
        <w:t xml:space="preserve"> originating</w:t>
      </w:r>
      <w:r w:rsidRPr="002809FE">
        <w:rPr>
          <w:sz w:val="24"/>
          <w:szCs w:val="24"/>
        </w:rPr>
        <w:t xml:space="preserve"> from</w:t>
      </w:r>
      <w:r>
        <w:rPr>
          <w:sz w:val="24"/>
          <w:szCs w:val="24"/>
        </w:rPr>
        <w:t xml:space="preserve"> events such as the</w:t>
      </w:r>
      <w:r w:rsidRPr="002809FE">
        <w:rPr>
          <w:sz w:val="24"/>
          <w:szCs w:val="24"/>
        </w:rPr>
        <w:t xml:space="preserve"> Chernobyl</w:t>
      </w:r>
      <w:r>
        <w:rPr>
          <w:sz w:val="24"/>
          <w:szCs w:val="24"/>
        </w:rPr>
        <w:t xml:space="preserve"> nuclear disaster</w:t>
      </w:r>
      <w:r w:rsidRPr="002809FE">
        <w:rPr>
          <w:sz w:val="24"/>
          <w:szCs w:val="24"/>
        </w:rPr>
        <w:t>.</w:t>
      </w:r>
    </w:p>
    <w:p w14:paraId="0AA6B4D2" w14:textId="7AB83614" w:rsidR="00F37CA9" w:rsidRDefault="00F37CA9" w:rsidP="00F37CA9">
      <w:pPr>
        <w:spacing w:line="480" w:lineRule="auto"/>
        <w:ind w:firstLine="567"/>
        <w:rPr>
          <w:sz w:val="24"/>
          <w:szCs w:val="24"/>
        </w:rPr>
      </w:pPr>
      <w:r>
        <w:rPr>
          <w:sz w:val="24"/>
          <w:szCs w:val="24"/>
        </w:rPr>
        <w:t>There is also</w:t>
      </w:r>
      <w:r w:rsidRPr="002809FE">
        <w:rPr>
          <w:sz w:val="24"/>
          <w:szCs w:val="24"/>
        </w:rPr>
        <w:t xml:space="preserve"> a </w:t>
      </w:r>
      <w:r w:rsidR="00B15ECF">
        <w:rPr>
          <w:sz w:val="24"/>
          <w:szCs w:val="24"/>
        </w:rPr>
        <w:t>significant</w:t>
      </w:r>
      <w:r w:rsidRPr="002809FE">
        <w:rPr>
          <w:sz w:val="24"/>
          <w:szCs w:val="24"/>
        </w:rPr>
        <w:t xml:space="preserve"> amount of background radiation</w:t>
      </w:r>
      <w:r w:rsidRPr="0028083B">
        <w:rPr>
          <w:sz w:val="24"/>
          <w:szCs w:val="24"/>
        </w:rPr>
        <w:t xml:space="preserve"> </w:t>
      </w:r>
      <w:r>
        <w:rPr>
          <w:sz w:val="24"/>
          <w:szCs w:val="24"/>
        </w:rPr>
        <w:t>i</w:t>
      </w:r>
      <w:r w:rsidRPr="002809FE">
        <w:rPr>
          <w:sz w:val="24"/>
          <w:szCs w:val="24"/>
        </w:rPr>
        <w:t xml:space="preserve">n the spectra. It is important to note this background </w:t>
      </w:r>
      <w:r>
        <w:rPr>
          <w:sz w:val="24"/>
          <w:szCs w:val="24"/>
        </w:rPr>
        <w:t>is</w:t>
      </w:r>
      <w:r w:rsidRPr="002809FE">
        <w:rPr>
          <w:sz w:val="24"/>
          <w:szCs w:val="24"/>
        </w:rPr>
        <w:t xml:space="preserve"> intrinsic to the soil</w:t>
      </w:r>
      <w:r>
        <w:rPr>
          <w:sz w:val="24"/>
          <w:szCs w:val="24"/>
        </w:rPr>
        <w:t xml:space="preserve"> matrix</w:t>
      </w:r>
      <w:r w:rsidRPr="002809FE">
        <w:rPr>
          <w:sz w:val="24"/>
          <w:szCs w:val="24"/>
        </w:rPr>
        <w:t>;</w:t>
      </w:r>
      <w:r>
        <w:rPr>
          <w:sz w:val="24"/>
          <w:szCs w:val="24"/>
        </w:rPr>
        <w:t xml:space="preserve"> as</w:t>
      </w:r>
      <w:r w:rsidRPr="002809FE">
        <w:rPr>
          <w:sz w:val="24"/>
          <w:szCs w:val="24"/>
        </w:rPr>
        <w:t xml:space="preserve"> the ambient</w:t>
      </w:r>
      <w:r>
        <w:rPr>
          <w:sz w:val="24"/>
          <w:szCs w:val="24"/>
        </w:rPr>
        <w:t xml:space="preserve"> environmental</w:t>
      </w:r>
      <w:r w:rsidRPr="002809FE">
        <w:rPr>
          <w:sz w:val="24"/>
          <w:szCs w:val="24"/>
        </w:rPr>
        <w:t xml:space="preserve"> gamma radiation is </w:t>
      </w:r>
      <w:r w:rsidR="00B15ECF">
        <w:rPr>
          <w:sz w:val="24"/>
          <w:szCs w:val="24"/>
        </w:rPr>
        <w:t>minimised by</w:t>
      </w:r>
      <w:r w:rsidRPr="002809FE">
        <w:rPr>
          <w:sz w:val="24"/>
          <w:szCs w:val="24"/>
        </w:rPr>
        <w:t xml:space="preserve"> the lead shield </w:t>
      </w:r>
      <w:r w:rsidR="00B15ECF">
        <w:rPr>
          <w:sz w:val="24"/>
          <w:szCs w:val="24"/>
        </w:rPr>
        <w:t>that surrounds</w:t>
      </w:r>
      <w:r w:rsidRPr="002809FE">
        <w:rPr>
          <w:sz w:val="24"/>
          <w:szCs w:val="24"/>
        </w:rPr>
        <w:t xml:space="preserve"> the germanium crystal of the detector. </w:t>
      </w:r>
      <w:r w:rsidR="00EC57E2">
        <w:rPr>
          <w:sz w:val="24"/>
          <w:szCs w:val="24"/>
        </w:rPr>
        <w:t xml:space="preserve">The ambient background counts amount to a maximum of </w:t>
      </w:r>
      <w:r w:rsidR="006B3717">
        <w:rPr>
          <w:sz w:val="24"/>
          <w:szCs w:val="24"/>
        </w:rPr>
        <w:t xml:space="preserve">around 20 counts in each </w:t>
      </w:r>
      <w:r w:rsidR="000D1D55">
        <w:rPr>
          <w:sz w:val="24"/>
          <w:szCs w:val="24"/>
        </w:rPr>
        <w:t>channel at lower energy ranges</w:t>
      </w:r>
      <w:r w:rsidR="00613C79">
        <w:rPr>
          <w:sz w:val="24"/>
          <w:szCs w:val="24"/>
        </w:rPr>
        <w:t xml:space="preserve"> up to around 500 keV emissions</w:t>
      </w:r>
      <w:r w:rsidR="000E7C97">
        <w:rPr>
          <w:sz w:val="24"/>
          <w:szCs w:val="24"/>
        </w:rPr>
        <w:t xml:space="preserve">, </w:t>
      </w:r>
      <w:r w:rsidR="00E57732">
        <w:rPr>
          <w:sz w:val="24"/>
          <w:szCs w:val="24"/>
        </w:rPr>
        <w:t>and</w:t>
      </w:r>
      <w:r w:rsidR="00A16615">
        <w:rPr>
          <w:sz w:val="24"/>
          <w:szCs w:val="24"/>
        </w:rPr>
        <w:t xml:space="preserve"> continue to</w:t>
      </w:r>
      <w:r w:rsidR="00E57732">
        <w:rPr>
          <w:sz w:val="24"/>
          <w:szCs w:val="24"/>
        </w:rPr>
        <w:t xml:space="preserve"> reduce </w:t>
      </w:r>
      <w:r w:rsidR="00A16615">
        <w:rPr>
          <w:sz w:val="24"/>
          <w:szCs w:val="24"/>
        </w:rPr>
        <w:t xml:space="preserve">as the emission energies increase </w:t>
      </w:r>
      <w:r w:rsidR="00E57732">
        <w:rPr>
          <w:sz w:val="24"/>
          <w:szCs w:val="24"/>
        </w:rPr>
        <w:t>above 500 keV</w:t>
      </w:r>
      <w:r w:rsidR="00A65C83">
        <w:rPr>
          <w:sz w:val="24"/>
          <w:szCs w:val="24"/>
        </w:rPr>
        <w:t xml:space="preserve"> (not including the 511 keV annihilation peak</w:t>
      </w:r>
      <w:r w:rsidR="00A16615">
        <w:rPr>
          <w:sz w:val="24"/>
          <w:szCs w:val="24"/>
        </w:rPr>
        <w:t>.</w:t>
      </w:r>
    </w:p>
    <w:p w14:paraId="425C7C9E" w14:textId="19D6174C" w:rsidR="0043243B" w:rsidRDefault="00F37CA9" w:rsidP="0043243B">
      <w:pPr>
        <w:keepNext/>
        <w:spacing w:line="480" w:lineRule="auto"/>
        <w:ind w:firstLine="567"/>
      </w:pPr>
      <w:r w:rsidRPr="002809FE">
        <w:rPr>
          <w:sz w:val="24"/>
          <w:szCs w:val="24"/>
        </w:rPr>
        <w:t xml:space="preserve">Analysis of the two peak counts across all samples gives estimates of the mass concentrations for </w:t>
      </w:r>
      <w:r w:rsidRPr="00657F46">
        <w:rPr>
          <w:sz w:val="24"/>
          <w:vertAlign w:val="superscript"/>
        </w:rPr>
        <w:t>241</w:t>
      </w:r>
      <w:r>
        <w:rPr>
          <w:sz w:val="24"/>
        </w:rPr>
        <w:t>Am</w:t>
      </w:r>
      <w:r>
        <w:rPr>
          <w:sz w:val="24"/>
          <w:szCs w:val="24"/>
        </w:rPr>
        <w:t>, following background subtraction</w:t>
      </w:r>
      <w:r w:rsidRPr="002809FE">
        <w:rPr>
          <w:sz w:val="24"/>
          <w:szCs w:val="24"/>
        </w:rPr>
        <w:t xml:space="preserve">. These mass concentrations are </w:t>
      </w:r>
      <w:r>
        <w:rPr>
          <w:sz w:val="24"/>
          <w:szCs w:val="24"/>
        </w:rPr>
        <w:t xml:space="preserve">compared in </w:t>
      </w:r>
      <w:r w:rsidR="0043243B">
        <w:rPr>
          <w:sz w:val="24"/>
          <w:szCs w:val="24"/>
        </w:rPr>
        <w:fldChar w:fldCharType="begin"/>
      </w:r>
      <w:r w:rsidR="0043243B">
        <w:rPr>
          <w:sz w:val="24"/>
          <w:szCs w:val="24"/>
        </w:rPr>
        <w:instrText xml:space="preserve"> REF _Ref31283758 \h </w:instrText>
      </w:r>
      <w:r w:rsidR="0043243B">
        <w:rPr>
          <w:sz w:val="24"/>
          <w:szCs w:val="24"/>
        </w:rPr>
      </w:r>
      <w:r w:rsidR="0043243B">
        <w:rPr>
          <w:sz w:val="24"/>
          <w:szCs w:val="24"/>
        </w:rPr>
        <w:fldChar w:fldCharType="separate"/>
      </w:r>
      <w:r w:rsidR="00161FDC" w:rsidRPr="00C45EC1">
        <w:rPr>
          <w:sz w:val="20"/>
        </w:rPr>
        <w:t xml:space="preserve">Figure </w:t>
      </w:r>
      <w:r w:rsidR="00161FDC">
        <w:rPr>
          <w:noProof/>
          <w:sz w:val="20"/>
        </w:rPr>
        <w:t>25</w:t>
      </w:r>
      <w:r w:rsidR="0043243B">
        <w:rPr>
          <w:sz w:val="24"/>
          <w:szCs w:val="24"/>
        </w:rPr>
        <w:fldChar w:fldCharType="end"/>
      </w:r>
      <w:r w:rsidRPr="002809FE">
        <w:rPr>
          <w:sz w:val="24"/>
          <w:szCs w:val="24"/>
        </w:rPr>
        <w:t xml:space="preserve"> below.</w:t>
      </w:r>
      <w:r w:rsidRPr="00205A26">
        <w:rPr>
          <w:noProof/>
          <w:sz w:val="24"/>
          <w:szCs w:val="24"/>
        </w:rPr>
        <w:t xml:space="preserve"> </w:t>
      </w:r>
      <w:r w:rsidRPr="00175550">
        <w:rPr>
          <w:sz w:val="24"/>
          <w:szCs w:val="24"/>
        </w:rPr>
        <w:br w:type="page"/>
      </w:r>
      <w:r>
        <w:rPr>
          <w:noProof/>
          <w:lang w:eastAsia="en-GB"/>
        </w:rPr>
        <w:lastRenderedPageBreak/>
        <w:drawing>
          <wp:inline distT="0" distB="0" distL="0" distR="0" wp14:anchorId="758F5493" wp14:editId="16AC94F9">
            <wp:extent cx="5838825" cy="3571875"/>
            <wp:effectExtent l="0" t="0" r="0" b="0"/>
            <wp:docPr id="241" name="Chart 241">
              <a:extLst xmlns:a="http://schemas.openxmlformats.org/drawingml/2006/main">
                <a:ext uri="{FF2B5EF4-FFF2-40B4-BE49-F238E27FC236}">
                  <a16:creationId xmlns:a16="http://schemas.microsoft.com/office/drawing/2014/main" id="{D9B7353F-687C-40A4-B72D-5AE1CE2CC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66A4C56" w14:textId="3C4FB6A1" w:rsidR="00F37CA9" w:rsidRPr="00C45EC1" w:rsidRDefault="0043243B" w:rsidP="00C45EC1">
      <w:pPr>
        <w:pStyle w:val="Caption"/>
        <w:jc w:val="center"/>
        <w:rPr>
          <w:sz w:val="20"/>
        </w:rPr>
      </w:pPr>
      <w:bookmarkStart w:id="28" w:name="_Ref31283758"/>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25</w:t>
      </w:r>
      <w:r w:rsidRPr="00C45EC1">
        <w:rPr>
          <w:sz w:val="20"/>
        </w:rPr>
        <w:fldChar w:fldCharType="end"/>
      </w:r>
      <w:bookmarkEnd w:id="28"/>
      <w:r w:rsidRPr="00C45EC1">
        <w:rPr>
          <w:sz w:val="20"/>
        </w:rPr>
        <w:t xml:space="preserve"> </w:t>
      </w:r>
      <w:r w:rsidRPr="00C45EC1">
        <w:rPr>
          <w:sz w:val="20"/>
          <w:vertAlign w:val="superscript"/>
        </w:rPr>
        <w:t>241</w:t>
      </w:r>
      <w:r w:rsidRPr="00C45EC1">
        <w:rPr>
          <w:sz w:val="20"/>
        </w:rPr>
        <w:t xml:space="preserve">Am abundance (fg/g) calculated from the counts measured in the </w:t>
      </w:r>
      <w:r w:rsidRPr="00C45EC1">
        <w:rPr>
          <w:sz w:val="20"/>
          <w:vertAlign w:val="superscript"/>
        </w:rPr>
        <w:t>241</w:t>
      </w:r>
      <w:r w:rsidRPr="00C45EC1">
        <w:rPr>
          <w:sz w:val="20"/>
        </w:rPr>
        <w:t>Am 59.5 keV peak in the gamma-ray spectra measured using the BEGe detector at CCFE, as described in the Experimental Methods section. Black bars represent samples collected on-site at Dounreay, red bars represent samples collected off-site from the Dounreay locality, while the blue bars represent samples collected by the author in English sites as named. Averages are provided for each of the three sample sets.</w:t>
      </w:r>
      <w:r w:rsidR="00F37CA9" w:rsidRPr="00C45EC1">
        <w:rPr>
          <w:sz w:val="28"/>
          <w:szCs w:val="24"/>
        </w:rPr>
        <w:br w:type="page"/>
      </w:r>
    </w:p>
    <w:p w14:paraId="7EB7DC9B" w14:textId="47BEA249" w:rsidR="0043243B" w:rsidRDefault="00F37CA9" w:rsidP="0043243B">
      <w:pPr>
        <w:keepNext/>
        <w:spacing w:line="480" w:lineRule="auto"/>
        <w:ind w:firstLine="567"/>
      </w:pPr>
      <w:r w:rsidRPr="00657F46">
        <w:rPr>
          <w:sz w:val="24"/>
          <w:szCs w:val="24"/>
        </w:rPr>
        <w:lastRenderedPageBreak/>
        <w:t xml:space="preserve">The estimates for </w:t>
      </w:r>
      <w:r w:rsidRPr="00657F46">
        <w:rPr>
          <w:sz w:val="24"/>
          <w:szCs w:val="24"/>
          <w:vertAlign w:val="superscript"/>
        </w:rPr>
        <w:t>241</w:t>
      </w:r>
      <w:r w:rsidRPr="00657F46">
        <w:rPr>
          <w:sz w:val="24"/>
          <w:szCs w:val="24"/>
        </w:rPr>
        <w:t xml:space="preserve">Pu content in the soil are shown below in </w:t>
      </w:r>
      <w:r w:rsidR="0043243B">
        <w:rPr>
          <w:sz w:val="24"/>
          <w:szCs w:val="24"/>
        </w:rPr>
        <w:fldChar w:fldCharType="begin"/>
      </w:r>
      <w:r w:rsidR="0043243B">
        <w:rPr>
          <w:sz w:val="24"/>
          <w:szCs w:val="24"/>
        </w:rPr>
        <w:instrText xml:space="preserve"> REF _Ref31283843 \h </w:instrText>
      </w:r>
      <w:r w:rsidR="0043243B">
        <w:rPr>
          <w:sz w:val="24"/>
          <w:szCs w:val="24"/>
        </w:rPr>
      </w:r>
      <w:r w:rsidR="0043243B">
        <w:rPr>
          <w:sz w:val="24"/>
          <w:szCs w:val="24"/>
        </w:rPr>
        <w:fldChar w:fldCharType="separate"/>
      </w:r>
      <w:r w:rsidR="00161FDC" w:rsidRPr="00C45EC1">
        <w:rPr>
          <w:sz w:val="20"/>
        </w:rPr>
        <w:t xml:space="preserve">Figure </w:t>
      </w:r>
      <w:r w:rsidR="00161FDC">
        <w:rPr>
          <w:noProof/>
          <w:sz w:val="20"/>
        </w:rPr>
        <w:t>26</w:t>
      </w:r>
      <w:r w:rsidR="0043243B">
        <w:rPr>
          <w:sz w:val="24"/>
          <w:szCs w:val="24"/>
        </w:rPr>
        <w:fldChar w:fldCharType="end"/>
      </w:r>
      <w:r w:rsidRPr="00657F46">
        <w:rPr>
          <w:sz w:val="24"/>
          <w:szCs w:val="24"/>
        </w:rPr>
        <w:t>, calculated as described in Section 2.3 of the Experimental Methods chapter.</w:t>
      </w:r>
      <w:r w:rsidR="009D62D2">
        <w:rPr>
          <w:sz w:val="24"/>
          <w:szCs w:val="24"/>
        </w:rPr>
        <w:br/>
      </w:r>
      <w:r>
        <w:rPr>
          <w:noProof/>
          <w:lang w:eastAsia="en-GB"/>
        </w:rPr>
        <w:drawing>
          <wp:inline distT="0" distB="0" distL="0" distR="0" wp14:anchorId="05A13721" wp14:editId="14CC8E1C">
            <wp:extent cx="5753100" cy="3667125"/>
            <wp:effectExtent l="0" t="0" r="0" b="0"/>
            <wp:docPr id="243" name="Chart 243">
              <a:extLst xmlns:a="http://schemas.openxmlformats.org/drawingml/2006/main">
                <a:ext uri="{FF2B5EF4-FFF2-40B4-BE49-F238E27FC236}">
                  <a16:creationId xmlns:a16="http://schemas.microsoft.com/office/drawing/2014/main" id="{B05717DE-DF7D-49BD-B4C2-97E922415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E973319" w14:textId="3773F768" w:rsidR="0043243B" w:rsidRPr="00C45EC1" w:rsidRDefault="0043243B" w:rsidP="00C45EC1">
      <w:pPr>
        <w:pStyle w:val="Caption"/>
        <w:jc w:val="center"/>
        <w:rPr>
          <w:sz w:val="20"/>
        </w:rPr>
      </w:pPr>
      <w:bookmarkStart w:id="29" w:name="_Ref31283843"/>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26</w:t>
      </w:r>
      <w:r w:rsidRPr="00C45EC1">
        <w:rPr>
          <w:sz w:val="20"/>
        </w:rPr>
        <w:fldChar w:fldCharType="end"/>
      </w:r>
      <w:bookmarkEnd w:id="29"/>
      <w:r w:rsidRPr="00C45EC1">
        <w:rPr>
          <w:sz w:val="20"/>
        </w:rPr>
        <w:t xml:space="preserve"> </w:t>
      </w:r>
      <w:r w:rsidRPr="00C45EC1">
        <w:rPr>
          <w:sz w:val="20"/>
          <w:vertAlign w:val="superscript"/>
        </w:rPr>
        <w:t>241</w:t>
      </w:r>
      <w:r w:rsidRPr="00C45EC1">
        <w:rPr>
          <w:sz w:val="20"/>
        </w:rPr>
        <w:t xml:space="preserve">Pu abundance (fg/g) calculated from </w:t>
      </w:r>
      <w:r w:rsidRPr="00C45EC1">
        <w:rPr>
          <w:sz w:val="20"/>
          <w:vertAlign w:val="superscript"/>
        </w:rPr>
        <w:t>241</w:t>
      </w:r>
      <w:r w:rsidRPr="00C45EC1">
        <w:rPr>
          <w:sz w:val="20"/>
        </w:rPr>
        <w:t xml:space="preserve">Am abundances, </w:t>
      </w:r>
      <w:r w:rsidRPr="00C45EC1">
        <w:rPr>
          <w:sz w:val="20"/>
          <w:vertAlign w:val="superscript"/>
        </w:rPr>
        <w:t>241</w:t>
      </w:r>
      <w:r w:rsidRPr="00C45EC1">
        <w:rPr>
          <w:sz w:val="20"/>
        </w:rPr>
        <w:t xml:space="preserve">Pu half-life, rate of decay, and Bateman equation utilising a ‘t’ value of 35 years. As a result, the abundances are directly proportional to those of </w:t>
      </w:r>
      <w:r w:rsidRPr="00C45EC1">
        <w:rPr>
          <w:sz w:val="20"/>
          <w:vertAlign w:val="superscript"/>
        </w:rPr>
        <w:t>241</w:t>
      </w:r>
      <w:r w:rsidRPr="00C45EC1">
        <w:rPr>
          <w:sz w:val="20"/>
        </w:rPr>
        <w:t>Am. Black bars represent samples collected on-site at Dounreay, red bars represent samples collected off-site from the Dounreay locality, while the blue bars represent samples collected by the author at English sites as named.</w:t>
      </w:r>
    </w:p>
    <w:p w14:paraId="265DA706" w14:textId="60C5BF55" w:rsidR="00F37CA9" w:rsidRPr="00657F46" w:rsidRDefault="00B15ECF" w:rsidP="00F37CA9">
      <w:pPr>
        <w:spacing w:line="480" w:lineRule="auto"/>
        <w:ind w:firstLine="567"/>
        <w:rPr>
          <w:sz w:val="24"/>
          <w:szCs w:val="24"/>
        </w:rPr>
      </w:pPr>
      <w:r>
        <w:rPr>
          <w:sz w:val="24"/>
          <w:szCs w:val="24"/>
        </w:rPr>
        <w:t>T</w:t>
      </w:r>
      <w:r w:rsidR="00F37CA9" w:rsidRPr="00657F46">
        <w:rPr>
          <w:sz w:val="24"/>
          <w:szCs w:val="24"/>
        </w:rPr>
        <w:t xml:space="preserve">he </w:t>
      </w:r>
      <w:r>
        <w:rPr>
          <w:sz w:val="24"/>
          <w:szCs w:val="24"/>
        </w:rPr>
        <w:t>quantities</w:t>
      </w:r>
      <w:r w:rsidR="00F37CA9" w:rsidRPr="00657F46">
        <w:rPr>
          <w:sz w:val="24"/>
          <w:szCs w:val="24"/>
        </w:rPr>
        <w:t xml:space="preserve"> in </w:t>
      </w:r>
      <w:r w:rsidR="0043243B">
        <w:rPr>
          <w:sz w:val="24"/>
          <w:szCs w:val="24"/>
        </w:rPr>
        <w:fldChar w:fldCharType="begin"/>
      </w:r>
      <w:r w:rsidR="0043243B">
        <w:rPr>
          <w:sz w:val="24"/>
          <w:szCs w:val="24"/>
        </w:rPr>
        <w:instrText xml:space="preserve"> REF _Ref31283843 \h </w:instrText>
      </w:r>
      <w:r w:rsidR="0043243B">
        <w:rPr>
          <w:sz w:val="24"/>
          <w:szCs w:val="24"/>
        </w:rPr>
      </w:r>
      <w:r w:rsidR="0043243B">
        <w:rPr>
          <w:sz w:val="24"/>
          <w:szCs w:val="24"/>
        </w:rPr>
        <w:fldChar w:fldCharType="separate"/>
      </w:r>
      <w:r w:rsidR="00161FDC" w:rsidRPr="00C45EC1">
        <w:rPr>
          <w:sz w:val="20"/>
        </w:rPr>
        <w:t xml:space="preserve">Figure </w:t>
      </w:r>
      <w:r w:rsidR="00161FDC">
        <w:rPr>
          <w:noProof/>
          <w:sz w:val="20"/>
        </w:rPr>
        <w:t>26</w:t>
      </w:r>
      <w:r w:rsidR="0043243B">
        <w:rPr>
          <w:sz w:val="24"/>
          <w:szCs w:val="24"/>
        </w:rPr>
        <w:fldChar w:fldCharType="end"/>
      </w:r>
      <w:r w:rsidR="0043243B">
        <w:rPr>
          <w:sz w:val="24"/>
          <w:szCs w:val="24"/>
        </w:rPr>
        <w:t xml:space="preserve"> </w:t>
      </w:r>
      <w:r w:rsidR="00F37CA9" w:rsidRPr="00657F46">
        <w:rPr>
          <w:sz w:val="24"/>
          <w:szCs w:val="24"/>
        </w:rPr>
        <w:t xml:space="preserve">are proportional to those given in the </w:t>
      </w:r>
      <w:r w:rsidR="00F37CA9" w:rsidRPr="00657F46">
        <w:rPr>
          <w:sz w:val="24"/>
          <w:szCs w:val="24"/>
          <w:vertAlign w:val="superscript"/>
        </w:rPr>
        <w:t>241</w:t>
      </w:r>
      <w:r w:rsidR="00F37CA9" w:rsidRPr="00657F46">
        <w:rPr>
          <w:sz w:val="24"/>
          <w:szCs w:val="24"/>
        </w:rPr>
        <w:t>Am plot (</w:t>
      </w:r>
      <w:r w:rsidR="0043243B">
        <w:rPr>
          <w:sz w:val="24"/>
          <w:szCs w:val="24"/>
        </w:rPr>
        <w:fldChar w:fldCharType="begin"/>
      </w:r>
      <w:r w:rsidR="0043243B">
        <w:rPr>
          <w:sz w:val="24"/>
          <w:szCs w:val="24"/>
        </w:rPr>
        <w:instrText xml:space="preserve"> REF _Ref31283758 \h </w:instrText>
      </w:r>
      <w:r w:rsidR="0043243B">
        <w:rPr>
          <w:sz w:val="24"/>
          <w:szCs w:val="24"/>
        </w:rPr>
      </w:r>
      <w:r w:rsidR="0043243B">
        <w:rPr>
          <w:sz w:val="24"/>
          <w:szCs w:val="24"/>
        </w:rPr>
        <w:fldChar w:fldCharType="separate"/>
      </w:r>
      <w:r w:rsidR="00161FDC" w:rsidRPr="00C45EC1">
        <w:rPr>
          <w:sz w:val="20"/>
        </w:rPr>
        <w:t xml:space="preserve">Figure </w:t>
      </w:r>
      <w:r w:rsidR="00161FDC">
        <w:rPr>
          <w:noProof/>
          <w:sz w:val="20"/>
        </w:rPr>
        <w:t>25</w:t>
      </w:r>
      <w:r w:rsidR="0043243B">
        <w:rPr>
          <w:sz w:val="24"/>
          <w:szCs w:val="24"/>
        </w:rPr>
        <w:fldChar w:fldCharType="end"/>
      </w:r>
      <w:r w:rsidR="00F37CA9" w:rsidRPr="00657F46">
        <w:rPr>
          <w:sz w:val="24"/>
          <w:szCs w:val="24"/>
        </w:rPr>
        <w:t xml:space="preserve">) but estimate values of </w:t>
      </w:r>
      <w:r w:rsidR="00F37CA9" w:rsidRPr="00657F46">
        <w:rPr>
          <w:sz w:val="24"/>
          <w:szCs w:val="24"/>
          <w:vertAlign w:val="superscript"/>
        </w:rPr>
        <w:t>241</w:t>
      </w:r>
      <w:r w:rsidR="00F37CA9" w:rsidRPr="00657F46">
        <w:rPr>
          <w:sz w:val="24"/>
          <w:szCs w:val="24"/>
        </w:rPr>
        <w:t>Pu are useful when trying to understand the origin of nuclear material found in the samples, even at low concentrations.</w:t>
      </w:r>
    </w:p>
    <w:p w14:paraId="71DD4E2B" w14:textId="2EC5CDF4" w:rsidR="00F37CA9" w:rsidRPr="00657F46" w:rsidRDefault="00F37CA9" w:rsidP="00F37CA9">
      <w:pPr>
        <w:spacing w:line="480" w:lineRule="auto"/>
        <w:ind w:firstLine="567"/>
        <w:rPr>
          <w:sz w:val="24"/>
          <w:szCs w:val="24"/>
        </w:rPr>
      </w:pPr>
      <w:r w:rsidRPr="00657F46">
        <w:rPr>
          <w:sz w:val="24"/>
          <w:szCs w:val="24"/>
        </w:rPr>
        <w:t xml:space="preserve">In summary, gamma detection with the BEGe system at CCFE has allowed identification of measurable amounts of </w:t>
      </w:r>
      <w:r w:rsidRPr="00657F46">
        <w:rPr>
          <w:sz w:val="24"/>
          <w:szCs w:val="24"/>
          <w:vertAlign w:val="superscript"/>
        </w:rPr>
        <w:t>241</w:t>
      </w:r>
      <w:r w:rsidRPr="00657F46">
        <w:rPr>
          <w:sz w:val="24"/>
          <w:szCs w:val="24"/>
        </w:rPr>
        <w:t xml:space="preserve">Am within most samples, at approximately </w:t>
      </w:r>
      <w:r w:rsidR="00C536B1">
        <w:rPr>
          <w:sz w:val="24"/>
          <w:szCs w:val="24"/>
        </w:rPr>
        <w:t>f</w:t>
      </w:r>
      <w:r w:rsidRPr="00657F46">
        <w:rPr>
          <w:sz w:val="24"/>
          <w:szCs w:val="24"/>
        </w:rPr>
        <w:t xml:space="preserve">g/g levels, and estimates of the mass concentrations of </w:t>
      </w:r>
      <w:r w:rsidRPr="00657F46">
        <w:rPr>
          <w:sz w:val="24"/>
          <w:szCs w:val="24"/>
          <w:vertAlign w:val="superscript"/>
        </w:rPr>
        <w:t>241</w:t>
      </w:r>
      <w:r w:rsidRPr="00657F46">
        <w:rPr>
          <w:sz w:val="24"/>
          <w:szCs w:val="24"/>
        </w:rPr>
        <w:t xml:space="preserve">Pu using americium amounts and methods described in the literature </w:t>
      </w:r>
      <w:r w:rsidR="00D03C4E">
        <w:rPr>
          <w:sz w:val="24"/>
          <w:szCs w:val="24"/>
        </w:rPr>
        <w:fldChar w:fldCharType="begin" w:fldLock="1"/>
      </w:r>
      <w:r w:rsidR="000B0F18">
        <w:rPr>
          <w:sz w:val="24"/>
          <w:szCs w:val="24"/>
        </w:rPr>
        <w:instrText>ADDIN CSL_CITATION {"citationItems":[{"id":"ITEM-1","itemData":{"abstract":"The solution of a system of differential equations occurring in the theory of radioactive transformations","author":[{"dropping-particle":"","family":"Harry Bateman","given":"","non-dropping-particle":"","parse-names":false,"suffix":""}],"container-title":"Proceedings of the Cambridge Philosophical Society, Mathematical and physical sciences","id":"ITEM-1","issued":{"date-parts":[["1910"]]},"page":"423-427","title":"The solution of a system of differential equations occurring in the theory of radioactive transformations","type":"article-journal","volume":"11"},"uris":["http://www.mendeley.com/documents/?uuid=a5fb7260-a157-3053-8ed3-d6d278feba3c"]}],"mendeley":{"formattedCitation":"[59]","plainTextFormattedCitation":"[59]","previouslyFormattedCitation":"[59]"},"properties":{"noteIndex":0},"schema":"https://github.com/citation-style-language/schema/raw/master/csl-citation.json"}</w:instrText>
      </w:r>
      <w:r w:rsidR="00D03C4E">
        <w:rPr>
          <w:sz w:val="24"/>
          <w:szCs w:val="24"/>
        </w:rPr>
        <w:fldChar w:fldCharType="separate"/>
      </w:r>
      <w:r w:rsidR="007D1AB4" w:rsidRPr="007D1AB4">
        <w:rPr>
          <w:noProof/>
          <w:sz w:val="24"/>
          <w:szCs w:val="24"/>
        </w:rPr>
        <w:t>[59]</w:t>
      </w:r>
      <w:r w:rsidR="00D03C4E">
        <w:rPr>
          <w:sz w:val="24"/>
          <w:szCs w:val="24"/>
        </w:rPr>
        <w:fldChar w:fldCharType="end"/>
      </w:r>
      <w:r w:rsidR="00D03C4E">
        <w:rPr>
          <w:sz w:val="24"/>
          <w:szCs w:val="24"/>
        </w:rPr>
        <w:fldChar w:fldCharType="begin" w:fldLock="1"/>
      </w:r>
      <w:r w:rsidR="000B0F18">
        <w:rPr>
          <w:sz w:val="24"/>
          <w:szCs w:val="24"/>
        </w:rPr>
        <w:instrText>ADDIN CSL_CITATION {"citationItems":[{"id":"ITEM-1","itemData":{"DOI":"10.1016/j.anucene.2006.02.004","ISSN":"03064549","abstract":"The paper concerns the linear chain method of solving Bateman equations for nuclear transmutation in derivation of the general solution for linear chain with repeated transitions and thus elimination of existing numerical problems. In addition, applications of derived equations for transmutation trajectory analysis method is presented.","author":[{"dropping-particle":"","family":"Cetnar","given":"Jerzy","non-dropping-particle":"","parse-names":false,"suffix":""}],"container-title":"Annals of Nuclear Energy","id":"ITEM-1","issue":"7","issued":{"date-parts":[["2006","5"]]},"page":"640-645","title":"General solution of Bateman equations for nuclear transmutations","type":"article-journal","volume":"33"},"uris":["http://www.mendeley.com/documents/?uuid=1a0fafab-9ae9-3589-8518-8a5004ed73df"]}],"mendeley":{"formattedCitation":"[60]","plainTextFormattedCitation":"[60]","previouslyFormattedCitation":"[60]"},"properties":{"noteIndex":0},"schema":"https://github.com/citation-style-language/schema/raw/master/csl-citation.json"}</w:instrText>
      </w:r>
      <w:r w:rsidR="00D03C4E">
        <w:rPr>
          <w:sz w:val="24"/>
          <w:szCs w:val="24"/>
        </w:rPr>
        <w:fldChar w:fldCharType="separate"/>
      </w:r>
      <w:r w:rsidR="007D1AB4" w:rsidRPr="007D1AB4">
        <w:rPr>
          <w:noProof/>
          <w:sz w:val="24"/>
          <w:szCs w:val="24"/>
        </w:rPr>
        <w:t>[60]</w:t>
      </w:r>
      <w:r w:rsidR="00D03C4E">
        <w:rPr>
          <w:sz w:val="24"/>
          <w:szCs w:val="24"/>
        </w:rPr>
        <w:fldChar w:fldCharType="end"/>
      </w:r>
      <w:r w:rsidR="008966A7">
        <w:rPr>
          <w:sz w:val="24"/>
          <w:szCs w:val="24"/>
        </w:rPr>
        <w:t>, again specifying an approximate time since deposition (‘t’ value) of 35 years</w:t>
      </w:r>
      <w:r w:rsidRPr="00657F46">
        <w:rPr>
          <w:sz w:val="24"/>
          <w:szCs w:val="24"/>
        </w:rPr>
        <w:t xml:space="preserve">. </w:t>
      </w:r>
    </w:p>
    <w:p w14:paraId="38461BDC" w14:textId="77777777" w:rsidR="00C536B1" w:rsidRDefault="00F37CA9" w:rsidP="00F37CA9">
      <w:pPr>
        <w:spacing w:line="480" w:lineRule="auto"/>
        <w:ind w:firstLine="567"/>
        <w:rPr>
          <w:sz w:val="24"/>
          <w:szCs w:val="24"/>
        </w:rPr>
      </w:pPr>
      <w:r w:rsidRPr="002809FE">
        <w:rPr>
          <w:sz w:val="24"/>
          <w:szCs w:val="24"/>
        </w:rPr>
        <w:lastRenderedPageBreak/>
        <w:t xml:space="preserve">These amounts </w:t>
      </w:r>
      <w:r>
        <w:rPr>
          <w:sz w:val="24"/>
          <w:szCs w:val="24"/>
        </w:rPr>
        <w:t>are</w:t>
      </w:r>
      <w:r w:rsidRPr="002809FE">
        <w:rPr>
          <w:sz w:val="24"/>
          <w:szCs w:val="24"/>
        </w:rPr>
        <w:t xml:space="preserve"> compared</w:t>
      </w:r>
      <w:r>
        <w:rPr>
          <w:sz w:val="24"/>
          <w:szCs w:val="24"/>
        </w:rPr>
        <w:t xml:space="preserve"> in the discussion</w:t>
      </w:r>
      <w:r w:rsidRPr="002809FE">
        <w:rPr>
          <w:sz w:val="24"/>
          <w:szCs w:val="24"/>
        </w:rPr>
        <w:t xml:space="preserve"> </w:t>
      </w:r>
      <w:r w:rsidR="00C536B1">
        <w:rPr>
          <w:sz w:val="24"/>
          <w:szCs w:val="24"/>
        </w:rPr>
        <w:t>combined with</w:t>
      </w:r>
      <w:r w:rsidRPr="002809FE">
        <w:rPr>
          <w:sz w:val="24"/>
          <w:szCs w:val="24"/>
        </w:rPr>
        <w:t xml:space="preserve"> both neutron counts presented previously, and AMS measurements which are presented in the next section of this chapter.</w:t>
      </w:r>
      <w:r w:rsidR="00C536B1">
        <w:rPr>
          <w:sz w:val="24"/>
          <w:szCs w:val="24"/>
        </w:rPr>
        <w:br/>
      </w:r>
    </w:p>
    <w:p w14:paraId="06797C82" w14:textId="2C3AAF4E" w:rsidR="00F37CA9" w:rsidRPr="00C536B1" w:rsidRDefault="00C536B1" w:rsidP="00C536B1">
      <w:pPr>
        <w:rPr>
          <w:sz w:val="24"/>
          <w:szCs w:val="24"/>
        </w:rPr>
      </w:pPr>
      <w:r>
        <w:rPr>
          <w:sz w:val="24"/>
          <w:szCs w:val="24"/>
        </w:rPr>
        <w:br w:type="page"/>
      </w:r>
      <w:r w:rsidR="00F37CA9" w:rsidRPr="00E85A79">
        <w:rPr>
          <w:b/>
          <w:sz w:val="28"/>
          <w:szCs w:val="24"/>
        </w:rPr>
        <w:lastRenderedPageBreak/>
        <w:t>3.3 Accelerator Mass Spectrometry Measurements</w:t>
      </w:r>
      <w:r>
        <w:rPr>
          <w:b/>
          <w:sz w:val="28"/>
          <w:szCs w:val="24"/>
        </w:rPr>
        <w:br/>
      </w:r>
    </w:p>
    <w:p w14:paraId="7DAA359B" w14:textId="09E7F783" w:rsidR="00F37CA9" w:rsidRPr="002809FE" w:rsidRDefault="00F37CA9" w:rsidP="00F37CA9">
      <w:pPr>
        <w:spacing w:line="480" w:lineRule="auto"/>
        <w:ind w:firstLine="567"/>
        <w:rPr>
          <w:sz w:val="24"/>
          <w:szCs w:val="24"/>
        </w:rPr>
      </w:pPr>
      <w:r w:rsidRPr="002809FE">
        <w:rPr>
          <w:sz w:val="24"/>
          <w:szCs w:val="24"/>
        </w:rPr>
        <w:t xml:space="preserve">Following the HPGe detection, the need for </w:t>
      </w:r>
      <w:r w:rsidR="008966A7">
        <w:rPr>
          <w:sz w:val="24"/>
          <w:szCs w:val="24"/>
        </w:rPr>
        <w:t>a complementary assessment</w:t>
      </w:r>
      <w:r w:rsidRPr="002809FE">
        <w:rPr>
          <w:sz w:val="24"/>
          <w:szCs w:val="24"/>
        </w:rPr>
        <w:t xml:space="preserve"> of the plutonium isotopes</w:t>
      </w:r>
      <w:r>
        <w:rPr>
          <w:sz w:val="24"/>
          <w:szCs w:val="24"/>
        </w:rPr>
        <w:t xml:space="preserve"> in the soil was identified. The literature shows </w:t>
      </w:r>
      <w:r w:rsidRPr="002809FE">
        <w:rPr>
          <w:sz w:val="24"/>
          <w:szCs w:val="24"/>
        </w:rPr>
        <w:t>that</w:t>
      </w:r>
      <w:r>
        <w:rPr>
          <w:sz w:val="24"/>
          <w:szCs w:val="24"/>
        </w:rPr>
        <w:t xml:space="preserve"> </w:t>
      </w:r>
      <w:r w:rsidR="008966A7">
        <w:rPr>
          <w:sz w:val="24"/>
          <w:szCs w:val="24"/>
        </w:rPr>
        <w:t xml:space="preserve">accelerator </w:t>
      </w:r>
      <w:r w:rsidRPr="002809FE">
        <w:rPr>
          <w:sz w:val="24"/>
          <w:szCs w:val="24"/>
        </w:rPr>
        <w:t>mass spectrometric methods</w:t>
      </w:r>
      <w:r>
        <w:rPr>
          <w:sz w:val="24"/>
          <w:szCs w:val="24"/>
        </w:rPr>
        <w:t xml:space="preserve"> are</w:t>
      </w:r>
      <w:r w:rsidR="00C536B1">
        <w:rPr>
          <w:sz w:val="24"/>
          <w:szCs w:val="24"/>
        </w:rPr>
        <w:t xml:space="preserve"> amongst</w:t>
      </w:r>
      <w:r w:rsidRPr="002809FE">
        <w:rPr>
          <w:sz w:val="24"/>
          <w:szCs w:val="24"/>
        </w:rPr>
        <w:t xml:space="preserve"> the most </w:t>
      </w:r>
      <w:r w:rsidR="008966A7">
        <w:rPr>
          <w:sz w:val="24"/>
          <w:szCs w:val="24"/>
        </w:rPr>
        <w:t>sensitive</w:t>
      </w:r>
      <w:r>
        <w:rPr>
          <w:sz w:val="24"/>
          <w:szCs w:val="24"/>
        </w:rPr>
        <w:t xml:space="preserve"> methods</w:t>
      </w:r>
      <w:r w:rsidRPr="002809FE">
        <w:rPr>
          <w:sz w:val="24"/>
          <w:szCs w:val="24"/>
        </w:rPr>
        <w:t xml:space="preserve"> for quantifying picogram</w:t>
      </w:r>
      <w:r>
        <w:rPr>
          <w:sz w:val="24"/>
          <w:szCs w:val="24"/>
        </w:rPr>
        <w:t>-</w:t>
      </w:r>
      <w:r w:rsidRPr="002809FE">
        <w:rPr>
          <w:sz w:val="24"/>
          <w:szCs w:val="24"/>
        </w:rPr>
        <w:t>and</w:t>
      </w:r>
      <w:r>
        <w:rPr>
          <w:sz w:val="24"/>
          <w:szCs w:val="24"/>
        </w:rPr>
        <w:t>-</w:t>
      </w:r>
      <w:r w:rsidRPr="002809FE">
        <w:rPr>
          <w:sz w:val="24"/>
          <w:szCs w:val="24"/>
        </w:rPr>
        <w:t xml:space="preserve">below levels of radionuclides </w:t>
      </w:r>
      <w:r w:rsidR="00D03C4E">
        <w:rPr>
          <w:sz w:val="24"/>
          <w:szCs w:val="24"/>
        </w:rPr>
        <w:fldChar w:fldCharType="begin" w:fldLock="1"/>
      </w:r>
      <w:r w:rsidR="00767A68">
        <w:rPr>
          <w:sz w:val="24"/>
          <w:szCs w:val="24"/>
        </w:rPr>
        <w:instrText>ADDIN CSL_CITATION {"citationItems":[{"id":"ITEM-1","itemData":{"DOI":"10.1016/j.nimb.2012.06.017","ISSN":"0168583X","PMID":"23565016","abstract":"VERA, the Vienna Environmental Research Accelerator, is especially equipped for the measurement of actinides, and performs a growing number of measurements on environmental samples. While AMS is not the optimum method for each particular plutonium isotope, the possibility to measure (239)Pu, (240)Pu, (241)Pu, (242)Pu and (244)Pu on the same AMS sputter target is a great simplification. We have obtained a first result on the global fallout value of (244)Pu/(239)Pu = (5.7 ± 1.0) × 10(-5) based on soil samples from Salzburg prefecture, Austria. Furthermore, we suggest using the (242)Pu/(240)Pu ratio as an estimate of the initial (241)Pu/(239)Pu ratio, which allows dating of the time of irradiation based solely on Pu isotopes. We have checked the validity of this estimate using literature data, simulations, and environmental samples from soil from the Salzburg prefecture (Austria), from the shut down Garigliano Nuclear Power Plant (Sessa Aurunca, Italy) and from the Irish Sea near the Sellafield nuclear facility. The maximum deviation of the estimated dates from the expected ages is 6 years, while relative dating of material from the same source seems to be possible with a precision of less than 2 years. Additional information carried by the minor plutonium isotopes may allow further improvements of the precision of the method.","author":[{"dropping-particle":"","family":"Steier","given":"P","non-dropping-particle":"","parse-names":false,"suffix":""},{"dropping-particle":"","family":"Hrnecek","given":"E","non-dropping-particle":"","parse-names":false,"suffix":""},{"dropping-particle":"","family":"Priller","given":"A","non-dropping-particle":"","parse-names":false,"suffix":""},{"dropping-particle":"","family":"Quinto","given":"F","non-dropping-particle":"","parse-names":false,"suffix":""},{"dropping-particle":"","family":"Srncik","given":"M","non-dropping-particle":"","parse-names":false,"suffix":""},{"dropping-particle":"","family":"Wallner","given":"A.","non-dropping-particle":"","parse-names":false,"suffix":""},{"dropping-particle":"","family":"Wallner","given":"G","non-dropping-particle":"","parse-names":false,"suffix":""},{"dropping-particle":"","family":"Winkler","given":"S","non-dropping-particle":"","parse-names":false,"suffix":""}],"container-title":"Nuclear Instruments and Methods in Physics Research Section B: Beam Interactions with Materials and Atoms","id":"ITEM-1","issue":"2-2","issued":{"date-parts":[["2013","1"]]},"page":"160-164","publisher":"Elsevier","title":"AMS of the Minor Plutonium Isotopes","type":"article-journal","volume":"294"},"uris":["http://www.mendeley.com/documents/?uuid=05b1f9d1-7369-3cb1-b743-0bc252b99de6"]}],"mendeley":{"formattedCitation":"[64]","plainTextFormattedCitation":"[64]","previouslyFormattedCitation":"[64]"},"properties":{"noteIndex":0},"schema":"https://github.com/citation-style-language/schema/raw/master/csl-citation.json"}</w:instrText>
      </w:r>
      <w:r w:rsidR="00D03C4E">
        <w:rPr>
          <w:sz w:val="24"/>
          <w:szCs w:val="24"/>
        </w:rPr>
        <w:fldChar w:fldCharType="separate"/>
      </w:r>
      <w:r w:rsidR="000B0F18" w:rsidRPr="000B0F18">
        <w:rPr>
          <w:noProof/>
          <w:sz w:val="24"/>
          <w:szCs w:val="24"/>
        </w:rPr>
        <w:t>[64]</w:t>
      </w:r>
      <w:r w:rsidR="00D03C4E">
        <w:rPr>
          <w:sz w:val="24"/>
          <w:szCs w:val="24"/>
        </w:rPr>
        <w:fldChar w:fldCharType="end"/>
      </w:r>
      <w:r w:rsidR="00D03C4E">
        <w:rPr>
          <w:sz w:val="24"/>
          <w:szCs w:val="24"/>
        </w:rPr>
        <w:fldChar w:fldCharType="begin" w:fldLock="1"/>
      </w:r>
      <w:r w:rsidR="00767A68">
        <w:rPr>
          <w:sz w:val="24"/>
          <w:szCs w:val="24"/>
        </w:rPr>
        <w:instrText>ADDIN CSL_CITATION {"citationItems":[{"id":"ITEM-1","itemData":{"DOI":"10.1016/J.IJMS.2013.05.008","ISSN":"1387-3806","abstract":"This report attempts to summarize the technical evolution of accelerator mass spectrometry (AMS) instrumentation over the last thirty-five years. The related impact of the AMS measurement technology to the wide variety of applications of long-lived radionuclides in modern research is not covered. The accompanying article by W. Kutschera overviews these applications. Here, I am providing an introduction to the basics principles of AMS measurement technology, describe the set-up of a typical AMS instrument, and discuss in general specific requirements to reach sensitivity as it is required to measure long-lived radionuclides at their natural levels in the environment. A retrospective view is given on the major development steps of AMS instruments and measurement technique. Special attention is paid to the simplification of AMS systems by reducing their size and complexity. These developments have launched the wide spread use of AMS in modern research fields. Today, commercially available high-performance instruments are standard for more than 100 AMS facilities around the World. There are a number of primary important radionuclides in focus of AMS measurement procedures but radiocarbon is still of paramount importance. Consequently, I will summarize the latest developments in radiocarbon AMS.","author":[{"dropping-particle":"","family":"Synal","given":"Hans-Arno","non-dropping-particle":"","parse-names":false,"suffix":""}],"container-title":"International Journal of Mass Spectrometry","id":"ITEM-1","issued":{"date-parts":[["2013","9","1"]]},"page":"192-202","publisher":"Elsevier","title":"Developments in accelerator mass spectrometry","type":"article-journal","volume":"349-350"},"uris":["http://www.mendeley.com/documents/?uuid=b67d63f9-c82e-3df5-8403-90fc8677177a"]}],"mendeley":{"formattedCitation":"[65]","plainTextFormattedCitation":"[65]","previouslyFormattedCitation":"[65]"},"properties":{"noteIndex":0},"schema":"https://github.com/citation-style-language/schema/raw/master/csl-citation.json"}</w:instrText>
      </w:r>
      <w:r w:rsidR="00D03C4E">
        <w:rPr>
          <w:sz w:val="24"/>
          <w:szCs w:val="24"/>
        </w:rPr>
        <w:fldChar w:fldCharType="separate"/>
      </w:r>
      <w:r w:rsidR="000B0F18" w:rsidRPr="000B0F18">
        <w:rPr>
          <w:noProof/>
          <w:sz w:val="24"/>
          <w:szCs w:val="24"/>
        </w:rPr>
        <w:t>[65]</w:t>
      </w:r>
      <w:r w:rsidR="00D03C4E">
        <w:rPr>
          <w:sz w:val="24"/>
          <w:szCs w:val="24"/>
        </w:rPr>
        <w:fldChar w:fldCharType="end"/>
      </w:r>
      <w:r w:rsidR="00D03C4E">
        <w:rPr>
          <w:sz w:val="24"/>
          <w:szCs w:val="24"/>
        </w:rPr>
        <w:fldChar w:fldCharType="begin" w:fldLock="1"/>
      </w:r>
      <w:r w:rsidR="000B0F18">
        <w:rPr>
          <w:sz w:val="24"/>
          <w:szCs w:val="24"/>
        </w:rPr>
        <w:instrText>ADDIN CSL_CITATION {"citationItems":[{"id":"ITEM-1","itemData":{"DOI":"10.1016/j.quageo.2007.10.003","abstract":"Accelerator mass spectrometry (AMS) is presently the most sensitive technique for the measurement of actinides with half-lives greater than about 5000 years. Here, the principles and methodology of heavy-element AMS as applied to 239,240,242,244 Pu and 236 U are described, and the ways in which these have been implemented in various laboratories around the world are detailed. Actual or potential applications of the method in the areas of environmental science, biomedicine, and nuclear safeguards are reviewed.","author":[{"dropping-particle":"","family":"Fifield","given":"L K","non-dropping-particle":"","parse-names":false,"suffix":""}],"container-title":"Quaternary Geochronology","id":"ITEM-1","issued":{"date-parts":[["2008"]]},"page":"276-290","title":"Accelerator mass spectrometry of the actinides","type":"article-journal","volume":"3"},"uris":["http://www.mendeley.com/documents/?uuid=d0576b16-4a09-3c88-af55-2fa9bd5d80e8"]}],"mendeley":{"formattedCitation":"[26]","plainTextFormattedCitation":"[26]","previouslyFormattedCitation":"[26]"},"properties":{"noteIndex":0},"schema":"https://github.com/citation-style-language/schema/raw/master/csl-citation.json"}</w:instrText>
      </w:r>
      <w:r w:rsidR="00D03C4E">
        <w:rPr>
          <w:sz w:val="24"/>
          <w:szCs w:val="24"/>
        </w:rPr>
        <w:fldChar w:fldCharType="separate"/>
      </w:r>
      <w:r w:rsidR="007D1AB4" w:rsidRPr="007D1AB4">
        <w:rPr>
          <w:noProof/>
          <w:sz w:val="24"/>
          <w:szCs w:val="24"/>
        </w:rPr>
        <w:t>[26]</w:t>
      </w:r>
      <w:r w:rsidR="00D03C4E">
        <w:rPr>
          <w:sz w:val="24"/>
          <w:szCs w:val="24"/>
        </w:rPr>
        <w:fldChar w:fldCharType="end"/>
      </w:r>
      <w:r w:rsidRPr="002809FE">
        <w:rPr>
          <w:sz w:val="24"/>
          <w:szCs w:val="24"/>
        </w:rPr>
        <w:t>. Accelerator Mass Spectrometry (AMS</w:t>
      </w:r>
      <w:r>
        <w:rPr>
          <w:sz w:val="24"/>
          <w:szCs w:val="24"/>
        </w:rPr>
        <w:t>)</w:t>
      </w:r>
      <w:r w:rsidRPr="002809FE">
        <w:rPr>
          <w:sz w:val="24"/>
          <w:szCs w:val="24"/>
        </w:rPr>
        <w:t xml:space="preserve"> is described in the </w:t>
      </w:r>
      <w:r>
        <w:rPr>
          <w:sz w:val="24"/>
          <w:szCs w:val="24"/>
        </w:rPr>
        <w:t xml:space="preserve">Experimental </w:t>
      </w:r>
      <w:r w:rsidRPr="002809FE">
        <w:rPr>
          <w:sz w:val="24"/>
          <w:szCs w:val="24"/>
        </w:rPr>
        <w:t xml:space="preserve">Methods </w:t>
      </w:r>
      <w:r>
        <w:rPr>
          <w:sz w:val="24"/>
          <w:szCs w:val="24"/>
        </w:rPr>
        <w:t xml:space="preserve">in </w:t>
      </w:r>
      <w:r w:rsidRPr="002809FE">
        <w:rPr>
          <w:sz w:val="24"/>
          <w:szCs w:val="24"/>
        </w:rPr>
        <w:t>section 3.</w:t>
      </w:r>
      <w:r>
        <w:rPr>
          <w:sz w:val="24"/>
          <w:szCs w:val="24"/>
        </w:rPr>
        <w:t>8</w:t>
      </w:r>
      <w:r w:rsidRPr="002809FE">
        <w:rPr>
          <w:sz w:val="24"/>
          <w:szCs w:val="24"/>
        </w:rPr>
        <w:t>.</w:t>
      </w:r>
      <w:r w:rsidR="008966A7">
        <w:rPr>
          <w:sz w:val="24"/>
          <w:szCs w:val="24"/>
        </w:rPr>
        <w:t xml:space="preserve"> </w:t>
      </w:r>
      <w:r w:rsidRPr="002809FE">
        <w:rPr>
          <w:sz w:val="24"/>
          <w:szCs w:val="24"/>
        </w:rPr>
        <w:t xml:space="preserve">The AMS </w:t>
      </w:r>
      <w:r>
        <w:rPr>
          <w:sz w:val="24"/>
          <w:szCs w:val="24"/>
        </w:rPr>
        <w:t>measurements were c</w:t>
      </w:r>
      <w:r w:rsidRPr="002809FE">
        <w:rPr>
          <w:sz w:val="24"/>
          <w:szCs w:val="24"/>
        </w:rPr>
        <w:t>arried out at ETH Z</w:t>
      </w:r>
      <w:r w:rsidR="008966A7">
        <w:rPr>
          <w:sz w:val="24"/>
          <w:szCs w:val="24"/>
        </w:rPr>
        <w:t>ϋ</w:t>
      </w:r>
      <w:r w:rsidRPr="002809FE">
        <w:rPr>
          <w:sz w:val="24"/>
          <w:szCs w:val="24"/>
        </w:rPr>
        <w:t>rich</w:t>
      </w:r>
      <w:r>
        <w:rPr>
          <w:sz w:val="24"/>
          <w:szCs w:val="24"/>
        </w:rPr>
        <w:t>.</w:t>
      </w:r>
    </w:p>
    <w:p w14:paraId="05D765DC" w14:textId="6764C37E" w:rsidR="00F37CA9" w:rsidRPr="002809FE" w:rsidRDefault="00F37CA9" w:rsidP="00F37CA9">
      <w:pPr>
        <w:spacing w:line="480" w:lineRule="auto"/>
        <w:ind w:firstLine="567"/>
        <w:rPr>
          <w:sz w:val="24"/>
          <w:szCs w:val="24"/>
        </w:rPr>
      </w:pPr>
      <w:r>
        <w:rPr>
          <w:sz w:val="24"/>
          <w:szCs w:val="24"/>
        </w:rPr>
        <w:t xml:space="preserve">The results of the AMS measurements are presented in </w:t>
      </w:r>
      <w:r w:rsidR="00B02E9B">
        <w:rPr>
          <w:sz w:val="24"/>
          <w:szCs w:val="24"/>
        </w:rPr>
        <w:fldChar w:fldCharType="begin"/>
      </w:r>
      <w:r w:rsidR="00B02E9B">
        <w:rPr>
          <w:sz w:val="24"/>
          <w:szCs w:val="24"/>
        </w:rPr>
        <w:instrText xml:space="preserve"> REF _Ref31284355 \h </w:instrText>
      </w:r>
      <w:r w:rsidR="00B02E9B">
        <w:rPr>
          <w:sz w:val="24"/>
          <w:szCs w:val="24"/>
        </w:rPr>
      </w:r>
      <w:r w:rsidR="00B02E9B">
        <w:rPr>
          <w:sz w:val="24"/>
          <w:szCs w:val="24"/>
        </w:rPr>
        <w:fldChar w:fldCharType="separate"/>
      </w:r>
      <w:r w:rsidR="00161FDC" w:rsidRPr="00C45EC1">
        <w:rPr>
          <w:sz w:val="20"/>
        </w:rPr>
        <w:t xml:space="preserve">Figure </w:t>
      </w:r>
      <w:r w:rsidR="00161FDC">
        <w:rPr>
          <w:noProof/>
          <w:sz w:val="20"/>
        </w:rPr>
        <w:t>27</w:t>
      </w:r>
      <w:r w:rsidR="00B02E9B">
        <w:rPr>
          <w:sz w:val="24"/>
          <w:szCs w:val="24"/>
        </w:rPr>
        <w:fldChar w:fldCharType="end"/>
      </w:r>
      <w:r>
        <w:rPr>
          <w:sz w:val="24"/>
          <w:szCs w:val="24"/>
        </w:rPr>
        <w:t xml:space="preserve"> to </w:t>
      </w:r>
      <w:r w:rsidR="00B02E9B">
        <w:rPr>
          <w:sz w:val="24"/>
          <w:szCs w:val="24"/>
        </w:rPr>
        <w:fldChar w:fldCharType="begin"/>
      </w:r>
      <w:r w:rsidR="00B02E9B">
        <w:rPr>
          <w:sz w:val="24"/>
          <w:szCs w:val="24"/>
        </w:rPr>
        <w:instrText xml:space="preserve"> REF _Ref31284336 \h </w:instrText>
      </w:r>
      <w:r w:rsidR="00B02E9B">
        <w:rPr>
          <w:sz w:val="24"/>
          <w:szCs w:val="24"/>
        </w:rPr>
      </w:r>
      <w:r w:rsidR="00B02E9B">
        <w:rPr>
          <w:sz w:val="24"/>
          <w:szCs w:val="24"/>
        </w:rPr>
        <w:fldChar w:fldCharType="separate"/>
      </w:r>
      <w:r w:rsidR="00161FDC" w:rsidRPr="00C45EC1">
        <w:rPr>
          <w:sz w:val="20"/>
        </w:rPr>
        <w:t xml:space="preserve">Figure </w:t>
      </w:r>
      <w:r w:rsidR="00161FDC">
        <w:rPr>
          <w:noProof/>
          <w:sz w:val="20"/>
        </w:rPr>
        <w:t>29</w:t>
      </w:r>
      <w:r w:rsidR="00B02E9B">
        <w:rPr>
          <w:sz w:val="24"/>
          <w:szCs w:val="24"/>
        </w:rPr>
        <w:fldChar w:fldCharType="end"/>
      </w:r>
      <w:r>
        <w:rPr>
          <w:sz w:val="24"/>
          <w:szCs w:val="24"/>
        </w:rPr>
        <w:t xml:space="preserve"> as</w:t>
      </w:r>
      <w:r w:rsidRPr="002809FE">
        <w:rPr>
          <w:sz w:val="24"/>
          <w:szCs w:val="24"/>
        </w:rPr>
        <w:t xml:space="preserve"> mass concentrations </w:t>
      </w:r>
      <w:r>
        <w:rPr>
          <w:sz w:val="24"/>
          <w:szCs w:val="24"/>
        </w:rPr>
        <w:t xml:space="preserve">per gram of sample </w:t>
      </w:r>
      <w:r w:rsidRPr="002809FE">
        <w:rPr>
          <w:sz w:val="24"/>
          <w:szCs w:val="24"/>
        </w:rPr>
        <w:t xml:space="preserve">of </w:t>
      </w:r>
      <w:r w:rsidRPr="00C536B1">
        <w:rPr>
          <w:sz w:val="24"/>
          <w:szCs w:val="24"/>
          <w:vertAlign w:val="superscript"/>
        </w:rPr>
        <w:t>239</w:t>
      </w:r>
      <w:r w:rsidR="00C536B1">
        <w:rPr>
          <w:sz w:val="24"/>
          <w:szCs w:val="24"/>
        </w:rPr>
        <w:t>Pu</w:t>
      </w:r>
      <w:r w:rsidRPr="002809FE">
        <w:rPr>
          <w:sz w:val="24"/>
          <w:szCs w:val="24"/>
        </w:rPr>
        <w:t xml:space="preserve">, </w:t>
      </w:r>
      <w:r w:rsidR="00C536B1">
        <w:rPr>
          <w:sz w:val="24"/>
          <w:szCs w:val="24"/>
          <w:vertAlign w:val="superscript"/>
        </w:rPr>
        <w:t>240</w:t>
      </w:r>
      <w:r w:rsidR="00C536B1">
        <w:rPr>
          <w:sz w:val="24"/>
          <w:szCs w:val="24"/>
        </w:rPr>
        <w:t>Pu</w:t>
      </w:r>
      <w:r w:rsidRPr="002809FE">
        <w:rPr>
          <w:sz w:val="24"/>
          <w:szCs w:val="24"/>
        </w:rPr>
        <w:t xml:space="preserve">, </w:t>
      </w:r>
      <w:r w:rsidR="00C536B1">
        <w:rPr>
          <w:sz w:val="24"/>
          <w:szCs w:val="24"/>
          <w:vertAlign w:val="superscript"/>
        </w:rPr>
        <w:t>242</w:t>
      </w:r>
      <w:r w:rsidR="00C536B1">
        <w:rPr>
          <w:sz w:val="24"/>
          <w:szCs w:val="24"/>
        </w:rPr>
        <w:t>Pu</w:t>
      </w:r>
      <w:r w:rsidR="00C536B1" w:rsidRPr="002809FE">
        <w:rPr>
          <w:sz w:val="24"/>
          <w:szCs w:val="24"/>
        </w:rPr>
        <w:t xml:space="preserve"> </w:t>
      </w:r>
      <w:r w:rsidRPr="002809FE">
        <w:rPr>
          <w:sz w:val="24"/>
          <w:szCs w:val="24"/>
        </w:rPr>
        <w:t xml:space="preserve">and </w:t>
      </w:r>
      <w:r w:rsidR="00C536B1">
        <w:rPr>
          <w:sz w:val="24"/>
          <w:szCs w:val="24"/>
          <w:vertAlign w:val="superscript"/>
        </w:rPr>
        <w:t>236</w:t>
      </w:r>
      <w:r w:rsidR="00C536B1">
        <w:rPr>
          <w:sz w:val="24"/>
          <w:szCs w:val="24"/>
        </w:rPr>
        <w:t>U</w:t>
      </w:r>
      <w:r w:rsidRPr="002809FE">
        <w:rPr>
          <w:sz w:val="24"/>
          <w:szCs w:val="24"/>
        </w:rPr>
        <w:t>. As the ratio of plutonium</w:t>
      </w:r>
      <w:r>
        <w:rPr>
          <w:sz w:val="24"/>
          <w:szCs w:val="24"/>
        </w:rPr>
        <w:t>-</w:t>
      </w:r>
      <w:r w:rsidR="00C536B1">
        <w:rPr>
          <w:sz w:val="24"/>
          <w:szCs w:val="24"/>
          <w:vertAlign w:val="superscript"/>
        </w:rPr>
        <w:t>240</w:t>
      </w:r>
      <w:r w:rsidR="00C536B1">
        <w:rPr>
          <w:sz w:val="24"/>
          <w:szCs w:val="24"/>
        </w:rPr>
        <w:t>Pu</w:t>
      </w:r>
      <w:r w:rsidRPr="002809FE">
        <w:rPr>
          <w:sz w:val="24"/>
          <w:szCs w:val="24"/>
        </w:rPr>
        <w:t>/</w:t>
      </w:r>
      <w:r w:rsidR="00C536B1" w:rsidRPr="00C536B1">
        <w:rPr>
          <w:sz w:val="24"/>
          <w:szCs w:val="24"/>
          <w:vertAlign w:val="superscript"/>
        </w:rPr>
        <w:t>239</w:t>
      </w:r>
      <w:r w:rsidR="00C536B1">
        <w:rPr>
          <w:sz w:val="24"/>
          <w:szCs w:val="24"/>
        </w:rPr>
        <w:t>Pu</w:t>
      </w:r>
      <w:r w:rsidRPr="002809FE">
        <w:rPr>
          <w:sz w:val="24"/>
          <w:szCs w:val="24"/>
        </w:rPr>
        <w:t xml:space="preserve"> is also an established marker for plutonium contamination, it is presented and compared to the global average value</w:t>
      </w:r>
      <w:r>
        <w:rPr>
          <w:sz w:val="24"/>
          <w:szCs w:val="24"/>
        </w:rPr>
        <w:t xml:space="preserve"> in </w:t>
      </w:r>
      <w:r w:rsidR="00B02E9B">
        <w:rPr>
          <w:sz w:val="24"/>
          <w:szCs w:val="24"/>
        </w:rPr>
        <w:fldChar w:fldCharType="begin"/>
      </w:r>
      <w:r w:rsidR="00B02E9B">
        <w:rPr>
          <w:sz w:val="24"/>
          <w:szCs w:val="24"/>
        </w:rPr>
        <w:instrText xml:space="preserve"> REF _Ref31284366 \h </w:instrText>
      </w:r>
      <w:r w:rsidR="00B02E9B">
        <w:rPr>
          <w:sz w:val="24"/>
          <w:szCs w:val="24"/>
        </w:rPr>
      </w:r>
      <w:r w:rsidR="00B02E9B">
        <w:rPr>
          <w:sz w:val="24"/>
          <w:szCs w:val="24"/>
        </w:rPr>
        <w:fldChar w:fldCharType="separate"/>
      </w:r>
      <w:r w:rsidR="00161FDC" w:rsidRPr="006077E6">
        <w:rPr>
          <w:sz w:val="20"/>
        </w:rPr>
        <w:t xml:space="preserve">Figure </w:t>
      </w:r>
      <w:r w:rsidR="00161FDC">
        <w:rPr>
          <w:noProof/>
          <w:sz w:val="20"/>
        </w:rPr>
        <w:t>30</w:t>
      </w:r>
      <w:r w:rsidR="00B02E9B">
        <w:rPr>
          <w:sz w:val="24"/>
          <w:szCs w:val="24"/>
        </w:rPr>
        <w:fldChar w:fldCharType="end"/>
      </w:r>
      <w:r w:rsidRPr="002809FE">
        <w:rPr>
          <w:sz w:val="24"/>
          <w:szCs w:val="24"/>
        </w:rPr>
        <w:t xml:space="preserve">, including the average value calculated for </w:t>
      </w:r>
      <w:r>
        <w:rPr>
          <w:sz w:val="24"/>
          <w:szCs w:val="24"/>
        </w:rPr>
        <w:t>the samples of the project.</w:t>
      </w:r>
    </w:p>
    <w:p w14:paraId="336B67CA" w14:textId="3286B5AA" w:rsidR="00F37CA9" w:rsidRPr="002809FE" w:rsidRDefault="00B02E9B" w:rsidP="00F37CA9">
      <w:pPr>
        <w:spacing w:line="480" w:lineRule="auto"/>
        <w:ind w:firstLine="567"/>
        <w:rPr>
          <w:sz w:val="24"/>
          <w:szCs w:val="24"/>
        </w:rPr>
      </w:pPr>
      <w:r>
        <w:rPr>
          <w:sz w:val="24"/>
          <w:szCs w:val="24"/>
        </w:rPr>
        <w:fldChar w:fldCharType="begin"/>
      </w:r>
      <w:r>
        <w:rPr>
          <w:sz w:val="24"/>
          <w:szCs w:val="24"/>
        </w:rPr>
        <w:instrText xml:space="preserve"> REF _Ref31284355 \h </w:instrText>
      </w:r>
      <w:r>
        <w:rPr>
          <w:sz w:val="24"/>
          <w:szCs w:val="24"/>
        </w:rPr>
      </w:r>
      <w:r>
        <w:rPr>
          <w:sz w:val="24"/>
          <w:szCs w:val="24"/>
        </w:rPr>
        <w:fldChar w:fldCharType="separate"/>
      </w:r>
      <w:r w:rsidR="00161FDC" w:rsidRPr="00C45EC1">
        <w:rPr>
          <w:sz w:val="20"/>
        </w:rPr>
        <w:t xml:space="preserve">Figure </w:t>
      </w:r>
      <w:r w:rsidR="00161FDC">
        <w:rPr>
          <w:noProof/>
          <w:sz w:val="20"/>
        </w:rPr>
        <w:t>27</w:t>
      </w:r>
      <w:r>
        <w:rPr>
          <w:sz w:val="24"/>
          <w:szCs w:val="24"/>
        </w:rPr>
        <w:fldChar w:fldCharType="end"/>
      </w:r>
      <w:r>
        <w:rPr>
          <w:sz w:val="24"/>
          <w:szCs w:val="24"/>
        </w:rPr>
        <w:t xml:space="preserve"> </w:t>
      </w:r>
      <w:r w:rsidR="00F37CA9" w:rsidRPr="002809FE">
        <w:rPr>
          <w:sz w:val="24"/>
          <w:szCs w:val="24"/>
        </w:rPr>
        <w:t xml:space="preserve">displays a general consistency of </w:t>
      </w:r>
      <w:r w:rsidR="00C536B1" w:rsidRPr="00C536B1">
        <w:rPr>
          <w:sz w:val="24"/>
          <w:szCs w:val="24"/>
          <w:vertAlign w:val="superscript"/>
        </w:rPr>
        <w:t>239</w:t>
      </w:r>
      <w:r w:rsidR="00C536B1">
        <w:rPr>
          <w:sz w:val="24"/>
          <w:szCs w:val="24"/>
        </w:rPr>
        <w:t>Pu</w:t>
      </w:r>
      <w:r w:rsidR="00C536B1" w:rsidRPr="002809FE">
        <w:rPr>
          <w:sz w:val="24"/>
          <w:szCs w:val="24"/>
        </w:rPr>
        <w:t xml:space="preserve"> </w:t>
      </w:r>
      <w:r w:rsidR="00F37CA9" w:rsidRPr="002809FE">
        <w:rPr>
          <w:sz w:val="24"/>
          <w:szCs w:val="24"/>
        </w:rPr>
        <w:t>values</w:t>
      </w:r>
      <w:r w:rsidR="008966A7">
        <w:rPr>
          <w:sz w:val="24"/>
          <w:szCs w:val="24"/>
        </w:rPr>
        <w:t xml:space="preserve"> across the samples</w:t>
      </w:r>
      <w:r w:rsidR="00F37CA9">
        <w:rPr>
          <w:sz w:val="24"/>
          <w:szCs w:val="24"/>
        </w:rPr>
        <w:t>,</w:t>
      </w:r>
      <w:r w:rsidR="00F37CA9" w:rsidRPr="002809FE">
        <w:rPr>
          <w:sz w:val="24"/>
          <w:szCs w:val="24"/>
        </w:rPr>
        <w:t xml:space="preserve"> with the clearest differences</w:t>
      </w:r>
      <w:r w:rsidR="008966A7">
        <w:rPr>
          <w:sz w:val="24"/>
          <w:szCs w:val="24"/>
        </w:rPr>
        <w:t xml:space="preserve"> from the average</w:t>
      </w:r>
      <w:r w:rsidR="00F37CA9" w:rsidRPr="002809FE">
        <w:rPr>
          <w:sz w:val="24"/>
          <w:szCs w:val="24"/>
        </w:rPr>
        <w:t xml:space="preserve"> being significant in the samples DSRL3, DSRL8</w:t>
      </w:r>
      <w:r w:rsidR="00F37CA9">
        <w:rPr>
          <w:sz w:val="24"/>
          <w:szCs w:val="24"/>
        </w:rPr>
        <w:t>,</w:t>
      </w:r>
      <w:r w:rsidR="00F37CA9" w:rsidRPr="002809FE">
        <w:rPr>
          <w:sz w:val="24"/>
          <w:szCs w:val="24"/>
        </w:rPr>
        <w:t xml:space="preserve"> and Malham and Biggin.</w:t>
      </w:r>
      <w:r w:rsidR="003D61A6">
        <w:rPr>
          <w:sz w:val="24"/>
          <w:szCs w:val="24"/>
        </w:rPr>
        <w:t xml:space="preserve"> </w:t>
      </w:r>
      <w:r w:rsidR="00F37CA9" w:rsidRPr="002809FE">
        <w:rPr>
          <w:sz w:val="24"/>
          <w:szCs w:val="24"/>
        </w:rPr>
        <w:t xml:space="preserve">DSRL3 </w:t>
      </w:r>
      <w:r w:rsidR="00F37CA9">
        <w:rPr>
          <w:sz w:val="24"/>
          <w:szCs w:val="24"/>
        </w:rPr>
        <w:t>demonstrate</w:t>
      </w:r>
      <w:r w:rsidR="00F37CA9" w:rsidRPr="002809FE">
        <w:rPr>
          <w:sz w:val="24"/>
          <w:szCs w:val="24"/>
        </w:rPr>
        <w:t xml:space="preserve">s roughly double the average amount of </w:t>
      </w:r>
      <w:r w:rsidR="00C536B1" w:rsidRPr="00C536B1">
        <w:rPr>
          <w:sz w:val="24"/>
          <w:szCs w:val="24"/>
          <w:vertAlign w:val="superscript"/>
        </w:rPr>
        <w:t>239</w:t>
      </w:r>
      <w:r w:rsidR="00C536B1">
        <w:rPr>
          <w:sz w:val="24"/>
          <w:szCs w:val="24"/>
        </w:rPr>
        <w:t>Pu</w:t>
      </w:r>
      <w:r w:rsidR="00C536B1" w:rsidRPr="002809FE">
        <w:rPr>
          <w:sz w:val="24"/>
          <w:szCs w:val="24"/>
        </w:rPr>
        <w:t xml:space="preserve"> </w:t>
      </w:r>
      <w:r w:rsidR="00F37CA9" w:rsidRPr="002809FE">
        <w:rPr>
          <w:sz w:val="24"/>
          <w:szCs w:val="24"/>
        </w:rPr>
        <w:t>within every sample</w:t>
      </w:r>
      <w:r w:rsidR="00F37CA9">
        <w:rPr>
          <w:sz w:val="24"/>
          <w:szCs w:val="24"/>
        </w:rPr>
        <w:t xml:space="preserve"> at 100</w:t>
      </w:r>
      <w:r w:rsidR="003D61A6">
        <w:rPr>
          <w:sz w:val="24"/>
          <w:szCs w:val="24"/>
        </w:rPr>
        <w:t>1±30</w:t>
      </w:r>
      <w:r w:rsidR="00F37CA9">
        <w:rPr>
          <w:sz w:val="24"/>
          <w:szCs w:val="24"/>
        </w:rPr>
        <w:t xml:space="preserve"> fg/g</w:t>
      </w:r>
      <w:r w:rsidR="00F37CA9" w:rsidRPr="002809FE">
        <w:rPr>
          <w:sz w:val="24"/>
          <w:szCs w:val="24"/>
        </w:rPr>
        <w:t>, while DSRL8 shows roughly half</w:t>
      </w:r>
      <w:r w:rsidR="00F37CA9">
        <w:rPr>
          <w:sz w:val="24"/>
          <w:szCs w:val="24"/>
        </w:rPr>
        <w:t xml:space="preserve"> at 289</w:t>
      </w:r>
      <w:r w:rsidR="003D61A6">
        <w:rPr>
          <w:sz w:val="24"/>
          <w:szCs w:val="24"/>
        </w:rPr>
        <w:t xml:space="preserve">±9 </w:t>
      </w:r>
      <w:r w:rsidR="008966A7">
        <w:rPr>
          <w:sz w:val="24"/>
          <w:szCs w:val="24"/>
        </w:rPr>
        <w:t>fg/g</w:t>
      </w:r>
      <w:r w:rsidR="00F37CA9" w:rsidRPr="002809FE">
        <w:rPr>
          <w:sz w:val="24"/>
          <w:szCs w:val="24"/>
        </w:rPr>
        <w:t xml:space="preserve">. Interestingly, Malham and Biggin demonstrate much lower amounts of </w:t>
      </w:r>
      <w:r w:rsidR="00C536B1" w:rsidRPr="00C536B1">
        <w:rPr>
          <w:sz w:val="24"/>
          <w:szCs w:val="24"/>
          <w:vertAlign w:val="superscript"/>
        </w:rPr>
        <w:t>239</w:t>
      </w:r>
      <w:r w:rsidR="00C536B1">
        <w:rPr>
          <w:sz w:val="24"/>
          <w:szCs w:val="24"/>
        </w:rPr>
        <w:t>Pu</w:t>
      </w:r>
      <w:r w:rsidR="00C536B1" w:rsidRPr="002809FE">
        <w:rPr>
          <w:sz w:val="24"/>
          <w:szCs w:val="24"/>
        </w:rPr>
        <w:t xml:space="preserve"> </w:t>
      </w:r>
      <w:r w:rsidR="00F37CA9" w:rsidRPr="002809FE">
        <w:rPr>
          <w:sz w:val="24"/>
          <w:szCs w:val="24"/>
        </w:rPr>
        <w:t>than the rest of the samples</w:t>
      </w:r>
      <w:r w:rsidR="00F37CA9">
        <w:rPr>
          <w:sz w:val="24"/>
          <w:szCs w:val="24"/>
        </w:rPr>
        <w:t xml:space="preserve"> at 34</w:t>
      </w:r>
      <w:r w:rsidR="003D61A6">
        <w:rPr>
          <w:sz w:val="24"/>
          <w:szCs w:val="24"/>
        </w:rPr>
        <w:t>1±10</w:t>
      </w:r>
      <w:r w:rsidR="00F37CA9">
        <w:rPr>
          <w:sz w:val="24"/>
          <w:szCs w:val="24"/>
        </w:rPr>
        <w:t xml:space="preserve"> </w:t>
      </w:r>
      <w:r w:rsidR="008966A7">
        <w:rPr>
          <w:sz w:val="24"/>
          <w:szCs w:val="24"/>
        </w:rPr>
        <w:t xml:space="preserve">fg/g </w:t>
      </w:r>
      <w:r w:rsidR="00F37CA9">
        <w:rPr>
          <w:sz w:val="24"/>
          <w:szCs w:val="24"/>
        </w:rPr>
        <w:t>and 42</w:t>
      </w:r>
      <w:r w:rsidR="003D61A6">
        <w:rPr>
          <w:sz w:val="24"/>
          <w:szCs w:val="24"/>
        </w:rPr>
        <w:t xml:space="preserve">8±13 </w:t>
      </w:r>
      <w:r w:rsidR="008966A7">
        <w:rPr>
          <w:sz w:val="24"/>
          <w:szCs w:val="24"/>
        </w:rPr>
        <w:t xml:space="preserve">fg/g </w:t>
      </w:r>
      <w:r w:rsidR="00F37CA9">
        <w:rPr>
          <w:sz w:val="24"/>
          <w:szCs w:val="24"/>
        </w:rPr>
        <w:t>respectively</w:t>
      </w:r>
      <w:r w:rsidR="00F37CA9" w:rsidRPr="002809FE">
        <w:rPr>
          <w:sz w:val="24"/>
          <w:szCs w:val="24"/>
        </w:rPr>
        <w:t>, but not</w:t>
      </w:r>
      <w:r w:rsidR="00F37CA9">
        <w:rPr>
          <w:sz w:val="24"/>
          <w:szCs w:val="24"/>
        </w:rPr>
        <w:t xml:space="preserve"> </w:t>
      </w:r>
      <w:r w:rsidR="00F37CA9" w:rsidRPr="002809FE">
        <w:rPr>
          <w:sz w:val="24"/>
          <w:szCs w:val="24"/>
        </w:rPr>
        <w:t xml:space="preserve">to the same extent as DSRL8. There is a </w:t>
      </w:r>
      <w:r w:rsidR="00BA3A0D">
        <w:rPr>
          <w:sz w:val="24"/>
          <w:szCs w:val="24"/>
        </w:rPr>
        <w:t>large</w:t>
      </w:r>
      <w:r w:rsidR="00F37CA9" w:rsidRPr="002809FE">
        <w:rPr>
          <w:sz w:val="24"/>
          <w:szCs w:val="24"/>
        </w:rPr>
        <w:t xml:space="preserve"> range </w:t>
      </w:r>
      <w:r w:rsidR="00BA3A0D">
        <w:rPr>
          <w:sz w:val="24"/>
          <w:szCs w:val="24"/>
        </w:rPr>
        <w:t>in the</w:t>
      </w:r>
      <w:r w:rsidR="00F37CA9" w:rsidRPr="002809FE">
        <w:rPr>
          <w:sz w:val="24"/>
          <w:szCs w:val="24"/>
        </w:rPr>
        <w:t xml:space="preserve"> </w:t>
      </w:r>
      <w:r w:rsidR="00696116">
        <w:rPr>
          <w:sz w:val="24"/>
          <w:szCs w:val="24"/>
          <w:vertAlign w:val="superscript"/>
        </w:rPr>
        <w:t>239</w:t>
      </w:r>
      <w:r w:rsidR="00696116">
        <w:rPr>
          <w:sz w:val="24"/>
          <w:szCs w:val="24"/>
        </w:rPr>
        <w:t>Pu mass</w:t>
      </w:r>
      <w:r w:rsidR="00F37CA9" w:rsidRPr="002809FE">
        <w:rPr>
          <w:sz w:val="24"/>
          <w:szCs w:val="24"/>
        </w:rPr>
        <w:t xml:space="preserve"> across all samples, with the highest variation being within the DSRL samples.</w:t>
      </w:r>
      <w:r w:rsidR="00F37CA9">
        <w:rPr>
          <w:sz w:val="24"/>
          <w:szCs w:val="24"/>
        </w:rPr>
        <w:t xml:space="preserve"> The average </w:t>
      </w:r>
      <w:r w:rsidR="00BA3A0D">
        <w:rPr>
          <w:sz w:val="24"/>
          <w:szCs w:val="24"/>
          <w:vertAlign w:val="superscript"/>
        </w:rPr>
        <w:t>239</w:t>
      </w:r>
      <w:r w:rsidR="00BA3A0D">
        <w:rPr>
          <w:sz w:val="24"/>
          <w:szCs w:val="24"/>
        </w:rPr>
        <w:t>Pu</w:t>
      </w:r>
      <w:r w:rsidR="00F37CA9">
        <w:rPr>
          <w:sz w:val="24"/>
          <w:szCs w:val="24"/>
        </w:rPr>
        <w:t xml:space="preserve"> mass concentration across all samples is 54</w:t>
      </w:r>
      <w:r w:rsidR="008966A7">
        <w:rPr>
          <w:sz w:val="24"/>
          <w:szCs w:val="24"/>
        </w:rPr>
        <w:t>4</w:t>
      </w:r>
      <w:r w:rsidR="00F37CA9">
        <w:rPr>
          <w:sz w:val="24"/>
          <w:szCs w:val="24"/>
        </w:rPr>
        <w:t>±</w:t>
      </w:r>
      <w:r w:rsidR="008966A7">
        <w:rPr>
          <w:sz w:val="24"/>
          <w:szCs w:val="24"/>
        </w:rPr>
        <w:t>60 fg/g</w:t>
      </w:r>
      <w:r w:rsidR="00F37CA9">
        <w:rPr>
          <w:sz w:val="24"/>
          <w:szCs w:val="24"/>
        </w:rPr>
        <w:t>.</w:t>
      </w:r>
    </w:p>
    <w:p w14:paraId="3A797312" w14:textId="0441359B" w:rsidR="00F37CA9" w:rsidRPr="002809FE" w:rsidRDefault="00F37CA9" w:rsidP="00F37CA9">
      <w:pPr>
        <w:spacing w:line="480" w:lineRule="auto"/>
        <w:ind w:firstLine="567"/>
        <w:rPr>
          <w:sz w:val="24"/>
          <w:szCs w:val="24"/>
        </w:rPr>
      </w:pPr>
      <w:r w:rsidRPr="002809FE">
        <w:rPr>
          <w:sz w:val="24"/>
          <w:szCs w:val="24"/>
        </w:rPr>
        <w:lastRenderedPageBreak/>
        <w:t>The</w:t>
      </w:r>
      <w:r>
        <w:rPr>
          <w:sz w:val="24"/>
          <w:szCs w:val="24"/>
        </w:rPr>
        <w:t xml:space="preserve"> </w:t>
      </w:r>
      <w:r w:rsidR="00BA3A0D">
        <w:rPr>
          <w:sz w:val="24"/>
          <w:szCs w:val="24"/>
          <w:vertAlign w:val="superscript"/>
        </w:rPr>
        <w:t>242</w:t>
      </w:r>
      <w:r w:rsidR="00BA3A0D">
        <w:rPr>
          <w:sz w:val="24"/>
          <w:szCs w:val="24"/>
        </w:rPr>
        <w:t>Pu</w:t>
      </w:r>
      <w:r w:rsidRPr="002809FE">
        <w:rPr>
          <w:sz w:val="24"/>
          <w:szCs w:val="24"/>
        </w:rPr>
        <w:t xml:space="preserve"> values shown in </w:t>
      </w:r>
      <w:r w:rsidR="00B02E9B">
        <w:rPr>
          <w:sz w:val="24"/>
          <w:szCs w:val="24"/>
        </w:rPr>
        <w:fldChar w:fldCharType="begin"/>
      </w:r>
      <w:r w:rsidR="00B02E9B">
        <w:rPr>
          <w:sz w:val="24"/>
          <w:szCs w:val="24"/>
        </w:rPr>
        <w:instrText xml:space="preserve"> REF _Ref31284399 \h </w:instrText>
      </w:r>
      <w:r w:rsidR="00B02E9B">
        <w:rPr>
          <w:sz w:val="24"/>
          <w:szCs w:val="24"/>
        </w:rPr>
      </w:r>
      <w:r w:rsidR="00B02E9B">
        <w:rPr>
          <w:sz w:val="24"/>
          <w:szCs w:val="24"/>
        </w:rPr>
        <w:fldChar w:fldCharType="separate"/>
      </w:r>
      <w:r w:rsidR="00161FDC" w:rsidRPr="00C45EC1">
        <w:rPr>
          <w:sz w:val="20"/>
          <w:szCs w:val="20"/>
        </w:rPr>
        <w:t xml:space="preserve">Figure </w:t>
      </w:r>
      <w:r w:rsidR="00161FDC">
        <w:rPr>
          <w:noProof/>
          <w:sz w:val="20"/>
          <w:szCs w:val="20"/>
        </w:rPr>
        <w:t>28</w:t>
      </w:r>
      <w:r w:rsidR="00B02E9B">
        <w:rPr>
          <w:sz w:val="24"/>
          <w:szCs w:val="24"/>
        </w:rPr>
        <w:fldChar w:fldCharType="end"/>
      </w:r>
      <w:r w:rsidR="00B02E9B">
        <w:rPr>
          <w:sz w:val="24"/>
          <w:szCs w:val="24"/>
        </w:rPr>
        <w:t xml:space="preserve"> </w:t>
      </w:r>
      <w:r w:rsidRPr="002809FE">
        <w:rPr>
          <w:sz w:val="24"/>
          <w:szCs w:val="24"/>
        </w:rPr>
        <w:t xml:space="preserve">show a much </w:t>
      </w:r>
      <w:r>
        <w:rPr>
          <w:sz w:val="24"/>
          <w:szCs w:val="24"/>
        </w:rPr>
        <w:t>lower</w:t>
      </w:r>
      <w:r w:rsidRPr="002809FE">
        <w:rPr>
          <w:sz w:val="24"/>
          <w:szCs w:val="24"/>
        </w:rPr>
        <w:t xml:space="preserve"> range</w:t>
      </w:r>
      <w:r w:rsidR="00BA3A0D">
        <w:rPr>
          <w:sz w:val="24"/>
          <w:szCs w:val="24"/>
        </w:rPr>
        <w:t xml:space="preserve"> of values</w:t>
      </w:r>
      <w:r w:rsidRPr="002809FE">
        <w:rPr>
          <w:sz w:val="24"/>
          <w:szCs w:val="24"/>
        </w:rPr>
        <w:t xml:space="preserve">, </w:t>
      </w:r>
      <w:r w:rsidR="008966A7">
        <w:rPr>
          <w:sz w:val="24"/>
          <w:szCs w:val="24"/>
        </w:rPr>
        <w:t xml:space="preserve">but </w:t>
      </w:r>
      <w:r w:rsidRPr="002809FE">
        <w:rPr>
          <w:sz w:val="24"/>
          <w:szCs w:val="24"/>
        </w:rPr>
        <w:t xml:space="preserve">with the same samples showing maximum and minimum measurements as in </w:t>
      </w:r>
      <w:r w:rsidR="00361545">
        <w:rPr>
          <w:sz w:val="24"/>
          <w:szCs w:val="24"/>
        </w:rPr>
        <w:fldChar w:fldCharType="begin"/>
      </w:r>
      <w:r w:rsidR="00361545">
        <w:rPr>
          <w:sz w:val="24"/>
          <w:szCs w:val="24"/>
        </w:rPr>
        <w:instrText xml:space="preserve"> REF _Ref31284355 \h </w:instrText>
      </w:r>
      <w:r w:rsidR="00361545">
        <w:rPr>
          <w:sz w:val="24"/>
          <w:szCs w:val="24"/>
        </w:rPr>
      </w:r>
      <w:r w:rsidR="00361545">
        <w:rPr>
          <w:sz w:val="24"/>
          <w:szCs w:val="24"/>
        </w:rPr>
        <w:fldChar w:fldCharType="separate"/>
      </w:r>
      <w:r w:rsidR="00161FDC" w:rsidRPr="00C45EC1">
        <w:rPr>
          <w:sz w:val="20"/>
        </w:rPr>
        <w:t xml:space="preserve">Figure </w:t>
      </w:r>
      <w:r w:rsidR="00161FDC">
        <w:rPr>
          <w:noProof/>
          <w:sz w:val="20"/>
        </w:rPr>
        <w:t>27</w:t>
      </w:r>
      <w:r w:rsidR="00361545">
        <w:rPr>
          <w:sz w:val="24"/>
          <w:szCs w:val="24"/>
        </w:rPr>
        <w:fldChar w:fldCharType="end"/>
      </w:r>
      <w:r w:rsidRPr="002809FE">
        <w:rPr>
          <w:sz w:val="24"/>
          <w:szCs w:val="24"/>
        </w:rPr>
        <w:t>, t</w:t>
      </w:r>
      <w:r>
        <w:rPr>
          <w:sz w:val="24"/>
          <w:szCs w:val="24"/>
        </w:rPr>
        <w:t>o</w:t>
      </w:r>
      <w:r w:rsidRPr="002809FE">
        <w:rPr>
          <w:sz w:val="24"/>
          <w:szCs w:val="24"/>
        </w:rPr>
        <w:t xml:space="preserve"> a high degree of significance</w:t>
      </w:r>
      <w:r>
        <w:rPr>
          <w:sz w:val="24"/>
          <w:szCs w:val="24"/>
        </w:rPr>
        <w:t>, with DSRL3 at 4.</w:t>
      </w:r>
      <w:r w:rsidR="0021263B">
        <w:rPr>
          <w:sz w:val="24"/>
          <w:szCs w:val="24"/>
        </w:rPr>
        <w:t>1</w:t>
      </w:r>
      <w:r w:rsidR="003D61A6">
        <w:rPr>
          <w:sz w:val="24"/>
          <w:szCs w:val="24"/>
        </w:rPr>
        <w:t>±</w:t>
      </w:r>
      <w:r w:rsidR="0021263B">
        <w:rPr>
          <w:sz w:val="24"/>
          <w:szCs w:val="24"/>
        </w:rPr>
        <w:t>0.2</w:t>
      </w:r>
      <w:r>
        <w:rPr>
          <w:sz w:val="24"/>
          <w:szCs w:val="24"/>
        </w:rPr>
        <w:t xml:space="preserve"> fg/g and DSRL8 at 1.1</w:t>
      </w:r>
      <w:r w:rsidR="003D61A6">
        <w:rPr>
          <w:sz w:val="24"/>
          <w:szCs w:val="24"/>
        </w:rPr>
        <w:t>±</w:t>
      </w:r>
      <w:r w:rsidR="0021263B">
        <w:rPr>
          <w:sz w:val="24"/>
          <w:szCs w:val="24"/>
        </w:rPr>
        <w:t>0.1</w:t>
      </w:r>
      <w:r>
        <w:rPr>
          <w:sz w:val="24"/>
          <w:szCs w:val="24"/>
        </w:rPr>
        <w:t xml:space="preserve"> fg/g.</w:t>
      </w:r>
    </w:p>
    <w:p w14:paraId="60404657" w14:textId="338CEA19" w:rsidR="00F37CA9" w:rsidRDefault="00F37CA9" w:rsidP="00F37CA9">
      <w:pPr>
        <w:spacing w:line="480" w:lineRule="auto"/>
        <w:ind w:firstLine="567"/>
        <w:rPr>
          <w:sz w:val="24"/>
          <w:szCs w:val="24"/>
        </w:rPr>
      </w:pPr>
      <w:r>
        <w:rPr>
          <w:sz w:val="24"/>
          <w:szCs w:val="24"/>
        </w:rPr>
        <w:t xml:space="preserve">The same general trend continues in </w:t>
      </w:r>
      <w:r w:rsidR="00361545">
        <w:rPr>
          <w:sz w:val="24"/>
          <w:szCs w:val="24"/>
        </w:rPr>
        <w:fldChar w:fldCharType="begin"/>
      </w:r>
      <w:r w:rsidR="00361545">
        <w:rPr>
          <w:sz w:val="24"/>
          <w:szCs w:val="24"/>
        </w:rPr>
        <w:instrText xml:space="preserve"> REF _Ref31284336 \h </w:instrText>
      </w:r>
      <w:r w:rsidR="00361545">
        <w:rPr>
          <w:sz w:val="24"/>
          <w:szCs w:val="24"/>
        </w:rPr>
      </w:r>
      <w:r w:rsidR="00361545">
        <w:rPr>
          <w:sz w:val="24"/>
          <w:szCs w:val="24"/>
        </w:rPr>
        <w:fldChar w:fldCharType="separate"/>
      </w:r>
      <w:r w:rsidR="00161FDC" w:rsidRPr="00C45EC1">
        <w:rPr>
          <w:sz w:val="20"/>
        </w:rPr>
        <w:t xml:space="preserve">Figure </w:t>
      </w:r>
      <w:r w:rsidR="00161FDC">
        <w:rPr>
          <w:noProof/>
          <w:sz w:val="20"/>
        </w:rPr>
        <w:t>29</w:t>
      </w:r>
      <w:r w:rsidR="00361545">
        <w:rPr>
          <w:sz w:val="24"/>
          <w:szCs w:val="24"/>
        </w:rPr>
        <w:fldChar w:fldCharType="end"/>
      </w:r>
      <w:r>
        <w:rPr>
          <w:sz w:val="24"/>
          <w:szCs w:val="24"/>
        </w:rPr>
        <w:t xml:space="preserve"> </w:t>
      </w:r>
      <w:r w:rsidR="008966A7">
        <w:rPr>
          <w:sz w:val="24"/>
          <w:szCs w:val="24"/>
        </w:rPr>
        <w:t>for</w:t>
      </w:r>
      <w:r>
        <w:rPr>
          <w:sz w:val="24"/>
          <w:szCs w:val="24"/>
        </w:rPr>
        <w:t xml:space="preserve"> the </w:t>
      </w:r>
      <w:r w:rsidR="00C536B1">
        <w:rPr>
          <w:sz w:val="24"/>
          <w:szCs w:val="24"/>
          <w:vertAlign w:val="superscript"/>
        </w:rPr>
        <w:t>240</w:t>
      </w:r>
      <w:r w:rsidR="00C536B1">
        <w:rPr>
          <w:sz w:val="24"/>
          <w:szCs w:val="24"/>
        </w:rPr>
        <w:t xml:space="preserve">Pu </w:t>
      </w:r>
      <w:r>
        <w:rPr>
          <w:sz w:val="24"/>
          <w:szCs w:val="24"/>
        </w:rPr>
        <w:t xml:space="preserve">concentrations, with the main point of note being the difference in Malham’s ranking in the figure. Malham contains </w:t>
      </w:r>
      <w:r w:rsidR="00C536B1">
        <w:rPr>
          <w:sz w:val="24"/>
          <w:szCs w:val="24"/>
          <w:vertAlign w:val="superscript"/>
        </w:rPr>
        <w:t>240</w:t>
      </w:r>
      <w:r w:rsidR="00C536B1">
        <w:rPr>
          <w:sz w:val="24"/>
          <w:szCs w:val="24"/>
        </w:rPr>
        <w:t xml:space="preserve">Pu </w:t>
      </w:r>
      <w:r>
        <w:rPr>
          <w:sz w:val="24"/>
          <w:szCs w:val="24"/>
        </w:rPr>
        <w:t xml:space="preserve">comparable to the average of all samples presented, while its </w:t>
      </w:r>
      <w:r w:rsidR="00C536B1">
        <w:rPr>
          <w:sz w:val="24"/>
          <w:szCs w:val="24"/>
          <w:vertAlign w:val="superscript"/>
        </w:rPr>
        <w:t>239</w:t>
      </w:r>
      <w:r w:rsidR="00C536B1">
        <w:rPr>
          <w:sz w:val="24"/>
          <w:szCs w:val="24"/>
        </w:rPr>
        <w:t xml:space="preserve">Pu </w:t>
      </w:r>
      <w:r>
        <w:rPr>
          <w:sz w:val="24"/>
          <w:szCs w:val="24"/>
        </w:rPr>
        <w:t xml:space="preserve">content </w:t>
      </w:r>
      <w:r w:rsidR="008966A7">
        <w:rPr>
          <w:sz w:val="24"/>
          <w:szCs w:val="24"/>
        </w:rPr>
        <w:t>i</w:t>
      </w:r>
      <w:r>
        <w:rPr>
          <w:sz w:val="24"/>
          <w:szCs w:val="24"/>
        </w:rPr>
        <w:t>s one of the lowest</w:t>
      </w:r>
      <w:r w:rsidR="003843CC">
        <w:rPr>
          <w:sz w:val="24"/>
          <w:szCs w:val="24"/>
        </w:rPr>
        <w:t xml:space="preserve">, though still consistent with the </w:t>
      </w:r>
      <w:r w:rsidR="00367058">
        <w:rPr>
          <w:sz w:val="24"/>
          <w:szCs w:val="24"/>
        </w:rPr>
        <w:t xml:space="preserve">overall sample set </w:t>
      </w:r>
      <w:r w:rsidR="003843CC">
        <w:rPr>
          <w:sz w:val="24"/>
          <w:szCs w:val="24"/>
        </w:rPr>
        <w:t xml:space="preserve">average </w:t>
      </w:r>
      <w:r w:rsidR="00367058">
        <w:rPr>
          <w:sz w:val="24"/>
          <w:szCs w:val="24"/>
        </w:rPr>
        <w:t>at 3-sigma.</w:t>
      </w:r>
    </w:p>
    <w:p w14:paraId="5850161D" w14:textId="20F11454" w:rsidR="00B02E9B" w:rsidRDefault="00B02E9B" w:rsidP="00B02E9B">
      <w:pPr>
        <w:keepNext/>
        <w:spacing w:line="480" w:lineRule="auto"/>
        <w:ind w:firstLine="567"/>
      </w:pPr>
      <w:r>
        <w:rPr>
          <w:sz w:val="24"/>
          <w:szCs w:val="24"/>
        </w:rPr>
        <w:fldChar w:fldCharType="begin"/>
      </w:r>
      <w:r>
        <w:rPr>
          <w:sz w:val="24"/>
          <w:szCs w:val="24"/>
        </w:rPr>
        <w:instrText xml:space="preserve"> REF _Ref31284366 \h </w:instrText>
      </w:r>
      <w:r>
        <w:rPr>
          <w:sz w:val="24"/>
          <w:szCs w:val="24"/>
        </w:rPr>
      </w:r>
      <w:r>
        <w:rPr>
          <w:sz w:val="24"/>
          <w:szCs w:val="24"/>
        </w:rPr>
        <w:fldChar w:fldCharType="separate"/>
      </w:r>
      <w:r w:rsidR="00161FDC" w:rsidRPr="006077E6">
        <w:rPr>
          <w:sz w:val="20"/>
        </w:rPr>
        <w:t xml:space="preserve">Figure </w:t>
      </w:r>
      <w:r w:rsidR="00161FDC">
        <w:rPr>
          <w:noProof/>
          <w:sz w:val="20"/>
        </w:rPr>
        <w:t>30</w:t>
      </w:r>
      <w:r>
        <w:rPr>
          <w:sz w:val="24"/>
          <w:szCs w:val="24"/>
        </w:rPr>
        <w:fldChar w:fldCharType="end"/>
      </w:r>
      <w:r w:rsidR="00F37CA9">
        <w:rPr>
          <w:sz w:val="24"/>
          <w:szCs w:val="24"/>
        </w:rPr>
        <w:t xml:space="preserve"> compares all samples to the global average </w:t>
      </w:r>
      <w:r w:rsidR="00E8022A">
        <w:rPr>
          <w:sz w:val="24"/>
          <w:szCs w:val="24"/>
          <w:vertAlign w:val="superscript"/>
        </w:rPr>
        <w:t>240</w:t>
      </w:r>
      <w:r w:rsidR="00E8022A">
        <w:rPr>
          <w:sz w:val="24"/>
          <w:szCs w:val="24"/>
        </w:rPr>
        <w:t>Pu</w:t>
      </w:r>
      <w:r w:rsidR="00E8022A" w:rsidRPr="002809FE">
        <w:rPr>
          <w:sz w:val="24"/>
          <w:szCs w:val="24"/>
        </w:rPr>
        <w:t xml:space="preserve"> /</w:t>
      </w:r>
      <w:r w:rsidR="00E8022A" w:rsidRPr="00C536B1">
        <w:rPr>
          <w:sz w:val="24"/>
          <w:szCs w:val="24"/>
          <w:vertAlign w:val="superscript"/>
        </w:rPr>
        <w:t>239</w:t>
      </w:r>
      <w:r w:rsidR="00E8022A">
        <w:rPr>
          <w:sz w:val="24"/>
          <w:szCs w:val="24"/>
        </w:rPr>
        <w:t>Pu</w:t>
      </w:r>
      <w:r w:rsidR="00E8022A" w:rsidRPr="002809FE">
        <w:rPr>
          <w:sz w:val="24"/>
          <w:szCs w:val="24"/>
        </w:rPr>
        <w:t xml:space="preserve"> </w:t>
      </w:r>
      <w:r w:rsidR="00F37CA9">
        <w:rPr>
          <w:sz w:val="24"/>
          <w:szCs w:val="24"/>
        </w:rPr>
        <w:t>ratio of 0.176</w:t>
      </w:r>
      <w:r w:rsidR="0021263B">
        <w:rPr>
          <w:sz w:val="24"/>
          <w:szCs w:val="24"/>
        </w:rPr>
        <w:t>±0.014</w:t>
      </w:r>
      <w:r w:rsidR="009E323E">
        <w:rPr>
          <w:sz w:val="24"/>
          <w:szCs w:val="24"/>
        </w:rPr>
        <w:t xml:space="preserve"> </w:t>
      </w:r>
      <w:r w:rsidR="00FC6280">
        <w:rPr>
          <w:sz w:val="24"/>
          <w:szCs w:val="24"/>
        </w:rPr>
        <w:fldChar w:fldCharType="begin" w:fldLock="1"/>
      </w:r>
      <w:r w:rsidR="00767A68">
        <w:rPr>
          <w:sz w:val="24"/>
          <w:szCs w:val="24"/>
        </w:rPr>
        <w:instrText>ADDIN CSL_CITATION {"citationItems":[{"id":"ITEM-1","itemData":{"abstract":"The mass isotopic content of fall-out plutonium in soil samples collected from around the world in 1970 and 1971 showed some variability which correlated with the location of nuclear weapons test sites. Omitting local effects, the global mean ratios of 240Pu/239Pu, 241Pu/239Pu and 242Pu/239Pu are 0.176+-0.014, 0.0086+-0.0017 and 0.0044+-0.0011, respectively, corrected to January 1971. Such isotopic data provide the most sensitive technique to resolve mixtures of fall-out plutonium with plutonium from a second source. From these data, the 241Am/sup(239,240)Pu activity ratio of integrated fall-out on the earth's surface can be estimated and will peak at 0.42 in the year 2037","author":[{"dropping-particle":"","family":"Krey","given":"P.W.","non-dropping-particle":"","parse-names":false,"suffix":""},{"dropping-particle":"","family":"Hardy","given":"E.P.","non-dropping-particle":"","parse-names":false,"suffix":""},{"dropping-particle":"","family":"Benson","given":"W.K.","non-dropping-particle":"","parse-names":false,"suffix":""}],"container-title":"Symposium on transuranium nuclides in the environment","id":"ITEM-1","issued":{"date-parts":[["1976"]]},"page":"671-677","publisher-place":"San Francisco","title":"Mass Isotopic Composition of Global Fall-Out Plutonium in Soil","type":"paper-conference"},"uris":["http://www.mendeley.com/documents/?uuid=a88e2888-53f4-4639-a568-644f256133cc"]}],"mendeley":{"formattedCitation":"[66]","plainTextFormattedCitation":"[66]","previouslyFormattedCitation":"[66]"},"properties":{"noteIndex":0},"schema":"https://github.com/citation-style-language/schema/raw/master/csl-citation.json"}</w:instrText>
      </w:r>
      <w:r w:rsidR="00FC6280">
        <w:rPr>
          <w:sz w:val="24"/>
          <w:szCs w:val="24"/>
        </w:rPr>
        <w:fldChar w:fldCharType="separate"/>
      </w:r>
      <w:r w:rsidR="000B0F18" w:rsidRPr="000B0F18">
        <w:rPr>
          <w:noProof/>
          <w:sz w:val="24"/>
          <w:szCs w:val="24"/>
        </w:rPr>
        <w:t>[66]</w:t>
      </w:r>
      <w:r w:rsidR="00FC6280">
        <w:rPr>
          <w:sz w:val="24"/>
          <w:szCs w:val="24"/>
        </w:rPr>
        <w:fldChar w:fldCharType="end"/>
      </w:r>
      <w:r w:rsidR="00CD2458">
        <w:rPr>
          <w:sz w:val="24"/>
          <w:szCs w:val="24"/>
        </w:rPr>
        <w:t xml:space="preserve"> with the averages for each sample type in the figure legend</w:t>
      </w:r>
      <w:r w:rsidR="00F37CA9">
        <w:rPr>
          <w:sz w:val="24"/>
          <w:szCs w:val="24"/>
        </w:rPr>
        <w:t>.</w:t>
      </w:r>
      <w:r w:rsidR="00F37CA9" w:rsidRPr="002809FE">
        <w:rPr>
          <w:sz w:val="24"/>
          <w:szCs w:val="24"/>
        </w:rPr>
        <w:br w:type="page"/>
      </w:r>
      <w:r w:rsidR="00FE5145" w:rsidRPr="008E29CC">
        <w:rPr>
          <w:noProof/>
          <w:sz w:val="24"/>
          <w:szCs w:val="24"/>
          <w:lang w:eastAsia="en-GB"/>
        </w:rPr>
        <w:lastRenderedPageBreak/>
        <mc:AlternateContent>
          <mc:Choice Requires="wps">
            <w:drawing>
              <wp:anchor distT="45720" distB="45720" distL="114300" distR="114300" simplePos="0" relativeHeight="251658260" behindDoc="0" locked="0" layoutInCell="1" allowOverlap="1" wp14:anchorId="388BE52A" wp14:editId="53680A5D">
                <wp:simplePos x="0" y="0"/>
                <wp:positionH relativeFrom="margin">
                  <wp:posOffset>4752753</wp:posOffset>
                </wp:positionH>
                <wp:positionV relativeFrom="page">
                  <wp:posOffset>2626242</wp:posOffset>
                </wp:positionV>
                <wp:extent cx="1169035" cy="49911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499110"/>
                        </a:xfrm>
                        <a:prstGeom prst="rect">
                          <a:avLst/>
                        </a:prstGeom>
                        <a:noFill/>
                        <a:ln w="9525">
                          <a:noFill/>
                          <a:miter lim="800000"/>
                          <a:headEnd/>
                          <a:tailEnd/>
                        </a:ln>
                      </wps:spPr>
                      <wps:txbx>
                        <w:txbxContent>
                          <w:p w14:paraId="7EB8CE88" w14:textId="4A383E7E" w:rsidR="006F1462" w:rsidRPr="0068334C" w:rsidRDefault="006F1462">
                            <w:pPr>
                              <w:rPr>
                                <w:color w:val="4472C4" w:themeColor="accent1"/>
                              </w:rPr>
                            </w:pPr>
                            <w:r w:rsidRPr="0068334C">
                              <w:rPr>
                                <w:color w:val="4472C4" w:themeColor="accent1"/>
                              </w:rPr>
                              <w:t>Far-From-Site Avg: 384±16 fg/g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BE52A" id="_x0000_s1093" type="#_x0000_t202" style="position:absolute;left:0;text-align:left;margin-left:374.25pt;margin-top:206.8pt;width:92.05pt;height:39.3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" filled="f" stroked="f">
                <v:textbox>
                  <w:txbxContent>
                    <w:p w14:paraId="7EB8CE88" w14:textId="4A383E7E" w:rsidR="006F1462" w:rsidRPr="0068334C" w:rsidRDefault="006F1462">
                      <w:pPr>
                        <w:rPr>
                          <w:color w:val="4472C4" w:themeColor="accent1"/>
                        </w:rPr>
                      </w:pPr>
                      <w:r w:rsidRPr="0068334C">
                        <w:rPr>
                          <w:color w:val="4472C4" w:themeColor="accent1"/>
                        </w:rPr>
                        <w:t>Far-From-Site Avg: 384±16 fg/g</w:t>
                      </w:r>
                    </w:p>
                  </w:txbxContent>
                </v:textbox>
                <w10:wrap anchorx="margin" anchory="page"/>
              </v:shape>
            </w:pict>
          </mc:Fallback>
        </mc:AlternateContent>
      </w:r>
      <w:r w:rsidR="00A94F3E" w:rsidRPr="008E29CC">
        <w:rPr>
          <w:noProof/>
          <w:sz w:val="24"/>
          <w:szCs w:val="24"/>
          <w:lang w:eastAsia="en-GB"/>
        </w:rPr>
        <mc:AlternateContent>
          <mc:Choice Requires="wps">
            <w:drawing>
              <wp:anchor distT="45720" distB="45720" distL="114300" distR="114300" simplePos="0" relativeHeight="251658259" behindDoc="0" locked="0" layoutInCell="1" allowOverlap="1" wp14:anchorId="7B0E6436" wp14:editId="13616BF8">
                <wp:simplePos x="0" y="0"/>
                <wp:positionH relativeFrom="column">
                  <wp:posOffset>1935126</wp:posOffset>
                </wp:positionH>
                <wp:positionV relativeFrom="page">
                  <wp:posOffset>2402958</wp:posOffset>
                </wp:positionV>
                <wp:extent cx="1647825" cy="29718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97180"/>
                        </a:xfrm>
                        <a:prstGeom prst="rect">
                          <a:avLst/>
                        </a:prstGeom>
                        <a:noFill/>
                        <a:ln w="9525">
                          <a:noFill/>
                          <a:miter lim="800000"/>
                          <a:headEnd/>
                          <a:tailEnd/>
                        </a:ln>
                      </wps:spPr>
                      <wps:txbx>
                        <w:txbxContent>
                          <w:p w14:paraId="67C0C779" w14:textId="0DFE770E" w:rsidR="006F1462" w:rsidRDefault="006F1462">
                            <w:r>
                              <w:t>On-Site Avg: 571±52 fg/g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E6436" id="_x0000_s1094" type="#_x0000_t202" style="position:absolute;left:0;text-align:left;margin-left:152.35pt;margin-top:189.2pt;width:129.75pt;height:23.4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" filled="f" stroked="f">
                <v:textbox>
                  <w:txbxContent>
                    <w:p w14:paraId="67C0C779" w14:textId="0DFE770E" w:rsidR="006F1462" w:rsidRDefault="006F1462">
                      <w:r>
                        <w:t>On-Site Avg: 571±52 fg/g</w:t>
                      </w:r>
                    </w:p>
                  </w:txbxContent>
                </v:textbox>
                <w10:wrap anchory="page"/>
              </v:shape>
            </w:pict>
          </mc:Fallback>
        </mc:AlternateContent>
      </w:r>
      <w:r w:rsidR="00A94F3E" w:rsidRPr="00A94F3E">
        <w:rPr>
          <w:noProof/>
          <w:sz w:val="24"/>
          <w:szCs w:val="24"/>
          <w:lang w:eastAsia="en-GB"/>
        </w:rPr>
        <mc:AlternateContent>
          <mc:Choice Requires="wps">
            <w:drawing>
              <wp:anchor distT="45720" distB="45720" distL="114300" distR="114300" simplePos="0" relativeHeight="251658261" behindDoc="0" locked="0" layoutInCell="1" allowOverlap="1" wp14:anchorId="65771D75" wp14:editId="4969593F">
                <wp:simplePos x="0" y="0"/>
                <wp:positionH relativeFrom="column">
                  <wp:posOffset>4167963</wp:posOffset>
                </wp:positionH>
                <wp:positionV relativeFrom="page">
                  <wp:posOffset>2147777</wp:posOffset>
                </wp:positionV>
                <wp:extent cx="914400" cy="55245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w="9525">
                          <a:noFill/>
                          <a:miter lim="800000"/>
                          <a:headEnd/>
                          <a:tailEnd/>
                        </a:ln>
                      </wps:spPr>
                      <wps:txbx>
                        <w:txbxContent>
                          <w:p w14:paraId="0F88FA5E" w14:textId="0CBB3EB2" w:rsidR="006F1462" w:rsidRPr="0068334C" w:rsidRDefault="006F1462">
                            <w:pPr>
                              <w:rPr>
                                <w:color w:val="FF0000"/>
                              </w:rPr>
                            </w:pPr>
                            <w:r w:rsidRPr="0068334C">
                              <w:rPr>
                                <w:color w:val="FF0000"/>
                              </w:rPr>
                              <w:t>Off-Site: 620±18 fg/g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71D75" id="_x0000_s1095" type="#_x0000_t202" style="position:absolute;left:0;text-align:left;margin-left:328.2pt;margin-top:169.1pt;width:1in;height:43.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" filled="f" stroked="f">
                <v:textbox>
                  <w:txbxContent>
                    <w:p w14:paraId="0F88FA5E" w14:textId="0CBB3EB2" w:rsidR="006F1462" w:rsidRPr="0068334C" w:rsidRDefault="006F1462">
                      <w:pPr>
                        <w:rPr>
                          <w:color w:val="FF0000"/>
                        </w:rPr>
                      </w:pPr>
                      <w:r w:rsidRPr="0068334C">
                        <w:rPr>
                          <w:color w:val="FF0000"/>
                        </w:rPr>
                        <w:t>Off-Site: 620±18 fg/g</w:t>
                      </w:r>
                    </w:p>
                  </w:txbxContent>
                </v:textbox>
                <w10:wrap anchory="page"/>
              </v:shape>
            </w:pict>
          </mc:Fallback>
        </mc:AlternateContent>
      </w:r>
      <w:r w:rsidR="008E29CC">
        <w:rPr>
          <w:noProof/>
          <w:sz w:val="24"/>
          <w:szCs w:val="24"/>
          <w:lang w:eastAsia="en-GB"/>
        </w:rPr>
        <mc:AlternateContent>
          <mc:Choice Requires="wps">
            <w:drawing>
              <wp:anchor distT="0" distB="0" distL="114300" distR="114300" simplePos="0" relativeHeight="251658258" behindDoc="0" locked="0" layoutInCell="1" allowOverlap="1" wp14:anchorId="7DECEC5C" wp14:editId="6E762636">
                <wp:simplePos x="0" y="0"/>
                <wp:positionH relativeFrom="column">
                  <wp:posOffset>839972</wp:posOffset>
                </wp:positionH>
                <wp:positionV relativeFrom="page">
                  <wp:posOffset>2870791</wp:posOffset>
                </wp:positionV>
                <wp:extent cx="3412490" cy="0"/>
                <wp:effectExtent l="0" t="0" r="0" b="0"/>
                <wp:wrapNone/>
                <wp:docPr id="308" name="Straight Connector 308"/>
                <wp:cNvGraphicFramePr/>
                <a:graphic xmlns:a="http://schemas.openxmlformats.org/drawingml/2006/main">
                  <a:graphicData uri="http://schemas.microsoft.com/office/word/2010/wordprocessingShape">
                    <wps:wsp>
                      <wps:cNvCnPr/>
                      <wps:spPr>
                        <a:xfrm flipV="1">
                          <a:off x="0" y="0"/>
                          <a:ext cx="3412490" cy="0"/>
                        </a:xfrm>
                        <a:prstGeom prst="line">
                          <a:avLst/>
                        </a:prstGeom>
                        <a:ln w="28575">
                          <a:no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02A00" id="Straight Connector 308" o:spid="_x0000_s1026" style="position:absolute;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6.15pt,226.05pt" to="334.85pt,2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" stroked="f" strokeweight="2.25pt">
                <v:stroke joinstyle="miter"/>
                <w10:wrap anchory="page"/>
              </v:line>
            </w:pict>
          </mc:Fallback>
        </mc:AlternateContent>
      </w:r>
      <w:r w:rsidR="00F37CA9" w:rsidRPr="002809FE">
        <w:rPr>
          <w:noProof/>
          <w:sz w:val="24"/>
          <w:szCs w:val="24"/>
          <w:lang w:eastAsia="en-GB"/>
        </w:rPr>
        <w:drawing>
          <wp:inline distT="0" distB="0" distL="0" distR="0" wp14:anchorId="4995943F" wp14:editId="7212E9C6">
            <wp:extent cx="5734685" cy="4003964"/>
            <wp:effectExtent l="0" t="0" r="0" b="0"/>
            <wp:docPr id="244" name="Chart 244">
              <a:extLst xmlns:a="http://schemas.openxmlformats.org/drawingml/2006/main">
                <a:ext uri="{FF2B5EF4-FFF2-40B4-BE49-F238E27FC236}">
                  <a16:creationId xmlns:a16="http://schemas.microsoft.com/office/drawing/2014/main" id="{E08DB1BA-F855-4134-B577-CD8B3FA63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36D3E04" w14:textId="33901D02" w:rsidR="00B02E9B" w:rsidRPr="00C45EC1" w:rsidRDefault="00B02E9B" w:rsidP="00C45EC1">
      <w:pPr>
        <w:pStyle w:val="Caption"/>
        <w:jc w:val="center"/>
        <w:rPr>
          <w:sz w:val="20"/>
        </w:rPr>
      </w:pPr>
      <w:bookmarkStart w:id="30" w:name="_Ref31284355"/>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27</w:t>
      </w:r>
      <w:r w:rsidRPr="00C45EC1">
        <w:rPr>
          <w:sz w:val="20"/>
        </w:rPr>
        <w:fldChar w:fldCharType="end"/>
      </w:r>
      <w:bookmarkEnd w:id="30"/>
      <w:r w:rsidRPr="00C45EC1">
        <w:rPr>
          <w:sz w:val="20"/>
        </w:rPr>
        <w:t xml:space="preserve"> Abundances of </w:t>
      </w:r>
      <w:r w:rsidRPr="00C45EC1">
        <w:rPr>
          <w:sz w:val="20"/>
          <w:vertAlign w:val="superscript"/>
        </w:rPr>
        <w:t>239</w:t>
      </w:r>
      <w:r w:rsidRPr="00C45EC1">
        <w:rPr>
          <w:sz w:val="20"/>
        </w:rPr>
        <w:t>Pu as measured with the AMS system at ETH Zϋrich. Further details are described in the Experimental Methods section. Solid black bars represent samples collected on-site at Dounreay, red striped bars represent samples collected off-site from the Dounreay locality, while the blue dotted bars represent samples collected by the author in English sites as named.</w:t>
      </w:r>
    </w:p>
    <w:p w14:paraId="4CEA1D1A" w14:textId="63D81AB4" w:rsidR="00B02E9B" w:rsidRDefault="00FE08F6" w:rsidP="00B02E9B">
      <w:pPr>
        <w:keepNext/>
        <w:spacing w:line="480" w:lineRule="auto"/>
      </w:pPr>
      <w:r w:rsidRPr="008E29CC">
        <w:rPr>
          <w:noProof/>
          <w:sz w:val="24"/>
          <w:szCs w:val="24"/>
          <w:lang w:eastAsia="en-GB"/>
        </w:rPr>
        <w:lastRenderedPageBreak/>
        <mc:AlternateContent>
          <mc:Choice Requires="wps">
            <w:drawing>
              <wp:anchor distT="45720" distB="45720" distL="114300" distR="114300" simplePos="0" relativeHeight="251658264" behindDoc="0" locked="0" layoutInCell="1" allowOverlap="1" wp14:anchorId="77E930DE" wp14:editId="1736199D">
                <wp:simplePos x="0" y="0"/>
                <wp:positionH relativeFrom="margin">
                  <wp:posOffset>4136065</wp:posOffset>
                </wp:positionH>
                <wp:positionV relativeFrom="page">
                  <wp:posOffset>1828800</wp:posOffset>
                </wp:positionV>
                <wp:extent cx="893135" cy="49911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135" cy="499110"/>
                        </a:xfrm>
                        <a:prstGeom prst="rect">
                          <a:avLst/>
                        </a:prstGeom>
                        <a:noFill/>
                        <a:ln w="9525">
                          <a:noFill/>
                          <a:miter lim="800000"/>
                          <a:headEnd/>
                          <a:tailEnd/>
                        </a:ln>
                      </wps:spPr>
                      <wps:txbx>
                        <w:txbxContent>
                          <w:p w14:paraId="4A667B88" w14:textId="2EE752DF" w:rsidR="006F1462" w:rsidRPr="0068334C" w:rsidRDefault="006F1462" w:rsidP="00FE08F6">
                            <w:pPr>
                              <w:rPr>
                                <w:color w:val="FF0000"/>
                              </w:rPr>
                            </w:pPr>
                            <w:r w:rsidRPr="0068334C">
                              <w:rPr>
                                <w:color w:val="FF0000"/>
                              </w:rPr>
                              <w:t>Off-Site: 2.1±0.3 fg/g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930DE" id="_x0000_s1096" type="#_x0000_t202" style="position:absolute;margin-left:325.65pt;margin-top:2in;width:70.35pt;height:39.3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" filled="f" stroked="f">
                <v:textbox>
                  <w:txbxContent>
                    <w:p w14:paraId="4A667B88" w14:textId="2EE752DF" w:rsidR="006F1462" w:rsidRPr="0068334C" w:rsidRDefault="006F1462" w:rsidP="00FE08F6">
                      <w:pPr>
                        <w:rPr>
                          <w:color w:val="FF0000"/>
                        </w:rPr>
                      </w:pPr>
                      <w:r w:rsidRPr="0068334C">
                        <w:rPr>
                          <w:color w:val="FF0000"/>
                        </w:rPr>
                        <w:t>Off-Site: 2.1±0.3 fg/g</w:t>
                      </w:r>
                    </w:p>
                  </w:txbxContent>
                </v:textbox>
                <w10:wrap anchorx="margin" anchory="page"/>
              </v:shape>
            </w:pict>
          </mc:Fallback>
        </mc:AlternateContent>
      </w:r>
      <w:r w:rsidR="00154B49" w:rsidRPr="008E29CC">
        <w:rPr>
          <w:noProof/>
          <w:sz w:val="24"/>
          <w:szCs w:val="24"/>
          <w:lang w:eastAsia="en-GB"/>
        </w:rPr>
        <mc:AlternateContent>
          <mc:Choice Requires="wps">
            <w:drawing>
              <wp:anchor distT="45720" distB="45720" distL="114300" distR="114300" simplePos="0" relativeHeight="251658263" behindDoc="0" locked="0" layoutInCell="1" allowOverlap="1" wp14:anchorId="56FCD47C" wp14:editId="2CDA4D45">
                <wp:simplePos x="0" y="0"/>
                <wp:positionH relativeFrom="margin">
                  <wp:posOffset>4561367</wp:posOffset>
                </wp:positionH>
                <wp:positionV relativeFrom="page">
                  <wp:posOffset>2317898</wp:posOffset>
                </wp:positionV>
                <wp:extent cx="1190300" cy="49911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300" cy="499110"/>
                        </a:xfrm>
                        <a:prstGeom prst="rect">
                          <a:avLst/>
                        </a:prstGeom>
                        <a:noFill/>
                        <a:ln w="9525">
                          <a:noFill/>
                          <a:miter lim="800000"/>
                          <a:headEnd/>
                          <a:tailEnd/>
                        </a:ln>
                      </wps:spPr>
                      <wps:txbx>
                        <w:txbxContent>
                          <w:p w14:paraId="536F235C" w14:textId="0EDB7A1D" w:rsidR="006F1462" w:rsidRPr="0068334C" w:rsidRDefault="006F1462" w:rsidP="00154B49">
                            <w:pPr>
                              <w:rPr>
                                <w:color w:val="4472C4" w:themeColor="accent1"/>
                              </w:rPr>
                            </w:pPr>
                            <w:r w:rsidRPr="0068334C">
                              <w:rPr>
                                <w:color w:val="4472C4" w:themeColor="accent1"/>
                              </w:rPr>
                              <w:t>Far-From-Site Avg: 1.6±0.3 fg/g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CD47C" id="_x0000_s1097" type="#_x0000_t202" style="position:absolute;margin-left:359.15pt;margin-top:182.5pt;width:93.7pt;height:39.3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" filled="f" stroked="f">
                <v:textbox>
                  <w:txbxContent>
                    <w:p w14:paraId="536F235C" w14:textId="0EDB7A1D" w:rsidR="006F1462" w:rsidRPr="0068334C" w:rsidRDefault="006F1462" w:rsidP="00154B49">
                      <w:pPr>
                        <w:rPr>
                          <w:color w:val="4472C4" w:themeColor="accent1"/>
                        </w:rPr>
                      </w:pPr>
                      <w:r w:rsidRPr="0068334C">
                        <w:rPr>
                          <w:color w:val="4472C4" w:themeColor="accent1"/>
                        </w:rPr>
                        <w:t>Far-From-Site Avg: 1.6±0.3 fg/g</w:t>
                      </w:r>
                    </w:p>
                  </w:txbxContent>
                </v:textbox>
                <w10:wrap anchorx="margin" anchory="page"/>
              </v:shape>
            </w:pict>
          </mc:Fallback>
        </mc:AlternateContent>
      </w:r>
      <w:r w:rsidR="00154B49" w:rsidRPr="00154B49">
        <w:rPr>
          <w:noProof/>
          <w:sz w:val="24"/>
          <w:szCs w:val="24"/>
          <w:lang w:eastAsia="en-GB"/>
        </w:rPr>
        <mc:AlternateContent>
          <mc:Choice Requires="wps">
            <w:drawing>
              <wp:anchor distT="45720" distB="45720" distL="114300" distR="114300" simplePos="0" relativeHeight="251658262" behindDoc="0" locked="0" layoutInCell="1" allowOverlap="1" wp14:anchorId="5DFA2A91" wp14:editId="3E1C65DE">
                <wp:simplePos x="0" y="0"/>
                <wp:positionH relativeFrom="column">
                  <wp:posOffset>1786270</wp:posOffset>
                </wp:positionH>
                <wp:positionV relativeFrom="page">
                  <wp:posOffset>2105247</wp:posOffset>
                </wp:positionV>
                <wp:extent cx="1668780" cy="339725"/>
                <wp:effectExtent l="0" t="0" r="0" b="31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39725"/>
                        </a:xfrm>
                        <a:prstGeom prst="rect">
                          <a:avLst/>
                        </a:prstGeom>
                        <a:noFill/>
                        <a:ln w="9525">
                          <a:noFill/>
                          <a:miter lim="800000"/>
                          <a:headEnd/>
                          <a:tailEnd/>
                        </a:ln>
                      </wps:spPr>
                      <wps:txbx>
                        <w:txbxContent>
                          <w:p w14:paraId="2CCDE4BF" w14:textId="604FBE46" w:rsidR="006F1462" w:rsidRDefault="006F1462" w:rsidP="00154B49">
                            <w:r>
                              <w:t>On-Site Avg: 2.2±0.4 fg/g</w:t>
                            </w:r>
                          </w:p>
                          <w:p w14:paraId="5DD28882" w14:textId="4820C90D" w:rsidR="006F1462" w:rsidRDefault="006F14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A2A91" id="_x0000_s1098" type="#_x0000_t202" style="position:absolute;margin-left:140.65pt;margin-top:165.75pt;width:131.4pt;height:26.7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" filled="f" stroked="f">
                <v:textbox>
                  <w:txbxContent>
                    <w:p w14:paraId="2CCDE4BF" w14:textId="604FBE46" w:rsidR="006F1462" w:rsidRDefault="006F1462" w:rsidP="00154B49">
                      <w:r>
                        <w:t>On-Site Avg: 2.2±0.4 fg/g</w:t>
                      </w:r>
                    </w:p>
                    <w:p w14:paraId="5DD28882" w14:textId="4820C90D" w:rsidR="006F1462" w:rsidRDefault="006F1462"/>
                  </w:txbxContent>
                </v:textbox>
                <w10:wrap anchory="page"/>
              </v:shape>
            </w:pict>
          </mc:Fallback>
        </mc:AlternateContent>
      </w:r>
      <w:r w:rsidR="00F37CA9" w:rsidRPr="002809FE">
        <w:rPr>
          <w:noProof/>
          <w:sz w:val="24"/>
          <w:szCs w:val="24"/>
          <w:lang w:eastAsia="en-GB"/>
        </w:rPr>
        <w:drawing>
          <wp:inline distT="0" distB="0" distL="0" distR="0" wp14:anchorId="28BD9202" wp14:editId="482764A0">
            <wp:extent cx="5733415" cy="3602181"/>
            <wp:effectExtent l="0" t="0" r="635" b="0"/>
            <wp:docPr id="245" name="Chart 245">
              <a:extLst xmlns:a="http://schemas.openxmlformats.org/drawingml/2006/main">
                <a:ext uri="{FF2B5EF4-FFF2-40B4-BE49-F238E27FC236}">
                  <a16:creationId xmlns:a16="http://schemas.microsoft.com/office/drawing/2014/main" id="{62A7D5A9-927E-4662-9C0E-0AF41CE38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23DBF73" w14:textId="458C1F45" w:rsidR="00C45EC1" w:rsidRDefault="00B02E9B" w:rsidP="00C45EC1">
      <w:pPr>
        <w:pStyle w:val="Caption"/>
        <w:keepNext/>
        <w:jc w:val="center"/>
        <w:rPr>
          <w:sz w:val="20"/>
          <w:szCs w:val="20"/>
        </w:rPr>
      </w:pPr>
      <w:bookmarkStart w:id="31" w:name="_Ref31284399"/>
      <w:r w:rsidRPr="00C45EC1">
        <w:rPr>
          <w:sz w:val="20"/>
          <w:szCs w:val="20"/>
        </w:rPr>
        <w:t xml:space="preserve">Figure </w:t>
      </w:r>
      <w:r w:rsidRPr="00C45EC1">
        <w:rPr>
          <w:sz w:val="20"/>
          <w:szCs w:val="20"/>
        </w:rPr>
        <w:fldChar w:fldCharType="begin"/>
      </w:r>
      <w:r w:rsidRPr="00C45EC1">
        <w:rPr>
          <w:sz w:val="20"/>
          <w:szCs w:val="20"/>
        </w:rPr>
        <w:instrText xml:space="preserve"> SEQ Figure \* ARABIC </w:instrText>
      </w:r>
      <w:r w:rsidRPr="00C45EC1">
        <w:rPr>
          <w:sz w:val="20"/>
          <w:szCs w:val="20"/>
        </w:rPr>
        <w:fldChar w:fldCharType="separate"/>
      </w:r>
      <w:r w:rsidR="00161FDC">
        <w:rPr>
          <w:noProof/>
          <w:sz w:val="20"/>
          <w:szCs w:val="20"/>
        </w:rPr>
        <w:t>28</w:t>
      </w:r>
      <w:r w:rsidRPr="00C45EC1">
        <w:rPr>
          <w:sz w:val="20"/>
          <w:szCs w:val="20"/>
        </w:rPr>
        <w:fldChar w:fldCharType="end"/>
      </w:r>
      <w:bookmarkEnd w:id="31"/>
      <w:r w:rsidRPr="00C45EC1">
        <w:rPr>
          <w:sz w:val="20"/>
          <w:szCs w:val="20"/>
        </w:rPr>
        <w:t xml:space="preserve"> Abundances of </w:t>
      </w:r>
      <w:r w:rsidRPr="00C45EC1">
        <w:rPr>
          <w:sz w:val="20"/>
          <w:szCs w:val="20"/>
          <w:vertAlign w:val="superscript"/>
        </w:rPr>
        <w:t>242</w:t>
      </w:r>
      <w:r w:rsidRPr="00C45EC1">
        <w:rPr>
          <w:sz w:val="20"/>
          <w:szCs w:val="20"/>
        </w:rPr>
        <w:t xml:space="preserve">Pu as measured with the AMS system at ETH Zϋrich. Further details are described in the Experimental Methods section. Solid black bars represent samples collected on-site at Dounreay, red striped bars represent samples collected off-site from the Dounreay locality, while the blue dotted bars represent samples collected by the author in English sites as named. As </w:t>
      </w:r>
      <w:r w:rsidRPr="00C45EC1">
        <w:rPr>
          <w:sz w:val="20"/>
          <w:szCs w:val="20"/>
          <w:vertAlign w:val="superscript"/>
        </w:rPr>
        <w:t>242</w:t>
      </w:r>
      <w:r w:rsidRPr="00C45EC1">
        <w:rPr>
          <w:sz w:val="20"/>
          <w:szCs w:val="20"/>
        </w:rPr>
        <w:t>Pu was added as the plutonium tracer for the AMS measurements, the amount of tracer added was taken into account during post-processing.</w:t>
      </w:r>
    </w:p>
    <w:p w14:paraId="37C79F09" w14:textId="2F4A0168" w:rsidR="00C45EC1" w:rsidRDefault="00C45EC1">
      <w:pPr>
        <w:rPr>
          <w:i/>
          <w:iCs/>
          <w:color w:val="44546A" w:themeColor="text2"/>
          <w:sz w:val="20"/>
          <w:szCs w:val="20"/>
        </w:rPr>
      </w:pPr>
      <w:r>
        <w:rPr>
          <w:sz w:val="20"/>
          <w:szCs w:val="20"/>
        </w:rPr>
        <w:br w:type="page"/>
      </w:r>
    </w:p>
    <w:p w14:paraId="7533E928" w14:textId="0C4A59BF" w:rsidR="00B02E9B" w:rsidRDefault="00C45EC1" w:rsidP="00C45EC1">
      <w:pPr>
        <w:pStyle w:val="Caption"/>
        <w:keepNext/>
        <w:jc w:val="center"/>
      </w:pPr>
      <w:r w:rsidRPr="00C45EC1">
        <w:rPr>
          <w:noProof/>
          <w:sz w:val="20"/>
          <w:szCs w:val="20"/>
          <w:lang w:eastAsia="en-GB"/>
        </w:rPr>
        <w:lastRenderedPageBreak/>
        <mc:AlternateContent>
          <mc:Choice Requires="wps">
            <w:drawing>
              <wp:anchor distT="45720" distB="45720" distL="114300" distR="114300" simplePos="0" relativeHeight="251658268" behindDoc="0" locked="0" layoutInCell="1" allowOverlap="1" wp14:anchorId="1FDA30BC" wp14:editId="2C4318B7">
                <wp:simplePos x="0" y="0"/>
                <wp:positionH relativeFrom="column">
                  <wp:posOffset>5007941</wp:posOffset>
                </wp:positionH>
                <wp:positionV relativeFrom="page">
                  <wp:posOffset>1747769</wp:posOffset>
                </wp:positionV>
                <wp:extent cx="1065475" cy="509905"/>
                <wp:effectExtent l="0" t="0" r="0" b="444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475" cy="509905"/>
                        </a:xfrm>
                        <a:prstGeom prst="rect">
                          <a:avLst/>
                        </a:prstGeom>
                        <a:noFill/>
                        <a:ln w="9525">
                          <a:noFill/>
                          <a:miter lim="800000"/>
                          <a:headEnd/>
                          <a:tailEnd/>
                        </a:ln>
                      </wps:spPr>
                      <wps:txbx>
                        <w:txbxContent>
                          <w:p w14:paraId="148F1E1F" w14:textId="02D36ACA" w:rsidR="006F1462" w:rsidRPr="0068334C" w:rsidRDefault="006F1462" w:rsidP="00B77821">
                            <w:pPr>
                              <w:rPr>
                                <w:color w:val="4472C4" w:themeColor="accent1"/>
                              </w:rPr>
                            </w:pPr>
                            <w:r w:rsidRPr="0068334C">
                              <w:rPr>
                                <w:color w:val="4472C4" w:themeColor="accent1"/>
                              </w:rPr>
                              <w:t>Far-From-Site Avg: 63±3 fg/g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A30BC" id="_x0000_s1099" type="#_x0000_t202" style="position:absolute;left:0;text-align:left;margin-left:394.35pt;margin-top:137.6pt;width:83.9pt;height:40.1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" filled="f" stroked="f">
                <v:textbox>
                  <w:txbxContent>
                    <w:p w14:paraId="148F1E1F" w14:textId="02D36ACA" w:rsidR="006F1462" w:rsidRPr="0068334C" w:rsidRDefault="006F1462" w:rsidP="00B77821">
                      <w:pPr>
                        <w:rPr>
                          <w:color w:val="4472C4" w:themeColor="accent1"/>
                        </w:rPr>
                      </w:pPr>
                      <w:r w:rsidRPr="0068334C">
                        <w:rPr>
                          <w:color w:val="4472C4" w:themeColor="accent1"/>
                        </w:rPr>
                        <w:t>Far-From-Site Avg: 63±3 fg/g</w:t>
                      </w:r>
                    </w:p>
                  </w:txbxContent>
                </v:textbox>
                <w10:wrap anchory="page"/>
              </v:shape>
            </w:pict>
          </mc:Fallback>
        </mc:AlternateContent>
      </w:r>
      <w:r w:rsidRPr="00C45EC1">
        <w:rPr>
          <w:noProof/>
          <w:sz w:val="20"/>
          <w:szCs w:val="20"/>
          <w:lang w:eastAsia="en-GB"/>
        </w:rPr>
        <mc:AlternateContent>
          <mc:Choice Requires="wps">
            <w:drawing>
              <wp:anchor distT="0" distB="0" distL="114300" distR="114300" simplePos="0" relativeHeight="251658266" behindDoc="0" locked="0" layoutInCell="1" allowOverlap="1" wp14:anchorId="3CCEC313" wp14:editId="79CC4385">
                <wp:simplePos x="0" y="0"/>
                <wp:positionH relativeFrom="column">
                  <wp:posOffset>4925695</wp:posOffset>
                </wp:positionH>
                <wp:positionV relativeFrom="paragraph">
                  <wp:posOffset>1418921</wp:posOffset>
                </wp:positionV>
                <wp:extent cx="544475" cy="0"/>
                <wp:effectExtent l="0" t="19050" r="27305" b="19050"/>
                <wp:wrapNone/>
                <wp:docPr id="317" name="Straight Connector 317"/>
                <wp:cNvGraphicFramePr/>
                <a:graphic xmlns:a="http://schemas.openxmlformats.org/drawingml/2006/main">
                  <a:graphicData uri="http://schemas.microsoft.com/office/word/2010/wordprocessingShape">
                    <wps:wsp>
                      <wps:cNvCnPr/>
                      <wps:spPr>
                        <a:xfrm>
                          <a:off x="0" y="0"/>
                          <a:ext cx="544475" cy="0"/>
                        </a:xfrm>
                        <a:prstGeom prst="line">
                          <a:avLst/>
                        </a:prstGeom>
                        <a:ln w="28575">
                          <a:solidFill>
                            <a:schemeClr val="accent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58633" id="Straight Connector 317" o:spid="_x0000_s1026" style="position:absolute;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85pt,111.75pt" to="430.7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" strokecolor="#4472c4 [3204]" strokeweight="2.25pt">
                <v:stroke dashstyle="3 1" joinstyle="miter"/>
              </v:line>
            </w:pict>
          </mc:Fallback>
        </mc:AlternateContent>
      </w:r>
      <w:r w:rsidRPr="00C45EC1">
        <w:rPr>
          <w:noProof/>
          <w:sz w:val="20"/>
          <w:szCs w:val="20"/>
          <w:lang w:eastAsia="en-GB"/>
        </w:rPr>
        <mc:AlternateContent>
          <mc:Choice Requires="wps">
            <w:drawing>
              <wp:anchor distT="45720" distB="45720" distL="114300" distR="114300" simplePos="0" relativeHeight="251658269" behindDoc="0" locked="0" layoutInCell="1" allowOverlap="1" wp14:anchorId="3DED1623" wp14:editId="62BD7435">
                <wp:simplePos x="0" y="0"/>
                <wp:positionH relativeFrom="column">
                  <wp:posOffset>4194561</wp:posOffset>
                </wp:positionH>
                <wp:positionV relativeFrom="page">
                  <wp:posOffset>1551277</wp:posOffset>
                </wp:positionV>
                <wp:extent cx="754912" cy="509905"/>
                <wp:effectExtent l="0" t="0" r="0" b="444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12" cy="509905"/>
                        </a:xfrm>
                        <a:prstGeom prst="rect">
                          <a:avLst/>
                        </a:prstGeom>
                        <a:noFill/>
                        <a:ln w="9525">
                          <a:noFill/>
                          <a:miter lim="800000"/>
                          <a:headEnd/>
                          <a:tailEnd/>
                        </a:ln>
                      </wps:spPr>
                      <wps:txbx>
                        <w:txbxContent>
                          <w:p w14:paraId="3EAFC9F0" w14:textId="3AFBE607" w:rsidR="006F1462" w:rsidRPr="0068334C" w:rsidRDefault="006F1462" w:rsidP="00B77821">
                            <w:pPr>
                              <w:rPr>
                                <w:color w:val="FF0000"/>
                              </w:rPr>
                            </w:pPr>
                            <w:r w:rsidRPr="0068334C">
                              <w:rPr>
                                <w:color w:val="FF0000"/>
                              </w:rPr>
                              <w:t>Off-Site: 66±2 fg/g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D1623" id="_x0000_s1100" type="#_x0000_t202" style="position:absolute;left:0;text-align:left;margin-left:330.3pt;margin-top:122.15pt;width:59.45pt;height:40.1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" filled="f" stroked="f">
                <v:textbox>
                  <w:txbxContent>
                    <w:p w14:paraId="3EAFC9F0" w14:textId="3AFBE607" w:rsidR="006F1462" w:rsidRPr="0068334C" w:rsidRDefault="006F1462" w:rsidP="00B77821">
                      <w:pPr>
                        <w:rPr>
                          <w:color w:val="FF0000"/>
                        </w:rPr>
                      </w:pPr>
                      <w:r w:rsidRPr="0068334C">
                        <w:rPr>
                          <w:color w:val="FF0000"/>
                        </w:rPr>
                        <w:t>Off-Site: 66±2 fg/g</w:t>
                      </w:r>
                    </w:p>
                  </w:txbxContent>
                </v:textbox>
                <w10:wrap anchory="page"/>
              </v:shape>
            </w:pict>
          </mc:Fallback>
        </mc:AlternateContent>
      </w:r>
      <w:r w:rsidRPr="00C45EC1">
        <w:rPr>
          <w:noProof/>
          <w:sz w:val="20"/>
          <w:szCs w:val="20"/>
          <w:lang w:eastAsia="en-GB"/>
        </w:rPr>
        <mc:AlternateContent>
          <mc:Choice Requires="wps">
            <w:drawing>
              <wp:anchor distT="45720" distB="45720" distL="114300" distR="114300" simplePos="0" relativeHeight="251658267" behindDoc="0" locked="0" layoutInCell="1" allowOverlap="1" wp14:anchorId="1348F6FE" wp14:editId="4DE417CA">
                <wp:simplePos x="0" y="0"/>
                <wp:positionH relativeFrom="column">
                  <wp:posOffset>1807100</wp:posOffset>
                </wp:positionH>
                <wp:positionV relativeFrom="page">
                  <wp:posOffset>1767011</wp:posOffset>
                </wp:positionV>
                <wp:extent cx="1626235" cy="28702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287020"/>
                        </a:xfrm>
                        <a:prstGeom prst="rect">
                          <a:avLst/>
                        </a:prstGeom>
                        <a:noFill/>
                        <a:ln w="9525">
                          <a:noFill/>
                          <a:miter lim="800000"/>
                          <a:headEnd/>
                          <a:tailEnd/>
                        </a:ln>
                      </wps:spPr>
                      <wps:txbx>
                        <w:txbxContent>
                          <w:p w14:paraId="63787B4E" w14:textId="3A655DB1" w:rsidR="006F1462" w:rsidRDefault="006F1462">
                            <w:r>
                              <w:t>On-Site Avg: 69±6 fg/g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8F6FE" id="_x0000_s1101" type="#_x0000_t202" style="position:absolute;left:0;text-align:left;margin-left:142.3pt;margin-top:139.15pt;width:128.05pt;height:22.6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" filled="f" stroked="f">
                <v:textbox>
                  <w:txbxContent>
                    <w:p w14:paraId="63787B4E" w14:textId="3A655DB1" w:rsidR="006F1462" w:rsidRDefault="006F1462">
                      <w:r>
                        <w:t>On-Site Avg: 69±6 fg/g</w:t>
                      </w:r>
                    </w:p>
                  </w:txbxContent>
                </v:textbox>
                <w10:wrap anchory="page"/>
              </v:shape>
            </w:pict>
          </mc:Fallback>
        </mc:AlternateContent>
      </w:r>
      <w:r w:rsidRPr="00C45EC1">
        <w:rPr>
          <w:noProof/>
          <w:sz w:val="20"/>
          <w:szCs w:val="20"/>
          <w:lang w:eastAsia="en-GB"/>
        </w:rPr>
        <mc:AlternateContent>
          <mc:Choice Requires="wps">
            <w:drawing>
              <wp:anchor distT="0" distB="0" distL="114300" distR="114300" simplePos="0" relativeHeight="251658265" behindDoc="0" locked="0" layoutInCell="1" allowOverlap="1" wp14:anchorId="03DA15E8" wp14:editId="45A07EFB">
                <wp:simplePos x="0" y="0"/>
                <wp:positionH relativeFrom="column">
                  <wp:posOffset>897890</wp:posOffset>
                </wp:positionH>
                <wp:positionV relativeFrom="page">
                  <wp:posOffset>2241826</wp:posOffset>
                </wp:positionV>
                <wp:extent cx="3306445" cy="0"/>
                <wp:effectExtent l="0" t="19050" r="27305" b="19050"/>
                <wp:wrapNone/>
                <wp:docPr id="316" name="Straight Connector 316"/>
                <wp:cNvGraphicFramePr/>
                <a:graphic xmlns:a="http://schemas.openxmlformats.org/drawingml/2006/main">
                  <a:graphicData uri="http://schemas.microsoft.com/office/word/2010/wordprocessingShape">
                    <wps:wsp>
                      <wps:cNvCnPr/>
                      <wps:spPr>
                        <a:xfrm>
                          <a:off x="0" y="0"/>
                          <a:ext cx="3306445" cy="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8F4113" id="Straight Connector 316" o:spid="_x0000_s1026" style="position:absolute;z-index:251658265;visibility:visible;mso-wrap-style:square;mso-wrap-distance-left:9pt;mso-wrap-distance-top:0;mso-wrap-distance-right:9pt;mso-wrap-distance-bottom:0;mso-position-horizontal:absolute;mso-position-horizontal-relative:text;mso-position-vertical:absolute;mso-position-vertical-relative:page" from="70.7pt,176.5pt" to="331.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" strokecolor="black [3213]" strokeweight="2.25pt">
                <v:stroke dashstyle="3 1" joinstyle="miter"/>
                <w10:wrap anchory="page"/>
              </v:line>
            </w:pict>
          </mc:Fallback>
        </mc:AlternateContent>
      </w:r>
      <w:r w:rsidR="00F37CA9" w:rsidRPr="00C45EC1">
        <w:rPr>
          <w:noProof/>
          <w:sz w:val="28"/>
          <w:szCs w:val="24"/>
          <w:lang w:eastAsia="en-GB"/>
        </w:rPr>
        <w:drawing>
          <wp:inline distT="0" distB="0" distL="0" distR="0" wp14:anchorId="03A156D3" wp14:editId="5F58DC1B">
            <wp:extent cx="5734685" cy="3546764"/>
            <wp:effectExtent l="0" t="0" r="0" b="0"/>
            <wp:docPr id="246" name="Chart 246">
              <a:extLst xmlns:a="http://schemas.openxmlformats.org/drawingml/2006/main">
                <a:ext uri="{FF2B5EF4-FFF2-40B4-BE49-F238E27FC236}">
                  <a16:creationId xmlns:a16="http://schemas.microsoft.com/office/drawing/2014/main" id="{EF7DE1FA-6B1A-4893-825C-AA7814AD8B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384968B" w14:textId="24F9B6E0" w:rsidR="00B02E9B" w:rsidRPr="00C45EC1" w:rsidRDefault="00B02E9B" w:rsidP="00C45EC1">
      <w:pPr>
        <w:pStyle w:val="Caption"/>
        <w:jc w:val="center"/>
        <w:rPr>
          <w:sz w:val="20"/>
        </w:rPr>
      </w:pPr>
      <w:bookmarkStart w:id="32" w:name="_Ref31284336"/>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29</w:t>
      </w:r>
      <w:r w:rsidRPr="00C45EC1">
        <w:rPr>
          <w:sz w:val="20"/>
        </w:rPr>
        <w:fldChar w:fldCharType="end"/>
      </w:r>
      <w:bookmarkEnd w:id="32"/>
      <w:r w:rsidRPr="00C45EC1">
        <w:rPr>
          <w:sz w:val="20"/>
        </w:rPr>
        <w:t xml:space="preserve"> Abundances of </w:t>
      </w:r>
      <w:r w:rsidRPr="00C45EC1">
        <w:rPr>
          <w:sz w:val="20"/>
          <w:vertAlign w:val="superscript"/>
        </w:rPr>
        <w:t>240</w:t>
      </w:r>
      <w:r w:rsidRPr="00C45EC1">
        <w:rPr>
          <w:sz w:val="20"/>
        </w:rPr>
        <w:t>Pu as measured with the AMS system at ETH Zϋrich. Further details are described in the Experimental Methods section. Solid black bars represent samples collected on-site at Dounreay, red striped bars represent samples collected off-site from the Dounreay locality, while the blue dotted bars represent samples collected by the author in English sites as named.</w:t>
      </w:r>
    </w:p>
    <w:p w14:paraId="38D8C38F" w14:textId="3E185388" w:rsidR="00B02E9B" w:rsidRDefault="00F37CA9" w:rsidP="00B02E9B">
      <w:pPr>
        <w:pStyle w:val="Caption"/>
        <w:keepNext/>
      </w:pPr>
      <w:r w:rsidRPr="002809FE">
        <w:rPr>
          <w:sz w:val="24"/>
          <w:szCs w:val="24"/>
        </w:rPr>
        <w:br w:type="page"/>
      </w:r>
      <w:r w:rsidR="00FE3492" w:rsidRPr="0068334C">
        <w:rPr>
          <w:noProof/>
          <w:sz w:val="24"/>
          <w:szCs w:val="24"/>
          <w:lang w:eastAsia="en-GB"/>
        </w:rPr>
        <w:lastRenderedPageBreak/>
        <mc:AlternateContent>
          <mc:Choice Requires="wps">
            <w:drawing>
              <wp:anchor distT="45720" distB="45720" distL="114300" distR="114300" simplePos="0" relativeHeight="251658271" behindDoc="0" locked="0" layoutInCell="1" allowOverlap="1" wp14:anchorId="0D438962" wp14:editId="70D53BD4">
                <wp:simplePos x="0" y="0"/>
                <wp:positionH relativeFrom="margin">
                  <wp:posOffset>5433237</wp:posOffset>
                </wp:positionH>
                <wp:positionV relativeFrom="paragraph">
                  <wp:posOffset>1456661</wp:posOffset>
                </wp:positionV>
                <wp:extent cx="712382" cy="265814"/>
                <wp:effectExtent l="0" t="0"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382" cy="265814"/>
                        </a:xfrm>
                        <a:prstGeom prst="rect">
                          <a:avLst/>
                        </a:prstGeom>
                        <a:noFill/>
                        <a:ln w="9525">
                          <a:noFill/>
                          <a:miter lim="800000"/>
                          <a:headEnd/>
                          <a:tailEnd/>
                        </a:ln>
                      </wps:spPr>
                      <wps:txbx>
                        <w:txbxContent>
                          <w:p w14:paraId="4D5DCF99" w14:textId="1293331E" w:rsidR="006F1462" w:rsidRPr="00FE3492" w:rsidRDefault="006F1462">
                            <w:pPr>
                              <w:rPr>
                                <w:color w:val="FF0000"/>
                                <w:sz w:val="20"/>
                              </w:rPr>
                            </w:pPr>
                            <w:r w:rsidRPr="00FE3492">
                              <w:rPr>
                                <w:color w:val="FF0000"/>
                                <w:sz w:val="20"/>
                              </w:rPr>
                              <w:t>0.13±0.01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38962" id="_x0000_s1102" type="#_x0000_t202" style="position:absolute;margin-left:427.8pt;margin-top:114.7pt;width:56.1pt;height:20.95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" filled="f" stroked="f">
                <v:textbox>
                  <w:txbxContent>
                    <w:p w14:paraId="4D5DCF99" w14:textId="1293331E" w:rsidR="006F1462" w:rsidRPr="00FE3492" w:rsidRDefault="006F1462">
                      <w:pPr>
                        <w:rPr>
                          <w:color w:val="FF0000"/>
                          <w:sz w:val="20"/>
                        </w:rPr>
                      </w:pPr>
                      <w:r w:rsidRPr="00FE3492">
                        <w:rPr>
                          <w:color w:val="FF0000"/>
                          <w:sz w:val="20"/>
                        </w:rPr>
                        <w:t>0.13±0.01</w:t>
                      </w:r>
                    </w:p>
                  </w:txbxContent>
                </v:textbox>
                <w10:wrap anchorx="margin"/>
              </v:shape>
            </w:pict>
          </mc:Fallback>
        </mc:AlternateContent>
      </w:r>
      <w:r w:rsidR="00FE3492" w:rsidRPr="00B77821">
        <w:rPr>
          <w:noProof/>
          <w:sz w:val="24"/>
          <w:szCs w:val="24"/>
          <w:lang w:eastAsia="en-GB"/>
        </w:rPr>
        <mc:AlternateContent>
          <mc:Choice Requires="wps">
            <w:drawing>
              <wp:anchor distT="45720" distB="45720" distL="114300" distR="114300" simplePos="0" relativeHeight="251658270" behindDoc="0" locked="0" layoutInCell="1" allowOverlap="1" wp14:anchorId="2411EE63" wp14:editId="6814431C">
                <wp:simplePos x="0" y="0"/>
                <wp:positionH relativeFrom="margin">
                  <wp:posOffset>5369441</wp:posOffset>
                </wp:positionH>
                <wp:positionV relativeFrom="paragraph">
                  <wp:posOffset>978195</wp:posOffset>
                </wp:positionV>
                <wp:extent cx="839765" cy="276447"/>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765" cy="276447"/>
                        </a:xfrm>
                        <a:prstGeom prst="rect">
                          <a:avLst/>
                        </a:prstGeom>
                        <a:noFill/>
                        <a:ln w="9525">
                          <a:noFill/>
                          <a:miter lim="800000"/>
                          <a:headEnd/>
                          <a:tailEnd/>
                        </a:ln>
                      </wps:spPr>
                      <wps:txbx>
                        <w:txbxContent>
                          <w:p w14:paraId="111E8029" w14:textId="5718E74C" w:rsidR="006F1462" w:rsidRPr="00FE3492" w:rsidRDefault="006F1462">
                            <w:pPr>
                              <w:rPr>
                                <w:sz w:val="20"/>
                              </w:rPr>
                            </w:pPr>
                            <w:r w:rsidRPr="00FE3492">
                              <w:rPr>
                                <w:sz w:val="20"/>
                              </w:rPr>
                              <w:t>0.1</w:t>
                            </w:r>
                            <w:r>
                              <w:rPr>
                                <w:sz w:val="20"/>
                              </w:rPr>
                              <w:t>8</w:t>
                            </w:r>
                            <w:r w:rsidRPr="00FE3492">
                              <w:rPr>
                                <w:sz w:val="20"/>
                              </w:rPr>
                              <w:t>±0.01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1EE63" id="_x0000_s1103" type="#_x0000_t202" style="position:absolute;margin-left:422.8pt;margin-top:77pt;width:66.1pt;height:21.75pt;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" filled="f" stroked="f">
                <v:textbox>
                  <w:txbxContent>
                    <w:p w14:paraId="111E8029" w14:textId="5718E74C" w:rsidR="006F1462" w:rsidRPr="00FE3492" w:rsidRDefault="006F1462">
                      <w:pPr>
                        <w:rPr>
                          <w:sz w:val="20"/>
                        </w:rPr>
                      </w:pPr>
                      <w:r w:rsidRPr="00FE3492">
                        <w:rPr>
                          <w:sz w:val="20"/>
                        </w:rPr>
                        <w:t>0.1</w:t>
                      </w:r>
                      <w:r>
                        <w:rPr>
                          <w:sz w:val="20"/>
                        </w:rPr>
                        <w:t>8</w:t>
                      </w:r>
                      <w:r w:rsidRPr="00FE3492">
                        <w:rPr>
                          <w:sz w:val="20"/>
                        </w:rPr>
                        <w:t>±0.01</w:t>
                      </w:r>
                    </w:p>
                  </w:txbxContent>
                </v:textbox>
                <w10:wrap anchorx="margin"/>
              </v:shape>
            </w:pict>
          </mc:Fallback>
        </mc:AlternateContent>
      </w:r>
      <w:r w:rsidRPr="002809FE">
        <w:rPr>
          <w:noProof/>
          <w:sz w:val="24"/>
          <w:szCs w:val="24"/>
          <w:lang w:eastAsia="en-GB"/>
        </w:rPr>
        <w:drawing>
          <wp:inline distT="0" distB="0" distL="0" distR="0" wp14:anchorId="5929428B" wp14:editId="7EEE18B9">
            <wp:extent cx="5730875" cy="3664585"/>
            <wp:effectExtent l="0" t="0" r="3175" b="0"/>
            <wp:docPr id="248" name="Chart 248">
              <a:extLst xmlns:a="http://schemas.openxmlformats.org/drawingml/2006/main">
                <a:ext uri="{FF2B5EF4-FFF2-40B4-BE49-F238E27FC236}">
                  <a16:creationId xmlns:a16="http://schemas.microsoft.com/office/drawing/2014/main" id="{5EBA92F2-F78E-4619-A975-6CAA9F3D4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C10D4A2" w14:textId="3BAC8F3A" w:rsidR="00F37CA9" w:rsidRPr="006077E6" w:rsidRDefault="00B02E9B" w:rsidP="00C45EC1">
      <w:pPr>
        <w:pStyle w:val="Caption"/>
        <w:jc w:val="center"/>
        <w:rPr>
          <w:sz w:val="20"/>
        </w:rPr>
      </w:pPr>
      <w:bookmarkStart w:id="33" w:name="_Ref31284366"/>
      <w:r w:rsidRPr="006077E6">
        <w:rPr>
          <w:sz w:val="20"/>
        </w:rPr>
        <w:t xml:space="preserve">Figure </w:t>
      </w:r>
      <w:r w:rsidRPr="006077E6">
        <w:rPr>
          <w:sz w:val="20"/>
        </w:rPr>
        <w:fldChar w:fldCharType="begin"/>
      </w:r>
      <w:r w:rsidRPr="006077E6">
        <w:rPr>
          <w:sz w:val="20"/>
        </w:rPr>
        <w:instrText xml:space="preserve"> SEQ Figure \* ARABIC </w:instrText>
      </w:r>
      <w:r w:rsidRPr="006077E6">
        <w:rPr>
          <w:sz w:val="20"/>
        </w:rPr>
        <w:fldChar w:fldCharType="separate"/>
      </w:r>
      <w:r w:rsidR="00161FDC">
        <w:rPr>
          <w:noProof/>
          <w:sz w:val="20"/>
        </w:rPr>
        <w:t>30</w:t>
      </w:r>
      <w:r w:rsidRPr="006077E6">
        <w:rPr>
          <w:sz w:val="20"/>
        </w:rPr>
        <w:fldChar w:fldCharType="end"/>
      </w:r>
      <w:bookmarkEnd w:id="33"/>
      <w:r w:rsidRPr="006077E6">
        <w:rPr>
          <w:sz w:val="20"/>
        </w:rPr>
        <w:t xml:space="preserve"> Measured </w:t>
      </w:r>
      <w:r w:rsidRPr="006077E6">
        <w:rPr>
          <w:sz w:val="20"/>
          <w:vertAlign w:val="superscript"/>
        </w:rPr>
        <w:t>240</w:t>
      </w:r>
      <w:r w:rsidRPr="006077E6">
        <w:rPr>
          <w:sz w:val="20"/>
        </w:rPr>
        <w:t>Pu/</w:t>
      </w:r>
      <w:r w:rsidRPr="006077E6">
        <w:rPr>
          <w:sz w:val="20"/>
          <w:vertAlign w:val="superscript"/>
        </w:rPr>
        <w:t>239</w:t>
      </w:r>
      <w:r w:rsidRPr="006077E6">
        <w:rPr>
          <w:sz w:val="20"/>
        </w:rPr>
        <w:t xml:space="preserve">Pu ratios across project samples using AMS. Black bars represent the samples on-site at Dounreay, the red striped bar is off-site at Dounreay. Blue dotted bars represent English samples collected by the author. Average ratios are also shown as horizontal lines in black and red. The black horizontal line represents the global average plutonium-240/239 ratio of 0.18±0.01 </w:t>
      </w:r>
      <w:r w:rsidR="00767A68" w:rsidRPr="006077E6">
        <w:rPr>
          <w:sz w:val="20"/>
        </w:rPr>
        <w:fldChar w:fldCharType="begin" w:fldLock="1"/>
      </w:r>
      <w:r w:rsidR="00CB7650" w:rsidRPr="006077E6">
        <w:rPr>
          <w:sz w:val="20"/>
        </w:rPr>
        <w:instrText>ADDIN CSL_CITATION {"citationItems":[{"id":"ITEM-1","itemData":{"abstract":"The mass isotopic content of fall-out plutonium in soil samples collected from around the world in 1970 and 1971 showed some variability which correlated with the location of nuclear weapons test sites. Omitting local effects, the global mean ratios of 240Pu/239Pu, 241Pu/239Pu and 242Pu/239Pu are 0.176+-0.014, 0.0086+-0.0017 and 0.0044+-0.0011, respectively, corrected to January 1971. Such isotopic data provide the most sensitive technique to resolve mixtures of fall-out plutonium with plutonium from a second source. From these data, the 241Am/sup(239,240)Pu activity ratio of integrated fall-out on the earth's surface can be estimated and will peak at 0.42 in the year 2037","author":[{"dropping-particle":"","family":"Krey","given":"P.W.","non-dropping-particle":"","parse-names":false,"suffix":""},{"dropping-particle":"","family":"Hardy","given":"E.P.","non-dropping-particle":"","parse-names":false,"suffix":""},{"dropping-particle":"","family":"Benson","given":"W.K.","non-dropping-particle":"","parse-names":false,"suffix":""}],"container-title":"Symposium on transuranium nuclides in the environment","id":"ITEM-1","issued":{"date-parts":[["1976"]]},"page":"671-677","publisher-place":"San Francisco","title":"Mass Isotopic Composition of Global Fall-Out Plutonium in Soil","type":"paper-conference"},"uris":["http://www.mendeley.com/documents/?uuid=a88e2888-53f4-4639-a568-644f256133cc"]}],"mendeley":{"formattedCitation":"[66]","plainTextFormattedCitation":"[66]","previouslyFormattedCitation":"[66]"},"properties":{"noteIndex":0},"schema":"https://github.com/citation-style-language/schema/raw/master/csl-citation.json"}</w:instrText>
      </w:r>
      <w:r w:rsidR="00767A68" w:rsidRPr="006077E6">
        <w:rPr>
          <w:sz w:val="20"/>
        </w:rPr>
        <w:fldChar w:fldCharType="separate"/>
      </w:r>
      <w:r w:rsidR="00767A68" w:rsidRPr="006077E6">
        <w:rPr>
          <w:i w:val="0"/>
          <w:noProof/>
          <w:sz w:val="20"/>
        </w:rPr>
        <w:t>[66]</w:t>
      </w:r>
      <w:r w:rsidR="00767A68" w:rsidRPr="006077E6">
        <w:rPr>
          <w:sz w:val="20"/>
        </w:rPr>
        <w:fldChar w:fldCharType="end"/>
      </w:r>
      <w:r w:rsidRPr="006077E6">
        <w:rPr>
          <w:sz w:val="20"/>
        </w:rPr>
        <w:t>, while the red represents the project’s sample average of 0.13±0.01.</w:t>
      </w:r>
      <w:r w:rsidRPr="006077E6">
        <w:rPr>
          <w:sz w:val="20"/>
        </w:rPr>
        <w:br/>
        <w:t>The average ratio across the on-site samples (black bars) is 0.123±0.011, the off-site average (one sample) is 0.106±0.003 (red striped bar) and the far-from-site average (blue dotted bars) is 0.167±0.007.</w:t>
      </w:r>
    </w:p>
    <w:p w14:paraId="6CBA2BCE" w14:textId="4C857555" w:rsidR="00F37CA9" w:rsidRPr="002809FE" w:rsidRDefault="00F37CA9" w:rsidP="00F37CA9">
      <w:pPr>
        <w:spacing w:line="480" w:lineRule="auto"/>
        <w:ind w:firstLine="567"/>
        <w:rPr>
          <w:sz w:val="24"/>
          <w:szCs w:val="24"/>
        </w:rPr>
      </w:pPr>
      <w:r w:rsidRPr="002809FE">
        <w:rPr>
          <w:sz w:val="24"/>
          <w:szCs w:val="24"/>
        </w:rPr>
        <w:t>In summary, DSRL3 has the highest mass</w:t>
      </w:r>
      <w:r w:rsidR="00FB1C40">
        <w:rPr>
          <w:sz w:val="24"/>
          <w:szCs w:val="24"/>
        </w:rPr>
        <w:t xml:space="preserve"> per gram of sample</w:t>
      </w:r>
      <w:r w:rsidRPr="002809FE">
        <w:rPr>
          <w:sz w:val="24"/>
          <w:szCs w:val="24"/>
        </w:rPr>
        <w:t xml:space="preserve"> of all plutonium isotopes measured with the AMS</w:t>
      </w:r>
      <w:r>
        <w:rPr>
          <w:sz w:val="24"/>
          <w:szCs w:val="24"/>
        </w:rPr>
        <w:t xml:space="preserve"> system</w:t>
      </w:r>
      <w:r w:rsidRPr="002809FE">
        <w:rPr>
          <w:sz w:val="24"/>
          <w:szCs w:val="24"/>
        </w:rPr>
        <w:t xml:space="preserve">, while DSRL8 has the lowest. </w:t>
      </w:r>
    </w:p>
    <w:p w14:paraId="5032D370" w14:textId="7AD3A9AF" w:rsidR="006077E6" w:rsidRDefault="00C536B1" w:rsidP="006077E6">
      <w:pPr>
        <w:spacing w:line="480" w:lineRule="auto"/>
        <w:ind w:firstLine="567"/>
        <w:rPr>
          <w:sz w:val="24"/>
          <w:szCs w:val="24"/>
        </w:rPr>
      </w:pPr>
      <w:r>
        <w:rPr>
          <w:sz w:val="24"/>
          <w:szCs w:val="24"/>
        </w:rPr>
        <w:t>Some</w:t>
      </w:r>
      <w:r w:rsidR="00F37CA9">
        <w:rPr>
          <w:sz w:val="24"/>
          <w:szCs w:val="24"/>
        </w:rPr>
        <w:t xml:space="preserve"> </w:t>
      </w:r>
      <w:r w:rsidR="00F37CA9" w:rsidRPr="00C451E9">
        <w:rPr>
          <w:sz w:val="24"/>
          <w:szCs w:val="24"/>
          <w:vertAlign w:val="superscript"/>
        </w:rPr>
        <w:t>240</w:t>
      </w:r>
      <w:r w:rsidR="00F37CA9" w:rsidRPr="00C451E9">
        <w:rPr>
          <w:sz w:val="24"/>
          <w:szCs w:val="24"/>
        </w:rPr>
        <w:t>Pu/</w:t>
      </w:r>
      <w:r w:rsidR="00F37CA9" w:rsidRPr="00C451E9">
        <w:rPr>
          <w:sz w:val="24"/>
          <w:szCs w:val="24"/>
          <w:vertAlign w:val="superscript"/>
        </w:rPr>
        <w:t>239</w:t>
      </w:r>
      <w:r w:rsidR="00F37CA9" w:rsidRPr="00C451E9">
        <w:rPr>
          <w:sz w:val="24"/>
          <w:szCs w:val="24"/>
        </w:rPr>
        <w:t>Pu ratios</w:t>
      </w:r>
      <w:r w:rsidR="00F37CA9" w:rsidRPr="002809FE">
        <w:rPr>
          <w:sz w:val="24"/>
          <w:szCs w:val="24"/>
        </w:rPr>
        <w:t xml:space="preserve"> measured </w:t>
      </w:r>
      <w:r w:rsidR="00FB1C40">
        <w:rPr>
          <w:sz w:val="24"/>
          <w:szCs w:val="24"/>
        </w:rPr>
        <w:t>are</w:t>
      </w:r>
      <w:r w:rsidR="00F37CA9" w:rsidRPr="002809FE">
        <w:rPr>
          <w:sz w:val="24"/>
          <w:szCs w:val="24"/>
        </w:rPr>
        <w:t xml:space="preserve"> significantly different to the global average ratio. Of those samples measured for the project, DSRL3, DSRLB1 and Malham </w:t>
      </w:r>
      <w:r w:rsidR="00FB1C40">
        <w:rPr>
          <w:sz w:val="24"/>
          <w:szCs w:val="24"/>
        </w:rPr>
        <w:t>are</w:t>
      </w:r>
      <w:r w:rsidR="00F37CA9" w:rsidRPr="002809FE">
        <w:rPr>
          <w:sz w:val="24"/>
          <w:szCs w:val="24"/>
        </w:rPr>
        <w:t xml:space="preserve"> significantly different to the average ratio of </w:t>
      </w:r>
      <w:r w:rsidR="00F37CA9">
        <w:rPr>
          <w:sz w:val="24"/>
          <w:szCs w:val="24"/>
        </w:rPr>
        <w:t>the project</w:t>
      </w:r>
      <w:r w:rsidR="00F37CA9" w:rsidRPr="002809FE">
        <w:rPr>
          <w:sz w:val="24"/>
          <w:szCs w:val="24"/>
        </w:rPr>
        <w:t xml:space="preserve"> samples, while all others were within error</w:t>
      </w:r>
      <w:r w:rsidR="00F37CA9">
        <w:rPr>
          <w:sz w:val="24"/>
          <w:szCs w:val="24"/>
        </w:rPr>
        <w:t xml:space="preserve"> of the </w:t>
      </w:r>
      <w:r w:rsidR="00FB1C40">
        <w:rPr>
          <w:sz w:val="24"/>
          <w:szCs w:val="24"/>
        </w:rPr>
        <w:t>sample</w:t>
      </w:r>
      <w:r w:rsidR="00F37CA9">
        <w:rPr>
          <w:sz w:val="24"/>
          <w:szCs w:val="24"/>
        </w:rPr>
        <w:t xml:space="preserve"> average</w:t>
      </w:r>
      <w:r w:rsidR="00F37CA9" w:rsidRPr="002809FE">
        <w:rPr>
          <w:sz w:val="24"/>
          <w:szCs w:val="24"/>
        </w:rPr>
        <w:t xml:space="preserve">. Malham was much higher than both </w:t>
      </w:r>
      <w:r w:rsidR="00F37CA9">
        <w:rPr>
          <w:sz w:val="24"/>
          <w:szCs w:val="24"/>
        </w:rPr>
        <w:t>the sample</w:t>
      </w:r>
      <w:r w:rsidR="00F37CA9" w:rsidRPr="002809FE">
        <w:rPr>
          <w:sz w:val="24"/>
          <w:szCs w:val="24"/>
        </w:rPr>
        <w:t xml:space="preserve"> average ratio and the global average ratio</w:t>
      </w:r>
      <w:r w:rsidR="00F37CA9">
        <w:rPr>
          <w:sz w:val="24"/>
          <w:szCs w:val="24"/>
        </w:rPr>
        <w:t xml:space="preserve">. </w:t>
      </w:r>
      <w:r w:rsidR="00F37CA9" w:rsidRPr="002809FE">
        <w:rPr>
          <w:sz w:val="24"/>
          <w:szCs w:val="24"/>
        </w:rPr>
        <w:t xml:space="preserve">The AMS results did not include those of DSRL7 and DSRLB2 as in the other measurements as they were put aside </w:t>
      </w:r>
      <w:r w:rsidR="00F37CA9">
        <w:rPr>
          <w:sz w:val="24"/>
          <w:szCs w:val="24"/>
        </w:rPr>
        <w:t>to be spiked</w:t>
      </w:r>
      <w:r w:rsidR="00F37CA9" w:rsidRPr="002809FE">
        <w:rPr>
          <w:sz w:val="24"/>
          <w:szCs w:val="24"/>
        </w:rPr>
        <w:t xml:space="preserve"> for further measurements prior to the AMS opportunity.</w:t>
      </w:r>
      <w:r w:rsidR="001F4B65">
        <w:rPr>
          <w:sz w:val="24"/>
          <w:szCs w:val="24"/>
        </w:rPr>
        <w:t xml:space="preserve"> Overall, the average sample ratio is uniformly lower than the global average, throughout.</w:t>
      </w:r>
    </w:p>
    <w:p w14:paraId="12E9844A" w14:textId="4A80F48E" w:rsidR="00F37CA9" w:rsidRPr="006077E6" w:rsidRDefault="00F37CA9" w:rsidP="006077E6">
      <w:pPr>
        <w:spacing w:line="480" w:lineRule="auto"/>
        <w:rPr>
          <w:sz w:val="24"/>
          <w:szCs w:val="24"/>
        </w:rPr>
      </w:pPr>
      <w:r w:rsidRPr="00957592">
        <w:rPr>
          <w:b/>
          <w:sz w:val="32"/>
          <w:u w:val="single"/>
        </w:rPr>
        <w:lastRenderedPageBreak/>
        <w:t>Chapter 4</w:t>
      </w:r>
    </w:p>
    <w:p w14:paraId="2384B79E" w14:textId="77777777" w:rsidR="00F37CA9" w:rsidRDefault="00F37CA9" w:rsidP="00F37CA9">
      <w:pPr>
        <w:tabs>
          <w:tab w:val="left" w:pos="3075"/>
        </w:tabs>
        <w:spacing w:line="480" w:lineRule="auto"/>
        <w:rPr>
          <w:b/>
          <w:sz w:val="32"/>
        </w:rPr>
      </w:pPr>
      <w:r>
        <w:rPr>
          <w:b/>
          <w:sz w:val="32"/>
        </w:rPr>
        <w:t xml:space="preserve">4. </w:t>
      </w:r>
      <w:r w:rsidRPr="00C07361">
        <w:rPr>
          <w:b/>
          <w:sz w:val="32"/>
        </w:rPr>
        <w:t>Discussion</w:t>
      </w:r>
    </w:p>
    <w:p w14:paraId="3584ECBC" w14:textId="1B545447" w:rsidR="00F37CA9" w:rsidRDefault="00F37CA9" w:rsidP="00F37CA9">
      <w:pPr>
        <w:tabs>
          <w:tab w:val="left" w:pos="3075"/>
        </w:tabs>
        <w:spacing w:line="480" w:lineRule="auto"/>
        <w:ind w:firstLine="567"/>
        <w:rPr>
          <w:sz w:val="24"/>
        </w:rPr>
      </w:pPr>
      <w:r>
        <w:rPr>
          <w:sz w:val="24"/>
        </w:rPr>
        <w:t xml:space="preserve">This chapter focusses on the </w:t>
      </w:r>
      <w:r w:rsidR="005C779A">
        <w:rPr>
          <w:sz w:val="24"/>
        </w:rPr>
        <w:t>interpretation of the</w:t>
      </w:r>
      <w:r>
        <w:rPr>
          <w:sz w:val="24"/>
        </w:rPr>
        <w:t xml:space="preserve"> results recorded from each measurement </w:t>
      </w:r>
      <w:r w:rsidR="00BE2D13">
        <w:rPr>
          <w:sz w:val="24"/>
        </w:rPr>
        <w:t>approach,</w:t>
      </w:r>
      <w:r>
        <w:rPr>
          <w:sz w:val="24"/>
        </w:rPr>
        <w:t xml:space="preserve"> discussed in turn, followed by a combined discussion and summary of the main findings.</w:t>
      </w:r>
    </w:p>
    <w:p w14:paraId="477AB4F3" w14:textId="03473483" w:rsidR="00F37CA9" w:rsidRDefault="00F37CA9" w:rsidP="00F37CA9">
      <w:pPr>
        <w:tabs>
          <w:tab w:val="left" w:pos="3075"/>
        </w:tabs>
        <w:spacing w:line="480" w:lineRule="auto"/>
        <w:ind w:firstLine="567"/>
        <w:rPr>
          <w:sz w:val="24"/>
        </w:rPr>
      </w:pPr>
      <w:r>
        <w:rPr>
          <w:sz w:val="24"/>
        </w:rPr>
        <w:t>Overall, the results show that the soil samples taken from Dounreay are consistent with average global radionuclide abundances and</w:t>
      </w:r>
      <w:r w:rsidR="00BE2D13">
        <w:rPr>
          <w:sz w:val="24"/>
        </w:rPr>
        <w:t xml:space="preserve"> lower than the</w:t>
      </w:r>
      <w:r>
        <w:rPr>
          <w:sz w:val="24"/>
        </w:rPr>
        <w:t xml:space="preserve"> plutonium ratios, which suggest the material</w:t>
      </w:r>
      <w:r w:rsidR="00BE2D13">
        <w:rPr>
          <w:sz w:val="24"/>
        </w:rPr>
        <w:t>’s</w:t>
      </w:r>
      <w:r>
        <w:rPr>
          <w:sz w:val="24"/>
        </w:rPr>
        <w:t xml:space="preserve"> origin is primarily fallout. AMS identified actinide levels within the samples to </w:t>
      </w:r>
      <w:r w:rsidR="00BE2D13">
        <w:rPr>
          <w:sz w:val="24"/>
        </w:rPr>
        <w:t>a</w:t>
      </w:r>
      <w:r>
        <w:rPr>
          <w:sz w:val="24"/>
        </w:rPr>
        <w:t xml:space="preserve"> </w:t>
      </w:r>
      <w:r w:rsidR="00BE2D13">
        <w:rPr>
          <w:sz w:val="24"/>
        </w:rPr>
        <w:t>high</w:t>
      </w:r>
      <w:r>
        <w:rPr>
          <w:sz w:val="24"/>
        </w:rPr>
        <w:t xml:space="preserve"> </w:t>
      </w:r>
      <w:r w:rsidR="00BE2D13">
        <w:rPr>
          <w:sz w:val="24"/>
        </w:rPr>
        <w:t>sensitivity</w:t>
      </w:r>
      <w:r>
        <w:rPr>
          <w:sz w:val="24"/>
        </w:rPr>
        <w:t xml:space="preserve"> and facilitated comparisons between project samples and global samples</w:t>
      </w:r>
      <w:r w:rsidR="00C90A48">
        <w:rPr>
          <w:sz w:val="24"/>
        </w:rPr>
        <w:t xml:space="preserve"> reported within the literature from varied sites around the northern and southern hemispheres</w:t>
      </w:r>
      <w:r>
        <w:rPr>
          <w:sz w:val="24"/>
        </w:rPr>
        <w:t xml:space="preserve">. </w:t>
      </w:r>
    </w:p>
    <w:p w14:paraId="497CA126" w14:textId="7C4258DC" w:rsidR="00F37CA9" w:rsidRDefault="00F37CA9" w:rsidP="00F37CA9">
      <w:pPr>
        <w:tabs>
          <w:tab w:val="left" w:pos="3075"/>
        </w:tabs>
        <w:spacing w:line="480" w:lineRule="auto"/>
        <w:ind w:firstLine="567"/>
        <w:rPr>
          <w:sz w:val="24"/>
        </w:rPr>
      </w:pPr>
      <w:r>
        <w:rPr>
          <w:sz w:val="24"/>
        </w:rPr>
        <w:t>Neutron measurement of a spiked off-site DSRL sample did identify significant differences between a sample spiked with 45</w:t>
      </w:r>
      <w:r w:rsidR="00BE2D13">
        <w:rPr>
          <w:sz w:val="24"/>
        </w:rPr>
        <w:t xml:space="preserve"> </w:t>
      </w:r>
      <w:r>
        <w:rPr>
          <w:sz w:val="24"/>
        </w:rPr>
        <w:t>ng of</w:t>
      </w:r>
      <w:r w:rsidRPr="001A2A01">
        <w:rPr>
          <w:sz w:val="24"/>
          <w:szCs w:val="24"/>
        </w:rPr>
        <w:t xml:space="preserve"> </w:t>
      </w:r>
      <w:r w:rsidR="001A2A01" w:rsidRPr="001A2A01">
        <w:rPr>
          <w:sz w:val="24"/>
          <w:szCs w:val="24"/>
          <w:vertAlign w:val="superscript"/>
        </w:rPr>
        <w:t>240</w:t>
      </w:r>
      <w:r w:rsidR="001A2A01" w:rsidRPr="001A2A01">
        <w:rPr>
          <w:sz w:val="24"/>
          <w:szCs w:val="24"/>
        </w:rPr>
        <w:t xml:space="preserve">Pu </w:t>
      </w:r>
      <w:r>
        <w:rPr>
          <w:sz w:val="24"/>
        </w:rPr>
        <w:t>(equating to around 1</w:t>
      </w:r>
      <w:r w:rsidR="00E3068E">
        <w:rPr>
          <w:sz w:val="24"/>
        </w:rPr>
        <w:t xml:space="preserve"> </w:t>
      </w:r>
      <w:r>
        <w:rPr>
          <w:sz w:val="24"/>
        </w:rPr>
        <w:t xml:space="preserve">Bq/g) and a non-spiked sample. </w:t>
      </w:r>
      <w:r w:rsidR="00B82AD4">
        <w:rPr>
          <w:sz w:val="24"/>
        </w:rPr>
        <w:t>The n</w:t>
      </w:r>
      <w:r>
        <w:rPr>
          <w:sz w:val="24"/>
        </w:rPr>
        <w:t xml:space="preserve">eutron measurements of the original DSRL samples </w:t>
      </w:r>
      <w:r w:rsidR="00B82AD4">
        <w:rPr>
          <w:sz w:val="24"/>
        </w:rPr>
        <w:t>a</w:t>
      </w:r>
      <w:r>
        <w:rPr>
          <w:sz w:val="24"/>
        </w:rPr>
        <w:t xml:space="preserve">re consistent with </w:t>
      </w:r>
      <w:r w:rsidR="00B82AD4">
        <w:rPr>
          <w:sz w:val="24"/>
        </w:rPr>
        <w:t xml:space="preserve">the </w:t>
      </w:r>
      <w:r>
        <w:rPr>
          <w:sz w:val="24"/>
        </w:rPr>
        <w:t>AMS findings</w:t>
      </w:r>
      <w:r w:rsidR="00653BD4">
        <w:rPr>
          <w:sz w:val="24"/>
        </w:rPr>
        <w:t xml:space="preserve"> </w:t>
      </w:r>
      <w:r w:rsidR="001C5DCF">
        <w:rPr>
          <w:sz w:val="24"/>
        </w:rPr>
        <w:t>as</w:t>
      </w:r>
      <w:r w:rsidR="00653BD4">
        <w:rPr>
          <w:sz w:val="24"/>
        </w:rPr>
        <w:t xml:space="preserve"> the</w:t>
      </w:r>
      <w:r w:rsidR="009655A4">
        <w:rPr>
          <w:sz w:val="24"/>
        </w:rPr>
        <w:t xml:space="preserve"> AMS-derived</w:t>
      </w:r>
      <w:r w:rsidR="00653BD4">
        <w:rPr>
          <w:sz w:val="24"/>
        </w:rPr>
        <w:t xml:space="preserve"> </w:t>
      </w:r>
      <w:r w:rsidR="0027418E" w:rsidRPr="001A2A01">
        <w:rPr>
          <w:sz w:val="24"/>
          <w:szCs w:val="24"/>
          <w:vertAlign w:val="superscript"/>
        </w:rPr>
        <w:t>240</w:t>
      </w:r>
      <w:r w:rsidR="0027418E" w:rsidRPr="001A2A01">
        <w:rPr>
          <w:sz w:val="24"/>
          <w:szCs w:val="24"/>
        </w:rPr>
        <w:t>Pu</w:t>
      </w:r>
      <w:r w:rsidR="0027418E">
        <w:rPr>
          <w:b/>
          <w:bCs/>
          <w:sz w:val="24"/>
          <w:szCs w:val="24"/>
        </w:rPr>
        <w:t xml:space="preserve"> </w:t>
      </w:r>
      <w:r w:rsidR="00D2139C">
        <w:rPr>
          <w:sz w:val="24"/>
          <w:szCs w:val="24"/>
        </w:rPr>
        <w:t xml:space="preserve">is shown </w:t>
      </w:r>
      <w:r w:rsidR="00971FA0">
        <w:rPr>
          <w:sz w:val="24"/>
          <w:szCs w:val="24"/>
        </w:rPr>
        <w:t>to be much lower than the</w:t>
      </w:r>
      <w:r w:rsidR="007C3F18">
        <w:rPr>
          <w:sz w:val="24"/>
          <w:szCs w:val="24"/>
        </w:rPr>
        <w:t xml:space="preserve"> 45 ng spike</w:t>
      </w:r>
      <w:r>
        <w:rPr>
          <w:sz w:val="24"/>
        </w:rPr>
        <w:t xml:space="preserve">, though the radionuclide abundance within the samples was too low to exhibit a significant enough neutron emission to distinguish between the project samples using only neutron emission. The significant differences shown in the </w:t>
      </w:r>
      <w:r w:rsidR="001A2A01" w:rsidRPr="001A2A01">
        <w:rPr>
          <w:sz w:val="24"/>
          <w:szCs w:val="24"/>
          <w:vertAlign w:val="superscript"/>
        </w:rPr>
        <w:t>2</w:t>
      </w:r>
      <w:r w:rsidR="001A2A01">
        <w:rPr>
          <w:sz w:val="24"/>
          <w:szCs w:val="24"/>
          <w:vertAlign w:val="superscript"/>
        </w:rPr>
        <w:t>39</w:t>
      </w:r>
      <w:r w:rsidR="001A2A01" w:rsidRPr="001A2A01">
        <w:rPr>
          <w:sz w:val="24"/>
          <w:szCs w:val="24"/>
        </w:rPr>
        <w:t>Pu</w:t>
      </w:r>
      <w:r>
        <w:rPr>
          <w:sz w:val="24"/>
        </w:rPr>
        <w:t xml:space="preserve"> measurements between samples were not expressed in the neutron results</w:t>
      </w:r>
      <w:r w:rsidR="003F7839">
        <w:rPr>
          <w:sz w:val="24"/>
        </w:rPr>
        <w:t>, this is expected however</w:t>
      </w:r>
      <w:r>
        <w:rPr>
          <w:sz w:val="24"/>
        </w:rPr>
        <w:t xml:space="preserve"> as </w:t>
      </w:r>
      <w:r w:rsidR="001A2A01" w:rsidRPr="001A2A01">
        <w:rPr>
          <w:sz w:val="24"/>
          <w:szCs w:val="24"/>
          <w:vertAlign w:val="superscript"/>
        </w:rPr>
        <w:t>2</w:t>
      </w:r>
      <w:r w:rsidR="001A2A01">
        <w:rPr>
          <w:sz w:val="24"/>
          <w:szCs w:val="24"/>
          <w:vertAlign w:val="superscript"/>
        </w:rPr>
        <w:t>39</w:t>
      </w:r>
      <w:r w:rsidR="001A2A01" w:rsidRPr="001A2A01">
        <w:rPr>
          <w:sz w:val="24"/>
          <w:szCs w:val="24"/>
        </w:rPr>
        <w:t>Pu</w:t>
      </w:r>
      <w:r w:rsidR="001A2A01">
        <w:rPr>
          <w:sz w:val="24"/>
        </w:rPr>
        <w:t xml:space="preserve"> </w:t>
      </w:r>
      <w:r w:rsidR="00276A60">
        <w:rPr>
          <w:sz w:val="24"/>
        </w:rPr>
        <w:t xml:space="preserve">is </w:t>
      </w:r>
      <w:r w:rsidR="00884CB0">
        <w:rPr>
          <w:sz w:val="24"/>
        </w:rPr>
        <w:t>primarily an alpha emitter</w:t>
      </w:r>
      <w:r w:rsidR="00850E22">
        <w:rPr>
          <w:sz w:val="24"/>
        </w:rPr>
        <w:t xml:space="preserve">, with low neutron emission expected from the isotope when not </w:t>
      </w:r>
      <w:r w:rsidR="00C52531">
        <w:rPr>
          <w:sz w:val="24"/>
        </w:rPr>
        <w:t>in an active environment</w:t>
      </w:r>
      <w:r>
        <w:rPr>
          <w:sz w:val="24"/>
        </w:rPr>
        <w:t xml:space="preserve">. If the differences </w:t>
      </w:r>
      <w:r w:rsidR="00276A60">
        <w:rPr>
          <w:sz w:val="24"/>
        </w:rPr>
        <w:t xml:space="preserve">between samples </w:t>
      </w:r>
      <w:r>
        <w:rPr>
          <w:sz w:val="24"/>
        </w:rPr>
        <w:t xml:space="preserve">were seen in </w:t>
      </w:r>
      <w:r w:rsidR="001A2A01" w:rsidRPr="001A2A01">
        <w:rPr>
          <w:sz w:val="24"/>
          <w:szCs w:val="24"/>
          <w:vertAlign w:val="superscript"/>
        </w:rPr>
        <w:t>240</w:t>
      </w:r>
      <w:r w:rsidR="001A2A01" w:rsidRPr="001A2A01">
        <w:rPr>
          <w:sz w:val="24"/>
          <w:szCs w:val="24"/>
        </w:rPr>
        <w:t>Pu</w:t>
      </w:r>
      <w:r w:rsidR="001A2A01">
        <w:rPr>
          <w:sz w:val="24"/>
        </w:rPr>
        <w:t xml:space="preserve"> </w:t>
      </w:r>
      <w:r>
        <w:rPr>
          <w:sz w:val="24"/>
        </w:rPr>
        <w:t>instead</w:t>
      </w:r>
      <w:r w:rsidR="00276A60">
        <w:rPr>
          <w:sz w:val="24"/>
        </w:rPr>
        <w:t xml:space="preserve"> of </w:t>
      </w:r>
      <w:r w:rsidR="00276A60">
        <w:rPr>
          <w:sz w:val="24"/>
          <w:vertAlign w:val="superscript"/>
        </w:rPr>
        <w:t>239</w:t>
      </w:r>
      <w:r w:rsidR="00276A60">
        <w:rPr>
          <w:sz w:val="24"/>
        </w:rPr>
        <w:t>Pu</w:t>
      </w:r>
      <w:r>
        <w:rPr>
          <w:sz w:val="24"/>
        </w:rPr>
        <w:t>, a variance in the neutron emission would be expected between the two samples.</w:t>
      </w:r>
    </w:p>
    <w:p w14:paraId="4CB46D2B" w14:textId="77777777" w:rsidR="006077E6" w:rsidRDefault="00F37CA9" w:rsidP="006077E6">
      <w:pPr>
        <w:tabs>
          <w:tab w:val="left" w:pos="3075"/>
        </w:tabs>
        <w:spacing w:line="480" w:lineRule="auto"/>
        <w:ind w:firstLine="567"/>
        <w:rPr>
          <w:sz w:val="24"/>
        </w:rPr>
      </w:pPr>
      <w:r>
        <w:rPr>
          <w:sz w:val="24"/>
        </w:rPr>
        <w:lastRenderedPageBreak/>
        <w:t>Gamma measurements confirmed that the use of a high-resolution BEGe detector was not effective at identifying plutonium levels in</w:t>
      </w:r>
      <w:r w:rsidR="00B82AD4">
        <w:rPr>
          <w:sz w:val="24"/>
        </w:rPr>
        <w:t xml:space="preserve"> the</w:t>
      </w:r>
      <w:r>
        <w:rPr>
          <w:sz w:val="24"/>
        </w:rPr>
        <w:t xml:space="preserve"> Dounreay samples of low plutonium character due to the presence of natural uranium and its subsequent decay products</w:t>
      </w:r>
      <w:r w:rsidR="00000D4C">
        <w:rPr>
          <w:sz w:val="24"/>
        </w:rPr>
        <w:t>,</w:t>
      </w:r>
      <w:r w:rsidR="00F30938">
        <w:rPr>
          <w:sz w:val="24"/>
        </w:rPr>
        <w:t xml:space="preserve"> though the </w:t>
      </w:r>
      <w:r w:rsidR="00F30938">
        <w:rPr>
          <w:sz w:val="24"/>
          <w:vertAlign w:val="superscript"/>
        </w:rPr>
        <w:t>241</w:t>
      </w:r>
      <w:r w:rsidR="00F30938">
        <w:rPr>
          <w:sz w:val="24"/>
        </w:rPr>
        <w:t xml:space="preserve">Am level can be measured through this method, and the </w:t>
      </w:r>
      <w:r w:rsidR="00F30938">
        <w:rPr>
          <w:sz w:val="24"/>
          <w:vertAlign w:val="superscript"/>
        </w:rPr>
        <w:t>241</w:t>
      </w:r>
      <w:r w:rsidR="00F30938">
        <w:rPr>
          <w:sz w:val="24"/>
        </w:rPr>
        <w:t>Pu estimated.</w:t>
      </w:r>
    </w:p>
    <w:p w14:paraId="410F63E0" w14:textId="134FCDD8" w:rsidR="00F37CA9" w:rsidRPr="006077E6" w:rsidRDefault="006077E6" w:rsidP="006077E6">
      <w:pPr>
        <w:rPr>
          <w:sz w:val="24"/>
        </w:rPr>
      </w:pPr>
      <w:r>
        <w:rPr>
          <w:sz w:val="24"/>
        </w:rPr>
        <w:br w:type="page"/>
      </w:r>
      <w:r w:rsidR="00F37CA9">
        <w:rPr>
          <w:b/>
          <w:sz w:val="28"/>
        </w:rPr>
        <w:lastRenderedPageBreak/>
        <w:t>4</w:t>
      </w:r>
      <w:r w:rsidR="00F37CA9" w:rsidRPr="00842131">
        <w:rPr>
          <w:b/>
          <w:sz w:val="28"/>
        </w:rPr>
        <w:t>.</w:t>
      </w:r>
      <w:r w:rsidR="00F37CA9">
        <w:rPr>
          <w:b/>
          <w:sz w:val="28"/>
        </w:rPr>
        <w:t>1</w:t>
      </w:r>
      <w:r w:rsidR="00F37CA9" w:rsidRPr="00842131">
        <w:rPr>
          <w:b/>
          <w:sz w:val="28"/>
        </w:rPr>
        <w:t>. Neutron Detection</w:t>
      </w:r>
    </w:p>
    <w:p w14:paraId="067752A2" w14:textId="77777777" w:rsidR="00F37CA9" w:rsidRPr="00842131" w:rsidRDefault="00F37CA9" w:rsidP="00F37CA9">
      <w:pPr>
        <w:tabs>
          <w:tab w:val="left" w:pos="3075"/>
        </w:tabs>
        <w:spacing w:line="480" w:lineRule="auto"/>
        <w:rPr>
          <w:b/>
          <w:sz w:val="28"/>
        </w:rPr>
      </w:pPr>
      <w:r>
        <w:rPr>
          <w:b/>
          <w:sz w:val="28"/>
        </w:rPr>
        <w:t>4</w:t>
      </w:r>
      <w:r w:rsidRPr="00842131">
        <w:rPr>
          <w:b/>
          <w:sz w:val="28"/>
        </w:rPr>
        <w:t>.</w:t>
      </w:r>
      <w:r>
        <w:rPr>
          <w:b/>
          <w:sz w:val="28"/>
        </w:rPr>
        <w:t>1</w:t>
      </w:r>
      <w:r w:rsidRPr="00842131">
        <w:rPr>
          <w:b/>
          <w:sz w:val="28"/>
        </w:rPr>
        <w:t>.1 Parallel Detector Array Measurement</w:t>
      </w:r>
    </w:p>
    <w:p w14:paraId="2AA9C48E" w14:textId="77777777" w:rsidR="00F37CA9" w:rsidRDefault="00F37CA9" w:rsidP="00F37CA9">
      <w:pPr>
        <w:tabs>
          <w:tab w:val="left" w:pos="3075"/>
        </w:tabs>
        <w:spacing w:line="480" w:lineRule="auto"/>
        <w:ind w:firstLine="567"/>
        <w:rPr>
          <w:sz w:val="24"/>
          <w:szCs w:val="24"/>
        </w:rPr>
      </w:pPr>
      <w:r>
        <w:rPr>
          <w:sz w:val="24"/>
          <w:szCs w:val="24"/>
        </w:rPr>
        <w:t>Parallel</w:t>
      </w:r>
      <w:r w:rsidRPr="002809FE">
        <w:rPr>
          <w:sz w:val="24"/>
          <w:szCs w:val="24"/>
        </w:rPr>
        <w:t xml:space="preserve"> detector arrays offer a novel opportunity to directly compare the ambient neutron background counts </w:t>
      </w:r>
      <w:r>
        <w:rPr>
          <w:sz w:val="24"/>
          <w:szCs w:val="24"/>
        </w:rPr>
        <w:t>with</w:t>
      </w:r>
      <w:r w:rsidRPr="002809FE">
        <w:rPr>
          <w:sz w:val="24"/>
          <w:szCs w:val="24"/>
        </w:rPr>
        <w:t xml:space="preserve"> the </w:t>
      </w:r>
      <w:r>
        <w:rPr>
          <w:sz w:val="24"/>
          <w:szCs w:val="24"/>
        </w:rPr>
        <w:t xml:space="preserve">sample array </w:t>
      </w:r>
      <w:r w:rsidRPr="002809FE">
        <w:rPr>
          <w:sz w:val="24"/>
          <w:szCs w:val="24"/>
        </w:rPr>
        <w:t>counts</w:t>
      </w:r>
      <w:r>
        <w:rPr>
          <w:sz w:val="24"/>
          <w:szCs w:val="24"/>
        </w:rPr>
        <w:t xml:space="preserve"> under the same conditions.</w:t>
      </w:r>
    </w:p>
    <w:p w14:paraId="4DE63BCD" w14:textId="582C03F1" w:rsidR="00F37CA9" w:rsidRDefault="00F37CA9" w:rsidP="00F37CA9">
      <w:pPr>
        <w:tabs>
          <w:tab w:val="left" w:pos="3075"/>
        </w:tabs>
        <w:spacing w:line="480" w:lineRule="auto"/>
        <w:ind w:firstLine="567"/>
        <w:rPr>
          <w:sz w:val="24"/>
          <w:szCs w:val="24"/>
        </w:rPr>
      </w:pPr>
      <w:r w:rsidRPr="00517A42">
        <w:rPr>
          <w:sz w:val="24"/>
          <w:szCs w:val="24"/>
        </w:rPr>
        <w:t xml:space="preserve">The results of the </w:t>
      </w:r>
      <w:r>
        <w:rPr>
          <w:sz w:val="24"/>
          <w:szCs w:val="24"/>
        </w:rPr>
        <w:t>parallel</w:t>
      </w:r>
      <w:r w:rsidRPr="00517A42">
        <w:rPr>
          <w:sz w:val="24"/>
          <w:szCs w:val="24"/>
        </w:rPr>
        <w:t xml:space="preserve"> array set-up showed</w:t>
      </w:r>
      <w:r>
        <w:rPr>
          <w:sz w:val="24"/>
          <w:szCs w:val="24"/>
        </w:rPr>
        <w:t xml:space="preserve"> no significant difference between</w:t>
      </w:r>
      <w:r w:rsidRPr="00517A42">
        <w:rPr>
          <w:sz w:val="24"/>
          <w:szCs w:val="24"/>
        </w:rPr>
        <w:t xml:space="preserve"> the </w:t>
      </w:r>
      <w:r>
        <w:rPr>
          <w:sz w:val="24"/>
          <w:szCs w:val="24"/>
        </w:rPr>
        <w:t>background and sample arrays</w:t>
      </w:r>
      <w:r w:rsidR="00E966F8">
        <w:rPr>
          <w:sz w:val="24"/>
          <w:szCs w:val="24"/>
        </w:rPr>
        <w:t>, as the</w:t>
      </w:r>
      <w:r w:rsidR="00E6735A">
        <w:rPr>
          <w:sz w:val="24"/>
          <w:szCs w:val="24"/>
        </w:rPr>
        <w:t xml:space="preserve"> difference</w:t>
      </w:r>
      <w:r w:rsidR="00E966F8">
        <w:rPr>
          <w:sz w:val="24"/>
          <w:szCs w:val="24"/>
        </w:rPr>
        <w:t xml:space="preserve"> average</w:t>
      </w:r>
      <w:r w:rsidR="00E6735A">
        <w:rPr>
          <w:sz w:val="24"/>
          <w:szCs w:val="24"/>
        </w:rPr>
        <w:t>s</w:t>
      </w:r>
      <w:r w:rsidR="00E966F8">
        <w:rPr>
          <w:sz w:val="24"/>
          <w:szCs w:val="24"/>
        </w:rPr>
        <w:t xml:space="preserve"> to zero, within errors</w:t>
      </w:r>
      <w:r>
        <w:rPr>
          <w:sz w:val="24"/>
          <w:szCs w:val="24"/>
        </w:rPr>
        <w:t>.</w:t>
      </w:r>
      <w:r w:rsidRPr="00517A42">
        <w:rPr>
          <w:sz w:val="24"/>
          <w:szCs w:val="24"/>
        </w:rPr>
        <w:t xml:space="preserve"> </w:t>
      </w:r>
      <w:r>
        <w:rPr>
          <w:sz w:val="24"/>
          <w:szCs w:val="24"/>
        </w:rPr>
        <w:t>Indicating</w:t>
      </w:r>
      <w:r w:rsidRPr="00517A42">
        <w:rPr>
          <w:sz w:val="24"/>
          <w:szCs w:val="24"/>
        </w:rPr>
        <w:t xml:space="preserve"> that </w:t>
      </w:r>
      <w:r>
        <w:rPr>
          <w:sz w:val="24"/>
          <w:szCs w:val="24"/>
        </w:rPr>
        <w:t xml:space="preserve">either </w:t>
      </w:r>
      <w:r w:rsidRPr="00517A42">
        <w:rPr>
          <w:sz w:val="24"/>
          <w:szCs w:val="24"/>
        </w:rPr>
        <w:t xml:space="preserve">the soil matrix contains </w:t>
      </w:r>
      <w:r>
        <w:rPr>
          <w:sz w:val="24"/>
          <w:szCs w:val="24"/>
        </w:rPr>
        <w:t xml:space="preserve">less </w:t>
      </w:r>
      <w:r w:rsidR="00B82AD4">
        <w:rPr>
          <w:sz w:val="24"/>
          <w:szCs w:val="24"/>
        </w:rPr>
        <w:t>activity</w:t>
      </w:r>
      <w:r>
        <w:rPr>
          <w:sz w:val="24"/>
          <w:szCs w:val="24"/>
        </w:rPr>
        <w:t xml:space="preserve"> </w:t>
      </w:r>
      <w:r w:rsidRPr="00517A42">
        <w:rPr>
          <w:sz w:val="24"/>
          <w:szCs w:val="24"/>
        </w:rPr>
        <w:t>than can be identified with the current 4-detector arrays</w:t>
      </w:r>
      <w:r>
        <w:rPr>
          <w:sz w:val="24"/>
          <w:szCs w:val="24"/>
        </w:rPr>
        <w:t xml:space="preserve">, or that there is </w:t>
      </w:r>
      <w:r w:rsidR="00B82AD4">
        <w:rPr>
          <w:sz w:val="24"/>
          <w:szCs w:val="24"/>
        </w:rPr>
        <w:t xml:space="preserve">specifically </w:t>
      </w:r>
      <w:r>
        <w:rPr>
          <w:sz w:val="24"/>
          <w:szCs w:val="24"/>
        </w:rPr>
        <w:t>very little neutron emitting material in the samples</w:t>
      </w:r>
      <w:r w:rsidRPr="00517A42">
        <w:rPr>
          <w:sz w:val="24"/>
          <w:szCs w:val="24"/>
        </w:rPr>
        <w:t xml:space="preserve">. </w:t>
      </w:r>
    </w:p>
    <w:p w14:paraId="1490F480" w14:textId="71F7A7E9" w:rsidR="00F37CA9" w:rsidRDefault="00F37CA9" w:rsidP="00F37CA9">
      <w:pPr>
        <w:tabs>
          <w:tab w:val="left" w:pos="3075"/>
        </w:tabs>
        <w:spacing w:line="480" w:lineRule="auto"/>
        <w:ind w:firstLine="567"/>
        <w:rPr>
          <w:sz w:val="24"/>
          <w:szCs w:val="24"/>
        </w:rPr>
      </w:pPr>
      <w:r>
        <w:rPr>
          <w:sz w:val="24"/>
          <w:szCs w:val="24"/>
        </w:rPr>
        <w:t>During investigation,</w:t>
      </w:r>
      <w:r w:rsidRPr="00517A42">
        <w:rPr>
          <w:sz w:val="24"/>
          <w:szCs w:val="24"/>
        </w:rPr>
        <w:t xml:space="preserve"> </w:t>
      </w:r>
      <w:r>
        <w:rPr>
          <w:sz w:val="24"/>
          <w:szCs w:val="24"/>
        </w:rPr>
        <w:t>the atmospheric</w:t>
      </w:r>
      <w:r w:rsidRPr="00517A42">
        <w:rPr>
          <w:sz w:val="24"/>
          <w:szCs w:val="24"/>
        </w:rPr>
        <w:t xml:space="preserve"> background </w:t>
      </w:r>
      <w:r>
        <w:rPr>
          <w:sz w:val="24"/>
          <w:szCs w:val="24"/>
        </w:rPr>
        <w:t xml:space="preserve">neutron </w:t>
      </w:r>
      <w:r w:rsidRPr="00517A42">
        <w:rPr>
          <w:sz w:val="24"/>
          <w:szCs w:val="24"/>
        </w:rPr>
        <w:t xml:space="preserve">counts </w:t>
      </w:r>
      <w:r>
        <w:rPr>
          <w:sz w:val="24"/>
          <w:szCs w:val="24"/>
        </w:rPr>
        <w:t>measured by</w:t>
      </w:r>
      <w:r w:rsidRPr="00517A42">
        <w:rPr>
          <w:sz w:val="24"/>
          <w:szCs w:val="24"/>
        </w:rPr>
        <w:t xml:space="preserve"> both detector arrays</w:t>
      </w:r>
      <w:r>
        <w:rPr>
          <w:sz w:val="24"/>
          <w:szCs w:val="24"/>
        </w:rPr>
        <w:t xml:space="preserve"> w</w:t>
      </w:r>
      <w:r w:rsidR="00B82AD4">
        <w:rPr>
          <w:sz w:val="24"/>
          <w:szCs w:val="24"/>
        </w:rPr>
        <w:t>ere</w:t>
      </w:r>
      <w:r>
        <w:rPr>
          <w:sz w:val="24"/>
          <w:szCs w:val="24"/>
        </w:rPr>
        <w:t xml:space="preserve"> compared and</w:t>
      </w:r>
      <w:r w:rsidRPr="00517A42">
        <w:rPr>
          <w:sz w:val="24"/>
          <w:szCs w:val="24"/>
        </w:rPr>
        <w:t xml:space="preserve"> a deficit </w:t>
      </w:r>
      <w:r>
        <w:rPr>
          <w:sz w:val="24"/>
          <w:szCs w:val="24"/>
        </w:rPr>
        <w:t xml:space="preserve">was found </w:t>
      </w:r>
      <w:r w:rsidRPr="00517A42">
        <w:rPr>
          <w:sz w:val="24"/>
          <w:szCs w:val="24"/>
        </w:rPr>
        <w:t xml:space="preserve">in the counts of the </w:t>
      </w:r>
      <w:r>
        <w:rPr>
          <w:sz w:val="24"/>
          <w:szCs w:val="24"/>
        </w:rPr>
        <w:t xml:space="preserve">sample </w:t>
      </w:r>
      <w:r w:rsidRPr="00517A42">
        <w:rPr>
          <w:sz w:val="24"/>
          <w:szCs w:val="24"/>
        </w:rPr>
        <w:t>array</w:t>
      </w:r>
      <w:r w:rsidR="00FD6254">
        <w:rPr>
          <w:sz w:val="24"/>
          <w:szCs w:val="24"/>
        </w:rPr>
        <w:t>,</w:t>
      </w:r>
      <w:r w:rsidRPr="00517A42">
        <w:rPr>
          <w:sz w:val="24"/>
          <w:szCs w:val="24"/>
        </w:rPr>
        <w:t xml:space="preserve"> </w:t>
      </w:r>
      <w:r>
        <w:rPr>
          <w:sz w:val="24"/>
          <w:szCs w:val="24"/>
        </w:rPr>
        <w:t>while the background array displayed consistently</w:t>
      </w:r>
      <w:r w:rsidRPr="00517A42">
        <w:rPr>
          <w:sz w:val="24"/>
          <w:szCs w:val="24"/>
        </w:rPr>
        <w:t xml:space="preserve"> higher count</w:t>
      </w:r>
      <w:r>
        <w:rPr>
          <w:sz w:val="24"/>
          <w:szCs w:val="24"/>
        </w:rPr>
        <w:t>s</w:t>
      </w:r>
      <w:r w:rsidRPr="00517A42">
        <w:rPr>
          <w:sz w:val="24"/>
          <w:szCs w:val="24"/>
        </w:rPr>
        <w:t>.</w:t>
      </w:r>
      <w:r>
        <w:rPr>
          <w:sz w:val="24"/>
          <w:szCs w:val="24"/>
        </w:rPr>
        <w:t xml:space="preserve"> The difference </w:t>
      </w:r>
      <w:r w:rsidR="004117B2">
        <w:rPr>
          <w:sz w:val="24"/>
          <w:szCs w:val="24"/>
        </w:rPr>
        <w:t>was</w:t>
      </w:r>
      <w:r>
        <w:rPr>
          <w:sz w:val="24"/>
          <w:szCs w:val="24"/>
        </w:rPr>
        <w:t xml:space="preserve"> likely caused by </w:t>
      </w:r>
      <w:r w:rsidR="00B82AD4">
        <w:rPr>
          <w:sz w:val="24"/>
          <w:szCs w:val="24"/>
        </w:rPr>
        <w:t>intrinsic</w:t>
      </w:r>
      <w:r>
        <w:rPr>
          <w:sz w:val="24"/>
          <w:szCs w:val="24"/>
        </w:rPr>
        <w:t xml:space="preserve"> variations in the detector material such as the volume or PMT multiplication effectiveness.</w:t>
      </w:r>
    </w:p>
    <w:p w14:paraId="32099865" w14:textId="115BB10A" w:rsidR="006077E6" w:rsidRDefault="00B82AD4" w:rsidP="00E8022A">
      <w:pPr>
        <w:tabs>
          <w:tab w:val="left" w:pos="3075"/>
        </w:tabs>
        <w:spacing w:line="480" w:lineRule="auto"/>
        <w:ind w:firstLine="567"/>
        <w:rPr>
          <w:sz w:val="24"/>
          <w:szCs w:val="24"/>
        </w:rPr>
      </w:pPr>
      <w:r>
        <w:rPr>
          <w:sz w:val="24"/>
          <w:szCs w:val="24"/>
        </w:rPr>
        <w:t>It is not possible to</w:t>
      </w:r>
      <w:r w:rsidR="00F37CA9" w:rsidRPr="00973ED9">
        <w:rPr>
          <w:sz w:val="24"/>
          <w:szCs w:val="24"/>
        </w:rPr>
        <w:t xml:space="preserve"> remove all</w:t>
      </w:r>
      <w:r>
        <w:rPr>
          <w:sz w:val="24"/>
          <w:szCs w:val="24"/>
        </w:rPr>
        <w:t xml:space="preserve"> the</w:t>
      </w:r>
      <w:r w:rsidR="00F37CA9" w:rsidRPr="00973ED9">
        <w:rPr>
          <w:sz w:val="24"/>
          <w:szCs w:val="24"/>
        </w:rPr>
        <w:t xml:space="preserve"> discrepancies in </w:t>
      </w:r>
      <w:r>
        <w:rPr>
          <w:sz w:val="24"/>
          <w:szCs w:val="24"/>
        </w:rPr>
        <w:t xml:space="preserve">the </w:t>
      </w:r>
      <w:r w:rsidR="00F37CA9" w:rsidRPr="00973ED9">
        <w:rPr>
          <w:sz w:val="24"/>
          <w:szCs w:val="24"/>
        </w:rPr>
        <w:t xml:space="preserve">array responses without calculating averages of the measurements, so it was deemed more beneficial to carry out the same calculations but with a single, higher efficiency array, </w:t>
      </w:r>
      <w:r>
        <w:rPr>
          <w:sz w:val="24"/>
          <w:szCs w:val="24"/>
        </w:rPr>
        <w:t xml:space="preserve">and </w:t>
      </w:r>
      <w:r w:rsidR="00F37CA9" w:rsidRPr="00973ED9">
        <w:rPr>
          <w:sz w:val="24"/>
          <w:szCs w:val="24"/>
        </w:rPr>
        <w:t xml:space="preserve">then compare the sample counts to background counts </w:t>
      </w:r>
      <w:r w:rsidR="00F37CA9">
        <w:rPr>
          <w:sz w:val="24"/>
          <w:szCs w:val="24"/>
        </w:rPr>
        <w:t>–</w:t>
      </w:r>
      <w:r w:rsidR="00F37CA9" w:rsidRPr="00973ED9">
        <w:rPr>
          <w:sz w:val="24"/>
          <w:szCs w:val="24"/>
        </w:rPr>
        <w:t xml:space="preserve"> </w:t>
      </w:r>
      <w:r w:rsidR="00F37CA9">
        <w:rPr>
          <w:sz w:val="24"/>
          <w:szCs w:val="24"/>
        </w:rPr>
        <w:t xml:space="preserve">with and </w:t>
      </w:r>
      <w:r w:rsidR="00F37CA9" w:rsidRPr="00973ED9">
        <w:rPr>
          <w:sz w:val="24"/>
          <w:szCs w:val="24"/>
        </w:rPr>
        <w:t>without subtraction</w:t>
      </w:r>
      <w:r w:rsidR="00F37CA9">
        <w:rPr>
          <w:sz w:val="24"/>
          <w:szCs w:val="24"/>
        </w:rPr>
        <w:t xml:space="preserve"> of an average measured neutron background.</w:t>
      </w:r>
    </w:p>
    <w:p w14:paraId="6B4DE961" w14:textId="47039EA1" w:rsidR="00F37CA9" w:rsidRPr="006077E6" w:rsidRDefault="006077E6" w:rsidP="006077E6">
      <w:pPr>
        <w:rPr>
          <w:sz w:val="24"/>
          <w:szCs w:val="24"/>
        </w:rPr>
      </w:pPr>
      <w:r>
        <w:rPr>
          <w:sz w:val="24"/>
          <w:szCs w:val="24"/>
        </w:rPr>
        <w:br w:type="page"/>
      </w:r>
      <w:r w:rsidR="00F37CA9" w:rsidRPr="009D68BA">
        <w:rPr>
          <w:b/>
          <w:sz w:val="28"/>
        </w:rPr>
        <w:lastRenderedPageBreak/>
        <w:t>4.1.2 16 – Detector Array Measurement</w:t>
      </w:r>
    </w:p>
    <w:p w14:paraId="26FF2F7E" w14:textId="77777777" w:rsidR="00F37CA9" w:rsidRDefault="00F37CA9" w:rsidP="00F37CA9">
      <w:pPr>
        <w:tabs>
          <w:tab w:val="left" w:pos="3075"/>
        </w:tabs>
        <w:spacing w:line="480" w:lineRule="auto"/>
        <w:ind w:firstLine="567"/>
        <w:rPr>
          <w:sz w:val="24"/>
        </w:rPr>
      </w:pPr>
      <w:r>
        <w:rPr>
          <w:sz w:val="24"/>
        </w:rPr>
        <w:t xml:space="preserve">Following the comparison of parallel neutron detector arrays, a larger, higher-efficiency detector array was proposed to measure the differences in neutron emission between samples. </w:t>
      </w:r>
    </w:p>
    <w:p w14:paraId="26CDB4FD" w14:textId="714AB6A9" w:rsidR="00F37CA9" w:rsidRDefault="00F37CA9" w:rsidP="00F37CA9">
      <w:pPr>
        <w:tabs>
          <w:tab w:val="left" w:pos="3075"/>
        </w:tabs>
        <w:spacing w:line="480" w:lineRule="auto"/>
        <w:ind w:firstLine="567"/>
        <w:rPr>
          <w:sz w:val="24"/>
        </w:rPr>
      </w:pPr>
      <w:r w:rsidRPr="00C07361">
        <w:rPr>
          <w:sz w:val="24"/>
        </w:rPr>
        <w:t xml:space="preserve">The </w:t>
      </w:r>
      <w:r>
        <w:rPr>
          <w:sz w:val="24"/>
        </w:rPr>
        <w:t xml:space="preserve">background subtracted </w:t>
      </w:r>
      <w:r w:rsidRPr="00C07361">
        <w:rPr>
          <w:sz w:val="24"/>
        </w:rPr>
        <w:t>results</w:t>
      </w:r>
      <w:r>
        <w:rPr>
          <w:sz w:val="24"/>
        </w:rPr>
        <w:t xml:space="preserve"> in </w:t>
      </w:r>
      <w:r w:rsidR="00767A68">
        <w:rPr>
          <w:sz w:val="24"/>
        </w:rPr>
        <w:fldChar w:fldCharType="begin"/>
      </w:r>
      <w:r w:rsidR="00767A68">
        <w:rPr>
          <w:sz w:val="24"/>
        </w:rPr>
        <w:instrText xml:space="preserve"> REF _Ref31283038 \h </w:instrText>
      </w:r>
      <w:r w:rsidR="00F54A41">
        <w:rPr>
          <w:sz w:val="24"/>
        </w:rPr>
        <w:instrText xml:space="preserve"> \* MERGEFORMAT </w:instrText>
      </w:r>
      <w:r w:rsidR="00767A68">
        <w:rPr>
          <w:sz w:val="24"/>
        </w:rPr>
      </w:r>
      <w:r w:rsidR="00767A68">
        <w:rPr>
          <w:sz w:val="24"/>
        </w:rPr>
        <w:fldChar w:fldCharType="separate"/>
      </w:r>
      <w:r w:rsidR="00161FDC" w:rsidRPr="00161FDC">
        <w:rPr>
          <w:sz w:val="24"/>
        </w:rPr>
        <w:t xml:space="preserve">Figure </w:t>
      </w:r>
      <w:r w:rsidR="00161FDC" w:rsidRPr="00161FDC">
        <w:rPr>
          <w:noProof/>
        </w:rPr>
        <w:t>19</w:t>
      </w:r>
      <w:r w:rsidR="00767A68">
        <w:rPr>
          <w:sz w:val="24"/>
        </w:rPr>
        <w:fldChar w:fldCharType="end"/>
      </w:r>
      <w:r w:rsidR="00767A68">
        <w:rPr>
          <w:sz w:val="24"/>
        </w:rPr>
        <w:t xml:space="preserve"> </w:t>
      </w:r>
      <w:r w:rsidRPr="00C07361">
        <w:rPr>
          <w:sz w:val="24"/>
        </w:rPr>
        <w:t xml:space="preserve">show that the neutron emission of most </w:t>
      </w:r>
      <w:r w:rsidR="004B7579">
        <w:rPr>
          <w:sz w:val="24"/>
        </w:rPr>
        <w:t xml:space="preserve">of the study </w:t>
      </w:r>
      <w:r w:rsidRPr="00C07361">
        <w:rPr>
          <w:sz w:val="24"/>
        </w:rPr>
        <w:t xml:space="preserve">samples is consistent with background. </w:t>
      </w:r>
      <w:r>
        <w:rPr>
          <w:sz w:val="24"/>
        </w:rPr>
        <w:t>When considering the average neutron counts per detector, o</w:t>
      </w:r>
      <w:r w:rsidRPr="00C07361">
        <w:rPr>
          <w:sz w:val="24"/>
        </w:rPr>
        <w:t xml:space="preserve">nly </w:t>
      </w:r>
      <w:r>
        <w:rPr>
          <w:sz w:val="24"/>
        </w:rPr>
        <w:t>five</w:t>
      </w:r>
      <w:r w:rsidRPr="00C07361">
        <w:rPr>
          <w:sz w:val="24"/>
        </w:rPr>
        <w:t xml:space="preserve"> samples, DSRL4,</w:t>
      </w:r>
      <w:r>
        <w:rPr>
          <w:sz w:val="24"/>
        </w:rPr>
        <w:t xml:space="preserve"> </w:t>
      </w:r>
      <w:r w:rsidRPr="00C07361">
        <w:rPr>
          <w:sz w:val="24"/>
        </w:rPr>
        <w:t>5,</w:t>
      </w:r>
      <w:r>
        <w:rPr>
          <w:sz w:val="24"/>
        </w:rPr>
        <w:t xml:space="preserve"> </w:t>
      </w:r>
      <w:r w:rsidRPr="00C07361">
        <w:rPr>
          <w:sz w:val="24"/>
        </w:rPr>
        <w:t>9, 10</w:t>
      </w:r>
      <w:r>
        <w:rPr>
          <w:sz w:val="24"/>
        </w:rPr>
        <w:t xml:space="preserve"> and DSRLB1</w:t>
      </w:r>
      <w:r w:rsidRPr="00C07361">
        <w:rPr>
          <w:sz w:val="24"/>
        </w:rPr>
        <w:t xml:space="preserve"> were</w:t>
      </w:r>
      <w:r w:rsidR="00C94019">
        <w:rPr>
          <w:sz w:val="24"/>
        </w:rPr>
        <w:t xml:space="preserve"> consistently</w:t>
      </w:r>
      <w:r w:rsidRPr="00C07361">
        <w:rPr>
          <w:sz w:val="24"/>
        </w:rPr>
        <w:t xml:space="preserve"> above background</w:t>
      </w:r>
      <w:r>
        <w:rPr>
          <w:sz w:val="24"/>
        </w:rPr>
        <w:t xml:space="preserve"> levels with</w:t>
      </w:r>
      <w:r w:rsidRPr="00C07361">
        <w:rPr>
          <w:sz w:val="24"/>
        </w:rPr>
        <w:t xml:space="preserve"> DSRL10 </w:t>
      </w:r>
      <w:r>
        <w:rPr>
          <w:sz w:val="24"/>
        </w:rPr>
        <w:t xml:space="preserve">demonstrating </w:t>
      </w:r>
      <w:r w:rsidRPr="00C07361">
        <w:rPr>
          <w:sz w:val="24"/>
        </w:rPr>
        <w:t>the highest</w:t>
      </w:r>
      <w:r w:rsidR="00C94019">
        <w:rPr>
          <w:sz w:val="24"/>
        </w:rPr>
        <w:t>,</w:t>
      </w:r>
      <w:r w:rsidRPr="00C07361">
        <w:rPr>
          <w:sz w:val="24"/>
        </w:rPr>
        <w:t xml:space="preserve"> </w:t>
      </w:r>
      <w:r>
        <w:rPr>
          <w:sz w:val="24"/>
        </w:rPr>
        <w:t>with an average neutron count of 9436</w:t>
      </w:r>
      <w:r>
        <w:rPr>
          <w:rFonts w:cstheme="minorHAnsi"/>
          <w:sz w:val="24"/>
        </w:rPr>
        <w:t>±1065 following background subtraction</w:t>
      </w:r>
      <w:r w:rsidRPr="00C07361">
        <w:rPr>
          <w:sz w:val="24"/>
        </w:rPr>
        <w:t>.</w:t>
      </w:r>
      <w:r>
        <w:rPr>
          <w:sz w:val="24"/>
        </w:rPr>
        <w:t xml:space="preserve"> The remaining results that were significantly higher than background </w:t>
      </w:r>
      <w:r w:rsidR="00C94019">
        <w:rPr>
          <w:sz w:val="24"/>
        </w:rPr>
        <w:t xml:space="preserve">are </w:t>
      </w:r>
      <w:r w:rsidR="00841703">
        <w:rPr>
          <w:sz w:val="24"/>
        </w:rPr>
        <w:t>shown</w:t>
      </w:r>
      <w:r>
        <w:rPr>
          <w:sz w:val="24"/>
        </w:rPr>
        <w:t xml:space="preserve"> in </w:t>
      </w:r>
      <w:r w:rsidR="002E3184">
        <w:rPr>
          <w:sz w:val="24"/>
        </w:rPr>
        <w:fldChar w:fldCharType="begin"/>
      </w:r>
      <w:r w:rsidR="002E3184">
        <w:rPr>
          <w:sz w:val="24"/>
        </w:rPr>
        <w:instrText xml:space="preserve"> REF _Ref31286729 \h </w:instrText>
      </w:r>
      <w:r w:rsidR="00F54A41">
        <w:rPr>
          <w:sz w:val="24"/>
        </w:rPr>
        <w:instrText xml:space="preserve"> \* MERGEFORMAT </w:instrText>
      </w:r>
      <w:r w:rsidR="002E3184">
        <w:rPr>
          <w:sz w:val="24"/>
        </w:rPr>
      </w:r>
      <w:r w:rsidR="002E3184">
        <w:rPr>
          <w:sz w:val="24"/>
        </w:rPr>
        <w:fldChar w:fldCharType="separate"/>
      </w:r>
      <w:r w:rsidR="00161FDC" w:rsidRPr="00161FDC">
        <w:rPr>
          <w:sz w:val="24"/>
        </w:rPr>
        <w:t xml:space="preserve">Table </w:t>
      </w:r>
      <w:r w:rsidR="00161FDC" w:rsidRPr="00161FDC">
        <w:rPr>
          <w:noProof/>
        </w:rPr>
        <w:t>1</w:t>
      </w:r>
      <w:r w:rsidR="002E3184">
        <w:rPr>
          <w:sz w:val="24"/>
        </w:rPr>
        <w:fldChar w:fldCharType="end"/>
      </w:r>
      <w:r>
        <w:rPr>
          <w:sz w:val="24"/>
        </w:rPr>
        <w:t>.</w:t>
      </w:r>
    </w:p>
    <w:tbl>
      <w:tblPr>
        <w:tblStyle w:val="TableGrid"/>
        <w:tblW w:w="9209" w:type="dxa"/>
        <w:tblLook w:val="04A0" w:firstRow="1" w:lastRow="0" w:firstColumn="1" w:lastColumn="0" w:noHBand="0" w:noVBand="1"/>
      </w:tblPr>
      <w:tblGrid>
        <w:gridCol w:w="1980"/>
        <w:gridCol w:w="1276"/>
        <w:gridCol w:w="1417"/>
        <w:gridCol w:w="1559"/>
        <w:gridCol w:w="1560"/>
        <w:gridCol w:w="1417"/>
      </w:tblGrid>
      <w:tr w:rsidR="00F37CA9" w14:paraId="38238F96" w14:textId="77777777" w:rsidTr="00497DCB">
        <w:tc>
          <w:tcPr>
            <w:tcW w:w="1980" w:type="dxa"/>
          </w:tcPr>
          <w:p w14:paraId="3CA51AF0" w14:textId="77777777" w:rsidR="00F37CA9" w:rsidRDefault="00F37CA9" w:rsidP="00497DCB">
            <w:pPr>
              <w:tabs>
                <w:tab w:val="left" w:pos="3075"/>
              </w:tabs>
              <w:spacing w:line="480" w:lineRule="auto"/>
              <w:rPr>
                <w:sz w:val="24"/>
              </w:rPr>
            </w:pPr>
            <w:r>
              <w:rPr>
                <w:sz w:val="24"/>
              </w:rPr>
              <w:t>Sample</w:t>
            </w:r>
          </w:p>
        </w:tc>
        <w:tc>
          <w:tcPr>
            <w:tcW w:w="1276" w:type="dxa"/>
          </w:tcPr>
          <w:p w14:paraId="2507388A" w14:textId="77777777" w:rsidR="00F37CA9" w:rsidRDefault="00F37CA9" w:rsidP="00497DCB">
            <w:pPr>
              <w:tabs>
                <w:tab w:val="left" w:pos="3075"/>
              </w:tabs>
              <w:spacing w:line="480" w:lineRule="auto"/>
              <w:rPr>
                <w:sz w:val="24"/>
              </w:rPr>
            </w:pPr>
            <w:r>
              <w:rPr>
                <w:sz w:val="24"/>
              </w:rPr>
              <w:t>DSRL4</w:t>
            </w:r>
          </w:p>
        </w:tc>
        <w:tc>
          <w:tcPr>
            <w:tcW w:w="1417" w:type="dxa"/>
          </w:tcPr>
          <w:p w14:paraId="2110C753" w14:textId="77777777" w:rsidR="00F37CA9" w:rsidRDefault="00F37CA9" w:rsidP="00497DCB">
            <w:pPr>
              <w:tabs>
                <w:tab w:val="left" w:pos="3075"/>
              </w:tabs>
              <w:spacing w:line="480" w:lineRule="auto"/>
              <w:rPr>
                <w:sz w:val="24"/>
              </w:rPr>
            </w:pPr>
            <w:r>
              <w:rPr>
                <w:sz w:val="24"/>
              </w:rPr>
              <w:t>DSRL5</w:t>
            </w:r>
          </w:p>
        </w:tc>
        <w:tc>
          <w:tcPr>
            <w:tcW w:w="1559" w:type="dxa"/>
          </w:tcPr>
          <w:p w14:paraId="1BBB6FAE" w14:textId="77777777" w:rsidR="00F37CA9" w:rsidRDefault="00F37CA9" w:rsidP="00497DCB">
            <w:pPr>
              <w:tabs>
                <w:tab w:val="left" w:pos="3075"/>
              </w:tabs>
              <w:spacing w:line="480" w:lineRule="auto"/>
              <w:rPr>
                <w:sz w:val="24"/>
              </w:rPr>
            </w:pPr>
            <w:r>
              <w:rPr>
                <w:sz w:val="24"/>
              </w:rPr>
              <w:t>DSRL9</w:t>
            </w:r>
          </w:p>
        </w:tc>
        <w:tc>
          <w:tcPr>
            <w:tcW w:w="1560" w:type="dxa"/>
          </w:tcPr>
          <w:p w14:paraId="00B8265B" w14:textId="77777777" w:rsidR="00F37CA9" w:rsidRDefault="00F37CA9" w:rsidP="00497DCB">
            <w:pPr>
              <w:tabs>
                <w:tab w:val="left" w:pos="3075"/>
              </w:tabs>
              <w:spacing w:line="480" w:lineRule="auto"/>
              <w:rPr>
                <w:sz w:val="24"/>
              </w:rPr>
            </w:pPr>
            <w:r>
              <w:rPr>
                <w:sz w:val="24"/>
              </w:rPr>
              <w:t>DSRL10</w:t>
            </w:r>
          </w:p>
        </w:tc>
        <w:tc>
          <w:tcPr>
            <w:tcW w:w="1417" w:type="dxa"/>
          </w:tcPr>
          <w:p w14:paraId="33A410C1" w14:textId="77777777" w:rsidR="00F37CA9" w:rsidRDefault="00F37CA9" w:rsidP="00497DCB">
            <w:pPr>
              <w:tabs>
                <w:tab w:val="left" w:pos="3075"/>
              </w:tabs>
              <w:spacing w:line="480" w:lineRule="auto"/>
              <w:rPr>
                <w:sz w:val="24"/>
              </w:rPr>
            </w:pPr>
            <w:r>
              <w:rPr>
                <w:sz w:val="24"/>
              </w:rPr>
              <w:t>DSRLB1</w:t>
            </w:r>
          </w:p>
        </w:tc>
      </w:tr>
      <w:tr w:rsidR="00F37CA9" w14:paraId="0311B520" w14:textId="77777777" w:rsidTr="00497DCB">
        <w:tc>
          <w:tcPr>
            <w:tcW w:w="1980" w:type="dxa"/>
          </w:tcPr>
          <w:p w14:paraId="474839CE" w14:textId="54ADEA6A" w:rsidR="00F37CA9" w:rsidRDefault="00F37CA9" w:rsidP="00497DCB">
            <w:pPr>
              <w:tabs>
                <w:tab w:val="left" w:pos="3075"/>
              </w:tabs>
              <w:spacing w:line="480" w:lineRule="auto"/>
              <w:rPr>
                <w:sz w:val="24"/>
              </w:rPr>
            </w:pPr>
            <w:r>
              <w:rPr>
                <w:sz w:val="24"/>
              </w:rPr>
              <w:t>Neutron count per detector /kg</w:t>
            </w:r>
            <w:r w:rsidR="00C94019">
              <w:rPr>
                <w:sz w:val="24"/>
              </w:rPr>
              <w:t xml:space="preserve"> sample mass</w:t>
            </w:r>
          </w:p>
        </w:tc>
        <w:tc>
          <w:tcPr>
            <w:tcW w:w="1276" w:type="dxa"/>
          </w:tcPr>
          <w:p w14:paraId="38DE80EF" w14:textId="77777777" w:rsidR="00F37CA9" w:rsidRDefault="00F37CA9" w:rsidP="00497DCB">
            <w:pPr>
              <w:tabs>
                <w:tab w:val="left" w:pos="3075"/>
              </w:tabs>
              <w:spacing w:line="480" w:lineRule="auto"/>
              <w:rPr>
                <w:sz w:val="24"/>
              </w:rPr>
            </w:pPr>
            <w:r>
              <w:rPr>
                <w:sz w:val="24"/>
              </w:rPr>
              <w:t xml:space="preserve">4260 </w:t>
            </w:r>
            <w:r>
              <w:rPr>
                <w:rFonts w:cstheme="minorHAnsi"/>
                <w:sz w:val="24"/>
              </w:rPr>
              <w:t>±915</w:t>
            </w:r>
          </w:p>
        </w:tc>
        <w:tc>
          <w:tcPr>
            <w:tcW w:w="1417" w:type="dxa"/>
          </w:tcPr>
          <w:p w14:paraId="4B051648" w14:textId="77777777" w:rsidR="00F37CA9" w:rsidRDefault="00F37CA9" w:rsidP="00497DCB">
            <w:pPr>
              <w:tabs>
                <w:tab w:val="left" w:pos="3075"/>
              </w:tabs>
              <w:spacing w:line="480" w:lineRule="auto"/>
              <w:rPr>
                <w:sz w:val="24"/>
              </w:rPr>
            </w:pPr>
            <w:r>
              <w:rPr>
                <w:sz w:val="24"/>
              </w:rPr>
              <w:t xml:space="preserve">5060 </w:t>
            </w:r>
            <w:r>
              <w:rPr>
                <w:rFonts w:cstheme="minorHAnsi"/>
                <w:sz w:val="24"/>
              </w:rPr>
              <w:t>±1198</w:t>
            </w:r>
          </w:p>
        </w:tc>
        <w:tc>
          <w:tcPr>
            <w:tcW w:w="1559" w:type="dxa"/>
          </w:tcPr>
          <w:p w14:paraId="1D34B09C" w14:textId="77777777" w:rsidR="00F37CA9" w:rsidRDefault="00F37CA9" w:rsidP="00497DCB">
            <w:pPr>
              <w:tabs>
                <w:tab w:val="left" w:pos="3075"/>
              </w:tabs>
              <w:spacing w:line="480" w:lineRule="auto"/>
              <w:rPr>
                <w:sz w:val="24"/>
              </w:rPr>
            </w:pPr>
            <w:r>
              <w:rPr>
                <w:sz w:val="24"/>
              </w:rPr>
              <w:t xml:space="preserve">8986 </w:t>
            </w:r>
            <w:r>
              <w:rPr>
                <w:rFonts w:cstheme="minorHAnsi"/>
                <w:sz w:val="24"/>
              </w:rPr>
              <w:t>±1208</w:t>
            </w:r>
          </w:p>
        </w:tc>
        <w:tc>
          <w:tcPr>
            <w:tcW w:w="1560" w:type="dxa"/>
          </w:tcPr>
          <w:p w14:paraId="09680C18" w14:textId="77777777" w:rsidR="00F37CA9" w:rsidRDefault="00F37CA9" w:rsidP="00497DCB">
            <w:pPr>
              <w:tabs>
                <w:tab w:val="left" w:pos="3075"/>
              </w:tabs>
              <w:spacing w:line="480" w:lineRule="auto"/>
              <w:rPr>
                <w:sz w:val="24"/>
              </w:rPr>
            </w:pPr>
            <w:r>
              <w:rPr>
                <w:sz w:val="24"/>
              </w:rPr>
              <w:t xml:space="preserve">9436 </w:t>
            </w:r>
            <w:r>
              <w:rPr>
                <w:rFonts w:cstheme="minorHAnsi"/>
                <w:sz w:val="24"/>
              </w:rPr>
              <w:t>±1065</w:t>
            </w:r>
          </w:p>
        </w:tc>
        <w:tc>
          <w:tcPr>
            <w:tcW w:w="1417" w:type="dxa"/>
          </w:tcPr>
          <w:p w14:paraId="77A4A9C4" w14:textId="77777777" w:rsidR="00F37CA9" w:rsidRDefault="00F37CA9" w:rsidP="00767A68">
            <w:pPr>
              <w:keepNext/>
              <w:tabs>
                <w:tab w:val="left" w:pos="3075"/>
              </w:tabs>
              <w:spacing w:line="480" w:lineRule="auto"/>
              <w:rPr>
                <w:sz w:val="24"/>
              </w:rPr>
            </w:pPr>
            <w:r>
              <w:rPr>
                <w:sz w:val="24"/>
              </w:rPr>
              <w:t xml:space="preserve">2994 </w:t>
            </w:r>
            <w:r>
              <w:rPr>
                <w:rFonts w:cstheme="minorHAnsi"/>
                <w:sz w:val="24"/>
              </w:rPr>
              <w:t>±803</w:t>
            </w:r>
          </w:p>
        </w:tc>
      </w:tr>
    </w:tbl>
    <w:p w14:paraId="592D2A01" w14:textId="6220BEDE" w:rsidR="00767A68" w:rsidRPr="00C45EC1" w:rsidRDefault="00767A68">
      <w:pPr>
        <w:pStyle w:val="Caption"/>
        <w:rPr>
          <w:sz w:val="20"/>
        </w:rPr>
      </w:pPr>
      <w:bookmarkStart w:id="34" w:name="_Ref31286729"/>
      <w:bookmarkStart w:id="35" w:name="_Ref31284983"/>
      <w:r w:rsidRPr="00C45EC1">
        <w:rPr>
          <w:sz w:val="20"/>
        </w:rPr>
        <w:t xml:space="preserve">Table </w:t>
      </w:r>
      <w:r w:rsidRPr="00C45EC1">
        <w:rPr>
          <w:sz w:val="20"/>
        </w:rPr>
        <w:fldChar w:fldCharType="begin"/>
      </w:r>
      <w:r w:rsidRPr="00C45EC1">
        <w:rPr>
          <w:sz w:val="20"/>
        </w:rPr>
        <w:instrText xml:space="preserve"> SEQ Table \* ARABIC </w:instrText>
      </w:r>
      <w:r w:rsidRPr="00C45EC1">
        <w:rPr>
          <w:sz w:val="20"/>
        </w:rPr>
        <w:fldChar w:fldCharType="separate"/>
      </w:r>
      <w:r w:rsidR="00161FDC">
        <w:rPr>
          <w:noProof/>
          <w:sz w:val="20"/>
        </w:rPr>
        <w:t>1</w:t>
      </w:r>
      <w:r w:rsidRPr="00C45EC1">
        <w:rPr>
          <w:sz w:val="20"/>
        </w:rPr>
        <w:fldChar w:fldCharType="end"/>
      </w:r>
      <w:bookmarkEnd w:id="34"/>
      <w:r w:rsidRPr="00C45EC1">
        <w:rPr>
          <w:sz w:val="20"/>
        </w:rPr>
        <w:t xml:space="preserve"> Samples that have positive average neutron count per detector, following a correction for an assumed detection efficiency of 1% and the average background subtraction</w:t>
      </w:r>
      <w:bookmarkEnd w:id="35"/>
    </w:p>
    <w:p w14:paraId="0E4708B6" w14:textId="5D7DB0FF" w:rsidR="00F37CA9" w:rsidRDefault="00F37CA9" w:rsidP="001A2A01">
      <w:pPr>
        <w:tabs>
          <w:tab w:val="left" w:pos="3075"/>
        </w:tabs>
        <w:spacing w:line="480" w:lineRule="auto"/>
        <w:ind w:firstLine="567"/>
        <w:rPr>
          <w:sz w:val="24"/>
        </w:rPr>
      </w:pPr>
      <w:r>
        <w:rPr>
          <w:sz w:val="24"/>
        </w:rPr>
        <w:t xml:space="preserve">Five of the fourteen samples are distinguishable from background when considering average </w:t>
      </w:r>
      <w:r w:rsidR="00C94019">
        <w:rPr>
          <w:sz w:val="24"/>
        </w:rPr>
        <w:t xml:space="preserve">neutron </w:t>
      </w:r>
      <w:r>
        <w:rPr>
          <w:sz w:val="24"/>
        </w:rPr>
        <w:t>counts per detector</w:t>
      </w:r>
      <w:r w:rsidR="0055324C">
        <w:rPr>
          <w:sz w:val="24"/>
        </w:rPr>
        <w:t>,</w:t>
      </w:r>
      <w:r>
        <w:rPr>
          <w:sz w:val="24"/>
        </w:rPr>
        <w:t xml:space="preserve"> following background subtraction (shown in </w:t>
      </w:r>
      <w:r w:rsidR="00767A68">
        <w:rPr>
          <w:sz w:val="24"/>
        </w:rPr>
        <w:fldChar w:fldCharType="begin"/>
      </w:r>
      <w:r w:rsidR="00767A68">
        <w:rPr>
          <w:sz w:val="24"/>
        </w:rPr>
        <w:instrText xml:space="preserve"> REF _Ref31284983 \h </w:instrText>
      </w:r>
      <w:r w:rsidR="00767A68">
        <w:rPr>
          <w:sz w:val="24"/>
        </w:rPr>
      </w:r>
      <w:r w:rsidR="00767A68">
        <w:rPr>
          <w:sz w:val="24"/>
        </w:rPr>
        <w:fldChar w:fldCharType="separate"/>
      </w:r>
      <w:r w:rsidR="00161FDC" w:rsidRPr="00C45EC1">
        <w:rPr>
          <w:sz w:val="20"/>
        </w:rPr>
        <w:t xml:space="preserve">Table </w:t>
      </w:r>
      <w:r w:rsidR="00161FDC">
        <w:rPr>
          <w:noProof/>
          <w:sz w:val="20"/>
        </w:rPr>
        <w:t>1</w:t>
      </w:r>
      <w:r w:rsidR="00161FDC" w:rsidRPr="00C45EC1">
        <w:rPr>
          <w:sz w:val="20"/>
        </w:rPr>
        <w:t xml:space="preserve"> Samples that have positive average neutron count per detector, following a correction for an assumed detection efficiency of 1% and the average background subtraction</w:t>
      </w:r>
      <w:r w:rsidR="00767A68">
        <w:rPr>
          <w:sz w:val="24"/>
        </w:rPr>
        <w:fldChar w:fldCharType="end"/>
      </w:r>
      <w:r>
        <w:rPr>
          <w:sz w:val="24"/>
        </w:rPr>
        <w:t>), and only two samples were</w:t>
      </w:r>
      <w:r w:rsidR="001A2A01">
        <w:rPr>
          <w:sz w:val="24"/>
        </w:rPr>
        <w:t xml:space="preserve"> significantly</w:t>
      </w:r>
      <w:r>
        <w:rPr>
          <w:sz w:val="24"/>
        </w:rPr>
        <w:t xml:space="preserve"> above background in the summed counts measurements in </w:t>
      </w:r>
      <w:r w:rsidR="00767A68">
        <w:rPr>
          <w:sz w:val="24"/>
        </w:rPr>
        <w:fldChar w:fldCharType="begin"/>
      </w:r>
      <w:r w:rsidR="00767A68">
        <w:rPr>
          <w:sz w:val="24"/>
        </w:rPr>
        <w:instrText xml:space="preserve"> REF _Ref31283050 \h </w:instrText>
      </w:r>
      <w:r w:rsidR="00767A68">
        <w:rPr>
          <w:sz w:val="24"/>
        </w:rPr>
      </w:r>
      <w:r w:rsidR="00767A68">
        <w:rPr>
          <w:sz w:val="24"/>
        </w:rPr>
        <w:fldChar w:fldCharType="separate"/>
      </w:r>
      <w:r w:rsidR="00161FDC" w:rsidRPr="00C45EC1">
        <w:rPr>
          <w:sz w:val="20"/>
        </w:rPr>
        <w:t xml:space="preserve">Figure </w:t>
      </w:r>
      <w:r w:rsidR="00161FDC">
        <w:rPr>
          <w:noProof/>
          <w:sz w:val="20"/>
        </w:rPr>
        <w:t>20</w:t>
      </w:r>
      <w:r w:rsidR="00767A68">
        <w:rPr>
          <w:sz w:val="24"/>
        </w:rPr>
        <w:fldChar w:fldCharType="end"/>
      </w:r>
      <w:r>
        <w:rPr>
          <w:sz w:val="24"/>
        </w:rPr>
        <w:t xml:space="preserve">. A correction was applied to the neutron counts to ascertain an estimate for the neutron emission from the samples. Without a correction, the neutron counts will be </w:t>
      </w:r>
      <w:r>
        <w:rPr>
          <w:sz w:val="24"/>
        </w:rPr>
        <w:lastRenderedPageBreak/>
        <w:t>underrepresenting the reality emitted from the sample in the measurement period</w:t>
      </w:r>
      <w:r w:rsidR="00C94019">
        <w:rPr>
          <w:sz w:val="24"/>
        </w:rPr>
        <w:t xml:space="preserve"> due to efficiency losses</w:t>
      </w:r>
      <w:r w:rsidR="00116CE2">
        <w:rPr>
          <w:sz w:val="24"/>
        </w:rPr>
        <w:t xml:space="preserve"> due to the array geometry</w:t>
      </w:r>
      <w:r w:rsidR="00C94019">
        <w:rPr>
          <w:sz w:val="24"/>
        </w:rPr>
        <w:t>.</w:t>
      </w:r>
    </w:p>
    <w:p w14:paraId="5625E929" w14:textId="218D8716" w:rsidR="00F37CA9" w:rsidRDefault="00F37CA9" w:rsidP="00F37CA9">
      <w:pPr>
        <w:tabs>
          <w:tab w:val="left" w:pos="3075"/>
        </w:tabs>
        <w:spacing w:line="480" w:lineRule="auto"/>
        <w:ind w:firstLine="567"/>
        <w:rPr>
          <w:sz w:val="24"/>
        </w:rPr>
      </w:pPr>
      <w:r>
        <w:rPr>
          <w:sz w:val="24"/>
        </w:rPr>
        <w:t xml:space="preserve">It can be deduced from the results that the </w:t>
      </w:r>
      <w:r w:rsidRPr="00C07361">
        <w:rPr>
          <w:sz w:val="24"/>
        </w:rPr>
        <w:t>current neutron measurement technique</w:t>
      </w:r>
      <w:r>
        <w:rPr>
          <w:sz w:val="24"/>
        </w:rPr>
        <w:t xml:space="preserve"> alone</w:t>
      </w:r>
      <w:r w:rsidRPr="00C07361">
        <w:rPr>
          <w:sz w:val="24"/>
        </w:rPr>
        <w:t xml:space="preserve"> is not sensitive enough to distinguish</w:t>
      </w:r>
      <w:r>
        <w:rPr>
          <w:sz w:val="24"/>
        </w:rPr>
        <w:t xml:space="preserve"> the</w:t>
      </w:r>
      <w:r w:rsidRPr="00C07361">
        <w:rPr>
          <w:sz w:val="24"/>
        </w:rPr>
        <w:t xml:space="preserve"> </w:t>
      </w:r>
      <w:r w:rsidR="00C94019">
        <w:rPr>
          <w:sz w:val="24"/>
        </w:rPr>
        <w:t>emission</w:t>
      </w:r>
      <w:r>
        <w:rPr>
          <w:sz w:val="24"/>
        </w:rPr>
        <w:t xml:space="preserve"> of </w:t>
      </w:r>
      <w:r w:rsidR="00C94019">
        <w:rPr>
          <w:sz w:val="24"/>
        </w:rPr>
        <w:t>every</w:t>
      </w:r>
      <w:r>
        <w:rPr>
          <w:sz w:val="24"/>
        </w:rPr>
        <w:t xml:space="preserve"> sample</w:t>
      </w:r>
      <w:r w:rsidRPr="00C07361">
        <w:rPr>
          <w:sz w:val="24"/>
        </w:rPr>
        <w:t xml:space="preserve"> from that of natural background</w:t>
      </w:r>
      <w:r>
        <w:rPr>
          <w:sz w:val="24"/>
        </w:rPr>
        <w:t>, or that there is no</w:t>
      </w:r>
      <w:r w:rsidR="00C94019">
        <w:rPr>
          <w:sz w:val="24"/>
        </w:rPr>
        <w:t xml:space="preserve"> measurable</w:t>
      </w:r>
      <w:r>
        <w:rPr>
          <w:sz w:val="24"/>
        </w:rPr>
        <w:t xml:space="preserve"> difference between ten of the samples and the natural background neutron emission.</w:t>
      </w:r>
    </w:p>
    <w:p w14:paraId="3B4FAC2D" w14:textId="0B3A1417" w:rsidR="00F37CA9" w:rsidRDefault="00F37CA9" w:rsidP="00F37CA9">
      <w:pPr>
        <w:tabs>
          <w:tab w:val="left" w:pos="3075"/>
        </w:tabs>
        <w:spacing w:line="480" w:lineRule="auto"/>
        <w:ind w:firstLine="567"/>
        <w:rPr>
          <w:sz w:val="24"/>
        </w:rPr>
      </w:pPr>
      <w:r>
        <w:rPr>
          <w:sz w:val="24"/>
        </w:rPr>
        <w:t xml:space="preserve">It is possible that </w:t>
      </w:r>
      <w:r w:rsidR="00725A29">
        <w:rPr>
          <w:sz w:val="24"/>
        </w:rPr>
        <w:t>many</w:t>
      </w:r>
      <w:r>
        <w:rPr>
          <w:sz w:val="24"/>
        </w:rPr>
        <w:t xml:space="preserve"> of neutron counts measured in the detection period are of cosmic origin</w:t>
      </w:r>
      <w:r w:rsidR="00725A29">
        <w:rPr>
          <w:sz w:val="24"/>
        </w:rPr>
        <w:t xml:space="preserve"> (</w:t>
      </w:r>
      <w:r>
        <w:rPr>
          <w:sz w:val="24"/>
        </w:rPr>
        <w:t>as most samples are consistent with the background</w:t>
      </w:r>
      <w:r w:rsidR="00EF5DF4">
        <w:rPr>
          <w:sz w:val="24"/>
        </w:rPr>
        <w:t xml:space="preserve"> counts</w:t>
      </w:r>
      <w:r w:rsidR="00725A29">
        <w:rPr>
          <w:sz w:val="24"/>
        </w:rPr>
        <w:t>)</w:t>
      </w:r>
      <w:r w:rsidR="00C94019">
        <w:rPr>
          <w:sz w:val="24"/>
        </w:rPr>
        <w:t xml:space="preserve"> a</w:t>
      </w:r>
      <w:r w:rsidR="00725A29">
        <w:rPr>
          <w:sz w:val="24"/>
        </w:rPr>
        <w:t>s</w:t>
      </w:r>
      <w:r w:rsidR="00C94019">
        <w:rPr>
          <w:sz w:val="24"/>
        </w:rPr>
        <w:t xml:space="preserve"> this is known to be significant</w:t>
      </w:r>
      <w:r w:rsidR="00725A29">
        <w:rPr>
          <w:sz w:val="24"/>
        </w:rPr>
        <w:t>, though Feige et al</w:t>
      </w:r>
      <w:r w:rsidR="00FC6280">
        <w:rPr>
          <w:sz w:val="24"/>
        </w:rPr>
        <w:t xml:space="preserve"> </w:t>
      </w:r>
      <w:r w:rsidR="00FC6280">
        <w:rPr>
          <w:sz w:val="24"/>
        </w:rPr>
        <w:fldChar w:fldCharType="begin" w:fldLock="1"/>
      </w:r>
      <w:r w:rsidR="000B0F18">
        <w:rPr>
          <w:sz w:val="24"/>
        </w:rPr>
        <w:instrText>ADDIN CSL_CITATION {"citationItems":[{"id":"ITEM-1","itemData":{"DOI":"10.1029/JB073i010p03135","ISSN":"01480227","author":[{"dropping-particle":"","family":"Feige","given":"Y.","non-dropping-particle":"","parse-names":false,"suffix":""},{"dropping-particle":"","family":"Oltman","given":"B. G.","non-dropping-particle":"","parse-names":false,"suffix":""},{"dropping-particle":"","family":"Kastner","given":"J.","non-dropping-particle":"","parse-names":false,"suffix":""}],"container-title":"Journal of Geophysical Research","id":"ITEM-1","issue":"10","issued":{"date-parts":[["1968","5","15"]]},"page":"3135-3142","title":"Production rates of neutrons in soils due to natural radioactivity","type":"article-journal","volume":"73"},"uris":["http://www.mendeley.com/documents/?uuid=66bf4c8e-a29a-48ce-8aaf-7f7efd761952"]}],"mendeley":{"formattedCitation":"[40]","plainTextFormattedCitation":"[40]","previouslyFormattedCitation":"[40]"},"properties":{"noteIndex":0},"schema":"https://github.com/citation-style-language/schema/raw/master/csl-citation.json"}</w:instrText>
      </w:r>
      <w:r w:rsidR="00FC6280">
        <w:rPr>
          <w:sz w:val="24"/>
        </w:rPr>
        <w:fldChar w:fldCharType="separate"/>
      </w:r>
      <w:r w:rsidR="007D1AB4" w:rsidRPr="007D1AB4">
        <w:rPr>
          <w:noProof/>
          <w:sz w:val="24"/>
        </w:rPr>
        <w:t>[40]</w:t>
      </w:r>
      <w:r w:rsidR="00FC6280">
        <w:rPr>
          <w:sz w:val="24"/>
        </w:rPr>
        <w:fldChar w:fldCharType="end"/>
      </w:r>
      <w:r w:rsidR="00725A29">
        <w:rPr>
          <w:sz w:val="24"/>
        </w:rPr>
        <w:t xml:space="preserve"> estimate numbers much lower </w:t>
      </w:r>
      <w:r w:rsidR="00E12F64">
        <w:rPr>
          <w:sz w:val="24"/>
        </w:rPr>
        <w:t>even</w:t>
      </w:r>
      <w:r w:rsidR="00725A29">
        <w:rPr>
          <w:sz w:val="24"/>
        </w:rPr>
        <w:t xml:space="preserve"> per year</w:t>
      </w:r>
      <w:r w:rsidR="00E12F64">
        <w:rPr>
          <w:sz w:val="24"/>
        </w:rPr>
        <w:t xml:space="preserve">, </w:t>
      </w:r>
      <w:r w:rsidR="00725A29">
        <w:rPr>
          <w:sz w:val="24"/>
        </w:rPr>
        <w:t xml:space="preserve">than what </w:t>
      </w:r>
      <w:r w:rsidR="00E12F64">
        <w:rPr>
          <w:sz w:val="24"/>
        </w:rPr>
        <w:t>is</w:t>
      </w:r>
      <w:r w:rsidR="00725A29">
        <w:rPr>
          <w:sz w:val="24"/>
        </w:rPr>
        <w:t xml:space="preserve"> see</w:t>
      </w:r>
      <w:r w:rsidR="00E12F64">
        <w:rPr>
          <w:sz w:val="24"/>
        </w:rPr>
        <w:t>n</w:t>
      </w:r>
      <w:r w:rsidR="00725A29">
        <w:rPr>
          <w:sz w:val="24"/>
        </w:rPr>
        <w:t xml:space="preserve"> over the course of a four hour measurement</w:t>
      </w:r>
      <w:r w:rsidR="00C94019">
        <w:rPr>
          <w:sz w:val="24"/>
        </w:rPr>
        <w:t>.</w:t>
      </w:r>
      <w:r w:rsidR="00725A29">
        <w:rPr>
          <w:sz w:val="24"/>
        </w:rPr>
        <w:t xml:space="preserve"> With this</w:t>
      </w:r>
      <w:r w:rsidR="00E12F64">
        <w:rPr>
          <w:sz w:val="24"/>
        </w:rPr>
        <w:t xml:space="preserve"> difference to the literature</w:t>
      </w:r>
      <w:r w:rsidR="00725A29">
        <w:rPr>
          <w:sz w:val="24"/>
        </w:rPr>
        <w:t xml:space="preserve"> in mind,</w:t>
      </w:r>
      <w:r w:rsidR="00BB2A65">
        <w:rPr>
          <w:sz w:val="24"/>
        </w:rPr>
        <w:t xml:space="preserve"> </w:t>
      </w:r>
      <w:r w:rsidR="00E12F64">
        <w:rPr>
          <w:sz w:val="24"/>
        </w:rPr>
        <w:t>it is</w:t>
      </w:r>
      <w:r w:rsidR="00725A29">
        <w:rPr>
          <w:sz w:val="24"/>
        </w:rPr>
        <w:t xml:space="preserve"> also worth noting that i</w:t>
      </w:r>
      <w:r>
        <w:rPr>
          <w:sz w:val="24"/>
        </w:rPr>
        <w:t>t is possible that not all counts are genuine in each measurement. Various published reports allude to the potential for cross-talk between the detectors</w:t>
      </w:r>
      <w:r w:rsidR="00C94019">
        <w:rPr>
          <w:sz w:val="24"/>
        </w:rPr>
        <w:t>,</w:t>
      </w:r>
      <w:r>
        <w:rPr>
          <w:sz w:val="24"/>
        </w:rPr>
        <w:t xml:space="preserve"> which can contribute to up to 40% of counts. Cross-talk refers to the potential for </w:t>
      </w:r>
      <w:r w:rsidR="00C94019">
        <w:rPr>
          <w:sz w:val="24"/>
        </w:rPr>
        <w:t xml:space="preserve">a </w:t>
      </w:r>
      <w:r>
        <w:rPr>
          <w:sz w:val="24"/>
        </w:rPr>
        <w:t>neutron to be detected multiple times in an array. This effect can increase as the distance between detectors decreases</w:t>
      </w:r>
      <w:r w:rsidR="00FC6280">
        <w:rPr>
          <w:sz w:val="24"/>
        </w:rPr>
        <w:t xml:space="preserve"> </w:t>
      </w:r>
      <w:r w:rsidR="00FC6280">
        <w:rPr>
          <w:sz w:val="24"/>
        </w:rPr>
        <w:fldChar w:fldCharType="begin" w:fldLock="1"/>
      </w:r>
      <w:r w:rsidR="00767A68">
        <w:rPr>
          <w:sz w:val="24"/>
        </w:rPr>
        <w:instrText>ADDIN CSL_CITATION {"citationItems":[{"id":"ITEM-1","itemData":{"DOI":"10.1109/TNS.2016.2542290","ISSN":"0018-9499","author":[{"dropping-particle":"","family":"Simony","given":"B.","non-dropping-particle":"","parse-names":false,"suffix":""},{"dropping-particle":"","family":"Deyglun","given":"C.","non-dropping-particle":"","parse-names":false,"suffix":""},{"dropping-particle":"","family":"Perot","given":"B.","non-dropping-particle":"","parse-names":false,"suffix":""},{"dropping-particle":"","family":"Carasco","given":"C.","non-dropping-particle":"","parse-names":false,"suffix":""},{"dropping-particle":"","family":"Saurel","given":"N.","non-dropping-particle":"","parse-names":false,"suffix":""},{"dropping-particle":"","family":"Colas","given":"S.","non-dropping-particle":"","parse-names":false,"suffix":""},{"dropping-particle":"","family":"Collot","given":"J.","non-dropping-particle":"","parse-names":false,"suffix":""}],"container-title":"IEEE Transactions on Nuclear Science","id":"ITEM-1","issue":"3","issued":{"date-parts":[["2016","6"]]},"page":"1513-1519","title":"Cross-Talk Characterization in Passive Neutron Coincidence Counting of Radioactive Waste Drums With Plastic Scintillators","type":"article-journal","volume":"63"},"uris":["http://www.mendeley.com/documents/?uuid=81ad10a8-e2fa-3fee-bafc-4bd809784935"]}],"mendeley":{"formattedCitation":"[67]","plainTextFormattedCitation":"[67]","previouslyFormattedCitation":"[67]"},"properties":{"noteIndex":0},"schema":"https://github.com/citation-style-language/schema/raw/master/csl-citation.json"}</w:instrText>
      </w:r>
      <w:r w:rsidR="00FC6280">
        <w:rPr>
          <w:sz w:val="24"/>
        </w:rPr>
        <w:fldChar w:fldCharType="separate"/>
      </w:r>
      <w:r w:rsidR="000B0F18" w:rsidRPr="000B0F18">
        <w:rPr>
          <w:noProof/>
          <w:sz w:val="24"/>
        </w:rPr>
        <w:t>[67]</w:t>
      </w:r>
      <w:r w:rsidR="00FC6280">
        <w:rPr>
          <w:sz w:val="24"/>
        </w:rPr>
        <w:fldChar w:fldCharType="end"/>
      </w:r>
      <w:r w:rsidR="00FC6280">
        <w:rPr>
          <w:sz w:val="24"/>
        </w:rPr>
        <w:t xml:space="preserve"> </w:t>
      </w:r>
      <w:r w:rsidR="00FC6280">
        <w:rPr>
          <w:sz w:val="24"/>
        </w:rPr>
        <w:fldChar w:fldCharType="begin" w:fldLock="1"/>
      </w:r>
      <w:r w:rsidR="000B0F18">
        <w:rPr>
          <w:sz w:val="24"/>
        </w:rPr>
        <w:instrText>ADDIN CSL_CITATION {"citationItems":[{"id":"ITEM-1","itemData":{"DOI":"10.1016/j.nima.2018.06.056","abstract":"A model quantifying detector cross-talk and the misidentification of events in fast neutron coincidence distributions is described. This is demonstrated for two experimental arrangements comprising rings of 8 and 15 organic liquid scintillation detectors. Correction terms developed as part of this model are tested with 252 Cf and a relationship is developed between the 235 U enrichment of U 3 O 8 and the order of correlated, fast neutron multiplets induced by an americium-lithium source. The model is also supported by Geant4 simulations. The results suggest that a typical assay, for experimental arrangements that are similar to the examples investigated in this research, will exhibit cross-talk for less than 1% of all detected fast neutrons but, if not accounted for, this can bias the numerical analysis by a margin of 10% and 35% in second-and third-order coincidences (i.e. couplet and triplet counts), respectively. Further, for the case of 252 Cf, it is shown that a relatively low proportion of 4% breakthrough by í µí»¾ rays (that is, photons misidentified as neutrons by the pulse-shape discrimination process) can lead to an erroneous increase of 20% in total neutron counts in the assay of a mixed-field, in this case of 252 Cf. These findings will help direct the developments needed to enable organic scintillation detectors with pulse shape discriminators to be applied reliably to nuclear safeguards and non-proliferation verification tasks.","author":[{"dropping-particle":"","family":"Sarwar","given":"R","non-dropping-particle":"","parse-names":false,"suffix":""},{"dropping-particle":"","family":"Astromskas","given":"V","non-dropping-particle":"","parse-names":false,"suffix":""},{"dropping-particle":"","family":"Zimmerman","given":"C H","non-dropping-particle":"","parse-names":false,"suffix":""},{"dropping-particle":"","family":"Nutter","given":"G","non-dropping-particle":"","parse-names":false,"suffix":""},{"dropping-particle":"","family":"Simone","given":"A T","non-dropping-particle":"","parse-names":false,"suffix":""},{"dropping-particle":"","family":"Croft","given":"S","non-dropping-particle":"","parse-names":false,"suffix":""},{"dropping-particle":"","family":"Joyce","given":"M J","non-dropping-particle":"","parse-names":false,"suffix":""}],"container-title":"Nuclear Inst. and Methods in Physics Research, A","id":"ITEM-1","issued":{"date-parts":[["2018"]]},"page":"152-161","title":"An event-triggered coincidence algorithm for fast-neutron multiplicity assay corrected for cross-talk and photon breakthrough","type":"article-journal","volume":"903"},"uris":["http://www.mendeley.com/documents/?uuid=0b22f73a-504a-3590-8278-484e11d523f3"]}],"mendeley":{"formattedCitation":"[50]","plainTextFormattedCitation":"[50]","previouslyFormattedCitation":"[50]"},"properties":{"noteIndex":0},"schema":"https://github.com/citation-style-language/schema/raw/master/csl-citation.json"}</w:instrText>
      </w:r>
      <w:r w:rsidR="00FC6280">
        <w:rPr>
          <w:sz w:val="24"/>
        </w:rPr>
        <w:fldChar w:fldCharType="separate"/>
      </w:r>
      <w:r w:rsidR="007D1AB4" w:rsidRPr="007D1AB4">
        <w:rPr>
          <w:noProof/>
          <w:sz w:val="24"/>
        </w:rPr>
        <w:t>[50]</w:t>
      </w:r>
      <w:r w:rsidR="00FC6280">
        <w:rPr>
          <w:sz w:val="24"/>
        </w:rPr>
        <w:fldChar w:fldCharType="end"/>
      </w:r>
      <w:r w:rsidR="00FC6280">
        <w:rPr>
          <w:sz w:val="24"/>
        </w:rPr>
        <w:t>.</w:t>
      </w:r>
      <w:r>
        <w:rPr>
          <w:sz w:val="24"/>
        </w:rPr>
        <w:t xml:space="preserve"> Cross-talk is a significant</w:t>
      </w:r>
      <w:r w:rsidR="00C94019">
        <w:rPr>
          <w:sz w:val="24"/>
        </w:rPr>
        <w:t xml:space="preserve"> factor</w:t>
      </w:r>
      <w:r>
        <w:rPr>
          <w:sz w:val="24"/>
        </w:rPr>
        <w:t xml:space="preserve"> to consider within the 16-detector array due to the close configuration of the detectors, as depicted in the Experimental Methods. This could mean that atmospheric neutrons are also being counted multiple times, further masking the sample counts, which </w:t>
      </w:r>
      <w:r w:rsidR="00C94019">
        <w:rPr>
          <w:sz w:val="24"/>
        </w:rPr>
        <w:t>suggests that</w:t>
      </w:r>
      <w:r>
        <w:rPr>
          <w:sz w:val="24"/>
        </w:rPr>
        <w:t xml:space="preserve"> a comparative measurement of the atmospheric background neutrons</w:t>
      </w:r>
      <w:r w:rsidR="00C94019">
        <w:rPr>
          <w:sz w:val="24"/>
        </w:rPr>
        <w:t xml:space="preserve"> is</w:t>
      </w:r>
      <w:r>
        <w:rPr>
          <w:sz w:val="24"/>
        </w:rPr>
        <w:t xml:space="preserve"> important. </w:t>
      </w:r>
      <w:r w:rsidR="00937434">
        <w:rPr>
          <w:sz w:val="24"/>
        </w:rPr>
        <w:t>This being said</w:t>
      </w:r>
      <w:r w:rsidR="00E64F4E">
        <w:rPr>
          <w:sz w:val="24"/>
        </w:rPr>
        <w:t xml:space="preserve">, </w:t>
      </w:r>
      <w:r>
        <w:rPr>
          <w:sz w:val="24"/>
        </w:rPr>
        <w:t xml:space="preserve">Sarwar et al, while extremely relevant to the study due to </w:t>
      </w:r>
      <w:r w:rsidR="00157C25">
        <w:rPr>
          <w:sz w:val="24"/>
        </w:rPr>
        <w:t xml:space="preserve">their use of </w:t>
      </w:r>
      <w:r>
        <w:rPr>
          <w:sz w:val="24"/>
        </w:rPr>
        <w:t>almost identical equipment, has a much higher neutron flux throughout their measurements due to</w:t>
      </w:r>
      <w:r w:rsidR="00157C25">
        <w:rPr>
          <w:sz w:val="24"/>
        </w:rPr>
        <w:t xml:space="preserve"> the use of</w:t>
      </w:r>
      <w:r>
        <w:rPr>
          <w:sz w:val="24"/>
        </w:rPr>
        <w:t xml:space="preserve"> high neutron emission </w:t>
      </w:r>
      <w:r w:rsidR="0005525D">
        <w:rPr>
          <w:sz w:val="24"/>
        </w:rPr>
        <w:t>sources such as californium-252.</w:t>
      </w:r>
      <w:r>
        <w:rPr>
          <w:sz w:val="24"/>
        </w:rPr>
        <w:t xml:space="preserve"> </w:t>
      </w:r>
      <w:r w:rsidR="0005525D">
        <w:rPr>
          <w:sz w:val="24"/>
        </w:rPr>
        <w:t>In contrast, t</w:t>
      </w:r>
      <w:r>
        <w:rPr>
          <w:sz w:val="24"/>
        </w:rPr>
        <w:t xml:space="preserve">his project </w:t>
      </w:r>
      <w:r>
        <w:rPr>
          <w:sz w:val="24"/>
        </w:rPr>
        <w:lastRenderedPageBreak/>
        <w:t>observes neutron flux around background levels</w:t>
      </w:r>
      <w:r w:rsidR="001A2A01">
        <w:rPr>
          <w:sz w:val="24"/>
        </w:rPr>
        <w:t xml:space="preserve"> so </w:t>
      </w:r>
      <w:r w:rsidR="00E966F8">
        <w:rPr>
          <w:sz w:val="24"/>
        </w:rPr>
        <w:t>will see lower levels of neutron scatter</w:t>
      </w:r>
      <w:r w:rsidR="006C4E05">
        <w:rPr>
          <w:sz w:val="24"/>
        </w:rPr>
        <w:t xml:space="preserve"> and therefore </w:t>
      </w:r>
      <w:r w:rsidR="0005525D">
        <w:rPr>
          <w:sz w:val="24"/>
        </w:rPr>
        <w:t xml:space="preserve">lower levels of </w:t>
      </w:r>
      <w:r w:rsidR="006C4E05">
        <w:rPr>
          <w:sz w:val="24"/>
        </w:rPr>
        <w:t>cross-talk</w:t>
      </w:r>
      <w:r w:rsidR="001A2A01">
        <w:rPr>
          <w:sz w:val="24"/>
        </w:rPr>
        <w:t>.</w:t>
      </w:r>
    </w:p>
    <w:p w14:paraId="7F068341" w14:textId="153B5D90" w:rsidR="00767A68" w:rsidRDefault="00F37CA9" w:rsidP="00767A68">
      <w:pPr>
        <w:keepNext/>
        <w:tabs>
          <w:tab w:val="left" w:pos="3075"/>
        </w:tabs>
        <w:spacing w:line="480" w:lineRule="auto"/>
        <w:ind w:firstLine="567"/>
      </w:pPr>
      <w:r>
        <w:rPr>
          <w:sz w:val="24"/>
        </w:rPr>
        <w:t xml:space="preserve">Quantification of the actinide abundance within each sample </w:t>
      </w:r>
      <w:r w:rsidR="00355BC1">
        <w:rPr>
          <w:sz w:val="24"/>
        </w:rPr>
        <w:t>using</w:t>
      </w:r>
      <w:r>
        <w:rPr>
          <w:sz w:val="24"/>
        </w:rPr>
        <w:t xml:space="preserve"> AMS allowed calculation of </w:t>
      </w:r>
      <w:r w:rsidR="00575B1F">
        <w:rPr>
          <w:sz w:val="24"/>
        </w:rPr>
        <w:t xml:space="preserve">estimated </w:t>
      </w:r>
      <w:r>
        <w:rPr>
          <w:sz w:val="24"/>
        </w:rPr>
        <w:t>neutron emission</w:t>
      </w:r>
      <w:r w:rsidR="00575B1F">
        <w:rPr>
          <w:sz w:val="24"/>
        </w:rPr>
        <w:t xml:space="preserve"> over the four-hour </w:t>
      </w:r>
      <w:r w:rsidR="006D0069">
        <w:rPr>
          <w:sz w:val="24"/>
        </w:rPr>
        <w:t>count times</w:t>
      </w:r>
      <w:r w:rsidR="00146B19">
        <w:rPr>
          <w:sz w:val="24"/>
        </w:rPr>
        <w:t>. This was</w:t>
      </w:r>
      <w:r>
        <w:rPr>
          <w:sz w:val="24"/>
        </w:rPr>
        <w:t xml:space="preserve"> based o</w:t>
      </w:r>
      <w:r w:rsidR="00157C25">
        <w:rPr>
          <w:sz w:val="24"/>
        </w:rPr>
        <w:t xml:space="preserve">n </w:t>
      </w:r>
      <w:r>
        <w:rPr>
          <w:sz w:val="24"/>
        </w:rPr>
        <w:t xml:space="preserve">the spontaneous fission and </w:t>
      </w:r>
      <w:r w:rsidR="00157C25">
        <w:rPr>
          <w:sz w:val="24"/>
        </w:rPr>
        <w:t>(</w:t>
      </w:r>
      <w:r w:rsidR="001F3BE7" w:rsidRPr="001F3BE7">
        <w:rPr>
          <w:sz w:val="24"/>
        </w:rPr>
        <w:t>α</w:t>
      </w:r>
      <w:r w:rsidR="00157C25">
        <w:rPr>
          <w:sz w:val="24"/>
        </w:rPr>
        <w:t>,n)</w:t>
      </w:r>
      <w:r>
        <w:rPr>
          <w:sz w:val="24"/>
        </w:rPr>
        <w:t xml:space="preserve"> emission rates</w:t>
      </w:r>
      <w:r w:rsidR="00157C25">
        <w:rPr>
          <w:sz w:val="24"/>
        </w:rPr>
        <w:t xml:space="preserve"> for isotope</w:t>
      </w:r>
      <w:r w:rsidR="005A5320">
        <w:rPr>
          <w:sz w:val="24"/>
        </w:rPr>
        <w:t>s 239-242</w:t>
      </w:r>
      <w:r w:rsidR="0051097B">
        <w:rPr>
          <w:sz w:val="24"/>
        </w:rPr>
        <w:t xml:space="preserve"> of plutonium, </w:t>
      </w:r>
      <w:r w:rsidR="00175EAE">
        <w:rPr>
          <w:sz w:val="24"/>
        </w:rPr>
        <w:t>as well as</w:t>
      </w:r>
      <w:r w:rsidR="0051097B">
        <w:rPr>
          <w:sz w:val="24"/>
        </w:rPr>
        <w:t xml:space="preserve"> </w:t>
      </w:r>
      <w:r>
        <w:rPr>
          <w:sz w:val="24"/>
        </w:rPr>
        <w:t xml:space="preserve"> </w:t>
      </w:r>
      <w:r w:rsidR="0051097B" w:rsidRPr="0051097B">
        <w:rPr>
          <w:sz w:val="24"/>
          <w:vertAlign w:val="superscript"/>
        </w:rPr>
        <w:t>241</w:t>
      </w:r>
      <w:r w:rsidR="0051097B" w:rsidRPr="0051097B">
        <w:rPr>
          <w:sz w:val="24"/>
        </w:rPr>
        <w:t xml:space="preserve">Am and </w:t>
      </w:r>
      <w:r w:rsidR="0051097B" w:rsidRPr="0051097B">
        <w:rPr>
          <w:sz w:val="24"/>
          <w:vertAlign w:val="superscript"/>
        </w:rPr>
        <w:t>236</w:t>
      </w:r>
      <w:r w:rsidR="0051097B" w:rsidRPr="0051097B">
        <w:rPr>
          <w:sz w:val="24"/>
        </w:rPr>
        <w:t>U</w:t>
      </w:r>
      <w:r w:rsidR="00175EAE">
        <w:rPr>
          <w:sz w:val="24"/>
        </w:rPr>
        <w:t>,</w:t>
      </w:r>
      <w:r w:rsidR="0051097B" w:rsidRPr="0051097B">
        <w:rPr>
          <w:sz w:val="24"/>
        </w:rPr>
        <w:t xml:space="preserve"> </w:t>
      </w:r>
      <w:r w:rsidR="00175EAE">
        <w:rPr>
          <w:sz w:val="24"/>
        </w:rPr>
        <w:t>these</w:t>
      </w:r>
      <w:r w:rsidR="002015D1">
        <w:rPr>
          <w:sz w:val="24"/>
        </w:rPr>
        <w:t xml:space="preserve"> theoretical neutron emissions</w:t>
      </w:r>
      <w:r>
        <w:rPr>
          <w:sz w:val="24"/>
        </w:rPr>
        <w:t xml:space="preserve"> </w:t>
      </w:r>
      <w:r w:rsidR="0051097B">
        <w:rPr>
          <w:sz w:val="24"/>
        </w:rPr>
        <w:t>are</w:t>
      </w:r>
      <w:r w:rsidR="00157C25">
        <w:rPr>
          <w:sz w:val="24"/>
        </w:rPr>
        <w:t xml:space="preserve"> </w:t>
      </w:r>
      <w:r w:rsidR="0051097B">
        <w:rPr>
          <w:sz w:val="24"/>
        </w:rPr>
        <w:t>c</w:t>
      </w:r>
      <w:r>
        <w:rPr>
          <w:sz w:val="24"/>
        </w:rPr>
        <w:t>ompared to the sample</w:t>
      </w:r>
      <w:r w:rsidR="000D4DFF">
        <w:rPr>
          <w:sz w:val="24"/>
        </w:rPr>
        <w:t>s’ measured neutron</w:t>
      </w:r>
      <w:r>
        <w:rPr>
          <w:sz w:val="24"/>
        </w:rPr>
        <w:t xml:space="preserve"> emissions. The AMS</w:t>
      </w:r>
      <w:r w:rsidR="00157C25">
        <w:rPr>
          <w:sz w:val="24"/>
        </w:rPr>
        <w:t>-</w:t>
      </w:r>
      <w:r>
        <w:rPr>
          <w:sz w:val="24"/>
        </w:rPr>
        <w:t xml:space="preserve">derived neutron emission is displayed below in </w:t>
      </w:r>
      <w:r w:rsidR="00361545">
        <w:rPr>
          <w:sz w:val="24"/>
        </w:rPr>
        <w:fldChar w:fldCharType="begin"/>
      </w:r>
      <w:r w:rsidR="00361545" w:rsidRPr="00B1044A">
        <w:rPr>
          <w:sz w:val="24"/>
        </w:rPr>
        <w:instrText xml:space="preserve"> REF _Ref31361493 \h </w:instrText>
      </w:r>
      <w:r w:rsidR="00B1044A">
        <w:rPr>
          <w:sz w:val="24"/>
        </w:rPr>
        <w:instrText xml:space="preserve"> \* MERGEFORMAT </w:instrText>
      </w:r>
      <w:r w:rsidR="00361545">
        <w:rPr>
          <w:sz w:val="24"/>
        </w:rPr>
      </w:r>
      <w:r w:rsidR="00361545">
        <w:rPr>
          <w:sz w:val="24"/>
        </w:rPr>
        <w:fldChar w:fldCharType="separate"/>
      </w:r>
      <w:r w:rsidR="00161FDC" w:rsidRPr="00161FDC">
        <w:rPr>
          <w:sz w:val="24"/>
        </w:rPr>
        <w:t>Figure</w:t>
      </w:r>
      <w:r w:rsidR="00161FDC" w:rsidRPr="00161FDC">
        <w:t xml:space="preserve"> </w:t>
      </w:r>
      <w:r w:rsidR="00161FDC" w:rsidRPr="00161FDC">
        <w:rPr>
          <w:noProof/>
        </w:rPr>
        <w:t>31</w:t>
      </w:r>
      <w:r w:rsidR="00361545">
        <w:rPr>
          <w:sz w:val="24"/>
        </w:rPr>
        <w:fldChar w:fldCharType="end"/>
      </w:r>
      <w:r>
        <w:rPr>
          <w:sz w:val="24"/>
        </w:rPr>
        <w:t>.</w:t>
      </w:r>
      <w:r>
        <w:rPr>
          <w:noProof/>
          <w:lang w:eastAsia="en-GB"/>
        </w:rPr>
        <w:drawing>
          <wp:inline distT="0" distB="0" distL="0" distR="0" wp14:anchorId="7A206AB5" wp14:editId="40ED4EC2">
            <wp:extent cx="5731510" cy="3018790"/>
            <wp:effectExtent l="0" t="0" r="2540" b="0"/>
            <wp:docPr id="195" name="Chart 195">
              <a:extLst xmlns:a="http://schemas.openxmlformats.org/drawingml/2006/main">
                <a:ext uri="{FF2B5EF4-FFF2-40B4-BE49-F238E27FC236}">
                  <a16:creationId xmlns:a16="http://schemas.microsoft.com/office/drawing/2014/main" id="{1A3C5661-FA9E-4D24-BD65-7B5B3B423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E64EF9" w14:textId="515F53A9" w:rsidR="00767A68" w:rsidRPr="00C45EC1" w:rsidRDefault="00767A68" w:rsidP="00C45EC1">
      <w:pPr>
        <w:pStyle w:val="Caption"/>
        <w:jc w:val="center"/>
        <w:rPr>
          <w:sz w:val="20"/>
        </w:rPr>
      </w:pPr>
      <w:bookmarkStart w:id="36" w:name="_Ref31361493"/>
      <w:r w:rsidRPr="00C45EC1">
        <w:rPr>
          <w:sz w:val="20"/>
        </w:rPr>
        <w:t xml:space="preserve">Figure </w:t>
      </w:r>
      <w:r w:rsidRPr="00C45EC1">
        <w:rPr>
          <w:sz w:val="20"/>
        </w:rPr>
        <w:fldChar w:fldCharType="begin"/>
      </w:r>
      <w:r w:rsidRPr="00C45EC1">
        <w:rPr>
          <w:sz w:val="20"/>
        </w:rPr>
        <w:instrText xml:space="preserve"> SEQ Figure \* ARABIC </w:instrText>
      </w:r>
      <w:r w:rsidRPr="00C45EC1">
        <w:rPr>
          <w:sz w:val="20"/>
        </w:rPr>
        <w:fldChar w:fldCharType="separate"/>
      </w:r>
      <w:r w:rsidR="00161FDC">
        <w:rPr>
          <w:noProof/>
          <w:sz w:val="20"/>
        </w:rPr>
        <w:t>31</w:t>
      </w:r>
      <w:r w:rsidRPr="00C45EC1">
        <w:rPr>
          <w:sz w:val="20"/>
        </w:rPr>
        <w:fldChar w:fldCharType="end"/>
      </w:r>
      <w:bookmarkEnd w:id="36"/>
      <w:r w:rsidRPr="00C45EC1">
        <w:rPr>
          <w:sz w:val="20"/>
        </w:rPr>
        <w:t xml:space="preserve"> The figure above displays the estimated theoretical neutron emission over four hours from the isotopes that were measured by AMS within each sample, as well as the </w:t>
      </w:r>
      <w:r w:rsidRPr="00C45EC1">
        <w:rPr>
          <w:sz w:val="20"/>
          <w:vertAlign w:val="superscript"/>
        </w:rPr>
        <w:t>241</w:t>
      </w:r>
      <w:r w:rsidRPr="00C45EC1">
        <w:rPr>
          <w:sz w:val="20"/>
        </w:rPr>
        <w:t xml:space="preserve">Am and </w:t>
      </w:r>
      <w:r w:rsidRPr="00C45EC1">
        <w:rPr>
          <w:sz w:val="20"/>
          <w:vertAlign w:val="superscript"/>
        </w:rPr>
        <w:t>241</w:t>
      </w:r>
      <w:r w:rsidRPr="00C45EC1">
        <w:rPr>
          <w:sz w:val="20"/>
        </w:rPr>
        <w:t xml:space="preserve">Pu which were calculated via gamma spectrometry. The calculations are based on knowledge of the mass concentrations of </w:t>
      </w:r>
      <w:r w:rsidRPr="00C45EC1">
        <w:rPr>
          <w:sz w:val="20"/>
          <w:vertAlign w:val="superscript"/>
        </w:rPr>
        <w:t>239</w:t>
      </w:r>
      <w:r w:rsidRPr="00C45EC1">
        <w:rPr>
          <w:sz w:val="20"/>
        </w:rPr>
        <w:t>Pu,</w:t>
      </w:r>
      <w:r w:rsidRPr="00C45EC1">
        <w:rPr>
          <w:sz w:val="20"/>
          <w:vertAlign w:val="superscript"/>
        </w:rPr>
        <w:t xml:space="preserve"> 240</w:t>
      </w:r>
      <w:r w:rsidRPr="00C45EC1">
        <w:rPr>
          <w:sz w:val="20"/>
        </w:rPr>
        <w:t>Pu,</w:t>
      </w:r>
      <w:r w:rsidRPr="00C45EC1">
        <w:rPr>
          <w:sz w:val="20"/>
          <w:vertAlign w:val="superscript"/>
        </w:rPr>
        <w:t xml:space="preserve"> 241</w:t>
      </w:r>
      <w:r w:rsidRPr="00C45EC1">
        <w:rPr>
          <w:sz w:val="20"/>
        </w:rPr>
        <w:t>Pu,</w:t>
      </w:r>
      <w:r w:rsidRPr="00C45EC1">
        <w:rPr>
          <w:sz w:val="20"/>
          <w:vertAlign w:val="superscript"/>
        </w:rPr>
        <w:t xml:space="preserve"> 242</w:t>
      </w:r>
      <w:r w:rsidRPr="00C45EC1">
        <w:rPr>
          <w:sz w:val="20"/>
        </w:rPr>
        <w:t xml:space="preserve">Pu, </w:t>
      </w:r>
      <w:r w:rsidRPr="00C45EC1">
        <w:rPr>
          <w:sz w:val="20"/>
          <w:vertAlign w:val="superscript"/>
        </w:rPr>
        <w:t>241</w:t>
      </w:r>
      <w:r w:rsidRPr="00C45EC1">
        <w:rPr>
          <w:sz w:val="20"/>
        </w:rPr>
        <w:t xml:space="preserve">Am, and </w:t>
      </w:r>
      <w:r w:rsidRPr="00C45EC1">
        <w:rPr>
          <w:sz w:val="20"/>
          <w:vertAlign w:val="superscript"/>
        </w:rPr>
        <w:t>236</w:t>
      </w:r>
      <w:r w:rsidRPr="00C45EC1">
        <w:rPr>
          <w:sz w:val="20"/>
        </w:rPr>
        <w:t>U.</w:t>
      </w:r>
    </w:p>
    <w:p w14:paraId="40C952D2" w14:textId="332838EC" w:rsidR="000242B1" w:rsidRDefault="00F37CA9" w:rsidP="00F37CA9">
      <w:pPr>
        <w:tabs>
          <w:tab w:val="left" w:pos="3075"/>
        </w:tabs>
        <w:spacing w:line="480" w:lineRule="auto"/>
        <w:ind w:firstLine="567"/>
        <w:rPr>
          <w:sz w:val="24"/>
        </w:rPr>
      </w:pPr>
      <w:r>
        <w:rPr>
          <w:sz w:val="24"/>
        </w:rPr>
        <w:t xml:space="preserve">As can be seen from comparison of </w:t>
      </w:r>
      <w:r w:rsidR="00361545">
        <w:rPr>
          <w:sz w:val="24"/>
        </w:rPr>
        <w:fldChar w:fldCharType="begin"/>
      </w:r>
      <w:r w:rsidR="00361545" w:rsidRPr="00D650DA">
        <w:rPr>
          <w:sz w:val="24"/>
        </w:rPr>
        <w:instrText xml:space="preserve"> REF _Ref31361493 \h </w:instrText>
      </w:r>
      <w:r w:rsidR="00D650DA">
        <w:rPr>
          <w:sz w:val="24"/>
        </w:rPr>
        <w:instrText xml:space="preserve"> \* MERGEFORMAT </w:instrText>
      </w:r>
      <w:r w:rsidR="00361545">
        <w:rPr>
          <w:sz w:val="24"/>
        </w:rPr>
      </w:r>
      <w:r w:rsidR="00361545">
        <w:rPr>
          <w:sz w:val="24"/>
        </w:rPr>
        <w:fldChar w:fldCharType="separate"/>
      </w:r>
      <w:r w:rsidR="00161FDC" w:rsidRPr="00161FDC">
        <w:rPr>
          <w:sz w:val="24"/>
        </w:rPr>
        <w:t>Figure</w:t>
      </w:r>
      <w:r w:rsidR="00161FDC" w:rsidRPr="00161FDC">
        <w:t xml:space="preserve"> </w:t>
      </w:r>
      <w:r w:rsidR="00161FDC" w:rsidRPr="00161FDC">
        <w:rPr>
          <w:noProof/>
        </w:rPr>
        <w:t>31</w:t>
      </w:r>
      <w:r w:rsidR="00361545">
        <w:rPr>
          <w:sz w:val="24"/>
        </w:rPr>
        <w:fldChar w:fldCharType="end"/>
      </w:r>
      <w:r w:rsidR="00361545">
        <w:rPr>
          <w:sz w:val="24"/>
        </w:rPr>
        <w:t xml:space="preserve"> </w:t>
      </w:r>
      <w:r>
        <w:rPr>
          <w:sz w:val="24"/>
        </w:rPr>
        <w:t xml:space="preserve">and </w:t>
      </w:r>
      <w:r w:rsidR="00361545">
        <w:rPr>
          <w:sz w:val="24"/>
        </w:rPr>
        <w:fldChar w:fldCharType="begin"/>
      </w:r>
      <w:r w:rsidR="00361545" w:rsidRPr="00D650DA">
        <w:rPr>
          <w:sz w:val="24"/>
        </w:rPr>
        <w:instrText xml:space="preserve"> REF _Ref31283050 \h </w:instrText>
      </w:r>
      <w:r w:rsidR="00D650DA">
        <w:rPr>
          <w:sz w:val="24"/>
        </w:rPr>
        <w:instrText xml:space="preserve"> \* MERGEFORMAT </w:instrText>
      </w:r>
      <w:r w:rsidR="00361545">
        <w:rPr>
          <w:sz w:val="24"/>
        </w:rPr>
      </w:r>
      <w:r w:rsidR="00361545">
        <w:rPr>
          <w:sz w:val="24"/>
        </w:rPr>
        <w:fldChar w:fldCharType="separate"/>
      </w:r>
      <w:r w:rsidR="00161FDC" w:rsidRPr="00161FDC">
        <w:rPr>
          <w:sz w:val="24"/>
        </w:rPr>
        <w:t>Figure</w:t>
      </w:r>
      <w:r w:rsidR="00161FDC" w:rsidRPr="00161FDC">
        <w:t xml:space="preserve"> </w:t>
      </w:r>
      <w:r w:rsidR="00161FDC" w:rsidRPr="00161FDC">
        <w:rPr>
          <w:noProof/>
        </w:rPr>
        <w:t>20</w:t>
      </w:r>
      <w:r w:rsidR="00361545">
        <w:rPr>
          <w:sz w:val="24"/>
        </w:rPr>
        <w:fldChar w:fldCharType="end"/>
      </w:r>
      <w:r>
        <w:rPr>
          <w:sz w:val="24"/>
        </w:rPr>
        <w:t xml:space="preserve"> of the Results chapter, there is a difference of four orders of magnitude between the </w:t>
      </w:r>
      <w:r w:rsidR="00195955">
        <w:rPr>
          <w:sz w:val="24"/>
        </w:rPr>
        <w:t>measured</w:t>
      </w:r>
      <w:r>
        <w:rPr>
          <w:sz w:val="24"/>
        </w:rPr>
        <w:t xml:space="preserve"> and theoretical neutron emissions. </w:t>
      </w:r>
      <w:r w:rsidR="000242B1">
        <w:rPr>
          <w:sz w:val="24"/>
        </w:rPr>
        <w:t xml:space="preserve">Further, when we compare </w:t>
      </w:r>
      <w:r w:rsidR="005C4C58">
        <w:rPr>
          <w:sz w:val="24"/>
        </w:rPr>
        <w:fldChar w:fldCharType="begin"/>
      </w:r>
      <w:r w:rsidR="005C4C58" w:rsidRPr="00D650DA">
        <w:rPr>
          <w:sz w:val="24"/>
        </w:rPr>
        <w:instrText xml:space="preserve"> REF _Ref31361493 \h </w:instrText>
      </w:r>
      <w:r w:rsidR="00D650DA">
        <w:rPr>
          <w:sz w:val="24"/>
        </w:rPr>
        <w:instrText xml:space="preserve"> \* MERGEFORMAT </w:instrText>
      </w:r>
      <w:r w:rsidR="005C4C58">
        <w:rPr>
          <w:sz w:val="24"/>
        </w:rPr>
      </w:r>
      <w:r w:rsidR="005C4C58">
        <w:rPr>
          <w:sz w:val="24"/>
        </w:rPr>
        <w:fldChar w:fldCharType="separate"/>
      </w:r>
      <w:r w:rsidR="00161FDC" w:rsidRPr="00161FDC">
        <w:rPr>
          <w:sz w:val="24"/>
        </w:rPr>
        <w:t>Figure</w:t>
      </w:r>
      <w:r w:rsidR="00161FDC" w:rsidRPr="00161FDC">
        <w:t xml:space="preserve"> </w:t>
      </w:r>
      <w:r w:rsidR="00161FDC" w:rsidRPr="00161FDC">
        <w:rPr>
          <w:noProof/>
        </w:rPr>
        <w:t>31</w:t>
      </w:r>
      <w:r w:rsidR="005C4C58">
        <w:rPr>
          <w:sz w:val="24"/>
        </w:rPr>
        <w:fldChar w:fldCharType="end"/>
      </w:r>
      <w:r w:rsidR="000242B1">
        <w:rPr>
          <w:sz w:val="24"/>
        </w:rPr>
        <w:t xml:space="preserve"> and </w:t>
      </w:r>
      <w:r w:rsidR="002E3184">
        <w:rPr>
          <w:sz w:val="24"/>
        </w:rPr>
        <w:fldChar w:fldCharType="begin"/>
      </w:r>
      <w:r w:rsidR="002E3184" w:rsidRPr="00D650DA">
        <w:rPr>
          <w:sz w:val="24"/>
        </w:rPr>
        <w:instrText xml:space="preserve"> REF _Ref31286729 \h </w:instrText>
      </w:r>
      <w:r w:rsidR="00D650DA">
        <w:rPr>
          <w:sz w:val="24"/>
        </w:rPr>
        <w:instrText xml:space="preserve"> \* MERGEFORMAT </w:instrText>
      </w:r>
      <w:r w:rsidR="002E3184">
        <w:rPr>
          <w:sz w:val="24"/>
        </w:rPr>
      </w:r>
      <w:r w:rsidR="002E3184">
        <w:rPr>
          <w:sz w:val="24"/>
        </w:rPr>
        <w:fldChar w:fldCharType="separate"/>
      </w:r>
      <w:r w:rsidR="00161FDC" w:rsidRPr="00161FDC">
        <w:rPr>
          <w:sz w:val="24"/>
        </w:rPr>
        <w:t>Table</w:t>
      </w:r>
      <w:r w:rsidR="00161FDC" w:rsidRPr="00161FDC">
        <w:t xml:space="preserve"> </w:t>
      </w:r>
      <w:r w:rsidR="00161FDC" w:rsidRPr="00161FDC">
        <w:rPr>
          <w:noProof/>
        </w:rPr>
        <w:t>1</w:t>
      </w:r>
      <w:r w:rsidR="002E3184">
        <w:rPr>
          <w:sz w:val="24"/>
        </w:rPr>
        <w:fldChar w:fldCharType="end"/>
      </w:r>
      <w:r w:rsidR="000242B1">
        <w:rPr>
          <w:sz w:val="24"/>
        </w:rPr>
        <w:t>, the trend</w:t>
      </w:r>
      <w:r w:rsidR="00646F25">
        <w:rPr>
          <w:sz w:val="24"/>
        </w:rPr>
        <w:t xml:space="preserve"> shown in </w:t>
      </w:r>
      <w:r w:rsidR="002E3184">
        <w:rPr>
          <w:sz w:val="24"/>
        </w:rPr>
        <w:fldChar w:fldCharType="begin"/>
      </w:r>
      <w:r w:rsidR="002E3184">
        <w:rPr>
          <w:sz w:val="24"/>
        </w:rPr>
        <w:instrText xml:space="preserve"> REF _Ref31286729 \h </w:instrText>
      </w:r>
      <w:r w:rsidR="00AF60C2">
        <w:rPr>
          <w:sz w:val="24"/>
        </w:rPr>
        <w:instrText xml:space="preserve"> \* MERGEFORMAT </w:instrText>
      </w:r>
      <w:r w:rsidR="002E3184">
        <w:rPr>
          <w:sz w:val="24"/>
        </w:rPr>
      </w:r>
      <w:r w:rsidR="002E3184">
        <w:rPr>
          <w:sz w:val="24"/>
        </w:rPr>
        <w:fldChar w:fldCharType="separate"/>
      </w:r>
      <w:r w:rsidR="00161FDC" w:rsidRPr="00161FDC">
        <w:rPr>
          <w:sz w:val="24"/>
        </w:rPr>
        <w:t xml:space="preserve">Table </w:t>
      </w:r>
      <w:r w:rsidR="00161FDC" w:rsidRPr="00161FDC">
        <w:rPr>
          <w:noProof/>
        </w:rPr>
        <w:t>1</w:t>
      </w:r>
      <w:r w:rsidR="002E3184">
        <w:rPr>
          <w:sz w:val="24"/>
        </w:rPr>
        <w:fldChar w:fldCharType="end"/>
      </w:r>
      <w:r w:rsidR="002E3184">
        <w:rPr>
          <w:sz w:val="24"/>
        </w:rPr>
        <w:t xml:space="preserve"> </w:t>
      </w:r>
      <w:r w:rsidR="00646F25">
        <w:rPr>
          <w:sz w:val="24"/>
        </w:rPr>
        <w:t>with samples DSRL4, 5, 9, 10, and B1</w:t>
      </w:r>
      <w:r w:rsidR="009F43E5">
        <w:rPr>
          <w:sz w:val="24"/>
        </w:rPr>
        <w:t xml:space="preserve"> is not mirrored in </w:t>
      </w:r>
      <w:r w:rsidR="005C4C58">
        <w:rPr>
          <w:sz w:val="24"/>
        </w:rPr>
        <w:fldChar w:fldCharType="begin"/>
      </w:r>
      <w:r w:rsidR="005C4C58" w:rsidRPr="00D650DA">
        <w:rPr>
          <w:sz w:val="24"/>
        </w:rPr>
        <w:instrText xml:space="preserve"> REF _Ref31361493 \h </w:instrText>
      </w:r>
      <w:r w:rsidR="00D650DA">
        <w:rPr>
          <w:sz w:val="24"/>
        </w:rPr>
        <w:instrText xml:space="preserve"> \* MERGEFORMAT </w:instrText>
      </w:r>
      <w:r w:rsidR="005C4C58">
        <w:rPr>
          <w:sz w:val="24"/>
        </w:rPr>
      </w:r>
      <w:r w:rsidR="005C4C58">
        <w:rPr>
          <w:sz w:val="24"/>
        </w:rPr>
        <w:fldChar w:fldCharType="separate"/>
      </w:r>
      <w:r w:rsidR="00161FDC" w:rsidRPr="00161FDC">
        <w:rPr>
          <w:sz w:val="24"/>
        </w:rPr>
        <w:t>Figure</w:t>
      </w:r>
      <w:r w:rsidR="00161FDC" w:rsidRPr="00161FDC">
        <w:t xml:space="preserve"> </w:t>
      </w:r>
      <w:r w:rsidR="00161FDC" w:rsidRPr="00161FDC">
        <w:rPr>
          <w:noProof/>
        </w:rPr>
        <w:t>31</w:t>
      </w:r>
      <w:r w:rsidR="005C4C58">
        <w:rPr>
          <w:sz w:val="24"/>
        </w:rPr>
        <w:fldChar w:fldCharType="end"/>
      </w:r>
      <w:r w:rsidR="008B5548">
        <w:rPr>
          <w:sz w:val="24"/>
        </w:rPr>
        <w:t xml:space="preserve"> </w:t>
      </w:r>
      <w:r w:rsidR="0005525D">
        <w:rPr>
          <w:sz w:val="24"/>
        </w:rPr>
        <w:t>–</w:t>
      </w:r>
      <w:r w:rsidR="009F43E5">
        <w:rPr>
          <w:sz w:val="24"/>
        </w:rPr>
        <w:t xml:space="preserve"> the</w:t>
      </w:r>
      <w:r w:rsidR="0005525D">
        <w:rPr>
          <w:sz w:val="24"/>
        </w:rPr>
        <w:t xml:space="preserve"> theoretical</w:t>
      </w:r>
      <w:r w:rsidR="009F43E5">
        <w:rPr>
          <w:sz w:val="24"/>
        </w:rPr>
        <w:t xml:space="preserve"> neutron emission based on AMS data.</w:t>
      </w:r>
    </w:p>
    <w:p w14:paraId="6DC1D445" w14:textId="65F4255E" w:rsidR="00F37CA9" w:rsidRDefault="00F37CA9" w:rsidP="00F37CA9">
      <w:pPr>
        <w:tabs>
          <w:tab w:val="left" w:pos="3075"/>
        </w:tabs>
        <w:spacing w:line="480" w:lineRule="auto"/>
        <w:ind w:firstLine="567"/>
        <w:rPr>
          <w:sz w:val="24"/>
        </w:rPr>
      </w:pPr>
      <w:r>
        <w:rPr>
          <w:sz w:val="24"/>
        </w:rPr>
        <w:lastRenderedPageBreak/>
        <w:t>The</w:t>
      </w:r>
      <w:r w:rsidR="005429DB">
        <w:rPr>
          <w:sz w:val="24"/>
        </w:rPr>
        <w:t>se</w:t>
      </w:r>
      <w:r>
        <w:rPr>
          <w:sz w:val="24"/>
        </w:rPr>
        <w:t xml:space="preserve"> comparison</w:t>
      </w:r>
      <w:r w:rsidR="00A87202">
        <w:rPr>
          <w:sz w:val="24"/>
        </w:rPr>
        <w:t>s</w:t>
      </w:r>
      <w:r>
        <w:rPr>
          <w:sz w:val="24"/>
        </w:rPr>
        <w:t xml:space="preserve"> could suggest that there are more neutron emission events at play within the samples than first perceived in these theoretical calculations</w:t>
      </w:r>
      <w:r w:rsidR="0077690C">
        <w:rPr>
          <w:sz w:val="24"/>
        </w:rPr>
        <w:t>. One explanation could be that many of the neutrons</w:t>
      </w:r>
      <w:r w:rsidR="002B787B">
        <w:rPr>
          <w:sz w:val="24"/>
        </w:rPr>
        <w:t xml:space="preserve"> </w:t>
      </w:r>
      <w:r w:rsidR="0077690C">
        <w:rPr>
          <w:sz w:val="24"/>
        </w:rPr>
        <w:t xml:space="preserve">are </w:t>
      </w:r>
      <w:r w:rsidR="002B787B">
        <w:rPr>
          <w:sz w:val="24"/>
        </w:rPr>
        <w:t>release</w:t>
      </w:r>
      <w:r w:rsidR="0077690C">
        <w:rPr>
          <w:sz w:val="24"/>
        </w:rPr>
        <w:t>d</w:t>
      </w:r>
      <w:r w:rsidR="002B787B">
        <w:rPr>
          <w:sz w:val="24"/>
        </w:rPr>
        <w:t xml:space="preserve"> from</w:t>
      </w:r>
      <w:r w:rsidR="00C80A86">
        <w:rPr>
          <w:sz w:val="24"/>
        </w:rPr>
        <w:t xml:space="preserve"> varied isotopes within</w:t>
      </w:r>
      <w:r w:rsidR="002B787B">
        <w:rPr>
          <w:sz w:val="24"/>
        </w:rPr>
        <w:t xml:space="preserve"> </w:t>
      </w:r>
      <w:r w:rsidR="00C80A86">
        <w:rPr>
          <w:sz w:val="24"/>
        </w:rPr>
        <w:t xml:space="preserve">the uranium decay chain </w:t>
      </w:r>
      <w:r w:rsidR="009A181C">
        <w:rPr>
          <w:sz w:val="24"/>
        </w:rPr>
        <w:t>during spontaneous fission</w:t>
      </w:r>
      <w:r w:rsidR="00E514DA">
        <w:rPr>
          <w:sz w:val="24"/>
        </w:rPr>
        <w:t xml:space="preserve"> or even induced fission events</w:t>
      </w:r>
      <w:r w:rsidR="0005525D">
        <w:rPr>
          <w:sz w:val="24"/>
        </w:rPr>
        <w:t>, rather than release from the plutonium isotopes considered</w:t>
      </w:r>
      <w:r>
        <w:rPr>
          <w:sz w:val="24"/>
        </w:rPr>
        <w:t xml:space="preserve">. On the other hand, the </w:t>
      </w:r>
      <w:r w:rsidR="00157C25">
        <w:rPr>
          <w:sz w:val="24"/>
        </w:rPr>
        <w:t>AMS</w:t>
      </w:r>
      <w:r w:rsidR="00665045">
        <w:rPr>
          <w:sz w:val="24"/>
        </w:rPr>
        <w:t xml:space="preserve"> derived theoretical neutron emissions</w:t>
      </w:r>
      <w:r>
        <w:rPr>
          <w:sz w:val="24"/>
        </w:rPr>
        <w:t xml:space="preserve"> are of the same order of magnitude as the </w:t>
      </w:r>
      <w:r w:rsidR="00E53948">
        <w:rPr>
          <w:sz w:val="24"/>
        </w:rPr>
        <w:t xml:space="preserve">measured </w:t>
      </w:r>
      <w:r>
        <w:rPr>
          <w:sz w:val="24"/>
        </w:rPr>
        <w:t>sample</w:t>
      </w:r>
      <w:r w:rsidR="00E53948">
        <w:rPr>
          <w:sz w:val="24"/>
        </w:rPr>
        <w:t xml:space="preserve"> emissions</w:t>
      </w:r>
      <w:r>
        <w:rPr>
          <w:sz w:val="24"/>
        </w:rPr>
        <w:t xml:space="preserve"> before corrections were applied. This could mean that an over correction was applied to the </w:t>
      </w:r>
      <w:r w:rsidR="00E53948">
        <w:rPr>
          <w:sz w:val="24"/>
        </w:rPr>
        <w:t xml:space="preserve">measured </w:t>
      </w:r>
      <w:r>
        <w:rPr>
          <w:sz w:val="24"/>
        </w:rPr>
        <w:t>neutron counts</w:t>
      </w:r>
      <w:r w:rsidR="00A87202">
        <w:rPr>
          <w:sz w:val="24"/>
        </w:rPr>
        <w:t xml:space="preserve"> –</w:t>
      </w:r>
      <w:r>
        <w:rPr>
          <w:sz w:val="24"/>
        </w:rPr>
        <w:t xml:space="preserve"> though</w:t>
      </w:r>
      <w:r w:rsidR="00A87202">
        <w:rPr>
          <w:sz w:val="24"/>
        </w:rPr>
        <w:t xml:space="preserve"> this</w:t>
      </w:r>
      <w:r>
        <w:rPr>
          <w:sz w:val="24"/>
        </w:rPr>
        <w:t xml:space="preserve"> is unlikely as it is known that the detectors have</w:t>
      </w:r>
      <w:r w:rsidR="00DC175C">
        <w:rPr>
          <w:sz w:val="24"/>
        </w:rPr>
        <w:t xml:space="preserve"> much less than</w:t>
      </w:r>
      <w:r>
        <w:rPr>
          <w:sz w:val="24"/>
        </w:rPr>
        <w:t xml:space="preserve"> 100% efficiency, and the samples were not fully covered by detectors</w:t>
      </w:r>
      <w:r w:rsidR="00157C25">
        <w:rPr>
          <w:sz w:val="24"/>
        </w:rPr>
        <w:t xml:space="preserve"> in terms of solid angle.</w:t>
      </w:r>
      <w:r w:rsidR="001806BA">
        <w:rPr>
          <w:sz w:val="24"/>
        </w:rPr>
        <w:t xml:space="preserve"> The most plausible explanation for the differences seen between the </w:t>
      </w:r>
      <w:r w:rsidR="002E3184">
        <w:rPr>
          <w:sz w:val="24"/>
        </w:rPr>
        <w:fldChar w:fldCharType="begin"/>
      </w:r>
      <w:r w:rsidR="002E3184">
        <w:rPr>
          <w:sz w:val="24"/>
        </w:rPr>
        <w:instrText xml:space="preserve"> REF _Ref31286729 \h </w:instrText>
      </w:r>
      <w:r w:rsidR="002E3184">
        <w:rPr>
          <w:sz w:val="24"/>
        </w:rPr>
      </w:r>
      <w:r w:rsidR="002E3184">
        <w:rPr>
          <w:sz w:val="24"/>
        </w:rPr>
        <w:fldChar w:fldCharType="separate"/>
      </w:r>
      <w:r w:rsidR="00161FDC" w:rsidRPr="00C45EC1">
        <w:rPr>
          <w:sz w:val="20"/>
        </w:rPr>
        <w:t xml:space="preserve">Table </w:t>
      </w:r>
      <w:r w:rsidR="00161FDC">
        <w:rPr>
          <w:noProof/>
          <w:sz w:val="20"/>
        </w:rPr>
        <w:t>1</w:t>
      </w:r>
      <w:r w:rsidR="002E3184">
        <w:rPr>
          <w:sz w:val="24"/>
        </w:rPr>
        <w:fldChar w:fldCharType="end"/>
      </w:r>
      <w:r w:rsidR="002E3184">
        <w:rPr>
          <w:sz w:val="24"/>
        </w:rPr>
        <w:t xml:space="preserve"> </w:t>
      </w:r>
      <w:r w:rsidR="001806BA">
        <w:rPr>
          <w:sz w:val="24"/>
        </w:rPr>
        <w:t xml:space="preserve">data and </w:t>
      </w:r>
      <w:r w:rsidR="005C4C58">
        <w:rPr>
          <w:sz w:val="24"/>
        </w:rPr>
        <w:fldChar w:fldCharType="begin"/>
      </w:r>
      <w:r w:rsidR="005C4C58">
        <w:rPr>
          <w:sz w:val="24"/>
        </w:rPr>
        <w:instrText xml:space="preserve"> REF _Ref31361493 \h </w:instrText>
      </w:r>
      <w:r w:rsidR="005C4C58">
        <w:rPr>
          <w:sz w:val="24"/>
        </w:rPr>
      </w:r>
      <w:r w:rsidR="005C4C58">
        <w:rPr>
          <w:sz w:val="24"/>
        </w:rPr>
        <w:fldChar w:fldCharType="separate"/>
      </w:r>
      <w:r w:rsidR="00161FDC" w:rsidRPr="00C45EC1">
        <w:rPr>
          <w:sz w:val="20"/>
        </w:rPr>
        <w:t xml:space="preserve">Figure </w:t>
      </w:r>
      <w:r w:rsidR="00161FDC">
        <w:rPr>
          <w:noProof/>
          <w:sz w:val="20"/>
        </w:rPr>
        <w:t>31</w:t>
      </w:r>
      <w:r w:rsidR="005C4C58">
        <w:rPr>
          <w:sz w:val="24"/>
        </w:rPr>
        <w:fldChar w:fldCharType="end"/>
      </w:r>
      <w:r w:rsidR="005C4C58">
        <w:rPr>
          <w:sz w:val="24"/>
        </w:rPr>
        <w:t xml:space="preserve"> </w:t>
      </w:r>
      <w:r w:rsidR="001806BA">
        <w:rPr>
          <w:sz w:val="24"/>
        </w:rPr>
        <w:t>data is that the levels of plutonium isotopes are totally masked by a combined neutron contribution of the uranium decay chain products, and atmospheric neutrons of cosmic origin. The levels of plutonium measured via AMS are almost certainly below the minimum detectable amount for neutron counting.</w:t>
      </w:r>
    </w:p>
    <w:p w14:paraId="6016936C" w14:textId="7CFA08C1" w:rsidR="001806BA" w:rsidRDefault="001806BA" w:rsidP="00F37CA9">
      <w:pPr>
        <w:tabs>
          <w:tab w:val="left" w:pos="3075"/>
        </w:tabs>
        <w:spacing w:line="480" w:lineRule="auto"/>
        <w:ind w:firstLine="567"/>
        <w:rPr>
          <w:sz w:val="24"/>
        </w:rPr>
      </w:pPr>
      <w:r>
        <w:rPr>
          <w:sz w:val="24"/>
        </w:rPr>
        <w:t>The differences between the sample</w:t>
      </w:r>
      <w:r w:rsidR="00BE6A14">
        <w:rPr>
          <w:sz w:val="24"/>
        </w:rPr>
        <w:t>s’</w:t>
      </w:r>
      <w:r>
        <w:rPr>
          <w:sz w:val="24"/>
        </w:rPr>
        <w:t xml:space="preserve"> neutron counts shown in </w:t>
      </w:r>
      <w:r w:rsidR="002E3184">
        <w:rPr>
          <w:sz w:val="24"/>
        </w:rPr>
        <w:fldChar w:fldCharType="begin"/>
      </w:r>
      <w:r w:rsidR="002E3184">
        <w:rPr>
          <w:sz w:val="24"/>
        </w:rPr>
        <w:instrText xml:space="preserve"> REF _Ref31286729 \h </w:instrText>
      </w:r>
      <w:r w:rsidR="002E3184">
        <w:rPr>
          <w:sz w:val="24"/>
        </w:rPr>
      </w:r>
      <w:r w:rsidR="002E3184">
        <w:rPr>
          <w:sz w:val="24"/>
        </w:rPr>
        <w:fldChar w:fldCharType="separate"/>
      </w:r>
      <w:r w:rsidR="00161FDC" w:rsidRPr="00C45EC1">
        <w:rPr>
          <w:sz w:val="20"/>
        </w:rPr>
        <w:t xml:space="preserve">Table </w:t>
      </w:r>
      <w:r w:rsidR="00161FDC">
        <w:rPr>
          <w:noProof/>
          <w:sz w:val="20"/>
        </w:rPr>
        <w:t>1</w:t>
      </w:r>
      <w:r w:rsidR="002E3184">
        <w:rPr>
          <w:sz w:val="24"/>
        </w:rPr>
        <w:fldChar w:fldCharType="end"/>
      </w:r>
      <w:r>
        <w:rPr>
          <w:sz w:val="24"/>
        </w:rPr>
        <w:t xml:space="preserve"> may also be explained by </w:t>
      </w:r>
      <w:r w:rsidR="00BE6A14">
        <w:rPr>
          <w:sz w:val="24"/>
        </w:rPr>
        <w:t>fluctuations in the cosmic neutron contribution, which, as mentioned previously is known to be highly variable and affected by meteorological phenomenon such as substantial cloud cover.</w:t>
      </w:r>
    </w:p>
    <w:p w14:paraId="1604D5C0" w14:textId="17EEE9CD" w:rsidR="0033258C" w:rsidRDefault="00167AD8" w:rsidP="00F37CA9">
      <w:pPr>
        <w:tabs>
          <w:tab w:val="left" w:pos="3075"/>
        </w:tabs>
        <w:spacing w:line="480" w:lineRule="auto"/>
        <w:ind w:firstLine="567"/>
        <w:rPr>
          <w:sz w:val="24"/>
        </w:rPr>
      </w:pPr>
      <w:r>
        <w:rPr>
          <w:sz w:val="24"/>
        </w:rPr>
        <w:t xml:space="preserve">A potential solution </w:t>
      </w:r>
      <w:r w:rsidR="00541BF3">
        <w:rPr>
          <w:sz w:val="24"/>
        </w:rPr>
        <w:t xml:space="preserve">that could be more </w:t>
      </w:r>
      <w:r w:rsidR="001352ED">
        <w:rPr>
          <w:sz w:val="24"/>
        </w:rPr>
        <w:t>valid</w:t>
      </w:r>
      <w:r w:rsidR="00541BF3">
        <w:rPr>
          <w:sz w:val="24"/>
        </w:rPr>
        <w:t xml:space="preserve"> for industrial users</w:t>
      </w:r>
      <w:r>
        <w:rPr>
          <w:sz w:val="24"/>
        </w:rPr>
        <w:t xml:space="preserve"> </w:t>
      </w:r>
      <w:r w:rsidR="00C6594B">
        <w:rPr>
          <w:sz w:val="24"/>
        </w:rPr>
        <w:t>is</w:t>
      </w:r>
      <w:r>
        <w:rPr>
          <w:sz w:val="24"/>
        </w:rPr>
        <w:t xml:space="preserve"> the </w:t>
      </w:r>
      <w:r w:rsidR="00C6594B">
        <w:rPr>
          <w:sz w:val="24"/>
        </w:rPr>
        <w:t xml:space="preserve">adoption of much larger sample sizes. </w:t>
      </w:r>
      <w:r w:rsidR="00FE7157">
        <w:rPr>
          <w:sz w:val="24"/>
        </w:rPr>
        <w:t>Based on the previous statements in this section, o</w:t>
      </w:r>
      <w:r w:rsidR="00C6594B">
        <w:rPr>
          <w:sz w:val="24"/>
        </w:rPr>
        <w:t xml:space="preserve">ne of the major limitations of the </w:t>
      </w:r>
      <w:r w:rsidR="00FE7157">
        <w:rPr>
          <w:sz w:val="24"/>
        </w:rPr>
        <w:t xml:space="preserve">16-detector </w:t>
      </w:r>
      <w:r w:rsidR="004244C3">
        <w:rPr>
          <w:sz w:val="24"/>
        </w:rPr>
        <w:t xml:space="preserve">array is the low geometric efficiency. For each of the 16 detectors, only one of the </w:t>
      </w:r>
      <w:r w:rsidR="002061D6">
        <w:rPr>
          <w:sz w:val="24"/>
        </w:rPr>
        <w:t xml:space="preserve">5 active detector faces is exposed to the samples. A simple, but expensive solution would be the </w:t>
      </w:r>
      <w:r w:rsidR="008F07B2">
        <w:rPr>
          <w:sz w:val="24"/>
        </w:rPr>
        <w:t xml:space="preserve">adoption of much larger sample sizes that would allow </w:t>
      </w:r>
      <w:r w:rsidR="008F07B2">
        <w:rPr>
          <w:sz w:val="24"/>
        </w:rPr>
        <w:lastRenderedPageBreak/>
        <w:t xml:space="preserve">burial (of a sort) of the </w:t>
      </w:r>
      <w:r w:rsidR="00DE127F">
        <w:rPr>
          <w:sz w:val="24"/>
        </w:rPr>
        <w:t>detectors</w:t>
      </w:r>
      <w:r w:rsidR="008F07B2">
        <w:rPr>
          <w:sz w:val="24"/>
        </w:rPr>
        <w:t xml:space="preserve"> within the samples</w:t>
      </w:r>
      <w:r w:rsidR="00416217">
        <w:rPr>
          <w:sz w:val="24"/>
        </w:rPr>
        <w:t xml:space="preserve"> during a measurement. </w:t>
      </w:r>
      <w:r w:rsidR="00AE27F0">
        <w:rPr>
          <w:sz w:val="24"/>
        </w:rPr>
        <w:t xml:space="preserve">This would have the benefit of increasing </w:t>
      </w:r>
      <w:r w:rsidR="003D20B1">
        <w:rPr>
          <w:sz w:val="24"/>
        </w:rPr>
        <w:t xml:space="preserve">the geometric efficiency, whilst increasing the shielding (albeit </w:t>
      </w:r>
      <w:r w:rsidR="00DE127F">
        <w:rPr>
          <w:sz w:val="24"/>
        </w:rPr>
        <w:t>little) of the detectors from cosmic neutrons.</w:t>
      </w:r>
      <w:r w:rsidR="001352ED">
        <w:rPr>
          <w:sz w:val="24"/>
        </w:rPr>
        <w:t xml:space="preserve"> The </w:t>
      </w:r>
      <w:r w:rsidR="000F038E">
        <w:rPr>
          <w:sz w:val="24"/>
        </w:rPr>
        <w:t xml:space="preserve">adoption of this methodology could have benefitted this work, but was </w:t>
      </w:r>
      <w:r w:rsidR="002D0427">
        <w:rPr>
          <w:sz w:val="24"/>
        </w:rPr>
        <w:t>logistically difficult when considering the origin of the soil samples (Dounreay),</w:t>
      </w:r>
      <w:r w:rsidR="008F6BA9">
        <w:rPr>
          <w:sz w:val="24"/>
        </w:rPr>
        <w:t xml:space="preserve"> with regards to access within the Dounreay site, </w:t>
      </w:r>
      <w:r w:rsidR="00F86AC9">
        <w:rPr>
          <w:sz w:val="24"/>
        </w:rPr>
        <w:t>or transport of such large volumes of soil such great distances.</w:t>
      </w:r>
    </w:p>
    <w:p w14:paraId="3B1057EF" w14:textId="77777777" w:rsidR="001806BA" w:rsidRDefault="001806BA" w:rsidP="00F37CA9">
      <w:pPr>
        <w:tabs>
          <w:tab w:val="left" w:pos="3075"/>
        </w:tabs>
        <w:spacing w:line="480" w:lineRule="auto"/>
        <w:ind w:firstLine="567"/>
        <w:rPr>
          <w:sz w:val="24"/>
        </w:rPr>
      </w:pPr>
    </w:p>
    <w:p w14:paraId="5CD8D042" w14:textId="128339D5" w:rsidR="00F37CA9" w:rsidRPr="005A775C" w:rsidRDefault="00F37CA9" w:rsidP="00F37CA9">
      <w:pPr>
        <w:tabs>
          <w:tab w:val="left" w:pos="3075"/>
        </w:tabs>
        <w:spacing w:line="480" w:lineRule="auto"/>
        <w:rPr>
          <w:b/>
          <w:sz w:val="28"/>
        </w:rPr>
      </w:pPr>
      <w:bookmarkStart w:id="37" w:name="_Hlk531457361"/>
      <w:r w:rsidRPr="005A775C">
        <w:rPr>
          <w:b/>
          <w:sz w:val="28"/>
        </w:rPr>
        <w:t xml:space="preserve">4.1.3 </w:t>
      </w:r>
      <w:r w:rsidRPr="008A6F8A">
        <w:rPr>
          <w:b/>
          <w:sz w:val="28"/>
          <w:vertAlign w:val="superscript"/>
        </w:rPr>
        <w:t>240</w:t>
      </w:r>
      <w:r w:rsidR="008A6F8A">
        <w:rPr>
          <w:b/>
          <w:sz w:val="28"/>
        </w:rPr>
        <w:t>Pu</w:t>
      </w:r>
      <w:r w:rsidRPr="005A775C">
        <w:rPr>
          <w:b/>
          <w:sz w:val="28"/>
        </w:rPr>
        <w:t xml:space="preserve"> Spike</w:t>
      </w:r>
    </w:p>
    <w:p w14:paraId="04BA4E58" w14:textId="7D64C725" w:rsidR="00F37CA9" w:rsidRDefault="00F37CA9" w:rsidP="00F37CA9">
      <w:pPr>
        <w:tabs>
          <w:tab w:val="left" w:pos="3075"/>
        </w:tabs>
        <w:spacing w:line="480" w:lineRule="auto"/>
        <w:ind w:firstLine="567"/>
        <w:rPr>
          <w:sz w:val="24"/>
        </w:rPr>
      </w:pPr>
      <w:r>
        <w:rPr>
          <w:sz w:val="24"/>
        </w:rPr>
        <w:t xml:space="preserve">The </w:t>
      </w:r>
      <w:r w:rsidR="00157C25">
        <w:rPr>
          <w:sz w:val="24"/>
        </w:rPr>
        <w:t xml:space="preserve">neutron </w:t>
      </w:r>
      <w:r>
        <w:rPr>
          <w:sz w:val="24"/>
        </w:rPr>
        <w:t>results</w:t>
      </w:r>
      <w:r w:rsidR="00157C25">
        <w:rPr>
          <w:sz w:val="24"/>
        </w:rPr>
        <w:t xml:space="preserve"> for the </w:t>
      </w:r>
      <w:r w:rsidR="00157C25">
        <w:rPr>
          <w:sz w:val="24"/>
          <w:vertAlign w:val="superscript"/>
        </w:rPr>
        <w:t>240</w:t>
      </w:r>
      <w:r w:rsidR="00157C25">
        <w:rPr>
          <w:sz w:val="24"/>
        </w:rPr>
        <w:t>Pu spiked samples</w:t>
      </w:r>
      <w:r>
        <w:rPr>
          <w:sz w:val="24"/>
        </w:rPr>
        <w:t xml:space="preserve"> showed a significant difference in neutron counts between the spiked and non-spiked sample at every </w:t>
      </w:r>
      <w:r w:rsidR="00157C25">
        <w:rPr>
          <w:sz w:val="24"/>
        </w:rPr>
        <w:t xml:space="preserve">4-hour </w:t>
      </w:r>
      <w:r>
        <w:rPr>
          <w:sz w:val="24"/>
        </w:rPr>
        <w:t>measurement point over a 24-hour measurement period.</w:t>
      </w:r>
    </w:p>
    <w:p w14:paraId="7A5C3BB0" w14:textId="72719E41" w:rsidR="00F37CA9" w:rsidRDefault="00F37CA9" w:rsidP="00F37CA9">
      <w:pPr>
        <w:tabs>
          <w:tab w:val="left" w:pos="3075"/>
        </w:tabs>
        <w:spacing w:line="480" w:lineRule="auto"/>
        <w:ind w:firstLine="567"/>
        <w:rPr>
          <w:sz w:val="24"/>
        </w:rPr>
      </w:pPr>
      <w:r>
        <w:rPr>
          <w:sz w:val="24"/>
        </w:rPr>
        <w:t>While there were significant differences between spiked and non-spiked samples, the differences cannot be fully explained by this research nor</w:t>
      </w:r>
      <w:r w:rsidR="00157C25">
        <w:rPr>
          <w:sz w:val="24"/>
        </w:rPr>
        <w:t xml:space="preserve"> by reference to the</w:t>
      </w:r>
      <w:r>
        <w:rPr>
          <w:sz w:val="24"/>
        </w:rPr>
        <w:t xml:space="preserve"> literature. Calculations for the neutron emission from the 45</w:t>
      </w:r>
      <w:r w:rsidR="00157C25">
        <w:rPr>
          <w:sz w:val="24"/>
        </w:rPr>
        <w:t xml:space="preserve"> </w:t>
      </w:r>
      <w:r>
        <w:rPr>
          <w:sz w:val="24"/>
        </w:rPr>
        <w:t xml:space="preserve">ng </w:t>
      </w:r>
      <w:r w:rsidRPr="00C451E9">
        <w:rPr>
          <w:sz w:val="24"/>
          <w:szCs w:val="24"/>
          <w:vertAlign w:val="superscript"/>
        </w:rPr>
        <w:t>240</w:t>
      </w:r>
      <w:r w:rsidRPr="00C451E9">
        <w:rPr>
          <w:sz w:val="24"/>
          <w:szCs w:val="24"/>
        </w:rPr>
        <w:t>Pu</w:t>
      </w:r>
      <w:r>
        <w:rPr>
          <w:sz w:val="24"/>
        </w:rPr>
        <w:t xml:space="preserve"> spike demonstrate a spontaneous fission neutron emission of 0.66 neutrons per sample over a 4-hour measurement. This </w:t>
      </w:r>
      <w:r w:rsidR="000B10B6">
        <w:rPr>
          <w:sz w:val="24"/>
        </w:rPr>
        <w:t xml:space="preserve">calculation </w:t>
      </w:r>
      <w:r>
        <w:rPr>
          <w:sz w:val="24"/>
        </w:rPr>
        <w:t>was based on a rate of release of 1020 g</w:t>
      </w:r>
      <w:r>
        <w:rPr>
          <w:sz w:val="24"/>
          <w:vertAlign w:val="superscript"/>
        </w:rPr>
        <w:t>-1</w:t>
      </w:r>
      <w:r>
        <w:rPr>
          <w:sz w:val="24"/>
        </w:rPr>
        <w:t>s</w:t>
      </w:r>
      <w:r>
        <w:rPr>
          <w:sz w:val="24"/>
          <w:vertAlign w:val="superscript"/>
        </w:rPr>
        <w:t>-1</w:t>
      </w:r>
      <w:r>
        <w:rPr>
          <w:sz w:val="24"/>
        </w:rPr>
        <w:t xml:space="preserve"> spontaneous fission neutrons</w:t>
      </w:r>
      <w:r w:rsidR="00157C25">
        <w:rPr>
          <w:sz w:val="24"/>
        </w:rPr>
        <w:t xml:space="preserve"> for </w:t>
      </w:r>
      <w:r w:rsidR="00157C25">
        <w:rPr>
          <w:sz w:val="24"/>
          <w:vertAlign w:val="superscript"/>
        </w:rPr>
        <w:t>240</w:t>
      </w:r>
      <w:r w:rsidR="00157C25">
        <w:rPr>
          <w:sz w:val="24"/>
        </w:rPr>
        <w:t>Pu</w:t>
      </w:r>
      <w:r w:rsidR="00217062">
        <w:rPr>
          <w:sz w:val="24"/>
        </w:rPr>
        <w:t xml:space="preserve"> </w:t>
      </w:r>
      <w:r w:rsidR="00FC6280">
        <w:rPr>
          <w:sz w:val="24"/>
        </w:rPr>
        <w:fldChar w:fldCharType="begin" w:fldLock="1"/>
      </w:r>
      <w:r w:rsidR="000B0F18">
        <w:rPr>
          <w:sz w:val="24"/>
        </w:rPr>
        <w:instrText>ADDIN CSL_CITATION {"citationItems":[{"id":"ITEM-1","itemData":{"ISBN":"0160327245","author":[{"dropping-particle":"","family":"Ensslin","given":"N","non-dropping-particle":"","parse-names":false,"suffix":""}],"container-title":"Passive Nondestructive Assay Nuclear Materials (NUREG/CR-5550)","id":"ITEM-1","issued":{"date-parts":[["1991"]]},"page":"337 - 356","title":"The Origin of Neutron Radiation","type":"article-journal"},"uris":["http://www.mendeley.com/documents/?uuid=b7ea6cbd-41be-48df-80dc-7b6b00cc16a2"]}],"mendeley":{"formattedCitation":"[39]","plainTextFormattedCitation":"[39]","previouslyFormattedCitation":"[39]"},"properties":{"noteIndex":0},"schema":"https://github.com/citation-style-language/schema/raw/master/csl-citation.json"}</w:instrText>
      </w:r>
      <w:r w:rsidR="00FC6280">
        <w:rPr>
          <w:sz w:val="24"/>
        </w:rPr>
        <w:fldChar w:fldCharType="separate"/>
      </w:r>
      <w:r w:rsidR="007D1AB4" w:rsidRPr="007D1AB4">
        <w:rPr>
          <w:noProof/>
          <w:sz w:val="24"/>
        </w:rPr>
        <w:t>[39]</w:t>
      </w:r>
      <w:r w:rsidR="00FC6280">
        <w:rPr>
          <w:sz w:val="24"/>
        </w:rPr>
        <w:fldChar w:fldCharType="end"/>
      </w:r>
      <w:r>
        <w:rPr>
          <w:sz w:val="24"/>
        </w:rPr>
        <w:t xml:space="preserve">. With </w:t>
      </w:r>
      <w:r w:rsidR="008A6F8A">
        <w:rPr>
          <w:sz w:val="24"/>
        </w:rPr>
        <w:t>the</w:t>
      </w:r>
      <w:r>
        <w:rPr>
          <w:sz w:val="24"/>
        </w:rPr>
        <w:t xml:space="preserve"> minimum estimate for the neutron background reported by Heusser (1996)</w:t>
      </w:r>
      <w:r w:rsidR="00FC6280">
        <w:rPr>
          <w:sz w:val="24"/>
        </w:rPr>
        <w:fldChar w:fldCharType="begin" w:fldLock="1"/>
      </w:r>
      <w:r w:rsidR="000B0F18">
        <w:rPr>
          <w:sz w:val="24"/>
        </w:rPr>
        <w:instrText>ADDIN CSL_CITATION {"citationItems":[{"id":"ITEM-1","itemData":{"DOI":"10.1146/annurev.ns.45.120195.002551","ISSN":"0163-8998","author":[{"dropping-particle":"","family":"Heusser","given":"G","non-dropping-particle":"","parse-names":false,"suffix":""}],"container-title":"Annual Review of Nuclear and Particle Science","id":"ITEM-1","issue":"1","issued":{"date-parts":[["1995","12","28"]]},"page":"543-590","publisher":" Annual Reviews  4139 El Camino Way, P.O. Box 10139, Palo Alto, CA 94303-0139, USA  ","title":"Low-Radioactivity Background Techniques","type":"article-journal","volume":"45"},"uris":["http://www.mendeley.com/documents/?uuid=ca395478-07d1-3e4a-885d-1432b948a440"]}],"mendeley":{"formattedCitation":"[41]","plainTextFormattedCitation":"[41]","previouslyFormattedCitation":"[41]"},"properties":{"noteIndex":0},"schema":"https://github.com/citation-style-language/schema/raw/master/csl-citation.json"}</w:instrText>
      </w:r>
      <w:r w:rsidR="00FC6280">
        <w:rPr>
          <w:sz w:val="24"/>
        </w:rPr>
        <w:fldChar w:fldCharType="separate"/>
      </w:r>
      <w:r w:rsidR="007D1AB4" w:rsidRPr="007D1AB4">
        <w:rPr>
          <w:noProof/>
          <w:sz w:val="24"/>
        </w:rPr>
        <w:t>[41]</w:t>
      </w:r>
      <w:r w:rsidR="00FC6280">
        <w:rPr>
          <w:sz w:val="24"/>
        </w:rPr>
        <w:fldChar w:fldCharType="end"/>
      </w:r>
      <w:r>
        <w:rPr>
          <w:sz w:val="24"/>
        </w:rPr>
        <w:t xml:space="preserve">, discussed earlier, the theoretical difference between the samples due to </w:t>
      </w:r>
      <w:r w:rsidRPr="00C451E9">
        <w:rPr>
          <w:sz w:val="24"/>
          <w:szCs w:val="24"/>
          <w:vertAlign w:val="superscript"/>
        </w:rPr>
        <w:t>240</w:t>
      </w:r>
      <w:r w:rsidRPr="00C451E9">
        <w:rPr>
          <w:sz w:val="24"/>
          <w:szCs w:val="24"/>
        </w:rPr>
        <w:t>Pu</w:t>
      </w:r>
      <w:r>
        <w:rPr>
          <w:sz w:val="24"/>
        </w:rPr>
        <w:t xml:space="preserve"> presented here could be completely hidden by the count</w:t>
      </w:r>
      <w:r w:rsidR="00D127CB">
        <w:rPr>
          <w:sz w:val="24"/>
        </w:rPr>
        <w:t>ing</w:t>
      </w:r>
      <w:r>
        <w:rPr>
          <w:sz w:val="24"/>
        </w:rPr>
        <w:t xml:space="preserve"> error of atmospheric background</w:t>
      </w:r>
      <w:r w:rsidR="00157C25">
        <w:rPr>
          <w:sz w:val="24"/>
        </w:rPr>
        <w:t xml:space="preserve"> alone</w:t>
      </w:r>
      <w:r>
        <w:rPr>
          <w:sz w:val="24"/>
        </w:rPr>
        <w:t xml:space="preserve">. Judging from these differences it can be concluded that there are mechanisms at play that have not been fully </w:t>
      </w:r>
      <w:r w:rsidR="00157C25">
        <w:rPr>
          <w:sz w:val="24"/>
        </w:rPr>
        <w:t>understood</w:t>
      </w:r>
      <w:r>
        <w:rPr>
          <w:sz w:val="24"/>
        </w:rPr>
        <w:t xml:space="preserve"> as part of this project. </w:t>
      </w:r>
      <w:r w:rsidR="00D127CB">
        <w:rPr>
          <w:sz w:val="24"/>
        </w:rPr>
        <w:t>A possible</w:t>
      </w:r>
      <w:r>
        <w:rPr>
          <w:sz w:val="24"/>
        </w:rPr>
        <w:t xml:space="preserve"> explanation is that (α,n) reactions are one of the </w:t>
      </w:r>
      <w:r w:rsidR="00157C25">
        <w:rPr>
          <w:sz w:val="24"/>
        </w:rPr>
        <w:t>principal</w:t>
      </w:r>
      <w:r>
        <w:rPr>
          <w:sz w:val="24"/>
        </w:rPr>
        <w:t xml:space="preserve"> mechanisms in the neutron emission from </w:t>
      </w:r>
      <w:r w:rsidRPr="00C451E9">
        <w:rPr>
          <w:sz w:val="24"/>
          <w:szCs w:val="24"/>
          <w:vertAlign w:val="superscript"/>
        </w:rPr>
        <w:t>240</w:t>
      </w:r>
      <w:r w:rsidRPr="00C451E9">
        <w:rPr>
          <w:sz w:val="24"/>
          <w:szCs w:val="24"/>
        </w:rPr>
        <w:t>Pu</w:t>
      </w:r>
      <w:r>
        <w:rPr>
          <w:sz w:val="24"/>
        </w:rPr>
        <w:t xml:space="preserve">, not just the spontaneous fission. </w:t>
      </w:r>
      <w:r w:rsidRPr="00C451E9">
        <w:rPr>
          <w:sz w:val="24"/>
          <w:szCs w:val="24"/>
          <w:vertAlign w:val="superscript"/>
        </w:rPr>
        <w:t>240</w:t>
      </w:r>
      <w:r w:rsidRPr="00C451E9">
        <w:rPr>
          <w:sz w:val="24"/>
          <w:szCs w:val="24"/>
        </w:rPr>
        <w:t>Pu</w:t>
      </w:r>
      <w:r>
        <w:rPr>
          <w:sz w:val="24"/>
        </w:rPr>
        <w:t xml:space="preserve"> has an emission </w:t>
      </w:r>
      <w:r>
        <w:rPr>
          <w:sz w:val="24"/>
        </w:rPr>
        <w:lastRenderedPageBreak/>
        <w:t>intensity of almost 100% alpha particles, all of which are over 5 MeV in energy and in low-</w:t>
      </w:r>
      <w:r w:rsidR="00157C25">
        <w:rPr>
          <w:sz w:val="24"/>
        </w:rPr>
        <w:t>Z</w:t>
      </w:r>
      <w:r>
        <w:rPr>
          <w:sz w:val="24"/>
        </w:rPr>
        <w:t xml:space="preserve"> material (nitrogen, carbon etc.). These (α,n) neutrons are not taken into account by the spontaneous fission calculations used to estimate the </w:t>
      </w:r>
      <w:r w:rsidRPr="00C451E9">
        <w:rPr>
          <w:sz w:val="24"/>
          <w:szCs w:val="24"/>
          <w:vertAlign w:val="superscript"/>
        </w:rPr>
        <w:t>240</w:t>
      </w:r>
      <w:r w:rsidRPr="00C451E9">
        <w:rPr>
          <w:sz w:val="24"/>
          <w:szCs w:val="24"/>
        </w:rPr>
        <w:t>Pu</w:t>
      </w:r>
      <w:r>
        <w:rPr>
          <w:sz w:val="24"/>
        </w:rPr>
        <w:t xml:space="preserve"> neutron emission</w:t>
      </w:r>
      <w:r w:rsidR="00157C25">
        <w:rPr>
          <w:sz w:val="24"/>
        </w:rPr>
        <w:t>,</w:t>
      </w:r>
      <w:r>
        <w:rPr>
          <w:sz w:val="24"/>
        </w:rPr>
        <w:t xml:space="preserve"> which could account for </w:t>
      </w:r>
      <w:r w:rsidR="00725A29">
        <w:rPr>
          <w:sz w:val="24"/>
        </w:rPr>
        <w:t>some of the</w:t>
      </w:r>
      <w:r>
        <w:rPr>
          <w:sz w:val="24"/>
        </w:rPr>
        <w:t xml:space="preserve"> difference in neutron emission between spiked and natural samples</w:t>
      </w:r>
      <w:r w:rsidR="00AB078E">
        <w:rPr>
          <w:sz w:val="24"/>
        </w:rPr>
        <w:t xml:space="preserve"> </w:t>
      </w:r>
      <w:r w:rsidR="00FC6280">
        <w:rPr>
          <w:sz w:val="24"/>
        </w:rPr>
        <w:fldChar w:fldCharType="begin" w:fldLock="1"/>
      </w:r>
      <w:r w:rsidR="000B0F18">
        <w:rPr>
          <w:sz w:val="24"/>
        </w:rPr>
        <w:instrText>ADDIN CSL_CITATION {"citationItems":[{"id":"ITEM-1","itemData":{"DOI":"10.1029/JB073i010p03135","ISSN":"01480227","author":[{"dropping-particle":"","family":"Feige","given":"Y.","non-dropping-particle":"","parse-names":false,"suffix":""},{"dropping-particle":"","family":"Oltman","given":"B. G.","non-dropping-particle":"","parse-names":false,"suffix":""},{"dropping-particle":"","family":"Kastner","given":"J.","non-dropping-particle":"","parse-names":false,"suffix":""}],"container-title":"Journal of Geophysical Research","id":"ITEM-1","issue":"10","issued":{"date-parts":[["1968","5","15"]]},"page":"3135-3142","title":"Production rates of neutrons in soils due to natural radioactivity","type":"article-journal","volume":"73"},"uris":["http://www.mendeley.com/documents/?uuid=66bf4c8e-a29a-48ce-8aaf-7f7efd761952"]}],"mendeley":{"formattedCitation":"[40]","plainTextFormattedCitation":"[40]","previouslyFormattedCitation":"[40]"},"properties":{"noteIndex":0},"schema":"https://github.com/citation-style-language/schema/raw/master/csl-citation.json"}</w:instrText>
      </w:r>
      <w:r w:rsidR="00FC6280">
        <w:rPr>
          <w:sz w:val="24"/>
        </w:rPr>
        <w:fldChar w:fldCharType="separate"/>
      </w:r>
      <w:r w:rsidR="007D1AB4" w:rsidRPr="007D1AB4">
        <w:rPr>
          <w:noProof/>
          <w:sz w:val="24"/>
        </w:rPr>
        <w:t>[40]</w:t>
      </w:r>
      <w:r w:rsidR="00FC6280">
        <w:rPr>
          <w:sz w:val="24"/>
        </w:rPr>
        <w:fldChar w:fldCharType="end"/>
      </w:r>
      <w:r>
        <w:rPr>
          <w:sz w:val="24"/>
        </w:rPr>
        <w:t>.</w:t>
      </w:r>
    </w:p>
    <w:p w14:paraId="3F6AD835" w14:textId="542285C7" w:rsidR="00F37CA9" w:rsidRDefault="00F37CA9" w:rsidP="00F37CA9">
      <w:pPr>
        <w:tabs>
          <w:tab w:val="left" w:pos="3075"/>
        </w:tabs>
        <w:spacing w:line="480" w:lineRule="auto"/>
        <w:ind w:firstLine="567"/>
        <w:rPr>
          <w:sz w:val="24"/>
        </w:rPr>
      </w:pPr>
      <w:r>
        <w:rPr>
          <w:sz w:val="24"/>
        </w:rPr>
        <w:t xml:space="preserve">Cross-talk is </w:t>
      </w:r>
      <w:r w:rsidR="001806BA">
        <w:rPr>
          <w:sz w:val="24"/>
        </w:rPr>
        <w:t xml:space="preserve">again </w:t>
      </w:r>
      <w:r>
        <w:rPr>
          <w:sz w:val="24"/>
        </w:rPr>
        <w:t xml:space="preserve">another potentially contributing systematic interference that can occur within this system. </w:t>
      </w:r>
      <w:r w:rsidR="001806BA">
        <w:rPr>
          <w:sz w:val="24"/>
        </w:rPr>
        <w:t>Whilst c</w:t>
      </w:r>
      <w:r>
        <w:rPr>
          <w:sz w:val="24"/>
        </w:rPr>
        <w:t>ross-talk</w:t>
      </w:r>
      <w:r w:rsidR="001806BA">
        <w:rPr>
          <w:sz w:val="24"/>
        </w:rPr>
        <w:t xml:space="preserve"> could be a systemic interference, it</w:t>
      </w:r>
      <w:r>
        <w:rPr>
          <w:sz w:val="24"/>
        </w:rPr>
        <w:t xml:space="preserve"> is likely to affect both samples in the same way</w:t>
      </w:r>
      <w:r w:rsidR="001806BA">
        <w:rPr>
          <w:sz w:val="24"/>
        </w:rPr>
        <w:t>.</w:t>
      </w:r>
      <w:r>
        <w:rPr>
          <w:sz w:val="24"/>
        </w:rPr>
        <w:t xml:space="preserve"> </w:t>
      </w:r>
      <w:r w:rsidR="001806BA">
        <w:rPr>
          <w:sz w:val="24"/>
        </w:rPr>
        <w:t>Th</w:t>
      </w:r>
      <w:r>
        <w:rPr>
          <w:sz w:val="24"/>
        </w:rPr>
        <w:t>is</w:t>
      </w:r>
      <w:r w:rsidR="001806BA">
        <w:rPr>
          <w:sz w:val="24"/>
        </w:rPr>
        <w:t xml:space="preserve"> suggests it should</w:t>
      </w:r>
      <w:r>
        <w:rPr>
          <w:sz w:val="24"/>
        </w:rPr>
        <w:t xml:space="preserve"> not </w:t>
      </w:r>
      <w:r w:rsidR="001806BA">
        <w:rPr>
          <w:sz w:val="24"/>
        </w:rPr>
        <w:t xml:space="preserve">be </w:t>
      </w:r>
      <w:r>
        <w:rPr>
          <w:sz w:val="24"/>
        </w:rPr>
        <w:t xml:space="preserve">a huge consideration when differentiating between two different samples, but it should be acknowledged that if one sample emits significantly more high-energy neutrons, there is a possibility that this could cause more cross-talk as the neutrons are likely to continue moving between detectors before they are </w:t>
      </w:r>
      <w:r w:rsidR="001806BA">
        <w:rPr>
          <w:sz w:val="24"/>
        </w:rPr>
        <w:t xml:space="preserve">fully </w:t>
      </w:r>
      <w:r>
        <w:rPr>
          <w:sz w:val="24"/>
        </w:rPr>
        <w:t>moderated. This is</w:t>
      </w:r>
      <w:r w:rsidR="001806BA">
        <w:rPr>
          <w:sz w:val="24"/>
        </w:rPr>
        <w:t xml:space="preserve"> again</w:t>
      </w:r>
      <w:r>
        <w:rPr>
          <w:sz w:val="24"/>
        </w:rPr>
        <w:t xml:space="preserve"> unlikely though in a sample of relatively low </w:t>
      </w:r>
      <w:r w:rsidRPr="00C451E9">
        <w:rPr>
          <w:sz w:val="24"/>
          <w:szCs w:val="24"/>
          <w:vertAlign w:val="superscript"/>
        </w:rPr>
        <w:t>240</w:t>
      </w:r>
      <w:r w:rsidRPr="00C451E9">
        <w:rPr>
          <w:sz w:val="24"/>
          <w:szCs w:val="24"/>
        </w:rPr>
        <w:t>Pu</w:t>
      </w:r>
      <w:r>
        <w:rPr>
          <w:sz w:val="24"/>
        </w:rPr>
        <w:t xml:space="preserve"> abundance like ‘DSRLB2Spiked’</w:t>
      </w:r>
      <w:r w:rsidR="000F59A1">
        <w:rPr>
          <w:sz w:val="24"/>
        </w:rPr>
        <w:t xml:space="preserve"> (when compared to most radioactive material)</w:t>
      </w:r>
      <w:r>
        <w:rPr>
          <w:sz w:val="24"/>
        </w:rPr>
        <w:t>.</w:t>
      </w:r>
    </w:p>
    <w:p w14:paraId="47F306BE" w14:textId="396B09E9" w:rsidR="000B10B6" w:rsidRDefault="00F37CA9" w:rsidP="00F37CA9">
      <w:pPr>
        <w:tabs>
          <w:tab w:val="left" w:pos="3075"/>
        </w:tabs>
        <w:spacing w:line="480" w:lineRule="auto"/>
        <w:ind w:firstLine="567"/>
        <w:rPr>
          <w:sz w:val="24"/>
        </w:rPr>
      </w:pPr>
      <w:r>
        <w:rPr>
          <w:sz w:val="24"/>
        </w:rPr>
        <w:t>An extra consideration for the experimental procedure is the adoption of high-density polyethylene (HDPE) as neutron shielding material</w:t>
      </w:r>
      <w:r w:rsidR="00773363">
        <w:rPr>
          <w:sz w:val="24"/>
        </w:rPr>
        <w:t>,</w:t>
      </w:r>
      <w:r>
        <w:rPr>
          <w:sz w:val="24"/>
        </w:rPr>
        <w:t xml:space="preserve"> as has been used in previous measurement methods.</w:t>
      </w:r>
      <w:r w:rsidR="008024CA">
        <w:rPr>
          <w:sz w:val="24"/>
        </w:rPr>
        <w:t xml:space="preserve"> The HDPE may reduce the cosmic neutron contribution (as previously mentioned) to the sample measurements.</w:t>
      </w:r>
      <w:r>
        <w:rPr>
          <w:sz w:val="24"/>
        </w:rPr>
        <w:t xml:space="preserve"> HDPE has been shown to moderate neutrons significantly at specific thicknesses</w:t>
      </w:r>
      <w:r w:rsidR="00810FA1">
        <w:rPr>
          <w:sz w:val="24"/>
        </w:rPr>
        <w:t xml:space="preserve"> </w:t>
      </w:r>
      <w:r w:rsidR="00810FA1">
        <w:rPr>
          <w:sz w:val="24"/>
        </w:rPr>
        <w:fldChar w:fldCharType="begin" w:fldLock="1"/>
      </w:r>
      <w:r w:rsidR="00767A68">
        <w:rPr>
          <w:sz w:val="24"/>
        </w:rPr>
        <w:instrText>ADDIN CSL_CITATION {"citationItems":[{"id":"ITEM-1","itemData":{"DOI":"10.1016/0141-3910(95)00177-8","ISSN":"01413910","abstract":"Composites of ethylene-propylene diene rubber and low density polyethylene were prepared with two different concentrations of boron carbide powder, namely, 47 and 57 wt%. The composites were investigated for their gamma and slow neutron radiation shielding properties. In addition, the temperature dependence of the electrical and thermal properties of the composites in the temperature range 30-150 ??C, has been studied. The initial 1.5 cm thickness of the composite sample containing 57 wt% boron carbide sharply reduced the initial direct slow neutron flux by about 85%. The total macroscopic cross-section of this sample is 0.215 cm-1. ?? 1995.","author":[{"dropping-particle":"","family":"Abdel-Aziz","given":"M.M.","non-dropping-particle":"","parse-names":false,"suffix":""},{"dropping-particle":"","family":"Gwaily","given":"S.E.","non-dropping-particle":"","parse-names":false,"suffix":""},{"dropping-particle":"","family":"Makarious","given":"A.S.","non-dropping-particle":"","parse-names":false,"suffix":""},{"dropping-particle":"","family":"El-Sayed Abdo","given":"A.","non-dropping-particle":"","parse-names":false,"suffix":""}],"container-title":"Polymer Degradation and Stability","id":"ITEM-1","issue":"2","issued":{"date-parts":[["1995","1"]]},"page":"235-240","title":"Ethylene-propylene diene rubber/low density polyethylene/boron carbide composites as neutron shields","type":"article-journal","volume":"50"},"uris":["http://www.mendeley.com/documents/?uuid=a0ce38f2-bce5-468c-96ef-eb5bd70ed3a4"]}],"mendeley":{"formattedCitation":"[68]","plainTextFormattedCitation":"[68]","previouslyFormattedCitation":"[68]"},"properties":{"noteIndex":0},"schema":"https://github.com/citation-style-language/schema/raw/master/csl-citation.json"}</w:instrText>
      </w:r>
      <w:r w:rsidR="00810FA1">
        <w:rPr>
          <w:sz w:val="24"/>
        </w:rPr>
        <w:fldChar w:fldCharType="separate"/>
      </w:r>
      <w:r w:rsidR="000B0F18" w:rsidRPr="000B0F18">
        <w:rPr>
          <w:noProof/>
          <w:sz w:val="24"/>
        </w:rPr>
        <w:t>[68]</w:t>
      </w:r>
      <w:r w:rsidR="00810FA1">
        <w:rPr>
          <w:sz w:val="24"/>
        </w:rPr>
        <w:fldChar w:fldCharType="end"/>
      </w:r>
      <w:r>
        <w:rPr>
          <w:sz w:val="24"/>
        </w:rPr>
        <w:t xml:space="preserve">. </w:t>
      </w:r>
      <w:r w:rsidR="00773363">
        <w:rPr>
          <w:sz w:val="24"/>
        </w:rPr>
        <w:t>This</w:t>
      </w:r>
      <w:r>
        <w:rPr>
          <w:sz w:val="24"/>
        </w:rPr>
        <w:t xml:space="preserve"> material was adopted in early experiments as a method to separate parallel arrays, and to act as a base for all experimental measurements. But the HPDE was adopted only as a base in the 16-detector measurement method due to limitations in the size of sheets that would cover the detector array, as well as the difficulty of removing the surface sheet when replacing samples for </w:t>
      </w:r>
      <w:r>
        <w:rPr>
          <w:sz w:val="24"/>
        </w:rPr>
        <w:lastRenderedPageBreak/>
        <w:t>measurement. As the 16-detector array encompasses around 60cm</w:t>
      </w:r>
      <w:r>
        <w:rPr>
          <w:sz w:val="24"/>
          <w:vertAlign w:val="superscript"/>
        </w:rPr>
        <w:t>2</w:t>
      </w:r>
      <w:r>
        <w:rPr>
          <w:sz w:val="24"/>
          <w:vertAlign w:val="subscript"/>
        </w:rPr>
        <w:t xml:space="preserve"> </w:t>
      </w:r>
      <w:r>
        <w:rPr>
          <w:sz w:val="24"/>
        </w:rPr>
        <w:t xml:space="preserve">in area, the sheet would have to be at least this size to be effective, this would be difficult to move without disturbing the detector array. </w:t>
      </w:r>
    </w:p>
    <w:p w14:paraId="007B8D7D" w14:textId="46DDF41F" w:rsidR="00D7129D" w:rsidRDefault="00F37CA9" w:rsidP="0033258C">
      <w:pPr>
        <w:tabs>
          <w:tab w:val="left" w:pos="3075"/>
        </w:tabs>
        <w:spacing w:line="480" w:lineRule="auto"/>
        <w:ind w:firstLine="567"/>
        <w:rPr>
          <w:sz w:val="24"/>
        </w:rPr>
      </w:pPr>
      <w:r>
        <w:rPr>
          <w:sz w:val="24"/>
        </w:rPr>
        <w:t>Any physical disturbances would require a fresh calibration which</w:t>
      </w:r>
      <w:r w:rsidR="00773363">
        <w:rPr>
          <w:sz w:val="24"/>
        </w:rPr>
        <w:t>, in this work, can</w:t>
      </w:r>
      <w:r>
        <w:rPr>
          <w:sz w:val="24"/>
        </w:rPr>
        <w:t xml:space="preserve"> take up to a week to configure, and time for the scintillant liquid to settle, as shown by work carried out by Dr. Vytautas Astromskas </w:t>
      </w:r>
      <w:r w:rsidR="00810FA1">
        <w:rPr>
          <w:sz w:val="24"/>
        </w:rPr>
        <w:fldChar w:fldCharType="begin" w:fldLock="1"/>
      </w:r>
      <w:r w:rsidR="000B0F18">
        <w:rPr>
          <w:sz w:val="24"/>
        </w:rPr>
        <w:instrText>ADDIN CSL_CITATION {"citationItems":[{"id":"ITEM-1","itemData":{"DOI":"10.1088/1748-0221/13/10/P10008","ISSN":"1748-0221","author":[{"dropping-particle":"","family":"Astromskas","given":"V.","non-dropping-particle":"","parse-names":false,"suffix":""},{"dropping-particle":"","family":"Joyce","given":"M.J.","non-dropping-particle":"","parse-names":false,"suffix":""},{"dropping-particle":"","family":"Aspinall","given":"M.","non-dropping-particle":"","parse-names":false,"suffix":""}],"container-title":"Journal of Instrumentation","id":"ITEM-1","issue":"10","issued":{"date-parts":[["2018","10","4"]]},"page":"P10008-P10008","publisher":"IOP Publishing","title":"Investigation of instabilities of photomultiplier tubes for multi-element detector systems","type":"article-journal","volume":"13"},"uris":["http://www.mendeley.com/documents/?uuid=ad7a2ca6-4013-3490-bd33-5affa1103789"]}],"mendeley":{"formattedCitation":"[51]","plainTextFormattedCitation":"[51]","previouslyFormattedCitation":"[51]"},"properties":{"noteIndex":0},"schema":"https://github.com/citation-style-language/schema/raw/master/csl-citation.json"}</w:instrText>
      </w:r>
      <w:r w:rsidR="00810FA1">
        <w:rPr>
          <w:sz w:val="24"/>
        </w:rPr>
        <w:fldChar w:fldCharType="separate"/>
      </w:r>
      <w:r w:rsidR="007D1AB4" w:rsidRPr="007D1AB4">
        <w:rPr>
          <w:noProof/>
          <w:sz w:val="24"/>
        </w:rPr>
        <w:t>[51]</w:t>
      </w:r>
      <w:r w:rsidR="00810FA1">
        <w:rPr>
          <w:sz w:val="24"/>
        </w:rPr>
        <w:fldChar w:fldCharType="end"/>
      </w:r>
      <w:r w:rsidRPr="008A6F8A">
        <w:rPr>
          <w:sz w:val="24"/>
        </w:rPr>
        <w:t xml:space="preserve"> </w:t>
      </w:r>
      <w:r>
        <w:rPr>
          <w:sz w:val="24"/>
        </w:rPr>
        <w:t xml:space="preserve">in the </w:t>
      </w:r>
      <w:r w:rsidR="000B10B6">
        <w:rPr>
          <w:sz w:val="24"/>
        </w:rPr>
        <w:t xml:space="preserve">Engineering </w:t>
      </w:r>
      <w:r>
        <w:rPr>
          <w:sz w:val="24"/>
        </w:rPr>
        <w:t>department at Lancaster, utilising identical equipment. Such disturbances could lead to impractical increases in experimental set-up time and were therefore avoided.</w:t>
      </w:r>
    </w:p>
    <w:p w14:paraId="4A996EEB" w14:textId="77777777" w:rsidR="008A6F8A" w:rsidRDefault="008A6F8A" w:rsidP="00F37CA9">
      <w:pPr>
        <w:tabs>
          <w:tab w:val="left" w:pos="3075"/>
        </w:tabs>
        <w:spacing w:line="480" w:lineRule="auto"/>
        <w:rPr>
          <w:b/>
          <w:sz w:val="28"/>
        </w:rPr>
      </w:pPr>
    </w:p>
    <w:p w14:paraId="5AC2D0E9" w14:textId="73B03608" w:rsidR="00F37CA9" w:rsidRPr="005A775C" w:rsidRDefault="00F37CA9" w:rsidP="00F37CA9">
      <w:pPr>
        <w:tabs>
          <w:tab w:val="left" w:pos="3075"/>
        </w:tabs>
        <w:spacing w:line="480" w:lineRule="auto"/>
        <w:rPr>
          <w:b/>
          <w:sz w:val="28"/>
        </w:rPr>
      </w:pPr>
      <w:r w:rsidRPr="005A775C">
        <w:rPr>
          <w:b/>
          <w:sz w:val="28"/>
        </w:rPr>
        <w:t>4.</w:t>
      </w:r>
      <w:r>
        <w:rPr>
          <w:b/>
          <w:sz w:val="28"/>
        </w:rPr>
        <w:t>1</w:t>
      </w:r>
      <w:r w:rsidRPr="005A775C">
        <w:rPr>
          <w:b/>
          <w:sz w:val="28"/>
        </w:rPr>
        <w:t xml:space="preserve">.4 </w:t>
      </w:r>
      <w:r>
        <w:rPr>
          <w:b/>
          <w:sz w:val="28"/>
        </w:rPr>
        <w:t xml:space="preserve">Neutron </w:t>
      </w:r>
      <w:r w:rsidRPr="005A775C">
        <w:rPr>
          <w:b/>
          <w:sz w:val="28"/>
        </w:rPr>
        <w:t>Summary</w:t>
      </w:r>
    </w:p>
    <w:p w14:paraId="51182DC3" w14:textId="39346ED0" w:rsidR="009D62D2" w:rsidRDefault="009D62D2" w:rsidP="009D62D2">
      <w:pPr>
        <w:spacing w:line="480" w:lineRule="auto"/>
        <w:ind w:firstLine="567"/>
        <w:rPr>
          <w:sz w:val="24"/>
          <w:szCs w:val="24"/>
        </w:rPr>
      </w:pPr>
      <w:r>
        <w:rPr>
          <w:sz w:val="24"/>
          <w:szCs w:val="24"/>
        </w:rPr>
        <w:t>Parallel</w:t>
      </w:r>
      <w:r w:rsidRPr="002809FE">
        <w:rPr>
          <w:sz w:val="24"/>
          <w:szCs w:val="24"/>
        </w:rPr>
        <w:t xml:space="preserve"> detector arrays offer a novel opportunity to directly compare the ambient neutron background counts to the counts measured from the sample array. The comparisons between the two </w:t>
      </w:r>
      <w:r w:rsidR="00773363">
        <w:rPr>
          <w:sz w:val="24"/>
          <w:szCs w:val="24"/>
        </w:rPr>
        <w:t xml:space="preserve">in this work </w:t>
      </w:r>
      <w:r w:rsidRPr="002809FE">
        <w:rPr>
          <w:sz w:val="24"/>
          <w:szCs w:val="24"/>
        </w:rPr>
        <w:t xml:space="preserve">show a lower neutron count from the sample arrays than the background arrays </w:t>
      </w:r>
      <w:r>
        <w:rPr>
          <w:sz w:val="24"/>
          <w:szCs w:val="24"/>
        </w:rPr>
        <w:t>–</w:t>
      </w:r>
      <w:r w:rsidR="000F59A1">
        <w:rPr>
          <w:sz w:val="24"/>
          <w:szCs w:val="24"/>
        </w:rPr>
        <w:t xml:space="preserve"> </w:t>
      </w:r>
      <w:r>
        <w:rPr>
          <w:sz w:val="24"/>
          <w:szCs w:val="24"/>
        </w:rPr>
        <w:t xml:space="preserve">with values of 1024±65 and 1433±63 respectively, </w:t>
      </w:r>
      <w:r w:rsidR="000F59A1">
        <w:rPr>
          <w:sz w:val="24"/>
          <w:szCs w:val="24"/>
        </w:rPr>
        <w:t xml:space="preserve">and are </w:t>
      </w:r>
      <w:r>
        <w:rPr>
          <w:sz w:val="24"/>
          <w:szCs w:val="24"/>
        </w:rPr>
        <w:t xml:space="preserve">statistically significant at three-sigma. </w:t>
      </w:r>
      <w:r w:rsidRPr="002809FE">
        <w:rPr>
          <w:sz w:val="24"/>
          <w:szCs w:val="24"/>
        </w:rPr>
        <w:t xml:space="preserve">That being said, when comparing the ambient background counts between both detector arrays </w:t>
      </w:r>
      <w:r>
        <w:rPr>
          <w:sz w:val="24"/>
          <w:szCs w:val="24"/>
        </w:rPr>
        <w:t>there is</w:t>
      </w:r>
      <w:r w:rsidRPr="002809FE">
        <w:rPr>
          <w:sz w:val="24"/>
          <w:szCs w:val="24"/>
        </w:rPr>
        <w:t xml:space="preserve"> a deficit in the counts of </w:t>
      </w:r>
      <w:r>
        <w:rPr>
          <w:sz w:val="24"/>
          <w:szCs w:val="24"/>
        </w:rPr>
        <w:t xml:space="preserve">the </w:t>
      </w:r>
      <w:r w:rsidRPr="002809FE">
        <w:rPr>
          <w:sz w:val="24"/>
          <w:szCs w:val="24"/>
        </w:rPr>
        <w:t>array</w:t>
      </w:r>
      <w:r>
        <w:rPr>
          <w:sz w:val="24"/>
          <w:szCs w:val="24"/>
        </w:rPr>
        <w:t xml:space="preserve"> used for the samples</w:t>
      </w:r>
      <w:r w:rsidRPr="002809FE">
        <w:rPr>
          <w:sz w:val="24"/>
          <w:szCs w:val="24"/>
        </w:rPr>
        <w:t>, and a higher count in the array</w:t>
      </w:r>
      <w:r>
        <w:rPr>
          <w:sz w:val="24"/>
          <w:szCs w:val="24"/>
        </w:rPr>
        <w:t xml:space="preserve"> used for the background measurements</w:t>
      </w:r>
      <w:r w:rsidRPr="002809FE">
        <w:rPr>
          <w:sz w:val="24"/>
          <w:szCs w:val="24"/>
        </w:rPr>
        <w:t>.</w:t>
      </w:r>
    </w:p>
    <w:p w14:paraId="36155E56" w14:textId="2332D455" w:rsidR="009D62D2" w:rsidRDefault="009D62D2" w:rsidP="009D62D2">
      <w:pPr>
        <w:tabs>
          <w:tab w:val="left" w:pos="3075"/>
        </w:tabs>
        <w:spacing w:line="480" w:lineRule="auto"/>
        <w:ind w:firstLine="567"/>
        <w:rPr>
          <w:sz w:val="24"/>
          <w:szCs w:val="24"/>
        </w:rPr>
      </w:pPr>
      <w:r>
        <w:rPr>
          <w:sz w:val="24"/>
          <w:szCs w:val="24"/>
        </w:rPr>
        <w:t>T</w:t>
      </w:r>
      <w:r w:rsidRPr="002809FE">
        <w:rPr>
          <w:sz w:val="24"/>
          <w:szCs w:val="24"/>
        </w:rPr>
        <w:t>he results of the dual array set-ups showed that the samples measured were within error of one another in terms of neutrons counted over 4-hour periods</w:t>
      </w:r>
      <w:r w:rsidR="00543B42">
        <w:rPr>
          <w:sz w:val="24"/>
          <w:szCs w:val="24"/>
        </w:rPr>
        <w:t>.</w:t>
      </w:r>
      <w:r>
        <w:rPr>
          <w:sz w:val="24"/>
          <w:szCs w:val="24"/>
        </w:rPr>
        <w:t xml:space="preserve"> </w:t>
      </w:r>
      <w:r w:rsidR="00543B42">
        <w:rPr>
          <w:sz w:val="24"/>
          <w:szCs w:val="24"/>
        </w:rPr>
        <w:t>They</w:t>
      </w:r>
      <w:r w:rsidRPr="002809FE">
        <w:rPr>
          <w:sz w:val="24"/>
          <w:szCs w:val="24"/>
        </w:rPr>
        <w:t xml:space="preserve"> indicated that the soil matrix contains materials of a lower neutron emitting character than </w:t>
      </w:r>
      <w:r>
        <w:rPr>
          <w:sz w:val="24"/>
          <w:szCs w:val="24"/>
        </w:rPr>
        <w:t xml:space="preserve">can be </w:t>
      </w:r>
      <w:r>
        <w:rPr>
          <w:sz w:val="24"/>
          <w:szCs w:val="24"/>
        </w:rPr>
        <w:lastRenderedPageBreak/>
        <w:t>identified</w:t>
      </w:r>
      <w:r w:rsidRPr="002809FE">
        <w:rPr>
          <w:sz w:val="24"/>
          <w:szCs w:val="24"/>
        </w:rPr>
        <w:t xml:space="preserve"> withi</w:t>
      </w:r>
      <w:r>
        <w:rPr>
          <w:sz w:val="24"/>
          <w:szCs w:val="24"/>
        </w:rPr>
        <w:t>n the current 4-detector arrays d</w:t>
      </w:r>
      <w:r w:rsidRPr="002809FE">
        <w:rPr>
          <w:sz w:val="24"/>
          <w:szCs w:val="24"/>
        </w:rPr>
        <w:t xml:space="preserve">ue to </w:t>
      </w:r>
      <w:r>
        <w:rPr>
          <w:sz w:val="24"/>
          <w:szCs w:val="24"/>
        </w:rPr>
        <w:t>a lack of detector efficiency</w:t>
      </w:r>
      <w:r w:rsidR="00256A17">
        <w:rPr>
          <w:sz w:val="24"/>
          <w:szCs w:val="24"/>
        </w:rPr>
        <w:t>, i.e. they are not sensitive enough</w:t>
      </w:r>
      <w:r>
        <w:rPr>
          <w:sz w:val="24"/>
          <w:szCs w:val="24"/>
        </w:rPr>
        <w:t>.</w:t>
      </w:r>
    </w:p>
    <w:p w14:paraId="0BB6A598" w14:textId="14BA85D6" w:rsidR="00951B65" w:rsidRDefault="00F37CA9" w:rsidP="00951B65">
      <w:pPr>
        <w:tabs>
          <w:tab w:val="left" w:pos="3075"/>
        </w:tabs>
        <w:spacing w:line="480" w:lineRule="auto"/>
        <w:ind w:firstLine="567"/>
        <w:rPr>
          <w:sz w:val="24"/>
        </w:rPr>
      </w:pPr>
      <w:r>
        <w:rPr>
          <w:sz w:val="24"/>
        </w:rPr>
        <w:t xml:space="preserve">Overall, the neutron </w:t>
      </w:r>
      <w:r w:rsidR="00E70796">
        <w:rPr>
          <w:sz w:val="24"/>
        </w:rPr>
        <w:t>assay</w:t>
      </w:r>
      <w:r>
        <w:rPr>
          <w:sz w:val="24"/>
        </w:rPr>
        <w:t xml:space="preserve"> methods identified differences between sample neutron emission, especially between the </w:t>
      </w:r>
      <w:r w:rsidR="00543B42">
        <w:rPr>
          <w:sz w:val="24"/>
        </w:rPr>
        <w:t>separately measured</w:t>
      </w:r>
      <w:r>
        <w:rPr>
          <w:sz w:val="24"/>
        </w:rPr>
        <w:t xml:space="preserve"> spiked and natural samples. </w:t>
      </w:r>
      <w:r w:rsidR="00543B42">
        <w:rPr>
          <w:sz w:val="24"/>
        </w:rPr>
        <w:t>However,</w:t>
      </w:r>
      <w:r>
        <w:rPr>
          <w:sz w:val="24"/>
        </w:rPr>
        <w:t xml:space="preserve"> it </w:t>
      </w:r>
      <w:r w:rsidR="00543B42">
        <w:rPr>
          <w:sz w:val="24"/>
        </w:rPr>
        <w:t>is</w:t>
      </w:r>
      <w:r>
        <w:rPr>
          <w:sz w:val="24"/>
        </w:rPr>
        <w:t xml:space="preserve"> acknowledged that the mechanics behind these differences are not fully understood. Indeed, </w:t>
      </w:r>
      <w:r w:rsidR="00E70796">
        <w:rPr>
          <w:sz w:val="24"/>
        </w:rPr>
        <w:t>cosmic</w:t>
      </w:r>
      <w:r>
        <w:rPr>
          <w:sz w:val="24"/>
        </w:rPr>
        <w:t xml:space="preserve"> background neutrons </w:t>
      </w:r>
      <w:r w:rsidR="00E70796">
        <w:rPr>
          <w:sz w:val="24"/>
        </w:rPr>
        <w:t>can fluctuate</w:t>
      </w:r>
      <w:r>
        <w:rPr>
          <w:sz w:val="24"/>
        </w:rPr>
        <w:t xml:space="preserve"> significantly day-to-day, potentially causing a significant difference to measurements in the 16-detector set-up. In an ideal situation there would be an identical, parallel array isolated from the sample array to provide a background subtraction for each individual measurement. Full HDPE shielding was not possible in the project at this time due to the significant difficulty in handling and placing such an amount of heavy material but will be put forward as a consideration for future work.</w:t>
      </w:r>
    </w:p>
    <w:p w14:paraId="564B47BB" w14:textId="1A30AAE5" w:rsidR="00951B65" w:rsidRDefault="00951B65" w:rsidP="00951B65">
      <w:pPr>
        <w:tabs>
          <w:tab w:val="left" w:pos="3075"/>
        </w:tabs>
        <w:spacing w:line="480" w:lineRule="auto"/>
        <w:ind w:firstLine="567"/>
        <w:rPr>
          <w:sz w:val="24"/>
        </w:rPr>
      </w:pPr>
      <w:r>
        <w:rPr>
          <w:sz w:val="24"/>
        </w:rPr>
        <w:t xml:space="preserve">The adoption of a higher efficiency </w:t>
      </w:r>
      <w:r w:rsidR="00EB4CA3">
        <w:rPr>
          <w:sz w:val="24"/>
        </w:rPr>
        <w:t xml:space="preserve">measurement geometry including greater masses of sample could also have benefitted the </w:t>
      </w:r>
      <w:r w:rsidR="008D4F53">
        <w:rPr>
          <w:sz w:val="24"/>
        </w:rPr>
        <w:t xml:space="preserve">project, but due to logistical difficulties these were not plausible </w:t>
      </w:r>
      <w:r w:rsidR="00C31F89">
        <w:rPr>
          <w:sz w:val="24"/>
        </w:rPr>
        <w:t>as alternatives over the short project timeline.</w:t>
      </w:r>
    </w:p>
    <w:p w14:paraId="64A241FD" w14:textId="4C12A1FD" w:rsidR="006077E6" w:rsidRDefault="00F37CA9" w:rsidP="006077E6">
      <w:pPr>
        <w:tabs>
          <w:tab w:val="left" w:pos="3075"/>
        </w:tabs>
        <w:spacing w:line="480" w:lineRule="auto"/>
        <w:ind w:firstLine="567"/>
        <w:rPr>
          <w:sz w:val="24"/>
        </w:rPr>
      </w:pPr>
      <w:r>
        <w:rPr>
          <w:sz w:val="24"/>
        </w:rPr>
        <w:t xml:space="preserve">Judging from the presented work, neutron measurements can </w:t>
      </w:r>
      <w:r w:rsidR="000B10B6">
        <w:rPr>
          <w:sz w:val="24"/>
        </w:rPr>
        <w:t xml:space="preserve">certainly </w:t>
      </w:r>
      <w:r>
        <w:rPr>
          <w:sz w:val="24"/>
        </w:rPr>
        <w:t>distinguish between samples with an average activity of more than 1 Bq/g</w:t>
      </w:r>
      <w:bookmarkEnd w:id="37"/>
      <w:r w:rsidR="00C10E52">
        <w:rPr>
          <w:sz w:val="24"/>
        </w:rPr>
        <w:t xml:space="preserve"> based on the </w:t>
      </w:r>
      <w:r w:rsidR="00C10E52">
        <w:rPr>
          <w:sz w:val="24"/>
          <w:vertAlign w:val="superscript"/>
        </w:rPr>
        <w:t>240</w:t>
      </w:r>
      <w:r w:rsidR="00C10E52">
        <w:rPr>
          <w:sz w:val="24"/>
        </w:rPr>
        <w:t>Pu spiked data.</w:t>
      </w:r>
      <w:r w:rsidR="006077E6">
        <w:rPr>
          <w:sz w:val="24"/>
        </w:rPr>
        <w:br w:type="page"/>
      </w:r>
    </w:p>
    <w:p w14:paraId="2BE1954D" w14:textId="162D5854" w:rsidR="00F37CA9" w:rsidRPr="00E61DD4" w:rsidRDefault="00F37CA9" w:rsidP="006077E6">
      <w:pPr>
        <w:tabs>
          <w:tab w:val="left" w:pos="3075"/>
        </w:tabs>
        <w:spacing w:line="480" w:lineRule="auto"/>
        <w:rPr>
          <w:b/>
          <w:sz w:val="28"/>
        </w:rPr>
      </w:pPr>
      <w:r w:rsidRPr="00E61DD4">
        <w:rPr>
          <w:b/>
          <w:sz w:val="28"/>
        </w:rPr>
        <w:lastRenderedPageBreak/>
        <w:t>4.</w:t>
      </w:r>
      <w:r>
        <w:rPr>
          <w:b/>
          <w:sz w:val="28"/>
        </w:rPr>
        <w:t>2</w:t>
      </w:r>
      <w:r w:rsidRPr="00E61DD4">
        <w:rPr>
          <w:b/>
          <w:sz w:val="28"/>
        </w:rPr>
        <w:t xml:space="preserve"> Gamma-ray Spectrometry</w:t>
      </w:r>
    </w:p>
    <w:p w14:paraId="04F1E86B" w14:textId="77777777" w:rsidR="006077E6" w:rsidRDefault="00F37CA9" w:rsidP="00F37CA9">
      <w:pPr>
        <w:tabs>
          <w:tab w:val="left" w:pos="3075"/>
        </w:tabs>
        <w:spacing w:line="480" w:lineRule="auto"/>
        <w:ind w:firstLine="567"/>
        <w:rPr>
          <w:sz w:val="24"/>
        </w:rPr>
      </w:pPr>
      <w:r w:rsidRPr="00C07361">
        <w:rPr>
          <w:sz w:val="24"/>
        </w:rPr>
        <w:t xml:space="preserve">The </w:t>
      </w:r>
      <w:r w:rsidR="00780048">
        <w:rPr>
          <w:sz w:val="24"/>
          <w:szCs w:val="24"/>
        </w:rPr>
        <w:t>gamma</w:t>
      </w:r>
      <w:r w:rsidRPr="00C07361">
        <w:rPr>
          <w:sz w:val="24"/>
        </w:rPr>
        <w:t>-ray spectrometry gave expected results</w:t>
      </w:r>
      <w:r w:rsidR="00E17790">
        <w:rPr>
          <w:sz w:val="24"/>
        </w:rPr>
        <w:t xml:space="preserve"> overall</w:t>
      </w:r>
      <w:r>
        <w:rPr>
          <w:sz w:val="24"/>
        </w:rPr>
        <w:t>;</w:t>
      </w:r>
      <w:r w:rsidRPr="00C07361">
        <w:rPr>
          <w:sz w:val="24"/>
        </w:rPr>
        <w:t xml:space="preserve"> displaying many uranium decay products alongside other ubiquitous</w:t>
      </w:r>
      <w:r w:rsidR="007177C7">
        <w:rPr>
          <w:sz w:val="24"/>
        </w:rPr>
        <w:t>, environmental</w:t>
      </w:r>
      <w:r w:rsidRPr="00C07361">
        <w:rPr>
          <w:sz w:val="24"/>
        </w:rPr>
        <w:t xml:space="preserve"> radionuclide emissions. One of only two obvious evidences of plutonium isotopes was </w:t>
      </w:r>
      <w:r>
        <w:rPr>
          <w:sz w:val="24"/>
        </w:rPr>
        <w:t>that</w:t>
      </w:r>
      <w:r w:rsidRPr="00C07361">
        <w:rPr>
          <w:sz w:val="24"/>
        </w:rPr>
        <w:t xml:space="preserve"> of the 129 keV </w:t>
      </w:r>
      <w:r w:rsidR="00780048">
        <w:rPr>
          <w:sz w:val="24"/>
          <w:szCs w:val="24"/>
        </w:rPr>
        <w:t>gamma</w:t>
      </w:r>
      <w:r w:rsidRPr="00C07361">
        <w:rPr>
          <w:sz w:val="24"/>
        </w:rPr>
        <w:t>-ray</w:t>
      </w:r>
      <w:r>
        <w:rPr>
          <w:sz w:val="24"/>
        </w:rPr>
        <w:t xml:space="preserve"> emission </w:t>
      </w:r>
      <w:r w:rsidRPr="00C07361">
        <w:rPr>
          <w:sz w:val="24"/>
        </w:rPr>
        <w:t xml:space="preserve">that is </w:t>
      </w:r>
      <w:r w:rsidR="007177C7">
        <w:rPr>
          <w:sz w:val="24"/>
        </w:rPr>
        <w:t>indicative</w:t>
      </w:r>
      <w:r>
        <w:rPr>
          <w:sz w:val="24"/>
        </w:rPr>
        <w:t xml:space="preserve"> of</w:t>
      </w:r>
      <w:r w:rsidRPr="00C07361">
        <w:rPr>
          <w:sz w:val="24"/>
        </w:rPr>
        <w:t xml:space="preserve"> both </w:t>
      </w:r>
      <w:r w:rsidRPr="00982F3E">
        <w:rPr>
          <w:sz w:val="24"/>
          <w:vertAlign w:val="superscript"/>
        </w:rPr>
        <w:t>239</w:t>
      </w:r>
      <w:r>
        <w:rPr>
          <w:sz w:val="24"/>
        </w:rPr>
        <w:t>Pu</w:t>
      </w:r>
      <w:r w:rsidRPr="00C07361">
        <w:rPr>
          <w:sz w:val="24"/>
        </w:rPr>
        <w:t xml:space="preserve"> and </w:t>
      </w:r>
      <w:r>
        <w:rPr>
          <w:sz w:val="24"/>
          <w:vertAlign w:val="superscript"/>
        </w:rPr>
        <w:t>228</w:t>
      </w:r>
      <w:r>
        <w:rPr>
          <w:sz w:val="24"/>
        </w:rPr>
        <w:t>A</w:t>
      </w:r>
      <w:r w:rsidRPr="00C07361">
        <w:rPr>
          <w:sz w:val="24"/>
        </w:rPr>
        <w:t xml:space="preserve">c. The other was the </w:t>
      </w:r>
      <w:r>
        <w:rPr>
          <w:sz w:val="24"/>
        </w:rPr>
        <w:t>59.5</w:t>
      </w:r>
      <w:r w:rsidRPr="00C07361">
        <w:rPr>
          <w:sz w:val="24"/>
        </w:rPr>
        <w:t xml:space="preserve"> keV </w:t>
      </w:r>
      <w:r w:rsidR="00780048">
        <w:rPr>
          <w:sz w:val="24"/>
          <w:szCs w:val="24"/>
        </w:rPr>
        <w:t>gamma</w:t>
      </w:r>
      <w:r w:rsidRPr="00C07361">
        <w:rPr>
          <w:sz w:val="24"/>
        </w:rPr>
        <w:t xml:space="preserve">-ray emission from </w:t>
      </w:r>
      <w:r w:rsidRPr="00982F3E">
        <w:rPr>
          <w:sz w:val="24"/>
          <w:vertAlign w:val="superscript"/>
        </w:rPr>
        <w:t>241</w:t>
      </w:r>
      <w:r>
        <w:rPr>
          <w:sz w:val="24"/>
        </w:rPr>
        <w:t>Am</w:t>
      </w:r>
      <w:r w:rsidRPr="00C07361">
        <w:rPr>
          <w:sz w:val="24"/>
        </w:rPr>
        <w:t xml:space="preserve">. As </w:t>
      </w:r>
      <w:r w:rsidR="007177C7">
        <w:rPr>
          <w:sz w:val="24"/>
        </w:rPr>
        <w:t xml:space="preserve">was </w:t>
      </w:r>
      <w:r w:rsidRPr="00C07361">
        <w:rPr>
          <w:sz w:val="24"/>
        </w:rPr>
        <w:t xml:space="preserve">earlier </w:t>
      </w:r>
      <w:r w:rsidR="007177C7">
        <w:rPr>
          <w:sz w:val="24"/>
        </w:rPr>
        <w:t>anticipated</w:t>
      </w:r>
      <w:r w:rsidRPr="00C07361">
        <w:rPr>
          <w:sz w:val="24"/>
        </w:rPr>
        <w:t xml:space="preserve">, no other plutonium peaks were </w:t>
      </w:r>
      <w:r w:rsidR="007177C7">
        <w:rPr>
          <w:sz w:val="24"/>
        </w:rPr>
        <w:t>sufficiently free from contamination</w:t>
      </w:r>
      <w:r w:rsidRPr="00C07361">
        <w:rPr>
          <w:sz w:val="24"/>
        </w:rPr>
        <w:t xml:space="preserve"> in the spectra, which is likely due to the high amount of uranium </w:t>
      </w:r>
      <w:r w:rsidR="007177C7">
        <w:rPr>
          <w:sz w:val="24"/>
        </w:rPr>
        <w:t xml:space="preserve">and thorium-derived </w:t>
      </w:r>
      <w:r w:rsidRPr="00C07361">
        <w:rPr>
          <w:sz w:val="24"/>
        </w:rPr>
        <w:t>background present within the samples</w:t>
      </w:r>
      <w:r w:rsidR="000B10B6">
        <w:rPr>
          <w:sz w:val="24"/>
        </w:rPr>
        <w:t>, eclipsing the low concentrations of plutonium</w:t>
      </w:r>
      <w:r w:rsidRPr="00C07361">
        <w:rPr>
          <w:sz w:val="24"/>
        </w:rPr>
        <w:t>. The uranium decay chain has multiple decay products across the</w:t>
      </w:r>
      <w:r>
        <w:rPr>
          <w:sz w:val="24"/>
        </w:rPr>
        <w:t>se</w:t>
      </w:r>
      <w:r w:rsidRPr="00C07361">
        <w:rPr>
          <w:sz w:val="24"/>
        </w:rPr>
        <w:t xml:space="preserve"> spectra, with many primordial </w:t>
      </w:r>
      <w:r w:rsidR="00780048">
        <w:rPr>
          <w:sz w:val="24"/>
          <w:szCs w:val="24"/>
        </w:rPr>
        <w:t>gamma</w:t>
      </w:r>
      <w:r w:rsidRPr="00C07361">
        <w:rPr>
          <w:sz w:val="24"/>
        </w:rPr>
        <w:t>-ray emitters flooding the lower energy channels in counts</w:t>
      </w:r>
      <w:r w:rsidR="00695221">
        <w:rPr>
          <w:sz w:val="24"/>
        </w:rPr>
        <w:t xml:space="preserve"> such as </w:t>
      </w:r>
      <w:r w:rsidR="00695221">
        <w:rPr>
          <w:sz w:val="24"/>
          <w:vertAlign w:val="superscript"/>
        </w:rPr>
        <w:t>238</w:t>
      </w:r>
      <w:r w:rsidR="00695221">
        <w:rPr>
          <w:sz w:val="24"/>
        </w:rPr>
        <w:t xml:space="preserve">U, </w:t>
      </w:r>
      <w:r w:rsidR="00695221">
        <w:rPr>
          <w:sz w:val="24"/>
          <w:vertAlign w:val="superscript"/>
        </w:rPr>
        <w:t>210</w:t>
      </w:r>
      <w:r w:rsidR="00695221">
        <w:rPr>
          <w:sz w:val="24"/>
        </w:rPr>
        <w:t>Pb</w:t>
      </w:r>
      <w:r w:rsidR="002725D8">
        <w:rPr>
          <w:sz w:val="24"/>
        </w:rPr>
        <w:t xml:space="preserve"> and various thorium isotopes</w:t>
      </w:r>
      <w:r w:rsidRPr="00C07361">
        <w:rPr>
          <w:sz w:val="24"/>
        </w:rPr>
        <w:t>.</w:t>
      </w:r>
    </w:p>
    <w:p w14:paraId="08297E99" w14:textId="7FE4BB49" w:rsidR="00F37CA9" w:rsidRDefault="00F37CA9" w:rsidP="00F37CA9">
      <w:pPr>
        <w:tabs>
          <w:tab w:val="left" w:pos="3075"/>
        </w:tabs>
        <w:spacing w:line="480" w:lineRule="auto"/>
        <w:ind w:firstLine="567"/>
        <w:rPr>
          <w:sz w:val="24"/>
        </w:rPr>
      </w:pPr>
      <w:r>
        <w:rPr>
          <w:sz w:val="24"/>
        </w:rPr>
        <w:t xml:space="preserve">The high proportion of </w:t>
      </w:r>
      <w:r w:rsidR="00780048">
        <w:rPr>
          <w:sz w:val="24"/>
          <w:szCs w:val="24"/>
        </w:rPr>
        <w:t>gamma</w:t>
      </w:r>
      <w:r>
        <w:rPr>
          <w:sz w:val="24"/>
        </w:rPr>
        <w:t>-ray emitters of uranium origin effectively hide the emissions</w:t>
      </w:r>
      <w:r w:rsidRPr="00282BC3">
        <w:rPr>
          <w:sz w:val="24"/>
        </w:rPr>
        <w:t xml:space="preserve"> </w:t>
      </w:r>
      <w:r>
        <w:rPr>
          <w:sz w:val="24"/>
        </w:rPr>
        <w:t xml:space="preserve">of plutonium origin that may otherwise be </w:t>
      </w:r>
      <w:r w:rsidR="007177C7">
        <w:rPr>
          <w:sz w:val="24"/>
        </w:rPr>
        <w:t>observed</w:t>
      </w:r>
      <w:r>
        <w:rPr>
          <w:sz w:val="24"/>
        </w:rPr>
        <w:t>.</w:t>
      </w:r>
      <w:r w:rsidRPr="00C07361">
        <w:rPr>
          <w:sz w:val="24"/>
        </w:rPr>
        <w:t xml:space="preserve"> Th</w:t>
      </w:r>
      <w:r>
        <w:rPr>
          <w:sz w:val="24"/>
        </w:rPr>
        <w:t>e</w:t>
      </w:r>
      <w:r w:rsidRPr="00C07361">
        <w:rPr>
          <w:sz w:val="24"/>
        </w:rPr>
        <w:t xml:space="preserve"> emission of 59.5 keV </w:t>
      </w:r>
      <w:r>
        <w:rPr>
          <w:sz w:val="24"/>
        </w:rPr>
        <w:t>is</w:t>
      </w:r>
      <w:r w:rsidR="007177C7">
        <w:rPr>
          <w:sz w:val="24"/>
        </w:rPr>
        <w:t xml:space="preserve"> reported</w:t>
      </w:r>
      <w:r>
        <w:rPr>
          <w:sz w:val="24"/>
        </w:rPr>
        <w:t xml:space="preserve"> widely in the prior art, which</w:t>
      </w:r>
      <w:r w:rsidRPr="00C07361">
        <w:rPr>
          <w:sz w:val="24"/>
        </w:rPr>
        <w:t xml:space="preserve"> shows</w:t>
      </w:r>
      <w:r w:rsidRPr="00FD5730">
        <w:rPr>
          <w:sz w:val="24"/>
        </w:rPr>
        <w:t xml:space="preserve"> a wealth of information regarding its measurement within </w:t>
      </w:r>
      <w:r w:rsidR="00780048">
        <w:rPr>
          <w:sz w:val="24"/>
          <w:szCs w:val="24"/>
        </w:rPr>
        <w:t>gamma</w:t>
      </w:r>
      <w:r w:rsidRPr="00FD5730">
        <w:rPr>
          <w:sz w:val="24"/>
        </w:rPr>
        <w:t xml:space="preserve">-ray spectra </w:t>
      </w:r>
      <w:r w:rsidR="00810FA1">
        <w:rPr>
          <w:sz w:val="24"/>
        </w:rPr>
        <w:fldChar w:fldCharType="begin" w:fldLock="1"/>
      </w:r>
      <w:r w:rsidR="007B6045">
        <w:rPr>
          <w:sz w:val="24"/>
        </w:rPr>
        <w:instrText>ADDIN CSL_CITATION {"citationItems":[{"id":"ITEM-1","itemData":{"ISBN":"9780123848734","abstract":"3rd ed. V. METHODS OF QUENCH CORRECTION IN LIQUID SCINTILLATION COUNTING. The updated and much expanded Third Edition of the \"Handbook of Radioactivity Analysis\" is an authoritative reference providing the principles, practical techniques, and procedures for the accurate measurement of radioactivity from the very low levels encountered in the environment to higher levels measured in radioisotope research, clinical laboratories, biological sciences, radionuclide standardization, nuclear medicine, nuclear power, fuel cycle facilities and in the implementation of nuclear forensic analysis and nuclear safeguards. The Third Edition contains seven new chapters providing a. Chapter 1 -- Radiation Physics and Radionuclide Decay; I. INTRODUCTION; II. DISCOVERY AND EARLY CHARACTERIZATION OF RADIOACTIVITY; III. BASIC UNITS AND DEFINITIONS; IV. PROPERTIES OF THE NUCLEUS; V. NATURALLY OCCURRING RADIONUCLIDES; VI. ARTIFICIALLY PRODUCED RADIONUCLIDES; VII. NUCLEAR REACTIONS; VIII. PARTICULATE RADIATION; IX. ELECTROMAGNETIC RADIATION -- PHOTONS. X. INTERACTION OF ELECTROMAGNETIC RADIATION WITH MATTERXI. RADIOACTIVE NUCLEAR RECOIL; XII. COSMIC RADIATION; XIII. RADIATION DOSE; XIV. STOPPING POWER AND LINEAR ENERGY TRANSFER; XV. RADIONUCLIDE DECAY, INGROWTH, AND EQUILIBRIUM; XVI. RADIOACTIVITY UNITS AND RADIONUCLIDE MASS; REFERENCES; Chapter 2 -- Radioactivity Counting Statistics; I. INTRODUCTION; II. STATISTICAL DISTRIBUTIONS; III. ANALYSIS OF A SAMPLE OF RESULTS; IV. STATISTICAL INFERENCE; V. REGRESSION; VI. DETECTION LIMITS; VII. METROLOGY APPLICATIONS; REFERENCES; RELEVANT STATISTICAL REFERENCES TABLES. Chapter 3 -- Gas Ionization DetectorsI. INTRODUCTION: PRINCIPLES OF RADIATION DETECTION BY GAS IONIZATION; II. CHARACTERIZATION OF GAS IONIZATION DETECTORS; III. DEFINITION OF OPERATING CHARACTERISTICS OF GAS IONIZATION DETECTORS; IV. ION CHAMBERS; V. PROPORTIONAL GAS IONIZATION DETECTORS; VI. GEIGER-MÜLLER COUNTERS; VII. SPECIAL TYPES OF IONIZATION DETECTORS; REFERENCES; Chapter 4 -- Solid-State Nuclear Track Detectors; PART 1 ELEMENTS; I. INTRODUCTION; II. DETECTOR MATERIALS AND CLASSIFICATION OF SOLID-STATE NUCLEAR TRACK DETECTORS. III. RECORDABLE PARTICLES WITH SOLID-STATE NUCLEAR TRACK DETECTORSIV. TRACK FORMATION MECHANISMS AND CRITERIA; V. TRACK REVELATION; VI. PARTICLE IDENTIFICATION; VII. TRACK FADING AND ANNEALING; VIII. INSTRUMENTATION; PART 2 APPLICATIONS; I. INTRODUCTION; II. PHYSICAL SCIENCES AND NUCLEAR TECHNOLOGY; III. EARTH AND PLANETARY SCIENCES; IV.…","author":[{"dropping-particle":"","family":"L'Annunziata","given":"Michael F.","non-dropping-particle":"","parse-names":false,"suffix":""}],"id":"ITEM-1","issued":{"date-parts":[["2012"]]},"number-of-pages":"1419","publisher":"Elsevier Science","title":"Handbook of radioactivity analysis","type":"book"},"uris":["http://www.mendeley.com/documents/?uuid=edb68f40-8873-38f3-87a5-9ffaeabb30cc"]}],"mendeley":{"formattedCitation":"[20]","plainTextFormattedCitation":"[20]","previouslyFormattedCitation":"[20]"},"properties":{"noteIndex":0},"schema":"https://github.com/citation-style-language/schema/raw/master/csl-citation.json"}</w:instrText>
      </w:r>
      <w:r w:rsidR="00810FA1">
        <w:rPr>
          <w:sz w:val="24"/>
        </w:rPr>
        <w:fldChar w:fldCharType="separate"/>
      </w:r>
      <w:r w:rsidR="00CD23B7" w:rsidRPr="00CD23B7">
        <w:rPr>
          <w:noProof/>
          <w:sz w:val="24"/>
        </w:rPr>
        <w:t>[20]</w:t>
      </w:r>
      <w:r w:rsidR="00810FA1">
        <w:rPr>
          <w:sz w:val="24"/>
        </w:rPr>
        <w:fldChar w:fldCharType="end"/>
      </w:r>
      <w:r w:rsidR="00810FA1">
        <w:rPr>
          <w:sz w:val="24"/>
        </w:rPr>
        <w:fldChar w:fldCharType="begin" w:fldLock="1"/>
      </w:r>
      <w:r w:rsidR="000B0F18">
        <w:rPr>
          <w:sz w:val="24"/>
        </w:rPr>
        <w:instrText>ADDIN CSL_CITATION {"citationItems":[{"id":"ITEM-1","itemData":{"DOI":"10.2172/5265462","abstract":"This report presents a review of the methods and capabilities of nondestructive measurements of the isotopic composition of plutonium using gamma-ray spectroscopy.","author":[{"dropping-particle":"","family":"Sampson","given":"T.E.","non-dropping-particle":"","parse-names":false,"suffix":""}],"id":"ITEM-1","issued":{"date-parts":[["1986","9","1"]]},"number-of-pages":"55","publisher-place":"Los Alamos, NM","title":"Plutonium isotopic composition by gamma-ray spectroscopy: a review","type":"report"},"uris":["http://www.mendeley.com/documents/?uuid=c0be79ae-7a2e-3af5-9dff-87780c216ad1"]}],"mendeley":{"formattedCitation":"[62]","plainTextFormattedCitation":"[62]","previouslyFormattedCitation":"[62]"},"properties":{"noteIndex":0},"schema":"https://github.com/citation-style-language/schema/raw/master/csl-citation.json"}</w:instrText>
      </w:r>
      <w:r w:rsidR="00810FA1">
        <w:rPr>
          <w:sz w:val="24"/>
        </w:rPr>
        <w:fldChar w:fldCharType="separate"/>
      </w:r>
      <w:r w:rsidR="007D1AB4" w:rsidRPr="007D1AB4">
        <w:rPr>
          <w:noProof/>
          <w:sz w:val="24"/>
        </w:rPr>
        <w:t>[62]</w:t>
      </w:r>
      <w:r w:rsidR="00810FA1">
        <w:rPr>
          <w:sz w:val="24"/>
        </w:rPr>
        <w:fldChar w:fldCharType="end"/>
      </w:r>
      <w:r w:rsidR="00810FA1">
        <w:rPr>
          <w:sz w:val="24"/>
        </w:rPr>
        <w:t>.</w:t>
      </w:r>
      <w:r>
        <w:rPr>
          <w:sz w:val="24"/>
        </w:rPr>
        <w:t xml:space="preserve"> </w:t>
      </w:r>
      <w:r w:rsidRPr="00C07361">
        <w:rPr>
          <w:sz w:val="24"/>
        </w:rPr>
        <w:t xml:space="preserve">In environmental samples, </w:t>
      </w:r>
      <w:r w:rsidRPr="00982F3E">
        <w:rPr>
          <w:sz w:val="24"/>
          <w:vertAlign w:val="superscript"/>
        </w:rPr>
        <w:t>241</w:t>
      </w:r>
      <w:r>
        <w:rPr>
          <w:sz w:val="24"/>
        </w:rPr>
        <w:t>Am</w:t>
      </w:r>
      <w:r w:rsidRPr="00C07361">
        <w:rPr>
          <w:sz w:val="24"/>
        </w:rPr>
        <w:t xml:space="preserve"> is usually indicative of some form of nuclear contamination</w:t>
      </w:r>
      <w:r w:rsidR="000B10B6">
        <w:rPr>
          <w:sz w:val="24"/>
        </w:rPr>
        <w:t>.</w:t>
      </w:r>
      <w:r>
        <w:rPr>
          <w:sz w:val="24"/>
        </w:rPr>
        <w:t xml:space="preserve"> </w:t>
      </w:r>
      <w:r w:rsidR="000B10B6">
        <w:rPr>
          <w:sz w:val="24"/>
        </w:rPr>
        <w:t>It</w:t>
      </w:r>
      <w:r>
        <w:rPr>
          <w:sz w:val="24"/>
        </w:rPr>
        <w:t xml:space="preserve"> is produced when </w:t>
      </w:r>
      <w:r w:rsidRPr="00982F3E">
        <w:rPr>
          <w:sz w:val="24"/>
          <w:vertAlign w:val="superscript"/>
        </w:rPr>
        <w:t>241</w:t>
      </w:r>
      <w:r>
        <w:rPr>
          <w:sz w:val="24"/>
        </w:rPr>
        <w:t xml:space="preserve">Pu is formed as </w:t>
      </w:r>
      <w:r w:rsidR="007177C7">
        <w:rPr>
          <w:sz w:val="24"/>
        </w:rPr>
        <w:t>an activation</w:t>
      </w:r>
      <w:r>
        <w:rPr>
          <w:sz w:val="24"/>
        </w:rPr>
        <w:t xml:space="preserve"> product </w:t>
      </w:r>
      <w:r w:rsidR="007177C7">
        <w:rPr>
          <w:sz w:val="24"/>
        </w:rPr>
        <w:t>of</w:t>
      </w:r>
      <w:r>
        <w:rPr>
          <w:sz w:val="24"/>
        </w:rPr>
        <w:t xml:space="preserve"> </w:t>
      </w:r>
      <w:r w:rsidR="007177C7">
        <w:rPr>
          <w:sz w:val="24"/>
        </w:rPr>
        <w:t>neutron capture</w:t>
      </w:r>
      <w:r>
        <w:rPr>
          <w:sz w:val="24"/>
        </w:rPr>
        <w:t xml:space="preserve"> in the nuclear fuel cycle and in atmospheric weapon tests. Th</w:t>
      </w:r>
      <w:r w:rsidR="007177C7">
        <w:rPr>
          <w:sz w:val="24"/>
        </w:rPr>
        <w:t>e</w:t>
      </w:r>
      <w:r>
        <w:rPr>
          <w:sz w:val="24"/>
        </w:rPr>
        <w:t xml:space="preserve"> </w:t>
      </w:r>
      <w:r w:rsidRPr="00982F3E">
        <w:rPr>
          <w:sz w:val="24"/>
          <w:vertAlign w:val="superscript"/>
        </w:rPr>
        <w:t>241</w:t>
      </w:r>
      <w:r>
        <w:rPr>
          <w:sz w:val="24"/>
        </w:rPr>
        <w:t xml:space="preserve">Pu isotope decays to form </w:t>
      </w:r>
      <w:r w:rsidRPr="00982F3E">
        <w:rPr>
          <w:sz w:val="24"/>
          <w:vertAlign w:val="superscript"/>
        </w:rPr>
        <w:t>241</w:t>
      </w:r>
      <w:r w:rsidR="000B10B6">
        <w:rPr>
          <w:sz w:val="24"/>
        </w:rPr>
        <w:t>Am</w:t>
      </w:r>
      <w:r>
        <w:rPr>
          <w:sz w:val="24"/>
        </w:rPr>
        <w:t xml:space="preserve"> following beta emission. </w:t>
      </w:r>
      <w:r w:rsidRPr="00982F3E">
        <w:rPr>
          <w:sz w:val="24"/>
          <w:vertAlign w:val="superscript"/>
        </w:rPr>
        <w:t>241</w:t>
      </w:r>
      <w:r>
        <w:rPr>
          <w:sz w:val="24"/>
        </w:rPr>
        <w:t>Am can be hazardous to human health when ingested, due to its emission of high</w:t>
      </w:r>
      <w:r w:rsidR="007177C7">
        <w:rPr>
          <w:sz w:val="24"/>
        </w:rPr>
        <w:t>-</w:t>
      </w:r>
      <w:r>
        <w:rPr>
          <w:sz w:val="24"/>
        </w:rPr>
        <w:t>energy alpha particles and</w:t>
      </w:r>
      <w:r w:rsidR="00E11E6A">
        <w:rPr>
          <w:sz w:val="24"/>
        </w:rPr>
        <w:t xml:space="preserve"> </w:t>
      </w:r>
      <w:r w:rsidR="00BC6D5F">
        <w:rPr>
          <w:sz w:val="24"/>
        </w:rPr>
        <w:t xml:space="preserve">as a daughter product of </w:t>
      </w:r>
      <w:r w:rsidR="00BC6D5F">
        <w:rPr>
          <w:sz w:val="24"/>
          <w:vertAlign w:val="superscript"/>
        </w:rPr>
        <w:t>241</w:t>
      </w:r>
      <w:r w:rsidR="00BC6D5F">
        <w:rPr>
          <w:sz w:val="24"/>
        </w:rPr>
        <w:t>Pu it</w:t>
      </w:r>
      <w:r>
        <w:rPr>
          <w:sz w:val="24"/>
        </w:rPr>
        <w:t xml:space="preserve"> is an important isotope to keep track of in decommissioning scenarios. As </w:t>
      </w:r>
      <w:r w:rsidRPr="00982F3E">
        <w:rPr>
          <w:sz w:val="24"/>
          <w:vertAlign w:val="superscript"/>
        </w:rPr>
        <w:t>241</w:t>
      </w:r>
      <w:r>
        <w:rPr>
          <w:sz w:val="24"/>
        </w:rPr>
        <w:t xml:space="preserve">Pu is </w:t>
      </w:r>
      <w:r w:rsidR="000B10B6">
        <w:rPr>
          <w:sz w:val="24"/>
        </w:rPr>
        <w:t xml:space="preserve">also </w:t>
      </w:r>
      <w:r>
        <w:rPr>
          <w:sz w:val="24"/>
        </w:rPr>
        <w:t xml:space="preserve">a common deposit from fallout, it means that </w:t>
      </w:r>
      <w:r w:rsidRPr="00982F3E">
        <w:rPr>
          <w:sz w:val="24"/>
          <w:vertAlign w:val="superscript"/>
        </w:rPr>
        <w:t>241</w:t>
      </w:r>
      <w:r>
        <w:rPr>
          <w:sz w:val="24"/>
        </w:rPr>
        <w:t>Am c</w:t>
      </w:r>
      <w:r w:rsidR="007177C7">
        <w:rPr>
          <w:sz w:val="24"/>
        </w:rPr>
        <w:t>annot</w:t>
      </w:r>
      <w:r>
        <w:rPr>
          <w:sz w:val="24"/>
        </w:rPr>
        <w:t xml:space="preserve"> be </w:t>
      </w:r>
      <w:r w:rsidR="007177C7">
        <w:rPr>
          <w:sz w:val="24"/>
        </w:rPr>
        <w:t>used directly</w:t>
      </w:r>
      <w:r>
        <w:rPr>
          <w:sz w:val="24"/>
        </w:rPr>
        <w:t xml:space="preserve"> as a pure tracer for the deposition of plutonium by the Dounreay site. Instead, the </w:t>
      </w:r>
      <w:r w:rsidRPr="00982F3E">
        <w:rPr>
          <w:sz w:val="24"/>
          <w:vertAlign w:val="superscript"/>
        </w:rPr>
        <w:t>241</w:t>
      </w:r>
      <w:r>
        <w:rPr>
          <w:sz w:val="24"/>
        </w:rPr>
        <w:t xml:space="preserve">Am can be used to gain an estimate for the original amount of </w:t>
      </w:r>
      <w:r w:rsidRPr="00982F3E">
        <w:rPr>
          <w:sz w:val="24"/>
          <w:vertAlign w:val="superscript"/>
        </w:rPr>
        <w:lastRenderedPageBreak/>
        <w:t>241</w:t>
      </w:r>
      <w:r>
        <w:rPr>
          <w:sz w:val="24"/>
        </w:rPr>
        <w:t>Pu deposited, when adopting an assumed age of contamination. This information can be used to inform the origin of the isotope based on the original activity or concentration and comparing it to nuclear events when such knowledge is available.</w:t>
      </w:r>
    </w:p>
    <w:p w14:paraId="79A2C2E1" w14:textId="1DD9E4E9" w:rsidR="00667582" w:rsidRDefault="004E2EA3" w:rsidP="00F37CA9">
      <w:pPr>
        <w:tabs>
          <w:tab w:val="left" w:pos="3075"/>
        </w:tabs>
        <w:spacing w:line="480" w:lineRule="auto"/>
        <w:ind w:firstLine="567"/>
        <w:rPr>
          <w:sz w:val="24"/>
        </w:rPr>
      </w:pPr>
      <w:r>
        <w:rPr>
          <w:sz w:val="24"/>
        </w:rPr>
        <w:t xml:space="preserve">The </w:t>
      </w:r>
      <w:r w:rsidR="00667582">
        <w:rPr>
          <w:sz w:val="24"/>
        </w:rPr>
        <w:t xml:space="preserve">Malham </w:t>
      </w:r>
      <w:r>
        <w:rPr>
          <w:sz w:val="24"/>
        </w:rPr>
        <w:t>sample exhibited</w:t>
      </w:r>
      <w:r w:rsidR="00667582">
        <w:rPr>
          <w:sz w:val="24"/>
        </w:rPr>
        <w:t xml:space="preserve"> the highest abundance of </w:t>
      </w:r>
      <w:r w:rsidR="00667582">
        <w:rPr>
          <w:sz w:val="24"/>
          <w:vertAlign w:val="superscript"/>
        </w:rPr>
        <w:t>241</w:t>
      </w:r>
      <w:r w:rsidR="00667582">
        <w:rPr>
          <w:sz w:val="24"/>
        </w:rPr>
        <w:t xml:space="preserve">Am closely followed by that of DSRL10. Further, the average abundance of </w:t>
      </w:r>
      <w:r w:rsidR="00667582">
        <w:rPr>
          <w:sz w:val="24"/>
          <w:vertAlign w:val="superscript"/>
        </w:rPr>
        <w:t>241</w:t>
      </w:r>
      <w:r w:rsidR="00667582">
        <w:rPr>
          <w:sz w:val="24"/>
        </w:rPr>
        <w:t xml:space="preserve">Am far from site was higher than the DSRL average. The lower abundance of </w:t>
      </w:r>
      <w:r w:rsidR="00667582">
        <w:rPr>
          <w:sz w:val="24"/>
          <w:vertAlign w:val="superscript"/>
        </w:rPr>
        <w:t>241</w:t>
      </w:r>
      <w:r w:rsidR="00667582">
        <w:rPr>
          <w:sz w:val="24"/>
        </w:rPr>
        <w:t xml:space="preserve">Am on the Dounreay site suggests that the northern latitude may have experienced less </w:t>
      </w:r>
      <w:r w:rsidR="00667582">
        <w:rPr>
          <w:sz w:val="24"/>
          <w:vertAlign w:val="superscript"/>
        </w:rPr>
        <w:t>241</w:t>
      </w:r>
      <w:r w:rsidR="00667582">
        <w:rPr>
          <w:sz w:val="24"/>
        </w:rPr>
        <w:t>Pu fallout than areas further south such as Malham and Biggin, though the higher sample on</w:t>
      </w:r>
      <w:r w:rsidR="00AB078E">
        <w:rPr>
          <w:sz w:val="24"/>
        </w:rPr>
        <w:t>-</w:t>
      </w:r>
      <w:r w:rsidR="00667582">
        <w:rPr>
          <w:sz w:val="24"/>
        </w:rPr>
        <w:t xml:space="preserve">site could be located nearer a known effluent leak. It is plausible to assume that Malham demonstrates the highest </w:t>
      </w:r>
      <w:r w:rsidR="00667582">
        <w:rPr>
          <w:sz w:val="24"/>
          <w:vertAlign w:val="superscript"/>
        </w:rPr>
        <w:t>241</w:t>
      </w:r>
      <w:r w:rsidR="00667582">
        <w:rPr>
          <w:sz w:val="24"/>
        </w:rPr>
        <w:t>Am levels due to its higher elevation than other samples presented. DSRL samples are all taken from around sea level, while Malham was sampled in the Yorkshire dales Pennine moorland. This area is high, and relatively barren. These variables could create conditions for fallout event clouds to deposit greater amounts of material at such a location.</w:t>
      </w:r>
    </w:p>
    <w:p w14:paraId="4B2F769E" w14:textId="03D90642" w:rsidR="00601C19" w:rsidRPr="00CA4ABA" w:rsidRDefault="00BE77C0" w:rsidP="00F37CA9">
      <w:pPr>
        <w:tabs>
          <w:tab w:val="left" w:pos="3075"/>
        </w:tabs>
        <w:spacing w:line="480" w:lineRule="auto"/>
        <w:ind w:firstLine="567"/>
        <w:rPr>
          <w:sz w:val="24"/>
        </w:rPr>
      </w:pPr>
      <w:r>
        <w:rPr>
          <w:sz w:val="24"/>
        </w:rPr>
        <w:t>Another</w:t>
      </w:r>
      <w:r w:rsidR="00CA4ABA">
        <w:rPr>
          <w:sz w:val="24"/>
        </w:rPr>
        <w:t xml:space="preserve"> potential explanation for the differences in the </w:t>
      </w:r>
      <w:r w:rsidR="00CA4ABA">
        <w:rPr>
          <w:sz w:val="24"/>
          <w:vertAlign w:val="superscript"/>
        </w:rPr>
        <w:t>241</w:t>
      </w:r>
      <w:r w:rsidR="00CA4ABA">
        <w:rPr>
          <w:sz w:val="24"/>
        </w:rPr>
        <w:t xml:space="preserve">Am abundance between Malham and the other sample sites could be due to chelation (or lack thereof) of the </w:t>
      </w:r>
      <w:r w:rsidR="00CA4ABA">
        <w:rPr>
          <w:sz w:val="24"/>
          <w:vertAlign w:val="superscript"/>
        </w:rPr>
        <w:t>241</w:t>
      </w:r>
      <w:r w:rsidR="00CA4ABA">
        <w:rPr>
          <w:sz w:val="24"/>
        </w:rPr>
        <w:t xml:space="preserve">Am within soils by humic acids </w:t>
      </w:r>
      <w:r w:rsidR="00810FA1">
        <w:rPr>
          <w:sz w:val="24"/>
        </w:rPr>
        <w:fldChar w:fldCharType="begin" w:fldLock="1"/>
      </w:r>
      <w:r w:rsidR="00767A68">
        <w:rPr>
          <w:sz w:val="24"/>
        </w:rPr>
        <w:instrText>ADDIN CSL_CITATION {"citationItems":[{"id":"ITEM-1","itemData":{"DOI":"10.1016/0265-931X(91)90005-Z","abstract":"A gley soil from west Cumbria, with specific activities in its surface horizon of 5-10 kBq kg-1 239,240 Pu and comparable 241Am levels, has been used as a source of actinide-enriched organic fractions. Humic and fulvic acids were isolated by conventional alkali extraction and investigation by gel filtration, treatment with organic solvents and differential flocculation procedures. All these technique are capable of resolving the organics into two or more fractions, with specific activities up to 80 kBq kg-1 239,240 Pu. There is evidence for differentiation of plutonium and americium, with americium being concentrated, to some extent, in the lower molecular weight fractions from gel filtration. © 1991.","author":[{"dropping-particle":"","family":"Francis R. Livens &amp; Diane L. Singleton","given":"","non-dropping-particle":"","parse-names":false,"suffix":""}],"container-title":"Journal of Environmental Radioactivity","id":"ITEM-1","issue":"4","issued":{"date-parts":[["1991","1","1"]]},"page":"323-339","publisher":"Elsevier","title":"Plutonium and americium in soil organic matter","type":"article-journal","volume":"13"},"uris":["http://www.mendeley.com/documents/?uuid=1a2557e0-2c88-3b49-9c1e-1876fb8e1afc"]}],"mendeley":{"formattedCitation":"[69]","plainTextFormattedCitation":"[69]","previouslyFormattedCitation":"[69]"},"properties":{"noteIndex":0},"schema":"https://github.com/citation-style-language/schema/raw/master/csl-citation.json"}</w:instrText>
      </w:r>
      <w:r w:rsidR="00810FA1">
        <w:rPr>
          <w:sz w:val="24"/>
        </w:rPr>
        <w:fldChar w:fldCharType="separate"/>
      </w:r>
      <w:r w:rsidR="000B0F18" w:rsidRPr="000B0F18">
        <w:rPr>
          <w:noProof/>
          <w:sz w:val="24"/>
        </w:rPr>
        <w:t>[69]</w:t>
      </w:r>
      <w:r w:rsidR="00810FA1">
        <w:rPr>
          <w:sz w:val="24"/>
        </w:rPr>
        <w:fldChar w:fldCharType="end"/>
      </w:r>
      <w:r w:rsidR="00CA4ABA">
        <w:rPr>
          <w:sz w:val="24"/>
        </w:rPr>
        <w:t xml:space="preserve">. Humic acids are produced through the degradation of humic material (organic matter) </w:t>
      </w:r>
      <w:r w:rsidR="00810FA1">
        <w:rPr>
          <w:sz w:val="24"/>
        </w:rPr>
        <w:fldChar w:fldCharType="begin" w:fldLock="1"/>
      </w:r>
      <w:r w:rsidR="00767A68">
        <w:rPr>
          <w:sz w:val="24"/>
        </w:rPr>
        <w:instrText>ADDIN CSL_CITATION {"citationItems":[{"id":"ITEM-1","itemData":{"DOI":"10.1016/0016-7061(73)90056-6","ISSN":"0016-7061","abstract":"The process of humic acid formation during humification of plant residues (clover leaves and roots as well as timothy roots) was studied. According to some characteristics (elementary composition, IR-spectra, the content of COOH-groups) the newly-formed humic acids may be defined as “young forms”. The comparison of the new forms with more mature soil humic acids revealed the following specific features of the latter: (a) a higher degree of aromatic nuclei condensation; (b) a higher content of carboxyl groups; and (c) a more uniform structure. The authors discuss some defects of the methods used for extraction of humic acids from fresh and slightly humified plant residues by alkaline solutions. An artificial formation of humus-like substances and their extraction as admixtures together with true humic acids are inevitable with these methods. This should be taken into account in studying and systematizing such forms of humic acids.","author":[{"dropping-particle":"","family":"Kononova","given":"M.M.","non-dropping-particle":"","parse-names":false,"suffix":""},{"dropping-particle":"","family":"Alexandrova","given":"I.V.","non-dropping-particle":"","parse-names":false,"suffix":""}],"container-title":"Geoderma","id":"ITEM-1","issue":"3","issued":{"date-parts":[["1973","7","1"]]},"page":"157-164","publisher":"Elsevier","title":"Formation of humic acids during plant residue humification and their nature","type":"article-journal","volume":"9"},"uris":["http://www.mendeley.com/documents/?uuid=4d3ede6a-aab8-3b5d-b1a3-c3a69ef899aa"]}],"mendeley":{"formattedCitation":"[70]","plainTextFormattedCitation":"[70]","previouslyFormattedCitation":"[70]"},"properties":{"noteIndex":0},"schema":"https://github.com/citation-style-language/schema/raw/master/csl-citation.json"}</w:instrText>
      </w:r>
      <w:r w:rsidR="00810FA1">
        <w:rPr>
          <w:sz w:val="24"/>
        </w:rPr>
        <w:fldChar w:fldCharType="separate"/>
      </w:r>
      <w:r w:rsidR="000B0F18" w:rsidRPr="000B0F18">
        <w:rPr>
          <w:noProof/>
          <w:sz w:val="24"/>
        </w:rPr>
        <w:t>[70]</w:t>
      </w:r>
      <w:r w:rsidR="00810FA1">
        <w:rPr>
          <w:sz w:val="24"/>
        </w:rPr>
        <w:fldChar w:fldCharType="end"/>
      </w:r>
      <w:r w:rsidR="00810FA1">
        <w:rPr>
          <w:sz w:val="24"/>
        </w:rPr>
        <w:t>.</w:t>
      </w:r>
      <w:r w:rsidR="00CA4ABA">
        <w:rPr>
          <w:sz w:val="24"/>
        </w:rPr>
        <w:t xml:space="preserve"> While the Malham site was significantly more barren than the Biggin site, the difference in </w:t>
      </w:r>
      <w:r w:rsidR="00CA4ABA">
        <w:rPr>
          <w:sz w:val="24"/>
          <w:vertAlign w:val="superscript"/>
        </w:rPr>
        <w:t>241</w:t>
      </w:r>
      <w:r w:rsidR="00CA4ABA">
        <w:rPr>
          <w:sz w:val="24"/>
        </w:rPr>
        <w:t xml:space="preserve">Am abundance between the two </w:t>
      </w:r>
      <w:r>
        <w:rPr>
          <w:sz w:val="24"/>
        </w:rPr>
        <w:t>would not</w:t>
      </w:r>
      <w:r w:rsidR="00CA4ABA">
        <w:rPr>
          <w:sz w:val="24"/>
        </w:rPr>
        <w:t xml:space="preserve"> be explained by a significantly lower level of humic acid chelation of </w:t>
      </w:r>
      <w:r w:rsidR="00CA4ABA">
        <w:rPr>
          <w:sz w:val="24"/>
          <w:vertAlign w:val="superscript"/>
        </w:rPr>
        <w:t>241</w:t>
      </w:r>
      <w:r w:rsidR="00CA4ABA">
        <w:rPr>
          <w:sz w:val="24"/>
        </w:rPr>
        <w:t>Am at the Malham site</w:t>
      </w:r>
      <w:r>
        <w:rPr>
          <w:sz w:val="24"/>
        </w:rPr>
        <w:t xml:space="preserve">. The assumed lower levels of humic acid at Malham would suggest greater movement of </w:t>
      </w:r>
      <w:r>
        <w:rPr>
          <w:sz w:val="24"/>
          <w:vertAlign w:val="superscript"/>
        </w:rPr>
        <w:t>241</w:t>
      </w:r>
      <w:r>
        <w:rPr>
          <w:sz w:val="24"/>
        </w:rPr>
        <w:t xml:space="preserve">Am through groundwater movement, in that it is less tightly bound to the soils that were sampled, and therefore a lower abundance of </w:t>
      </w:r>
      <w:r>
        <w:rPr>
          <w:sz w:val="24"/>
          <w:vertAlign w:val="superscript"/>
        </w:rPr>
        <w:t>241</w:t>
      </w:r>
      <w:r>
        <w:rPr>
          <w:sz w:val="24"/>
        </w:rPr>
        <w:t>Am at the Malham site.</w:t>
      </w:r>
    </w:p>
    <w:p w14:paraId="7B2B702E" w14:textId="1E767DCA" w:rsidR="00E17790" w:rsidRPr="00CA4ABA" w:rsidRDefault="00E17790" w:rsidP="00F37CA9">
      <w:pPr>
        <w:tabs>
          <w:tab w:val="left" w:pos="3075"/>
        </w:tabs>
        <w:spacing w:line="480" w:lineRule="auto"/>
        <w:ind w:firstLine="567"/>
        <w:rPr>
          <w:sz w:val="24"/>
        </w:rPr>
      </w:pPr>
      <w:r>
        <w:rPr>
          <w:sz w:val="24"/>
        </w:rPr>
        <w:lastRenderedPageBreak/>
        <w:t>Methodologically, when</w:t>
      </w:r>
      <w:r w:rsidR="004E3987">
        <w:rPr>
          <w:sz w:val="24"/>
        </w:rPr>
        <w:t xml:space="preserve"> retrospectively</w:t>
      </w:r>
      <w:r>
        <w:rPr>
          <w:sz w:val="24"/>
        </w:rPr>
        <w:t xml:space="preserve"> considering the use of either the BEGe or the SAGe detectors, the SAGe may have </w:t>
      </w:r>
      <w:r w:rsidR="004E3987">
        <w:rPr>
          <w:sz w:val="24"/>
        </w:rPr>
        <w:t>been a better choice</w:t>
      </w:r>
      <w:r>
        <w:rPr>
          <w:sz w:val="24"/>
        </w:rPr>
        <w:t xml:space="preserve"> due to the relatively inactive samples. The original decision was made to use the BEGe due to its greater resolution across the gamma spectrum and still remains a valid point. However, while the samples were generally quite inactive, it may have been more beneficial to </w:t>
      </w:r>
      <w:r w:rsidR="004E3987">
        <w:rPr>
          <w:sz w:val="24"/>
        </w:rPr>
        <w:t>use</w:t>
      </w:r>
      <w:r>
        <w:rPr>
          <w:sz w:val="24"/>
        </w:rPr>
        <w:t xml:space="preserve"> the SAGe</w:t>
      </w:r>
      <w:r w:rsidR="004E3987">
        <w:rPr>
          <w:sz w:val="24"/>
        </w:rPr>
        <w:t xml:space="preserve"> detector</w:t>
      </w:r>
      <w:r>
        <w:rPr>
          <w:sz w:val="24"/>
        </w:rPr>
        <w:t xml:space="preserve"> due to the difference</w:t>
      </w:r>
      <w:r w:rsidR="004E3987">
        <w:rPr>
          <w:sz w:val="24"/>
        </w:rPr>
        <w:t>s</w:t>
      </w:r>
      <w:r>
        <w:rPr>
          <w:sz w:val="24"/>
        </w:rPr>
        <w:t xml:space="preserve"> in geometry</w:t>
      </w:r>
      <w:r w:rsidR="004E3987">
        <w:rPr>
          <w:sz w:val="24"/>
        </w:rPr>
        <w:t xml:space="preserve"> </w:t>
      </w:r>
      <w:r>
        <w:rPr>
          <w:sz w:val="24"/>
        </w:rPr>
        <w:t>and the proximity of the sample</w:t>
      </w:r>
      <w:r w:rsidR="004E3987">
        <w:rPr>
          <w:sz w:val="24"/>
        </w:rPr>
        <w:t>s</w:t>
      </w:r>
      <w:r>
        <w:rPr>
          <w:sz w:val="24"/>
        </w:rPr>
        <w:t xml:space="preserve"> to the detector</w:t>
      </w:r>
      <w:r w:rsidR="004E3987">
        <w:rPr>
          <w:sz w:val="24"/>
        </w:rPr>
        <w:t xml:space="preserve"> crystals</w:t>
      </w:r>
      <w:r>
        <w:rPr>
          <w:sz w:val="24"/>
        </w:rPr>
        <w:t>. The BEGe geometry</w:t>
      </w:r>
      <w:r w:rsidR="004E3987">
        <w:rPr>
          <w:sz w:val="24"/>
        </w:rPr>
        <w:t xml:space="preserve"> meant that only a small fraction of each sample was adjacent to the detector crystal, and further, the sample size was limited to a 100 ml beaker. The SAGe however allowed the use of Marinelli beakers, which had a greater sample capacity of approximately 1.5 litres, and while the SAGe is a well-type detector, would mean that more of the soil in a sample would be adjacent to the detector crystal during detection. These factors would likely create an increase in sensitivity in the SAGe system great enough to exceed the benefits of the greater resolution found in the BEGe system.</w:t>
      </w:r>
    </w:p>
    <w:p w14:paraId="3AEA5BF8" w14:textId="6519677F" w:rsidR="00F37CA9" w:rsidRPr="004E2EA3" w:rsidRDefault="00F37CA9" w:rsidP="00F37CA9">
      <w:pPr>
        <w:tabs>
          <w:tab w:val="left" w:pos="3075"/>
        </w:tabs>
        <w:spacing w:line="480" w:lineRule="auto"/>
        <w:ind w:firstLine="567"/>
        <w:rPr>
          <w:sz w:val="24"/>
        </w:rPr>
      </w:pPr>
      <w:r>
        <w:rPr>
          <w:sz w:val="24"/>
        </w:rPr>
        <w:t xml:space="preserve">In summary, when taking only the gamma-ray spectrometry measurements into account, it can be concluded that the </w:t>
      </w:r>
      <w:r w:rsidRPr="00982F3E">
        <w:rPr>
          <w:sz w:val="24"/>
          <w:vertAlign w:val="superscript"/>
        </w:rPr>
        <w:t>241</w:t>
      </w:r>
      <w:r>
        <w:rPr>
          <w:sz w:val="24"/>
        </w:rPr>
        <w:t xml:space="preserve">Am abundance is </w:t>
      </w:r>
      <w:r w:rsidR="004E2EA3">
        <w:rPr>
          <w:sz w:val="24"/>
        </w:rPr>
        <w:t>measurable but less significant than elsewhere in the UK</w:t>
      </w:r>
      <w:r w:rsidRPr="00801BBE">
        <w:rPr>
          <w:sz w:val="24"/>
        </w:rPr>
        <w:t>. Americium levels are consistent with global fallout</w:t>
      </w:r>
      <w:r w:rsidR="00BE77C0">
        <w:rPr>
          <w:sz w:val="24"/>
        </w:rPr>
        <w:t>, and the differences between the Malham and Biggin sites are not fully understood at this time, though seem likely to be more significantly affected by geographical location and elevation</w:t>
      </w:r>
      <w:r w:rsidR="00784E2D">
        <w:rPr>
          <w:sz w:val="24"/>
        </w:rPr>
        <w:t xml:space="preserve"> than </w:t>
      </w:r>
      <w:r w:rsidR="003D6893">
        <w:rPr>
          <w:sz w:val="24"/>
        </w:rPr>
        <w:t>localised releases of radionuclides</w:t>
      </w:r>
      <w:r>
        <w:rPr>
          <w:sz w:val="24"/>
        </w:rPr>
        <w:t>.</w:t>
      </w:r>
      <w:r w:rsidRPr="00801BBE">
        <w:rPr>
          <w:sz w:val="24"/>
        </w:rPr>
        <w:t xml:space="preserve"> </w:t>
      </w:r>
      <w:r w:rsidR="00CA2972">
        <w:rPr>
          <w:sz w:val="24"/>
        </w:rPr>
        <w:t xml:space="preserve">Further, measurement of the samples using the SAGe high purity germanium detector may have provided higher measurements of </w:t>
      </w:r>
      <w:r w:rsidR="00CA2972">
        <w:rPr>
          <w:sz w:val="24"/>
          <w:vertAlign w:val="superscript"/>
        </w:rPr>
        <w:t>241</w:t>
      </w:r>
      <w:r w:rsidR="00CA2972">
        <w:rPr>
          <w:sz w:val="24"/>
        </w:rPr>
        <w:t>Am due to the potential increase in sensitivity when compared to the BEGe detector.</w:t>
      </w:r>
      <w:r w:rsidRPr="00801BBE">
        <w:rPr>
          <w:sz w:val="24"/>
        </w:rPr>
        <w:t xml:space="preserve"> </w:t>
      </w:r>
      <w:r>
        <w:rPr>
          <w:sz w:val="24"/>
        </w:rPr>
        <w:t xml:space="preserve">Ultimately, no conclusions should be made on the </w:t>
      </w:r>
      <w:r>
        <w:rPr>
          <w:sz w:val="24"/>
          <w:vertAlign w:val="superscript"/>
        </w:rPr>
        <w:t>239</w:t>
      </w:r>
      <w:r>
        <w:rPr>
          <w:sz w:val="24"/>
        </w:rPr>
        <w:t>Pu content within the samples based solely on the 129</w:t>
      </w:r>
      <w:r w:rsidR="004E2EA3">
        <w:rPr>
          <w:sz w:val="24"/>
        </w:rPr>
        <w:t xml:space="preserve"> </w:t>
      </w:r>
      <w:r>
        <w:rPr>
          <w:sz w:val="24"/>
        </w:rPr>
        <w:t xml:space="preserve">keV gamma line due to the </w:t>
      </w:r>
      <w:r w:rsidR="004E2EA3">
        <w:rPr>
          <w:sz w:val="24"/>
        </w:rPr>
        <w:t>significant</w:t>
      </w:r>
      <w:r>
        <w:rPr>
          <w:sz w:val="24"/>
        </w:rPr>
        <w:t xml:space="preserve"> contamination by </w:t>
      </w:r>
      <w:r>
        <w:rPr>
          <w:sz w:val="24"/>
          <w:vertAlign w:val="superscript"/>
        </w:rPr>
        <w:t>228</w:t>
      </w:r>
      <w:r>
        <w:rPr>
          <w:sz w:val="24"/>
        </w:rPr>
        <w:t>Ac</w:t>
      </w:r>
      <w:r w:rsidR="004E2EA3">
        <w:rPr>
          <w:sz w:val="24"/>
        </w:rPr>
        <w:t xml:space="preserve">, derived from </w:t>
      </w:r>
      <w:r w:rsidR="004E2EA3">
        <w:rPr>
          <w:sz w:val="24"/>
          <w:vertAlign w:val="superscript"/>
        </w:rPr>
        <w:t>232</w:t>
      </w:r>
      <w:r w:rsidR="004E2EA3">
        <w:rPr>
          <w:sz w:val="24"/>
        </w:rPr>
        <w:t>Th.</w:t>
      </w:r>
    </w:p>
    <w:p w14:paraId="147152D6" w14:textId="77777777" w:rsidR="00F37CA9" w:rsidRPr="005A775C" w:rsidRDefault="00F37CA9" w:rsidP="00F37CA9">
      <w:pPr>
        <w:tabs>
          <w:tab w:val="left" w:pos="3075"/>
        </w:tabs>
        <w:spacing w:line="480" w:lineRule="auto"/>
        <w:rPr>
          <w:b/>
          <w:sz w:val="28"/>
        </w:rPr>
      </w:pPr>
      <w:r w:rsidRPr="005A775C">
        <w:rPr>
          <w:b/>
          <w:sz w:val="28"/>
        </w:rPr>
        <w:lastRenderedPageBreak/>
        <w:t>4.</w:t>
      </w:r>
      <w:r>
        <w:rPr>
          <w:b/>
          <w:sz w:val="28"/>
        </w:rPr>
        <w:t>3</w:t>
      </w:r>
      <w:r w:rsidRPr="005A775C">
        <w:rPr>
          <w:b/>
          <w:sz w:val="28"/>
        </w:rPr>
        <w:t xml:space="preserve"> Accelerator Mass Spectrometry</w:t>
      </w:r>
    </w:p>
    <w:p w14:paraId="5A8398E2" w14:textId="4A330E24" w:rsidR="00F37CA9" w:rsidRPr="00AB5DA5" w:rsidRDefault="004E2EA3" w:rsidP="00F37CA9">
      <w:pPr>
        <w:tabs>
          <w:tab w:val="left" w:pos="3075"/>
        </w:tabs>
        <w:spacing w:line="480" w:lineRule="auto"/>
        <w:ind w:firstLine="567"/>
        <w:rPr>
          <w:sz w:val="24"/>
        </w:rPr>
      </w:pPr>
      <w:r>
        <w:rPr>
          <w:sz w:val="24"/>
        </w:rPr>
        <w:t xml:space="preserve">The use of </w:t>
      </w:r>
      <w:r w:rsidR="00F37CA9" w:rsidRPr="00C07361">
        <w:rPr>
          <w:sz w:val="24"/>
        </w:rPr>
        <w:t xml:space="preserve">AMS identified </w:t>
      </w:r>
      <w:r w:rsidR="00F37CA9">
        <w:rPr>
          <w:sz w:val="24"/>
        </w:rPr>
        <w:t>abundances</w:t>
      </w:r>
      <w:r w:rsidR="00F37CA9" w:rsidRPr="00C07361">
        <w:rPr>
          <w:sz w:val="24"/>
        </w:rPr>
        <w:t xml:space="preserve"> of actinides of interest (</w:t>
      </w:r>
      <w:r w:rsidR="000735FA">
        <w:rPr>
          <w:sz w:val="24"/>
          <w:vertAlign w:val="superscript"/>
        </w:rPr>
        <w:t>239</w:t>
      </w:r>
      <w:r w:rsidR="000735FA">
        <w:rPr>
          <w:sz w:val="24"/>
        </w:rPr>
        <w:t>Pu</w:t>
      </w:r>
      <w:r w:rsidR="00F37CA9" w:rsidRPr="00C07361">
        <w:rPr>
          <w:sz w:val="24"/>
        </w:rPr>
        <w:t>,</w:t>
      </w:r>
      <w:r w:rsidR="00F37CA9">
        <w:rPr>
          <w:sz w:val="24"/>
        </w:rPr>
        <w:t xml:space="preserve"> </w:t>
      </w:r>
      <w:r w:rsidR="000735FA">
        <w:rPr>
          <w:sz w:val="24"/>
          <w:vertAlign w:val="superscript"/>
        </w:rPr>
        <w:t>240</w:t>
      </w:r>
      <w:r w:rsidR="000735FA">
        <w:rPr>
          <w:sz w:val="24"/>
        </w:rPr>
        <w:t>Pu</w:t>
      </w:r>
      <w:r w:rsidR="00F37CA9" w:rsidRPr="00C07361">
        <w:rPr>
          <w:sz w:val="24"/>
        </w:rPr>
        <w:t>,</w:t>
      </w:r>
      <w:r w:rsidR="00F37CA9">
        <w:rPr>
          <w:sz w:val="24"/>
        </w:rPr>
        <w:t xml:space="preserve"> </w:t>
      </w:r>
      <w:r w:rsidR="000735FA">
        <w:rPr>
          <w:sz w:val="24"/>
          <w:vertAlign w:val="superscript"/>
        </w:rPr>
        <w:t>242</w:t>
      </w:r>
      <w:r w:rsidR="000735FA">
        <w:rPr>
          <w:sz w:val="24"/>
        </w:rPr>
        <w:t>Pu</w:t>
      </w:r>
      <w:r w:rsidR="00F37CA9" w:rsidRPr="00C07361">
        <w:rPr>
          <w:sz w:val="24"/>
        </w:rPr>
        <w:t>, and</w:t>
      </w:r>
      <w:r w:rsidR="000735FA">
        <w:rPr>
          <w:sz w:val="24"/>
        </w:rPr>
        <w:t xml:space="preserve"> </w:t>
      </w:r>
      <w:r w:rsidR="00F37CA9" w:rsidRPr="000735FA">
        <w:rPr>
          <w:sz w:val="24"/>
          <w:vertAlign w:val="superscript"/>
        </w:rPr>
        <w:t>236</w:t>
      </w:r>
      <w:r w:rsidR="000735FA">
        <w:rPr>
          <w:sz w:val="24"/>
        </w:rPr>
        <w:t>U</w:t>
      </w:r>
      <w:r w:rsidR="00F37CA9" w:rsidRPr="00C07361">
        <w:rPr>
          <w:sz w:val="24"/>
        </w:rPr>
        <w:t>) in each sample</w:t>
      </w:r>
      <w:r w:rsidR="00F37CA9">
        <w:rPr>
          <w:sz w:val="24"/>
        </w:rPr>
        <w:t xml:space="preserve"> which were converted to mass concentrations per gram of soil.</w:t>
      </w:r>
      <w:r w:rsidR="00F37CA9" w:rsidRPr="00C07361">
        <w:rPr>
          <w:sz w:val="24"/>
        </w:rPr>
        <w:t xml:space="preserve"> </w:t>
      </w:r>
      <w:r w:rsidR="00F37CA9">
        <w:rPr>
          <w:sz w:val="24"/>
        </w:rPr>
        <w:t>This information further builds the picture of</w:t>
      </w:r>
      <w:r w:rsidR="00F37CA9" w:rsidRPr="00C07361">
        <w:rPr>
          <w:sz w:val="24"/>
        </w:rPr>
        <w:t xml:space="preserve"> the anthropogenic content</w:t>
      </w:r>
      <w:r w:rsidR="00F37CA9">
        <w:rPr>
          <w:sz w:val="24"/>
        </w:rPr>
        <w:t xml:space="preserve"> of the samples to verify (or otherwise) the gamma spectrometry and neutron emission measurements</w:t>
      </w:r>
      <w:r w:rsidR="00F37CA9" w:rsidRPr="00C07361">
        <w:rPr>
          <w:sz w:val="24"/>
        </w:rPr>
        <w:t xml:space="preserve">. </w:t>
      </w:r>
      <w:r w:rsidR="000735FA" w:rsidRPr="000735FA">
        <w:rPr>
          <w:sz w:val="24"/>
          <w:vertAlign w:val="superscript"/>
        </w:rPr>
        <w:t>236</w:t>
      </w:r>
      <w:r w:rsidR="000735FA">
        <w:rPr>
          <w:sz w:val="24"/>
        </w:rPr>
        <w:t>U</w:t>
      </w:r>
      <w:r w:rsidR="00F37CA9" w:rsidRPr="00C07361">
        <w:rPr>
          <w:sz w:val="24"/>
        </w:rPr>
        <w:t xml:space="preserve"> was found in picogram</w:t>
      </w:r>
      <w:r w:rsidR="00F37CA9">
        <w:rPr>
          <w:sz w:val="24"/>
        </w:rPr>
        <w:t xml:space="preserve"> quantities</w:t>
      </w:r>
      <w:r>
        <w:rPr>
          <w:sz w:val="24"/>
        </w:rPr>
        <w:t xml:space="preserve"> per gram of sample</w:t>
      </w:r>
      <w:r w:rsidR="00F37CA9">
        <w:rPr>
          <w:sz w:val="24"/>
        </w:rPr>
        <w:t>, while all plutonium isotopes were found in</w:t>
      </w:r>
      <w:r w:rsidR="00F37CA9" w:rsidRPr="00C07361">
        <w:rPr>
          <w:sz w:val="24"/>
        </w:rPr>
        <w:t xml:space="preserve"> </w:t>
      </w:r>
      <w:r w:rsidR="00AB5DA5">
        <w:rPr>
          <w:sz w:val="24"/>
        </w:rPr>
        <w:t xml:space="preserve">a varying range of </w:t>
      </w:r>
      <w:r w:rsidR="00F37CA9" w:rsidRPr="00C07361">
        <w:rPr>
          <w:sz w:val="24"/>
        </w:rPr>
        <w:t>femtogram quantities</w:t>
      </w:r>
      <w:r>
        <w:rPr>
          <w:sz w:val="24"/>
        </w:rPr>
        <w:t xml:space="preserve"> per gram of sample</w:t>
      </w:r>
      <w:r w:rsidR="00F37CA9" w:rsidRPr="00C07361">
        <w:rPr>
          <w:sz w:val="24"/>
        </w:rPr>
        <w:t>, suggesting low</w:t>
      </w:r>
      <w:r w:rsidR="00F37CA9">
        <w:rPr>
          <w:sz w:val="24"/>
        </w:rPr>
        <w:t xml:space="preserve"> plutonium</w:t>
      </w:r>
      <w:r w:rsidR="00F37CA9" w:rsidRPr="00C07361">
        <w:rPr>
          <w:sz w:val="24"/>
        </w:rPr>
        <w:t xml:space="preserve"> contamination of each sample </w:t>
      </w:r>
      <w:r w:rsidR="00F37CA9">
        <w:rPr>
          <w:sz w:val="24"/>
        </w:rPr>
        <w:t xml:space="preserve">when compared to global abundances of these isotopes </w:t>
      </w:r>
      <w:r w:rsidR="00F37CA9" w:rsidRPr="00C07361">
        <w:rPr>
          <w:sz w:val="24"/>
        </w:rPr>
        <w:t xml:space="preserve">and </w:t>
      </w:r>
      <w:r w:rsidR="00F37CA9">
        <w:rPr>
          <w:sz w:val="24"/>
        </w:rPr>
        <w:t xml:space="preserve">suggesting </w:t>
      </w:r>
      <w:r w:rsidR="00F37CA9" w:rsidRPr="00C07361">
        <w:rPr>
          <w:sz w:val="24"/>
        </w:rPr>
        <w:t xml:space="preserve">fallout as the main mechanism for </w:t>
      </w:r>
      <w:r w:rsidR="00F37CA9">
        <w:rPr>
          <w:sz w:val="24"/>
        </w:rPr>
        <w:t xml:space="preserve">the </w:t>
      </w:r>
      <w:r w:rsidR="00F37CA9" w:rsidRPr="00C07361">
        <w:rPr>
          <w:sz w:val="24"/>
        </w:rPr>
        <w:t>contamination</w:t>
      </w:r>
      <w:r w:rsidR="00F37CA9">
        <w:rPr>
          <w:sz w:val="24"/>
        </w:rPr>
        <w:t xml:space="preserve"> present</w:t>
      </w:r>
      <w:r w:rsidR="00F37CA9" w:rsidRPr="00C07361">
        <w:rPr>
          <w:sz w:val="24"/>
        </w:rPr>
        <w:t>.</w:t>
      </w:r>
      <w:r w:rsidR="00F37CA9">
        <w:rPr>
          <w:sz w:val="24"/>
        </w:rPr>
        <w:t xml:space="preserve"> When compared to other published sample measurements</w:t>
      </w:r>
      <w:r w:rsidR="00AB5DA5">
        <w:rPr>
          <w:sz w:val="24"/>
        </w:rPr>
        <w:t xml:space="preserve"> of background</w:t>
      </w:r>
      <w:r w:rsidR="00274801">
        <w:rPr>
          <w:sz w:val="24"/>
        </w:rPr>
        <w:t xml:space="preserve"> </w:t>
      </w:r>
      <w:r w:rsidR="00AB5DA5">
        <w:rPr>
          <w:sz w:val="24"/>
        </w:rPr>
        <w:t xml:space="preserve">levels of </w:t>
      </w:r>
      <w:r w:rsidR="00AB5DA5">
        <w:rPr>
          <w:sz w:val="24"/>
          <w:vertAlign w:val="superscript"/>
        </w:rPr>
        <w:t>239</w:t>
      </w:r>
      <w:r w:rsidR="00AB5DA5">
        <w:rPr>
          <w:sz w:val="24"/>
        </w:rPr>
        <w:t xml:space="preserve">Pu and </w:t>
      </w:r>
      <w:r w:rsidR="00AB5DA5">
        <w:rPr>
          <w:sz w:val="24"/>
          <w:vertAlign w:val="superscript"/>
        </w:rPr>
        <w:t>240</w:t>
      </w:r>
      <w:r w:rsidR="00AB5DA5">
        <w:rPr>
          <w:sz w:val="24"/>
        </w:rPr>
        <w:t>Pu, this project’s measurements are consistent with Quinto et al.’s</w:t>
      </w:r>
      <w:r w:rsidR="00810FA1">
        <w:rPr>
          <w:sz w:val="24"/>
        </w:rPr>
        <w:t xml:space="preserve"> </w:t>
      </w:r>
      <w:r w:rsidR="00810FA1">
        <w:rPr>
          <w:sz w:val="24"/>
        </w:rPr>
        <w:fldChar w:fldCharType="begin" w:fldLock="1"/>
      </w:r>
      <w:r w:rsidR="00767A68">
        <w:rPr>
          <w:sz w:val="24"/>
        </w:rPr>
        <w:instrText>ADDIN CSL_CITATION {"citationItems":[{"id":"ITEM-1","itemData":{"DOI":"10.1039/c3em30910j","ISSN":"2050-7887","author":[{"dropping-particle":"","family":"Quinto","given":"Francesca","non-dropping-particle":"","parse-names":false,"suffix":""},{"dropping-particle":"","family":"Hrnecek","given":"Erich","non-dropping-particle":"","parse-names":false,"suffix":""},{"dropping-particle":"","family":"Krachler","given":"Michael","non-dropping-particle":"","parse-names":false,"suffix":""},{"dropping-particle":"","family":"Shotyk","given":"William","non-dropping-particle":"","parse-names":false,"suffix":""},{"dropping-particle":"","family":"Steier","given":"Peter","non-dropping-particle":"","parse-names":false,"suffix":""},{"dropping-particle":"","family":"Winkler","given":"Stephan R","non-dropping-particle":"","parse-names":false,"suffix":""}],"container-title":"Environmental Science: Processes &amp; Impacts","id":"ITEM-1","issue":"4","issued":{"date-parts":[["2013"]]},"page":"839","title":"Determination of 239Pu, 240Pu, 241Pu and 242Pu at femtogram and attogram levels – evidence for the migration of fallout plutonium in an ombrotrophic peat bog profile","type":"article-journal","volume":"15"},"uris":["http://www.mendeley.com/documents/?uuid=cc0f5e5b-72fd-3008-97cd-fc546c6d5d66"]}],"mendeley":{"formattedCitation":"[71]","plainTextFormattedCitation":"[71]","previouslyFormattedCitation":"[71]"},"properties":{"noteIndex":0},"schema":"https://github.com/citation-style-language/schema/raw/master/csl-citation.json"}</w:instrText>
      </w:r>
      <w:r w:rsidR="00810FA1">
        <w:rPr>
          <w:sz w:val="24"/>
        </w:rPr>
        <w:fldChar w:fldCharType="separate"/>
      </w:r>
      <w:r w:rsidR="000B0F18" w:rsidRPr="000B0F18">
        <w:rPr>
          <w:noProof/>
          <w:sz w:val="24"/>
        </w:rPr>
        <w:t>[71]</w:t>
      </w:r>
      <w:r w:rsidR="00810FA1">
        <w:rPr>
          <w:sz w:val="24"/>
        </w:rPr>
        <w:fldChar w:fldCharType="end"/>
      </w:r>
      <w:r w:rsidR="00AB5DA5">
        <w:rPr>
          <w:sz w:val="24"/>
        </w:rPr>
        <w:t xml:space="preserve"> measured range of “~100 to 1000 fg/g” of </w:t>
      </w:r>
      <w:r w:rsidR="00AB5DA5">
        <w:rPr>
          <w:sz w:val="24"/>
          <w:vertAlign w:val="superscript"/>
        </w:rPr>
        <w:t>239</w:t>
      </w:r>
      <w:r w:rsidR="00AB5DA5">
        <w:rPr>
          <w:sz w:val="24"/>
        </w:rPr>
        <w:t xml:space="preserve">Pu and “~10 to 100 fg/g” of </w:t>
      </w:r>
      <w:r w:rsidR="00AB5DA5">
        <w:rPr>
          <w:sz w:val="24"/>
          <w:vertAlign w:val="superscript"/>
        </w:rPr>
        <w:t>240</w:t>
      </w:r>
      <w:r w:rsidR="00AB5DA5">
        <w:rPr>
          <w:sz w:val="24"/>
        </w:rPr>
        <w:t xml:space="preserve">Pu, as well as others </w:t>
      </w:r>
      <w:r w:rsidR="00810FA1">
        <w:rPr>
          <w:sz w:val="24"/>
        </w:rPr>
        <w:fldChar w:fldCharType="begin" w:fldLock="1"/>
      </w:r>
      <w:r w:rsidR="00767A68">
        <w:rPr>
          <w:sz w:val="24"/>
        </w:rPr>
        <w:instrText>ADDIN CSL_CITATION {"citationItems":[{"id":"ITEM-1","itemData":{"DOI":"10.1021/ja01151a085","abstract":"Plutonium has been chemically separated from seven different ores and the ratios of plutonium to uranium determined","author":[{"dropping-particle":"","family":"Levine","given":"Charles A","non-dropping-particle":"","parse-names":false,"suffix":""},{"dropping-particle":"","family":"Seaborg Vol","given":"Glenn T","non-dropping-particle":"","parse-names":false,"suffix":""},{"dropping-particle":"","family":"Charles Levine","given":"By A","non-dropping-particle":"","parse-names":false,"suffix":""},{"dropping-particle":"","family":"Seaborg","given":"Glenn T","non-dropping-particle":"","parse-names":false,"suffix":""}],"container-title":"Journal of the American Chemical Society","id":"ITEM-1","issue":"73","issued":{"date-parts":[["1951"]]},"page":"3278-3283","title":"The Occurrence of Plutonium in Nature","type":"article-journal","volume":"7"},"uris":["http://www.mendeley.com/documents/?uuid=92a8e4f5-348d-3c1a-806e-e910c5bd191f"]}],"mendeley":{"formattedCitation":"[72]","plainTextFormattedCitation":"[72]","previouslyFormattedCitation":"[72]"},"properties":{"noteIndex":0},"schema":"https://github.com/citation-style-language/schema/raw/master/csl-citation.json"}</w:instrText>
      </w:r>
      <w:r w:rsidR="00810FA1">
        <w:rPr>
          <w:sz w:val="24"/>
        </w:rPr>
        <w:fldChar w:fldCharType="separate"/>
      </w:r>
      <w:r w:rsidR="000B0F18" w:rsidRPr="000B0F18">
        <w:rPr>
          <w:noProof/>
          <w:sz w:val="24"/>
        </w:rPr>
        <w:t>[72]</w:t>
      </w:r>
      <w:r w:rsidR="00810FA1">
        <w:rPr>
          <w:sz w:val="24"/>
        </w:rPr>
        <w:fldChar w:fldCharType="end"/>
      </w:r>
      <w:r w:rsidR="00810FA1">
        <w:rPr>
          <w:sz w:val="24"/>
        </w:rPr>
        <w:t>.</w:t>
      </w:r>
    </w:p>
    <w:p w14:paraId="058CF856" w14:textId="77777777" w:rsidR="00F37CA9" w:rsidRPr="005A775C" w:rsidRDefault="00F37CA9" w:rsidP="00F37CA9">
      <w:pPr>
        <w:tabs>
          <w:tab w:val="left" w:pos="3075"/>
        </w:tabs>
        <w:spacing w:line="480" w:lineRule="auto"/>
        <w:rPr>
          <w:b/>
          <w:sz w:val="28"/>
        </w:rPr>
      </w:pPr>
      <w:r w:rsidRPr="005A775C">
        <w:rPr>
          <w:b/>
          <w:sz w:val="28"/>
        </w:rPr>
        <w:t>4.</w:t>
      </w:r>
      <w:r>
        <w:rPr>
          <w:b/>
          <w:sz w:val="28"/>
        </w:rPr>
        <w:t>3</w:t>
      </w:r>
      <w:r w:rsidRPr="005A775C">
        <w:rPr>
          <w:b/>
          <w:sz w:val="28"/>
        </w:rPr>
        <w:t xml:space="preserve">.1 </w:t>
      </w:r>
      <w:r w:rsidRPr="005A775C">
        <w:rPr>
          <w:b/>
          <w:sz w:val="28"/>
          <w:vertAlign w:val="superscript"/>
        </w:rPr>
        <w:t>239</w:t>
      </w:r>
      <w:r w:rsidRPr="005A775C">
        <w:rPr>
          <w:b/>
          <w:sz w:val="28"/>
        </w:rPr>
        <w:t>Pu</w:t>
      </w:r>
    </w:p>
    <w:p w14:paraId="0C1FB3BE" w14:textId="2D6EE02F" w:rsidR="00F37CA9" w:rsidRDefault="00F37CA9" w:rsidP="00F37CA9">
      <w:pPr>
        <w:tabs>
          <w:tab w:val="left" w:pos="3075"/>
        </w:tabs>
        <w:spacing w:line="480" w:lineRule="auto"/>
        <w:ind w:firstLine="567"/>
        <w:rPr>
          <w:sz w:val="24"/>
        </w:rPr>
      </w:pPr>
      <w:r>
        <w:rPr>
          <w:sz w:val="24"/>
        </w:rPr>
        <w:t xml:space="preserve">All but two DSRL samples are consistent with one another in </w:t>
      </w:r>
      <w:r>
        <w:rPr>
          <w:sz w:val="24"/>
          <w:vertAlign w:val="superscript"/>
        </w:rPr>
        <w:t>239</w:t>
      </w:r>
      <w:r>
        <w:rPr>
          <w:sz w:val="24"/>
        </w:rPr>
        <w:t>Pu abundance</w:t>
      </w:r>
      <w:r w:rsidR="005146A6">
        <w:rPr>
          <w:sz w:val="24"/>
        </w:rPr>
        <w:t>:</w:t>
      </w:r>
      <w:r>
        <w:rPr>
          <w:sz w:val="24"/>
        </w:rPr>
        <w:t xml:space="preserve"> DSRL3 and DSRL8 differ significantly from the sample trend. The average </w:t>
      </w:r>
      <w:r>
        <w:rPr>
          <w:sz w:val="24"/>
          <w:vertAlign w:val="superscript"/>
        </w:rPr>
        <w:t>239</w:t>
      </w:r>
      <w:r>
        <w:rPr>
          <w:sz w:val="24"/>
        </w:rPr>
        <w:t>Pu abundance for the sample set is 544±</w:t>
      </w:r>
      <w:r w:rsidR="005146A6">
        <w:rPr>
          <w:sz w:val="24"/>
        </w:rPr>
        <w:t>60</w:t>
      </w:r>
      <w:r>
        <w:rPr>
          <w:sz w:val="24"/>
        </w:rPr>
        <w:t xml:space="preserve"> fg/g</w:t>
      </w:r>
      <w:r w:rsidR="00776147">
        <w:rPr>
          <w:sz w:val="24"/>
        </w:rPr>
        <w:t xml:space="preserve"> (~1.35 Bq/kg)</w:t>
      </w:r>
      <w:r>
        <w:rPr>
          <w:sz w:val="24"/>
        </w:rPr>
        <w:t>. DSRL3 is almost double the average for the sample set at 1000±30 fg/g</w:t>
      </w:r>
      <w:r w:rsidR="00776147">
        <w:rPr>
          <w:sz w:val="24"/>
        </w:rPr>
        <w:t xml:space="preserve"> (~2.48 Bq/kg)</w:t>
      </w:r>
      <w:r>
        <w:rPr>
          <w:sz w:val="24"/>
        </w:rPr>
        <w:t>, while DSRL8 is just over half the average at 289±9 fg/g</w:t>
      </w:r>
      <w:r w:rsidR="00776147">
        <w:rPr>
          <w:sz w:val="24"/>
        </w:rPr>
        <w:t xml:space="preserve"> (~0.72 Bq/kg)</w:t>
      </w:r>
      <w:r>
        <w:rPr>
          <w:sz w:val="24"/>
        </w:rPr>
        <w:t>.</w:t>
      </w:r>
    </w:p>
    <w:p w14:paraId="373F31DA" w14:textId="5397025A" w:rsidR="00F37CA9" w:rsidRDefault="00F37CA9" w:rsidP="00F37CA9">
      <w:pPr>
        <w:tabs>
          <w:tab w:val="left" w:pos="3075"/>
        </w:tabs>
        <w:spacing w:line="480" w:lineRule="auto"/>
        <w:ind w:firstLine="567"/>
        <w:rPr>
          <w:sz w:val="24"/>
        </w:rPr>
      </w:pPr>
      <w:r>
        <w:rPr>
          <w:sz w:val="24"/>
        </w:rPr>
        <w:t>Malham and Biggin are significantly lower</w:t>
      </w:r>
      <w:r w:rsidR="005146A6">
        <w:rPr>
          <w:sz w:val="24"/>
        </w:rPr>
        <w:t xml:space="preserve"> for </w:t>
      </w:r>
      <w:r w:rsidR="005146A6">
        <w:rPr>
          <w:sz w:val="24"/>
          <w:vertAlign w:val="superscript"/>
        </w:rPr>
        <w:t>239</w:t>
      </w:r>
      <w:r w:rsidR="005146A6">
        <w:rPr>
          <w:sz w:val="24"/>
        </w:rPr>
        <w:t>Pu</w:t>
      </w:r>
      <w:r>
        <w:rPr>
          <w:sz w:val="24"/>
        </w:rPr>
        <w:t xml:space="preserve"> than most DSRL samples at abundances of 340±11 fg/g </w:t>
      </w:r>
      <w:r w:rsidR="00776147">
        <w:rPr>
          <w:sz w:val="24"/>
        </w:rPr>
        <w:t xml:space="preserve">(~0.84 Bq/kg) </w:t>
      </w:r>
      <w:r>
        <w:rPr>
          <w:sz w:val="24"/>
        </w:rPr>
        <w:t>and 42</w:t>
      </w:r>
      <w:r w:rsidR="005146A6">
        <w:rPr>
          <w:sz w:val="24"/>
        </w:rPr>
        <w:t>8</w:t>
      </w:r>
      <w:r>
        <w:rPr>
          <w:sz w:val="24"/>
        </w:rPr>
        <w:t>±1</w:t>
      </w:r>
      <w:r w:rsidR="005146A6">
        <w:rPr>
          <w:sz w:val="24"/>
        </w:rPr>
        <w:t>3</w:t>
      </w:r>
      <w:r>
        <w:rPr>
          <w:sz w:val="24"/>
        </w:rPr>
        <w:t xml:space="preserve"> fg/g</w:t>
      </w:r>
      <w:r w:rsidR="009532FA">
        <w:rPr>
          <w:sz w:val="24"/>
        </w:rPr>
        <w:t xml:space="preserve"> (~1.06 Bq/kg)</w:t>
      </w:r>
      <w:r w:rsidR="005146A6">
        <w:rPr>
          <w:sz w:val="24"/>
        </w:rPr>
        <w:t>,</w:t>
      </w:r>
      <w:r>
        <w:rPr>
          <w:sz w:val="24"/>
        </w:rPr>
        <w:t xml:space="preserve"> respectively.</w:t>
      </w:r>
    </w:p>
    <w:p w14:paraId="0E684A05" w14:textId="69A0DEFE" w:rsidR="00F37CA9" w:rsidRDefault="00F37CA9" w:rsidP="00F37CA9">
      <w:pPr>
        <w:tabs>
          <w:tab w:val="left" w:pos="3075"/>
        </w:tabs>
        <w:spacing w:line="480" w:lineRule="auto"/>
        <w:ind w:firstLine="567"/>
        <w:rPr>
          <w:sz w:val="24"/>
        </w:rPr>
      </w:pPr>
      <w:r>
        <w:rPr>
          <w:sz w:val="24"/>
        </w:rPr>
        <w:t>At 620±1</w:t>
      </w:r>
      <w:r w:rsidR="005146A6">
        <w:rPr>
          <w:sz w:val="24"/>
        </w:rPr>
        <w:t>9</w:t>
      </w:r>
      <w:r>
        <w:rPr>
          <w:sz w:val="24"/>
        </w:rPr>
        <w:t xml:space="preserve"> fg/g</w:t>
      </w:r>
      <w:r w:rsidR="009532FA">
        <w:rPr>
          <w:sz w:val="24"/>
        </w:rPr>
        <w:t xml:space="preserve"> (~1.54 Bq/kg)</w:t>
      </w:r>
      <w:r>
        <w:rPr>
          <w:sz w:val="24"/>
        </w:rPr>
        <w:t xml:space="preserve">, DSRLB1 (the off-site sample) has a slightly higher </w:t>
      </w:r>
      <w:r w:rsidRPr="00D34902">
        <w:rPr>
          <w:sz w:val="24"/>
          <w:vertAlign w:val="superscript"/>
        </w:rPr>
        <w:t>239</w:t>
      </w:r>
      <w:r>
        <w:rPr>
          <w:sz w:val="24"/>
        </w:rPr>
        <w:t xml:space="preserve">Pu </w:t>
      </w:r>
      <w:r w:rsidRPr="00D34902">
        <w:rPr>
          <w:sz w:val="24"/>
        </w:rPr>
        <w:t>abundance</w:t>
      </w:r>
      <w:r>
        <w:rPr>
          <w:sz w:val="24"/>
        </w:rPr>
        <w:t xml:space="preserve"> than most of the samples, but is within error of </w:t>
      </w:r>
      <w:r w:rsidR="005146A6">
        <w:rPr>
          <w:sz w:val="24"/>
        </w:rPr>
        <w:t>the average for the sample set</w:t>
      </w:r>
      <w:r>
        <w:rPr>
          <w:sz w:val="24"/>
        </w:rPr>
        <w:t>.</w:t>
      </w:r>
    </w:p>
    <w:p w14:paraId="51EC62C7" w14:textId="2BE78313" w:rsidR="00F37CA9" w:rsidRDefault="00F37CA9" w:rsidP="00F37CA9">
      <w:pPr>
        <w:tabs>
          <w:tab w:val="left" w:pos="3075"/>
        </w:tabs>
        <w:spacing w:line="480" w:lineRule="auto"/>
        <w:ind w:firstLine="567"/>
        <w:rPr>
          <w:sz w:val="24"/>
        </w:rPr>
      </w:pPr>
      <w:r>
        <w:rPr>
          <w:sz w:val="24"/>
        </w:rPr>
        <w:lastRenderedPageBreak/>
        <w:t xml:space="preserve">It </w:t>
      </w:r>
      <w:r w:rsidR="005146A6">
        <w:rPr>
          <w:sz w:val="24"/>
        </w:rPr>
        <w:t>appears,</w:t>
      </w:r>
      <w:r>
        <w:rPr>
          <w:sz w:val="24"/>
        </w:rPr>
        <w:t xml:space="preserve"> </w:t>
      </w:r>
      <w:r w:rsidR="005146A6">
        <w:rPr>
          <w:sz w:val="24"/>
        </w:rPr>
        <w:t>from the data,</w:t>
      </w:r>
      <w:r>
        <w:rPr>
          <w:sz w:val="24"/>
        </w:rPr>
        <w:t xml:space="preserve"> that most </w:t>
      </w:r>
      <w:r w:rsidR="005146A6">
        <w:rPr>
          <w:sz w:val="24"/>
        </w:rPr>
        <w:t xml:space="preserve">of the </w:t>
      </w:r>
      <w:r>
        <w:rPr>
          <w:sz w:val="24"/>
        </w:rPr>
        <w:t xml:space="preserve">samples are expressing fallout levels of </w:t>
      </w:r>
      <w:r>
        <w:rPr>
          <w:sz w:val="24"/>
          <w:vertAlign w:val="superscript"/>
        </w:rPr>
        <w:t>239</w:t>
      </w:r>
      <w:r>
        <w:rPr>
          <w:sz w:val="24"/>
        </w:rPr>
        <w:t>Pu, with DSRL samples exhibiting slightly higher</w:t>
      </w:r>
      <w:r w:rsidR="000735FA">
        <w:rPr>
          <w:sz w:val="24"/>
        </w:rPr>
        <w:t xml:space="preserve"> than Malham and Biggin</w:t>
      </w:r>
      <w:r>
        <w:rPr>
          <w:sz w:val="24"/>
        </w:rPr>
        <w:t>, potentially boosted</w:t>
      </w:r>
      <w:r w:rsidR="00803B57">
        <w:rPr>
          <w:sz w:val="24"/>
        </w:rPr>
        <w:t xml:space="preserve"> by</w:t>
      </w:r>
      <w:r w:rsidR="005146A6">
        <w:rPr>
          <w:sz w:val="24"/>
        </w:rPr>
        <w:t xml:space="preserve"> dispersion from activities on site and</w:t>
      </w:r>
      <w:r>
        <w:rPr>
          <w:sz w:val="24"/>
        </w:rPr>
        <w:t xml:space="preserve"> the high natural uranium in the local geology facilitating neutron capture on </w:t>
      </w:r>
      <w:r>
        <w:rPr>
          <w:sz w:val="24"/>
          <w:vertAlign w:val="superscript"/>
        </w:rPr>
        <w:t>238</w:t>
      </w:r>
      <w:r>
        <w:rPr>
          <w:sz w:val="24"/>
        </w:rPr>
        <w:t xml:space="preserve">U. DSRL3 may be sampled from an area close to </w:t>
      </w:r>
      <w:r w:rsidR="00803B57">
        <w:rPr>
          <w:sz w:val="24"/>
        </w:rPr>
        <w:t>an area of greater dispersion</w:t>
      </w:r>
      <w:r>
        <w:rPr>
          <w:sz w:val="24"/>
        </w:rPr>
        <w:t>, or just an area prone to collection of material</w:t>
      </w:r>
      <w:r w:rsidR="001E365A">
        <w:rPr>
          <w:sz w:val="24"/>
        </w:rPr>
        <w:t xml:space="preserve"> or preferential binding of plutonium </w:t>
      </w:r>
      <w:r w:rsidR="00810FA1">
        <w:rPr>
          <w:sz w:val="24"/>
        </w:rPr>
        <w:fldChar w:fldCharType="begin" w:fldLock="1"/>
      </w:r>
      <w:r w:rsidR="00767A68">
        <w:rPr>
          <w:sz w:val="24"/>
        </w:rPr>
        <w:instrText>ADDIN CSL_CITATION {"citationItems":[{"id":"ITEM-1","itemData":{"DOI":"10.1016/0265-931X(91)90005-Z","abstract":"A gley soil from west Cumbria, with specific activities in its surface horizon of 5-10 kBq kg-1 239,240 Pu and comparable 241Am levels, has been used as a source of actinide-enriched organic fractions. Humic and fulvic acids were isolated by conventional alkali extraction and investigation by gel filtration, treatment with organic solvents and differential flocculation procedures. All these technique are capable of resolving the organics into two or more fractions, with specific activities up to 80 kBq kg-1 239,240 Pu. There is evidence for differentiation of plutonium and americium, with americium being concentrated, to some extent, in the lower molecular weight fractions from gel filtration. © 1991.","author":[{"dropping-particle":"","family":"Francis R. Livens &amp; Diane L. Singleton","given":"","non-dropping-particle":"","parse-names":false,"suffix":""}],"container-title":"Journal of Environmental Radioactivity","id":"ITEM-1","issue":"4","issued":{"date-parts":[["1991","1","1"]]},"page":"323-339","publisher":"Elsevier","title":"Plutonium and americium in soil organic matter","type":"article-journal","volume":"13"},"uris":["http://www.mendeley.com/documents/?uuid=1a2557e0-2c88-3b49-9c1e-1876fb8e1afc"]}],"mendeley":{"formattedCitation":"[69]","plainTextFormattedCitation":"[69]","previouslyFormattedCitation":"[69]"},"properties":{"noteIndex":0},"schema":"https://github.com/citation-style-language/schema/raw/master/csl-citation.json"}</w:instrText>
      </w:r>
      <w:r w:rsidR="00810FA1">
        <w:rPr>
          <w:sz w:val="24"/>
        </w:rPr>
        <w:fldChar w:fldCharType="separate"/>
      </w:r>
      <w:r w:rsidR="000B0F18" w:rsidRPr="000B0F18">
        <w:rPr>
          <w:noProof/>
          <w:sz w:val="24"/>
        </w:rPr>
        <w:t>[69]</w:t>
      </w:r>
      <w:r w:rsidR="00810FA1">
        <w:rPr>
          <w:sz w:val="24"/>
        </w:rPr>
        <w:fldChar w:fldCharType="end"/>
      </w:r>
      <w:r>
        <w:rPr>
          <w:sz w:val="24"/>
        </w:rPr>
        <w:t>,</w:t>
      </w:r>
      <w:r w:rsidR="00803B57">
        <w:rPr>
          <w:sz w:val="24"/>
        </w:rPr>
        <w:t xml:space="preserve"> </w:t>
      </w:r>
      <w:r>
        <w:rPr>
          <w:sz w:val="24"/>
        </w:rPr>
        <w:t>such as a low lying piece of land below a slope</w:t>
      </w:r>
      <w:r w:rsidR="00803B57">
        <w:rPr>
          <w:sz w:val="24"/>
        </w:rPr>
        <w:t>. Alternatively, the sample site could be near an area high in material that preferentially binds Pu</w:t>
      </w:r>
      <w:r>
        <w:rPr>
          <w:sz w:val="24"/>
        </w:rPr>
        <w:t xml:space="preserve">. More information on the sample sites are needed for confirmation. DSRL8’s lower </w:t>
      </w:r>
      <w:r>
        <w:rPr>
          <w:sz w:val="24"/>
          <w:vertAlign w:val="superscript"/>
        </w:rPr>
        <w:t>239</w:t>
      </w:r>
      <w:r>
        <w:rPr>
          <w:sz w:val="24"/>
        </w:rPr>
        <w:t xml:space="preserve">Pu abundance could simply be due to a sampling site on a higher area of land, exposed to a greater potential run-off, which would fit with the knowledge of the Malham sample site. DSRL8 could also have been sampled from the site of a previous building, which may have been removed during the decommissioning process. Coverage by a structure could have reduced the incident </w:t>
      </w:r>
      <w:r>
        <w:rPr>
          <w:sz w:val="24"/>
          <w:vertAlign w:val="superscript"/>
        </w:rPr>
        <w:t>239</w:t>
      </w:r>
      <w:r>
        <w:rPr>
          <w:sz w:val="24"/>
        </w:rPr>
        <w:t>Pu deposition</w:t>
      </w:r>
      <w:r w:rsidR="00EA786F">
        <w:rPr>
          <w:sz w:val="24"/>
        </w:rPr>
        <w:t xml:space="preserve"> from either site activities, fallout, or both.</w:t>
      </w:r>
    </w:p>
    <w:p w14:paraId="749658A3" w14:textId="27B51164" w:rsidR="00F37CA9" w:rsidRPr="0098700B" w:rsidRDefault="00F37CA9" w:rsidP="00F37CA9">
      <w:pPr>
        <w:tabs>
          <w:tab w:val="left" w:pos="3075"/>
        </w:tabs>
        <w:spacing w:line="480" w:lineRule="auto"/>
        <w:ind w:firstLine="567"/>
        <w:rPr>
          <w:sz w:val="24"/>
        </w:rPr>
      </w:pPr>
      <w:r>
        <w:rPr>
          <w:sz w:val="24"/>
        </w:rPr>
        <w:t xml:space="preserve">Malham and Biggin were sampled approximately 500 miles from Dounreay, so may have been subjected to slightly different levels of fallout. The differences between the two are </w:t>
      </w:r>
      <w:r w:rsidR="000735FA">
        <w:rPr>
          <w:sz w:val="24"/>
        </w:rPr>
        <w:t xml:space="preserve">also </w:t>
      </w:r>
      <w:r>
        <w:rPr>
          <w:sz w:val="24"/>
        </w:rPr>
        <w:t xml:space="preserve">likely caused by the different elevations and environment at each site. The Biggin sample site was lower lying and more sheltered, while Malham was taken from a higher elevation, which was rockier due to </w:t>
      </w:r>
      <w:r w:rsidR="003A44D3">
        <w:rPr>
          <w:sz w:val="24"/>
        </w:rPr>
        <w:t xml:space="preserve">the aforementioned </w:t>
      </w:r>
      <w:r>
        <w:rPr>
          <w:sz w:val="24"/>
        </w:rPr>
        <w:t>underlying granite, and prone to more extreme conditions.</w:t>
      </w:r>
    </w:p>
    <w:p w14:paraId="4E29144D" w14:textId="7A9CFF90" w:rsidR="006077E6" w:rsidRDefault="00F37CA9" w:rsidP="006077E6">
      <w:pPr>
        <w:keepNext/>
        <w:tabs>
          <w:tab w:val="left" w:pos="3075"/>
        </w:tabs>
        <w:spacing w:line="480" w:lineRule="auto"/>
        <w:ind w:firstLine="567"/>
        <w:rPr>
          <w:sz w:val="24"/>
        </w:rPr>
      </w:pPr>
      <w:r>
        <w:rPr>
          <w:sz w:val="24"/>
        </w:rPr>
        <w:t>With an average estimated</w:t>
      </w:r>
      <w:r>
        <w:rPr>
          <w:sz w:val="24"/>
          <w:vertAlign w:val="superscript"/>
        </w:rPr>
        <w:t xml:space="preserve"> 239</w:t>
      </w:r>
      <w:r>
        <w:rPr>
          <w:sz w:val="24"/>
        </w:rPr>
        <w:t xml:space="preserve">Pu mass per gram of the project </w:t>
      </w:r>
      <w:r w:rsidR="00A36368">
        <w:rPr>
          <w:sz w:val="24"/>
        </w:rPr>
        <w:t xml:space="preserve">soil </w:t>
      </w:r>
      <w:r>
        <w:rPr>
          <w:sz w:val="24"/>
        </w:rPr>
        <w:t>samples at 544±</w:t>
      </w:r>
      <w:r w:rsidR="00EA786F">
        <w:rPr>
          <w:sz w:val="24"/>
        </w:rPr>
        <w:t>60</w:t>
      </w:r>
      <w:r>
        <w:rPr>
          <w:sz w:val="24"/>
        </w:rPr>
        <w:t xml:space="preserve"> fg/g</w:t>
      </w:r>
      <w:r w:rsidR="009532FA">
        <w:rPr>
          <w:sz w:val="24"/>
        </w:rPr>
        <w:t xml:space="preserve"> (~1.34 Bq/kg)</w:t>
      </w:r>
      <w:r>
        <w:rPr>
          <w:sz w:val="24"/>
        </w:rPr>
        <w:t xml:space="preserve">, the average sample value is consistent with previously reported values of </w:t>
      </w:r>
      <w:r>
        <w:rPr>
          <w:sz w:val="24"/>
          <w:vertAlign w:val="superscript"/>
        </w:rPr>
        <w:t>239</w:t>
      </w:r>
      <w:r>
        <w:rPr>
          <w:sz w:val="24"/>
        </w:rPr>
        <w:t>Pu stemming back to 1951, in Levine and Seaborg’s measurement of 550 fg/g</w:t>
      </w:r>
      <w:r w:rsidR="009532FA">
        <w:rPr>
          <w:sz w:val="24"/>
        </w:rPr>
        <w:t xml:space="preserve"> (~1.36 Bq/kg)</w:t>
      </w:r>
      <w:r>
        <w:rPr>
          <w:sz w:val="24"/>
        </w:rPr>
        <w:t xml:space="preserve"> in Canadian pitchblende</w:t>
      </w:r>
      <w:r w:rsidR="009D1AED">
        <w:rPr>
          <w:sz w:val="24"/>
        </w:rPr>
        <w:t xml:space="preserve"> </w:t>
      </w:r>
      <w:r w:rsidR="00810FA1">
        <w:rPr>
          <w:sz w:val="24"/>
        </w:rPr>
        <w:fldChar w:fldCharType="begin" w:fldLock="1"/>
      </w:r>
      <w:r w:rsidR="00767A68">
        <w:rPr>
          <w:sz w:val="24"/>
        </w:rPr>
        <w:instrText>ADDIN CSL_CITATION {"citationItems":[{"id":"ITEM-1","itemData":{"DOI":"10.1021/ja01151a085","abstract":"Plutonium has been chemically separated from seven different ores and the ratios of plutonium to uranium determined","author":[{"dropping-particle":"","family":"Levine","given":"Charles A","non-dropping-particle":"","parse-names":false,"suffix":""},{"dropping-particle":"","family":"Seaborg Vol","given":"Glenn T","non-dropping-particle":"","parse-names":false,"suffix":""},{"dropping-particle":"","family":"Charles Levine","given":"By A","non-dropping-particle":"","parse-names":false,"suffix":""},{"dropping-particle":"","family":"Seaborg","given":"Glenn T","non-dropping-particle":"","parse-names":false,"suffix":""}],"container-title":"Journal of the American Chemical Society","id":"ITEM-1","issue":"73","issued":{"date-parts":[["1951"]]},"page":"3278-3283","title":"The Occurrence of Plutonium in Nature","type":"article-journal","volume":"7"},"uris":["http://www.mendeley.com/documents/?uuid=92a8e4f5-348d-3c1a-806e-e910c5bd191f"]}],"mendeley":{"formattedCitation":"[72]","plainTextFormattedCitation":"[72]","previouslyFormattedCitation":"[72]"},"properties":{"noteIndex":0},"schema":"https://github.com/citation-style-language/schema/raw/master/csl-citation.json"}</w:instrText>
      </w:r>
      <w:r w:rsidR="00810FA1">
        <w:rPr>
          <w:sz w:val="24"/>
        </w:rPr>
        <w:fldChar w:fldCharType="separate"/>
      </w:r>
      <w:r w:rsidR="000B0F18" w:rsidRPr="000B0F18">
        <w:rPr>
          <w:noProof/>
          <w:sz w:val="24"/>
        </w:rPr>
        <w:t>[72]</w:t>
      </w:r>
      <w:r w:rsidR="00810FA1">
        <w:rPr>
          <w:sz w:val="24"/>
        </w:rPr>
        <w:fldChar w:fldCharType="end"/>
      </w:r>
      <w:r>
        <w:rPr>
          <w:sz w:val="24"/>
        </w:rPr>
        <w:t>.</w:t>
      </w:r>
      <w:r w:rsidR="006C4619">
        <w:rPr>
          <w:sz w:val="24"/>
        </w:rPr>
        <w:t xml:space="preserve"> This correlation fits with the </w:t>
      </w:r>
      <w:r w:rsidR="00545AE1">
        <w:rPr>
          <w:sz w:val="24"/>
        </w:rPr>
        <w:t xml:space="preserve">knowledge </w:t>
      </w:r>
      <w:r w:rsidR="00780FAD">
        <w:rPr>
          <w:sz w:val="24"/>
        </w:rPr>
        <w:t>that</w:t>
      </w:r>
      <w:r w:rsidR="00900033">
        <w:rPr>
          <w:sz w:val="24"/>
        </w:rPr>
        <w:t xml:space="preserve"> the </w:t>
      </w:r>
      <w:r w:rsidR="00900033">
        <w:rPr>
          <w:sz w:val="24"/>
        </w:rPr>
        <w:lastRenderedPageBreak/>
        <w:t>sample areas</w:t>
      </w:r>
      <w:r>
        <w:rPr>
          <w:sz w:val="24"/>
        </w:rPr>
        <w:t xml:space="preserve"> </w:t>
      </w:r>
      <w:r w:rsidR="00780FAD">
        <w:rPr>
          <w:sz w:val="24"/>
        </w:rPr>
        <w:t xml:space="preserve">are </w:t>
      </w:r>
      <w:r w:rsidR="009836E5">
        <w:rPr>
          <w:sz w:val="24"/>
        </w:rPr>
        <w:t>all areas of high natural uranium</w:t>
      </w:r>
      <w:r w:rsidR="00AE785F">
        <w:rPr>
          <w:sz w:val="24"/>
        </w:rPr>
        <w:t xml:space="preserve">. </w:t>
      </w:r>
      <w:r>
        <w:rPr>
          <w:sz w:val="24"/>
        </w:rPr>
        <w:t xml:space="preserve">Other </w:t>
      </w:r>
      <w:r>
        <w:rPr>
          <w:sz w:val="24"/>
          <w:vertAlign w:val="superscript"/>
        </w:rPr>
        <w:t>239</w:t>
      </w:r>
      <w:r>
        <w:rPr>
          <w:sz w:val="24"/>
        </w:rPr>
        <w:t>Pu masses reported in the literature range from a lower extreme of 6</w:t>
      </w:r>
      <w:r w:rsidR="00B22B26">
        <w:rPr>
          <w:sz w:val="24"/>
        </w:rPr>
        <w:t xml:space="preserve"> fg/g</w:t>
      </w:r>
      <w:r>
        <w:rPr>
          <w:sz w:val="24"/>
        </w:rPr>
        <w:t xml:space="preserve"> </w:t>
      </w:r>
      <w:r w:rsidR="00B22B26">
        <w:rPr>
          <w:sz w:val="24"/>
        </w:rPr>
        <w:t xml:space="preserve">(~0.01 Bq/kg) </w:t>
      </w:r>
      <w:r>
        <w:rPr>
          <w:sz w:val="24"/>
        </w:rPr>
        <w:t xml:space="preserve">to 20 fg/g </w:t>
      </w:r>
      <w:r w:rsidR="00B22B26">
        <w:rPr>
          <w:sz w:val="24"/>
        </w:rPr>
        <w:t>(~0.05 Bq/kg)</w:t>
      </w:r>
      <w:r w:rsidR="009532FA">
        <w:rPr>
          <w:sz w:val="24"/>
        </w:rPr>
        <w:t xml:space="preserve"> </w:t>
      </w:r>
      <w:r>
        <w:rPr>
          <w:sz w:val="24"/>
        </w:rPr>
        <w:t xml:space="preserve">in the southern hemisphere </w:t>
      </w:r>
      <w:r w:rsidR="00810FA1">
        <w:rPr>
          <w:sz w:val="24"/>
        </w:rPr>
        <w:fldChar w:fldCharType="begin" w:fldLock="1"/>
      </w:r>
      <w:r w:rsidR="00767A68">
        <w:rPr>
          <w:sz w:val="24"/>
        </w:rPr>
        <w:instrText>ADDIN CSL_CITATION {"citationItems":[{"id":"ITEM-1","itemData":{"DOI":"10.1016/j.jenvrad.2018.08.003","abstract":"236 U, 239 Pu and 240 Pu are present in soils mainly as a result of the local-and global-fallout from the atmospheric nuclear weapons tests carried out mainly in the 1950's and 1960's. In this work we provide new data on the presence of 236 U and 239,240 Pu in surface soils (i.e. up to 5 cm depth) from Chile and Africa. The results were obtained by low-energy Accelerator Mass Spectrometry (AMS). In the case of the Chilean samples, 236 U/ 239 Pu atom ratios show a high variability and are in general higher than the reported value for the global fallout in the Northern Hemisphere, ranging from 0.2 to 1.5. The 236 U atomic concentrations range from 3.5 × 10 6 to 9.1 × 10 6 atoms/g, and are at least two orders of magnitude lower than the reported values in the Northern Hemisphere. The measured 240 Pu/ 239 Pu atom ratio in soils from South-Africa and Mozambique are of about 0.17, in agreement with the expected one for global-fallout at those coordinates. To best knowledge of the authors the present work is the first publication on 236 U concentrations and 236 U/ 239 Pu atom ratios in soils from South-America and Africa.","author":[{"dropping-particle":"","family":"Salmani-Ghabeshi","given":"S","non-dropping-particle":"","parse-names":false,"suffix":""},{"dropping-particle":"","family":"Chamizo","given":"E","non-dropping-particle":"","parse-names":false,"suffix":""},{"dropping-particle":"","family":"Christl","given":"M","non-dropping-particle":"","parse-names":false,"suffix":""},{"dropping-particle":"","family":"Miró","given":"C","non-dropping-particle":"","parse-names":false,"suffix":""},{"dropping-particle":"","family":"Pinilla-Gil","given":"E","non-dropping-particle":"","parse-names":false,"suffix":""},{"dropping-particle":"","family":"Cereceda-Balic","given":"F","non-dropping-particle":"","parse-names":false,"suffix":""}],"container-title":"Journal of Environmental Radioactivity","id":"ITEM-1","issued":{"date-parts":[["2018"]]},"page":"478-484","title":"Presence of 236 U and 239,240 Pu in soils from Southern Hemisphere","type":"article-journal","volume":"192"},"uris":["http://www.mendeley.com/documents/?uuid=3d8601f3-9bd6-39de-b2d7-4088d087c191"]}],"mendeley":{"formattedCitation":"[73]","plainTextFormattedCitation":"[73]","previouslyFormattedCitation":"[73]"},"properties":{"noteIndex":0},"schema":"https://github.com/citation-style-language/schema/raw/master/csl-citation.json"}</w:instrText>
      </w:r>
      <w:r w:rsidR="00810FA1">
        <w:rPr>
          <w:sz w:val="24"/>
        </w:rPr>
        <w:fldChar w:fldCharType="separate"/>
      </w:r>
      <w:r w:rsidR="000B0F18" w:rsidRPr="000B0F18">
        <w:rPr>
          <w:noProof/>
          <w:sz w:val="24"/>
        </w:rPr>
        <w:t>[73]</w:t>
      </w:r>
      <w:r w:rsidR="00810FA1">
        <w:rPr>
          <w:sz w:val="24"/>
        </w:rPr>
        <w:fldChar w:fldCharType="end"/>
      </w:r>
      <w:r>
        <w:rPr>
          <w:sz w:val="24"/>
        </w:rPr>
        <w:t xml:space="preserve"> to the maximum of 67±1 pg/g </w:t>
      </w:r>
      <w:r w:rsidR="00B22B26">
        <w:rPr>
          <w:sz w:val="24"/>
        </w:rPr>
        <w:t xml:space="preserve">(~166 Bq/kg) </w:t>
      </w:r>
      <w:r w:rsidR="00810FA1">
        <w:rPr>
          <w:sz w:val="24"/>
        </w:rPr>
        <w:fldChar w:fldCharType="begin" w:fldLock="1"/>
      </w:r>
      <w:r w:rsidR="007B6045">
        <w:rPr>
          <w:sz w:val="24"/>
        </w:rPr>
        <w:instrText>ADDIN CSL_CITATION {"citationItems":[{"id":"ITEM-1","itemData":{"abstract":"Published by Elsevier Science Ltd. Printed in Great Britain P I I : S 0 2 6 5-9 3 1 X (9 7) 0 0 0 5 0-7 ABS¹RAC¹ Mass spectrometry measurements of Pu, U and Np isolated from soils contaminated by the 1957 accident at the Mayak nuclear complex in the Southern Ural mountains ('Kyshtym accident') and from soils collected at and near the Former Soviet Union (FSU) test site at Semipalatinsk-21 are reported. The results provide a coherent isotopic data set suggesting (1) that Pu recovered from irradiated uranium fuels processed at Mayak formed the source material for Pu devices tested at Semipalatinsk-21; (2) that 237 Np in the breached Mayak storage tank resulted, principally, from enrichment of this radionucl-ide in waste streams during the processing of low burn-up uranium fuels to recover both Pu and U and (3) the presence of 236 U at both sites may be useful in tracing inputs of this, and other transuranic radionuclides, to nearby river systems that flow to the Arctic Ocean. Published by Elsevier Science Ltd.","author":[{"dropping-particle":"","family":"Beasley","given":"T M","non-dropping-particle":"","parse-names":false,"suffix":""},{"dropping-particle":"","family":"Kelley","given":"J M","non-dropping-particle":"","parse-names":false,"suffix":""},{"dropping-particle":"","family":"Orlandini","given":"K A","non-dropping-particle":"","parse-names":false,"suffix":""},{"dropping-particle":"","family":"Bond","given":"A L A","non-dropping-particle":"","parse-names":false,"suffix":""},{"dropping-particle":"","family":"Aarkrog","given":"@ A","non-dropping-particle":"","parse-names":false,"suffix":""},{"dropping-particle":"","family":"Trapeznikovc","given":"B A P","non-dropping-particle":"","parse-names":false,"suffix":""},{"dropping-particle":"","family":"Pozolotinac","given":"V N","non-dropping-particle":"","parse-names":false,"suffix":""}],"container-title":"J. Environ. Radioactivity","id":"ITEM-1","issue":"2","issued":{"date-parts":[["1998"]]},"number-of-pages":"215-230","title":"Isotopic Pu, U, and Np Signatures in Soils from Semipalatinsk-21, Kazakh Republic and the Southern Urals, Russia","type":"report","volume":"39"},"uris":["http://www.mendeley.com/documents/?uuid=aa751f5d-6309-3641-9dc2-4010ee13a5b8"]}],"mendeley":{"formattedCitation":"[12]","plainTextFormattedCitation":"[12]","previouslyFormattedCitation":"[12]"},"properties":{"noteIndex":0},"schema":"https://github.com/citation-style-language/schema/raw/master/csl-citation.json"}</w:instrText>
      </w:r>
      <w:r w:rsidR="00810FA1">
        <w:rPr>
          <w:sz w:val="24"/>
        </w:rPr>
        <w:fldChar w:fldCharType="separate"/>
      </w:r>
      <w:r w:rsidR="00CD23B7" w:rsidRPr="00CD23B7">
        <w:rPr>
          <w:noProof/>
          <w:sz w:val="24"/>
        </w:rPr>
        <w:t>[12]</w:t>
      </w:r>
      <w:r w:rsidR="00810FA1">
        <w:rPr>
          <w:sz w:val="24"/>
        </w:rPr>
        <w:fldChar w:fldCharType="end"/>
      </w:r>
      <w:r>
        <w:rPr>
          <w:sz w:val="24"/>
        </w:rPr>
        <w:t xml:space="preserve"> at Semipalatinsk test site, Kazakhstan. The low </w:t>
      </w:r>
      <w:r>
        <w:rPr>
          <w:sz w:val="24"/>
          <w:vertAlign w:val="superscript"/>
        </w:rPr>
        <w:t>239</w:t>
      </w:r>
      <w:r>
        <w:rPr>
          <w:sz w:val="24"/>
        </w:rPr>
        <w:t xml:space="preserve">Pu masses reported in the Southern Hemisphere are thought to be due to </w:t>
      </w:r>
      <w:r w:rsidR="00693379">
        <w:rPr>
          <w:sz w:val="24"/>
        </w:rPr>
        <w:t>significantly</w:t>
      </w:r>
      <w:r>
        <w:rPr>
          <w:sz w:val="24"/>
        </w:rPr>
        <w:t xml:space="preserve"> fewer weapons tests performed in this part of the world, while the high </w:t>
      </w:r>
      <w:r>
        <w:rPr>
          <w:sz w:val="24"/>
          <w:vertAlign w:val="superscript"/>
        </w:rPr>
        <w:t>239</w:t>
      </w:r>
      <w:r>
        <w:rPr>
          <w:sz w:val="24"/>
        </w:rPr>
        <w:t>Pu mass of 67.1 pg/g was measured from</w:t>
      </w:r>
      <w:r w:rsidR="00A36368">
        <w:rPr>
          <w:sz w:val="24"/>
        </w:rPr>
        <w:t xml:space="preserve"> soil collected from</w:t>
      </w:r>
      <w:r>
        <w:rPr>
          <w:sz w:val="24"/>
        </w:rPr>
        <w:t xml:space="preserve"> the Semipalatinsk-21 site in Kazakhstan - the primary testing venue for the Soviet Union’s nuclear weapons. These measurement ranges are more extreme than reported by Armstrong et al (2015) of 100 fg/g </w:t>
      </w:r>
      <w:r w:rsidR="006B3A5B">
        <w:rPr>
          <w:sz w:val="24"/>
        </w:rPr>
        <w:t xml:space="preserve">(~0.25 Bq/kg) </w:t>
      </w:r>
      <w:r>
        <w:rPr>
          <w:sz w:val="24"/>
        </w:rPr>
        <w:t>to 5 pg/g</w:t>
      </w:r>
      <w:r w:rsidR="006B3A5B">
        <w:rPr>
          <w:sz w:val="24"/>
        </w:rPr>
        <w:t xml:space="preserve"> (~12.40 Bq/kg)</w:t>
      </w:r>
      <w:r>
        <w:rPr>
          <w:sz w:val="24"/>
        </w:rPr>
        <w:t>, on the Savannah River Site</w:t>
      </w:r>
      <w:r w:rsidR="007F5E5F">
        <w:rPr>
          <w:sz w:val="24"/>
        </w:rPr>
        <w:t xml:space="preserve"> from samples</w:t>
      </w:r>
      <w:r>
        <w:rPr>
          <w:sz w:val="24"/>
        </w:rPr>
        <w:t xml:space="preserve"> taken from worker’s boot scrapings over eleven years</w:t>
      </w:r>
      <w:r w:rsidR="00810FA1">
        <w:rPr>
          <w:sz w:val="24"/>
        </w:rPr>
        <w:t xml:space="preserve"> </w:t>
      </w:r>
      <w:r w:rsidR="00810FA1">
        <w:rPr>
          <w:sz w:val="24"/>
        </w:rPr>
        <w:fldChar w:fldCharType="begin" w:fldLock="1"/>
      </w:r>
      <w:r w:rsidR="00767A68">
        <w:rPr>
          <w:sz w:val="24"/>
        </w:rPr>
        <w:instrText xml:space="preserve">ADDIN CSL_CITATION {"citationItems":[{"id":"ITEM-1","itemData":{"DOI":"10.1021/es504147d","abstract":"This work presents the findings of a long-term plutonium (Pu) study at Savannah River Site (SRS) conducted between 2003 and 2013. Terrestrial environmental samples were obtained at the Savannah River National Laboratory (SRNL) in the A-Area. Plutonium content and isotopic abundances were measured over this time period by α particle and thermal ionization mass spectrometry (3STIMS). We detail the complete process of the sample collection, radiochemical separation, and measurement procedure specifically targeted to trace plutonium in bulk environmental samples. Total plutonium activities were determined to be not significantly above atmospheric global fallout. However, the 238 Pu/ 239+240 Pu activity ratios attributed to SRS are substantially different than fallout due to past 238 Pu production on the site. The 240 Pu/ 239 Pu atom ratios are reasonably consistent from year to year and are lower than fallout indicating an admixture of weapons-grade material, while the 242 Pu/ 239 Pu atom ratios are higher than fallout values, again due to actinide production activities. Overall, the plutonium signatures obtained in this study reflect a distinctive mixture of weapons-grade, heat source, and higher burn-up plutonium with fallout material. This study provides a unique opportunity for developing and demonstrating a blue print for long-term low-level monitoring of trace plutonium in the environment. </w:instrText>
      </w:r>
      <w:r w:rsidR="00767A68">
        <w:rPr>
          <w:rFonts w:ascii="Arial" w:hAnsi="Arial" w:cs="Arial"/>
          <w:sz w:val="24"/>
        </w:rPr>
        <w:instrText>■</w:instrText>
      </w:r>
      <w:r w:rsidR="00767A68">
        <w:rPr>
          <w:sz w:val="24"/>
        </w:rPr>
        <w:instrText xml:space="preserve"> INTRODUCTION Background. The Savannah River Site (SRS), formerly the Savannah River Plant (SRP), began operation in the early 1950s. The site, located close to the Savannah River in South Carolina (Figure 1), encompasses roughly 830 km 2. Its primary function was to produce special nuclear materials for national defense, specifically weapons-grade plutonium (Pu) and tritium (3 H) required for thermonuclear devices. 1 Therefore, these were the major materials produced at SRS in the first several decades of operation. At its peak, five heavy water moderated reactors (Figure 1), fueled with highly enriched uranium, were operated for isotope production. Targets placed inside these high-flux reactors contained lithium (6 Li) to produce tritium and depleted uranium to make weapons-grade (240 Pu concentration of less than 7%) plutonium. Over its history, the site produced metric tons of plutonium comprising Pu isotopes with masses of 238 through 244. The unique versatility of the SRS reactors for isotope production was also exploited for production of other actinide mate…","author":[{"dropping-particle":"","family":"Armstrong","given":"Christopher R","non-dropping-particle":"","parse-names":false,"suffix":""},{"dropping-particle":"","family":"Nuessle","given":"Patterson R","non-dropping-particle":"","parse-names":false,"suffix":""},{"dropping-particle":"","family":"Brant","given":"Heather A","non-dropping-particle":"","parse-names":false,"suffix":""},{"dropping-particle":"","family":"Hall","given":"Gregory","non-dropping-particle":"","parse-names":false,"suffix":""},{"dropping-particle":"","family":"Halverson","given":"Justin E","non-dropping-particle":"","parse-names":false,"suffix":""},{"dropping-particle":"","family":"Cadieux","given":"James R","non-dropping-particle":"","parse-names":false,"suffix":""}],"container-title":"Environmental Science and Technology","id":"ITEM-1","issue":"3","issued":{"date-parts":[["2015"]]},"page":"1286-1293","title":"Plutonium Isotopes in the Terrestrial Environment at the Savannah River Site, USA: A Long-Term Study","type":"article-journal","volume":"49"},"uris":["http://www.mendeley.com/documents/?uuid=0699ef60-2756-3a62-88e2-156b2b9c84b7"]}],"mendeley":{"formattedCitation":"[74]","plainTextFormattedCitation":"[74]","previouslyFormattedCitation":"[74]"},"properties":{"noteIndex":0},"schema":"https://github.com/citation-style-language/schema/raw/master/csl-citation.json"}</w:instrText>
      </w:r>
      <w:r w:rsidR="00810FA1">
        <w:rPr>
          <w:sz w:val="24"/>
        </w:rPr>
        <w:fldChar w:fldCharType="separate"/>
      </w:r>
      <w:r w:rsidR="000B0F18" w:rsidRPr="000B0F18">
        <w:rPr>
          <w:noProof/>
          <w:sz w:val="24"/>
        </w:rPr>
        <w:t>[74]</w:t>
      </w:r>
      <w:r w:rsidR="00810FA1">
        <w:rPr>
          <w:sz w:val="24"/>
        </w:rPr>
        <w:fldChar w:fldCharType="end"/>
      </w:r>
      <w:r>
        <w:rPr>
          <w:sz w:val="24"/>
        </w:rPr>
        <w:t xml:space="preserve">. The average </w:t>
      </w:r>
      <w:r>
        <w:rPr>
          <w:sz w:val="24"/>
          <w:vertAlign w:val="superscript"/>
        </w:rPr>
        <w:t>239</w:t>
      </w:r>
      <w:r>
        <w:rPr>
          <w:sz w:val="24"/>
        </w:rPr>
        <w:t xml:space="preserve">Pu mass concentrations presented in this research also fall comfortably within the range of world fallout levels of 7 fg/g </w:t>
      </w:r>
      <w:r w:rsidR="006B3A5B">
        <w:rPr>
          <w:sz w:val="24"/>
        </w:rPr>
        <w:t xml:space="preserve">(~0.02 Bq/kg) </w:t>
      </w:r>
      <w:r>
        <w:rPr>
          <w:sz w:val="24"/>
        </w:rPr>
        <w:t>to 1.6 pg/g</w:t>
      </w:r>
      <w:r w:rsidR="00CB217B">
        <w:rPr>
          <w:sz w:val="24"/>
        </w:rPr>
        <w:t xml:space="preserve"> (~3.97 Bq/kg)</w:t>
      </w:r>
      <w:r>
        <w:rPr>
          <w:sz w:val="24"/>
        </w:rPr>
        <w:t xml:space="preserve">, presented by Harley in his 1980 </w:t>
      </w:r>
      <w:r w:rsidR="00693379">
        <w:rPr>
          <w:sz w:val="24"/>
        </w:rPr>
        <w:t>review</w:t>
      </w:r>
      <w:r w:rsidR="00810FA1">
        <w:rPr>
          <w:sz w:val="24"/>
        </w:rPr>
        <w:t xml:space="preserve"> </w:t>
      </w:r>
      <w:r w:rsidR="00810FA1">
        <w:rPr>
          <w:sz w:val="24"/>
        </w:rPr>
        <w:fldChar w:fldCharType="begin" w:fldLock="1"/>
      </w:r>
      <w:r w:rsidR="00767A68">
        <w:rPr>
          <w:sz w:val="24"/>
        </w:rPr>
        <w:instrText>ADDIN CSL_CITATION {"citationItems":[{"id":"ITEM-1","itemData":{"DOI":"10.1269/jrr.21.83","author":[{"dropping-particle":"","family":"Harley","given":"John H.","non-dropping-particle":"","parse-names":false,"suffix":""}],"container-title":"Journal of Radiation Research","id":"ITEM-1","issue":"1","issued":{"date-parts":[["1980","3","1"]]},"page":"83-104","publisher":"Oxford University Press","title":"Plutonium in the environment - A review.","type":"article-journal","volume":"21"},"uris":["http://www.mendeley.com/documents/?uuid=c990a509-c59f-3071-8507-a0ef46b2e995"]}],"mendeley":{"formattedCitation":"[75]","plainTextFormattedCitation":"[75]","previouslyFormattedCitation":"[75]"},"properties":{"noteIndex":0},"schema":"https://github.com/citation-style-language/schema/raw/master/csl-citation.json"}</w:instrText>
      </w:r>
      <w:r w:rsidR="00810FA1">
        <w:rPr>
          <w:sz w:val="24"/>
        </w:rPr>
        <w:fldChar w:fldCharType="separate"/>
      </w:r>
      <w:r w:rsidR="000B0F18" w:rsidRPr="000B0F18">
        <w:rPr>
          <w:noProof/>
          <w:sz w:val="24"/>
        </w:rPr>
        <w:t>[75]</w:t>
      </w:r>
      <w:r w:rsidR="00810FA1">
        <w:rPr>
          <w:sz w:val="24"/>
        </w:rPr>
        <w:fldChar w:fldCharType="end"/>
      </w:r>
      <w:r>
        <w:rPr>
          <w:sz w:val="24"/>
        </w:rPr>
        <w:t xml:space="preserve">. Other measurements carried out by Curtis et al (1999) </w:t>
      </w:r>
      <w:r w:rsidR="00810FA1">
        <w:rPr>
          <w:sz w:val="24"/>
        </w:rPr>
        <w:fldChar w:fldCharType="begin" w:fldLock="1"/>
      </w:r>
      <w:r w:rsidR="00767A68">
        <w:rPr>
          <w:sz w:val="24"/>
        </w:rPr>
        <w:instrText>ADDIN CSL_CITATION {"citationItems":[{"id":"ITEM-1","itemData":{"abstract":"Natural 99 Tc and 239 Pu were measured in ores from the Cigar Lake uranium deposit, in which U concentrations ranged from 0.3 to 55 wt%. Atomic ratios ranged from 1.4 10 12 to 51 10 12 for 99 Tc/U and 2.4 10 12 to 44 10 12 for 239 Pu/U. Measured concentrations are compared to those expected if the ores had behaved as closed systems with respect to U and its products. Under conditions of secular equilibrium in closed systems, 99 Tc and 239 Pu concentrations are solely a function of the neutron flux, U content, and decay rates. The neutron production rate and physical and chemical parameters that control the in situ neutron flux were measured in several samples. Neutron transport modeling of the sample environs using the MCNP code indicated that about half of the samples showed apparent excesses of 99 Tc and 239 Pu beyond the amounts predicted for secular equilibrium. Although production by neutron-capture on 98 Mo complicates the accuracy of the 99 Tc predictions, the excess quantities nonetheless strongly suggest the redistribution of these elements within the deposit. The failure to observe complementary deficiencies within the deposit suggests that the redistribution processes enriched the elements, removing small proportions of the elements from large uraniferous masses of rock, and concentrating them in smaller, less uraniferous, masses. The consistency of 239 Pu/U and 99 Tc/U ratios in bulk rock suggests that the redistribution processes observed at Cigar Lake are highly localized and in no case result in large-scale losses or gains of these nuclear products from the deposit as a whole.","author":[{"dropping-particle":"","family":"Curtis","given":"David","non-dropping-particle":"","parse-names":false,"suffix":""},{"dropping-particle":"","family":"Fabryka-Martin","given":"June","non-dropping-particle":"","parse-names":false,"suffix":""},{"dropping-particle":"","family":"Dixon","given":"Paul","non-dropping-particle":"","parse-names":false,"suffix":""},{"dropping-particle":"","family":"Cramer","given":"Jan","non-dropping-particle":"","parse-names":false,"suffix":""}],"id":"ITEM-1","issued":{"date-parts":[["1999"]]},"title":"Nature's uncommon elements: Plutonium and technetium","type":"report"},"uris":["http://www.mendeley.com/documents/?uuid=016a01cd-560f-3ab5-b1a0-03122f66ff1e"]}],"mendeley":{"formattedCitation":"[76]","plainTextFormattedCitation":"[76]","previouslyFormattedCitation":"[76]"},"properties":{"noteIndex":0},"schema":"https://github.com/citation-style-language/schema/raw/master/csl-citation.json"}</w:instrText>
      </w:r>
      <w:r w:rsidR="00810FA1">
        <w:rPr>
          <w:sz w:val="24"/>
        </w:rPr>
        <w:fldChar w:fldCharType="separate"/>
      </w:r>
      <w:r w:rsidR="000B0F18" w:rsidRPr="000B0F18">
        <w:rPr>
          <w:noProof/>
          <w:sz w:val="24"/>
        </w:rPr>
        <w:t>[76]</w:t>
      </w:r>
      <w:r w:rsidR="00810FA1">
        <w:rPr>
          <w:sz w:val="24"/>
        </w:rPr>
        <w:fldChar w:fldCharType="end"/>
      </w:r>
      <w:r w:rsidR="00810FA1">
        <w:rPr>
          <w:sz w:val="24"/>
        </w:rPr>
        <w:t xml:space="preserve"> </w:t>
      </w:r>
      <w:r>
        <w:rPr>
          <w:sz w:val="24"/>
        </w:rPr>
        <w:t xml:space="preserve">on </w:t>
      </w:r>
      <w:r w:rsidR="00A36368">
        <w:rPr>
          <w:sz w:val="24"/>
        </w:rPr>
        <w:t xml:space="preserve">soil </w:t>
      </w:r>
      <w:r>
        <w:rPr>
          <w:sz w:val="24"/>
        </w:rPr>
        <w:t>samples taken from Cigar Lake and Koongarra in Australia support the standards with a range of 2</w:t>
      </w:r>
      <w:r w:rsidR="00CB217B">
        <w:rPr>
          <w:sz w:val="24"/>
        </w:rPr>
        <w:t xml:space="preserve"> fg/g (~0.005 Bq/kg) to </w:t>
      </w:r>
      <w:r>
        <w:rPr>
          <w:sz w:val="24"/>
        </w:rPr>
        <w:t>6200 fg/g</w:t>
      </w:r>
      <w:r w:rsidR="00CB217B">
        <w:rPr>
          <w:sz w:val="24"/>
        </w:rPr>
        <w:t xml:space="preserve"> (~15.37 Bq/kg)</w:t>
      </w:r>
      <w:r>
        <w:rPr>
          <w:sz w:val="24"/>
        </w:rPr>
        <w:t xml:space="preserve"> of </w:t>
      </w:r>
      <w:r w:rsidRPr="00D34902">
        <w:rPr>
          <w:sz w:val="24"/>
          <w:vertAlign w:val="superscript"/>
        </w:rPr>
        <w:t>239</w:t>
      </w:r>
      <w:r>
        <w:rPr>
          <w:sz w:val="24"/>
        </w:rPr>
        <w:t>Pu</w:t>
      </w:r>
      <w:r w:rsidR="006077E6">
        <w:rPr>
          <w:sz w:val="24"/>
        </w:rPr>
        <w:t>.</w:t>
      </w:r>
    </w:p>
    <w:p w14:paraId="303D228C" w14:textId="77777777" w:rsidR="006077E6" w:rsidRDefault="006077E6">
      <w:pPr>
        <w:rPr>
          <w:sz w:val="24"/>
        </w:rPr>
      </w:pPr>
      <w:r>
        <w:rPr>
          <w:sz w:val="24"/>
        </w:rPr>
        <w:br w:type="page"/>
      </w:r>
    </w:p>
    <w:p w14:paraId="309DC74C" w14:textId="18FCAB1C" w:rsidR="00767A68" w:rsidRPr="006077E6" w:rsidRDefault="00EC6E7D" w:rsidP="006077E6">
      <w:pPr>
        <w:keepNext/>
        <w:tabs>
          <w:tab w:val="left" w:pos="3075"/>
        </w:tabs>
        <w:spacing w:line="480" w:lineRule="auto"/>
        <w:rPr>
          <w:sz w:val="24"/>
        </w:rPr>
      </w:pPr>
      <w:r>
        <w:rPr>
          <w:noProof/>
          <w:sz w:val="24"/>
          <w:lang w:eastAsia="en-GB"/>
        </w:rPr>
        <w:lastRenderedPageBreak/>
        <w:drawing>
          <wp:inline distT="0" distB="0" distL="0" distR="0" wp14:anchorId="01CF0EBE" wp14:editId="67C06434">
            <wp:extent cx="5731510" cy="4298950"/>
            <wp:effectExtent l="19050" t="19050" r="21590" b="2540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Joyce slide SD2018.png"/>
                    <pic:cNvPicPr/>
                  </pic:nvPicPr>
                  <pic:blipFill>
                    <a:blip r:embed="rId49">
                      <a:extLst>
                        <a:ext uri="{28A0092B-C50C-407E-A947-70E740481C1C}">
                          <a14:useLocalDpi xmlns:a14="http://schemas.microsoft.com/office/drawing/2010/main" val="0"/>
                        </a:ext>
                      </a:extLst>
                    </a:blip>
                    <a:stretch>
                      <a:fillRect/>
                    </a:stretch>
                  </pic:blipFill>
                  <pic:spPr>
                    <a:xfrm>
                      <a:off x="0" y="0"/>
                      <a:ext cx="5731510" cy="4298950"/>
                    </a:xfrm>
                    <a:prstGeom prst="rect">
                      <a:avLst/>
                    </a:prstGeom>
                    <a:ln>
                      <a:solidFill>
                        <a:schemeClr val="tx1"/>
                      </a:solidFill>
                    </a:ln>
                  </pic:spPr>
                </pic:pic>
              </a:graphicData>
            </a:graphic>
          </wp:inline>
        </w:drawing>
      </w:r>
    </w:p>
    <w:p w14:paraId="2FF37BDD" w14:textId="61FB3519" w:rsidR="00767A68" w:rsidRPr="008B2B75" w:rsidRDefault="00767A68" w:rsidP="008B2B75">
      <w:pPr>
        <w:pStyle w:val="Caption"/>
        <w:jc w:val="center"/>
        <w:rPr>
          <w:sz w:val="20"/>
        </w:rPr>
      </w:pPr>
      <w:r w:rsidRPr="008B2B75">
        <w:rPr>
          <w:sz w:val="20"/>
        </w:rPr>
        <w:t xml:space="preserve">Figure </w:t>
      </w:r>
      <w:r w:rsidRPr="008B2B75">
        <w:rPr>
          <w:sz w:val="20"/>
        </w:rPr>
        <w:fldChar w:fldCharType="begin"/>
      </w:r>
      <w:r w:rsidRPr="008B2B75">
        <w:rPr>
          <w:sz w:val="20"/>
        </w:rPr>
        <w:instrText xml:space="preserve"> SEQ Figure \* ARABIC </w:instrText>
      </w:r>
      <w:r w:rsidRPr="008B2B75">
        <w:rPr>
          <w:sz w:val="20"/>
        </w:rPr>
        <w:fldChar w:fldCharType="separate"/>
      </w:r>
      <w:r w:rsidR="00161FDC">
        <w:rPr>
          <w:noProof/>
          <w:sz w:val="20"/>
        </w:rPr>
        <w:t>32</w:t>
      </w:r>
      <w:r w:rsidRPr="008B2B75">
        <w:rPr>
          <w:sz w:val="20"/>
        </w:rPr>
        <w:fldChar w:fldCharType="end"/>
      </w:r>
      <w:r w:rsidRPr="008B2B75">
        <w:rPr>
          <w:sz w:val="20"/>
        </w:rPr>
        <w:t xml:space="preserve"> This figure provides a graphical comparison of this work to the prior art. As explained within the figure, the comparison index is a ratio of this work to the prior art</w:t>
      </w:r>
      <w:r w:rsidR="00B60C21">
        <w:rPr>
          <w:sz w:val="20"/>
        </w:rPr>
        <w:t xml:space="preserve"> </w:t>
      </w:r>
      <w:r w:rsidR="00B60C21">
        <w:rPr>
          <w:sz w:val="20"/>
        </w:rPr>
        <w:fldChar w:fldCharType="begin" w:fldLock="1"/>
      </w:r>
      <w:r w:rsidR="00B60C21">
        <w:rPr>
          <w:sz w:val="20"/>
        </w:rPr>
        <w:instrText>ADDIN CSL_CITATION {"citationItems":[{"id":"ITEM-1","itemData":{"abstract":"Natural 99 Tc and 239 Pu were measured in ores from the Cigar Lake uranium deposit, in which U concentrations ranged from 0.3 to 55 wt%. Atomic ratios ranged from 1.4 10 12 to 51 10 12 for 99 Tc/U and 2.4 10 12 to 44 10 12 for 239 Pu/U. Measured concentrations are compared to those expected if the ores had behaved as closed systems with respect to U and its products. Under conditions of secular equilibrium in closed systems, 99 Tc and 239 Pu concentrations are solely a function of the neutron flux, U content, and decay rates. The neutron production rate and physical and chemical parameters that control the in situ neutron flux were measured in several samples. Neutron transport modeling of the sample environs using the MCNP code indicated that about half of the samples showed apparent excesses of 99 Tc and 239 Pu beyond the amounts predicted for secular equilibrium. Although production by neutron-capture on 98 Mo complicates the accuracy of the 99 Tc predictions, the excess quantities nonetheless strongly suggest the redistribution of these elements within the deposit. The failure to observe complementary deficiencies within the deposit suggests that the redistribution processes enriched the elements, removing small proportions of the elements from large uraniferous masses of rock, and concentrating them in smaller, less uraniferous, masses. The consistency of 239 Pu/U and 99 Tc/U ratios in bulk rock suggests that the redistribution processes observed at Cigar Lake are highly localized and in no case result in large-scale losses or gains of these nuclear products from the deposit as a whole.","author":[{"dropping-particle":"","family":"Curtis","given":"David","non-dropping-particle":"","parse-names":false,"suffix":""},{"dropping-particle":"","family":"Fabryka-Martin","given":"June","non-dropping-particle":"","parse-names":false,"suffix":""},{"dropping-particle":"","family":"Dixon","given":"Paul","non-dropping-particle":"","parse-names":false,"suffix":""},{"dropping-particle":"","family":"Cramer","given":"Jan","non-dropping-particle":"","parse-names":false,"suffix":""}],"id":"ITEM-1","issued":{"date-parts":[["1999"]]},"title":"Nature's uncommon elements: Plutonium and technetium","type":"report"},"uris":["http://www.mendeley.com/documents/?uuid=016a01cd-560f-3ab5-b1a0-03122f66ff1e"]}],"mendeley":{"formattedCitation":"[76]","plainTextFormattedCitation":"[76]","previouslyFormattedCitation":"[76]"},"properties":{"noteIndex":0},"schema":"https://github.com/citation-style-language/schema/raw/master/csl-citation.json"}</w:instrText>
      </w:r>
      <w:r w:rsidR="00B60C21">
        <w:rPr>
          <w:sz w:val="20"/>
        </w:rPr>
        <w:fldChar w:fldCharType="separate"/>
      </w:r>
      <w:r w:rsidR="00B60C21" w:rsidRPr="00B60C21">
        <w:rPr>
          <w:i w:val="0"/>
          <w:noProof/>
          <w:sz w:val="20"/>
        </w:rPr>
        <w:t>[76]</w:t>
      </w:r>
      <w:r w:rsidR="00B60C21">
        <w:rPr>
          <w:sz w:val="20"/>
        </w:rPr>
        <w:fldChar w:fldCharType="end"/>
      </w:r>
      <w:r w:rsidR="00B60C21">
        <w:rPr>
          <w:sz w:val="20"/>
        </w:rPr>
        <w:fldChar w:fldCharType="begin" w:fldLock="1"/>
      </w:r>
      <w:r w:rsidR="00B60C21">
        <w:rPr>
          <w:sz w:val="20"/>
        </w:rPr>
        <w:instrText>ADDIN CSL_CITATION {"citationItems":[{"id":"ITEM-1","itemData":{"DOI":"10.1269/jrr.21.83","author":[{"dropping-particle":"","family":"Harley","given":"John H.","non-dropping-particle":"","parse-names":false,"suffix":""}],"container-title":"Journal of Radiation Research","id":"ITEM-1","issue":"1","issued":{"date-parts":[["1980","3","1"]]},"page":"83-104","publisher":"Oxford University Press","title":"Plutonium in the environment - A review.","type":"article-journal","volume":"21"},"uris":["http://www.mendeley.com/documents/?uuid=c990a509-c59f-3071-8507-a0ef46b2e995"]}],"mendeley":{"formattedCitation":"[75]","plainTextFormattedCitation":"[75]","previouslyFormattedCitation":"[75]"},"properties":{"noteIndex":0},"schema":"https://github.com/citation-style-language/schema/raw/master/csl-citation.json"}</w:instrText>
      </w:r>
      <w:r w:rsidR="00B60C21">
        <w:rPr>
          <w:sz w:val="20"/>
        </w:rPr>
        <w:fldChar w:fldCharType="separate"/>
      </w:r>
      <w:r w:rsidR="00B60C21" w:rsidRPr="00B60C21">
        <w:rPr>
          <w:i w:val="0"/>
          <w:noProof/>
          <w:sz w:val="20"/>
        </w:rPr>
        <w:t>[75]</w:t>
      </w:r>
      <w:r w:rsidR="00B60C21">
        <w:rPr>
          <w:sz w:val="20"/>
        </w:rPr>
        <w:fldChar w:fldCharType="end"/>
      </w:r>
      <w:r w:rsidR="00B60C21">
        <w:rPr>
          <w:sz w:val="20"/>
        </w:rPr>
        <w:fldChar w:fldCharType="begin" w:fldLock="1"/>
      </w:r>
      <w:r w:rsidR="00B60C21">
        <w:rPr>
          <w:sz w:val="20"/>
        </w:rPr>
        <w:instrText>ADDIN CSL_CITATION {"citationItems":[{"id":"ITEM-1","itemData":{"DOI":"10.1016/j.jenvrad.2018.08.003","abstract":"236 U, 239 Pu and 240 Pu are present in soils mainly as a result of the local-and global-fallout from the atmospheric nuclear weapons tests carried out mainly in the 1950's and 1960's. In this work we provide new data on the presence of 236 U and 239,240 Pu in surface soils (i.e. up to 5 cm depth) from Chile and Africa. The results were obtained by low-energy Accelerator Mass Spectrometry (AMS). In the case of the Chilean samples, 236 U/ 239 Pu atom ratios show a high variability and are in general higher than the reported value for the global fallout in the Northern Hemisphere, ranging from 0.2 to 1.5. The 236 U atomic concentrations range from 3.5 × 10 6 to 9.1 × 10 6 atoms/g, and are at least two orders of magnitude lower than the reported values in the Northern Hemisphere. The measured 240 Pu/ 239 Pu atom ratio in soils from South-Africa and Mozambique are of about 0.17, in agreement with the expected one for global-fallout at those coordinates. To best knowledge of the authors the present work is the first publication on 236 U concentrations and 236 U/ 239 Pu atom ratios in soils from South-America and Africa.","author":[{"dropping-particle":"","family":"Salmani-Ghabeshi","given":"S","non-dropping-particle":"","parse-names":false,"suffix":""},{"dropping-particle":"","family":"Chamizo","given":"E","non-dropping-particle":"","parse-names":false,"suffix":""},{"dropping-particle":"","family":"Christl","given":"M","non-dropping-particle":"","parse-names":false,"suffix":""},{"dropping-particle":"","family":"Miró","given":"C","non-dropping-particle":"","parse-names":false,"suffix":""},{"dropping-particle":"","family":"Pinilla-Gil","given":"E","non-dropping-particle":"","parse-names":false,"suffix":""},{"dropping-particle":"","family":"Cereceda-Balic","given":"F","non-dropping-particle":"","parse-names":false,"suffix":""}],"container-title":"Journal of Environmental Radioactivity","id":"ITEM-1","issued":{"date-parts":[["2018"]]},"page":"478-484","title":"Presence of 236 U and 239,240 Pu in soils from Southern Hemisphere","type":"article-journal","volume":"192"},"uris":["http://www.mendeley.com/documents/?uuid=3d8601f3-9bd6-39de-b2d7-4088d087c191"]}],"mendeley":{"formattedCitation":"[73]","plainTextFormattedCitation":"[73]","previouslyFormattedCitation":"[73]"},"properties":{"noteIndex":0},"schema":"https://github.com/citation-style-language/schema/raw/master/csl-citation.json"}</w:instrText>
      </w:r>
      <w:r w:rsidR="00B60C21">
        <w:rPr>
          <w:sz w:val="20"/>
        </w:rPr>
        <w:fldChar w:fldCharType="separate"/>
      </w:r>
      <w:r w:rsidR="00B60C21" w:rsidRPr="00B60C21">
        <w:rPr>
          <w:i w:val="0"/>
          <w:noProof/>
          <w:sz w:val="20"/>
        </w:rPr>
        <w:t>[73]</w:t>
      </w:r>
      <w:r w:rsidR="00B60C21">
        <w:rPr>
          <w:sz w:val="20"/>
        </w:rPr>
        <w:fldChar w:fldCharType="end"/>
      </w:r>
      <w:r w:rsidR="00B60C21">
        <w:rPr>
          <w:sz w:val="20"/>
        </w:rPr>
        <w:fldChar w:fldCharType="begin" w:fldLock="1"/>
      </w:r>
      <w:r w:rsidR="00B60C21">
        <w:rPr>
          <w:sz w:val="20"/>
        </w:rPr>
        <w:instrText xml:space="preserve">ADDIN CSL_CITATION {"citationItems":[{"id":"ITEM-1","itemData":{"DOI":"10.1021/es504147d","abstract":"This work presents the findings of a long-term plutonium (Pu) study at Savannah River Site (SRS) conducted between 2003 and 2013. Terrestrial environmental samples were obtained at the Savannah River National Laboratory (SRNL) in the A-Area. Plutonium content and isotopic abundances were measured over this time period by α particle and thermal ionization mass spectrometry (3STIMS). We detail the complete process of the sample collection, radiochemical separation, and measurement procedure specifically targeted to trace plutonium in bulk environmental samples. Total plutonium activities were determined to be not significantly above atmospheric global fallout. However, the 238 Pu/ 239+240 Pu activity ratios attributed to SRS are substantially different than fallout due to past 238 Pu production on the site. The 240 Pu/ 239 Pu atom ratios are reasonably consistent from year to year and are lower than fallout indicating an admixture of weapons-grade material, while the 242 Pu/ 239 Pu atom ratios are higher than fallout values, again due to actinide production activities. Overall, the plutonium signatures obtained in this study reflect a distinctive mixture of weapons-grade, heat source, and higher burn-up plutonium with fallout material. This study provides a unique opportunity for developing and demonstrating a blue print for long-term low-level monitoring of trace plutonium in the environment. </w:instrText>
      </w:r>
      <w:r w:rsidR="00B60C21">
        <w:rPr>
          <w:rFonts w:ascii="Arial" w:hAnsi="Arial" w:cs="Arial"/>
          <w:sz w:val="20"/>
        </w:rPr>
        <w:instrText>■</w:instrText>
      </w:r>
      <w:r w:rsidR="00B60C21">
        <w:rPr>
          <w:sz w:val="20"/>
        </w:rPr>
        <w:instrText xml:space="preserve"> INTRODUCTION Background. The Savannah River Site (SRS), formerly the Savannah River Plant (SRP), began operation in the early 1950s. The site, located close to the Savannah River in South Carolina (Figure 1), encompasses roughly 830 km 2. Its primary function was to produce special nuclear materials for national defense, specifically weapons-grade plutonium (Pu) and tritium (3 H) required for thermonuclear devices. 1 Therefore, these were the major materials produced at SRS in the first several decades of operation. At its peak, five heavy water moderated reactors (Figure 1), fueled with highly enriched uranium, were operated for isotope production. Targets placed inside these high-flux reactors contained lithium (6 Li) to produce tritium and depleted uranium to make weapons-grade (240 Pu concentration of less than 7%) plutonium. Over its history, the site produced metric tons of plutonium comprising Pu isotopes with masses of 238 through 244. The unique versatility of the SRS reactors for isotope production was also exploited for production of other actinide mate…","author":[{"dropping-particle":"","family":"Armstrong","given":"Christopher R","non-dropping-particle":"","parse-names":false,"suffix":""},{"dropping-particle":"","family":"Nuessle","given":"Patterson R","non-dropping-particle":"","parse-names":false,"suffix":""},{"dropping-particle":"","family":"Brant","given":"Heather A","non-dropping-particle":"","parse-names":false,"suffix":""},{"dropping-particle":"","family":"Hall","given":"Gregory","non-dropping-particle":"","parse-names":false,"suffix":""},{"dropping-particle":"","family":"Halverson","given":"Justin E","non-dropping-particle":"","parse-names":false,"suffix":""},{"dropping-particle":"","family":"Cadieux","given":"James R","non-dropping-particle":"","parse-names":false,"suffix":""}],"container-title":"Environmental Science and Technology","id":"ITEM-1","issue":"3","issued":{"date-parts":[["2015"]]},"page":"1286-1293","title":"Plutonium Isotopes in the Terrestrial Environment at the Savannah River Site, USA: A Long-Term Study","type":"article-journal","volume":"49"},"uris":["http://www.mendeley.com/documents/?uuid=0699ef60-2756-3a62-88e2-156b2b9c84b7"]}],"mendeley":{"formattedCitation":"[74]","plainTextFormattedCitation":"[74]","previouslyFormattedCitation":"[74]"},"properties":{"noteIndex":0},"schema":"https://github.com/citation-style-language/schema/raw/master/csl-citation.json"}</w:instrText>
      </w:r>
      <w:r w:rsidR="00B60C21">
        <w:rPr>
          <w:sz w:val="20"/>
        </w:rPr>
        <w:fldChar w:fldCharType="separate"/>
      </w:r>
      <w:r w:rsidR="00B60C21" w:rsidRPr="00B60C21">
        <w:rPr>
          <w:i w:val="0"/>
          <w:noProof/>
          <w:sz w:val="20"/>
        </w:rPr>
        <w:t>[74]</w:t>
      </w:r>
      <w:r w:rsidR="00B60C21">
        <w:rPr>
          <w:sz w:val="20"/>
        </w:rPr>
        <w:fldChar w:fldCharType="end"/>
      </w:r>
      <w:r w:rsidR="00B60C21">
        <w:rPr>
          <w:sz w:val="20"/>
        </w:rPr>
        <w:fldChar w:fldCharType="begin" w:fldLock="1"/>
      </w:r>
      <w:r w:rsidR="00B60C21">
        <w:rPr>
          <w:sz w:val="20"/>
        </w:rPr>
        <w:instrText>ADDIN CSL_CITATION {"citationItems":[{"id":"ITEM-1","itemData":{"DOI":"10.1016/1044-0305(91)80050-H","ISSN":"1044-0305","abstract":"A thermal ionization mass specfrometric procedure was developed for determination of 240/239 ratios in subpicogram quantities of plutonium (RI), and was applied to l?u extracted from Lake Ontario sediment. The detection limit was - 4 fg of Pu and the precision of 240/239 ratio measurement was - 7% in the 0.07-0.42 pg range. Results of sediment analyses at various depths showed in all cases X0/239 ratios near the mean global fallout value of 0.176 f 0.014. The lack of variability of the ratios with depth negated the use of Pu, present in excess in the near-surface samples due to leakage from a nearby reprocessing plant, as a geochronological meter. The 240/239 ratio of the leakage Pu appeared to be very similar to that of fallout Pu. (I Am Sot Mass Spectrom 1991, 2, 240-244)","author":[{"dropping-particle":"","family":"Green","given":"L. W.","non-dropping-particle":"","parse-names":false,"suffix":""},{"dropping-particle":"","family":"Miller","given":"F. C.","non-dropping-particle":"","parse-names":false,"suffix":""},{"dropping-particle":"","family":"Sparling","given":"J. A.","non-dropping-particle":"","parse-names":false,"suffix":""},{"dropping-particle":"","family":"Joshi","given":"S. R.","non-dropping-particle":"","parse-names":false,"suffix":""}],"container-title":"Journal of the American Society for Mass Spectrometry","id":"ITEM-1","issue":"3","issued":{"date-parts":[["1991","5"]]},"page":"240-244","title":"Determination of plutonium 240/239 ratios in Lake Ontario sediments","type":"article-journal","volume":"2"},"uris":["http://www.mendeley.com/documents/?uuid=edbf03e3-ee36-3060-b13e-0794aa1c4f73"]}],"mendeley":{"formattedCitation":"[77]","plainTextFormattedCitation":"[77]","previouslyFormattedCitation":"[77]"},"properties":{"noteIndex":0},"schema":"https://github.com/citation-style-language/schema/raw/master/csl-citation.json"}</w:instrText>
      </w:r>
      <w:r w:rsidR="00B60C21">
        <w:rPr>
          <w:sz w:val="20"/>
        </w:rPr>
        <w:fldChar w:fldCharType="separate"/>
      </w:r>
      <w:r w:rsidR="00B60C21" w:rsidRPr="00B60C21">
        <w:rPr>
          <w:i w:val="0"/>
          <w:noProof/>
          <w:sz w:val="20"/>
        </w:rPr>
        <w:t>[77]</w:t>
      </w:r>
      <w:r w:rsidR="00B60C21">
        <w:rPr>
          <w:sz w:val="20"/>
        </w:rPr>
        <w:fldChar w:fldCharType="end"/>
      </w:r>
      <w:r w:rsidR="00B60C21">
        <w:rPr>
          <w:sz w:val="20"/>
        </w:rPr>
        <w:fldChar w:fldCharType="begin" w:fldLock="1"/>
      </w:r>
      <w:r w:rsidR="00B60C21">
        <w:rPr>
          <w:sz w:val="20"/>
        </w:rPr>
        <w:instrText>ADDIN CSL_CITATION {"citationItems":[{"id":"ITEM-1","itemData":{"abstract":"Inventories and compositions of Pu isotopes and 237 Np in archived soil samples collected in the 1970s from 54 locations around the world were determined to provide regional baselines for recognizing possible future environ-Ž. mental inputs of non-fallout Pu and Np. As sample sizes used in this work were small typically 1 g , inhomogeneities in Pu and Np concentrations were easily recognizable and, as a result, we were able to determine that atypical debris in South America, from French testing in the South Pacific, is more widely and uniformly distributed than previously supposed. From our results we conclude that fallout 237 Npr 239 Pu atom ratios are generally lower in the Southern Ž. Ž. 237 239 Hemisphere ; 0.35 than in the Northern Hemisphere ; 0.47. Moreover, Npr Pu atom ratios are more device-dependent, hence more variable, than counterpart 240 Pur 239 Pu atom ratios. Given predictable trends caused Ž by sample inhomogeneities, with only two exceptions, the Pu results of this work are entirely consistent with and in. several instances improve on results previously reported for these same samples. However, unlike earlier interpretations used to explain these results, we recommend that fallout isotopic signatures be represented by mixing lines, rather than averages, to better reflect regional variations of stratospheric fallout inventories relative to tropospheric fallout inventories, and provide the theoretical basis for doing so. Finally, the Np results of this work constitute one of the largest single compilations of such data reported to date.","author":[{"dropping-particle":"","family":"Kelley","given":"J M","non-dropping-particle":"","parse-names":false,"suffix":""},{"dropping-particle":"","family":"Bond","given":"L A","non-dropping-particle":"","parse-names":false,"suffix":""},{"dropping-particle":"","family":"Beasley","given":"T M","non-dropping-particle":"","parse-names":false,"suffix":""}],"container-title":"The Science of the Total Environment","id":"ITEM-1","issue":"238","issued":{"date-parts":[["1999"]]},"number-of-pages":"483500","title":"Global distribution of Pu isotopes and 237 Np","type":"report","volume":"237"},"uris":["http://www.mendeley.com/documents/?uuid=6bb94c09-1d06-3907-8d77-ebc337d293ca"]}],"mendeley":{"formattedCitation":"[78]","plainTextFormattedCitation":"[78]","previouslyFormattedCitation":"[78]"},"properties":{"noteIndex":0},"schema":"https://github.com/citation-style-language/schema/raw/master/csl-citation.json"}</w:instrText>
      </w:r>
      <w:r w:rsidR="00B60C21">
        <w:rPr>
          <w:sz w:val="20"/>
        </w:rPr>
        <w:fldChar w:fldCharType="separate"/>
      </w:r>
      <w:r w:rsidR="00B60C21" w:rsidRPr="00B60C21">
        <w:rPr>
          <w:i w:val="0"/>
          <w:noProof/>
          <w:sz w:val="20"/>
        </w:rPr>
        <w:t>[78]</w:t>
      </w:r>
      <w:r w:rsidR="00B60C21">
        <w:rPr>
          <w:sz w:val="20"/>
        </w:rPr>
        <w:fldChar w:fldCharType="end"/>
      </w:r>
      <w:r w:rsidR="00B60C21">
        <w:rPr>
          <w:sz w:val="20"/>
        </w:rPr>
        <w:fldChar w:fldCharType="begin" w:fldLock="1"/>
      </w:r>
      <w:r w:rsidR="00B60C21">
        <w:rPr>
          <w:sz w:val="20"/>
        </w:rPr>
        <w:instrText>ADDIN CSL_CITATION {"citationItems":[{"id":"ITEM-1","itemData":{"DOI":"10.1016/S0265-931X(96)00071-9","ISSN":"0265931X","abstract":"Plutonium analyses of a dated coral record from the French Frigate Shoals in the central North Pacific indicate that there are two major sources of Pu in this basin: close-in (tropospheric) fallout from nuclear weapons testing at the Pacific Proving Grounds in the Marshall Islands in the 1950s and global (stratospheric) fallout which peaked in 1962. Furthermore, the 240Pu239Pu atom ratio of fallout from the Pacific Proving Grounds is characteristically higher (0.24) than that of global fallout Pu (0.18–0.19). Seawater and sediment samples from the North Pacific exhibit a wide range of 240Pu239Pu values (0.19–0.34), with a trend towards higher ratios in the subsurface waters and sediment. Deep water 240Pu239Pu ratios are higher in the vicinity of the Marshall Islands relative to stations further from this close-in fallout source. These preliminary data suggest that fallout Pu from the Pacific Proving Grounds is more rapidly removed from the surface waters than is global fallout Pu. Plutonium geochemistry appears to be related to the physical/chemical form of Pu-bearing particles generated by different fallout sources.","author":[{"dropping-particle":"","family":"Buesseler","given":"Ken O.","non-dropping-particle":"","parse-names":false,"suffix":""}],"container-title":"Journal of Environmental Radioactivity","id":"ITEM-1","issue":"1","issued":{"date-parts":[["1997","1","1"]]},"page":"69-83","publisher":"Elsevier","title":"The isotopic signature of fallout plutonium in the North Pacific","type":"article-journal","volume":"36"},"uris":["http://www.mendeley.com/documents/?uuid=630f757b-11dd-3f59-888f-123da84f5ebb"]}],"mendeley":{"formattedCitation":"[79]","plainTextFormattedCitation":"[79]","previouslyFormattedCitation":"[79]"},"properties":{"noteIndex":0},"schema":"https://github.com/citation-style-language/schema/raw/master/csl-citation.json"}</w:instrText>
      </w:r>
      <w:r w:rsidR="00B60C21">
        <w:rPr>
          <w:sz w:val="20"/>
        </w:rPr>
        <w:fldChar w:fldCharType="separate"/>
      </w:r>
      <w:r w:rsidR="00B60C21" w:rsidRPr="00B60C21">
        <w:rPr>
          <w:i w:val="0"/>
          <w:noProof/>
          <w:sz w:val="20"/>
        </w:rPr>
        <w:t>[79]</w:t>
      </w:r>
      <w:r w:rsidR="00B60C21">
        <w:rPr>
          <w:sz w:val="20"/>
        </w:rPr>
        <w:fldChar w:fldCharType="end"/>
      </w:r>
      <w:r w:rsidR="00B60C21">
        <w:rPr>
          <w:sz w:val="20"/>
        </w:rPr>
        <w:fldChar w:fldCharType="begin" w:fldLock="1"/>
      </w:r>
      <w:r w:rsidR="009F2045">
        <w:rPr>
          <w:sz w:val="20"/>
        </w:rPr>
        <w:instrText>ADDIN CSL_CITATION {"citationItems":[{"id":"ITEM-1","itemData":{"DOI":"10.1021/ja01151a085","abstract":"Plutonium has been chemically separated from seven different ores and the ratios of plutonium to uranium determined","author":[{"dropping-particle":"","family":"Levine","given":"Charles A","non-dropping-particle":"","parse-names":false,"suffix":""},{"dropping-particle":"","family":"Seaborg Vol","given":"Glenn T","non-dropping-particle":"","parse-names":false,"suffix":""},{"dropping-particle":"","family":"Charles Levine","given":"By A","non-dropping-particle":"","parse-names":false,"suffix":""},{"dropping-particle":"","family":"Seaborg","given":"Glenn T","non-dropping-particle":"","parse-names":false,"suffix":""}],"container-title":"Journal of the American Chemical Society","id":"ITEM-1","issue":"73","issued":{"date-parts":[["1951"]]},"page":"3278-3283","title":"The Occurrence of Plutonium in Nature","type":"article-journal","volume":"7"},"uris":["http://www.mendeley.com/documents/?uuid=92a8e4f5-348d-3c1a-806e-e910c5bd191f"]}],"mendeley":{"formattedCitation":"[72]","plainTextFormattedCitation":"[72]","previouslyFormattedCitation":"[72]"},"properties":{"noteIndex":0},"schema":"https://github.com/citation-style-language/schema/raw/master/csl-citation.json"}</w:instrText>
      </w:r>
      <w:r w:rsidR="00B60C21">
        <w:rPr>
          <w:sz w:val="20"/>
        </w:rPr>
        <w:fldChar w:fldCharType="separate"/>
      </w:r>
      <w:r w:rsidR="00B60C21" w:rsidRPr="00B60C21">
        <w:rPr>
          <w:i w:val="0"/>
          <w:noProof/>
          <w:sz w:val="20"/>
        </w:rPr>
        <w:t>[72]</w:t>
      </w:r>
      <w:r w:rsidR="00B60C21">
        <w:rPr>
          <w:sz w:val="20"/>
        </w:rPr>
        <w:fldChar w:fldCharType="end"/>
      </w:r>
      <w:r w:rsidRPr="008B2B75">
        <w:rPr>
          <w:sz w:val="20"/>
        </w:rPr>
        <w:t xml:space="preserve">. The figure is a slide taken from the presentation of the work at Plutonium Futures, San Diego, 2018 </w:t>
      </w:r>
      <w:r w:rsidR="00E510BC">
        <w:rPr>
          <w:sz w:val="20"/>
        </w:rPr>
        <w:fldChar w:fldCharType="begin" w:fldLock="1"/>
      </w:r>
      <w:r w:rsidR="006F1462">
        <w:rPr>
          <w:sz w:val="20"/>
        </w:rPr>
        <w:instrText>ADDIN CSL_CITATION {"citationItems":[{"id":"ITEM-1","itemData":{"author":[{"dropping-particle":"","family":"Joyce","given":"Malcolm J.","non-dropping-particle":"","parse-names":false,"suffix":""},{"dropping-particle":"","family":"Tighe","given":"Chris","non-dropping-particle":"","parse-names":false,"suffix":""},{"dropping-particle":"","family":"Christl","given":"Marcus","non-dropping-particle":"","parse-names":false,"suffix":""},{"dropping-particle":"","family":"Castrillejo","given":"Maxi","non-dropping-particle":"","parse-names":false,"suffix":""},{"dropping-particle":"","family":"Degueldre","given":"Claude","non-dropping-particle":"","parse-names":false,"suffix":""},{"dropping-particle":"","family":"Semple","given":"Kirk","non-dropping-particle":"","parse-names":false,"suffix":""},{"dropping-particle":"","family":"Andrew","given":"Jeremy","non-dropping-particle":"","parse-names":false,"suffix":""}],"container-title":"Actinides Research Quarterly","editor":[{"dropping-particle":"","family":"Owen","given":"Summerscales","non-dropping-particle":"","parse-names":false,"suffix":""},{"dropping-particle":"","family":"Ramsay","given":"Susan","non-dropping-particle":"","parse-names":false,"suffix":""}],"id":"ITEM-1","issued":{"date-parts":[["2019"]]},"page":"27-30","publisher":"Los Alamos National Laboratory","title":"Searching for Zero Plutonium in the Far North of Scotland","type":"paper-conference"},"uris":["http://www.mendeley.com/documents/?uuid=ab40ae12-0cec-4cb6-975e-98ab2667ffac"]}],"mendeley":{"formattedCitation":"[80]","plainTextFormattedCitation":"[80]","previouslyFormattedCitation":"[80]"},"properties":{"noteIndex":0},"schema":"https://github.com/citation-style-language/schema/raw/master/csl-citation.json"}</w:instrText>
      </w:r>
      <w:r w:rsidR="00E510BC">
        <w:rPr>
          <w:sz w:val="20"/>
        </w:rPr>
        <w:fldChar w:fldCharType="separate"/>
      </w:r>
      <w:r w:rsidR="00E510BC" w:rsidRPr="00E510BC">
        <w:rPr>
          <w:i w:val="0"/>
          <w:noProof/>
          <w:sz w:val="20"/>
        </w:rPr>
        <w:t>[80]</w:t>
      </w:r>
      <w:r w:rsidR="00E510BC">
        <w:rPr>
          <w:sz w:val="20"/>
        </w:rPr>
        <w:fldChar w:fldCharType="end"/>
      </w:r>
    </w:p>
    <w:p w14:paraId="34E6E2A4" w14:textId="20890676" w:rsidR="00F37CA9" w:rsidRDefault="00F37CA9" w:rsidP="00F37CA9">
      <w:pPr>
        <w:tabs>
          <w:tab w:val="left" w:pos="3075"/>
        </w:tabs>
        <w:spacing w:line="480" w:lineRule="auto"/>
        <w:ind w:firstLine="567"/>
        <w:rPr>
          <w:sz w:val="24"/>
        </w:rPr>
      </w:pPr>
      <w:r>
        <w:rPr>
          <w:sz w:val="24"/>
        </w:rPr>
        <w:t xml:space="preserve">Further, Kelley et al report </w:t>
      </w:r>
      <w:r w:rsidRPr="00D34902">
        <w:rPr>
          <w:sz w:val="24"/>
          <w:vertAlign w:val="superscript"/>
        </w:rPr>
        <w:t>239</w:t>
      </w:r>
      <w:r>
        <w:rPr>
          <w:sz w:val="24"/>
        </w:rPr>
        <w:t>Pu measurements of soil samples taken from Wick, Scotland, which measure at 1.29</w:t>
      </w:r>
      <w:r w:rsidRPr="002A11B7">
        <w:rPr>
          <w:rFonts w:cstheme="minorHAnsi"/>
          <w:sz w:val="24"/>
        </w:rPr>
        <w:t>±</w:t>
      </w:r>
      <w:r>
        <w:rPr>
          <w:rFonts w:cstheme="minorHAnsi"/>
          <w:sz w:val="24"/>
        </w:rPr>
        <w:t>0.02 pg/g</w:t>
      </w:r>
      <w:r w:rsidR="00CB217B">
        <w:rPr>
          <w:rFonts w:cstheme="minorHAnsi"/>
          <w:sz w:val="24"/>
        </w:rPr>
        <w:t xml:space="preserve"> (~3.20 Bq/kg)</w:t>
      </w:r>
      <w:r>
        <w:rPr>
          <w:rFonts w:cstheme="minorHAnsi"/>
          <w:sz w:val="24"/>
        </w:rPr>
        <w:t xml:space="preserve"> </w:t>
      </w:r>
      <w:r w:rsidRPr="00D34902">
        <w:rPr>
          <w:sz w:val="24"/>
          <w:vertAlign w:val="superscript"/>
        </w:rPr>
        <w:t>239</w:t>
      </w:r>
      <w:r>
        <w:rPr>
          <w:sz w:val="24"/>
        </w:rPr>
        <w:t>Pu abundance</w:t>
      </w:r>
      <w:r w:rsidR="00810FA1">
        <w:rPr>
          <w:sz w:val="24"/>
        </w:rPr>
        <w:t xml:space="preserve"> </w:t>
      </w:r>
      <w:r w:rsidR="00810FA1">
        <w:rPr>
          <w:sz w:val="24"/>
        </w:rPr>
        <w:fldChar w:fldCharType="begin" w:fldLock="1"/>
      </w:r>
      <w:r w:rsidR="00B60C21">
        <w:rPr>
          <w:sz w:val="24"/>
        </w:rPr>
        <w:instrText>ADDIN CSL_CITATION {"citationItems":[{"id":"ITEM-1","itemData":{"abstract":"Inventories and compositions of Pu isotopes and 237 Np in archived soil samples collected in the 1970s from 54 locations around the world were determined to provide regional baselines for recognizing possible future environ-Ž. mental inputs of non-fallout Pu and Np. As sample sizes used in this work were small typically 1 g , inhomogeneities in Pu and Np concentrations were easily recognizable and, as a result, we were able to determine that atypical debris in South America, from French testing in the South Pacific, is more widely and uniformly distributed than previously supposed. From our results we conclude that fallout 237 Npr 239 Pu atom ratios are generally lower in the Southern Ž. Ž. 237 239 Hemisphere ; 0.35 than in the Northern Hemisphere ; 0.47. Moreover, Npr Pu atom ratios are more device-dependent, hence more variable, than counterpart 240 Pur 239 Pu atom ratios. Given predictable trends caused Ž by sample inhomogeneities, with only two exceptions, the Pu results of this work are entirely consistent with and in. several instances improve on results previously reported for these same samples. However, unlike earlier interpretations used to explain these results, we recommend that fallout isotopic signatures be represented by mixing lines, rather than averages, to better reflect regional variations of stratospheric fallout inventories relative to tropospheric fallout inventories, and provide the theoretical basis for doing so. Finally, the Np results of this work constitute one of the largest single compilations of such data reported to date.","author":[{"dropping-particle":"","family":"Kelley","given":"J M","non-dropping-particle":"","parse-names":false,"suffix":""},{"dropping-particle":"","family":"Bond","given":"L A","non-dropping-particle":"","parse-names":false,"suffix":""},{"dropping-particle":"","family":"Beasley","given":"T M","non-dropping-particle":"","parse-names":false,"suffix":""}],"container-title":"The Science of the Total Environment","id":"ITEM-1","issue":"238","issued":{"date-parts":[["1999"]]},"number-of-pages":"483500","title":"Global distribution of Pu isotopes and 237 Np","type":"report","volume":"237"},"uris":["http://www.mendeley.com/documents/?uuid=6bb94c09-1d06-3907-8d77-ebc337d293ca"]}],"mendeley":{"formattedCitation":"[78]","plainTextFormattedCitation":"[78]","previouslyFormattedCitation":"[78]"},"properties":{"noteIndex":0},"schema":"https://github.com/citation-style-language/schema/raw/master/csl-citation.json"}</w:instrText>
      </w:r>
      <w:r w:rsidR="00810FA1">
        <w:rPr>
          <w:sz w:val="24"/>
        </w:rPr>
        <w:fldChar w:fldCharType="separate"/>
      </w:r>
      <w:r w:rsidR="00B60C21" w:rsidRPr="00B60C21">
        <w:rPr>
          <w:noProof/>
          <w:sz w:val="24"/>
        </w:rPr>
        <w:t>[78]</w:t>
      </w:r>
      <w:r w:rsidR="00810FA1">
        <w:rPr>
          <w:sz w:val="24"/>
        </w:rPr>
        <w:fldChar w:fldCharType="end"/>
      </w:r>
      <w:r>
        <w:rPr>
          <w:sz w:val="24"/>
        </w:rPr>
        <w:t xml:space="preserve">, </w:t>
      </w:r>
      <w:r w:rsidR="00CB217B">
        <w:rPr>
          <w:sz w:val="24"/>
        </w:rPr>
        <w:t xml:space="preserve">more than </w:t>
      </w:r>
      <w:r>
        <w:rPr>
          <w:sz w:val="24"/>
        </w:rPr>
        <w:t>double the average reported on the Dounreay site.</w:t>
      </w:r>
    </w:p>
    <w:p w14:paraId="18916C39" w14:textId="52460BA3" w:rsidR="00F37CA9" w:rsidRDefault="00F37CA9" w:rsidP="00F37CA9">
      <w:pPr>
        <w:tabs>
          <w:tab w:val="left" w:pos="3075"/>
        </w:tabs>
        <w:spacing w:line="480" w:lineRule="auto"/>
        <w:ind w:firstLine="567"/>
        <w:rPr>
          <w:sz w:val="24"/>
        </w:rPr>
      </w:pPr>
      <w:r>
        <w:rPr>
          <w:sz w:val="24"/>
        </w:rPr>
        <w:t xml:space="preserve">Lake Ontario sediments measured by Green et al demonstrate a lower range of </w:t>
      </w:r>
      <w:r>
        <w:rPr>
          <w:sz w:val="24"/>
          <w:vertAlign w:val="superscript"/>
        </w:rPr>
        <w:t>239</w:t>
      </w:r>
      <w:r>
        <w:rPr>
          <w:sz w:val="24"/>
        </w:rPr>
        <w:t>Pu abundance at 2</w:t>
      </w:r>
      <w:r w:rsidR="00CB217B">
        <w:rPr>
          <w:sz w:val="24"/>
        </w:rPr>
        <w:t xml:space="preserve"> fg/g (~0.005 Bq/kg) to </w:t>
      </w:r>
      <w:r>
        <w:rPr>
          <w:sz w:val="24"/>
        </w:rPr>
        <w:t>200 fg/g</w:t>
      </w:r>
      <w:r w:rsidR="00CB217B">
        <w:rPr>
          <w:sz w:val="24"/>
        </w:rPr>
        <w:t xml:space="preserve"> (~0.50 Bq/kg)</w:t>
      </w:r>
      <w:r w:rsidR="00810FA1">
        <w:rPr>
          <w:sz w:val="24"/>
        </w:rPr>
        <w:t xml:space="preserve"> </w:t>
      </w:r>
      <w:r w:rsidR="00810FA1">
        <w:rPr>
          <w:sz w:val="24"/>
        </w:rPr>
        <w:fldChar w:fldCharType="begin" w:fldLock="1"/>
      </w:r>
      <w:r w:rsidR="00B60C21">
        <w:rPr>
          <w:sz w:val="24"/>
        </w:rPr>
        <w:instrText>ADDIN CSL_CITATION {"citationItems":[{"id":"ITEM-1","itemData":{"DOI":"10.1016/1044-0305(91)80050-H","ISSN":"1044-0305","abstract":"A thermal ionization mass specfrometric procedure was developed for determination of 240/239 ratios in subpicogram quantities of plutonium (RI), and was applied to l?u extracted from Lake Ontario sediment. The detection limit was - 4 fg of Pu and the precision of 240/239 ratio measurement was - 7% in the 0.07-0.42 pg range. Results of sediment analyses at various depths showed in all cases X0/239 ratios near the mean global fallout value of 0.176 f 0.014. The lack of variability of the ratios with depth negated the use of Pu, present in excess in the near-surface samples due to leakage from a nearby reprocessing plant, as a geochronological meter. The 240/239 ratio of the leakage Pu appeared to be very similar to that of fallout Pu. (I Am Sot Mass Spectrom 1991, 2, 240-244)","author":[{"dropping-particle":"","family":"Green","given":"L. W.","non-dropping-particle":"","parse-names":false,"suffix":""},{"dropping-particle":"","family":"Miller","given":"F. C.","non-dropping-particle":"","parse-names":false,"suffix":""},{"dropping-particle":"","family":"Sparling","given":"J. A.","non-dropping-particle":"","parse-names":false,"suffix":""},{"dropping-particle":"","family":"Joshi","given":"S. R.","non-dropping-particle":"","parse-names":false,"suffix":""}],"container-title":"Journal of the American Society for Mass Spectrometry","id":"ITEM-1","issue":"3","issued":{"date-parts":[["1991","5"]]},"page":"240-244","title":"Determination of plutonium 240/239 ratios in Lake Ontario sediments","type":"article-journal","volume":"2"},"uris":["http://www.mendeley.com/documents/?uuid=edbf03e3-ee36-3060-b13e-0794aa1c4f73"]}],"mendeley":{"formattedCitation":"[77]","plainTextFormattedCitation":"[77]","previouslyFormattedCitation":"[77]"},"properties":{"noteIndex":0},"schema":"https://github.com/citation-style-language/schema/raw/master/csl-citation.json"}</w:instrText>
      </w:r>
      <w:r w:rsidR="00810FA1">
        <w:rPr>
          <w:sz w:val="24"/>
        </w:rPr>
        <w:fldChar w:fldCharType="separate"/>
      </w:r>
      <w:r w:rsidR="00B60C21" w:rsidRPr="00B60C21">
        <w:rPr>
          <w:noProof/>
          <w:sz w:val="24"/>
        </w:rPr>
        <w:t>[77]</w:t>
      </w:r>
      <w:r w:rsidR="00810FA1">
        <w:rPr>
          <w:sz w:val="24"/>
        </w:rPr>
        <w:fldChar w:fldCharType="end"/>
      </w:r>
      <w:r>
        <w:rPr>
          <w:sz w:val="24"/>
        </w:rPr>
        <w:t>. The difference is expected as Green’s samples were Lake sediments, and so unlikely to have the same levels of fallout deposition as soil samples like those at Dounreay or the Savannah River Site.</w:t>
      </w:r>
    </w:p>
    <w:p w14:paraId="1DF1747E" w14:textId="3A16F25B" w:rsidR="00F37CA9" w:rsidRPr="00F070EA" w:rsidRDefault="00F37CA9" w:rsidP="00F37CA9">
      <w:pPr>
        <w:tabs>
          <w:tab w:val="left" w:pos="3075"/>
        </w:tabs>
        <w:spacing w:line="480" w:lineRule="auto"/>
        <w:ind w:firstLine="567"/>
        <w:rPr>
          <w:sz w:val="24"/>
        </w:rPr>
      </w:pPr>
      <w:r>
        <w:rPr>
          <w:sz w:val="24"/>
        </w:rPr>
        <w:t xml:space="preserve">Overall, </w:t>
      </w:r>
      <w:r w:rsidR="00810FA1">
        <w:rPr>
          <w:sz w:val="24"/>
        </w:rPr>
        <w:t>the</w:t>
      </w:r>
      <w:r>
        <w:rPr>
          <w:sz w:val="24"/>
        </w:rPr>
        <w:t xml:space="preserve"> samples measured fit into the ranges of </w:t>
      </w:r>
      <w:r w:rsidRPr="00D34902">
        <w:rPr>
          <w:sz w:val="24"/>
          <w:vertAlign w:val="superscript"/>
        </w:rPr>
        <w:t>239</w:t>
      </w:r>
      <w:r>
        <w:rPr>
          <w:sz w:val="24"/>
        </w:rPr>
        <w:t>Pu abundance caused by nuclear fallout, as demonstrated by many examples from the literature.</w:t>
      </w:r>
    </w:p>
    <w:p w14:paraId="530EB893" w14:textId="77777777" w:rsidR="00F37CA9" w:rsidRPr="005A775C" w:rsidRDefault="00F37CA9" w:rsidP="00F37CA9">
      <w:pPr>
        <w:tabs>
          <w:tab w:val="left" w:pos="3075"/>
        </w:tabs>
        <w:spacing w:line="480" w:lineRule="auto"/>
        <w:rPr>
          <w:rFonts w:cstheme="minorHAnsi"/>
          <w:b/>
          <w:sz w:val="28"/>
        </w:rPr>
      </w:pPr>
      <w:r w:rsidRPr="005A775C">
        <w:rPr>
          <w:rFonts w:cstheme="minorHAnsi"/>
          <w:b/>
          <w:sz w:val="28"/>
        </w:rPr>
        <w:lastRenderedPageBreak/>
        <w:t>4.</w:t>
      </w:r>
      <w:r>
        <w:rPr>
          <w:rFonts w:cstheme="minorHAnsi"/>
          <w:b/>
          <w:sz w:val="28"/>
        </w:rPr>
        <w:t>3</w:t>
      </w:r>
      <w:r w:rsidRPr="005A775C">
        <w:rPr>
          <w:rFonts w:cstheme="minorHAnsi"/>
          <w:b/>
          <w:sz w:val="28"/>
        </w:rPr>
        <w:t xml:space="preserve">.2 </w:t>
      </w:r>
      <w:r w:rsidRPr="005A775C">
        <w:rPr>
          <w:rFonts w:cstheme="minorHAnsi"/>
          <w:b/>
          <w:sz w:val="28"/>
          <w:vertAlign w:val="superscript"/>
        </w:rPr>
        <w:t>240</w:t>
      </w:r>
      <w:r w:rsidRPr="005A775C">
        <w:rPr>
          <w:rFonts w:cstheme="minorHAnsi"/>
          <w:b/>
          <w:sz w:val="28"/>
        </w:rPr>
        <w:t>Pu</w:t>
      </w:r>
    </w:p>
    <w:p w14:paraId="5AF6D27C" w14:textId="77777777" w:rsidR="00EE3F1F" w:rsidRDefault="00EE3F1F" w:rsidP="00EE3F1F">
      <w:pPr>
        <w:tabs>
          <w:tab w:val="left" w:pos="3075"/>
        </w:tabs>
        <w:spacing w:line="480" w:lineRule="auto"/>
        <w:ind w:firstLine="567"/>
        <w:rPr>
          <w:rFonts w:cstheme="minorHAnsi"/>
          <w:sz w:val="24"/>
        </w:rPr>
      </w:pPr>
      <w:r>
        <w:rPr>
          <w:rFonts w:cstheme="minorHAnsi"/>
          <w:sz w:val="24"/>
        </w:rPr>
        <w:t xml:space="preserve">The absolute mass of </w:t>
      </w:r>
      <w:r w:rsidRPr="00F33246">
        <w:rPr>
          <w:rFonts w:cstheme="minorHAnsi"/>
          <w:sz w:val="24"/>
          <w:vertAlign w:val="superscript"/>
        </w:rPr>
        <w:t>240</w:t>
      </w:r>
      <w:r>
        <w:rPr>
          <w:rFonts w:cstheme="minorHAnsi"/>
          <w:sz w:val="24"/>
        </w:rPr>
        <w:t xml:space="preserve">Pu in samples is not widely published as a less common isotope, and it is usually combined with the mass of </w:t>
      </w:r>
      <w:r>
        <w:rPr>
          <w:rFonts w:cstheme="minorHAnsi"/>
          <w:sz w:val="24"/>
          <w:vertAlign w:val="superscript"/>
        </w:rPr>
        <w:t>239</w:t>
      </w:r>
      <w:r>
        <w:rPr>
          <w:rFonts w:cstheme="minorHAnsi"/>
          <w:sz w:val="24"/>
        </w:rPr>
        <w:t>Pu to give a ratio.</w:t>
      </w:r>
    </w:p>
    <w:p w14:paraId="76CBBF15" w14:textId="725804B3" w:rsidR="00F37CA9" w:rsidRDefault="00F37CA9" w:rsidP="00F37CA9">
      <w:pPr>
        <w:tabs>
          <w:tab w:val="left" w:pos="3075"/>
        </w:tabs>
        <w:spacing w:line="480" w:lineRule="auto"/>
        <w:ind w:firstLine="567"/>
        <w:rPr>
          <w:rFonts w:cstheme="minorHAnsi"/>
          <w:sz w:val="24"/>
        </w:rPr>
      </w:pPr>
      <w:r>
        <w:rPr>
          <w:rFonts w:cstheme="minorHAnsi"/>
          <w:sz w:val="24"/>
          <w:vertAlign w:val="superscript"/>
        </w:rPr>
        <w:t>240</w:t>
      </w:r>
      <w:r>
        <w:rPr>
          <w:rFonts w:cstheme="minorHAnsi"/>
          <w:sz w:val="24"/>
        </w:rPr>
        <w:t xml:space="preserve">Pu measurements demonstrate the same general trend to </w:t>
      </w:r>
      <w:r>
        <w:rPr>
          <w:rFonts w:cstheme="minorHAnsi"/>
          <w:sz w:val="24"/>
          <w:vertAlign w:val="superscript"/>
        </w:rPr>
        <w:t>239</w:t>
      </w:r>
      <w:r>
        <w:rPr>
          <w:rFonts w:cstheme="minorHAnsi"/>
          <w:sz w:val="24"/>
        </w:rPr>
        <w:t>Pu measurements. Of the entire sample set, all but two (DSRL3 and DSRL8) are consistent with one another. As before, DSRL3 has the highest</w:t>
      </w:r>
      <w:r w:rsidR="005F4743">
        <w:rPr>
          <w:rFonts w:cstheme="minorHAnsi"/>
          <w:sz w:val="24"/>
        </w:rPr>
        <w:t xml:space="preserve"> level</w:t>
      </w:r>
      <w:r>
        <w:rPr>
          <w:rFonts w:cstheme="minorHAnsi"/>
          <w:sz w:val="24"/>
        </w:rPr>
        <w:t xml:space="preserve"> with a </w:t>
      </w:r>
      <w:r w:rsidRPr="00F33246">
        <w:rPr>
          <w:rFonts w:cstheme="minorHAnsi"/>
          <w:sz w:val="24"/>
          <w:vertAlign w:val="superscript"/>
        </w:rPr>
        <w:t>240</w:t>
      </w:r>
      <w:r>
        <w:rPr>
          <w:rFonts w:cstheme="minorHAnsi"/>
          <w:sz w:val="24"/>
        </w:rPr>
        <w:t xml:space="preserve">Pu abundance of </w:t>
      </w:r>
      <w:r w:rsidR="005F4743">
        <w:rPr>
          <w:rFonts w:cstheme="minorHAnsi"/>
          <w:sz w:val="24"/>
        </w:rPr>
        <w:t>93</w:t>
      </w:r>
      <w:r>
        <w:rPr>
          <w:rFonts w:cstheme="minorHAnsi"/>
          <w:sz w:val="24"/>
        </w:rPr>
        <w:t>±</w:t>
      </w:r>
      <w:r w:rsidR="005F4743">
        <w:rPr>
          <w:rFonts w:cstheme="minorHAnsi"/>
          <w:sz w:val="24"/>
        </w:rPr>
        <w:t xml:space="preserve">3 </w:t>
      </w:r>
      <w:r>
        <w:rPr>
          <w:rFonts w:cstheme="minorHAnsi"/>
          <w:sz w:val="24"/>
        </w:rPr>
        <w:t>fg/g</w:t>
      </w:r>
      <w:r w:rsidR="00CB217B">
        <w:rPr>
          <w:rFonts w:cstheme="minorHAnsi"/>
          <w:sz w:val="24"/>
        </w:rPr>
        <w:t xml:space="preserve"> (~0.83 Bq/kg)</w:t>
      </w:r>
      <w:r>
        <w:rPr>
          <w:rFonts w:cstheme="minorHAnsi"/>
          <w:sz w:val="24"/>
        </w:rPr>
        <w:t>, while DSRL8 has the lowest significantly at 37±1 fg/g</w:t>
      </w:r>
      <w:r w:rsidR="00CB217B">
        <w:rPr>
          <w:rFonts w:cstheme="minorHAnsi"/>
          <w:sz w:val="24"/>
        </w:rPr>
        <w:t xml:space="preserve"> (~0.33 Bq/kg)</w:t>
      </w:r>
      <w:r>
        <w:rPr>
          <w:rFonts w:cstheme="minorHAnsi"/>
          <w:sz w:val="24"/>
        </w:rPr>
        <w:t xml:space="preserve">. The average of all samples is </w:t>
      </w:r>
      <w:r w:rsidR="005F4743">
        <w:rPr>
          <w:rFonts w:cstheme="minorHAnsi"/>
          <w:sz w:val="24"/>
        </w:rPr>
        <w:t>68</w:t>
      </w:r>
      <w:r>
        <w:rPr>
          <w:rFonts w:cstheme="minorHAnsi"/>
          <w:sz w:val="24"/>
        </w:rPr>
        <w:t>±7</w:t>
      </w:r>
      <w:r w:rsidR="005F4743">
        <w:rPr>
          <w:rFonts w:cstheme="minorHAnsi"/>
          <w:sz w:val="24"/>
        </w:rPr>
        <w:t xml:space="preserve"> fg/g</w:t>
      </w:r>
      <w:r w:rsidR="00CB217B">
        <w:rPr>
          <w:rFonts w:cstheme="minorHAnsi"/>
          <w:sz w:val="24"/>
        </w:rPr>
        <w:t xml:space="preserve"> (~0.60 Bq/kg)</w:t>
      </w:r>
      <w:r>
        <w:rPr>
          <w:rFonts w:cstheme="minorHAnsi"/>
          <w:sz w:val="24"/>
        </w:rPr>
        <w:t xml:space="preserve">. The </w:t>
      </w:r>
      <w:r w:rsidRPr="00F33246">
        <w:rPr>
          <w:rFonts w:cstheme="minorHAnsi"/>
          <w:sz w:val="24"/>
          <w:vertAlign w:val="superscript"/>
        </w:rPr>
        <w:t>240</w:t>
      </w:r>
      <w:r>
        <w:rPr>
          <w:rFonts w:cstheme="minorHAnsi"/>
          <w:sz w:val="24"/>
        </w:rPr>
        <w:t>Pu abundance in the Biggin samples is also significantly lower than most of the samples at 5</w:t>
      </w:r>
      <w:r w:rsidR="005F4743">
        <w:rPr>
          <w:rFonts w:cstheme="minorHAnsi"/>
          <w:sz w:val="24"/>
        </w:rPr>
        <w:t>8</w:t>
      </w:r>
      <w:r>
        <w:rPr>
          <w:rFonts w:cstheme="minorHAnsi"/>
          <w:sz w:val="24"/>
        </w:rPr>
        <w:t>±2</w:t>
      </w:r>
      <w:r w:rsidR="005F4743">
        <w:rPr>
          <w:rFonts w:cstheme="minorHAnsi"/>
          <w:sz w:val="24"/>
        </w:rPr>
        <w:t xml:space="preserve"> fg/g</w:t>
      </w:r>
      <w:r w:rsidR="00CB217B">
        <w:rPr>
          <w:rFonts w:cstheme="minorHAnsi"/>
          <w:sz w:val="24"/>
        </w:rPr>
        <w:t xml:space="preserve"> (~0.52 Bq/kg)</w:t>
      </w:r>
      <w:r>
        <w:rPr>
          <w:rFonts w:cstheme="minorHAnsi"/>
          <w:sz w:val="24"/>
        </w:rPr>
        <w:t>.</w:t>
      </w:r>
    </w:p>
    <w:p w14:paraId="08420807" w14:textId="424146AF" w:rsidR="00F37CA9" w:rsidRPr="00BF4F91" w:rsidRDefault="00F37CA9" w:rsidP="00F37CA9">
      <w:pPr>
        <w:tabs>
          <w:tab w:val="left" w:pos="3075"/>
        </w:tabs>
        <w:spacing w:line="480" w:lineRule="auto"/>
        <w:ind w:firstLine="567"/>
        <w:rPr>
          <w:rFonts w:cstheme="minorHAnsi"/>
          <w:sz w:val="24"/>
        </w:rPr>
      </w:pPr>
      <w:r>
        <w:rPr>
          <w:rFonts w:cstheme="minorHAnsi"/>
          <w:sz w:val="24"/>
        </w:rPr>
        <w:t>Quinto et al</w:t>
      </w:r>
      <w:r w:rsidR="00810FA1">
        <w:rPr>
          <w:rFonts w:cstheme="minorHAnsi"/>
          <w:sz w:val="24"/>
        </w:rPr>
        <w:t xml:space="preserve"> </w:t>
      </w:r>
      <w:r w:rsidR="00810FA1">
        <w:rPr>
          <w:rFonts w:cstheme="minorHAnsi"/>
          <w:sz w:val="24"/>
        </w:rPr>
        <w:fldChar w:fldCharType="begin" w:fldLock="1"/>
      </w:r>
      <w:r w:rsidR="00767A68">
        <w:rPr>
          <w:rFonts w:cstheme="minorHAnsi"/>
          <w:sz w:val="24"/>
        </w:rPr>
        <w:instrText>ADDIN CSL_CITATION {"citationItems":[{"id":"ITEM-1","itemData":{"DOI":"10.1039/c3em30910j","ISSN":"2050-7887","author":[{"dropping-particle":"","family":"Quinto","given":"Francesca","non-dropping-particle":"","parse-names":false,"suffix":""},{"dropping-particle":"","family":"Hrnecek","given":"Erich","non-dropping-particle":"","parse-names":false,"suffix":""},{"dropping-particle":"","family":"Krachler","given":"Michael","non-dropping-particle":"","parse-names":false,"suffix":""},{"dropping-particle":"","family":"Shotyk","given":"William","non-dropping-particle":"","parse-names":false,"suffix":""},{"dropping-particle":"","family":"Steier","given":"Peter","non-dropping-particle":"","parse-names":false,"suffix":""},{"dropping-particle":"","family":"Winkler","given":"Stephan R","non-dropping-particle":"","parse-names":false,"suffix":""}],"container-title":"Environmental Science: Processes &amp; Impacts","id":"ITEM-1","issue":"4","issued":{"date-parts":[["2013"]]},"page":"839","title":"Determination of 239Pu, 240Pu, 241Pu and 242Pu at femtogram and attogram levels – evidence for the migration of fallout plutonium in an ombrotrophic peat bog profile","type":"article-journal","volume":"15"},"uris":["http://www.mendeley.com/documents/?uuid=cc0f5e5b-72fd-3008-97cd-fc546c6d5d66"]}],"mendeley":{"formattedCitation":"[71]","plainTextFormattedCitation":"[71]","previouslyFormattedCitation":"[71]"},"properties":{"noteIndex":0},"schema":"https://github.com/citation-style-language/schema/raw/master/csl-citation.json"}</w:instrText>
      </w:r>
      <w:r w:rsidR="00810FA1">
        <w:rPr>
          <w:rFonts w:cstheme="minorHAnsi"/>
          <w:sz w:val="24"/>
        </w:rPr>
        <w:fldChar w:fldCharType="separate"/>
      </w:r>
      <w:r w:rsidR="000B0F18" w:rsidRPr="000B0F18">
        <w:rPr>
          <w:rFonts w:cstheme="minorHAnsi"/>
          <w:noProof/>
          <w:sz w:val="24"/>
        </w:rPr>
        <w:t>[71]</w:t>
      </w:r>
      <w:r w:rsidR="00810FA1">
        <w:rPr>
          <w:rFonts w:cstheme="minorHAnsi"/>
          <w:sz w:val="24"/>
        </w:rPr>
        <w:fldChar w:fldCharType="end"/>
      </w:r>
      <w:r>
        <w:rPr>
          <w:rFonts w:cstheme="minorHAnsi"/>
          <w:sz w:val="24"/>
        </w:rPr>
        <w:t xml:space="preserve"> measured plutonium amounts in an ombrotrophic bog core using AMS and found plutonium concentrations “at femtogram</w:t>
      </w:r>
      <w:r w:rsidR="00792111">
        <w:rPr>
          <w:rFonts w:cstheme="minorHAnsi"/>
          <w:sz w:val="24"/>
        </w:rPr>
        <w:t xml:space="preserve"> (1x10</w:t>
      </w:r>
      <w:r w:rsidR="00792111">
        <w:rPr>
          <w:rFonts w:cstheme="minorHAnsi"/>
          <w:sz w:val="24"/>
          <w:vertAlign w:val="superscript"/>
        </w:rPr>
        <w:t>-15</w:t>
      </w:r>
      <w:r w:rsidR="00792111">
        <w:rPr>
          <w:rFonts w:cstheme="minorHAnsi"/>
          <w:sz w:val="24"/>
        </w:rPr>
        <w:t>)</w:t>
      </w:r>
      <w:r>
        <w:rPr>
          <w:rFonts w:cstheme="minorHAnsi"/>
          <w:sz w:val="24"/>
        </w:rPr>
        <w:t xml:space="preserve"> and attogram</w:t>
      </w:r>
      <w:r w:rsidR="00792111">
        <w:rPr>
          <w:rFonts w:cstheme="minorHAnsi"/>
          <w:sz w:val="24"/>
        </w:rPr>
        <w:t xml:space="preserve"> (1x10</w:t>
      </w:r>
      <w:r w:rsidR="00792111">
        <w:rPr>
          <w:rFonts w:cstheme="minorHAnsi"/>
          <w:sz w:val="24"/>
          <w:vertAlign w:val="superscript"/>
        </w:rPr>
        <w:t>-18</w:t>
      </w:r>
      <w:r w:rsidR="00792111">
        <w:rPr>
          <w:rFonts w:cstheme="minorHAnsi"/>
          <w:sz w:val="24"/>
        </w:rPr>
        <w:t>)</w:t>
      </w:r>
      <w:r>
        <w:rPr>
          <w:rFonts w:cstheme="minorHAnsi"/>
          <w:sz w:val="24"/>
        </w:rPr>
        <w:t xml:space="preserve"> levels”</w:t>
      </w:r>
      <w:r w:rsidR="005F4743">
        <w:rPr>
          <w:rFonts w:cstheme="minorHAnsi"/>
          <w:sz w:val="24"/>
        </w:rPr>
        <w:t>.</w:t>
      </w:r>
      <w:r>
        <w:rPr>
          <w:rFonts w:cstheme="minorHAnsi"/>
          <w:sz w:val="24"/>
        </w:rPr>
        <w:t xml:space="preserve"> </w:t>
      </w:r>
      <w:r w:rsidR="00266FA0">
        <w:rPr>
          <w:rFonts w:cstheme="minorHAnsi"/>
          <w:sz w:val="24"/>
        </w:rPr>
        <w:t>Quinto et al.’s measurements are</w:t>
      </w:r>
      <w:r>
        <w:rPr>
          <w:rFonts w:cstheme="minorHAnsi"/>
          <w:sz w:val="24"/>
        </w:rPr>
        <w:t xml:space="preserve"> consistent with this work and suggests the </w:t>
      </w:r>
      <w:r w:rsidRPr="00F33246">
        <w:rPr>
          <w:rFonts w:cstheme="minorHAnsi"/>
          <w:sz w:val="24"/>
          <w:vertAlign w:val="superscript"/>
        </w:rPr>
        <w:t>240</w:t>
      </w:r>
      <w:r>
        <w:rPr>
          <w:rFonts w:cstheme="minorHAnsi"/>
          <w:sz w:val="24"/>
        </w:rPr>
        <w:t xml:space="preserve">Pu in the samples </w:t>
      </w:r>
      <w:r w:rsidR="009F2045">
        <w:rPr>
          <w:rFonts w:cstheme="minorHAnsi"/>
          <w:sz w:val="24"/>
        </w:rPr>
        <w:t>is</w:t>
      </w:r>
      <w:r>
        <w:rPr>
          <w:rFonts w:cstheme="minorHAnsi"/>
          <w:sz w:val="24"/>
        </w:rPr>
        <w:t xml:space="preserve"> of fallout origin. Few other conclusions can be made when considering the mass of </w:t>
      </w:r>
      <w:r w:rsidRPr="00F33246">
        <w:rPr>
          <w:rFonts w:cstheme="minorHAnsi"/>
          <w:sz w:val="24"/>
          <w:vertAlign w:val="superscript"/>
        </w:rPr>
        <w:t>240</w:t>
      </w:r>
      <w:r>
        <w:rPr>
          <w:rFonts w:cstheme="minorHAnsi"/>
          <w:sz w:val="24"/>
        </w:rPr>
        <w:t>Pu alone</w:t>
      </w:r>
      <w:r w:rsidR="00792111">
        <w:rPr>
          <w:rFonts w:cstheme="minorHAnsi"/>
          <w:sz w:val="24"/>
        </w:rPr>
        <w:t>, so will be considered combined with other results later</w:t>
      </w:r>
      <w:r>
        <w:rPr>
          <w:rFonts w:cstheme="minorHAnsi"/>
          <w:sz w:val="24"/>
        </w:rPr>
        <w:t>.</w:t>
      </w:r>
    </w:p>
    <w:p w14:paraId="683AB9A0" w14:textId="77777777" w:rsidR="00F37CA9" w:rsidRPr="005A775C" w:rsidRDefault="00F37CA9" w:rsidP="00F37CA9">
      <w:pPr>
        <w:tabs>
          <w:tab w:val="left" w:pos="3075"/>
        </w:tabs>
        <w:spacing w:line="480" w:lineRule="auto"/>
        <w:rPr>
          <w:rFonts w:cstheme="minorHAnsi"/>
          <w:b/>
          <w:sz w:val="28"/>
        </w:rPr>
      </w:pPr>
      <w:r w:rsidRPr="005A775C">
        <w:rPr>
          <w:rFonts w:cstheme="minorHAnsi"/>
          <w:b/>
          <w:sz w:val="28"/>
        </w:rPr>
        <w:t>4.</w:t>
      </w:r>
      <w:r>
        <w:rPr>
          <w:rFonts w:cstheme="minorHAnsi"/>
          <w:b/>
          <w:sz w:val="28"/>
        </w:rPr>
        <w:t>3</w:t>
      </w:r>
      <w:r w:rsidRPr="005A775C">
        <w:rPr>
          <w:rFonts w:cstheme="minorHAnsi"/>
          <w:b/>
          <w:sz w:val="28"/>
        </w:rPr>
        <w:t xml:space="preserve">.3 </w:t>
      </w:r>
      <w:r w:rsidRPr="005A775C">
        <w:rPr>
          <w:rFonts w:cstheme="minorHAnsi"/>
          <w:b/>
          <w:sz w:val="28"/>
          <w:vertAlign w:val="superscript"/>
        </w:rPr>
        <w:t>242</w:t>
      </w:r>
      <w:r w:rsidRPr="005A775C">
        <w:rPr>
          <w:rFonts w:cstheme="minorHAnsi"/>
          <w:b/>
          <w:sz w:val="28"/>
        </w:rPr>
        <w:t>Pu</w:t>
      </w:r>
    </w:p>
    <w:p w14:paraId="2FF02699" w14:textId="3E10D0F4" w:rsidR="00F37CA9" w:rsidRDefault="00F37CA9" w:rsidP="00F37CA9">
      <w:pPr>
        <w:tabs>
          <w:tab w:val="left" w:pos="3075"/>
        </w:tabs>
        <w:spacing w:line="480" w:lineRule="auto"/>
        <w:ind w:firstLine="567"/>
        <w:rPr>
          <w:rFonts w:cstheme="minorHAnsi"/>
          <w:sz w:val="24"/>
        </w:rPr>
      </w:pPr>
      <w:r>
        <w:rPr>
          <w:rFonts w:cstheme="minorHAnsi"/>
          <w:sz w:val="24"/>
        </w:rPr>
        <w:t xml:space="preserve">Little variation is shown in </w:t>
      </w:r>
      <w:r w:rsidRPr="00F33246">
        <w:rPr>
          <w:rFonts w:cstheme="minorHAnsi"/>
          <w:sz w:val="24"/>
          <w:vertAlign w:val="superscript"/>
        </w:rPr>
        <w:t>24</w:t>
      </w:r>
      <w:r>
        <w:rPr>
          <w:rFonts w:cstheme="minorHAnsi"/>
          <w:sz w:val="24"/>
          <w:vertAlign w:val="superscript"/>
        </w:rPr>
        <w:t>2</w:t>
      </w:r>
      <w:r>
        <w:rPr>
          <w:rFonts w:cstheme="minorHAnsi"/>
          <w:sz w:val="24"/>
        </w:rPr>
        <w:t xml:space="preserve">Pu abundance across the project samples and </w:t>
      </w:r>
      <w:r w:rsidR="005F4743">
        <w:rPr>
          <w:rFonts w:cstheme="minorHAnsi"/>
          <w:sz w:val="24"/>
        </w:rPr>
        <w:t>a similar</w:t>
      </w:r>
      <w:r>
        <w:rPr>
          <w:rFonts w:cstheme="minorHAnsi"/>
          <w:sz w:val="24"/>
        </w:rPr>
        <w:t xml:space="preserve"> trend is again shown</w:t>
      </w:r>
      <w:r w:rsidR="005F4743">
        <w:rPr>
          <w:rFonts w:cstheme="minorHAnsi"/>
          <w:sz w:val="24"/>
        </w:rPr>
        <w:t xml:space="preserve"> as for the lighter isotopes</w:t>
      </w:r>
      <w:r>
        <w:rPr>
          <w:rFonts w:cstheme="minorHAnsi"/>
          <w:sz w:val="24"/>
        </w:rPr>
        <w:t xml:space="preserve">. All DSRL samples are consistent with one another </w:t>
      </w:r>
      <w:r w:rsidR="005F4743">
        <w:rPr>
          <w:rFonts w:cstheme="minorHAnsi"/>
          <w:sz w:val="24"/>
        </w:rPr>
        <w:t>except</w:t>
      </w:r>
      <w:r>
        <w:rPr>
          <w:rFonts w:cstheme="minorHAnsi"/>
          <w:sz w:val="24"/>
        </w:rPr>
        <w:t xml:space="preserve"> DSRL3 and </w:t>
      </w:r>
      <w:r w:rsidR="00CC4ADC">
        <w:rPr>
          <w:rFonts w:cstheme="minorHAnsi"/>
          <w:sz w:val="24"/>
        </w:rPr>
        <w:t>DSRL8, which</w:t>
      </w:r>
      <w:r>
        <w:rPr>
          <w:rFonts w:cstheme="minorHAnsi"/>
          <w:sz w:val="24"/>
        </w:rPr>
        <w:t xml:space="preserve"> are significantly higher and lower than the sample set average</w:t>
      </w:r>
      <w:r w:rsidR="005F4743">
        <w:rPr>
          <w:rFonts w:cstheme="minorHAnsi"/>
          <w:sz w:val="24"/>
        </w:rPr>
        <w:t>,</w:t>
      </w:r>
      <w:r>
        <w:rPr>
          <w:rFonts w:cstheme="minorHAnsi"/>
          <w:sz w:val="24"/>
        </w:rPr>
        <w:t xml:space="preserve"> respectively. The overall sample average sits at 2.1±0.</w:t>
      </w:r>
      <w:r w:rsidR="005F4743">
        <w:rPr>
          <w:rFonts w:cstheme="minorHAnsi"/>
          <w:sz w:val="24"/>
        </w:rPr>
        <w:t>6</w:t>
      </w:r>
      <w:r>
        <w:rPr>
          <w:rFonts w:cstheme="minorHAnsi"/>
          <w:sz w:val="24"/>
        </w:rPr>
        <w:t xml:space="preserve"> fg/g</w:t>
      </w:r>
      <w:r w:rsidR="00064DB8">
        <w:rPr>
          <w:rFonts w:cstheme="minorHAnsi"/>
          <w:sz w:val="24"/>
        </w:rPr>
        <w:t xml:space="preserve"> (~3.04x10</w:t>
      </w:r>
      <w:r w:rsidR="00064DB8">
        <w:rPr>
          <w:rFonts w:cstheme="minorHAnsi"/>
          <w:sz w:val="24"/>
          <w:vertAlign w:val="superscript"/>
        </w:rPr>
        <w:t>-4</w:t>
      </w:r>
      <w:r w:rsidR="00064DB8">
        <w:rPr>
          <w:rFonts w:cstheme="minorHAnsi"/>
          <w:sz w:val="24"/>
        </w:rPr>
        <w:t xml:space="preserve"> Bq/kg)</w:t>
      </w:r>
      <w:r>
        <w:rPr>
          <w:rFonts w:cstheme="minorHAnsi"/>
          <w:sz w:val="24"/>
        </w:rPr>
        <w:t xml:space="preserve"> of </w:t>
      </w:r>
      <w:r w:rsidRPr="00F33246">
        <w:rPr>
          <w:rFonts w:cstheme="minorHAnsi"/>
          <w:sz w:val="24"/>
          <w:vertAlign w:val="superscript"/>
        </w:rPr>
        <w:t>24</w:t>
      </w:r>
      <w:r>
        <w:rPr>
          <w:rFonts w:cstheme="minorHAnsi"/>
          <w:sz w:val="24"/>
          <w:vertAlign w:val="superscript"/>
        </w:rPr>
        <w:t>2</w:t>
      </w:r>
      <w:r>
        <w:rPr>
          <w:rFonts w:cstheme="minorHAnsi"/>
          <w:sz w:val="24"/>
        </w:rPr>
        <w:t xml:space="preserve">Pu, while </w:t>
      </w:r>
      <w:r w:rsidRPr="00F33246">
        <w:rPr>
          <w:rFonts w:cstheme="minorHAnsi"/>
          <w:sz w:val="24"/>
          <w:vertAlign w:val="superscript"/>
        </w:rPr>
        <w:t>24</w:t>
      </w:r>
      <w:r>
        <w:rPr>
          <w:rFonts w:cstheme="minorHAnsi"/>
          <w:sz w:val="24"/>
          <w:vertAlign w:val="superscript"/>
        </w:rPr>
        <w:t>2</w:t>
      </w:r>
      <w:r>
        <w:rPr>
          <w:rFonts w:cstheme="minorHAnsi"/>
          <w:sz w:val="24"/>
        </w:rPr>
        <w:t>Pu abundance in DSRL3 is 4.</w:t>
      </w:r>
      <w:r w:rsidR="005F4743">
        <w:rPr>
          <w:rFonts w:cstheme="minorHAnsi"/>
          <w:sz w:val="24"/>
        </w:rPr>
        <w:t>1</w:t>
      </w:r>
      <w:r>
        <w:rPr>
          <w:rFonts w:cstheme="minorHAnsi"/>
          <w:sz w:val="24"/>
        </w:rPr>
        <w:t>±0.</w:t>
      </w:r>
      <w:r w:rsidR="005F4743">
        <w:rPr>
          <w:rFonts w:cstheme="minorHAnsi"/>
          <w:sz w:val="24"/>
        </w:rPr>
        <w:t>2</w:t>
      </w:r>
      <w:r>
        <w:rPr>
          <w:rFonts w:cstheme="minorHAnsi"/>
          <w:sz w:val="24"/>
        </w:rPr>
        <w:t xml:space="preserve"> fg/g</w:t>
      </w:r>
      <w:r w:rsidR="00CC4ADC">
        <w:rPr>
          <w:rFonts w:cstheme="minorHAnsi"/>
          <w:sz w:val="24"/>
        </w:rPr>
        <w:t xml:space="preserve"> (~5.96</w:t>
      </w:r>
      <w:r w:rsidR="00CC4ADC" w:rsidRPr="00CC4ADC">
        <w:rPr>
          <w:rFonts w:cstheme="minorHAnsi"/>
          <w:sz w:val="24"/>
        </w:rPr>
        <w:t xml:space="preserve"> </w:t>
      </w:r>
      <w:r w:rsidR="00CC4ADC">
        <w:rPr>
          <w:rFonts w:cstheme="minorHAnsi"/>
          <w:sz w:val="24"/>
        </w:rPr>
        <w:t>x10</w:t>
      </w:r>
      <w:r w:rsidR="00CC4ADC">
        <w:rPr>
          <w:rFonts w:cstheme="minorHAnsi"/>
          <w:sz w:val="24"/>
          <w:vertAlign w:val="superscript"/>
        </w:rPr>
        <w:t>-4</w:t>
      </w:r>
      <w:r w:rsidR="00957172">
        <w:rPr>
          <w:rFonts w:cstheme="minorHAnsi"/>
          <w:sz w:val="24"/>
        </w:rPr>
        <w:t xml:space="preserve"> Bq/kg</w:t>
      </w:r>
      <w:r w:rsidR="00CC4ADC">
        <w:rPr>
          <w:rFonts w:cstheme="minorHAnsi"/>
          <w:sz w:val="24"/>
        </w:rPr>
        <w:t>)</w:t>
      </w:r>
      <w:r>
        <w:rPr>
          <w:rFonts w:cstheme="minorHAnsi"/>
          <w:sz w:val="24"/>
        </w:rPr>
        <w:t xml:space="preserve"> and 1.10±0.06 fg/g</w:t>
      </w:r>
      <w:r w:rsidR="00CC4ADC">
        <w:rPr>
          <w:rFonts w:cstheme="minorHAnsi"/>
          <w:sz w:val="24"/>
        </w:rPr>
        <w:t xml:space="preserve"> (~1</w:t>
      </w:r>
      <w:r w:rsidR="00957172">
        <w:rPr>
          <w:rFonts w:cstheme="minorHAnsi"/>
          <w:sz w:val="24"/>
        </w:rPr>
        <w:t>.</w:t>
      </w:r>
      <w:r w:rsidR="00CC4ADC">
        <w:rPr>
          <w:rFonts w:cstheme="minorHAnsi"/>
          <w:sz w:val="24"/>
        </w:rPr>
        <w:t>60</w:t>
      </w:r>
      <w:r w:rsidR="00CC4ADC" w:rsidRPr="00CC4ADC">
        <w:rPr>
          <w:rFonts w:cstheme="minorHAnsi"/>
          <w:sz w:val="24"/>
        </w:rPr>
        <w:t xml:space="preserve"> </w:t>
      </w:r>
      <w:r w:rsidR="00CC4ADC">
        <w:rPr>
          <w:rFonts w:cstheme="minorHAnsi"/>
          <w:sz w:val="24"/>
        </w:rPr>
        <w:t>x10</w:t>
      </w:r>
      <w:r w:rsidR="00CC4ADC">
        <w:rPr>
          <w:rFonts w:cstheme="minorHAnsi"/>
          <w:sz w:val="24"/>
          <w:vertAlign w:val="superscript"/>
        </w:rPr>
        <w:t>-4</w:t>
      </w:r>
      <w:r w:rsidR="00957172">
        <w:rPr>
          <w:rFonts w:cstheme="minorHAnsi"/>
          <w:sz w:val="24"/>
        </w:rPr>
        <w:t xml:space="preserve"> Bq/kg</w:t>
      </w:r>
      <w:r w:rsidR="00CC4ADC">
        <w:rPr>
          <w:rFonts w:cstheme="minorHAnsi"/>
          <w:sz w:val="24"/>
        </w:rPr>
        <w:t>)</w:t>
      </w:r>
      <w:r>
        <w:rPr>
          <w:rFonts w:cstheme="minorHAnsi"/>
          <w:sz w:val="24"/>
        </w:rPr>
        <w:t xml:space="preserve"> in DSRL8. Malham and Biggin</w:t>
      </w:r>
      <w:r w:rsidR="00957172">
        <w:rPr>
          <w:rFonts w:cstheme="minorHAnsi"/>
          <w:sz w:val="24"/>
        </w:rPr>
        <w:t xml:space="preserve"> both</w:t>
      </w:r>
      <w:r>
        <w:rPr>
          <w:rFonts w:cstheme="minorHAnsi"/>
          <w:sz w:val="24"/>
        </w:rPr>
        <w:t xml:space="preserve"> demonstrate </w:t>
      </w:r>
      <w:r w:rsidRPr="00F33246">
        <w:rPr>
          <w:rFonts w:cstheme="minorHAnsi"/>
          <w:sz w:val="24"/>
          <w:vertAlign w:val="superscript"/>
        </w:rPr>
        <w:t>24</w:t>
      </w:r>
      <w:r>
        <w:rPr>
          <w:rFonts w:cstheme="minorHAnsi"/>
          <w:sz w:val="24"/>
          <w:vertAlign w:val="superscript"/>
        </w:rPr>
        <w:t>2</w:t>
      </w:r>
      <w:r>
        <w:rPr>
          <w:rFonts w:cstheme="minorHAnsi"/>
          <w:sz w:val="24"/>
        </w:rPr>
        <w:t>Pu abundances of 1.</w:t>
      </w:r>
      <w:r w:rsidR="005F4743">
        <w:rPr>
          <w:rFonts w:cstheme="minorHAnsi"/>
          <w:sz w:val="24"/>
        </w:rPr>
        <w:t>6</w:t>
      </w:r>
      <w:r>
        <w:rPr>
          <w:rFonts w:cstheme="minorHAnsi"/>
          <w:sz w:val="24"/>
        </w:rPr>
        <w:t>±0.</w:t>
      </w:r>
      <w:r w:rsidR="005F4743">
        <w:rPr>
          <w:rFonts w:cstheme="minorHAnsi"/>
          <w:sz w:val="24"/>
        </w:rPr>
        <w:t>2</w:t>
      </w:r>
      <w:r>
        <w:rPr>
          <w:rFonts w:cstheme="minorHAnsi"/>
          <w:sz w:val="24"/>
        </w:rPr>
        <w:t xml:space="preserve"> fg/g </w:t>
      </w:r>
      <w:r w:rsidR="00957172">
        <w:rPr>
          <w:rFonts w:cstheme="minorHAnsi"/>
          <w:sz w:val="24"/>
        </w:rPr>
        <w:t>(~2.33</w:t>
      </w:r>
      <w:r w:rsidR="00957172" w:rsidRPr="00957172">
        <w:rPr>
          <w:rFonts w:cstheme="minorHAnsi"/>
          <w:sz w:val="24"/>
        </w:rPr>
        <w:t xml:space="preserve"> </w:t>
      </w:r>
      <w:r w:rsidR="00957172">
        <w:rPr>
          <w:rFonts w:cstheme="minorHAnsi"/>
          <w:sz w:val="24"/>
        </w:rPr>
        <w:t>x10</w:t>
      </w:r>
      <w:r w:rsidR="00957172">
        <w:rPr>
          <w:rFonts w:cstheme="minorHAnsi"/>
          <w:sz w:val="24"/>
          <w:vertAlign w:val="superscript"/>
        </w:rPr>
        <w:t>-</w:t>
      </w:r>
      <w:r w:rsidR="00957172" w:rsidRPr="00957172">
        <w:rPr>
          <w:rFonts w:cstheme="minorHAnsi"/>
          <w:sz w:val="24"/>
          <w:vertAlign w:val="superscript"/>
        </w:rPr>
        <w:t>4</w:t>
      </w:r>
      <w:r w:rsidR="00957172">
        <w:rPr>
          <w:rFonts w:cstheme="minorHAnsi"/>
          <w:sz w:val="24"/>
        </w:rPr>
        <w:t xml:space="preserve"> Bq/kg)</w:t>
      </w:r>
      <w:r>
        <w:rPr>
          <w:rFonts w:cstheme="minorHAnsi"/>
          <w:sz w:val="24"/>
        </w:rPr>
        <w:t xml:space="preserve">. </w:t>
      </w:r>
    </w:p>
    <w:p w14:paraId="2B059A4B" w14:textId="41794D08" w:rsidR="00F37CA9" w:rsidRPr="00DF5711" w:rsidRDefault="00F37CA9" w:rsidP="00F37CA9">
      <w:pPr>
        <w:tabs>
          <w:tab w:val="left" w:pos="3075"/>
        </w:tabs>
        <w:spacing w:line="480" w:lineRule="auto"/>
        <w:ind w:firstLine="567"/>
        <w:rPr>
          <w:rFonts w:cstheme="minorHAnsi"/>
          <w:sz w:val="24"/>
        </w:rPr>
      </w:pPr>
      <w:r w:rsidRPr="00F33246">
        <w:rPr>
          <w:rFonts w:cstheme="minorHAnsi"/>
          <w:sz w:val="24"/>
          <w:vertAlign w:val="superscript"/>
        </w:rPr>
        <w:lastRenderedPageBreak/>
        <w:t>24</w:t>
      </w:r>
      <w:r>
        <w:rPr>
          <w:rFonts w:cstheme="minorHAnsi"/>
          <w:sz w:val="24"/>
          <w:vertAlign w:val="superscript"/>
        </w:rPr>
        <w:t>2</w:t>
      </w:r>
      <w:r>
        <w:rPr>
          <w:rFonts w:cstheme="minorHAnsi"/>
          <w:sz w:val="24"/>
        </w:rPr>
        <w:t xml:space="preserve">Pu is an anthropogenic isotope generally created within nuclear reactors. The origin of </w:t>
      </w:r>
      <w:r w:rsidRPr="00F33246">
        <w:rPr>
          <w:rFonts w:cstheme="minorHAnsi"/>
          <w:sz w:val="24"/>
          <w:vertAlign w:val="superscript"/>
        </w:rPr>
        <w:t>24</w:t>
      </w:r>
      <w:r>
        <w:rPr>
          <w:rFonts w:cstheme="minorHAnsi"/>
          <w:sz w:val="24"/>
          <w:vertAlign w:val="superscript"/>
        </w:rPr>
        <w:t>2</w:t>
      </w:r>
      <w:r>
        <w:rPr>
          <w:rFonts w:cstheme="minorHAnsi"/>
          <w:sz w:val="24"/>
        </w:rPr>
        <w:t>Pu suggests that Malham and Biggin have been subject to lower fallout from high neutron flux origins, likely from</w:t>
      </w:r>
      <w:r w:rsidR="007F7A90">
        <w:rPr>
          <w:rFonts w:cstheme="minorHAnsi"/>
          <w:sz w:val="24"/>
        </w:rPr>
        <w:t xml:space="preserve"> </w:t>
      </w:r>
      <w:r>
        <w:rPr>
          <w:rFonts w:cstheme="minorHAnsi"/>
          <w:sz w:val="24"/>
        </w:rPr>
        <w:t>weapons tests,</w:t>
      </w:r>
      <w:r w:rsidR="00266FA0">
        <w:rPr>
          <w:rFonts w:cstheme="minorHAnsi"/>
          <w:sz w:val="24"/>
        </w:rPr>
        <w:t xml:space="preserve"> when compared to the Dounreay samples,</w:t>
      </w:r>
      <w:r>
        <w:rPr>
          <w:rFonts w:cstheme="minorHAnsi"/>
          <w:sz w:val="24"/>
        </w:rPr>
        <w:t xml:space="preserve"> unless the Dounreay area has had consistent contamination events at similar levels of </w:t>
      </w:r>
      <w:r w:rsidRPr="00F33246">
        <w:rPr>
          <w:rFonts w:cstheme="minorHAnsi"/>
          <w:sz w:val="24"/>
          <w:vertAlign w:val="superscript"/>
        </w:rPr>
        <w:t>24</w:t>
      </w:r>
      <w:r>
        <w:rPr>
          <w:rFonts w:cstheme="minorHAnsi"/>
          <w:sz w:val="24"/>
          <w:vertAlign w:val="superscript"/>
        </w:rPr>
        <w:t>2</w:t>
      </w:r>
      <w:r>
        <w:rPr>
          <w:rFonts w:cstheme="minorHAnsi"/>
          <w:sz w:val="24"/>
        </w:rPr>
        <w:t>Pu abundance. The former is unlikely as the DSRLB1 (offsite) sample demonstrates similar levels to those on-site.</w:t>
      </w:r>
      <w:r w:rsidR="00266FA0">
        <w:rPr>
          <w:rFonts w:cstheme="minorHAnsi"/>
          <w:sz w:val="24"/>
        </w:rPr>
        <w:t xml:space="preserve"> </w:t>
      </w:r>
      <w:r w:rsidR="00DF5711">
        <w:rPr>
          <w:rFonts w:cstheme="minorHAnsi"/>
          <w:sz w:val="24"/>
        </w:rPr>
        <w:t xml:space="preserve">It is possible that the increased </w:t>
      </w:r>
      <w:r w:rsidR="00DF5711">
        <w:rPr>
          <w:rFonts w:cstheme="minorHAnsi"/>
          <w:sz w:val="24"/>
          <w:vertAlign w:val="superscript"/>
        </w:rPr>
        <w:t>242</w:t>
      </w:r>
      <w:r w:rsidR="00DF5711">
        <w:rPr>
          <w:rFonts w:cstheme="minorHAnsi"/>
          <w:sz w:val="24"/>
        </w:rPr>
        <w:t xml:space="preserve">Pu at Dounreay relative to the samples far-from-site (Malham and Biggin) could be due in part to the Soviet weapons tests at Novaya Zemlya in the arctic circle. The levels of influence are currently unclear, though some literature shows that the area surrounding Novaya Zemlya exhibits higher levels of plutonium abundance, and as the distance from the site increases, the levels of plutonium decrease </w:t>
      </w:r>
      <w:r w:rsidR="00810FA1">
        <w:rPr>
          <w:rFonts w:cstheme="minorHAnsi"/>
          <w:sz w:val="24"/>
        </w:rPr>
        <w:fldChar w:fldCharType="begin" w:fldLock="1"/>
      </w:r>
      <w:r w:rsidR="006F1462">
        <w:rPr>
          <w:rFonts w:cstheme="minorHAnsi"/>
          <w:sz w:val="24"/>
        </w:rPr>
        <w:instrText>ADDIN CSL_CITATION {"citationItems":[{"id":"ITEM-1","itemData":{"DOI":"10.1021/es034176n","abstract":"Atom ratios of 240Pu to 239Pu in bottom sediments from the Fram Strait are used to provide evidence for the long distance dispersion of Pu in the Arctic Ocean. In particular, low (&lt;0.18) 240Pu/239Pu ratios indicate that plutonium from sources in the Kara Sea and Novaya Zemlya is transported across the basin toward the North Atlantic. The results have implications for the ability of sea ice to incorporate, intercept, and transport contaminants in the Arctic Ocean. They demonstrate that the fates of sea ice and associated contaminants in the Arctic Ocean are closely coupled, with the release of the particulate load and associated chemical species occurring in principal sea ice ablation areas such as the Fram Strait.","author":[{"dropping-particle":"","family":"P. Masque., J.K. Cochran., D. Hebbeln., D.J. Hirschberg., D. Dethleff., A.","given":"Winkler.","non-dropping-particle":"","parse-names":false,"suffix":""}],"container-title":"Environmental Science and Technology","id":"ITEM-1","issue":"21","issued":{"date-parts":[["2003"]]},"page":"4848-4854","title":"The Role of Sea Ice in the Fate of Contaminants in the Arctic Ocean: Plutonium Atom Ratios in the Fram Strait","type":"article-journal","volume":"37"},"uris":["http://www.mendeley.com/documents/?uuid=0289fa92-5cba-3fc1-ab1f-3c3fc42162af"]}],"mendeley":{"formattedCitation":"[81]","plainTextFormattedCitation":"[81]","previouslyFormattedCitation":"[81]"},"properties":{"noteIndex":0},"schema":"https://github.com/citation-style-language/schema/raw/master/csl-citation.json"}</w:instrText>
      </w:r>
      <w:r w:rsidR="00810FA1">
        <w:rPr>
          <w:rFonts w:cstheme="minorHAnsi"/>
          <w:sz w:val="24"/>
        </w:rPr>
        <w:fldChar w:fldCharType="separate"/>
      </w:r>
      <w:r w:rsidR="00E510BC" w:rsidRPr="00E510BC">
        <w:rPr>
          <w:rFonts w:cstheme="minorHAnsi"/>
          <w:noProof/>
          <w:sz w:val="24"/>
        </w:rPr>
        <w:t>[81]</w:t>
      </w:r>
      <w:r w:rsidR="00810FA1">
        <w:rPr>
          <w:rFonts w:cstheme="minorHAnsi"/>
          <w:sz w:val="24"/>
        </w:rPr>
        <w:fldChar w:fldCharType="end"/>
      </w:r>
      <w:r w:rsidR="00DF5711">
        <w:rPr>
          <w:rFonts w:cstheme="minorHAnsi"/>
          <w:sz w:val="24"/>
        </w:rPr>
        <w:t>. This is not directly related to airborne contamination, which would be the main method of contamination if Dounreay were impacted by these tests, as the measurements were carried out on sea ice samples. They do however paint a similar picture in terms of the possibility of contamination by Novaya Zemlya</w:t>
      </w:r>
      <w:r w:rsidR="009F2045">
        <w:rPr>
          <w:rFonts w:cstheme="minorHAnsi"/>
          <w:sz w:val="24"/>
        </w:rPr>
        <w:t xml:space="preserve"> tests</w:t>
      </w:r>
      <w:r w:rsidR="00DF5711">
        <w:rPr>
          <w:rFonts w:cstheme="minorHAnsi"/>
          <w:sz w:val="24"/>
        </w:rPr>
        <w:t>, and the confirmation that the emissions from that site are measurable, even though most of the tests were subterranean.</w:t>
      </w:r>
    </w:p>
    <w:p w14:paraId="10FCF981" w14:textId="69311F2A" w:rsidR="00F37CA9" w:rsidRPr="000472FC" w:rsidRDefault="00F37CA9" w:rsidP="00F37CA9">
      <w:pPr>
        <w:tabs>
          <w:tab w:val="left" w:pos="3075"/>
        </w:tabs>
        <w:spacing w:line="480" w:lineRule="auto"/>
        <w:ind w:firstLine="567"/>
        <w:rPr>
          <w:rFonts w:cstheme="minorHAnsi"/>
          <w:sz w:val="24"/>
        </w:rPr>
      </w:pPr>
      <w:r>
        <w:rPr>
          <w:rFonts w:cstheme="minorHAnsi"/>
          <w:sz w:val="24"/>
        </w:rPr>
        <w:t>Comparison</w:t>
      </w:r>
      <w:r w:rsidR="00A36368">
        <w:rPr>
          <w:rFonts w:cstheme="minorHAnsi"/>
          <w:sz w:val="24"/>
        </w:rPr>
        <w:t xml:space="preserve"> of soils</w:t>
      </w:r>
      <w:r>
        <w:rPr>
          <w:rFonts w:cstheme="minorHAnsi"/>
          <w:sz w:val="24"/>
        </w:rPr>
        <w:t xml:space="preserve"> measured from the Semipalatinsk test site in Kazakhstan </w:t>
      </w:r>
      <w:r w:rsidR="0024246C">
        <w:rPr>
          <w:rFonts w:cstheme="minorHAnsi"/>
          <w:sz w:val="24"/>
        </w:rPr>
        <w:fldChar w:fldCharType="begin" w:fldLock="1"/>
      </w:r>
      <w:r w:rsidR="007B6045">
        <w:rPr>
          <w:rFonts w:cstheme="minorHAnsi"/>
          <w:sz w:val="24"/>
        </w:rPr>
        <w:instrText>ADDIN CSL_CITATION {"citationItems":[{"id":"ITEM-1","itemData":{"abstract":"Published by Elsevier Science Ltd. Printed in Great Britain P I I : S 0 2 6 5-9 3 1 X (9 7) 0 0 0 5 0-7 ABS¹RAC¹ Mass spectrometry measurements of Pu, U and Np isolated from soils contaminated by the 1957 accident at the Mayak nuclear complex in the Southern Ural mountains ('Kyshtym accident') and from soils collected at and near the Former Soviet Union (FSU) test site at Semipalatinsk-21 are reported. The results provide a coherent isotopic data set suggesting (1) that Pu recovered from irradiated uranium fuels processed at Mayak formed the source material for Pu devices tested at Semipalatinsk-21; (2) that 237 Np in the breached Mayak storage tank resulted, principally, from enrichment of this radionucl-ide in waste streams during the processing of low burn-up uranium fuels to recover both Pu and U and (3) the presence of 236 U at both sites may be useful in tracing inputs of this, and other transuranic radionuclides, to nearby river systems that flow to the Arctic Ocean. Published by Elsevier Science Ltd.","author":[{"dropping-particle":"","family":"Beasley","given":"T M","non-dropping-particle":"","parse-names":false,"suffix":""},{"dropping-particle":"","family":"Kelley","given":"J M","non-dropping-particle":"","parse-names":false,"suffix":""},{"dropping-particle":"","family":"Orlandini","given":"K A","non-dropping-particle":"","parse-names":false,"suffix":""},{"dropping-particle":"","family":"Bond","given":"A L A","non-dropping-particle":"","parse-names":false,"suffix":""},{"dropping-particle":"","family":"Aarkrog","given":"@ A","non-dropping-particle":"","parse-names":false,"suffix":""},{"dropping-particle":"","family":"Trapeznikovc","given":"B A P","non-dropping-particle":"","parse-names":false,"suffix":""},{"dropping-particle":"","family":"Pozolotinac","given":"V N","non-dropping-particle":"","parse-names":false,"suffix":""}],"container-title":"J. Environ. Radioactivity","id":"ITEM-1","issue":"2","issued":{"date-parts":[["1998"]]},"number-of-pages":"215-230","title":"Isotopic Pu, U, and Np Signatures in Soils from Semipalatinsk-21, Kazakh Republic and the Southern Urals, Russia","type":"report","volume":"39"},"uris":["http://www.mendeley.com/documents/?uuid=aa751f5d-6309-3641-9dc2-4010ee13a5b8"]}],"mendeley":{"formattedCitation":"[12]","plainTextFormattedCitation":"[12]","previouslyFormattedCitation":"[12]"},"properties":{"noteIndex":0},"schema":"https://github.com/citation-style-language/schema/raw/master/csl-citation.json"}</w:instrText>
      </w:r>
      <w:r w:rsidR="0024246C">
        <w:rPr>
          <w:rFonts w:cstheme="minorHAnsi"/>
          <w:sz w:val="24"/>
        </w:rPr>
        <w:fldChar w:fldCharType="separate"/>
      </w:r>
      <w:r w:rsidR="00CD23B7" w:rsidRPr="00CD23B7">
        <w:rPr>
          <w:rFonts w:cstheme="minorHAnsi"/>
          <w:noProof/>
          <w:sz w:val="24"/>
        </w:rPr>
        <w:t>[12]</w:t>
      </w:r>
      <w:r w:rsidR="0024246C">
        <w:rPr>
          <w:rFonts w:cstheme="minorHAnsi"/>
          <w:sz w:val="24"/>
        </w:rPr>
        <w:fldChar w:fldCharType="end"/>
      </w:r>
      <w:r>
        <w:rPr>
          <w:rFonts w:cstheme="minorHAnsi"/>
          <w:sz w:val="24"/>
        </w:rPr>
        <w:t xml:space="preserve"> demonstrate higher levels of </w:t>
      </w:r>
      <w:r w:rsidRPr="00F33246">
        <w:rPr>
          <w:rFonts w:cstheme="minorHAnsi"/>
          <w:sz w:val="24"/>
          <w:vertAlign w:val="superscript"/>
        </w:rPr>
        <w:t>24</w:t>
      </w:r>
      <w:r>
        <w:rPr>
          <w:rFonts w:cstheme="minorHAnsi"/>
          <w:sz w:val="24"/>
          <w:vertAlign w:val="superscript"/>
        </w:rPr>
        <w:t>2</w:t>
      </w:r>
      <w:r>
        <w:rPr>
          <w:rFonts w:cstheme="minorHAnsi"/>
          <w:sz w:val="24"/>
        </w:rPr>
        <w:t xml:space="preserve">Pu, in the range </w:t>
      </w:r>
      <w:r w:rsidR="006C0F99">
        <w:rPr>
          <w:rFonts w:cstheme="minorHAnsi"/>
          <w:sz w:val="24"/>
        </w:rPr>
        <w:t>4.0</w:t>
      </w:r>
      <w:r>
        <w:rPr>
          <w:rFonts w:cstheme="minorHAnsi"/>
          <w:sz w:val="24"/>
        </w:rPr>
        <w:t xml:space="preserve">±0.3 </w:t>
      </w:r>
      <w:r w:rsidR="0073196C">
        <w:rPr>
          <w:rFonts w:cstheme="minorHAnsi"/>
          <w:sz w:val="24"/>
        </w:rPr>
        <w:t>(~5.82</w:t>
      </w:r>
      <w:r w:rsidR="0073196C" w:rsidRPr="0073196C">
        <w:rPr>
          <w:rFonts w:cstheme="minorHAnsi"/>
          <w:sz w:val="24"/>
        </w:rPr>
        <w:t xml:space="preserve"> </w:t>
      </w:r>
      <w:r w:rsidR="0073196C">
        <w:rPr>
          <w:rFonts w:cstheme="minorHAnsi"/>
          <w:sz w:val="24"/>
        </w:rPr>
        <w:t>x10</w:t>
      </w:r>
      <w:r w:rsidR="0073196C">
        <w:rPr>
          <w:rFonts w:cstheme="minorHAnsi"/>
          <w:sz w:val="24"/>
          <w:vertAlign w:val="superscript"/>
        </w:rPr>
        <w:t>-4</w:t>
      </w:r>
      <w:r w:rsidR="0073196C">
        <w:rPr>
          <w:rFonts w:cstheme="minorHAnsi"/>
          <w:sz w:val="24"/>
        </w:rPr>
        <w:t xml:space="preserve"> Bq/kg) to</w:t>
      </w:r>
      <w:r>
        <w:rPr>
          <w:rFonts w:cstheme="minorHAnsi"/>
          <w:sz w:val="24"/>
        </w:rPr>
        <w:t xml:space="preserve"> 5.4±0.</w:t>
      </w:r>
      <w:r w:rsidR="00257088">
        <w:rPr>
          <w:rFonts w:cstheme="minorHAnsi"/>
          <w:sz w:val="24"/>
        </w:rPr>
        <w:t>4</w:t>
      </w:r>
      <w:r>
        <w:rPr>
          <w:rFonts w:cstheme="minorHAnsi"/>
          <w:sz w:val="24"/>
        </w:rPr>
        <w:t xml:space="preserve"> fg/g </w:t>
      </w:r>
      <w:r w:rsidR="0073196C">
        <w:rPr>
          <w:rFonts w:cstheme="minorHAnsi"/>
          <w:sz w:val="24"/>
        </w:rPr>
        <w:t>(~7.85</w:t>
      </w:r>
      <w:r w:rsidR="0073196C" w:rsidRPr="0073196C">
        <w:rPr>
          <w:rFonts w:cstheme="minorHAnsi"/>
          <w:sz w:val="24"/>
        </w:rPr>
        <w:t xml:space="preserve"> </w:t>
      </w:r>
      <w:r w:rsidR="0073196C">
        <w:rPr>
          <w:rFonts w:cstheme="minorHAnsi"/>
          <w:sz w:val="24"/>
        </w:rPr>
        <w:t>x10</w:t>
      </w:r>
      <w:r w:rsidR="0073196C">
        <w:rPr>
          <w:rFonts w:cstheme="minorHAnsi"/>
          <w:sz w:val="24"/>
          <w:vertAlign w:val="superscript"/>
        </w:rPr>
        <w:t>-</w:t>
      </w:r>
      <w:r w:rsidR="0073196C" w:rsidRPr="0073196C">
        <w:rPr>
          <w:rFonts w:cstheme="minorHAnsi"/>
          <w:sz w:val="24"/>
          <w:vertAlign w:val="superscript"/>
        </w:rPr>
        <w:t>4</w:t>
      </w:r>
      <w:r w:rsidR="0073196C">
        <w:rPr>
          <w:rFonts w:cstheme="minorHAnsi"/>
          <w:sz w:val="24"/>
        </w:rPr>
        <w:t xml:space="preserve">) </w:t>
      </w:r>
      <w:r w:rsidRPr="0073196C">
        <w:rPr>
          <w:rFonts w:cstheme="minorHAnsi"/>
          <w:sz w:val="24"/>
        </w:rPr>
        <w:t>compare</w:t>
      </w:r>
      <w:r>
        <w:rPr>
          <w:rFonts w:cstheme="minorHAnsi"/>
          <w:sz w:val="24"/>
        </w:rPr>
        <w:t xml:space="preserve"> to the average of 2.1 fg/g</w:t>
      </w:r>
      <w:r w:rsidR="0073196C">
        <w:rPr>
          <w:rFonts w:cstheme="minorHAnsi"/>
          <w:sz w:val="24"/>
        </w:rPr>
        <w:t xml:space="preserve"> (~3.05</w:t>
      </w:r>
      <w:r w:rsidR="0073196C" w:rsidRPr="0073196C">
        <w:rPr>
          <w:rFonts w:cstheme="minorHAnsi"/>
          <w:sz w:val="24"/>
        </w:rPr>
        <w:t xml:space="preserve"> </w:t>
      </w:r>
      <w:r w:rsidR="0073196C">
        <w:rPr>
          <w:rFonts w:cstheme="minorHAnsi"/>
          <w:sz w:val="24"/>
        </w:rPr>
        <w:t>x10</w:t>
      </w:r>
      <w:r w:rsidR="0073196C">
        <w:rPr>
          <w:rFonts w:cstheme="minorHAnsi"/>
          <w:sz w:val="24"/>
          <w:vertAlign w:val="superscript"/>
        </w:rPr>
        <w:t>-4</w:t>
      </w:r>
      <w:r w:rsidR="0073196C">
        <w:rPr>
          <w:rFonts w:cstheme="minorHAnsi"/>
          <w:sz w:val="24"/>
        </w:rPr>
        <w:t xml:space="preserve"> Bq/kg)</w:t>
      </w:r>
      <w:r>
        <w:rPr>
          <w:rFonts w:cstheme="minorHAnsi"/>
          <w:sz w:val="24"/>
        </w:rPr>
        <w:t xml:space="preserve"> over the entire project sample set. The Semipalatinsk samples are expected to be higher in </w:t>
      </w:r>
      <w:r w:rsidRPr="00F33246">
        <w:rPr>
          <w:rFonts w:cstheme="minorHAnsi"/>
          <w:sz w:val="24"/>
          <w:vertAlign w:val="superscript"/>
        </w:rPr>
        <w:t>24</w:t>
      </w:r>
      <w:r>
        <w:rPr>
          <w:rFonts w:cstheme="minorHAnsi"/>
          <w:sz w:val="24"/>
          <w:vertAlign w:val="superscript"/>
        </w:rPr>
        <w:t>2</w:t>
      </w:r>
      <w:r>
        <w:rPr>
          <w:rFonts w:cstheme="minorHAnsi"/>
          <w:sz w:val="24"/>
        </w:rPr>
        <w:t xml:space="preserve">Pu abundance than Dounreay samples as nuclear weapons tests create a high neutron flux, increasing the </w:t>
      </w:r>
      <w:r w:rsidR="00257088">
        <w:rPr>
          <w:rFonts w:cstheme="minorHAnsi"/>
          <w:sz w:val="24"/>
        </w:rPr>
        <w:t>proportion</w:t>
      </w:r>
      <w:r>
        <w:rPr>
          <w:rFonts w:cstheme="minorHAnsi"/>
          <w:sz w:val="24"/>
        </w:rPr>
        <w:t xml:space="preserve"> of higher</w:t>
      </w:r>
      <w:r w:rsidR="00257088">
        <w:rPr>
          <w:rFonts w:cstheme="minorHAnsi"/>
          <w:sz w:val="24"/>
        </w:rPr>
        <w:t>-</w:t>
      </w:r>
      <w:r>
        <w:rPr>
          <w:rFonts w:cstheme="minorHAnsi"/>
          <w:sz w:val="24"/>
        </w:rPr>
        <w:t>mass plutonium isotopes</w:t>
      </w:r>
      <w:r w:rsidR="00257088">
        <w:rPr>
          <w:rFonts w:cstheme="minorHAnsi"/>
          <w:sz w:val="24"/>
        </w:rPr>
        <w:t xml:space="preserve"> formed</w:t>
      </w:r>
      <w:r>
        <w:rPr>
          <w:rFonts w:cstheme="minorHAnsi"/>
          <w:sz w:val="24"/>
        </w:rPr>
        <w:t xml:space="preserve">. Like </w:t>
      </w:r>
      <w:r w:rsidRPr="00F33246">
        <w:rPr>
          <w:rFonts w:cstheme="minorHAnsi"/>
          <w:sz w:val="24"/>
          <w:vertAlign w:val="superscript"/>
        </w:rPr>
        <w:t>24</w:t>
      </w:r>
      <w:r>
        <w:rPr>
          <w:rFonts w:cstheme="minorHAnsi"/>
          <w:sz w:val="24"/>
          <w:vertAlign w:val="superscript"/>
        </w:rPr>
        <w:t>0</w:t>
      </w:r>
      <w:r>
        <w:rPr>
          <w:rFonts w:cstheme="minorHAnsi"/>
          <w:sz w:val="24"/>
        </w:rPr>
        <w:t xml:space="preserve">Pu, </w:t>
      </w:r>
      <w:r w:rsidRPr="00F33246">
        <w:rPr>
          <w:rFonts w:cstheme="minorHAnsi"/>
          <w:sz w:val="24"/>
          <w:vertAlign w:val="superscript"/>
        </w:rPr>
        <w:t>24</w:t>
      </w:r>
      <w:r>
        <w:rPr>
          <w:rFonts w:cstheme="minorHAnsi"/>
          <w:sz w:val="24"/>
          <w:vertAlign w:val="superscript"/>
        </w:rPr>
        <w:t>2</w:t>
      </w:r>
      <w:r>
        <w:rPr>
          <w:rFonts w:cstheme="minorHAnsi"/>
          <w:sz w:val="24"/>
        </w:rPr>
        <w:t>Pu abundance alone can provide significant information that contamination is present, but cannot</w:t>
      </w:r>
      <w:r w:rsidR="005565B6">
        <w:rPr>
          <w:rFonts w:cstheme="minorHAnsi"/>
          <w:sz w:val="24"/>
        </w:rPr>
        <w:t xml:space="preserve"> conclusively</w:t>
      </w:r>
      <w:r>
        <w:rPr>
          <w:rFonts w:cstheme="minorHAnsi"/>
          <w:sz w:val="24"/>
        </w:rPr>
        <w:t xml:space="preserve"> inform the origin of the material</w:t>
      </w:r>
      <w:r w:rsidR="005565B6">
        <w:rPr>
          <w:rFonts w:cstheme="minorHAnsi"/>
          <w:sz w:val="24"/>
        </w:rPr>
        <w:t xml:space="preserve"> further than a significantly high abundance of </w:t>
      </w:r>
      <w:r w:rsidR="005565B6">
        <w:rPr>
          <w:rFonts w:cstheme="minorHAnsi"/>
          <w:sz w:val="24"/>
          <w:vertAlign w:val="superscript"/>
        </w:rPr>
        <w:t>242</w:t>
      </w:r>
      <w:r w:rsidR="005565B6">
        <w:rPr>
          <w:rFonts w:cstheme="minorHAnsi"/>
          <w:sz w:val="24"/>
        </w:rPr>
        <w:t xml:space="preserve">Pu </w:t>
      </w:r>
      <w:r w:rsidR="005565B6">
        <w:rPr>
          <w:rFonts w:cstheme="minorHAnsi"/>
          <w:sz w:val="24"/>
        </w:rPr>
        <w:lastRenderedPageBreak/>
        <w:t>suggests weapons origin</w:t>
      </w:r>
      <w:r>
        <w:rPr>
          <w:rFonts w:cstheme="minorHAnsi"/>
          <w:sz w:val="24"/>
        </w:rPr>
        <w:t xml:space="preserve">, </w:t>
      </w:r>
      <w:r w:rsidR="00257088">
        <w:rPr>
          <w:rFonts w:cstheme="minorHAnsi"/>
          <w:sz w:val="24"/>
        </w:rPr>
        <w:t xml:space="preserve">but </w:t>
      </w:r>
      <w:r w:rsidR="005565B6">
        <w:rPr>
          <w:rFonts w:cstheme="minorHAnsi"/>
          <w:sz w:val="24"/>
        </w:rPr>
        <w:t>conclusions</w:t>
      </w:r>
      <w:r w:rsidR="00257088">
        <w:rPr>
          <w:rFonts w:cstheme="minorHAnsi"/>
          <w:sz w:val="24"/>
        </w:rPr>
        <w:t xml:space="preserve"> </w:t>
      </w:r>
      <w:r w:rsidR="006D3F73">
        <w:rPr>
          <w:rFonts w:cstheme="minorHAnsi"/>
          <w:sz w:val="24"/>
        </w:rPr>
        <w:t>of origin are</w:t>
      </w:r>
      <w:r w:rsidR="00257088">
        <w:rPr>
          <w:rFonts w:cstheme="minorHAnsi"/>
          <w:sz w:val="24"/>
        </w:rPr>
        <w:t xml:space="preserve"> possible</w:t>
      </w:r>
      <w:r>
        <w:rPr>
          <w:rFonts w:cstheme="minorHAnsi"/>
          <w:sz w:val="24"/>
        </w:rPr>
        <w:t xml:space="preserve"> when </w:t>
      </w:r>
      <w:r w:rsidR="006D3F73">
        <w:rPr>
          <w:rFonts w:cstheme="minorHAnsi"/>
          <w:sz w:val="24"/>
          <w:vertAlign w:val="superscript"/>
        </w:rPr>
        <w:t>242</w:t>
      </w:r>
      <w:r w:rsidR="006D3F73">
        <w:rPr>
          <w:rFonts w:cstheme="minorHAnsi"/>
          <w:sz w:val="24"/>
        </w:rPr>
        <w:t>Pu</w:t>
      </w:r>
      <w:r>
        <w:rPr>
          <w:rFonts w:cstheme="minorHAnsi"/>
          <w:sz w:val="24"/>
        </w:rPr>
        <w:t xml:space="preserve"> association with </w:t>
      </w:r>
      <w:r w:rsidRPr="00F33246">
        <w:rPr>
          <w:rFonts w:cstheme="minorHAnsi"/>
          <w:sz w:val="24"/>
          <w:vertAlign w:val="superscript"/>
        </w:rPr>
        <w:t>2</w:t>
      </w:r>
      <w:r>
        <w:rPr>
          <w:rFonts w:cstheme="minorHAnsi"/>
          <w:sz w:val="24"/>
          <w:vertAlign w:val="superscript"/>
        </w:rPr>
        <w:t>39</w:t>
      </w:r>
      <w:r>
        <w:rPr>
          <w:rFonts w:cstheme="minorHAnsi"/>
          <w:sz w:val="24"/>
        </w:rPr>
        <w:t>Pu is considered as a ratio.</w:t>
      </w:r>
    </w:p>
    <w:p w14:paraId="53FC7D90" w14:textId="77777777" w:rsidR="00F37CA9" w:rsidRPr="005A775C" w:rsidRDefault="00F37CA9" w:rsidP="00F37CA9">
      <w:pPr>
        <w:tabs>
          <w:tab w:val="left" w:pos="3075"/>
        </w:tabs>
        <w:spacing w:line="480" w:lineRule="auto"/>
        <w:rPr>
          <w:b/>
          <w:sz w:val="28"/>
        </w:rPr>
      </w:pPr>
      <w:r w:rsidRPr="005A775C">
        <w:rPr>
          <w:b/>
          <w:sz w:val="28"/>
        </w:rPr>
        <w:t>4.</w:t>
      </w:r>
      <w:r>
        <w:rPr>
          <w:b/>
          <w:sz w:val="28"/>
        </w:rPr>
        <w:t>3</w:t>
      </w:r>
      <w:r w:rsidRPr="005A775C">
        <w:rPr>
          <w:b/>
          <w:sz w:val="28"/>
        </w:rPr>
        <w:t xml:space="preserve">.4 </w:t>
      </w:r>
      <w:r w:rsidRPr="005A775C">
        <w:rPr>
          <w:b/>
          <w:sz w:val="28"/>
          <w:vertAlign w:val="superscript"/>
        </w:rPr>
        <w:t>236</w:t>
      </w:r>
      <w:r w:rsidRPr="005A775C">
        <w:rPr>
          <w:b/>
          <w:sz w:val="28"/>
        </w:rPr>
        <w:t>U</w:t>
      </w:r>
    </w:p>
    <w:p w14:paraId="1869E3E4" w14:textId="58EC61C3" w:rsidR="00F37CA9" w:rsidRDefault="00F37CA9" w:rsidP="00F37CA9">
      <w:pPr>
        <w:tabs>
          <w:tab w:val="left" w:pos="3075"/>
        </w:tabs>
        <w:spacing w:line="480" w:lineRule="auto"/>
        <w:ind w:firstLine="567"/>
        <w:rPr>
          <w:sz w:val="24"/>
        </w:rPr>
      </w:pPr>
      <w:r>
        <w:rPr>
          <w:sz w:val="24"/>
        </w:rPr>
        <w:t xml:space="preserve">The sample abundance of </w:t>
      </w:r>
      <w:r>
        <w:rPr>
          <w:sz w:val="24"/>
          <w:vertAlign w:val="superscript"/>
        </w:rPr>
        <w:t>236</w:t>
      </w:r>
      <w:r>
        <w:rPr>
          <w:sz w:val="24"/>
        </w:rPr>
        <w:t xml:space="preserve">U does not </w:t>
      </w:r>
      <w:r w:rsidR="00257088">
        <w:rPr>
          <w:sz w:val="24"/>
        </w:rPr>
        <w:t>exhibit</w:t>
      </w:r>
      <w:r>
        <w:rPr>
          <w:sz w:val="24"/>
        </w:rPr>
        <w:t xml:space="preserve"> a specific trend, with some variation between samples. DSRL6 demonstrates the highest levels of </w:t>
      </w:r>
      <w:r>
        <w:rPr>
          <w:sz w:val="24"/>
          <w:vertAlign w:val="superscript"/>
        </w:rPr>
        <w:t>236</w:t>
      </w:r>
      <w:r>
        <w:rPr>
          <w:sz w:val="24"/>
        </w:rPr>
        <w:t xml:space="preserve">U at </w:t>
      </w:r>
      <w:r w:rsidR="00257088">
        <w:rPr>
          <w:sz w:val="24"/>
        </w:rPr>
        <w:t>143</w:t>
      </w:r>
      <w:r>
        <w:rPr>
          <w:rFonts w:cstheme="minorHAnsi"/>
          <w:sz w:val="24"/>
        </w:rPr>
        <w:t>±27</w:t>
      </w:r>
      <w:r>
        <w:rPr>
          <w:sz w:val="24"/>
        </w:rPr>
        <w:t xml:space="preserve"> pg/g</w:t>
      </w:r>
      <w:r w:rsidR="007F1D88">
        <w:rPr>
          <w:sz w:val="24"/>
        </w:rPr>
        <w:t xml:space="preserve"> (~0.33</w:t>
      </w:r>
      <w:r w:rsidR="00A06414">
        <w:rPr>
          <w:sz w:val="24"/>
        </w:rPr>
        <w:t>3</w:t>
      </w:r>
      <w:r w:rsidR="007F1D88">
        <w:rPr>
          <w:sz w:val="24"/>
        </w:rPr>
        <w:t xml:space="preserve"> Bq/kg)</w:t>
      </w:r>
      <w:r>
        <w:rPr>
          <w:sz w:val="24"/>
        </w:rPr>
        <w:t xml:space="preserve"> while DSRL8 demonstrates the lowest yet again, at </w:t>
      </w:r>
      <w:r w:rsidR="00257088">
        <w:rPr>
          <w:sz w:val="24"/>
        </w:rPr>
        <w:t>40</w:t>
      </w:r>
      <w:r>
        <w:rPr>
          <w:rFonts w:cstheme="minorHAnsi"/>
          <w:sz w:val="24"/>
        </w:rPr>
        <w:t>±10 pg/g</w:t>
      </w:r>
      <w:r w:rsidR="007F1D88">
        <w:rPr>
          <w:rFonts w:cstheme="minorHAnsi"/>
          <w:sz w:val="24"/>
        </w:rPr>
        <w:t xml:space="preserve"> </w:t>
      </w:r>
      <w:r w:rsidR="00A06414">
        <w:rPr>
          <w:rFonts w:cstheme="minorHAnsi"/>
          <w:sz w:val="24"/>
        </w:rPr>
        <w:t>(~9.32x10</w:t>
      </w:r>
      <w:r w:rsidR="00A06414">
        <w:rPr>
          <w:rFonts w:cstheme="minorHAnsi"/>
          <w:sz w:val="24"/>
          <w:vertAlign w:val="superscript"/>
        </w:rPr>
        <w:t>-2</w:t>
      </w:r>
      <w:r w:rsidR="00A06414">
        <w:rPr>
          <w:rFonts w:cstheme="minorHAnsi"/>
          <w:sz w:val="24"/>
        </w:rPr>
        <w:t xml:space="preserve"> Bq/kg)</w:t>
      </w:r>
      <w:r>
        <w:rPr>
          <w:rFonts w:cstheme="minorHAnsi"/>
          <w:sz w:val="24"/>
        </w:rPr>
        <w:t>.</w:t>
      </w:r>
    </w:p>
    <w:p w14:paraId="31586EDB" w14:textId="177DB07B" w:rsidR="00F37CA9" w:rsidRDefault="00F37CA9" w:rsidP="00F37CA9">
      <w:pPr>
        <w:tabs>
          <w:tab w:val="left" w:pos="3075"/>
        </w:tabs>
        <w:spacing w:line="480" w:lineRule="auto"/>
        <w:ind w:firstLine="567"/>
        <w:rPr>
          <w:sz w:val="24"/>
        </w:rPr>
      </w:pPr>
      <w:r>
        <w:rPr>
          <w:sz w:val="24"/>
        </w:rPr>
        <w:t xml:space="preserve">Chamizo et al measured the </w:t>
      </w:r>
      <w:r>
        <w:rPr>
          <w:sz w:val="24"/>
          <w:vertAlign w:val="superscript"/>
        </w:rPr>
        <w:t>236</w:t>
      </w:r>
      <w:r>
        <w:rPr>
          <w:sz w:val="24"/>
        </w:rPr>
        <w:t>U abundance in IAEA standard samples with the 1 MV AMS system at the Centro Nacional De Acceledores (Seville, Spain)</w:t>
      </w:r>
      <w:r w:rsidR="0024246C">
        <w:rPr>
          <w:sz w:val="24"/>
        </w:rPr>
        <w:fldChar w:fldCharType="begin" w:fldLock="1"/>
      </w:r>
      <w:r w:rsidR="006F1462">
        <w:rPr>
          <w:sz w:val="24"/>
        </w:rPr>
        <w:instrText>ADDIN CSL_CITATION {"citationItems":[{"id":"ITEM-1","itemData":{"DOI":"10.1016/j.nimb.2015.05.008","abstract":"In this paper we present the first comprehensive analysis of the 1 MV AMS system at the Centro Nacional de Aceleradores (CNA, Seville, Spain) for 236 U studies in environmental samples. In the last years, this radionuclide has become key in the AMS community, due to the very demanding 236 U/ 238 U abundance sensitivities required for general applications. As we demonstrate, the AMS system at the CNA is able to achieve sensitivity for the 236 U/ 238 U ratio of about 3 Â 10 À11 despite its compact design. The use of '' 239 Pu''/ 238 U ratio as a proxy for '' 236 U''/ 235 U background correction is proposed and tested with natural samples that were also studied on the 600 kV Tandy AMS system at the ETH Zürich. This correction is significant in the CNA case, due to the low mass resolving power of the low-energy spectrometer and to the lack of a third filter on the high-energy side. With the measurement of reference solutions supplied by the Institute for Reference Materials and Methods (IRMM-075), and reference natural matrixes provided by the International Atomic Energy Agency (IAEA-Soil-6, IAEA-375; 384; 386 and IAEA-RGU), we show that the 1 MV AMS system at the CNA can be routinely used for determinations of anthropogenic 236 U at environmental levels.","author":[{"dropping-particle":"","family":"Chamizo","given":"E","non-dropping-particle":"","parse-names":false,"suffix":""},{"dropping-particle":"","family":"Christl","given":"M","non-dropping-particle":"","parse-names":false,"suffix":""},{"dropping-particle":"","family":"Fifield","given":"L K","non-dropping-particle":"","parse-names":false,"suffix":""}],"id":"ITEM-1","issued":{"date-parts":[["2015"]]},"title":"Measurement of 236 U on the 1 MV AMS system at the Centro Nacional de Aceleradores (CNA)","type":"article-journal"},"uris":["http://www.mendeley.com/documents/?uuid=a916e62d-1a95-3579-aaba-d62415b4e211"]}],"mendeley":{"formattedCitation":"[82]","plainTextFormattedCitation":"[82]","previouslyFormattedCitation":"[82]"},"properties":{"noteIndex":0},"schema":"https://github.com/citation-style-language/schema/raw/master/csl-citation.json"}</w:instrText>
      </w:r>
      <w:r w:rsidR="0024246C">
        <w:rPr>
          <w:sz w:val="24"/>
        </w:rPr>
        <w:fldChar w:fldCharType="separate"/>
      </w:r>
      <w:r w:rsidR="00E510BC" w:rsidRPr="00E510BC">
        <w:rPr>
          <w:noProof/>
          <w:sz w:val="24"/>
        </w:rPr>
        <w:t>[82]</w:t>
      </w:r>
      <w:r w:rsidR="0024246C">
        <w:rPr>
          <w:sz w:val="24"/>
        </w:rPr>
        <w:fldChar w:fldCharType="end"/>
      </w:r>
      <w:r>
        <w:rPr>
          <w:sz w:val="24"/>
        </w:rPr>
        <w:t xml:space="preserve">. The samples were made up of sediment and soils and </w:t>
      </w:r>
      <w:r w:rsidR="007D226A">
        <w:rPr>
          <w:sz w:val="24"/>
        </w:rPr>
        <w:t>were consistent in</w:t>
      </w:r>
      <w:r>
        <w:rPr>
          <w:sz w:val="24"/>
        </w:rPr>
        <w:t xml:space="preserve"> </w:t>
      </w:r>
      <w:r>
        <w:rPr>
          <w:sz w:val="24"/>
          <w:vertAlign w:val="superscript"/>
        </w:rPr>
        <w:t>236</w:t>
      </w:r>
      <w:r>
        <w:rPr>
          <w:sz w:val="24"/>
        </w:rPr>
        <w:t>U abundance t</w:t>
      </w:r>
      <w:r w:rsidR="007D226A">
        <w:rPr>
          <w:sz w:val="24"/>
        </w:rPr>
        <w:t>o</w:t>
      </w:r>
      <w:r>
        <w:rPr>
          <w:sz w:val="24"/>
        </w:rPr>
        <w:t xml:space="preserve"> the Dounreay samples, which averaged 84</w:t>
      </w:r>
      <w:r>
        <w:rPr>
          <w:rFonts w:cstheme="minorHAnsi"/>
          <w:sz w:val="24"/>
        </w:rPr>
        <w:t>±</w:t>
      </w:r>
      <w:r>
        <w:rPr>
          <w:sz w:val="24"/>
        </w:rPr>
        <w:t>5</w:t>
      </w:r>
      <w:r w:rsidR="007D226A">
        <w:rPr>
          <w:sz w:val="24"/>
        </w:rPr>
        <w:t>3</w:t>
      </w:r>
      <w:r>
        <w:rPr>
          <w:sz w:val="24"/>
        </w:rPr>
        <w:t xml:space="preserve"> pg/g</w:t>
      </w:r>
      <w:r w:rsidR="00A06414">
        <w:rPr>
          <w:sz w:val="24"/>
        </w:rPr>
        <w:t xml:space="preserve"> (~0.196 Bq/kg)</w:t>
      </w:r>
      <w:r w:rsidR="007D226A">
        <w:rPr>
          <w:sz w:val="24"/>
        </w:rPr>
        <w:t xml:space="preserve"> due to the high error margins.</w:t>
      </w:r>
    </w:p>
    <w:p w14:paraId="28A196E9" w14:textId="3AB4396B" w:rsidR="00F37CA9" w:rsidRDefault="00F37CA9" w:rsidP="00F37CA9">
      <w:pPr>
        <w:tabs>
          <w:tab w:val="left" w:pos="3075"/>
        </w:tabs>
        <w:spacing w:line="480" w:lineRule="auto"/>
        <w:ind w:firstLine="567"/>
        <w:rPr>
          <w:rFonts w:cstheme="minorHAnsi"/>
          <w:sz w:val="24"/>
        </w:rPr>
      </w:pPr>
      <w:r>
        <w:rPr>
          <w:sz w:val="24"/>
        </w:rPr>
        <w:t xml:space="preserve">The highest measurement Chamizo made of </w:t>
      </w:r>
      <w:r>
        <w:rPr>
          <w:sz w:val="24"/>
          <w:vertAlign w:val="superscript"/>
        </w:rPr>
        <w:t>236</w:t>
      </w:r>
      <w:r>
        <w:rPr>
          <w:sz w:val="24"/>
        </w:rPr>
        <w:t>U abundance was from the IAEA-410 soil sample, from Bikini Atoll of 225</w:t>
      </w:r>
      <w:r>
        <w:rPr>
          <w:rFonts w:cstheme="minorHAnsi"/>
          <w:sz w:val="24"/>
        </w:rPr>
        <w:t>±8 (x 10</w:t>
      </w:r>
      <w:r>
        <w:rPr>
          <w:rFonts w:cstheme="minorHAnsi"/>
          <w:sz w:val="24"/>
          <w:vertAlign w:val="superscript"/>
        </w:rPr>
        <w:t>6</w:t>
      </w:r>
      <w:r>
        <w:rPr>
          <w:rFonts w:cstheme="minorHAnsi"/>
          <w:sz w:val="24"/>
        </w:rPr>
        <w:t xml:space="preserve"> atoms/g). When converted to mass </w:t>
      </w:r>
      <w:r w:rsidR="0024246C">
        <w:rPr>
          <w:rFonts w:cstheme="minorHAnsi"/>
          <w:sz w:val="24"/>
        </w:rPr>
        <w:t>(</w:t>
      </w:r>
      <w:r>
        <w:rPr>
          <w:rFonts w:cstheme="minorHAnsi"/>
          <w:sz w:val="24"/>
        </w:rPr>
        <w:t xml:space="preserve">using the </w:t>
      </w:r>
      <w:r>
        <w:rPr>
          <w:rFonts w:cstheme="minorHAnsi"/>
          <w:sz w:val="24"/>
          <w:vertAlign w:val="superscript"/>
        </w:rPr>
        <w:t>236</w:t>
      </w:r>
      <w:r>
        <w:rPr>
          <w:rFonts w:cstheme="minorHAnsi"/>
          <w:sz w:val="24"/>
        </w:rPr>
        <w:t>U</w:t>
      </w:r>
      <w:r>
        <w:rPr>
          <w:rFonts w:cstheme="minorHAnsi"/>
          <w:sz w:val="24"/>
          <w:vertAlign w:val="superscript"/>
        </w:rPr>
        <w:t xml:space="preserve"> </w:t>
      </w:r>
      <w:r w:rsidR="007D226A">
        <w:rPr>
          <w:rFonts w:cstheme="minorHAnsi"/>
          <w:sz w:val="24"/>
        </w:rPr>
        <w:t>atomic mass</w:t>
      </w:r>
      <w:r>
        <w:rPr>
          <w:rFonts w:cstheme="minorHAnsi"/>
          <w:sz w:val="24"/>
        </w:rPr>
        <w:t xml:space="preserve"> and Avogadro’s constant</w:t>
      </w:r>
      <w:r w:rsidR="0024246C">
        <w:rPr>
          <w:rFonts w:cstheme="minorHAnsi"/>
          <w:sz w:val="24"/>
        </w:rPr>
        <w:t>)</w:t>
      </w:r>
      <w:r>
        <w:rPr>
          <w:rFonts w:cstheme="minorHAnsi"/>
          <w:sz w:val="24"/>
        </w:rPr>
        <w:t xml:space="preserve"> this translates to an absolute mass value of 88±</w:t>
      </w:r>
      <w:r w:rsidR="007D226A">
        <w:rPr>
          <w:rFonts w:cstheme="minorHAnsi"/>
          <w:sz w:val="24"/>
        </w:rPr>
        <w:t>1</w:t>
      </w:r>
      <w:r>
        <w:rPr>
          <w:rFonts w:cstheme="minorHAnsi"/>
          <w:sz w:val="24"/>
        </w:rPr>
        <w:t xml:space="preserve"> fg/g</w:t>
      </w:r>
      <w:r w:rsidR="00A06414">
        <w:rPr>
          <w:rFonts w:cstheme="minorHAnsi"/>
          <w:sz w:val="24"/>
        </w:rPr>
        <w:t xml:space="preserve"> (~2.05x10</w:t>
      </w:r>
      <w:r w:rsidR="00A06414">
        <w:rPr>
          <w:rFonts w:cstheme="minorHAnsi"/>
          <w:sz w:val="24"/>
          <w:vertAlign w:val="superscript"/>
        </w:rPr>
        <w:t>-4</w:t>
      </w:r>
      <w:r w:rsidR="00A06414">
        <w:rPr>
          <w:rFonts w:cstheme="minorHAnsi"/>
          <w:sz w:val="24"/>
        </w:rPr>
        <w:t xml:space="preserve"> Bq/kg)</w:t>
      </w:r>
      <w:r>
        <w:rPr>
          <w:rFonts w:cstheme="minorHAnsi"/>
          <w:sz w:val="24"/>
        </w:rPr>
        <w:t xml:space="preserve"> – three orders of magnitude lower than the Dounreay average. The IAEA sample from Bikini Atoll has of course been influenced by the </w:t>
      </w:r>
      <w:r>
        <w:rPr>
          <w:sz w:val="24"/>
        </w:rPr>
        <w:t>detonation of 23 nuclear devices by the United States</w:t>
      </w:r>
      <w:r w:rsidR="00257088">
        <w:rPr>
          <w:rFonts w:cstheme="minorHAnsi"/>
          <w:sz w:val="24"/>
        </w:rPr>
        <w:t xml:space="preserve"> and so is expected to be higher</w:t>
      </w:r>
      <w:r w:rsidR="00A06414">
        <w:rPr>
          <w:rFonts w:cstheme="minorHAnsi"/>
          <w:sz w:val="24"/>
        </w:rPr>
        <w:t xml:space="preserve"> than the UK samples</w:t>
      </w:r>
      <w:r w:rsidR="00257088">
        <w:rPr>
          <w:rFonts w:cstheme="minorHAnsi"/>
          <w:sz w:val="24"/>
        </w:rPr>
        <w:t>.</w:t>
      </w:r>
    </w:p>
    <w:p w14:paraId="44E270F5" w14:textId="77777777" w:rsidR="00EE3F1F" w:rsidRDefault="00F37CA9" w:rsidP="00F37CA9">
      <w:pPr>
        <w:tabs>
          <w:tab w:val="left" w:pos="3075"/>
        </w:tabs>
        <w:spacing w:line="480" w:lineRule="auto"/>
        <w:ind w:firstLine="567"/>
        <w:rPr>
          <w:sz w:val="24"/>
        </w:rPr>
      </w:pPr>
      <w:r>
        <w:rPr>
          <w:rFonts w:cstheme="minorHAnsi"/>
          <w:sz w:val="24"/>
        </w:rPr>
        <w:t>This is an interesting result as it suggests that there could be a source of anthropogenic contamination originating from the Dounreay site, greater than that seen from a thermonuclear test site. This however does not consider the comparatively high levels of both the off-site ‘DSRLB1’ and ‘Biggin’</w:t>
      </w:r>
      <w:r>
        <w:rPr>
          <w:sz w:val="24"/>
        </w:rPr>
        <w:t xml:space="preserve"> samples. It is possible for some historical contamination on-site to potentially have been carried off-site (i.e. DSRL -&gt; DSRLB1), but improbable for the same contamination to migrate ~500 miles to the Biggin sample site.</w:t>
      </w:r>
    </w:p>
    <w:p w14:paraId="5A2729D5" w14:textId="0B59EA77" w:rsidR="00F37CA9" w:rsidRDefault="00F37CA9" w:rsidP="00F37CA9">
      <w:pPr>
        <w:tabs>
          <w:tab w:val="left" w:pos="3075"/>
        </w:tabs>
        <w:spacing w:line="480" w:lineRule="auto"/>
        <w:ind w:firstLine="567"/>
        <w:rPr>
          <w:rFonts w:cstheme="minorHAnsi"/>
          <w:sz w:val="24"/>
        </w:rPr>
      </w:pPr>
      <w:r>
        <w:rPr>
          <w:sz w:val="24"/>
        </w:rPr>
        <w:lastRenderedPageBreak/>
        <w:t>The report published by Salmani-Ghabeshi et al (2018) demonstrates similar values to those published by Chamizo et al with their lowest values of approximately 0.7 fg/g</w:t>
      </w:r>
      <w:r w:rsidR="00A06414">
        <w:rPr>
          <w:sz w:val="24"/>
        </w:rPr>
        <w:t xml:space="preserve"> (~1.63x10</w:t>
      </w:r>
      <w:r w:rsidR="00A06414">
        <w:rPr>
          <w:sz w:val="24"/>
          <w:vertAlign w:val="superscript"/>
        </w:rPr>
        <w:t>-6</w:t>
      </w:r>
      <w:r w:rsidR="00A06414">
        <w:rPr>
          <w:sz w:val="24"/>
        </w:rPr>
        <w:t xml:space="preserve"> Bq/kg)</w:t>
      </w:r>
      <w:r>
        <w:rPr>
          <w:sz w:val="24"/>
        </w:rPr>
        <w:t>, ranging to their highest taken from Bikini Atoll, of approximately 135 fg/g</w:t>
      </w:r>
      <w:r w:rsidR="00A06414">
        <w:rPr>
          <w:sz w:val="24"/>
        </w:rPr>
        <w:t xml:space="preserve"> (~3.15x10</w:t>
      </w:r>
      <w:r w:rsidR="00A06414">
        <w:rPr>
          <w:sz w:val="24"/>
          <w:vertAlign w:val="superscript"/>
        </w:rPr>
        <w:t>-4</w:t>
      </w:r>
      <w:r w:rsidR="00A06414">
        <w:rPr>
          <w:sz w:val="24"/>
        </w:rPr>
        <w:t xml:space="preserve"> Bq/kg)</w:t>
      </w:r>
      <w:r w:rsidR="0024246C">
        <w:rPr>
          <w:sz w:val="24"/>
        </w:rPr>
        <w:fldChar w:fldCharType="begin" w:fldLock="1"/>
      </w:r>
      <w:r w:rsidR="00767A68">
        <w:rPr>
          <w:sz w:val="24"/>
        </w:rPr>
        <w:instrText>ADDIN CSL_CITATION {"citationItems":[{"id":"ITEM-1","itemData":{"DOI":"10.1016/j.jenvrad.2018.08.003","abstract":"236 U, 239 Pu and 240 Pu are present in soils mainly as a result of the local-and global-fallout from the atmospheric nuclear weapons tests carried out mainly in the 1950's and 1960's. In this work we provide new data on the presence of 236 U and 239,240 Pu in surface soils (i.e. up to 5 cm depth) from Chile and Africa. The results were obtained by low-energy Accelerator Mass Spectrometry (AMS). In the case of the Chilean samples, 236 U/ 239 Pu atom ratios show a high variability and are in general higher than the reported value for the global fallout in the Northern Hemisphere, ranging from 0.2 to 1.5. The 236 U atomic concentrations range from 3.5 × 10 6 to 9.1 × 10 6 atoms/g, and are at least two orders of magnitude lower than the reported values in the Northern Hemisphere. The measured 240 Pu/ 239 Pu atom ratio in soils from South-Africa and Mozambique are of about 0.17, in agreement with the expected one for global-fallout at those coordinates. To best knowledge of the authors the present work is the first publication on 236 U concentrations and 236 U/ 239 Pu atom ratios in soils from South-America and Africa.","author":[{"dropping-particle":"","family":"Salmani-Ghabeshi","given":"S","non-dropping-particle":"","parse-names":false,"suffix":""},{"dropping-particle":"","family":"Chamizo","given":"E","non-dropping-particle":"","parse-names":false,"suffix":""},{"dropping-particle":"","family":"Christl","given":"M","non-dropping-particle":"","parse-names":false,"suffix":""},{"dropping-particle":"","family":"Miró","given":"C","non-dropping-particle":"","parse-names":false,"suffix":""},{"dropping-particle":"","family":"Pinilla-Gil","given":"E","non-dropping-particle":"","parse-names":false,"suffix":""},{"dropping-particle":"","family":"Cereceda-Balic","given":"F","non-dropping-particle":"","parse-names":false,"suffix":""}],"container-title":"Journal of Environmental Radioactivity","id":"ITEM-1","issued":{"date-parts":[["2018"]]},"page":"478-484","title":"Presence of 236 U and 239,240 Pu in soils from Southern Hemisphere","type":"article-journal","volume":"192"},"uris":["http://www.mendeley.com/documents/?uuid=3d8601f3-9bd6-39de-b2d7-4088d087c191"]}],"mendeley":{"formattedCitation":"[73]","plainTextFormattedCitation":"[73]","previouslyFormattedCitation":"[73]"},"properties":{"noteIndex":0},"schema":"https://github.com/citation-style-language/schema/raw/master/csl-citation.json"}</w:instrText>
      </w:r>
      <w:r w:rsidR="0024246C">
        <w:rPr>
          <w:sz w:val="24"/>
        </w:rPr>
        <w:fldChar w:fldCharType="separate"/>
      </w:r>
      <w:r w:rsidR="000B0F18" w:rsidRPr="000B0F18">
        <w:rPr>
          <w:noProof/>
          <w:sz w:val="24"/>
        </w:rPr>
        <w:t>[73]</w:t>
      </w:r>
      <w:r w:rsidR="0024246C">
        <w:rPr>
          <w:sz w:val="24"/>
        </w:rPr>
        <w:fldChar w:fldCharType="end"/>
      </w:r>
      <w:r>
        <w:rPr>
          <w:sz w:val="24"/>
        </w:rPr>
        <w:t>.</w:t>
      </w:r>
    </w:p>
    <w:p w14:paraId="2B7CAB45" w14:textId="0BF34DE1" w:rsidR="00F37CA9" w:rsidRDefault="00F37CA9" w:rsidP="00F37CA9">
      <w:pPr>
        <w:tabs>
          <w:tab w:val="left" w:pos="3075"/>
        </w:tabs>
        <w:spacing w:line="480" w:lineRule="auto"/>
        <w:ind w:firstLine="567"/>
        <w:rPr>
          <w:sz w:val="24"/>
        </w:rPr>
      </w:pPr>
      <w:r>
        <w:rPr>
          <w:sz w:val="24"/>
        </w:rPr>
        <w:t xml:space="preserve">It is important to reiterate that the </w:t>
      </w:r>
      <w:r>
        <w:rPr>
          <w:sz w:val="24"/>
          <w:vertAlign w:val="superscript"/>
        </w:rPr>
        <w:t>236</w:t>
      </w:r>
      <w:r>
        <w:rPr>
          <w:sz w:val="24"/>
        </w:rPr>
        <w:t xml:space="preserve">U values in this study are </w:t>
      </w:r>
      <w:r w:rsidR="00257088">
        <w:rPr>
          <w:sz w:val="24"/>
        </w:rPr>
        <w:t>approximate</w:t>
      </w:r>
      <w:r>
        <w:rPr>
          <w:sz w:val="24"/>
        </w:rPr>
        <w:t xml:space="preserve"> estimates due to</w:t>
      </w:r>
      <w:r w:rsidR="00E5434E">
        <w:rPr>
          <w:sz w:val="24"/>
        </w:rPr>
        <w:t xml:space="preserve"> potential</w:t>
      </w:r>
      <w:r>
        <w:rPr>
          <w:sz w:val="24"/>
        </w:rPr>
        <w:t xml:space="preserve"> sampling errors</w:t>
      </w:r>
      <w:r w:rsidR="00E5434E">
        <w:rPr>
          <w:sz w:val="24"/>
        </w:rPr>
        <w:t xml:space="preserve"> highlighted by the staff at ETH Zϋrich</w:t>
      </w:r>
      <w:r>
        <w:rPr>
          <w:sz w:val="24"/>
        </w:rPr>
        <w:t xml:space="preserve">, hence the high </w:t>
      </w:r>
      <w:r w:rsidR="00257088">
        <w:rPr>
          <w:sz w:val="24"/>
        </w:rPr>
        <w:t>uncertainties</w:t>
      </w:r>
      <w:r>
        <w:rPr>
          <w:sz w:val="24"/>
        </w:rPr>
        <w:t>, but they still allow some informed comparison between samples from this project and those of the others.</w:t>
      </w:r>
    </w:p>
    <w:p w14:paraId="68C33634" w14:textId="57F20E27" w:rsidR="00F37CA9" w:rsidRDefault="00F37CA9" w:rsidP="00F37CA9">
      <w:pPr>
        <w:tabs>
          <w:tab w:val="left" w:pos="3075"/>
        </w:tabs>
        <w:spacing w:line="480" w:lineRule="auto"/>
        <w:ind w:firstLine="567"/>
        <w:rPr>
          <w:sz w:val="24"/>
        </w:rPr>
      </w:pPr>
      <w:r>
        <w:rPr>
          <w:sz w:val="24"/>
        </w:rPr>
        <w:t xml:space="preserve">Overall the results confirm high levels of </w:t>
      </w:r>
      <w:r>
        <w:rPr>
          <w:sz w:val="24"/>
          <w:vertAlign w:val="superscript"/>
        </w:rPr>
        <w:t>236</w:t>
      </w:r>
      <w:r>
        <w:rPr>
          <w:sz w:val="24"/>
        </w:rPr>
        <w:t xml:space="preserve">U in the project samples. This is possible in the samples as all are collected from areas of high natural uranium abundance, relative to the average in the UK, though there is a </w:t>
      </w:r>
      <w:r w:rsidR="007D226A">
        <w:rPr>
          <w:sz w:val="24"/>
        </w:rPr>
        <w:t>high chance that</w:t>
      </w:r>
      <w:r>
        <w:rPr>
          <w:sz w:val="24"/>
        </w:rPr>
        <w:t xml:space="preserve"> mistakes made within the methodology concerning the AMS preparation</w:t>
      </w:r>
      <w:r w:rsidR="007D226A">
        <w:rPr>
          <w:sz w:val="24"/>
        </w:rPr>
        <w:t xml:space="preserve"> impacted the results. This is particularly highlighted with the comparison to Bikini Atoll samples. Due to the uncertainties in the </w:t>
      </w:r>
      <w:r w:rsidR="007D226A">
        <w:rPr>
          <w:sz w:val="24"/>
          <w:vertAlign w:val="superscript"/>
        </w:rPr>
        <w:t>236</w:t>
      </w:r>
      <w:r w:rsidR="007D226A">
        <w:rPr>
          <w:sz w:val="24"/>
        </w:rPr>
        <w:t xml:space="preserve">U measurements it is </w:t>
      </w:r>
      <w:r w:rsidR="007E6DBB">
        <w:rPr>
          <w:sz w:val="24"/>
        </w:rPr>
        <w:t>not prudent to use these data to make any conclusions and</w:t>
      </w:r>
      <w:r>
        <w:rPr>
          <w:sz w:val="24"/>
        </w:rPr>
        <w:t xml:space="preserve"> it would be recommended to carry out repeat measurements for certainty.</w:t>
      </w:r>
    </w:p>
    <w:p w14:paraId="2EECB189" w14:textId="56DE374C" w:rsidR="00F37CA9" w:rsidRPr="005A775C" w:rsidRDefault="00F37CA9" w:rsidP="00257088">
      <w:pPr>
        <w:spacing w:line="480" w:lineRule="auto"/>
        <w:rPr>
          <w:rFonts w:cstheme="minorHAnsi"/>
          <w:b/>
          <w:sz w:val="28"/>
        </w:rPr>
      </w:pPr>
      <w:r>
        <w:rPr>
          <w:rFonts w:cstheme="minorHAnsi"/>
          <w:b/>
          <w:sz w:val="24"/>
        </w:rPr>
        <w:br w:type="page"/>
      </w:r>
      <w:r w:rsidRPr="005A775C">
        <w:rPr>
          <w:rFonts w:cstheme="minorHAnsi"/>
          <w:b/>
          <w:sz w:val="28"/>
        </w:rPr>
        <w:lastRenderedPageBreak/>
        <w:t>4.</w:t>
      </w:r>
      <w:r>
        <w:rPr>
          <w:rFonts w:cstheme="minorHAnsi"/>
          <w:b/>
          <w:sz w:val="28"/>
        </w:rPr>
        <w:t>3</w:t>
      </w:r>
      <w:r w:rsidRPr="005A775C">
        <w:rPr>
          <w:rFonts w:cstheme="minorHAnsi"/>
          <w:b/>
          <w:sz w:val="28"/>
        </w:rPr>
        <w:t>.5 Isotopic Ratios</w:t>
      </w:r>
    </w:p>
    <w:p w14:paraId="49639595" w14:textId="05139CB5" w:rsidR="00F37CA9" w:rsidRDefault="00F37CA9" w:rsidP="00257088">
      <w:pPr>
        <w:tabs>
          <w:tab w:val="left" w:pos="3075"/>
        </w:tabs>
        <w:spacing w:line="480" w:lineRule="auto"/>
        <w:ind w:firstLine="567"/>
        <w:rPr>
          <w:sz w:val="24"/>
        </w:rPr>
      </w:pPr>
      <w:r>
        <w:rPr>
          <w:sz w:val="24"/>
        </w:rPr>
        <w:t xml:space="preserve">Calculation of the </w:t>
      </w:r>
      <w:r w:rsidR="00257088">
        <w:rPr>
          <w:sz w:val="24"/>
        </w:rPr>
        <w:t>ratios</w:t>
      </w:r>
      <w:r>
        <w:rPr>
          <w:sz w:val="24"/>
        </w:rPr>
        <w:t xml:space="preserve"> between the abundances of plutonium isotopes </w:t>
      </w:r>
      <w:r w:rsidR="00D94CDE">
        <w:rPr>
          <w:sz w:val="24"/>
        </w:rPr>
        <w:t>can</w:t>
      </w:r>
      <w:r>
        <w:rPr>
          <w:sz w:val="24"/>
        </w:rPr>
        <w:t xml:space="preserve"> provide more detailed information on the origin of nuclear materials. </w:t>
      </w:r>
      <w:r w:rsidRPr="00761AF7">
        <w:rPr>
          <w:sz w:val="24"/>
        </w:rPr>
        <w:t>The ratios of plutonium isotopes</w:t>
      </w:r>
      <w:r w:rsidR="00D94CDE">
        <w:rPr>
          <w:sz w:val="24"/>
        </w:rPr>
        <w:t xml:space="preserve"> can</w:t>
      </w:r>
      <w:r w:rsidRPr="00761AF7">
        <w:rPr>
          <w:sz w:val="24"/>
        </w:rPr>
        <w:t xml:space="preserve"> act as fingerprints to help identify the origin of nuclear material at a sample site.</w:t>
      </w:r>
    </w:p>
    <w:p w14:paraId="0C6E538B" w14:textId="09120F0A" w:rsidR="00F37CA9" w:rsidRDefault="00F37CA9" w:rsidP="00F37CA9">
      <w:pPr>
        <w:tabs>
          <w:tab w:val="left" w:pos="3075"/>
        </w:tabs>
        <w:spacing w:line="480" w:lineRule="auto"/>
        <w:ind w:firstLine="567"/>
        <w:rPr>
          <w:sz w:val="24"/>
        </w:rPr>
      </w:pPr>
      <w:r>
        <w:rPr>
          <w:sz w:val="24"/>
        </w:rPr>
        <w:t xml:space="preserve">The relationship between actinide isotope abundances is typically expressed as a ratio, and these ratios have been calculated over many different analyses to provide global average values, including materials from anthropogenic and primordial sources. </w:t>
      </w:r>
      <w:r w:rsidRPr="00761AF7">
        <w:rPr>
          <w:rFonts w:cstheme="minorHAnsi"/>
          <w:sz w:val="24"/>
        </w:rPr>
        <w:t xml:space="preserve">The global fallout ratio values are important to consider as they represent ubiquitous anthropogenic contamination and therefore </w:t>
      </w:r>
      <w:r w:rsidR="00EE3F1F">
        <w:rPr>
          <w:rFonts w:cstheme="minorHAnsi"/>
          <w:sz w:val="24"/>
        </w:rPr>
        <w:t xml:space="preserve">without this </w:t>
      </w:r>
      <w:r w:rsidRPr="00761AF7">
        <w:rPr>
          <w:rFonts w:cstheme="minorHAnsi"/>
          <w:sz w:val="24"/>
        </w:rPr>
        <w:t xml:space="preserve">any material discovered on a site could be identified as </w:t>
      </w:r>
      <w:r w:rsidRPr="00761AF7">
        <w:rPr>
          <w:sz w:val="24"/>
        </w:rPr>
        <w:t>site contamination without proper consideration</w:t>
      </w:r>
      <w:r w:rsidR="00D94CDE">
        <w:rPr>
          <w:sz w:val="24"/>
        </w:rPr>
        <w:t xml:space="preserve"> of the wider picture</w:t>
      </w:r>
      <w:r w:rsidRPr="00761AF7">
        <w:rPr>
          <w:sz w:val="24"/>
        </w:rPr>
        <w:t>. This is important for sites such as Dounreay, as the acknowledgement of ubiquitous contamination means the</w:t>
      </w:r>
      <w:r w:rsidR="00511823">
        <w:rPr>
          <w:sz w:val="24"/>
        </w:rPr>
        <w:t>se sites</w:t>
      </w:r>
      <w:r w:rsidRPr="00761AF7">
        <w:rPr>
          <w:sz w:val="24"/>
        </w:rPr>
        <w:t xml:space="preserve"> can identify justifiable amounts of isotopes</w:t>
      </w:r>
      <w:r w:rsidR="001B0C66">
        <w:rPr>
          <w:sz w:val="24"/>
        </w:rPr>
        <w:t xml:space="preserve"> of fallout origin</w:t>
      </w:r>
      <w:r w:rsidRPr="00761AF7">
        <w:rPr>
          <w:sz w:val="24"/>
        </w:rPr>
        <w:t>, as long as they are within error of the global fallout ratio value.</w:t>
      </w:r>
    </w:p>
    <w:p w14:paraId="7F87A9E0" w14:textId="6D19DE35" w:rsidR="00F37CA9" w:rsidRDefault="00F37CA9" w:rsidP="00F37CA9">
      <w:pPr>
        <w:tabs>
          <w:tab w:val="left" w:pos="3075"/>
        </w:tabs>
        <w:spacing w:line="480" w:lineRule="auto"/>
        <w:ind w:firstLine="567"/>
        <w:rPr>
          <w:sz w:val="24"/>
        </w:rPr>
      </w:pPr>
      <w:r>
        <w:rPr>
          <w:sz w:val="24"/>
        </w:rPr>
        <w:t xml:space="preserve">The global averages of some plutonium isotopic ratios are displayed in </w:t>
      </w:r>
      <w:r w:rsidR="0066505E">
        <w:rPr>
          <w:sz w:val="24"/>
        </w:rPr>
        <w:fldChar w:fldCharType="begin"/>
      </w:r>
      <w:r w:rsidR="0066505E">
        <w:rPr>
          <w:sz w:val="24"/>
        </w:rPr>
        <w:instrText xml:space="preserve"> REF _Ref31286472 \h </w:instrText>
      </w:r>
      <w:r w:rsidR="0066505E">
        <w:rPr>
          <w:sz w:val="24"/>
        </w:rPr>
      </w:r>
      <w:r w:rsidR="0066505E">
        <w:rPr>
          <w:sz w:val="24"/>
        </w:rPr>
        <w:fldChar w:fldCharType="separate"/>
      </w:r>
      <w:r w:rsidR="00161FDC" w:rsidRPr="008B2B75">
        <w:rPr>
          <w:sz w:val="20"/>
        </w:rPr>
        <w:t xml:space="preserve">Table </w:t>
      </w:r>
      <w:r w:rsidR="00161FDC">
        <w:rPr>
          <w:noProof/>
          <w:sz w:val="20"/>
        </w:rPr>
        <w:t>2</w:t>
      </w:r>
      <w:r w:rsidR="0066505E">
        <w:rPr>
          <w:sz w:val="24"/>
        </w:rPr>
        <w:fldChar w:fldCharType="end"/>
      </w:r>
      <w:r>
        <w:rPr>
          <w:sz w:val="24"/>
        </w:rPr>
        <w:t xml:space="preserve"> below.</w:t>
      </w:r>
      <w:r w:rsidRPr="00B013B1">
        <w:rPr>
          <w:noProof/>
          <w:sz w:val="24"/>
        </w:rPr>
        <w:t xml:space="preserve"> </w:t>
      </w:r>
      <w:r>
        <w:rPr>
          <w:sz w:val="24"/>
        </w:rPr>
        <w:t xml:space="preserve"> The isotopic ratios of project samples will be explored in light of these global averages in turn, followed by a combined discussion and conclusion.</w:t>
      </w:r>
    </w:p>
    <w:p w14:paraId="419DA2F6" w14:textId="3C26F112" w:rsidR="00EE3F1F" w:rsidRDefault="00EE3F1F">
      <w:pPr>
        <w:rPr>
          <w:sz w:val="24"/>
        </w:rPr>
      </w:pPr>
      <w:r>
        <w:rPr>
          <w:sz w:val="24"/>
        </w:rPr>
        <w:br w:type="page"/>
      </w:r>
    </w:p>
    <w:tbl>
      <w:tblPr>
        <w:tblStyle w:val="TableGrid"/>
        <w:tblW w:w="0" w:type="auto"/>
        <w:tblLook w:val="04A0" w:firstRow="1" w:lastRow="0" w:firstColumn="1" w:lastColumn="0" w:noHBand="0" w:noVBand="1"/>
      </w:tblPr>
      <w:tblGrid>
        <w:gridCol w:w="4508"/>
        <w:gridCol w:w="4508"/>
      </w:tblGrid>
      <w:tr w:rsidR="00F37CA9" w14:paraId="0424A84C" w14:textId="77777777" w:rsidTr="00497DCB">
        <w:tc>
          <w:tcPr>
            <w:tcW w:w="4508" w:type="dxa"/>
          </w:tcPr>
          <w:p w14:paraId="5781A06A" w14:textId="77777777" w:rsidR="00F37CA9" w:rsidRDefault="00F37CA9" w:rsidP="00497DCB">
            <w:pPr>
              <w:tabs>
                <w:tab w:val="left" w:pos="3075"/>
              </w:tabs>
              <w:spacing w:line="480" w:lineRule="auto"/>
              <w:rPr>
                <w:sz w:val="24"/>
              </w:rPr>
            </w:pPr>
            <w:r>
              <w:rPr>
                <w:sz w:val="24"/>
              </w:rPr>
              <w:lastRenderedPageBreak/>
              <w:t>Isotope Ratio</w:t>
            </w:r>
          </w:p>
        </w:tc>
        <w:tc>
          <w:tcPr>
            <w:tcW w:w="4508" w:type="dxa"/>
          </w:tcPr>
          <w:p w14:paraId="22F3F5AD" w14:textId="77777777" w:rsidR="00F37CA9" w:rsidRDefault="00F37CA9" w:rsidP="00497DCB">
            <w:pPr>
              <w:tabs>
                <w:tab w:val="left" w:pos="3075"/>
              </w:tabs>
              <w:spacing w:line="480" w:lineRule="auto"/>
              <w:rPr>
                <w:sz w:val="24"/>
              </w:rPr>
            </w:pPr>
            <w:r>
              <w:rPr>
                <w:sz w:val="24"/>
              </w:rPr>
              <w:t>Global Average [Source]</w:t>
            </w:r>
          </w:p>
        </w:tc>
      </w:tr>
      <w:tr w:rsidR="001A49F4" w14:paraId="32F38E18" w14:textId="77777777" w:rsidTr="00497DCB">
        <w:tc>
          <w:tcPr>
            <w:tcW w:w="4508" w:type="dxa"/>
          </w:tcPr>
          <w:p w14:paraId="2D6437A5" w14:textId="647B4725" w:rsidR="001A49F4" w:rsidRDefault="001A49F4" w:rsidP="001A49F4">
            <w:pPr>
              <w:tabs>
                <w:tab w:val="left" w:pos="3075"/>
              </w:tabs>
              <w:spacing w:line="480" w:lineRule="auto"/>
              <w:rPr>
                <w:sz w:val="24"/>
                <w:vertAlign w:val="superscript"/>
              </w:rPr>
            </w:pPr>
            <w:r>
              <w:rPr>
                <w:sz w:val="24"/>
                <w:vertAlign w:val="superscript"/>
              </w:rPr>
              <w:t>236</w:t>
            </w:r>
            <w:r>
              <w:rPr>
                <w:sz w:val="24"/>
              </w:rPr>
              <w:t>U/</w:t>
            </w:r>
            <w:r>
              <w:rPr>
                <w:sz w:val="24"/>
                <w:vertAlign w:val="superscript"/>
              </w:rPr>
              <w:t>239</w:t>
            </w:r>
            <w:r>
              <w:rPr>
                <w:sz w:val="24"/>
              </w:rPr>
              <w:t>Pu</w:t>
            </w:r>
          </w:p>
        </w:tc>
        <w:tc>
          <w:tcPr>
            <w:tcW w:w="4508" w:type="dxa"/>
          </w:tcPr>
          <w:p w14:paraId="78B78198" w14:textId="606AF3EB" w:rsidR="001A49F4" w:rsidRDefault="001A49F4" w:rsidP="001A49F4">
            <w:pPr>
              <w:tabs>
                <w:tab w:val="left" w:pos="3075"/>
              </w:tabs>
              <w:spacing w:line="480" w:lineRule="auto"/>
              <w:rPr>
                <w:sz w:val="24"/>
              </w:rPr>
            </w:pPr>
            <w:r w:rsidRPr="003F4886">
              <w:rPr>
                <w:rFonts w:cs="Arial"/>
                <w:sz w:val="24"/>
                <w:szCs w:val="24"/>
              </w:rPr>
              <w:t>0.23 ±0.02</w:t>
            </w:r>
            <w:r w:rsidRPr="003F4886">
              <w:rPr>
                <w:sz w:val="24"/>
                <w:szCs w:val="24"/>
              </w:rPr>
              <w:t xml:space="preserve"> </w:t>
            </w:r>
            <w:r w:rsidR="0024246C">
              <w:rPr>
                <w:sz w:val="24"/>
                <w:szCs w:val="24"/>
              </w:rPr>
              <w:fldChar w:fldCharType="begin" w:fldLock="1"/>
            </w:r>
            <w:r w:rsidR="006F1462">
              <w:rPr>
                <w:sz w:val="24"/>
                <w:szCs w:val="24"/>
              </w:rPr>
              <w:instrText>ADDIN CSL_CITATION {"citationItems":[{"id":"ITEM-1","itemData":{"DOI":"10.1016/j.scitotenv.2009.01.058","abstract":"a r t i c l e i n f o The global fallout 236 U level in soil was deduced from measurements of 236 U, 239+240 Pu and 137 Cs in surface soils which are solely influenced by global fallout. A total of 12 soil cores from the depths of 0-10, 0-20 and 0-30 cm were collected at a flat forest area in Japan. Concentrations of 239+240 Pu and 238 U were determined by α-particle spectrometry, while the 236 U/ 238 U ratio was measured with accelerator mass spectrometry (AMS). Consistent 236 U/ 239 Pu ratios between 0.212 and 0.253 were found. Using this ratio, the total global fallout of 236 U on the earth is estimated to be as much as ca. 900 kg. This knowledge will contribute to the promotion of research on U isotopes, including 236 U, for the fields of geo-resources, waste management and geochemistry.","author":[{"dropping-particle":"","family":"Sakaguchi","given":"A","non-dropping-particle":"","parse-names":false,"suffix":""},{"dropping-particle":"","family":"Kawai","given":"K","non-dropping-particle":"","parse-names":false,"suffix":""},{"dropping-particle":"","family":"Steier","given":"P","non-dropping-particle":"","parse-names":false,"suffix":""},{"dropping-particle":"","family":"Quinto","given":"F","non-dropping-particle":"","parse-names":false,"suffix":""},{"dropping-particle":"","family":"Mino","given":"K","non-dropping-particle":"","parse-names":false,"suffix":""},{"dropping-particle":"","family":"Tomita","given":"J","non-dropping-particle":"","parse-names":false,"suffix":""},{"dropping-particle":"","family":"Hoshi","given":"M","non-dropping-particle":"","parse-names":false,"suffix":""},{"dropping-particle":"","family":"Whitehead","given":"N","non-dropping-particle":"","parse-names":false,"suffix":""},{"dropping-particle":"","family":"Yamamoto","given":"M","non-dropping-particle":"","parse-names":false,"suffix":""}],"container-title":"Science of the Total Environment, The","id":"ITEM-1","issued":{"date-parts":[["2009"]]},"page":"4238-4242","title":"First results on 236 U levels in global fallout","type":"article-journal","volume":"407"},"uris":["http://www.mendeley.com/documents/?uuid=72c7d9b5-ecf8-36b3-9313-e29b9774df23"]}],"mendeley":{"formattedCitation":"[83]","plainTextFormattedCitation":"[83]","previouslyFormattedCitation":"[83]"},"properties":{"noteIndex":0},"schema":"https://github.com/citation-style-language/schema/raw/master/csl-citation.json"}</w:instrText>
            </w:r>
            <w:r w:rsidR="0024246C">
              <w:rPr>
                <w:sz w:val="24"/>
                <w:szCs w:val="24"/>
              </w:rPr>
              <w:fldChar w:fldCharType="separate"/>
            </w:r>
            <w:r w:rsidR="00E510BC" w:rsidRPr="00E510BC">
              <w:rPr>
                <w:noProof/>
                <w:sz w:val="24"/>
                <w:szCs w:val="24"/>
              </w:rPr>
              <w:t>[83]</w:t>
            </w:r>
            <w:r w:rsidR="0024246C">
              <w:rPr>
                <w:sz w:val="24"/>
                <w:szCs w:val="24"/>
              </w:rPr>
              <w:fldChar w:fldCharType="end"/>
            </w:r>
            <w:r w:rsidRPr="003F4886">
              <w:rPr>
                <w:sz w:val="24"/>
                <w:szCs w:val="24"/>
              </w:rPr>
              <w:t xml:space="preserve"> </w:t>
            </w:r>
            <w:r>
              <w:rPr>
                <w:sz w:val="24"/>
                <w:szCs w:val="24"/>
              </w:rPr>
              <w:t>- Fallout</w:t>
            </w:r>
          </w:p>
        </w:tc>
      </w:tr>
      <w:tr w:rsidR="001A49F4" w14:paraId="170F5D15" w14:textId="77777777" w:rsidTr="00497DCB">
        <w:tc>
          <w:tcPr>
            <w:tcW w:w="4508" w:type="dxa"/>
          </w:tcPr>
          <w:p w14:paraId="0D5912CD" w14:textId="77777777" w:rsidR="001A49F4" w:rsidRPr="000646F0" w:rsidRDefault="001A49F4" w:rsidP="001A49F4">
            <w:pPr>
              <w:tabs>
                <w:tab w:val="left" w:pos="3075"/>
              </w:tabs>
              <w:spacing w:line="480" w:lineRule="auto"/>
              <w:rPr>
                <w:sz w:val="24"/>
              </w:rPr>
            </w:pPr>
            <w:r>
              <w:rPr>
                <w:sz w:val="24"/>
                <w:vertAlign w:val="superscript"/>
              </w:rPr>
              <w:t>240</w:t>
            </w:r>
            <w:r>
              <w:rPr>
                <w:sz w:val="24"/>
              </w:rPr>
              <w:t>Pu/</w:t>
            </w:r>
            <w:r>
              <w:rPr>
                <w:sz w:val="24"/>
                <w:vertAlign w:val="superscript"/>
              </w:rPr>
              <w:t>239</w:t>
            </w:r>
            <w:r>
              <w:rPr>
                <w:sz w:val="24"/>
              </w:rPr>
              <w:t>Pu</w:t>
            </w:r>
          </w:p>
        </w:tc>
        <w:tc>
          <w:tcPr>
            <w:tcW w:w="4508" w:type="dxa"/>
          </w:tcPr>
          <w:p w14:paraId="2D32F5E0" w14:textId="3334966B" w:rsidR="001A49F4" w:rsidRDefault="001A49F4" w:rsidP="001A49F4">
            <w:pPr>
              <w:tabs>
                <w:tab w:val="left" w:pos="3075"/>
              </w:tabs>
              <w:spacing w:line="480" w:lineRule="auto"/>
              <w:rPr>
                <w:sz w:val="24"/>
              </w:rPr>
            </w:pPr>
            <w:r>
              <w:rPr>
                <w:sz w:val="24"/>
              </w:rPr>
              <w:t xml:space="preserve">0.176 ±0.1 </w:t>
            </w:r>
            <w:r w:rsidR="0024246C">
              <w:rPr>
                <w:sz w:val="24"/>
              </w:rPr>
              <w:fldChar w:fldCharType="begin" w:fldLock="1"/>
            </w:r>
            <w:r w:rsidR="00767A68">
              <w:rPr>
                <w:sz w:val="24"/>
              </w:rPr>
              <w:instrText>ADDIN CSL_CITATION {"citationItems":[{"id":"ITEM-1","itemData":{"abstract":"The mass isotopic content of fall-out plutonium in soil samples collected from around the world in 1970 and 1971 showed some variability which correlated with the location of nuclear weapons test sites. Omitting local effects, the global mean ratios of 240Pu/239Pu, 241Pu/239Pu and 242Pu/239Pu are 0.176+-0.014, 0.0086+-0.0017 and 0.0044+-0.0011, respectively, corrected to January 1971. Such isotopic data provide the most sensitive technique to resolve mixtures of fall-out plutonium with plutonium from a second source. From these data, the 241Am/sup(239,240)Pu activity ratio of integrated fall-out on the earth's surface can be estimated and will peak at 0.42 in the year 2037","author":[{"dropping-particle":"","family":"Krey","given":"P.W.","non-dropping-particle":"","parse-names":false,"suffix":""},{"dropping-particle":"","family":"Hardy","given":"E.P.","non-dropping-particle":"","parse-names":false,"suffix":""},{"dropping-particle":"","family":"Benson","given":"W.K.","non-dropping-particle":"","parse-names":false,"suffix":""}],"container-title":"Symposium on transuranium nuclides in the environment","id":"ITEM-1","issued":{"date-parts":[["1976"]]},"page":"671-677","publisher-place":"San Francisco","title":"Mass Isotopic Composition of Global Fall-Out Plutonium in Soil","type":"paper-conference"},"uris":["http://www.mendeley.com/documents/?uuid=a88e2888-53f4-4639-a568-644f256133cc"]}],"mendeley":{"formattedCitation":"[66]","plainTextFormattedCitation":"[66]","previouslyFormattedCitation":"[66]"},"properties":{"noteIndex":0},"schema":"https://github.com/citation-style-language/schema/raw/master/csl-citation.json"}</w:instrText>
            </w:r>
            <w:r w:rsidR="0024246C">
              <w:rPr>
                <w:sz w:val="24"/>
              </w:rPr>
              <w:fldChar w:fldCharType="separate"/>
            </w:r>
            <w:r w:rsidR="000B0F18" w:rsidRPr="000B0F18">
              <w:rPr>
                <w:noProof/>
                <w:sz w:val="24"/>
              </w:rPr>
              <w:t>[66]</w:t>
            </w:r>
            <w:r w:rsidR="0024246C">
              <w:rPr>
                <w:sz w:val="24"/>
              </w:rPr>
              <w:fldChar w:fldCharType="end"/>
            </w:r>
          </w:p>
        </w:tc>
      </w:tr>
      <w:tr w:rsidR="001A49F4" w14:paraId="012307B8" w14:textId="77777777" w:rsidTr="00497DCB">
        <w:tc>
          <w:tcPr>
            <w:tcW w:w="4508" w:type="dxa"/>
          </w:tcPr>
          <w:p w14:paraId="4372A5C7" w14:textId="77777777" w:rsidR="001A49F4" w:rsidRPr="000646F0" w:rsidRDefault="001A49F4" w:rsidP="001A49F4">
            <w:pPr>
              <w:tabs>
                <w:tab w:val="left" w:pos="3075"/>
              </w:tabs>
              <w:spacing w:line="480" w:lineRule="auto"/>
              <w:rPr>
                <w:sz w:val="24"/>
              </w:rPr>
            </w:pPr>
            <w:r>
              <w:rPr>
                <w:sz w:val="24"/>
                <w:vertAlign w:val="superscript"/>
              </w:rPr>
              <w:t>241</w:t>
            </w:r>
            <w:r>
              <w:rPr>
                <w:sz w:val="24"/>
              </w:rPr>
              <w:t>Pu/</w:t>
            </w:r>
            <w:r>
              <w:rPr>
                <w:sz w:val="24"/>
                <w:vertAlign w:val="superscript"/>
              </w:rPr>
              <w:t>239</w:t>
            </w:r>
            <w:r>
              <w:rPr>
                <w:sz w:val="24"/>
              </w:rPr>
              <w:t>Pu</w:t>
            </w:r>
          </w:p>
        </w:tc>
        <w:tc>
          <w:tcPr>
            <w:tcW w:w="4508" w:type="dxa"/>
          </w:tcPr>
          <w:p w14:paraId="204E9125" w14:textId="532171A8" w:rsidR="001A49F4" w:rsidRDefault="001A49F4" w:rsidP="001A49F4">
            <w:pPr>
              <w:tabs>
                <w:tab w:val="left" w:pos="3075"/>
              </w:tabs>
              <w:spacing w:line="480" w:lineRule="auto"/>
              <w:rPr>
                <w:sz w:val="24"/>
              </w:rPr>
            </w:pPr>
            <w:r>
              <w:rPr>
                <w:sz w:val="24"/>
              </w:rPr>
              <w:t xml:space="preserve">0.00139 ±0.00007 </w:t>
            </w:r>
            <w:r w:rsidR="0024246C">
              <w:rPr>
                <w:sz w:val="24"/>
              </w:rPr>
              <w:fldChar w:fldCharType="begin" w:fldLock="1"/>
            </w:r>
            <w:r w:rsidR="00767A68">
              <w:rPr>
                <w:sz w:val="24"/>
              </w:rPr>
              <w:instrText>ADDIN CSL_CITATION {"citationItems":[{"id":"ITEM-1","itemData":{"DOI":"10.1016/j.nimb.2012.06.017","ISSN":"0168583X","PMID":"23565016","abstract":"VERA, the Vienna Environmental Research Accelerator, is especially equipped for the measurement of actinides, and performs a growing number of measurements on environmental samples. While AMS is not the optimum method for each particular plutonium isotope, the possibility to measure (239)Pu, (240)Pu, (241)Pu, (242)Pu and (244)Pu on the same AMS sputter target is a great simplification. We have obtained a first result on the global fallout value of (244)Pu/(239)Pu = (5.7 ± 1.0) × 10(-5) based on soil samples from Salzburg prefecture, Austria. Furthermore, we suggest using the (242)Pu/(240)Pu ratio as an estimate of the initial (241)Pu/(239)Pu ratio, which allows dating of the time of irradiation based solely on Pu isotopes. We have checked the validity of this estimate using literature data, simulations, and environmental samples from soil from the Salzburg prefecture (Austria), from the shut down Garigliano Nuclear Power Plant (Sessa Aurunca, Italy) and from the Irish Sea near the Sellafield nuclear facility. The maximum deviation of the estimated dates from the expected ages is 6 years, while relative dating of material from the same source seems to be possible with a precision of less than 2 years. Additional information carried by the minor plutonium isotopes may allow further improvements of the precision of the method.","author":[{"dropping-particle":"","family":"Steier","given":"P","non-dropping-particle":"","parse-names":false,"suffix":""},{"dropping-particle":"","family":"Hrnecek","given":"E","non-dropping-particle":"","parse-names":false,"suffix":""},{"dropping-particle":"","family":"Priller","given":"A","non-dropping-particle":"","parse-names":false,"suffix":""},{"dropping-particle":"","family":"Quinto","given":"F","non-dropping-particle":"","parse-names":false,"suffix":""},{"dropping-particle":"","family":"Srncik","given":"M","non-dropping-particle":"","parse-names":false,"suffix":""},{"dropping-particle":"","family":"Wallner","given":"A.","non-dropping-particle":"","parse-names":false,"suffix":""},{"dropping-particle":"","family":"Wallner","given":"G","non-dropping-particle":"","parse-names":false,"suffix":""},{"dropping-particle":"","family":"Winkler","given":"S","non-dropping-particle":"","parse-names":false,"suffix":""}],"container-title":"Nuclear Instruments and Methods in Physics Research Section B: Beam Interactions with Materials and Atoms","id":"ITEM-1","issue":"2-2","issued":{"date-parts":[["2013","1"]]},"page":"160-164","publisher":"Elsevier","title":"AMS of the Minor Plutonium Isotopes","type":"article-journal","volume":"294"},"uris":["http://www.mendeley.com/documents/?uuid=05b1f9d1-7369-3cb1-b743-0bc252b99de6"]}],"mendeley":{"formattedCitation":"[64]","plainTextFormattedCitation":"[64]","previouslyFormattedCitation":"[64]"},"properties":{"noteIndex":0},"schema":"https://github.com/citation-style-language/schema/raw/master/csl-citation.json"}</w:instrText>
            </w:r>
            <w:r w:rsidR="0024246C">
              <w:rPr>
                <w:sz w:val="24"/>
              </w:rPr>
              <w:fldChar w:fldCharType="separate"/>
            </w:r>
            <w:r w:rsidR="000B0F18" w:rsidRPr="000B0F18">
              <w:rPr>
                <w:noProof/>
                <w:sz w:val="24"/>
              </w:rPr>
              <w:t>[64]</w:t>
            </w:r>
            <w:r w:rsidR="0024246C">
              <w:rPr>
                <w:sz w:val="24"/>
              </w:rPr>
              <w:fldChar w:fldCharType="end"/>
            </w:r>
            <w:r>
              <w:rPr>
                <w:sz w:val="24"/>
              </w:rPr>
              <w:t xml:space="preserve"> - Fallout</w:t>
            </w:r>
          </w:p>
        </w:tc>
      </w:tr>
      <w:tr w:rsidR="001A49F4" w14:paraId="6274B5E1" w14:textId="77777777" w:rsidTr="00497DCB">
        <w:tc>
          <w:tcPr>
            <w:tcW w:w="4508" w:type="dxa"/>
          </w:tcPr>
          <w:p w14:paraId="37EBD810" w14:textId="77777777" w:rsidR="001A49F4" w:rsidRPr="000646F0" w:rsidRDefault="001A49F4" w:rsidP="001A49F4">
            <w:pPr>
              <w:tabs>
                <w:tab w:val="left" w:pos="3075"/>
              </w:tabs>
              <w:spacing w:line="480" w:lineRule="auto"/>
              <w:rPr>
                <w:sz w:val="24"/>
              </w:rPr>
            </w:pPr>
            <w:r>
              <w:rPr>
                <w:sz w:val="24"/>
                <w:vertAlign w:val="superscript"/>
              </w:rPr>
              <w:t>242</w:t>
            </w:r>
            <w:r>
              <w:rPr>
                <w:sz w:val="24"/>
              </w:rPr>
              <w:t>Pu/</w:t>
            </w:r>
            <w:r>
              <w:rPr>
                <w:sz w:val="24"/>
                <w:vertAlign w:val="superscript"/>
              </w:rPr>
              <w:t>239</w:t>
            </w:r>
            <w:r>
              <w:rPr>
                <w:sz w:val="24"/>
              </w:rPr>
              <w:t>Pu</w:t>
            </w:r>
          </w:p>
        </w:tc>
        <w:tc>
          <w:tcPr>
            <w:tcW w:w="4508" w:type="dxa"/>
          </w:tcPr>
          <w:p w14:paraId="6DCCBCD2" w14:textId="735B41C5" w:rsidR="001A49F4" w:rsidRDefault="001A49F4" w:rsidP="00767A68">
            <w:pPr>
              <w:keepNext/>
              <w:tabs>
                <w:tab w:val="left" w:pos="3075"/>
              </w:tabs>
              <w:spacing w:line="480" w:lineRule="auto"/>
              <w:rPr>
                <w:sz w:val="24"/>
              </w:rPr>
            </w:pPr>
            <w:r>
              <w:rPr>
                <w:sz w:val="24"/>
              </w:rPr>
              <w:t xml:space="preserve">0.0041 ±0.0006 </w:t>
            </w:r>
            <w:r w:rsidR="0024246C">
              <w:rPr>
                <w:sz w:val="24"/>
              </w:rPr>
              <w:fldChar w:fldCharType="begin" w:fldLock="1"/>
            </w:r>
            <w:r w:rsidR="007B6045">
              <w:rPr>
                <w:sz w:val="24"/>
              </w:rPr>
              <w:instrText>ADDIN CSL_CITATION {"citationItems":[{"id":"ITEM-1","itemData":{"abstract":"Published by Elsevier Science Ltd. Printed in Great Britain P I I : S 0 2 6 5-9 3 1 X (9 7) 0 0 0 5 0-7 ABS¹RAC¹ Mass spectrometry measurements of Pu, U and Np isolated from soils contaminated by the 1957 accident at the Mayak nuclear complex in the Southern Ural mountains ('Kyshtym accident') and from soils collected at and near the Former Soviet Union (FSU) test site at Semipalatinsk-21 are reported. The results provide a coherent isotopic data set suggesting (1) that Pu recovered from irradiated uranium fuels processed at Mayak formed the source material for Pu devices tested at Semipalatinsk-21; (2) that 237 Np in the breached Mayak storage tank resulted, principally, from enrichment of this radionucl-ide in waste streams during the processing of low burn-up uranium fuels to recover both Pu and U and (3) the presence of 236 U at both sites may be useful in tracing inputs of this, and other transuranic radionuclides, to nearby river systems that flow to the Arctic Ocean. Published by Elsevier Science Ltd.","author":[{"dropping-particle":"","family":"Beasley","given":"T M","non-dropping-particle":"","parse-names":false,"suffix":""},{"dropping-particle":"","family":"Kelley","given":"J M","non-dropping-particle":"","parse-names":false,"suffix":""},{"dropping-particle":"","family":"Orlandini","given":"K A","non-dropping-particle":"","parse-names":false,"suffix":""},{"dropping-particle":"","family":"Bond","given":"A L A","non-dropping-particle":"","parse-names":false,"suffix":""},{"dropping-particle":"","family":"Aarkrog","given":"@ A","non-dropping-particle":"","parse-names":false,"suffix":""},{"dropping-particle":"","family":"Trapeznikovc","given":"B A P","non-dropping-particle":"","parse-names":false,"suffix":""},{"dropping-particle":"","family":"Pozolotinac","given":"V N","non-dropping-particle":"","parse-names":false,"suffix":""}],"container-title":"J. Environ. Radioactivity","id":"ITEM-1","issue":"2","issued":{"date-parts":[["1998"]]},"number-of-pages":"215-230","title":"Isotopic Pu, U, and Np Signatures in Soils from Semipalatinsk-21, Kazakh Republic and the Southern Urals, Russia","type":"report","volume":"39"},"uris":["http://www.mendeley.com/documents/?uuid=aa751f5d-6309-3641-9dc2-4010ee13a5b8"]}],"mendeley":{"formattedCitation":"[12]","plainTextFormattedCitation":"[12]","previouslyFormattedCitation":"[12]"},"properties":{"noteIndex":0},"schema":"https://github.com/citation-style-language/schema/raw/master/csl-citation.json"}</w:instrText>
            </w:r>
            <w:r w:rsidR="0024246C">
              <w:rPr>
                <w:sz w:val="24"/>
              </w:rPr>
              <w:fldChar w:fldCharType="separate"/>
            </w:r>
            <w:r w:rsidR="00CD23B7" w:rsidRPr="00CD23B7">
              <w:rPr>
                <w:noProof/>
                <w:sz w:val="24"/>
              </w:rPr>
              <w:t>[12]</w:t>
            </w:r>
            <w:r w:rsidR="0024246C">
              <w:rPr>
                <w:sz w:val="24"/>
              </w:rPr>
              <w:fldChar w:fldCharType="end"/>
            </w:r>
          </w:p>
        </w:tc>
      </w:tr>
    </w:tbl>
    <w:p w14:paraId="41322842" w14:textId="6780F84E" w:rsidR="00955598" w:rsidRDefault="00767A68" w:rsidP="00CB7650">
      <w:pPr>
        <w:pStyle w:val="Caption"/>
        <w:rPr>
          <w:b/>
          <w:sz w:val="28"/>
        </w:rPr>
      </w:pPr>
      <w:bookmarkStart w:id="38" w:name="_Ref31286472"/>
      <w:r w:rsidRPr="008B2B75">
        <w:rPr>
          <w:sz w:val="20"/>
        </w:rPr>
        <w:t xml:space="preserve">Table </w:t>
      </w:r>
      <w:r w:rsidRPr="008B2B75">
        <w:rPr>
          <w:sz w:val="20"/>
        </w:rPr>
        <w:fldChar w:fldCharType="begin"/>
      </w:r>
      <w:r w:rsidRPr="008B2B75">
        <w:rPr>
          <w:sz w:val="20"/>
        </w:rPr>
        <w:instrText xml:space="preserve"> SEQ Table \* ARABIC </w:instrText>
      </w:r>
      <w:r w:rsidRPr="008B2B75">
        <w:rPr>
          <w:sz w:val="20"/>
        </w:rPr>
        <w:fldChar w:fldCharType="separate"/>
      </w:r>
      <w:r w:rsidR="00161FDC">
        <w:rPr>
          <w:noProof/>
          <w:sz w:val="20"/>
        </w:rPr>
        <w:t>2</w:t>
      </w:r>
      <w:r w:rsidRPr="008B2B75">
        <w:rPr>
          <w:sz w:val="20"/>
        </w:rPr>
        <w:fldChar w:fldCharType="end"/>
      </w:r>
      <w:bookmarkEnd w:id="38"/>
      <w:r w:rsidR="00CB7650" w:rsidRPr="008B2B75">
        <w:rPr>
          <w:sz w:val="20"/>
        </w:rPr>
        <w:t xml:space="preserve"> The main global average plutonium isotopic ratios that relate to this work. The values denoted by “Fallout” relate to the fact that the sample areas could have had no possible other contribution than global fallout as mentioned by the authors.</w:t>
      </w:r>
    </w:p>
    <w:p w14:paraId="0EF35E9D" w14:textId="3C3F48F7" w:rsidR="00F37CA9" w:rsidRPr="00955598" w:rsidRDefault="00F37CA9" w:rsidP="00CB7650">
      <w:pPr>
        <w:pStyle w:val="Caption"/>
        <w:rPr>
          <w:i w:val="0"/>
          <w:color w:val="auto"/>
        </w:rPr>
      </w:pPr>
      <w:r w:rsidRPr="00955598">
        <w:rPr>
          <w:b/>
          <w:i w:val="0"/>
          <w:color w:val="auto"/>
          <w:sz w:val="28"/>
        </w:rPr>
        <w:t xml:space="preserve">4.3.5.1 </w:t>
      </w:r>
      <w:r w:rsidRPr="00955598">
        <w:rPr>
          <w:b/>
          <w:i w:val="0"/>
          <w:color w:val="auto"/>
          <w:sz w:val="28"/>
          <w:vertAlign w:val="superscript"/>
        </w:rPr>
        <w:t>236</w:t>
      </w:r>
      <w:r w:rsidRPr="00955598">
        <w:rPr>
          <w:b/>
          <w:i w:val="0"/>
          <w:color w:val="auto"/>
          <w:sz w:val="28"/>
        </w:rPr>
        <w:t>U/</w:t>
      </w:r>
      <w:r w:rsidRPr="00955598">
        <w:rPr>
          <w:b/>
          <w:i w:val="0"/>
          <w:color w:val="auto"/>
          <w:sz w:val="28"/>
          <w:vertAlign w:val="superscript"/>
        </w:rPr>
        <w:t>239</w:t>
      </w:r>
      <w:r w:rsidRPr="00955598">
        <w:rPr>
          <w:b/>
          <w:i w:val="0"/>
          <w:color w:val="auto"/>
          <w:sz w:val="28"/>
        </w:rPr>
        <w:t>Pu</w:t>
      </w:r>
    </w:p>
    <w:p w14:paraId="29816EE6" w14:textId="415D7136" w:rsidR="00F37CA9" w:rsidRDefault="00F37CA9" w:rsidP="00F37CA9">
      <w:pPr>
        <w:tabs>
          <w:tab w:val="left" w:pos="3075"/>
        </w:tabs>
        <w:spacing w:line="480" w:lineRule="auto"/>
        <w:ind w:firstLine="567"/>
        <w:rPr>
          <w:sz w:val="24"/>
        </w:rPr>
      </w:pPr>
      <w:r>
        <w:rPr>
          <w:sz w:val="24"/>
        </w:rPr>
        <w:t xml:space="preserve">Srncik et al discuss the limited data on the </w:t>
      </w:r>
      <w:r>
        <w:rPr>
          <w:sz w:val="24"/>
          <w:vertAlign w:val="superscript"/>
        </w:rPr>
        <w:t>236</w:t>
      </w:r>
      <w:r>
        <w:rPr>
          <w:sz w:val="24"/>
        </w:rPr>
        <w:t>U/</w:t>
      </w:r>
      <w:r>
        <w:rPr>
          <w:sz w:val="24"/>
          <w:vertAlign w:val="superscript"/>
        </w:rPr>
        <w:t>239</w:t>
      </w:r>
      <w:r>
        <w:rPr>
          <w:sz w:val="24"/>
        </w:rPr>
        <w:t>Pu ratio in the literature</w:t>
      </w:r>
      <w:r w:rsidR="0024246C">
        <w:rPr>
          <w:sz w:val="24"/>
        </w:rPr>
        <w:t xml:space="preserve"> </w:t>
      </w:r>
      <w:r w:rsidR="0024246C">
        <w:rPr>
          <w:sz w:val="24"/>
        </w:rPr>
        <w:fldChar w:fldCharType="begin" w:fldLock="1"/>
      </w:r>
      <w:r w:rsidR="006F1462">
        <w:rPr>
          <w:sz w:val="24"/>
        </w:rPr>
        <w:instrText>ADDIN CSL_CITATION {"citationItems":[{"id":"ITEM-1","itemData":{"DOI":"10.1016/j.jenvrad.2014.02.022","abstract":"The variation of the 236 U and 239 Pu concentrations as a function of depth has been studied in a soil profile at a site in the Southern Hemisphere well removed from nuclear weapon test sites. Total inventories of 236 U and 239 Pu as well as the 236 U/ 239 Pu isotopic ratio were derived. For this investigation a soil core from an undisturbed forest area in the Herbert River catchment (17 30 0 e 19 S) which is located in northeastern Queensland (Australia) was chosen. The chemical separation of U and Pu was carried out with a double column which has the advantage of the extraction of both elements from a relatively large soil sample (w20 g) within a day. The samples were measured by Accelerator Mass Spectrometry using the 14UD pelletron accelerator at the Australian National University. The highest atom concentrations of both 236 U and 239 Pu were found at a depth of 2e3 cm. The 236 U/ 239 Pu isotopic ratio in fallout at this site, as deduced from the ratio of the 236 U and 239 Pu inventories, is 0.085 AE 0.003 which is clearly lower than the Northern Hemisphere value of w0.2. The 236 U inventory of (8.4 AE 0.3) Â 10 11 at/m 2 was more than an order of magnitude lower than values reported for the Northern Hemisphere. The 239 Pu activity concentrations are in excellent agreement with a previous study and the 239þ240 Pu inventory was (13.85 AE 0.29) Bq/m 2. The weighted mean 240 Pu/ 239 Pu isotopic ratio of 0.142 AE 0.005 is slightly lower than the value for global fallout, but our results are consistent with the average ratio of 0.173 AE 0.027 for the southern equatorial region (0e30 S).","author":[{"dropping-particle":"","family":"Srncik","given":"M","non-dropping-particle":"","parse-names":false,"suffix":""},{"dropping-particle":"","family":"Tims","given":"S G","non-dropping-particle":"","parse-names":false,"suffix":""},{"dropping-particle":"","family":"Cesare","given":"M","non-dropping-particle":"De","parse-names":false,"suffix":""},{"dropping-particle":"","family":"Fifield","given":"L K","non-dropping-particle":"","parse-names":false,"suffix":""}],"container-title":"Journal of Environmental Radioactivity","id":"ITEM-1","issued":{"date-parts":[["2014"]]},"page":"108-114","title":"First measurements of 236 U concentrations and 236 U/ 239 Pu isotopic ratios in a Southern Hemisphere soil far from nuclear test or reactor sites","type":"article-journal","volume":"132"},"uris":["http://www.mendeley.com/documents/?uuid=dba67375-18ae-3884-ad8c-51cdd135e974"]}],"mendeley":{"formattedCitation":"[84]","plainTextFormattedCitation":"[84]","previouslyFormattedCitation":"[84]"},"properties":{"noteIndex":0},"schema":"https://github.com/citation-style-language/schema/raw/master/csl-citation.json"}</w:instrText>
      </w:r>
      <w:r w:rsidR="0024246C">
        <w:rPr>
          <w:sz w:val="24"/>
        </w:rPr>
        <w:fldChar w:fldCharType="separate"/>
      </w:r>
      <w:r w:rsidR="00E510BC" w:rsidRPr="00E510BC">
        <w:rPr>
          <w:noProof/>
          <w:sz w:val="24"/>
        </w:rPr>
        <w:t>[84]</w:t>
      </w:r>
      <w:r w:rsidR="0024246C">
        <w:rPr>
          <w:sz w:val="24"/>
        </w:rPr>
        <w:fldChar w:fldCharType="end"/>
      </w:r>
      <w:r>
        <w:rPr>
          <w:sz w:val="24"/>
        </w:rPr>
        <w:t xml:space="preserve">, which also applies to this discussion.  As mentioned in </w:t>
      </w:r>
      <w:r w:rsidR="0066505E">
        <w:rPr>
          <w:sz w:val="24"/>
        </w:rPr>
        <w:fldChar w:fldCharType="begin"/>
      </w:r>
      <w:r w:rsidR="0066505E">
        <w:rPr>
          <w:sz w:val="24"/>
        </w:rPr>
        <w:instrText xml:space="preserve"> REF _Ref31286472 \h </w:instrText>
      </w:r>
      <w:r w:rsidR="0066505E">
        <w:rPr>
          <w:sz w:val="24"/>
        </w:rPr>
      </w:r>
      <w:r w:rsidR="0066505E">
        <w:rPr>
          <w:sz w:val="24"/>
        </w:rPr>
        <w:fldChar w:fldCharType="separate"/>
      </w:r>
      <w:r w:rsidR="00161FDC" w:rsidRPr="008B2B75">
        <w:rPr>
          <w:sz w:val="20"/>
        </w:rPr>
        <w:t xml:space="preserve">Table </w:t>
      </w:r>
      <w:r w:rsidR="00161FDC">
        <w:rPr>
          <w:noProof/>
          <w:sz w:val="20"/>
        </w:rPr>
        <w:t>2</w:t>
      </w:r>
      <w:r w:rsidR="0066505E">
        <w:rPr>
          <w:sz w:val="24"/>
        </w:rPr>
        <w:fldChar w:fldCharType="end"/>
      </w:r>
      <w:r>
        <w:rPr>
          <w:sz w:val="24"/>
        </w:rPr>
        <w:t>, Sakaguchi et al</w:t>
      </w:r>
      <w:r w:rsidR="00D94CDE">
        <w:rPr>
          <w:sz w:val="24"/>
        </w:rPr>
        <w:t>.</w:t>
      </w:r>
      <w:r>
        <w:rPr>
          <w:sz w:val="24"/>
        </w:rPr>
        <w:t xml:space="preserve"> </w:t>
      </w:r>
      <w:r w:rsidR="00D94CDE">
        <w:rPr>
          <w:sz w:val="24"/>
        </w:rPr>
        <w:t>report</w:t>
      </w:r>
      <w:r>
        <w:rPr>
          <w:sz w:val="24"/>
        </w:rPr>
        <w:t xml:space="preserve"> a ratio value for fallout of 0.23</w:t>
      </w:r>
      <w:r w:rsidRPr="003F4886">
        <w:rPr>
          <w:rFonts w:cs="Arial"/>
          <w:sz w:val="24"/>
          <w:szCs w:val="24"/>
        </w:rPr>
        <w:t>±0.02</w:t>
      </w:r>
      <w:r w:rsidR="0024246C">
        <w:rPr>
          <w:rFonts w:cs="Arial"/>
          <w:sz w:val="24"/>
          <w:szCs w:val="24"/>
        </w:rPr>
        <w:t xml:space="preserve"> </w:t>
      </w:r>
      <w:r w:rsidR="0024246C">
        <w:rPr>
          <w:rFonts w:cs="Arial"/>
          <w:sz w:val="24"/>
          <w:szCs w:val="24"/>
        </w:rPr>
        <w:fldChar w:fldCharType="begin" w:fldLock="1"/>
      </w:r>
      <w:r w:rsidR="006F1462">
        <w:rPr>
          <w:rFonts w:cs="Arial"/>
          <w:sz w:val="24"/>
          <w:szCs w:val="24"/>
        </w:rPr>
        <w:instrText>ADDIN CSL_CITATION {"citationItems":[{"id":"ITEM-1","itemData":{"DOI":"10.1016/j.scitotenv.2009.01.058","abstract":"a r t i c l e i n f o The global fallout 236 U level in soil was deduced from measurements of 236 U, 239+240 Pu and 137 Cs in surface soils which are solely influenced by global fallout. A total of 12 soil cores from the depths of 0-10, 0-20 and 0-30 cm were collected at a flat forest area in Japan. Concentrations of 239+240 Pu and 238 U were determined by α-particle spectrometry, while the 236 U/ 238 U ratio was measured with accelerator mass spectrometry (AMS). Consistent 236 U/ 239 Pu ratios between 0.212 and 0.253 were found. Using this ratio, the total global fallout of 236 U on the earth is estimated to be as much as ca. 900 kg. This knowledge will contribute to the promotion of research on U isotopes, including 236 U, for the fields of geo-resources, waste management and geochemistry.","author":[{"dropping-particle":"","family":"Sakaguchi","given":"A","non-dropping-particle":"","parse-names":false,"suffix":""},{"dropping-particle":"","family":"Kawai","given":"K","non-dropping-particle":"","parse-names":false,"suffix":""},{"dropping-particle":"","family":"Steier","given":"P","non-dropping-particle":"","parse-names":false,"suffix":""},{"dropping-particle":"","family":"Quinto","given":"F","non-dropping-particle":"","parse-names":false,"suffix":""},{"dropping-particle":"","family":"Mino","given":"K","non-dropping-particle":"","parse-names":false,"suffix":""},{"dropping-particle":"","family":"Tomita","given":"J","non-dropping-particle":"","parse-names":false,"suffix":""},{"dropping-particle":"","family":"Hoshi","given":"M","non-dropping-particle":"","parse-names":false,"suffix":""},{"dropping-particle":"","family":"Whitehead","given":"N","non-dropping-particle":"","parse-names":false,"suffix":""},{"dropping-particle":"","family":"Yamamoto","given":"M","non-dropping-particle":"","parse-names":false,"suffix":""}],"container-title":"Science of the Total Environment, The","id":"ITEM-1","issued":{"date-parts":[["2009"]]},"page":"4238-4242","title":"First results on 236 U levels in global fallout","type":"article-journal","volume":"407"},"uris":["http://www.mendeley.com/documents/?uuid=72c7d9b5-ecf8-36b3-9313-e29b9774df23"]}],"mendeley":{"formattedCitation":"[83]","plainTextFormattedCitation":"[83]","previouslyFormattedCitation":"[83]"},"properties":{"noteIndex":0},"schema":"https://github.com/citation-style-language/schema/raw/master/csl-citation.json"}</w:instrText>
      </w:r>
      <w:r w:rsidR="0024246C">
        <w:rPr>
          <w:rFonts w:cs="Arial"/>
          <w:sz w:val="24"/>
          <w:szCs w:val="24"/>
        </w:rPr>
        <w:fldChar w:fldCharType="separate"/>
      </w:r>
      <w:r w:rsidR="00E510BC" w:rsidRPr="00E510BC">
        <w:rPr>
          <w:rFonts w:cs="Arial"/>
          <w:noProof/>
          <w:sz w:val="24"/>
          <w:szCs w:val="24"/>
        </w:rPr>
        <w:t>[83]</w:t>
      </w:r>
      <w:r w:rsidR="0024246C">
        <w:rPr>
          <w:rFonts w:cs="Arial"/>
          <w:sz w:val="24"/>
          <w:szCs w:val="24"/>
        </w:rPr>
        <w:fldChar w:fldCharType="end"/>
      </w:r>
      <w:r>
        <w:rPr>
          <w:rFonts w:cs="Arial"/>
          <w:sz w:val="24"/>
          <w:szCs w:val="24"/>
        </w:rPr>
        <w:t>. The samples measured from the Dounreay site expressed much higher ratios than this with an average of 134</w:t>
      </w:r>
      <w:r w:rsidRPr="003F4886">
        <w:rPr>
          <w:rFonts w:cs="Arial"/>
          <w:sz w:val="24"/>
          <w:szCs w:val="24"/>
        </w:rPr>
        <w:t>±</w:t>
      </w:r>
      <w:r w:rsidR="00D24BE8">
        <w:rPr>
          <w:rFonts w:cs="Arial"/>
          <w:sz w:val="24"/>
          <w:szCs w:val="24"/>
        </w:rPr>
        <w:t>16</w:t>
      </w:r>
      <w:r>
        <w:rPr>
          <w:rFonts w:cs="Arial"/>
          <w:sz w:val="24"/>
          <w:szCs w:val="24"/>
        </w:rPr>
        <w:t xml:space="preserve">. The </w:t>
      </w:r>
      <w:r>
        <w:rPr>
          <w:sz w:val="24"/>
          <w:vertAlign w:val="superscript"/>
        </w:rPr>
        <w:t>236</w:t>
      </w:r>
      <w:r>
        <w:rPr>
          <w:sz w:val="24"/>
        </w:rPr>
        <w:t>U</w:t>
      </w:r>
      <w:r>
        <w:rPr>
          <w:rFonts w:cs="Arial"/>
          <w:sz w:val="24"/>
          <w:szCs w:val="24"/>
        </w:rPr>
        <w:t xml:space="preserve"> abundances within the samples were extremely high, along with uncharacteristically high errors for the methods used, which caused concerns of possible contamination of the samples. Due to the limited time to access the apparatus a second measurement was not possible, and so the </w:t>
      </w:r>
      <w:r w:rsidRPr="008935FE">
        <w:rPr>
          <w:sz w:val="24"/>
          <w:vertAlign w:val="superscript"/>
        </w:rPr>
        <w:t>236</w:t>
      </w:r>
      <w:r w:rsidRPr="008935FE">
        <w:rPr>
          <w:sz w:val="24"/>
        </w:rPr>
        <w:t>U/</w:t>
      </w:r>
      <w:r w:rsidRPr="008935FE">
        <w:rPr>
          <w:sz w:val="24"/>
          <w:vertAlign w:val="superscript"/>
        </w:rPr>
        <w:t>239</w:t>
      </w:r>
      <w:r w:rsidRPr="008935FE">
        <w:rPr>
          <w:sz w:val="24"/>
        </w:rPr>
        <w:t>Pu</w:t>
      </w:r>
      <w:r>
        <w:rPr>
          <w:sz w:val="24"/>
        </w:rPr>
        <w:t xml:space="preserve"> ratio will be considered no further in th</w:t>
      </w:r>
      <w:r w:rsidR="00D94CDE">
        <w:rPr>
          <w:sz w:val="24"/>
        </w:rPr>
        <w:t>is</w:t>
      </w:r>
      <w:r>
        <w:rPr>
          <w:sz w:val="24"/>
        </w:rPr>
        <w:t xml:space="preserve"> discussion.</w:t>
      </w:r>
    </w:p>
    <w:p w14:paraId="65883A6E" w14:textId="77777777" w:rsidR="00F37CA9" w:rsidRDefault="00F37CA9" w:rsidP="00F37CA9">
      <w:pPr>
        <w:rPr>
          <w:sz w:val="24"/>
        </w:rPr>
      </w:pPr>
      <w:r>
        <w:rPr>
          <w:sz w:val="24"/>
        </w:rPr>
        <w:br w:type="page"/>
      </w:r>
    </w:p>
    <w:p w14:paraId="363675BD" w14:textId="042A43F3" w:rsidR="00F37CA9" w:rsidRPr="00301B60" w:rsidRDefault="00F37CA9" w:rsidP="00F37CA9">
      <w:pPr>
        <w:tabs>
          <w:tab w:val="left" w:pos="3075"/>
        </w:tabs>
        <w:spacing w:line="480" w:lineRule="auto"/>
        <w:rPr>
          <w:b/>
          <w:sz w:val="28"/>
          <w:lang w:val="fr-FR"/>
        </w:rPr>
      </w:pPr>
      <w:r w:rsidRPr="00301B60">
        <w:rPr>
          <w:b/>
          <w:sz w:val="28"/>
          <w:lang w:val="fr-FR"/>
        </w:rPr>
        <w:lastRenderedPageBreak/>
        <w:t>4.3.5.2</w:t>
      </w:r>
      <w:r w:rsidR="00B812D4" w:rsidRPr="00301B60">
        <w:rPr>
          <w:b/>
          <w:sz w:val="28"/>
          <w:lang w:val="fr-FR"/>
        </w:rPr>
        <w:t xml:space="preserve"> </w:t>
      </w:r>
      <w:r w:rsidRPr="00301B60">
        <w:rPr>
          <w:b/>
          <w:sz w:val="28"/>
          <w:vertAlign w:val="superscript"/>
          <w:lang w:val="fr-FR"/>
        </w:rPr>
        <w:t>240</w:t>
      </w:r>
      <w:r w:rsidRPr="00301B60">
        <w:rPr>
          <w:b/>
          <w:sz w:val="28"/>
          <w:lang w:val="fr-FR"/>
        </w:rPr>
        <w:t>Pu/</w:t>
      </w:r>
      <w:r w:rsidRPr="00301B60">
        <w:rPr>
          <w:b/>
          <w:sz w:val="28"/>
          <w:vertAlign w:val="superscript"/>
          <w:lang w:val="fr-FR"/>
        </w:rPr>
        <w:t>239</w:t>
      </w:r>
      <w:r w:rsidRPr="00301B60">
        <w:rPr>
          <w:b/>
          <w:sz w:val="28"/>
          <w:lang w:val="fr-FR"/>
        </w:rPr>
        <w:t>Pu</w:t>
      </w:r>
    </w:p>
    <w:p w14:paraId="624F9D17" w14:textId="45281D9A" w:rsidR="00F37CA9" w:rsidRDefault="00F37CA9" w:rsidP="00F37CA9">
      <w:pPr>
        <w:tabs>
          <w:tab w:val="left" w:pos="3075"/>
        </w:tabs>
        <w:spacing w:line="480" w:lineRule="auto"/>
        <w:ind w:firstLine="567"/>
        <w:rPr>
          <w:sz w:val="24"/>
        </w:rPr>
      </w:pPr>
      <w:r w:rsidRPr="008E51B5">
        <w:rPr>
          <w:sz w:val="24"/>
        </w:rPr>
        <w:t xml:space="preserve">Krey et al reported a global average </w:t>
      </w:r>
      <w:r w:rsidRPr="008E51B5">
        <w:rPr>
          <w:sz w:val="24"/>
          <w:vertAlign w:val="superscript"/>
        </w:rPr>
        <w:t>240</w:t>
      </w:r>
      <w:r w:rsidRPr="008E51B5">
        <w:rPr>
          <w:sz w:val="24"/>
        </w:rPr>
        <w:t>Pu/</w:t>
      </w:r>
      <w:r w:rsidRPr="008E51B5">
        <w:rPr>
          <w:sz w:val="24"/>
          <w:vertAlign w:val="superscript"/>
        </w:rPr>
        <w:t>239</w:t>
      </w:r>
      <w:r w:rsidRPr="008E51B5">
        <w:rPr>
          <w:sz w:val="24"/>
        </w:rPr>
        <w:t>Pu ratio of 0.176</w:t>
      </w:r>
      <w:r w:rsidR="005E22DD" w:rsidRPr="008E51B5">
        <w:rPr>
          <w:sz w:val="24"/>
        </w:rPr>
        <w:t>±0.014</w:t>
      </w:r>
      <w:r w:rsidR="0024246C" w:rsidRPr="008E51B5">
        <w:rPr>
          <w:sz w:val="24"/>
        </w:rPr>
        <w:t xml:space="preserve"> </w:t>
      </w:r>
      <w:r w:rsidR="0024246C">
        <w:rPr>
          <w:sz w:val="24"/>
        </w:rPr>
        <w:fldChar w:fldCharType="begin" w:fldLock="1"/>
      </w:r>
      <w:r w:rsidR="00767A68" w:rsidRPr="008E51B5">
        <w:rPr>
          <w:sz w:val="24"/>
        </w:rPr>
        <w:instrText>ADDIN CSL_CITATION {"citationItems":[{"id":"ITEM-1","itemData":{"abstract":"The mass isotopic content of fall-out plutonium in soil samples collected from around the world in 1970 and 1971 showed some variability which correlated with the location of nuclear weapons test sites. Omitting local effects, the global mean ratios of 240Pu/239Pu, 241Pu/239Pu and 242Pu/239Pu are 0.176+-0.014, 0.0086+-0.0017 and 0.0044+-0.0011, respectively, corrected to January 1971. Such isotopic data provide the most sensitive technique to resolve mixtures of fall-out plutonium with plutonium from a second source. From these data, the 241Am/sup(239,240)Pu activity ratio of integrated fall-out on the earth's surface can be estimated and will peak at 0.42 in the year 2037","author":[{"dropping-particle":"","family":"Krey","given":"P.W.","non-dropping-particle":"","parse-names":false,"suffix":""},{"dropping-particle":"","family":"Hardy","given":"E.P.","non-dropping-particle":"","parse-names":false,"suffix":""},{"dropping-particle":"","family":"Benson","given":"W.K.","non-dropping-particle":"","parse-names":false,"suffix":""}],"container-title":"Symposium on transuranium nuclides in the environment","id":"ITEM-1","issued":{"date-parts":[["1976"]]},"page":"671-677","publisher-place":"San Francisco","title":"Mass Isotopic Composition of Global Fall-Out Plutonium in Soil","type":"paper-conference"},"uris":["http://www.mendeley.com/documents/?uuid=a88e2888-53f4-4639-a568-644f256133cc"]}],"mendeley":{"formattedCitation":"[66]","plainTextFormattedCitation":"[66]","previouslyFormattedCitation":"[66]"},"properties":{"noteIndex":0},"schema":"https://github.com/citation-style-language/schema/raw/master/csl-citation.json"}</w:instrText>
      </w:r>
      <w:r w:rsidR="0024246C">
        <w:rPr>
          <w:sz w:val="24"/>
        </w:rPr>
        <w:fldChar w:fldCharType="separate"/>
      </w:r>
      <w:r w:rsidR="000B0F18" w:rsidRPr="008E51B5">
        <w:rPr>
          <w:noProof/>
          <w:sz w:val="24"/>
        </w:rPr>
        <w:t>[66]</w:t>
      </w:r>
      <w:r w:rsidR="0024246C">
        <w:rPr>
          <w:sz w:val="24"/>
        </w:rPr>
        <w:fldChar w:fldCharType="end"/>
      </w:r>
      <w:r w:rsidRPr="008E51B5">
        <w:rPr>
          <w:sz w:val="24"/>
        </w:rPr>
        <w:t xml:space="preserve">. </w:t>
      </w:r>
      <w:r>
        <w:rPr>
          <w:sz w:val="24"/>
        </w:rPr>
        <w:t xml:space="preserve">The average </w:t>
      </w:r>
      <w:r>
        <w:rPr>
          <w:sz w:val="24"/>
          <w:vertAlign w:val="superscript"/>
        </w:rPr>
        <w:t>240</w:t>
      </w:r>
      <w:r>
        <w:rPr>
          <w:sz w:val="24"/>
        </w:rPr>
        <w:t>Pu/</w:t>
      </w:r>
      <w:r>
        <w:rPr>
          <w:sz w:val="24"/>
          <w:vertAlign w:val="superscript"/>
        </w:rPr>
        <w:t>239</w:t>
      </w:r>
      <w:r>
        <w:rPr>
          <w:sz w:val="24"/>
        </w:rPr>
        <w:t xml:space="preserve">Pu ratios of this project’s samples are displayed in </w:t>
      </w:r>
      <w:r w:rsidR="0066505E">
        <w:rPr>
          <w:sz w:val="24"/>
        </w:rPr>
        <w:fldChar w:fldCharType="begin"/>
      </w:r>
      <w:r w:rsidR="0066505E">
        <w:rPr>
          <w:sz w:val="24"/>
        </w:rPr>
        <w:instrText xml:space="preserve"> REF _Ref31286453 \h </w:instrText>
      </w:r>
      <w:r w:rsidR="0066505E">
        <w:rPr>
          <w:sz w:val="24"/>
        </w:rPr>
      </w:r>
      <w:r w:rsidR="0066505E">
        <w:rPr>
          <w:sz w:val="24"/>
        </w:rPr>
        <w:fldChar w:fldCharType="separate"/>
      </w:r>
      <w:r w:rsidR="00161FDC" w:rsidRPr="008B2B75">
        <w:rPr>
          <w:sz w:val="20"/>
        </w:rPr>
        <w:t xml:space="preserve">Table </w:t>
      </w:r>
      <w:r w:rsidR="00161FDC">
        <w:rPr>
          <w:noProof/>
          <w:sz w:val="20"/>
        </w:rPr>
        <w:t>3</w:t>
      </w:r>
      <w:r w:rsidR="0066505E">
        <w:rPr>
          <w:sz w:val="24"/>
        </w:rPr>
        <w:fldChar w:fldCharType="end"/>
      </w:r>
      <w:r>
        <w:rPr>
          <w:sz w:val="24"/>
        </w:rPr>
        <w:t xml:space="preserve"> below.</w:t>
      </w:r>
    </w:p>
    <w:tbl>
      <w:tblPr>
        <w:tblStyle w:val="TableGrid"/>
        <w:tblW w:w="0" w:type="auto"/>
        <w:tblLook w:val="04A0" w:firstRow="1" w:lastRow="0" w:firstColumn="1" w:lastColumn="0" w:noHBand="0" w:noVBand="1"/>
      </w:tblPr>
      <w:tblGrid>
        <w:gridCol w:w="4508"/>
        <w:gridCol w:w="4508"/>
      </w:tblGrid>
      <w:tr w:rsidR="00F37CA9" w14:paraId="2F7F02B2" w14:textId="77777777" w:rsidTr="00497DCB">
        <w:tc>
          <w:tcPr>
            <w:tcW w:w="4508" w:type="dxa"/>
          </w:tcPr>
          <w:p w14:paraId="234A557F" w14:textId="77777777" w:rsidR="00F37CA9" w:rsidRDefault="00F37CA9" w:rsidP="00497DCB">
            <w:pPr>
              <w:tabs>
                <w:tab w:val="left" w:pos="3075"/>
              </w:tabs>
              <w:spacing w:line="480" w:lineRule="auto"/>
              <w:rPr>
                <w:sz w:val="24"/>
              </w:rPr>
            </w:pPr>
            <w:r>
              <w:rPr>
                <w:sz w:val="24"/>
              </w:rPr>
              <w:t>Area</w:t>
            </w:r>
          </w:p>
        </w:tc>
        <w:tc>
          <w:tcPr>
            <w:tcW w:w="4508" w:type="dxa"/>
          </w:tcPr>
          <w:p w14:paraId="75BEB051" w14:textId="77777777" w:rsidR="00F37CA9" w:rsidRDefault="00F37CA9" w:rsidP="00497DCB">
            <w:pPr>
              <w:tabs>
                <w:tab w:val="left" w:pos="3075"/>
              </w:tabs>
              <w:spacing w:line="480" w:lineRule="auto"/>
              <w:rPr>
                <w:sz w:val="24"/>
              </w:rPr>
            </w:pPr>
            <w:r>
              <w:rPr>
                <w:sz w:val="24"/>
                <w:vertAlign w:val="superscript"/>
              </w:rPr>
              <w:t>240</w:t>
            </w:r>
            <w:r>
              <w:rPr>
                <w:sz w:val="24"/>
              </w:rPr>
              <w:t>Pu/</w:t>
            </w:r>
            <w:r>
              <w:rPr>
                <w:sz w:val="24"/>
                <w:vertAlign w:val="superscript"/>
              </w:rPr>
              <w:t>239</w:t>
            </w:r>
            <w:r>
              <w:rPr>
                <w:sz w:val="24"/>
              </w:rPr>
              <w:t>Pu ratio</w:t>
            </w:r>
          </w:p>
        </w:tc>
      </w:tr>
      <w:tr w:rsidR="00F37CA9" w14:paraId="499901CF" w14:textId="77777777" w:rsidTr="00497DCB">
        <w:tc>
          <w:tcPr>
            <w:tcW w:w="4508" w:type="dxa"/>
          </w:tcPr>
          <w:p w14:paraId="36973677" w14:textId="77777777" w:rsidR="00F37CA9" w:rsidRDefault="00F37CA9" w:rsidP="00497DCB">
            <w:pPr>
              <w:tabs>
                <w:tab w:val="left" w:pos="3075"/>
              </w:tabs>
              <w:spacing w:line="480" w:lineRule="auto"/>
              <w:rPr>
                <w:sz w:val="24"/>
              </w:rPr>
            </w:pPr>
            <w:r>
              <w:rPr>
                <w:sz w:val="24"/>
              </w:rPr>
              <w:t>On-site</w:t>
            </w:r>
          </w:p>
        </w:tc>
        <w:tc>
          <w:tcPr>
            <w:tcW w:w="4508" w:type="dxa"/>
          </w:tcPr>
          <w:p w14:paraId="621137DD" w14:textId="77777777" w:rsidR="00F37CA9" w:rsidRDefault="00F37CA9" w:rsidP="00497DCB">
            <w:pPr>
              <w:tabs>
                <w:tab w:val="left" w:pos="3075"/>
              </w:tabs>
              <w:spacing w:line="480" w:lineRule="auto"/>
              <w:rPr>
                <w:sz w:val="24"/>
              </w:rPr>
            </w:pPr>
            <w:r>
              <w:rPr>
                <w:sz w:val="24"/>
              </w:rPr>
              <w:t>0.125 ±0.004</w:t>
            </w:r>
          </w:p>
        </w:tc>
      </w:tr>
      <w:tr w:rsidR="00F37CA9" w14:paraId="2DE862F8" w14:textId="77777777" w:rsidTr="00497DCB">
        <w:tc>
          <w:tcPr>
            <w:tcW w:w="4508" w:type="dxa"/>
          </w:tcPr>
          <w:p w14:paraId="0DE74AF4" w14:textId="77777777" w:rsidR="00F37CA9" w:rsidRDefault="00F37CA9" w:rsidP="00497DCB">
            <w:pPr>
              <w:tabs>
                <w:tab w:val="left" w:pos="3075"/>
              </w:tabs>
              <w:spacing w:line="480" w:lineRule="auto"/>
              <w:rPr>
                <w:sz w:val="24"/>
              </w:rPr>
            </w:pPr>
            <w:r>
              <w:rPr>
                <w:sz w:val="24"/>
              </w:rPr>
              <w:t>Off-site</w:t>
            </w:r>
          </w:p>
        </w:tc>
        <w:tc>
          <w:tcPr>
            <w:tcW w:w="4508" w:type="dxa"/>
          </w:tcPr>
          <w:p w14:paraId="7D332391" w14:textId="77777777" w:rsidR="00F37CA9" w:rsidRDefault="00F37CA9" w:rsidP="00497DCB">
            <w:pPr>
              <w:tabs>
                <w:tab w:val="left" w:pos="3075"/>
              </w:tabs>
              <w:spacing w:line="480" w:lineRule="auto"/>
              <w:rPr>
                <w:sz w:val="24"/>
              </w:rPr>
            </w:pPr>
            <w:r>
              <w:rPr>
                <w:sz w:val="24"/>
              </w:rPr>
              <w:t>0.106 ±0.003</w:t>
            </w:r>
          </w:p>
        </w:tc>
      </w:tr>
      <w:tr w:rsidR="00F37CA9" w14:paraId="2CCFE4A5" w14:textId="77777777" w:rsidTr="00497DCB">
        <w:tc>
          <w:tcPr>
            <w:tcW w:w="4508" w:type="dxa"/>
          </w:tcPr>
          <w:p w14:paraId="47299025" w14:textId="77777777" w:rsidR="00F37CA9" w:rsidRDefault="00F37CA9" w:rsidP="00497DCB">
            <w:pPr>
              <w:tabs>
                <w:tab w:val="left" w:pos="3075"/>
              </w:tabs>
              <w:spacing w:line="480" w:lineRule="auto"/>
              <w:rPr>
                <w:sz w:val="24"/>
              </w:rPr>
            </w:pPr>
            <w:r>
              <w:rPr>
                <w:sz w:val="24"/>
              </w:rPr>
              <w:t>Away from site</w:t>
            </w:r>
          </w:p>
        </w:tc>
        <w:tc>
          <w:tcPr>
            <w:tcW w:w="4508" w:type="dxa"/>
          </w:tcPr>
          <w:p w14:paraId="208BC34B" w14:textId="77777777" w:rsidR="00F37CA9" w:rsidRDefault="00F37CA9" w:rsidP="00CB7650">
            <w:pPr>
              <w:keepNext/>
              <w:tabs>
                <w:tab w:val="left" w:pos="3075"/>
              </w:tabs>
              <w:spacing w:line="480" w:lineRule="auto"/>
              <w:rPr>
                <w:sz w:val="24"/>
              </w:rPr>
            </w:pPr>
            <w:r>
              <w:rPr>
                <w:sz w:val="24"/>
              </w:rPr>
              <w:t>0.167 ±0.007</w:t>
            </w:r>
          </w:p>
        </w:tc>
      </w:tr>
    </w:tbl>
    <w:p w14:paraId="0F6F46F6" w14:textId="7DC03762" w:rsidR="00CB7650" w:rsidRPr="008B2B75" w:rsidRDefault="00CB7650">
      <w:pPr>
        <w:pStyle w:val="Caption"/>
        <w:rPr>
          <w:sz w:val="20"/>
        </w:rPr>
      </w:pPr>
      <w:bookmarkStart w:id="39" w:name="_Ref31286453"/>
      <w:r w:rsidRPr="008B2B75">
        <w:rPr>
          <w:sz w:val="20"/>
        </w:rPr>
        <w:t xml:space="preserve">Table </w:t>
      </w:r>
      <w:r w:rsidRPr="008B2B75">
        <w:rPr>
          <w:sz w:val="20"/>
        </w:rPr>
        <w:fldChar w:fldCharType="begin"/>
      </w:r>
      <w:r w:rsidRPr="008B2B75">
        <w:rPr>
          <w:sz w:val="20"/>
        </w:rPr>
        <w:instrText xml:space="preserve"> SEQ Table \* ARABIC </w:instrText>
      </w:r>
      <w:r w:rsidRPr="008B2B75">
        <w:rPr>
          <w:sz w:val="20"/>
        </w:rPr>
        <w:fldChar w:fldCharType="separate"/>
      </w:r>
      <w:r w:rsidR="00161FDC">
        <w:rPr>
          <w:noProof/>
          <w:sz w:val="20"/>
        </w:rPr>
        <w:t>3</w:t>
      </w:r>
      <w:r w:rsidRPr="008B2B75">
        <w:rPr>
          <w:sz w:val="20"/>
        </w:rPr>
        <w:fldChar w:fldCharType="end"/>
      </w:r>
      <w:bookmarkEnd w:id="39"/>
      <w:r w:rsidRPr="008B2B75">
        <w:rPr>
          <w:sz w:val="20"/>
        </w:rPr>
        <w:t xml:space="preserve"> The </w:t>
      </w:r>
      <w:r w:rsidRPr="008B2B75">
        <w:rPr>
          <w:sz w:val="20"/>
          <w:vertAlign w:val="superscript"/>
        </w:rPr>
        <w:t>240</w:t>
      </w:r>
      <w:r w:rsidRPr="008B2B75">
        <w:rPr>
          <w:sz w:val="20"/>
        </w:rPr>
        <w:t>Pu/</w:t>
      </w:r>
      <w:r w:rsidRPr="008B2B75">
        <w:rPr>
          <w:sz w:val="20"/>
          <w:vertAlign w:val="superscript"/>
        </w:rPr>
        <w:t>239</w:t>
      </w:r>
      <w:r w:rsidRPr="008B2B75">
        <w:rPr>
          <w:sz w:val="20"/>
        </w:rPr>
        <w:t>Pu ratios of the different samples in this study, differentiated by sampling site.</w:t>
      </w:r>
    </w:p>
    <w:p w14:paraId="519E9BEC" w14:textId="2C4CBA50" w:rsidR="00D166CA" w:rsidRDefault="00F37CA9" w:rsidP="00F37CA9">
      <w:pPr>
        <w:tabs>
          <w:tab w:val="left" w:pos="3075"/>
        </w:tabs>
        <w:spacing w:line="480" w:lineRule="auto"/>
        <w:ind w:firstLine="567"/>
        <w:rPr>
          <w:noProof/>
        </w:rPr>
      </w:pPr>
      <w:r>
        <w:rPr>
          <w:sz w:val="24"/>
        </w:rPr>
        <w:t xml:space="preserve">As shown, both sample sets from Dounreay, on-site and off-site show a ratio of </w:t>
      </w:r>
      <w:r>
        <w:rPr>
          <w:sz w:val="24"/>
          <w:vertAlign w:val="superscript"/>
        </w:rPr>
        <w:t>240</w:t>
      </w:r>
      <w:r>
        <w:rPr>
          <w:sz w:val="24"/>
        </w:rPr>
        <w:t>Pu/</w:t>
      </w:r>
      <w:r>
        <w:rPr>
          <w:sz w:val="24"/>
          <w:vertAlign w:val="superscript"/>
        </w:rPr>
        <w:t>239</w:t>
      </w:r>
      <w:r>
        <w:rPr>
          <w:sz w:val="24"/>
        </w:rPr>
        <w:t xml:space="preserve">Pu significantly lower than that of the global average, while the sample average collected ‘away from site’ in Derbyshire and Yorkshire is consistent with the global value. The values are displayed in </w:t>
      </w:r>
      <w:r w:rsidR="0066505E">
        <w:rPr>
          <w:sz w:val="24"/>
        </w:rPr>
        <w:fldChar w:fldCharType="begin"/>
      </w:r>
      <w:r w:rsidR="0066505E">
        <w:rPr>
          <w:sz w:val="24"/>
        </w:rPr>
        <w:instrText xml:space="preserve"> REF _Ref31286431 \h </w:instrText>
      </w:r>
      <w:r w:rsidR="0066505E">
        <w:rPr>
          <w:sz w:val="24"/>
        </w:rPr>
      </w:r>
      <w:r w:rsidR="0066505E">
        <w:rPr>
          <w:sz w:val="24"/>
        </w:rPr>
        <w:fldChar w:fldCharType="separate"/>
      </w:r>
      <w:r w:rsidR="00161FDC" w:rsidRPr="008B2B75">
        <w:rPr>
          <w:sz w:val="20"/>
        </w:rPr>
        <w:t xml:space="preserve">Figure </w:t>
      </w:r>
      <w:r w:rsidR="00161FDC">
        <w:rPr>
          <w:noProof/>
          <w:sz w:val="20"/>
        </w:rPr>
        <w:t>33</w:t>
      </w:r>
      <w:r w:rsidR="0066505E">
        <w:rPr>
          <w:sz w:val="24"/>
        </w:rPr>
        <w:fldChar w:fldCharType="end"/>
      </w:r>
      <w:r>
        <w:rPr>
          <w:sz w:val="24"/>
        </w:rPr>
        <w:t>.</w:t>
      </w:r>
      <w:r w:rsidRPr="00AD3F9F">
        <w:rPr>
          <w:noProof/>
        </w:rPr>
        <w:t xml:space="preserve"> </w:t>
      </w:r>
    </w:p>
    <w:p w14:paraId="0C162CF4" w14:textId="77777777" w:rsidR="00D166CA" w:rsidRDefault="00D166CA">
      <w:pPr>
        <w:rPr>
          <w:noProof/>
        </w:rPr>
      </w:pPr>
      <w:r>
        <w:rPr>
          <w:noProof/>
        </w:rPr>
        <w:br w:type="page"/>
      </w:r>
    </w:p>
    <w:p w14:paraId="7C080A10" w14:textId="77777777" w:rsidR="00CB7650" w:rsidRDefault="00F37CA9" w:rsidP="00CB7650">
      <w:pPr>
        <w:keepNext/>
      </w:pPr>
      <w:r>
        <w:rPr>
          <w:noProof/>
          <w:lang w:eastAsia="en-GB"/>
        </w:rPr>
        <w:lastRenderedPageBreak/>
        <w:drawing>
          <wp:inline distT="0" distB="0" distL="0" distR="0" wp14:anchorId="2C2091A8" wp14:editId="21585013">
            <wp:extent cx="5731510" cy="3498112"/>
            <wp:effectExtent l="0" t="0" r="2540" b="7620"/>
            <wp:docPr id="196" name="Chart 196">
              <a:extLst xmlns:a="http://schemas.openxmlformats.org/drawingml/2006/main">
                <a:ext uri="{FF2B5EF4-FFF2-40B4-BE49-F238E27FC236}">
                  <a16:creationId xmlns:a16="http://schemas.microsoft.com/office/drawing/2014/main" id="{FAD62A55-2DE4-41B9-93F7-833427737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B771068" w14:textId="21B4033A" w:rsidR="00CB7650" w:rsidRPr="008B2B75" w:rsidRDefault="00CB7650" w:rsidP="008B2B75">
      <w:pPr>
        <w:pStyle w:val="Caption"/>
        <w:jc w:val="center"/>
        <w:rPr>
          <w:sz w:val="20"/>
        </w:rPr>
      </w:pPr>
      <w:bookmarkStart w:id="40" w:name="_Ref31286431"/>
      <w:r w:rsidRPr="008B2B75">
        <w:rPr>
          <w:sz w:val="20"/>
        </w:rPr>
        <w:t xml:space="preserve">Figure </w:t>
      </w:r>
      <w:r w:rsidRPr="008B2B75">
        <w:rPr>
          <w:sz w:val="20"/>
        </w:rPr>
        <w:fldChar w:fldCharType="begin"/>
      </w:r>
      <w:r w:rsidRPr="008B2B75">
        <w:rPr>
          <w:sz w:val="20"/>
        </w:rPr>
        <w:instrText xml:space="preserve"> SEQ Figure \* ARABIC </w:instrText>
      </w:r>
      <w:r w:rsidRPr="008B2B75">
        <w:rPr>
          <w:sz w:val="20"/>
        </w:rPr>
        <w:fldChar w:fldCharType="separate"/>
      </w:r>
      <w:r w:rsidR="00161FDC">
        <w:rPr>
          <w:noProof/>
          <w:sz w:val="20"/>
        </w:rPr>
        <w:t>33</w:t>
      </w:r>
      <w:r w:rsidRPr="008B2B75">
        <w:rPr>
          <w:sz w:val="20"/>
        </w:rPr>
        <w:fldChar w:fldCharType="end"/>
      </w:r>
      <w:bookmarkEnd w:id="40"/>
      <w:r w:rsidRPr="008B2B75">
        <w:rPr>
          <w:sz w:val="20"/>
        </w:rPr>
        <w:t xml:space="preserve"> </w:t>
      </w:r>
      <w:r w:rsidRPr="008B2B75">
        <w:rPr>
          <w:sz w:val="20"/>
          <w:vertAlign w:val="superscript"/>
        </w:rPr>
        <w:t>240</w:t>
      </w:r>
      <w:r w:rsidRPr="008B2B75">
        <w:rPr>
          <w:sz w:val="20"/>
        </w:rPr>
        <w:t>Pu/</w:t>
      </w:r>
      <w:r w:rsidRPr="008B2B75">
        <w:rPr>
          <w:sz w:val="20"/>
          <w:vertAlign w:val="superscript"/>
        </w:rPr>
        <w:t>239</w:t>
      </w:r>
      <w:r w:rsidRPr="008B2B75">
        <w:rPr>
          <w:sz w:val="20"/>
        </w:rPr>
        <w:t xml:space="preserve">Pu ratios compared between multiple global sites of differing radioactive material origin, including the three sample areas from the project </w:t>
      </w:r>
      <w:r w:rsidR="009F2045">
        <w:rPr>
          <w:sz w:val="20"/>
        </w:rPr>
        <w:fldChar w:fldCharType="begin" w:fldLock="1"/>
      </w:r>
      <w:r w:rsidR="009F2045">
        <w:rPr>
          <w:sz w:val="20"/>
        </w:rPr>
        <w:instrText>ADDIN CSL_CITATION {"citationItems":[{"id":"ITEM-1","itemData":{"DOI":"10.1016/j.nimb.2012.06.017","ISSN":"0168583X","PMID":"23565016","abstract":"VERA, the Vienna Environmental Research Accelerator, is especially equipped for the measurement of actinides, and performs a growing number of measurements on environmental samples. While AMS is not the optimum method for each particular plutonium isotope, the possibility to measure (239)Pu, (240)Pu, (241)Pu, (242)Pu and (244)Pu on the same AMS sputter target is a great simplification. We have obtained a first result on the global fallout value of (244)Pu/(239)Pu = (5.7 ± 1.0) × 10(-5) based on soil samples from Salzburg prefecture, Austria. Furthermore, we suggest using the (242)Pu/(240)Pu ratio as an estimate of the initial (241)Pu/(239)Pu ratio, which allows dating of the time of irradiation based solely on Pu isotopes. We have checked the validity of this estimate using literature data, simulations, and environmental samples from soil from the Salzburg prefecture (Austria), from the shut down Garigliano Nuclear Power Plant (Sessa Aurunca, Italy) and from the Irish Sea near the Sellafield nuclear facility. The maximum deviation of the estimated dates from the expected ages is 6 years, while relative dating of material from the same source seems to be possible with a precision of less than 2 years. Additional information carried by the minor plutonium isotopes may allow further improvements of the precision of the method.","author":[{"dropping-particle":"","family":"Steier","given":"P","non-dropping-particle":"","parse-names":false,"suffix":""},{"dropping-particle":"","family":"Hrnecek","given":"E","non-dropping-particle":"","parse-names":false,"suffix":""},{"dropping-particle":"","family":"Priller","given":"A","non-dropping-particle":"","parse-names":false,"suffix":""},{"dropping-particle":"","family":"Quinto","given":"F","non-dropping-particle":"","parse-names":false,"suffix":""},{"dropping-particle":"","family":"Srncik","given":"M","non-dropping-particle":"","parse-names":false,"suffix":""},{"dropping-particle":"","family":"Wallner","given":"A.","non-dropping-particle":"","parse-names":false,"suffix":""},{"dropping-particle":"","family":"Wallner","given":"G","non-dropping-particle":"","parse-names":false,"suffix":""},{"dropping-particle":"","family":"Winkler","given":"S","non-dropping-particle":"","parse-names":false,"suffix":""}],"container-title":"Nuclear Instruments and Methods in Physics Research Section B: Beam Interactions with Materials and Atoms","id":"ITEM-1","issue":"2-2","issued":{"date-parts":[["2013","1"]]},"page":"160-164","publisher":"Elsevier","title":"AMS of the Minor Plutonium Isotopes","type":"article-journal","volume":"294"},"uris":["http://www.mendeley.com/documents/?uuid=05b1f9d1-7369-3cb1-b743-0bc252b99de6"]}],"mendeley":{"formattedCitation":"[64]","plainTextFormattedCitation":"[64]","previouslyFormattedCitation":"[64]"},"properties":{"noteIndex":0},"schema":"https://github.com/citation-style-language/schema/raw/master/csl-citation.json"}</w:instrText>
      </w:r>
      <w:r w:rsidR="009F2045">
        <w:rPr>
          <w:sz w:val="20"/>
        </w:rPr>
        <w:fldChar w:fldCharType="separate"/>
      </w:r>
      <w:r w:rsidR="009F2045" w:rsidRPr="009F2045">
        <w:rPr>
          <w:i w:val="0"/>
          <w:noProof/>
          <w:sz w:val="20"/>
        </w:rPr>
        <w:t>[64]</w:t>
      </w:r>
      <w:r w:rsidR="009F2045">
        <w:rPr>
          <w:sz w:val="20"/>
        </w:rPr>
        <w:fldChar w:fldCharType="end"/>
      </w:r>
      <w:r w:rsidR="009F2045">
        <w:rPr>
          <w:sz w:val="20"/>
        </w:rPr>
        <w:fldChar w:fldCharType="begin" w:fldLock="1"/>
      </w:r>
      <w:r w:rsidR="006F1462">
        <w:rPr>
          <w:sz w:val="20"/>
        </w:rPr>
        <w:instrText>ADDIN CSL_CITATION {"citationItems":[{"id":"ITEM-1","itemData":{"abstract":"The November 1, 1952 thermonuclear explosion {\"Mike\") produced all of the uranium isotopes U~', U\"', ~ U\"' through multiple neutron capture by U\"'. The long-lived products of successive P decays from these isotopes were measured mass spectrometrically and radiometrically. The logarithms of the abundances decline smoothly with increasing mass number; the even-mass abundances slightly exceed the geometric mean of adjacent odd-mass abundances. Some nuclear properties of neutron-rich heavy nuclides, not subject to ordinary investigation are inferred.","author":[{"dropping-particle":"","family":"Diamond","given":"H","non-dropping-particle":"","parse-names":false,"suffix":""},{"dropping-particle":"","family":"Fields","given":"P R","non-dropping-particle":"","parse-names":false,"suffix":""},{"dropping-particle":"","family":"Stkvens","given":"C S","non-dropping-particle":"","parse-names":false,"suffix":""},{"dropping-particle":"","family":"Studier","given":"M H","non-dropping-particle":"","parse-names":false,"suffix":""},{"dropping-particle":"","family":"Inghram","given":"M G","non-dropping-particle":"","parse-names":false,"suffix":""},{"dropping-particle":"","family":"Hess","given":"D C","non-dropping-particle":"","parse-names":false,"suffix":""},{"dropping-particle":"","family":"Pvle$","given":"G L","non-dropping-particle":"","parse-names":false,"suffix":""},{"dropping-particle":"","family":"Mech","given":"J F","non-dropping-particle":"","parse-names":false,"suffix":""},{"dropping-particle":"","family":"Manning","given":"W M","non-dropping-particle":"","parse-names":false,"suffix":""},{"dropping-particle":"","family":"Ghiqrso","given":"A","non-dropping-particle":"","parse-names":false,"suffix":""},{"dropping-particle":"","family":"Thqmpson","given":"S G","non-dropping-particle":"","parse-names":false,"suffix":""},{"dropping-particle":"","family":"Higgins","given":"G H","non-dropping-particle":"","parse-names":false,"suffix":""},{"dropping-particle":"","family":"Seabqrg","given":"G T","non-dropping-particle":"","parse-names":false,"suffix":""},{"dropping-particle":"","family":"Browne","given":"C I","non-dropping-particle":"","parse-names":false,"suffix":""},{"dropping-particle":"","family":"Smithy","given":"H L","non-dropping-particle":"","parse-names":false,"suffix":""},{"dropping-particle":"","family":"Spence","given":"R W","non-dropping-particle":"","parse-names":false,"suffix":""}],"container-title":"Physical Review","id":"ITEM-1","issue":"6","issued":{"date-parts":[["1960"]]},"title":"Heavy Isotope Abundances in Mike Thermonuclear Device","type":"article-journal","volume":"119"},"uris":["http://www.mendeley.com/documents/?uuid=cb3365e4-95be-3e1c-acd2-f83cb2dcd4df"]}],"mendeley":{"formattedCitation":"[85]","plainTextFormattedCitation":"[85]","previouslyFormattedCitation":"[85]"},"properties":{"noteIndex":0},"schema":"https://github.com/citation-style-language/schema/raw/master/csl-citation.json"}</w:instrText>
      </w:r>
      <w:r w:rsidR="009F2045">
        <w:rPr>
          <w:sz w:val="20"/>
        </w:rPr>
        <w:fldChar w:fldCharType="separate"/>
      </w:r>
      <w:r w:rsidR="00E510BC" w:rsidRPr="00E510BC">
        <w:rPr>
          <w:i w:val="0"/>
          <w:noProof/>
          <w:sz w:val="20"/>
        </w:rPr>
        <w:t>[85]</w:t>
      </w:r>
      <w:r w:rsidR="009F2045">
        <w:rPr>
          <w:sz w:val="20"/>
        </w:rPr>
        <w:fldChar w:fldCharType="end"/>
      </w:r>
      <w:r w:rsidR="009F2045">
        <w:rPr>
          <w:sz w:val="20"/>
        </w:rPr>
        <w:fldChar w:fldCharType="begin" w:fldLock="1"/>
      </w:r>
      <w:r w:rsidR="006F1462">
        <w:rPr>
          <w:sz w:val="20"/>
        </w:rPr>
        <w:instrText>ADDIN CSL_CITATION {"citationItems":[{"id":"ITEM-1","itemData":{"DOI":"10.1016/j.jenvrad.2003.09.001","abstract":"Plutonium in Polish forest soils and the Bó r za Lasem peat bog is resolved between Cher-nobyl and global fallout contributions via inductively coupled plasma mass spectrometric measurements of 240 Pu= 239 Pu and 241 Pu= 239 Pu atom ratios in previously prepared NdF 3 a spectrometric sources. Compared to global fallout, Chernobyl Pu exhibits higher abundances of 240 Pu and 241 Pu. The ratios 240 Pu= 239 Pu and 241 Pu= 239 Pu co-vary and range from 0.186 to 0.348 and 0.0029 to 0.0412, respectively, in forest soils (241 Pu= 239 Pu ¼ 0:2407Â ½ 240 Pu= 239 Pu</w:instrText>
      </w:r>
      <w:r w:rsidR="006F1462">
        <w:rPr>
          <w:rFonts w:ascii="Calibri" w:hAnsi="Calibri" w:cs="Calibri"/>
          <w:sz w:val="20"/>
        </w:rPr>
        <w:instrText>Š</w:instrText>
      </w:r>
      <w:r w:rsidR="006F1462">
        <w:rPr>
          <w:sz w:val="20"/>
        </w:rPr>
        <w:instrText xml:space="preserve"> </w:instrText>
      </w:r>
      <w:r w:rsidR="006F1462">
        <w:rPr>
          <w:rFonts w:ascii="Calibri" w:hAnsi="Calibri" w:cs="Calibri"/>
          <w:sz w:val="20"/>
        </w:rPr>
        <w:instrText>À</w:instrText>
      </w:r>
      <w:r w:rsidR="006F1462">
        <w:rPr>
          <w:sz w:val="20"/>
        </w:rPr>
        <w:instrText xml:space="preserve"> 0:0413; r 2 </w:instrText>
      </w:r>
      <w:r w:rsidR="006F1462">
        <w:rPr>
          <w:rFonts w:ascii="Calibri" w:hAnsi="Calibri" w:cs="Calibri"/>
          <w:sz w:val="20"/>
        </w:rPr>
        <w:instrText>¼</w:instrText>
      </w:r>
      <w:r w:rsidR="006F1462">
        <w:rPr>
          <w:sz w:val="20"/>
        </w:rPr>
        <w:instrText xml:space="preserve"> 0:9924). Two-component mixing models are developed to apportion 239</w:instrText>
      </w:r>
      <w:r w:rsidR="006F1462">
        <w:rPr>
          <w:rFonts w:ascii="Calibri" w:hAnsi="Calibri" w:cs="Calibri"/>
          <w:sz w:val="20"/>
        </w:rPr>
        <w:instrText>þ</w:instrText>
      </w:r>
      <w:r w:rsidR="006F1462">
        <w:rPr>
          <w:sz w:val="20"/>
        </w:rPr>
        <w:instrText>240 Pu and 241 Pu activities; various estimates of the percentage of Chernobyl-derived 239þ240 Pu activity in forest soils range from &lt;10% to &gt;90% for the sample set. The 240 Pu= 239 Pu 241 Pu= 239 Pu atom ratio mixing line extrapolates to estimate 241 Pu= 239 Pu and the 241 Pu= 239þ240 Pu activity ratio for the Chernobyl source term (0:123 AE 0:007; 83 AE 5; 1 May 1986). Sample 241 Pu activities, calculated using existing alpha spectrometric 239þ240 Pu activities , and the 240 Pu= 239 Pu and 241 Pu= 239 Pu atom ratios, agree relatively well with previous liquid scintillation spectrometry measurements. Chernobyl Pu is most evident in locations from northeastern Poland. The 241 Pu activities and/or the 241 Pu= 239 Pu atom ratios are more sensitive than 240 Pu= 239 Pu or 238 Pu= 239þ240 Pu activity ratios at detecting small Chernobyl 239þ240 Pu inputs, found in southern Poland. The mass spectrometric data show that the Ã Corresponding author.","author":[{"dropping-particle":"","family":"Ketterer","given":"Michael E","non-dropping-particle":"","parse-names":false,"suffix":""},{"dropping-particle":"","family":"Hafer","given":"Kevin M","non-dropping-particle":"","parse-names":false,"suffix":""},{"dropping-particle":"","family":"Mietelski","given":"Jerzy W","non-dropping-particle":"","parse-names":false,"suffix":""}],"container-title":"Journal of Environmental Radioactivity","id":"ITEM-1","issued":{"date-parts":[["2004"]]},"page":"183-201","title":"Resolving Chernobyl vs. global fallout contributions in soils from Poland using Plutonium atom ratios measured by inductively coupled plasma mass spectrometry","type":"article-journal","volume":"73"},"uris":["http://www.mendeley.com/documents/?uuid=dfe1ec57-207a-3f37-a993-535397cc3ce3"]}],"mendeley":{"formattedCitation":"[86]","plainTextFormattedCitation":"[86]","previouslyFormattedCitation":"[86]"},"properties":{"noteIndex":0},"schema":"https://github.com/citation-style-language/schema/raw/master/csl-citation.json"}</w:instrText>
      </w:r>
      <w:r w:rsidR="009F2045">
        <w:rPr>
          <w:sz w:val="20"/>
        </w:rPr>
        <w:fldChar w:fldCharType="separate"/>
      </w:r>
      <w:r w:rsidR="00E510BC" w:rsidRPr="00E510BC">
        <w:rPr>
          <w:i w:val="0"/>
          <w:noProof/>
          <w:sz w:val="20"/>
        </w:rPr>
        <w:t>[86]</w:t>
      </w:r>
      <w:r w:rsidR="009F2045">
        <w:rPr>
          <w:sz w:val="20"/>
        </w:rPr>
        <w:fldChar w:fldCharType="end"/>
      </w:r>
      <w:r w:rsidR="009F2045">
        <w:rPr>
          <w:sz w:val="20"/>
        </w:rPr>
        <w:fldChar w:fldCharType="begin" w:fldLock="1"/>
      </w:r>
      <w:r w:rsidR="006F1462">
        <w:rPr>
          <w:sz w:val="20"/>
        </w:rPr>
        <w:instrText>ADDIN CSL_CITATION {"citationItems":[{"id":"ITEM-1","itemData":{"DOI":"10.1016/j.jenvrad.2011.01.004","abstract":"Samples from a marine sediment core from the Irish Sea (54.416 N, 3.563 W) were analyzed for the isotopic composition of uranium, plutonium and americium by a combination of radiometric methods and AMS. The radiochemical procedure consisted of a Pu separation step by anion exchange, subsequent U separation by extraction chromatography using UTEVA Ò and finally Am separation with TRU Ò Resin. Additionally to radiometric determination of these isotopes by alpha spectrometry, the separated samples were also used for the determination of 236 U/ 238 U and plutonium isotope ratios by Accelerator Mass Spectrometry (AMS) at the VERA facility.","author":[{"dropping-particle":"","family":"Srncik","given":"M","non-dropping-particle":"","parse-names":false,"suffix":""},{"dropping-particle":"","family":"Hrnecek","given":"E","non-dropping-particle":"","parse-names":false,"suffix":""},{"dropping-particle":"","family":"Steier","given":"P","non-dropping-particle":"","parse-names":false,"suffix":""},{"dropping-particle":"","family":"Wallner","given":"G","non-dropping-particle":"","parse-names":false,"suffix":""}],"container-title":"Journal of Environmental Radioactivity","id":"ITEM-1","issue":"4","issued":{"date-parts":[["2011"]]},"page":"331-335","title":"Determination of U, Pu and Am isotopes in Irish Sea sediment by a combination of AMS and radiometric methods","type":"article-journal","volume":"102"},"uris":["http://www.mendeley.com/documents/?uuid=f876fce7-e309-3555-9955-bcee1cab539d"]}],"mendeley":{"formattedCitation":"[87]","plainTextFormattedCitation":"[87]","previouslyFormattedCitation":"[87]"},"properties":{"noteIndex":0},"schema":"https://github.com/citation-style-language/schema/raw/master/csl-citation.json"}</w:instrText>
      </w:r>
      <w:r w:rsidR="009F2045">
        <w:rPr>
          <w:sz w:val="20"/>
        </w:rPr>
        <w:fldChar w:fldCharType="separate"/>
      </w:r>
      <w:r w:rsidR="00E510BC" w:rsidRPr="00E510BC">
        <w:rPr>
          <w:i w:val="0"/>
          <w:noProof/>
          <w:sz w:val="20"/>
        </w:rPr>
        <w:t>[87]</w:t>
      </w:r>
      <w:r w:rsidR="009F2045">
        <w:rPr>
          <w:sz w:val="20"/>
        </w:rPr>
        <w:fldChar w:fldCharType="end"/>
      </w:r>
      <w:r w:rsidR="009F2045">
        <w:rPr>
          <w:sz w:val="20"/>
        </w:rPr>
        <w:fldChar w:fldCharType="begin" w:fldLock="1"/>
      </w:r>
      <w:r w:rsidR="006F1462">
        <w:rPr>
          <w:sz w:val="20"/>
        </w:rPr>
        <w:instrText>ADDIN CSL_CITATION {"citationItems":[{"id":"ITEM-1","itemData":{"DOI":"10.1524/ract.2008.1559","ISSN":"0033-8230","author":[{"dropping-particle":"","family":"Srncik","given":"M.","non-dropping-particle":"","parse-names":false,"suffix":""},{"dropping-particle":"","family":"Hrnecek","given":"Erich","non-dropping-particle":"","parse-names":false,"suffix":""},{"dropping-particle":"","family":"Steier","given":"P.","non-dropping-particle":"","parse-names":false,"suffix":""},{"dropping-particle":"","family":"Wallner","given":"A.","non-dropping-particle":"","parse-names":false,"suffix":""},{"dropping-particle":"","family":"Wallner","given":"Gabriele","non-dropping-particle":"","parse-names":false,"suffix":""},{"dropping-particle":"","family":"Bossew","given":"P.","non-dropping-particle":"","parse-names":false,"suffix":""}],"container-title":"Radiochimica Acta","id":"ITEM-1","issue":"9-11","issued":{"date-parts":[["2008","1"]]},"page":"733-738","publisher":"Oldenbourg Wissenschaftsverlag GmbH","title":"Vertical distribution of 238Pu, 239(40)Pu, 241Am, 90Sr and 137Cs in Austrian soil profiles","type":"article-journal","volume":"96"},"uris":["http://www.mendeley.com/documents/?uuid=25a6a48b-abcf-30b6-b2f3-d6eea2e799e7"]}],"mendeley":{"formattedCitation":"[88]","plainTextFormattedCitation":"[88]","previouslyFormattedCitation":"[88]"},"properties":{"noteIndex":0},"schema":"https://github.com/citation-style-language/schema/raw/master/csl-citation.json"}</w:instrText>
      </w:r>
      <w:r w:rsidR="009F2045">
        <w:rPr>
          <w:sz w:val="20"/>
        </w:rPr>
        <w:fldChar w:fldCharType="separate"/>
      </w:r>
      <w:r w:rsidR="00E510BC" w:rsidRPr="00E510BC">
        <w:rPr>
          <w:i w:val="0"/>
          <w:noProof/>
          <w:sz w:val="20"/>
        </w:rPr>
        <w:t>[88]</w:t>
      </w:r>
      <w:r w:rsidR="009F2045">
        <w:rPr>
          <w:sz w:val="20"/>
        </w:rPr>
        <w:fldChar w:fldCharType="end"/>
      </w:r>
      <w:r w:rsidR="009F2045">
        <w:rPr>
          <w:sz w:val="20"/>
        </w:rPr>
        <w:fldChar w:fldCharType="begin" w:fldLock="1"/>
      </w:r>
      <w:r w:rsidR="006F1462">
        <w:rPr>
          <w:sz w:val="20"/>
        </w:rPr>
        <w:instrText>ADDIN CSL_CITATION {"citationItems":[{"id":"ITEM-1","itemData":{"DOI":"10.1126/science.214.4523.913","ISSN":"0036-8075","PMID":"17782447","abstract":"Mass spectrometry data on plutonium isolated from Columbia River sediments exhibit mean ratios of plutonium-240 to plutonium-242 consistent with those observed for integrated global fallout. Ratios of plutonium-240 to plutonium-239 show marked deviations from accepted fallout values, suggesting a second source of plutonium-239. This additional plutonium-239 arises from the decay of neptunium-239 produced in reactor effluent water from the old plutonium production reactors located on the Hanford Reservation. An estimated 20 to 25 percent of the total plutonium inventory in sediments behind McNary Reservoir, the first downriver site of fine sediment accumulation below the Hanford Reservation, is ascribed to reactor operations.","author":[{"dropping-particle":"","family":"Beasley","given":"T M","non-dropping-particle":"","parse-names":false,"suffix":""},{"dropping-particle":"","family":"Ball","given":"L A","non-dropping-particle":"","parse-names":false,"suffix":""},{"dropping-particle":"","family":"Andrews","given":"J E","non-dropping-particle":"","parse-names":false,"suffix":""},{"dropping-particle":"","family":"Halverson","given":"J E","non-dropping-particle":"","parse-names":false,"suffix":""}],"container-title":"Science (New York, N.Y.)","id":"ITEM-1","issue":"4523","issued":{"date-parts":[["1981","11","20"]]},"page":"913-5","publisher":"American Association for the Advancement of Science","title":"Hanford-derived plutonium in columbia river sediments.","type":"article-journal","volume":"214"},"uris":["http://www.mendeley.com/documents/?uuid=699dc22f-d030-30b4-aaad-e7325108e189"]}],"mendeley":{"formattedCitation":"[89]","plainTextFormattedCitation":"[89]","previouslyFormattedCitation":"[89]"},"properties":{"noteIndex":0},"schema":"https://github.com/citation-style-language/schema/raw/master/csl-citation.json"}</w:instrText>
      </w:r>
      <w:r w:rsidR="009F2045">
        <w:rPr>
          <w:sz w:val="20"/>
        </w:rPr>
        <w:fldChar w:fldCharType="separate"/>
      </w:r>
      <w:r w:rsidR="00E510BC" w:rsidRPr="006F1462">
        <w:rPr>
          <w:i w:val="0"/>
          <w:noProof/>
          <w:sz w:val="20"/>
        </w:rPr>
        <w:t>[89]</w:t>
      </w:r>
      <w:r w:rsidR="009F2045">
        <w:rPr>
          <w:sz w:val="20"/>
        </w:rPr>
        <w:fldChar w:fldCharType="end"/>
      </w:r>
      <w:r w:rsidRPr="006F1462">
        <w:rPr>
          <w:rFonts w:cstheme="minorHAnsi"/>
          <w:sz w:val="20"/>
        </w:rPr>
        <w:t xml:space="preserve">. </w:t>
      </w:r>
      <w:r w:rsidRPr="008B2B75">
        <w:rPr>
          <w:rFonts w:cstheme="minorHAnsi"/>
          <w:sz w:val="20"/>
        </w:rPr>
        <w:t>Samples; “Away”, “Offsite”, “Onsite”, and “Our Average” are all sample measurements produced as part of this project and are outlined in black for clarity. All samples presented were soil samples, other than the ‘Sellafield’ sample, which is Irish Sea sediment contaminated by Sellafield waste emissions.</w:t>
      </w:r>
    </w:p>
    <w:p w14:paraId="53529929" w14:textId="41A3FD07" w:rsidR="00F37CA9" w:rsidRDefault="00F37CA9" w:rsidP="00F37CA9">
      <w:pPr>
        <w:tabs>
          <w:tab w:val="left" w:pos="3075"/>
        </w:tabs>
        <w:spacing w:line="480" w:lineRule="auto"/>
        <w:ind w:firstLine="567"/>
        <w:rPr>
          <w:sz w:val="24"/>
        </w:rPr>
      </w:pPr>
      <w:r>
        <w:rPr>
          <w:sz w:val="24"/>
        </w:rPr>
        <w:t xml:space="preserve">Judging from </w:t>
      </w:r>
      <w:r w:rsidR="005C4C58">
        <w:rPr>
          <w:sz w:val="24"/>
        </w:rPr>
        <w:fldChar w:fldCharType="begin"/>
      </w:r>
      <w:r w:rsidR="005C4C58">
        <w:rPr>
          <w:sz w:val="24"/>
        </w:rPr>
        <w:instrText xml:space="preserve"> REF _Ref31286431 \h </w:instrText>
      </w:r>
      <w:r w:rsidR="005C4C58">
        <w:rPr>
          <w:sz w:val="24"/>
        </w:rPr>
      </w:r>
      <w:r w:rsidR="005C4C58">
        <w:rPr>
          <w:sz w:val="24"/>
        </w:rPr>
        <w:fldChar w:fldCharType="separate"/>
      </w:r>
      <w:r w:rsidR="00161FDC" w:rsidRPr="008B2B75">
        <w:rPr>
          <w:sz w:val="20"/>
        </w:rPr>
        <w:t xml:space="preserve">Figure </w:t>
      </w:r>
      <w:r w:rsidR="00161FDC">
        <w:rPr>
          <w:noProof/>
          <w:sz w:val="20"/>
        </w:rPr>
        <w:t>33</w:t>
      </w:r>
      <w:r w:rsidR="005C4C58">
        <w:rPr>
          <w:sz w:val="24"/>
        </w:rPr>
        <w:fldChar w:fldCharType="end"/>
      </w:r>
      <w:r>
        <w:rPr>
          <w:sz w:val="24"/>
        </w:rPr>
        <w:t xml:space="preserve">, it is likely that the plutonium content within the ‘away from site’ samples originates from ubiquitous fallout plutonium, with slight changes to the global values caused by the increased elevation and geography of the sample area. The Dounreay sample averages are not consistent with other published measurements of samples from the UK. Samples from Irish Sea sediment (originating from Sellafield site) measured by Steier et al </w:t>
      </w:r>
      <w:r w:rsidR="0024246C">
        <w:rPr>
          <w:sz w:val="24"/>
        </w:rPr>
        <w:fldChar w:fldCharType="begin" w:fldLock="1"/>
      </w:r>
      <w:r w:rsidR="00767A68">
        <w:rPr>
          <w:sz w:val="24"/>
        </w:rPr>
        <w:instrText>ADDIN CSL_CITATION {"citationItems":[{"id":"ITEM-1","itemData":{"DOI":"10.1016/j.nimb.2012.06.017","ISSN":"0168583X","PMID":"23565016","abstract":"VERA, the Vienna Environmental Research Accelerator, is especially equipped for the measurement of actinides, and performs a growing number of measurements on environmental samples. While AMS is not the optimum method for each particular plutonium isotope, the possibility to measure (239)Pu, (240)Pu, (241)Pu, (242)Pu and (244)Pu on the same AMS sputter target is a great simplification. We have obtained a first result on the global fallout value of (244)Pu/(239)Pu = (5.7 ± 1.0) × 10(-5) based on soil samples from Salzburg prefecture, Austria. Furthermore, we suggest using the (242)Pu/(240)Pu ratio as an estimate of the initial (241)Pu/(239)Pu ratio, which allows dating of the time of irradiation based solely on Pu isotopes. We have checked the validity of this estimate using literature data, simulations, and environmental samples from soil from the Salzburg prefecture (Austria), from the shut down Garigliano Nuclear Power Plant (Sessa Aurunca, Italy) and from the Irish Sea near the Sellafield nuclear facility. The maximum deviation of the estimated dates from the expected ages is 6 years, while relative dating of material from the same source seems to be possible with a precision of less than 2 years. Additional information carried by the minor plutonium isotopes may allow further improvements of the precision of the method.","author":[{"dropping-particle":"","family":"Steier","given":"P","non-dropping-particle":"","parse-names":false,"suffix":""},{"dropping-particle":"","family":"Hrnecek","given":"E","non-dropping-particle":"","parse-names":false,"suffix":""},{"dropping-particle":"","family":"Priller","given":"A","non-dropping-particle":"","parse-names":false,"suffix":""},{"dropping-particle":"","family":"Quinto","given":"F","non-dropping-particle":"","parse-names":false,"suffix":""},{"dropping-particle":"","family":"Srncik","given":"M","non-dropping-particle":"","parse-names":false,"suffix":""},{"dropping-particle":"","family":"Wallner","given":"A.","non-dropping-particle":"","parse-names":false,"suffix":""},{"dropping-particle":"","family":"Wallner","given":"G","non-dropping-particle":"","parse-names":false,"suffix":""},{"dropping-particle":"","family":"Winkler","given":"S","non-dropping-particle":"","parse-names":false,"suffix":""}],"container-title":"Nuclear Instruments and Methods in Physics Research Section B: Beam Interactions with Materials and Atoms","id":"ITEM-1","issue":"2-2","issued":{"date-parts":[["2013","1"]]},"page":"160-164","publisher":"Elsevier","title":"AMS of the Minor Plutonium Isotopes","type":"article-journal","volume":"294"},"uris":["http://www.mendeley.com/documents/?uuid=05b1f9d1-7369-3cb1-b743-0bc252b99de6"]}],"mendeley":{"formattedCitation":"[64]","plainTextFormattedCitation":"[64]","previouslyFormattedCitation":"[64]"},"properties":{"noteIndex":0},"schema":"https://github.com/citation-style-language/schema/raw/master/csl-citation.json"}</w:instrText>
      </w:r>
      <w:r w:rsidR="0024246C">
        <w:rPr>
          <w:sz w:val="24"/>
        </w:rPr>
        <w:fldChar w:fldCharType="separate"/>
      </w:r>
      <w:r w:rsidR="000B0F18" w:rsidRPr="000B0F18">
        <w:rPr>
          <w:noProof/>
          <w:sz w:val="24"/>
        </w:rPr>
        <w:t>[64]</w:t>
      </w:r>
      <w:r w:rsidR="0024246C">
        <w:rPr>
          <w:sz w:val="24"/>
        </w:rPr>
        <w:fldChar w:fldCharType="end"/>
      </w:r>
      <w:r>
        <w:rPr>
          <w:sz w:val="24"/>
        </w:rPr>
        <w:t xml:space="preserve"> </w:t>
      </w:r>
      <w:r w:rsidR="00D94CDE">
        <w:rPr>
          <w:sz w:val="24"/>
        </w:rPr>
        <w:t>are</w:t>
      </w:r>
      <w:r>
        <w:rPr>
          <w:sz w:val="24"/>
        </w:rPr>
        <w:t xml:space="preserve"> significantly higher than both Dounreay samples and the global average, suggesting typically higher </w:t>
      </w:r>
      <w:r>
        <w:rPr>
          <w:sz w:val="24"/>
          <w:vertAlign w:val="superscript"/>
        </w:rPr>
        <w:t>240</w:t>
      </w:r>
      <w:r>
        <w:rPr>
          <w:sz w:val="24"/>
        </w:rPr>
        <w:t xml:space="preserve">Pu </w:t>
      </w:r>
      <w:r w:rsidR="00D24BE8">
        <w:rPr>
          <w:sz w:val="24"/>
        </w:rPr>
        <w:t>(</w:t>
      </w:r>
      <w:r>
        <w:rPr>
          <w:sz w:val="24"/>
        </w:rPr>
        <w:t xml:space="preserve">as </w:t>
      </w:r>
      <w:r w:rsidR="00D94CDE">
        <w:rPr>
          <w:sz w:val="24"/>
        </w:rPr>
        <w:t xml:space="preserve">was </w:t>
      </w:r>
      <w:r>
        <w:rPr>
          <w:sz w:val="24"/>
        </w:rPr>
        <w:t>expected</w:t>
      </w:r>
      <w:r w:rsidR="00D24BE8">
        <w:rPr>
          <w:sz w:val="24"/>
        </w:rPr>
        <w:t>)</w:t>
      </w:r>
      <w:r>
        <w:rPr>
          <w:sz w:val="24"/>
        </w:rPr>
        <w:t xml:space="preserve"> or lower </w:t>
      </w:r>
      <w:r>
        <w:rPr>
          <w:sz w:val="24"/>
          <w:vertAlign w:val="superscript"/>
        </w:rPr>
        <w:t>239</w:t>
      </w:r>
      <w:r>
        <w:rPr>
          <w:sz w:val="24"/>
        </w:rPr>
        <w:t>Pu concentrations</w:t>
      </w:r>
      <w:r w:rsidR="00D94CDE">
        <w:rPr>
          <w:sz w:val="24"/>
        </w:rPr>
        <w:t xml:space="preserve"> (which is more likely)</w:t>
      </w:r>
      <w:r>
        <w:rPr>
          <w:sz w:val="24"/>
        </w:rPr>
        <w:t xml:space="preserve">. This trend continues with measurements carried out </w:t>
      </w:r>
      <w:r w:rsidR="00B60C21">
        <w:rPr>
          <w:sz w:val="24"/>
        </w:rPr>
        <w:t xml:space="preserve">of soil </w:t>
      </w:r>
      <w:r>
        <w:rPr>
          <w:sz w:val="24"/>
        </w:rPr>
        <w:t xml:space="preserve">with material originating from the “Ivy Mike” weapons tests </w:t>
      </w:r>
      <w:r w:rsidR="0024246C">
        <w:rPr>
          <w:sz w:val="24"/>
        </w:rPr>
        <w:fldChar w:fldCharType="begin" w:fldLock="1"/>
      </w:r>
      <w:r w:rsidR="006F1462">
        <w:rPr>
          <w:sz w:val="24"/>
        </w:rPr>
        <w:instrText>ADDIN CSL_CITATION {"citationItems":[{"id":"ITEM-1","itemData":{"abstract":"The November 1, 1952 thermonuclear explosion {\"Mike\") produced all of the uranium isotopes U~', U\"', ~ U\"' through multiple neutron capture by U\"'. The long-lived products of successive P decays from these isotopes were measured mass spectrometrically and radiometrically. The logarithms of the abundances decline smoothly with increasing mass number; the even-mass abundances slightly exceed the geometric mean of adjacent odd-mass abundances. Some nuclear properties of neutron-rich heavy nuclides, not subject to ordinary investigation are inferred.","author":[{"dropping-particle":"","family":"Diamond","given":"H","non-dropping-particle":"","parse-names":false,"suffix":""},{"dropping-particle":"","family":"Fields","given":"P R","non-dropping-particle":"","parse-names":false,"suffix":""},{"dropping-particle":"","family":"Stkvens","given":"C S","non-dropping-particle":"","parse-names":false,"suffix":""},{"dropping-particle":"","family":"Studier","given":"M H","non-dropping-particle":"","parse-names":false,"suffix":""},{"dropping-particle":"","family":"Inghram","given":"M G","non-dropping-particle":"","parse-names":false,"suffix":""},{"dropping-particle":"","family":"Hess","given":"D C","non-dropping-particle":"","parse-names":false,"suffix":""},{"dropping-particle":"","family":"Pvle$","given":"G L","non-dropping-particle":"","parse-names":false,"suffix":""},{"dropping-particle":"","family":"Mech","given":"J F","non-dropping-particle":"","parse-names":false,"suffix":""},{"dropping-particle":"","family":"Manning","given":"W M","non-dropping-particle":"","parse-names":false,"suffix":""},{"dropping-particle":"","family":"Ghiqrso","given":"A","non-dropping-particle":"","parse-names":false,"suffix":""},{"dropping-particle":"","family":"Thqmpson","given":"S G","non-dropping-particle":"","parse-names":false,"suffix":""},{"dropping-particle":"","family":"Higgins","given":"G H","non-dropping-particle":"","parse-names":false,"suffix":""},{"dropping-particle":"","family":"Seabqrg","given":"G T","non-dropping-particle":"","parse-names":false,"suffix":""},{"dropping-particle":"","family":"Browne","given":"C I","non-dropping-particle":"","parse-names":false,"suffix":""},{"dropping-particle":"","family":"Smithy","given":"H L","non-dropping-particle":"","parse-names":false,"suffix":""},{"dropping-particle":"","family":"Spence","given":"R W","non-dropping-particle":"","parse-names":false,"suffix":""}],"container-title":"Physical Review","id":"ITEM-1","issue":"6","issued":{"date-parts":[["1960"]]},"title":"Heavy Isotope Abundances in Mike Thermonuclear Device","type":"article-journal","volume":"119"},"uris":["http://www.mendeley.com/documents/?uuid=cb3365e4-95be-3e1c-acd2-f83cb2dcd4df"]}],"mendeley":{"formattedCitation":"[85]","plainTextFormattedCitation":"[85]","previouslyFormattedCitation":"[85]"},"properties":{"noteIndex":0},"schema":"https://github.com/citation-style-language/schema/raw/master/csl-citation.json"}</w:instrText>
      </w:r>
      <w:r w:rsidR="0024246C">
        <w:rPr>
          <w:sz w:val="24"/>
        </w:rPr>
        <w:fldChar w:fldCharType="separate"/>
      </w:r>
      <w:r w:rsidR="00E510BC" w:rsidRPr="00E510BC">
        <w:rPr>
          <w:noProof/>
          <w:sz w:val="24"/>
        </w:rPr>
        <w:t>[85]</w:t>
      </w:r>
      <w:r w:rsidR="0024246C">
        <w:rPr>
          <w:sz w:val="24"/>
        </w:rPr>
        <w:fldChar w:fldCharType="end"/>
      </w:r>
      <w:r>
        <w:rPr>
          <w:sz w:val="24"/>
        </w:rPr>
        <w:t xml:space="preserve">. They measured a </w:t>
      </w:r>
      <w:r>
        <w:rPr>
          <w:sz w:val="24"/>
          <w:vertAlign w:val="superscript"/>
        </w:rPr>
        <w:t>240</w:t>
      </w:r>
      <w:r>
        <w:rPr>
          <w:sz w:val="24"/>
        </w:rPr>
        <w:t>Pu/</w:t>
      </w:r>
      <w:r>
        <w:rPr>
          <w:sz w:val="24"/>
          <w:vertAlign w:val="superscript"/>
        </w:rPr>
        <w:t>239</w:t>
      </w:r>
      <w:r>
        <w:rPr>
          <w:sz w:val="24"/>
        </w:rPr>
        <w:t xml:space="preserve">Pu ratio </w:t>
      </w:r>
      <w:r w:rsidRPr="00FA04E1">
        <w:rPr>
          <w:sz w:val="24"/>
        </w:rPr>
        <w:t xml:space="preserve">of 0.363. </w:t>
      </w:r>
      <w:r>
        <w:rPr>
          <w:sz w:val="24"/>
        </w:rPr>
        <w:t xml:space="preserve">Further measurements were made of Chernobyl debris </w:t>
      </w:r>
      <w:r w:rsidR="0024246C">
        <w:rPr>
          <w:sz w:val="24"/>
        </w:rPr>
        <w:fldChar w:fldCharType="begin" w:fldLock="1"/>
      </w:r>
      <w:r w:rsidR="006F1462">
        <w:rPr>
          <w:sz w:val="24"/>
        </w:rPr>
        <w:instrText>ADDIN CSL_CITATION {"citationItems":[{"id":"ITEM-1","itemData":{"DOI":"10.1016/j.jenvrad.2003.09.001","abstract":"Plutonium in Polish forest soils and the Bó r za Lasem peat bog is resolved between Cher-nobyl and global fallout contributions via inductively coupled plasma mass spectrometric measurements of 240 Pu= 239 Pu and 241 Pu= 239 Pu atom ratios in previously prepared NdF 3 a spectrometric sources. Compared to global fallout, Chernobyl Pu exhibits higher abundances of 240 Pu and 241 Pu. The ratios 240 Pu= 239 Pu and 241 Pu= 239 Pu co-vary and range from 0.186 to 0.348 and 0.0029 to 0.0412, respectively, in forest soils (241 Pu= 239 Pu ¼ 0:2407Â ½ 240 Pu= 239 Pu</w:instrText>
      </w:r>
      <w:r w:rsidR="006F1462">
        <w:rPr>
          <w:rFonts w:ascii="Calibri" w:hAnsi="Calibri" w:cs="Calibri"/>
          <w:sz w:val="24"/>
        </w:rPr>
        <w:instrText>Š</w:instrText>
      </w:r>
      <w:r w:rsidR="006F1462">
        <w:rPr>
          <w:sz w:val="24"/>
        </w:rPr>
        <w:instrText xml:space="preserve"> </w:instrText>
      </w:r>
      <w:r w:rsidR="006F1462">
        <w:rPr>
          <w:rFonts w:ascii="Calibri" w:hAnsi="Calibri" w:cs="Calibri"/>
          <w:sz w:val="24"/>
        </w:rPr>
        <w:instrText>À</w:instrText>
      </w:r>
      <w:r w:rsidR="006F1462">
        <w:rPr>
          <w:sz w:val="24"/>
        </w:rPr>
        <w:instrText xml:space="preserve"> 0:0413; r 2 </w:instrText>
      </w:r>
      <w:r w:rsidR="006F1462">
        <w:rPr>
          <w:rFonts w:ascii="Calibri" w:hAnsi="Calibri" w:cs="Calibri"/>
          <w:sz w:val="24"/>
        </w:rPr>
        <w:instrText>¼</w:instrText>
      </w:r>
      <w:r w:rsidR="006F1462">
        <w:rPr>
          <w:sz w:val="24"/>
        </w:rPr>
        <w:instrText xml:space="preserve"> 0:9924). Two-component mixing models are developed to apportion 239þ240 Pu and 241 Pu activities; various estimates of the percentage of Chernobyl-derived 239þ240 Pu activity in forest soils range from &lt;10% to &gt;90% for the sample set. The 240 Pu= 239 Pu 241 Pu= 239 Pu atom ratio mixing line extrapolates to estimate 241 Pu= 239 Pu and the 241 Pu= 239þ240 Pu activity ratio for the Chernobyl source term (0:123 AE 0:007; 83 AE 5; 1 May 1986). Sample 241 Pu activities, calculated using existing alpha spectrometric 239þ240 Pu activities , and the 240 Pu= 239 Pu and 241 Pu= 239 Pu atom ratios, agree relatively well with previous liquid scintillation spectrometry measurements. Chernobyl Pu is most evident in locations from northeastern Poland. The 241 Pu activities and/or the 241 Pu= 239 Pu atom ratios are more sensitive than 240 Pu= 239 Pu or 238 Pu= 239þ240 Pu activity ratios at detecting small Chernobyl 239þ240 Pu inputs, found in southern Poland. The mass spectrometric data show that the Ã Corresponding author.","author":[{"dropping-particle":"","family":"Ketterer","given":"Michael E","non-dropping-particle":"","parse-names":false,"suffix":""},{"dropping-particle":"","family":"Hafer","given":"Kevin M","non-dropping-particle":"","parse-names":false,"suffix":""},{"dropping-particle":"","family":"Mietelski","given":"Jerzy W","non-dropping-particle":"","parse-names":false,"suffix":""}],"container-title":"Journal of Environmental Radioactivity","id":"ITEM-1","issued":{"date-parts":[["2004"]]},"page":"183-201","title":"Resolving Chernobyl vs. global fallout contributions in soils from Poland using Plutonium atom ratios measured by inductively coupled plasma mass spectrometry","type":"article-journal","volume":"73"},"uris":["http://www.mendeley.com/documents/?uuid=dfe1ec57-207a-3f37-a993-535397cc3ce3"]}],"mendeley":{"formattedCitation":"[86]","plainTextFormattedCitation":"[86]","previouslyFormattedCitation":"[86]"},"properties":{"noteIndex":0},"schema":"https://github.com/citation-style-language/schema/raw/master/csl-citation.json"}</w:instrText>
      </w:r>
      <w:r w:rsidR="0024246C">
        <w:rPr>
          <w:sz w:val="24"/>
        </w:rPr>
        <w:fldChar w:fldCharType="separate"/>
      </w:r>
      <w:r w:rsidR="00E510BC" w:rsidRPr="00E510BC">
        <w:rPr>
          <w:noProof/>
          <w:sz w:val="24"/>
        </w:rPr>
        <w:t>[86]</w:t>
      </w:r>
      <w:r w:rsidR="0024246C">
        <w:rPr>
          <w:sz w:val="24"/>
        </w:rPr>
        <w:fldChar w:fldCharType="end"/>
      </w:r>
      <w:r>
        <w:rPr>
          <w:sz w:val="24"/>
        </w:rPr>
        <w:t xml:space="preserve">, giving a ratio range of 0.186 - </w:t>
      </w:r>
      <w:r w:rsidRPr="00FA04E1">
        <w:rPr>
          <w:sz w:val="24"/>
        </w:rPr>
        <w:t>0.348</w:t>
      </w:r>
      <w:r>
        <w:rPr>
          <w:sz w:val="24"/>
        </w:rPr>
        <w:t xml:space="preserve">. The significant difference between the previous two measurements and the Dounreay samples gives confidence that the material detected in the Dounreay samples is </w:t>
      </w:r>
      <w:r>
        <w:rPr>
          <w:sz w:val="24"/>
        </w:rPr>
        <w:lastRenderedPageBreak/>
        <w:t>unlikely to originate from a single significant event like that of a weapons test or plant failure, though, as Srncik states</w:t>
      </w:r>
      <w:r w:rsidR="0024246C">
        <w:rPr>
          <w:sz w:val="24"/>
        </w:rPr>
        <w:t xml:space="preserve"> </w:t>
      </w:r>
      <w:r w:rsidR="0024246C">
        <w:rPr>
          <w:sz w:val="24"/>
        </w:rPr>
        <w:fldChar w:fldCharType="begin" w:fldLock="1"/>
      </w:r>
      <w:r w:rsidR="006F1462">
        <w:rPr>
          <w:sz w:val="24"/>
        </w:rPr>
        <w:instrText>ADDIN CSL_CITATION {"citationItems":[{"id":"ITEM-1","itemData":{"DOI":"10.1016/j.jenvrad.2011.01.004","abstract":"Samples from a marine sediment core from the Irish Sea (54.416 N, 3.563 W) were analyzed for the isotopic composition of uranium, plutonium and americium by a combination of radiometric methods and AMS. The radiochemical procedure consisted of a Pu separation step by anion exchange, subsequent U separation by extraction chromatography using UTEVA Ò and finally Am separation with TRU Ò Resin. Additionally to radiometric determination of these isotopes by alpha spectrometry, the separated samples were also used for the determination of 236 U/ 238 U and plutonium isotope ratios by Accelerator Mass Spectrometry (AMS) at the VERA facility.","author":[{"dropping-particle":"","family":"Srncik","given":"M","non-dropping-particle":"","parse-names":false,"suffix":""},{"dropping-particle":"","family":"Hrnecek","given":"E","non-dropping-particle":"","parse-names":false,"suffix":""},{"dropping-particle":"","family":"Steier","given":"P","non-dropping-particle":"","parse-names":false,"suffix":""},{"dropping-particle":"","family":"Wallner","given":"G","non-dropping-particle":"","parse-names":false,"suffix":""}],"container-title":"Journal of Environmental Radioactivity","id":"ITEM-1","issue":"4","issued":{"date-parts":[["2011"]]},"page":"331-335","title":"Determination of U, Pu and Am isotopes in Irish Sea sediment by a combination of AMS and radiometric methods","type":"article-journal","volume":"102"},"uris":["http://www.mendeley.com/documents/?uuid=f876fce7-e309-3555-9955-bcee1cab539d"]}],"mendeley":{"formattedCitation":"[87]","plainTextFormattedCitation":"[87]","previouslyFormattedCitation":"[87]"},"properties":{"noteIndex":0},"schema":"https://github.com/citation-style-language/schema/raw/master/csl-citation.json"}</w:instrText>
      </w:r>
      <w:r w:rsidR="0024246C">
        <w:rPr>
          <w:sz w:val="24"/>
        </w:rPr>
        <w:fldChar w:fldCharType="separate"/>
      </w:r>
      <w:r w:rsidR="00E510BC" w:rsidRPr="00E510BC">
        <w:rPr>
          <w:noProof/>
          <w:sz w:val="24"/>
        </w:rPr>
        <w:t>[87]</w:t>
      </w:r>
      <w:r w:rsidR="0024246C">
        <w:rPr>
          <w:sz w:val="24"/>
        </w:rPr>
        <w:fldChar w:fldCharType="end"/>
      </w:r>
      <w:r>
        <w:rPr>
          <w:sz w:val="24"/>
        </w:rPr>
        <w:t>, a low isotopic ratio (like that seen in the DSRL samples) is associated to low burn-up</w:t>
      </w:r>
      <w:r w:rsidR="00D94CDE">
        <w:rPr>
          <w:sz w:val="24"/>
        </w:rPr>
        <w:t xml:space="preserve"> material</w:t>
      </w:r>
      <w:r>
        <w:rPr>
          <w:sz w:val="24"/>
        </w:rPr>
        <w:t>, which is characteristic of plutonium</w:t>
      </w:r>
      <w:r w:rsidR="00D94CDE">
        <w:rPr>
          <w:sz w:val="24"/>
        </w:rPr>
        <w:t xml:space="preserve"> produced specifically to be high in </w:t>
      </w:r>
      <w:r w:rsidR="00D94CDE">
        <w:rPr>
          <w:sz w:val="24"/>
          <w:vertAlign w:val="superscript"/>
        </w:rPr>
        <w:t>239</w:t>
      </w:r>
      <w:r w:rsidR="00D94CDE">
        <w:rPr>
          <w:sz w:val="24"/>
        </w:rPr>
        <w:t>Pu</w:t>
      </w:r>
      <w:r>
        <w:rPr>
          <w:sz w:val="24"/>
        </w:rPr>
        <w:t>.</w:t>
      </w:r>
    </w:p>
    <w:p w14:paraId="22CA94EF" w14:textId="7D27EAA2" w:rsidR="00F37CA9" w:rsidRDefault="00F37CA9" w:rsidP="00F37CA9">
      <w:pPr>
        <w:tabs>
          <w:tab w:val="left" w:pos="3075"/>
        </w:tabs>
        <w:spacing w:line="480" w:lineRule="auto"/>
        <w:ind w:firstLine="567"/>
        <w:rPr>
          <w:sz w:val="24"/>
        </w:rPr>
      </w:pPr>
      <w:r>
        <w:rPr>
          <w:sz w:val="24"/>
        </w:rPr>
        <w:t xml:space="preserve">Consideration of the history of the Dounreay nuclear site leads to a likely conclusion of the production of material with high percentage composition of </w:t>
      </w:r>
      <w:r>
        <w:rPr>
          <w:sz w:val="24"/>
          <w:vertAlign w:val="superscript"/>
        </w:rPr>
        <w:t>239</w:t>
      </w:r>
      <w:r>
        <w:rPr>
          <w:sz w:val="24"/>
        </w:rPr>
        <w:t xml:space="preserve">Pu. This conclusion fits the reported data well, considering the origins of Dounreay research in the use of breeder reactors and the </w:t>
      </w:r>
      <w:r>
        <w:rPr>
          <w:sz w:val="24"/>
          <w:vertAlign w:val="superscript"/>
        </w:rPr>
        <w:t>240</w:t>
      </w:r>
      <w:r>
        <w:rPr>
          <w:sz w:val="24"/>
        </w:rPr>
        <w:t>Pu/</w:t>
      </w:r>
      <w:r>
        <w:rPr>
          <w:sz w:val="24"/>
          <w:vertAlign w:val="superscript"/>
        </w:rPr>
        <w:t>239</w:t>
      </w:r>
      <w:r>
        <w:rPr>
          <w:sz w:val="24"/>
        </w:rPr>
        <w:t xml:space="preserve">Pu value that is significantly lower than the average global value. Other reported </w:t>
      </w:r>
      <w:r w:rsidR="00B60C21">
        <w:rPr>
          <w:sz w:val="24"/>
        </w:rPr>
        <w:t xml:space="preserve">soil </w:t>
      </w:r>
      <w:r>
        <w:rPr>
          <w:sz w:val="24"/>
        </w:rPr>
        <w:t xml:space="preserve">measurements reflect these conditions, to a greater magnitude, like the Mayak and Semipalatinsk-21 sites in Kazahkstan, at ratios of 0.028 and 0.044 respectively, whose ratios have been skewed much more than the Dounreay value due to higher releases of material at low </w:t>
      </w:r>
      <w:r>
        <w:rPr>
          <w:sz w:val="24"/>
          <w:vertAlign w:val="superscript"/>
        </w:rPr>
        <w:t>240</w:t>
      </w:r>
      <w:r>
        <w:rPr>
          <w:sz w:val="24"/>
        </w:rPr>
        <w:t>Pu/</w:t>
      </w:r>
      <w:r>
        <w:rPr>
          <w:sz w:val="24"/>
          <w:vertAlign w:val="superscript"/>
        </w:rPr>
        <w:t>239</w:t>
      </w:r>
      <w:r>
        <w:rPr>
          <w:sz w:val="24"/>
        </w:rPr>
        <w:t>Pu ratio.</w:t>
      </w:r>
      <w:r w:rsidR="005E22DD">
        <w:rPr>
          <w:sz w:val="24"/>
        </w:rPr>
        <w:t xml:space="preserve"> The Novaya Zemlya site</w:t>
      </w:r>
      <w:r w:rsidR="00B60C21">
        <w:rPr>
          <w:sz w:val="24"/>
        </w:rPr>
        <w:t xml:space="preserve"> soil</w:t>
      </w:r>
      <w:r w:rsidR="005E22DD">
        <w:rPr>
          <w:sz w:val="24"/>
        </w:rPr>
        <w:t xml:space="preserve"> also expresses similar ratios at 0.04, with areas closer to the site in the sea being measured in the range of 0.13 – 0.19 </w:t>
      </w:r>
      <w:r w:rsidR="0024246C">
        <w:rPr>
          <w:sz w:val="24"/>
        </w:rPr>
        <w:fldChar w:fldCharType="begin" w:fldLock="1"/>
      </w:r>
      <w:r w:rsidR="006F1462">
        <w:rPr>
          <w:sz w:val="24"/>
        </w:rPr>
        <w:instrText>ADDIN CSL_CITATION {"citationItems":[{"id":"ITEM-1","itemData":{"DOI":"10.1021/es034176n","abstract":"Atom ratios of 240Pu to 239Pu in bottom sediments from the Fram Strait are used to provide evidence for the long distance dispersion of Pu in the Arctic Ocean. In particular, low (&lt;0.18) 240Pu/239Pu ratios indicate that plutonium from sources in the Kara Sea and Novaya Zemlya is transported across the basin toward the North Atlantic. The results have implications for the ability of sea ice to incorporate, intercept, and transport contaminants in the Arctic Ocean. They demonstrate that the fates of sea ice and associated contaminants in the Arctic Ocean are closely coupled, with the release of the particulate load and associated chemical species occurring in principal sea ice ablation areas such as the Fram Strait.","author":[{"dropping-particle":"","family":"P. Masque., J.K. Cochran., D. Hebbeln., D.J. Hirschberg., D. Dethleff., A.","given":"Winkler.","non-dropping-particle":"","parse-names":false,"suffix":""}],"container-title":"Environmental Science and Technology","id":"ITEM-1","issue":"21","issued":{"date-parts":[["2003"]]},"page":"4848-4854","title":"The Role of Sea Ice in the Fate of Contaminants in the Arctic Ocean: Plutonium Atom Ratios in the Fram Strait","type":"article-journal","volume":"37"},"uris":["http://www.mendeley.com/documents/?uuid=0289fa92-5cba-3fc1-ab1f-3c3fc42162af"]}],"mendeley":{"formattedCitation":"[81]","plainTextFormattedCitation":"[81]","previouslyFormattedCitation":"[81]"},"properties":{"noteIndex":0},"schema":"https://github.com/citation-style-language/schema/raw/master/csl-citation.json"}</w:instrText>
      </w:r>
      <w:r w:rsidR="0024246C">
        <w:rPr>
          <w:sz w:val="24"/>
        </w:rPr>
        <w:fldChar w:fldCharType="separate"/>
      </w:r>
      <w:r w:rsidR="00E510BC" w:rsidRPr="00E510BC">
        <w:rPr>
          <w:noProof/>
          <w:sz w:val="24"/>
        </w:rPr>
        <w:t>[81]</w:t>
      </w:r>
      <w:r w:rsidR="0024246C">
        <w:rPr>
          <w:sz w:val="24"/>
        </w:rPr>
        <w:fldChar w:fldCharType="end"/>
      </w:r>
      <w:r w:rsidR="005E22DD">
        <w:rPr>
          <w:sz w:val="24"/>
        </w:rPr>
        <w:t>.</w:t>
      </w:r>
      <w:r w:rsidR="00D94CDE">
        <w:rPr>
          <w:sz w:val="24"/>
        </w:rPr>
        <w:t xml:space="preserve"> Therefore, of the miniscule amount dispersed hypothetically at Dounreay, the </w:t>
      </w:r>
      <w:r w:rsidR="00D94CDE">
        <w:rPr>
          <w:sz w:val="24"/>
          <w:vertAlign w:val="superscript"/>
        </w:rPr>
        <w:t>240</w:t>
      </w:r>
      <w:r w:rsidR="00D94CDE">
        <w:rPr>
          <w:sz w:val="24"/>
        </w:rPr>
        <w:t>Pu/</w:t>
      </w:r>
      <w:r w:rsidR="00D94CDE">
        <w:rPr>
          <w:sz w:val="24"/>
          <w:vertAlign w:val="superscript"/>
        </w:rPr>
        <w:t>239</w:t>
      </w:r>
      <w:r w:rsidR="00D94CDE">
        <w:rPr>
          <w:sz w:val="24"/>
        </w:rPr>
        <w:t>Pu ratio does appear to offer evidence of it being breeding material.</w:t>
      </w:r>
    </w:p>
    <w:p w14:paraId="50C062E6" w14:textId="77777777" w:rsidR="00F37CA9" w:rsidRDefault="00F37CA9" w:rsidP="00F37CA9">
      <w:pPr>
        <w:rPr>
          <w:sz w:val="24"/>
        </w:rPr>
      </w:pPr>
      <w:r>
        <w:rPr>
          <w:sz w:val="24"/>
        </w:rPr>
        <w:br w:type="page"/>
      </w:r>
    </w:p>
    <w:p w14:paraId="7F9EF5BB" w14:textId="77777777" w:rsidR="00F37CA9" w:rsidRPr="005A775C" w:rsidRDefault="00F37CA9" w:rsidP="00F37CA9">
      <w:pPr>
        <w:tabs>
          <w:tab w:val="left" w:pos="3075"/>
        </w:tabs>
        <w:spacing w:line="480" w:lineRule="auto"/>
        <w:rPr>
          <w:rFonts w:cstheme="minorHAnsi"/>
          <w:b/>
          <w:sz w:val="28"/>
        </w:rPr>
      </w:pPr>
      <w:r w:rsidRPr="005A775C">
        <w:rPr>
          <w:rFonts w:cstheme="minorHAnsi"/>
          <w:b/>
          <w:sz w:val="28"/>
        </w:rPr>
        <w:lastRenderedPageBreak/>
        <w:t>4.</w:t>
      </w:r>
      <w:r>
        <w:rPr>
          <w:rFonts w:cstheme="minorHAnsi"/>
          <w:b/>
          <w:sz w:val="28"/>
        </w:rPr>
        <w:t>3</w:t>
      </w:r>
      <w:r w:rsidRPr="005A775C">
        <w:rPr>
          <w:rFonts w:cstheme="minorHAnsi"/>
          <w:b/>
          <w:sz w:val="28"/>
        </w:rPr>
        <w:t xml:space="preserve">.5.3 </w:t>
      </w:r>
      <w:r w:rsidRPr="005A775C">
        <w:rPr>
          <w:rFonts w:cstheme="minorHAnsi"/>
          <w:b/>
          <w:sz w:val="28"/>
          <w:vertAlign w:val="superscript"/>
        </w:rPr>
        <w:t>241</w:t>
      </w:r>
      <w:r w:rsidRPr="005A775C">
        <w:rPr>
          <w:rFonts w:cstheme="minorHAnsi"/>
          <w:b/>
          <w:sz w:val="28"/>
        </w:rPr>
        <w:t>Pu/</w:t>
      </w:r>
      <w:r w:rsidRPr="005A775C">
        <w:rPr>
          <w:rFonts w:cstheme="minorHAnsi"/>
          <w:b/>
          <w:sz w:val="28"/>
          <w:vertAlign w:val="superscript"/>
        </w:rPr>
        <w:t>239</w:t>
      </w:r>
      <w:r w:rsidRPr="005A775C">
        <w:rPr>
          <w:rFonts w:cstheme="minorHAnsi"/>
          <w:b/>
          <w:sz w:val="28"/>
        </w:rPr>
        <w:t>Pu</w:t>
      </w:r>
    </w:p>
    <w:p w14:paraId="10460185" w14:textId="236506D3" w:rsidR="00F37CA9" w:rsidRDefault="00F37CA9" w:rsidP="00F37CA9">
      <w:pPr>
        <w:tabs>
          <w:tab w:val="left" w:pos="3075"/>
        </w:tabs>
        <w:spacing w:after="120" w:line="480" w:lineRule="auto"/>
        <w:ind w:firstLine="567"/>
        <w:rPr>
          <w:rFonts w:cstheme="minorHAnsi"/>
          <w:sz w:val="24"/>
        </w:rPr>
      </w:pPr>
      <w:r>
        <w:rPr>
          <w:rFonts w:cstheme="minorHAnsi"/>
          <w:sz w:val="24"/>
        </w:rPr>
        <w:t xml:space="preserve">The average </w:t>
      </w:r>
      <w:r w:rsidRPr="00EF1E08">
        <w:rPr>
          <w:rFonts w:cstheme="minorHAnsi"/>
          <w:sz w:val="24"/>
          <w:vertAlign w:val="superscript"/>
        </w:rPr>
        <w:t>241</w:t>
      </w:r>
      <w:r w:rsidRPr="00EF1E08">
        <w:rPr>
          <w:rFonts w:cstheme="minorHAnsi"/>
          <w:sz w:val="24"/>
        </w:rPr>
        <w:t>Pu/</w:t>
      </w:r>
      <w:r w:rsidRPr="00EF1E08">
        <w:rPr>
          <w:rFonts w:cstheme="minorHAnsi"/>
          <w:sz w:val="24"/>
          <w:vertAlign w:val="superscript"/>
        </w:rPr>
        <w:t>239</w:t>
      </w:r>
      <w:r w:rsidRPr="00EF1E08">
        <w:rPr>
          <w:rFonts w:cstheme="minorHAnsi"/>
          <w:sz w:val="24"/>
        </w:rPr>
        <w:t>Pu</w:t>
      </w:r>
      <w:r>
        <w:rPr>
          <w:rFonts w:cstheme="minorHAnsi"/>
          <w:sz w:val="24"/>
        </w:rPr>
        <w:t xml:space="preserve"> ratios of this project’s samples are presented in </w:t>
      </w:r>
      <w:r w:rsidR="002E3184">
        <w:rPr>
          <w:rFonts w:cstheme="minorHAnsi"/>
          <w:sz w:val="24"/>
        </w:rPr>
        <w:fldChar w:fldCharType="begin"/>
      </w:r>
      <w:r w:rsidR="002E3184">
        <w:rPr>
          <w:rFonts w:cstheme="minorHAnsi"/>
          <w:sz w:val="24"/>
        </w:rPr>
        <w:instrText xml:space="preserve"> REF _Ref31286856 \h </w:instrText>
      </w:r>
      <w:r w:rsidR="002E3184">
        <w:rPr>
          <w:rFonts w:cstheme="minorHAnsi"/>
          <w:sz w:val="24"/>
        </w:rPr>
      </w:r>
      <w:r w:rsidR="002E3184">
        <w:rPr>
          <w:rFonts w:cstheme="minorHAnsi"/>
          <w:sz w:val="24"/>
        </w:rPr>
        <w:fldChar w:fldCharType="separate"/>
      </w:r>
      <w:r w:rsidR="00161FDC" w:rsidRPr="008B2B75">
        <w:rPr>
          <w:sz w:val="20"/>
        </w:rPr>
        <w:t xml:space="preserve">Table </w:t>
      </w:r>
      <w:r w:rsidR="00161FDC">
        <w:rPr>
          <w:noProof/>
          <w:sz w:val="20"/>
        </w:rPr>
        <w:t>4</w:t>
      </w:r>
      <w:r w:rsidR="002E3184">
        <w:rPr>
          <w:rFonts w:cstheme="minorHAnsi"/>
          <w:sz w:val="24"/>
        </w:rPr>
        <w:fldChar w:fldCharType="end"/>
      </w:r>
      <w:r>
        <w:rPr>
          <w:rFonts w:cstheme="minorHAnsi"/>
          <w:sz w:val="24"/>
        </w:rPr>
        <w:t xml:space="preserve"> below. The </w:t>
      </w:r>
      <w:r w:rsidRPr="00EF1E08">
        <w:rPr>
          <w:rFonts w:cstheme="minorHAnsi"/>
          <w:sz w:val="24"/>
          <w:vertAlign w:val="superscript"/>
        </w:rPr>
        <w:t>241</w:t>
      </w:r>
      <w:r w:rsidRPr="00EF1E08">
        <w:rPr>
          <w:rFonts w:cstheme="minorHAnsi"/>
          <w:sz w:val="24"/>
        </w:rPr>
        <w:t>Pu</w:t>
      </w:r>
      <w:r>
        <w:rPr>
          <w:rFonts w:cstheme="minorHAnsi"/>
          <w:sz w:val="24"/>
        </w:rPr>
        <w:t xml:space="preserve"> values in this work are based on calculated values originating from </w:t>
      </w:r>
      <w:r w:rsidRPr="00EF1E08">
        <w:rPr>
          <w:rFonts w:cstheme="minorHAnsi"/>
          <w:sz w:val="24"/>
          <w:vertAlign w:val="superscript"/>
        </w:rPr>
        <w:t>241</w:t>
      </w:r>
      <w:r>
        <w:rPr>
          <w:rFonts w:cstheme="minorHAnsi"/>
          <w:sz w:val="24"/>
        </w:rPr>
        <w:t>Am counts measured with the BEGe gamma spectrometer at CCFE.</w:t>
      </w:r>
    </w:p>
    <w:tbl>
      <w:tblPr>
        <w:tblStyle w:val="TableGrid"/>
        <w:tblW w:w="0" w:type="auto"/>
        <w:tblLook w:val="04A0" w:firstRow="1" w:lastRow="0" w:firstColumn="1" w:lastColumn="0" w:noHBand="0" w:noVBand="1"/>
      </w:tblPr>
      <w:tblGrid>
        <w:gridCol w:w="4508"/>
        <w:gridCol w:w="4508"/>
      </w:tblGrid>
      <w:tr w:rsidR="00F37CA9" w14:paraId="6B9C3813" w14:textId="77777777" w:rsidTr="00497DCB">
        <w:tc>
          <w:tcPr>
            <w:tcW w:w="4508" w:type="dxa"/>
          </w:tcPr>
          <w:p w14:paraId="68B50515" w14:textId="77777777" w:rsidR="00F37CA9" w:rsidRDefault="00F37CA9" w:rsidP="00497DCB">
            <w:pPr>
              <w:tabs>
                <w:tab w:val="left" w:pos="3075"/>
              </w:tabs>
              <w:spacing w:line="480" w:lineRule="auto"/>
              <w:rPr>
                <w:sz w:val="24"/>
              </w:rPr>
            </w:pPr>
            <w:r>
              <w:rPr>
                <w:sz w:val="24"/>
              </w:rPr>
              <w:t>Area</w:t>
            </w:r>
          </w:p>
        </w:tc>
        <w:tc>
          <w:tcPr>
            <w:tcW w:w="4508" w:type="dxa"/>
          </w:tcPr>
          <w:p w14:paraId="0390F88F" w14:textId="77777777" w:rsidR="00F37CA9" w:rsidRDefault="00F37CA9" w:rsidP="00497DCB">
            <w:pPr>
              <w:tabs>
                <w:tab w:val="left" w:pos="3075"/>
              </w:tabs>
              <w:spacing w:line="480" w:lineRule="auto"/>
              <w:rPr>
                <w:sz w:val="24"/>
              </w:rPr>
            </w:pPr>
            <w:r>
              <w:rPr>
                <w:sz w:val="24"/>
                <w:vertAlign w:val="superscript"/>
              </w:rPr>
              <w:t>241</w:t>
            </w:r>
            <w:r>
              <w:rPr>
                <w:sz w:val="24"/>
              </w:rPr>
              <w:t>Pu/</w:t>
            </w:r>
            <w:r>
              <w:rPr>
                <w:sz w:val="24"/>
                <w:vertAlign w:val="superscript"/>
              </w:rPr>
              <w:t>239</w:t>
            </w:r>
            <w:r>
              <w:rPr>
                <w:sz w:val="24"/>
              </w:rPr>
              <w:t>Pu ratio</w:t>
            </w:r>
          </w:p>
        </w:tc>
      </w:tr>
      <w:tr w:rsidR="00F37CA9" w14:paraId="3290DF15" w14:textId="77777777" w:rsidTr="00497DCB">
        <w:tc>
          <w:tcPr>
            <w:tcW w:w="4508" w:type="dxa"/>
          </w:tcPr>
          <w:p w14:paraId="63201E98" w14:textId="77777777" w:rsidR="00F37CA9" w:rsidRDefault="00F37CA9" w:rsidP="00497DCB">
            <w:pPr>
              <w:tabs>
                <w:tab w:val="left" w:pos="3075"/>
              </w:tabs>
              <w:spacing w:line="480" w:lineRule="auto"/>
              <w:rPr>
                <w:sz w:val="24"/>
              </w:rPr>
            </w:pPr>
            <w:r>
              <w:rPr>
                <w:sz w:val="24"/>
              </w:rPr>
              <w:t>On-site</w:t>
            </w:r>
          </w:p>
        </w:tc>
        <w:tc>
          <w:tcPr>
            <w:tcW w:w="4508" w:type="dxa"/>
          </w:tcPr>
          <w:p w14:paraId="6242AA6C" w14:textId="667AE502" w:rsidR="00F37CA9" w:rsidRPr="00EF1E08" w:rsidRDefault="00F37CA9" w:rsidP="00497DCB">
            <w:pPr>
              <w:tabs>
                <w:tab w:val="left" w:pos="3075"/>
              </w:tabs>
              <w:spacing w:line="480" w:lineRule="auto"/>
              <w:rPr>
                <w:sz w:val="24"/>
                <w:vertAlign w:val="superscript"/>
              </w:rPr>
            </w:pPr>
            <w:r>
              <w:rPr>
                <w:sz w:val="24"/>
              </w:rPr>
              <w:t>(1.7±</w:t>
            </w:r>
            <w:r w:rsidR="00EA5BD9">
              <w:rPr>
                <w:sz w:val="24"/>
              </w:rPr>
              <w:t>1</w:t>
            </w:r>
            <w:r>
              <w:rPr>
                <w:sz w:val="24"/>
              </w:rPr>
              <w:t>) x10</w:t>
            </w:r>
            <w:r>
              <w:rPr>
                <w:sz w:val="24"/>
                <w:vertAlign w:val="superscript"/>
              </w:rPr>
              <w:t>-3</w:t>
            </w:r>
          </w:p>
        </w:tc>
      </w:tr>
      <w:tr w:rsidR="00F37CA9" w14:paraId="26E8B11D" w14:textId="77777777" w:rsidTr="00497DCB">
        <w:tc>
          <w:tcPr>
            <w:tcW w:w="4508" w:type="dxa"/>
          </w:tcPr>
          <w:p w14:paraId="7ACAE70A" w14:textId="77777777" w:rsidR="00F37CA9" w:rsidRDefault="00F37CA9" w:rsidP="00497DCB">
            <w:pPr>
              <w:tabs>
                <w:tab w:val="left" w:pos="3075"/>
              </w:tabs>
              <w:spacing w:line="480" w:lineRule="auto"/>
              <w:rPr>
                <w:sz w:val="24"/>
              </w:rPr>
            </w:pPr>
            <w:r>
              <w:rPr>
                <w:sz w:val="24"/>
              </w:rPr>
              <w:t>Off-site</w:t>
            </w:r>
          </w:p>
        </w:tc>
        <w:tc>
          <w:tcPr>
            <w:tcW w:w="4508" w:type="dxa"/>
          </w:tcPr>
          <w:p w14:paraId="550E7699" w14:textId="17B61851" w:rsidR="00F37CA9" w:rsidRPr="00EF1E08" w:rsidRDefault="00F37CA9" w:rsidP="00497DCB">
            <w:pPr>
              <w:tabs>
                <w:tab w:val="left" w:pos="3075"/>
              </w:tabs>
              <w:spacing w:line="480" w:lineRule="auto"/>
              <w:rPr>
                <w:sz w:val="24"/>
                <w:vertAlign w:val="superscript"/>
              </w:rPr>
            </w:pPr>
            <w:r>
              <w:rPr>
                <w:sz w:val="24"/>
              </w:rPr>
              <w:t>(9.4 ±0.5) x10</w:t>
            </w:r>
            <w:r>
              <w:rPr>
                <w:sz w:val="24"/>
                <w:vertAlign w:val="superscript"/>
              </w:rPr>
              <w:t>-4</w:t>
            </w:r>
          </w:p>
        </w:tc>
      </w:tr>
      <w:tr w:rsidR="00F37CA9" w14:paraId="4479B657" w14:textId="77777777" w:rsidTr="00497DCB">
        <w:tc>
          <w:tcPr>
            <w:tcW w:w="4508" w:type="dxa"/>
          </w:tcPr>
          <w:p w14:paraId="47DF5DBB" w14:textId="77777777" w:rsidR="00F37CA9" w:rsidRDefault="00F37CA9" w:rsidP="00497DCB">
            <w:pPr>
              <w:tabs>
                <w:tab w:val="left" w:pos="3075"/>
              </w:tabs>
              <w:spacing w:line="480" w:lineRule="auto"/>
              <w:rPr>
                <w:sz w:val="24"/>
              </w:rPr>
            </w:pPr>
            <w:r>
              <w:rPr>
                <w:sz w:val="24"/>
              </w:rPr>
              <w:t>Away from site</w:t>
            </w:r>
          </w:p>
        </w:tc>
        <w:tc>
          <w:tcPr>
            <w:tcW w:w="4508" w:type="dxa"/>
          </w:tcPr>
          <w:p w14:paraId="5F1BB19D" w14:textId="770B5DDE" w:rsidR="00F37CA9" w:rsidRPr="00EF1E08" w:rsidRDefault="00F37CA9" w:rsidP="00CB7650">
            <w:pPr>
              <w:keepNext/>
              <w:tabs>
                <w:tab w:val="left" w:pos="3075"/>
              </w:tabs>
              <w:spacing w:line="480" w:lineRule="auto"/>
              <w:rPr>
                <w:sz w:val="24"/>
                <w:vertAlign w:val="superscript"/>
              </w:rPr>
            </w:pPr>
            <w:r>
              <w:rPr>
                <w:sz w:val="24"/>
              </w:rPr>
              <w:t>(2.9 ±0.1) x10</w:t>
            </w:r>
            <w:r>
              <w:rPr>
                <w:sz w:val="24"/>
                <w:vertAlign w:val="superscript"/>
              </w:rPr>
              <w:t>-3</w:t>
            </w:r>
          </w:p>
        </w:tc>
      </w:tr>
    </w:tbl>
    <w:p w14:paraId="6DA7740F" w14:textId="62C0C0F9" w:rsidR="00CB7650" w:rsidRPr="008B2B75" w:rsidRDefault="00CB7650">
      <w:pPr>
        <w:pStyle w:val="Caption"/>
        <w:rPr>
          <w:sz w:val="20"/>
        </w:rPr>
      </w:pPr>
      <w:bookmarkStart w:id="41" w:name="_Ref31286856"/>
      <w:r w:rsidRPr="008B2B75">
        <w:rPr>
          <w:sz w:val="20"/>
        </w:rPr>
        <w:t xml:space="preserve">Table </w:t>
      </w:r>
      <w:r w:rsidRPr="008B2B75">
        <w:rPr>
          <w:sz w:val="20"/>
        </w:rPr>
        <w:fldChar w:fldCharType="begin"/>
      </w:r>
      <w:r w:rsidRPr="008B2B75">
        <w:rPr>
          <w:sz w:val="20"/>
        </w:rPr>
        <w:instrText xml:space="preserve"> SEQ Table \* ARABIC </w:instrText>
      </w:r>
      <w:r w:rsidRPr="008B2B75">
        <w:rPr>
          <w:sz w:val="20"/>
        </w:rPr>
        <w:fldChar w:fldCharType="separate"/>
      </w:r>
      <w:r w:rsidR="00161FDC">
        <w:rPr>
          <w:noProof/>
          <w:sz w:val="20"/>
        </w:rPr>
        <w:t>4</w:t>
      </w:r>
      <w:r w:rsidRPr="008B2B75">
        <w:rPr>
          <w:sz w:val="20"/>
        </w:rPr>
        <w:fldChar w:fldCharType="end"/>
      </w:r>
      <w:bookmarkEnd w:id="41"/>
      <w:r w:rsidRPr="008B2B75">
        <w:rPr>
          <w:sz w:val="20"/>
        </w:rPr>
        <w:t xml:space="preserve"> The </w:t>
      </w:r>
      <w:r w:rsidRPr="008B2B75">
        <w:rPr>
          <w:sz w:val="20"/>
          <w:vertAlign w:val="superscript"/>
        </w:rPr>
        <w:t>241</w:t>
      </w:r>
      <w:r w:rsidRPr="008B2B75">
        <w:rPr>
          <w:sz w:val="20"/>
        </w:rPr>
        <w:t>Pu/</w:t>
      </w:r>
      <w:r w:rsidRPr="008B2B75">
        <w:rPr>
          <w:sz w:val="20"/>
          <w:vertAlign w:val="superscript"/>
        </w:rPr>
        <w:t>239</w:t>
      </w:r>
      <w:r w:rsidRPr="008B2B75">
        <w:rPr>
          <w:sz w:val="20"/>
        </w:rPr>
        <w:t>Pu ratios of the different samples in this study, by sampling site.</w:t>
      </w:r>
    </w:p>
    <w:p w14:paraId="00B407E4" w14:textId="578CD921" w:rsidR="00F37CA9" w:rsidRDefault="00F37CA9" w:rsidP="0024246C">
      <w:pPr>
        <w:tabs>
          <w:tab w:val="left" w:pos="3075"/>
        </w:tabs>
        <w:spacing w:after="120" w:line="480" w:lineRule="auto"/>
        <w:ind w:firstLine="567"/>
        <w:rPr>
          <w:rFonts w:cstheme="minorHAnsi"/>
          <w:sz w:val="24"/>
        </w:rPr>
      </w:pPr>
      <w:r>
        <w:rPr>
          <w:sz w:val="24"/>
        </w:rPr>
        <w:t>In the 2013 report on “AMS of the minor Plutonium Isotopes”</w:t>
      </w:r>
      <w:r w:rsidR="0024246C">
        <w:rPr>
          <w:sz w:val="24"/>
        </w:rPr>
        <w:t xml:space="preserve"> </w:t>
      </w:r>
      <w:r w:rsidR="0024246C">
        <w:rPr>
          <w:sz w:val="24"/>
        </w:rPr>
        <w:fldChar w:fldCharType="begin" w:fldLock="1"/>
      </w:r>
      <w:r w:rsidR="00767A68">
        <w:rPr>
          <w:sz w:val="24"/>
        </w:rPr>
        <w:instrText>ADDIN CSL_CITATION {"citationItems":[{"id":"ITEM-1","itemData":{"DOI":"10.1016/j.nimb.2012.06.017","ISSN":"0168583X","PMID":"23565016","abstract":"VERA, the Vienna Environmental Research Accelerator, is especially equipped for the measurement of actinides, and performs a growing number of measurements on environmental samples. While AMS is not the optimum method for each particular plutonium isotope, the possibility to measure (239)Pu, (240)Pu, (241)Pu, (242)Pu and (244)Pu on the same AMS sputter target is a great simplification. We have obtained a first result on the global fallout value of (244)Pu/(239)Pu = (5.7 ± 1.0) × 10(-5) based on soil samples from Salzburg prefecture, Austria. Furthermore, we suggest using the (242)Pu/(240)Pu ratio as an estimate of the initial (241)Pu/(239)Pu ratio, which allows dating of the time of irradiation based solely on Pu isotopes. We have checked the validity of this estimate using literature data, simulations, and environmental samples from soil from the Salzburg prefecture (Austria), from the shut down Garigliano Nuclear Power Plant (Sessa Aurunca, Italy) and from the Irish Sea near the Sellafield nuclear facility. The maximum deviation of the estimated dates from the expected ages is 6 years, while relative dating of material from the same source seems to be possible with a precision of less than 2 years. Additional information carried by the minor plutonium isotopes may allow further improvements of the precision of the method.","author":[{"dropping-particle":"","family":"Steier","given":"P","non-dropping-particle":"","parse-names":false,"suffix":""},{"dropping-particle":"","family":"Hrnecek","given":"E","non-dropping-particle":"","parse-names":false,"suffix":""},{"dropping-particle":"","family":"Priller","given":"A","non-dropping-particle":"","parse-names":false,"suffix":""},{"dropping-particle":"","family":"Quinto","given":"F","non-dropping-particle":"","parse-names":false,"suffix":""},{"dropping-particle":"","family":"Srncik","given":"M","non-dropping-particle":"","parse-names":false,"suffix":""},{"dropping-particle":"","family":"Wallner","given":"A.","non-dropping-particle":"","parse-names":false,"suffix":""},{"dropping-particle":"","family":"Wallner","given":"G","non-dropping-particle":"","parse-names":false,"suffix":""},{"dropping-particle":"","family":"Winkler","given":"S","non-dropping-particle":"","parse-names":false,"suffix":""}],"container-title":"Nuclear Instruments and Methods in Physics Research Section B: Beam Interactions with Materials and Atoms","id":"ITEM-1","issue":"2-2","issued":{"date-parts":[["2013","1"]]},"page":"160-164","publisher":"Elsevier","title":"AMS of the Minor Plutonium Isotopes","type":"article-journal","volume":"294"},"uris":["http://www.mendeley.com/documents/?uuid=05b1f9d1-7369-3cb1-b743-0bc252b99de6"]}],"mendeley":{"formattedCitation":"[64]","plainTextFormattedCitation":"[64]","previouslyFormattedCitation":"[64]"},"properties":{"noteIndex":0},"schema":"https://github.com/citation-style-language/schema/raw/master/csl-citation.json"}</w:instrText>
      </w:r>
      <w:r w:rsidR="0024246C">
        <w:rPr>
          <w:sz w:val="24"/>
        </w:rPr>
        <w:fldChar w:fldCharType="separate"/>
      </w:r>
      <w:r w:rsidR="000B0F18" w:rsidRPr="000B0F18">
        <w:rPr>
          <w:noProof/>
          <w:sz w:val="24"/>
        </w:rPr>
        <w:t>[64]</w:t>
      </w:r>
      <w:r w:rsidR="0024246C">
        <w:rPr>
          <w:sz w:val="24"/>
        </w:rPr>
        <w:fldChar w:fldCharType="end"/>
      </w:r>
      <w:r>
        <w:rPr>
          <w:sz w:val="24"/>
        </w:rPr>
        <w:t>, Steier et al</w:t>
      </w:r>
      <w:r w:rsidR="00C14A46">
        <w:rPr>
          <w:sz w:val="24"/>
        </w:rPr>
        <w:t>.</w:t>
      </w:r>
      <w:r>
        <w:rPr>
          <w:sz w:val="24"/>
        </w:rPr>
        <w:t xml:space="preserve"> assume a Salzburg soil sample as an example for the global fallout ratio of </w:t>
      </w:r>
      <w:r w:rsidRPr="00EF1E08">
        <w:rPr>
          <w:rFonts w:cstheme="minorHAnsi"/>
          <w:sz w:val="24"/>
          <w:vertAlign w:val="superscript"/>
        </w:rPr>
        <w:t>241</w:t>
      </w:r>
      <w:r w:rsidRPr="00EF1E08">
        <w:rPr>
          <w:rFonts w:cstheme="minorHAnsi"/>
          <w:sz w:val="24"/>
        </w:rPr>
        <w:t>Pu/</w:t>
      </w:r>
      <w:r w:rsidRPr="00EF1E08">
        <w:rPr>
          <w:rFonts w:cstheme="minorHAnsi"/>
          <w:sz w:val="24"/>
          <w:vertAlign w:val="superscript"/>
        </w:rPr>
        <w:t>239</w:t>
      </w:r>
      <w:r w:rsidRPr="00EF1E08">
        <w:rPr>
          <w:rFonts w:cstheme="minorHAnsi"/>
          <w:sz w:val="24"/>
        </w:rPr>
        <w:t>Pu</w:t>
      </w:r>
      <w:r>
        <w:rPr>
          <w:rFonts w:cstheme="minorHAnsi"/>
          <w:sz w:val="24"/>
        </w:rPr>
        <w:t xml:space="preserve">. The sample was collected in </w:t>
      </w:r>
      <w:r w:rsidR="0024246C">
        <w:rPr>
          <w:rFonts w:cstheme="minorHAnsi"/>
          <w:sz w:val="24"/>
        </w:rPr>
        <w:fldChar w:fldCharType="begin" w:fldLock="1"/>
      </w:r>
      <w:r w:rsidR="006F1462">
        <w:rPr>
          <w:rFonts w:cstheme="minorHAnsi"/>
          <w:sz w:val="24"/>
        </w:rPr>
        <w:instrText>ADDIN CSL_CITATION {"citationItems":[{"id":"ITEM-1","itemData":{"DOI":"10.1524/ract.2008.1559","ISSN":"0033-8230","author":[{"dropping-particle":"","family":"Srncik","given":"M.","non-dropping-particle":"","parse-names":false,"suffix":""},{"dropping-particle":"","family":"Hrnecek","given":"Erich","non-dropping-particle":"","parse-names":false,"suffix":""},{"dropping-particle":"","family":"Steier","given":"P.","non-dropping-particle":"","parse-names":false,"suffix":""},{"dropping-particle":"","family":"Wallner","given":"A.","non-dropping-particle":"","parse-names":false,"suffix":""},{"dropping-particle":"","family":"Wallner","given":"Gabriele","non-dropping-particle":"","parse-names":false,"suffix":""},{"dropping-particle":"","family":"Bossew","given":"P.","non-dropping-particle":"","parse-names":false,"suffix":""}],"container-title":"Radiochimica Acta","id":"ITEM-1","issue":"9-11","issued":{"date-parts":[["2008","1"]]},"page":"733-738","publisher":"Oldenbourg Wissenschaftsverlag GmbH","title":"Vertical distribution of 238Pu, 239(40)Pu, 241Am, 90Sr and 137Cs in Austrian soil profiles","type":"article-journal","volume":"96"},"uris":["http://www.mendeley.com/documents/?uuid=25a6a48b-abcf-30b6-b2f3-d6eea2e799e7"]}],"mendeley":{"formattedCitation":"[88]","plainTextFormattedCitation":"[88]","previouslyFormattedCitation":"[88]"},"properties":{"noteIndex":0},"schema":"https://github.com/citation-style-language/schema/raw/master/csl-citation.json"}</w:instrText>
      </w:r>
      <w:r w:rsidR="0024246C">
        <w:rPr>
          <w:rFonts w:cstheme="minorHAnsi"/>
          <w:sz w:val="24"/>
        </w:rPr>
        <w:fldChar w:fldCharType="separate"/>
      </w:r>
      <w:r w:rsidR="00E510BC" w:rsidRPr="00E510BC">
        <w:rPr>
          <w:rFonts w:cstheme="minorHAnsi"/>
          <w:noProof/>
          <w:sz w:val="24"/>
        </w:rPr>
        <w:t>[88]</w:t>
      </w:r>
      <w:r w:rsidR="0024246C">
        <w:rPr>
          <w:rFonts w:cstheme="minorHAnsi"/>
          <w:sz w:val="24"/>
        </w:rPr>
        <w:fldChar w:fldCharType="end"/>
      </w:r>
      <w:r>
        <w:rPr>
          <w:rFonts w:cstheme="minorHAnsi"/>
          <w:sz w:val="24"/>
        </w:rPr>
        <w:t xml:space="preserve">. Their value of ubiquitous </w:t>
      </w:r>
      <w:r w:rsidRPr="00EF1E08">
        <w:rPr>
          <w:rFonts w:cstheme="minorHAnsi"/>
          <w:sz w:val="24"/>
          <w:vertAlign w:val="superscript"/>
        </w:rPr>
        <w:t>241</w:t>
      </w:r>
      <w:r w:rsidRPr="00EF1E08">
        <w:rPr>
          <w:rFonts w:cstheme="minorHAnsi"/>
          <w:sz w:val="24"/>
        </w:rPr>
        <w:t>Pu/</w:t>
      </w:r>
      <w:r w:rsidRPr="00EF1E08">
        <w:rPr>
          <w:rFonts w:cstheme="minorHAnsi"/>
          <w:sz w:val="24"/>
          <w:vertAlign w:val="superscript"/>
        </w:rPr>
        <w:t>239</w:t>
      </w:r>
      <w:r w:rsidRPr="00EF1E08">
        <w:rPr>
          <w:rFonts w:cstheme="minorHAnsi"/>
          <w:sz w:val="24"/>
        </w:rPr>
        <w:t>Pu</w:t>
      </w:r>
      <w:r>
        <w:rPr>
          <w:rFonts w:cstheme="minorHAnsi"/>
          <w:sz w:val="24"/>
        </w:rPr>
        <w:t xml:space="preserve"> fallout is</w:t>
      </w:r>
      <w:r w:rsidR="00896F73">
        <w:rPr>
          <w:rFonts w:cstheme="minorHAnsi"/>
          <w:sz w:val="24"/>
        </w:rPr>
        <w:t>:</w:t>
      </w:r>
      <w:r>
        <w:rPr>
          <w:rFonts w:cstheme="minorHAnsi"/>
          <w:sz w:val="24"/>
        </w:rPr>
        <w:t xml:space="preserve"> </w:t>
      </w:r>
      <w:r w:rsidR="00640AF8">
        <w:rPr>
          <w:rFonts w:cstheme="minorHAnsi"/>
          <w:sz w:val="24"/>
        </w:rPr>
        <w:t>[</w:t>
      </w:r>
      <w:r>
        <w:rPr>
          <w:rFonts w:cstheme="minorHAnsi"/>
          <w:sz w:val="24"/>
        </w:rPr>
        <w:t>(1.39±0.07)x10</w:t>
      </w:r>
      <w:r>
        <w:rPr>
          <w:rFonts w:cstheme="minorHAnsi"/>
          <w:sz w:val="24"/>
          <w:vertAlign w:val="superscript"/>
        </w:rPr>
        <w:t>-3</w:t>
      </w:r>
      <w:r w:rsidR="0024246C">
        <w:rPr>
          <w:rFonts w:cstheme="minorHAnsi"/>
          <w:sz w:val="24"/>
        </w:rPr>
        <w:t>]</w:t>
      </w:r>
      <w:r>
        <w:rPr>
          <w:rFonts w:cstheme="minorHAnsi"/>
          <w:sz w:val="24"/>
        </w:rPr>
        <w:t>.</w:t>
      </w:r>
      <w:r w:rsidR="0024246C">
        <w:rPr>
          <w:rFonts w:cstheme="minorHAnsi"/>
          <w:sz w:val="24"/>
        </w:rPr>
        <w:t xml:space="preserve"> </w:t>
      </w:r>
      <w:r>
        <w:rPr>
          <w:rFonts w:cstheme="minorHAnsi"/>
          <w:sz w:val="24"/>
        </w:rPr>
        <w:t xml:space="preserve">The sample ratios are displayed in </w:t>
      </w:r>
      <w:r w:rsidR="005C4C58">
        <w:rPr>
          <w:rFonts w:cstheme="minorHAnsi"/>
          <w:sz w:val="24"/>
        </w:rPr>
        <w:fldChar w:fldCharType="begin"/>
      </w:r>
      <w:r w:rsidR="005C4C58">
        <w:rPr>
          <w:rFonts w:cstheme="minorHAnsi"/>
          <w:sz w:val="24"/>
        </w:rPr>
        <w:instrText xml:space="preserve"> REF _Ref31286036 \h </w:instrText>
      </w:r>
      <w:r w:rsidR="00130F3E">
        <w:rPr>
          <w:rFonts w:cstheme="minorHAnsi"/>
          <w:sz w:val="24"/>
        </w:rPr>
        <w:instrText xml:space="preserve"> \* MERGEFORMAT </w:instrText>
      </w:r>
      <w:r w:rsidR="005C4C58">
        <w:rPr>
          <w:rFonts w:cstheme="minorHAnsi"/>
          <w:sz w:val="24"/>
        </w:rPr>
      </w:r>
      <w:r w:rsidR="005C4C58">
        <w:rPr>
          <w:rFonts w:cstheme="minorHAnsi"/>
          <w:sz w:val="24"/>
        </w:rPr>
        <w:fldChar w:fldCharType="separate"/>
      </w:r>
      <w:r w:rsidR="00161FDC" w:rsidRPr="00161FDC">
        <w:rPr>
          <w:sz w:val="24"/>
        </w:rPr>
        <w:t xml:space="preserve">Figure </w:t>
      </w:r>
      <w:r w:rsidR="00161FDC" w:rsidRPr="00161FDC">
        <w:rPr>
          <w:noProof/>
        </w:rPr>
        <w:t>34</w:t>
      </w:r>
      <w:r w:rsidR="005C4C58">
        <w:rPr>
          <w:rFonts w:cstheme="minorHAnsi"/>
          <w:sz w:val="24"/>
        </w:rPr>
        <w:fldChar w:fldCharType="end"/>
      </w:r>
      <w:r>
        <w:rPr>
          <w:rFonts w:cstheme="minorHAnsi"/>
          <w:sz w:val="24"/>
        </w:rPr>
        <w:t xml:space="preserve">, compared against some notable examples from the literature </w:t>
      </w:r>
      <w:r w:rsidR="009F2045">
        <w:rPr>
          <w:rFonts w:cstheme="minorHAnsi"/>
          <w:sz w:val="24"/>
        </w:rPr>
        <w:t>of</w:t>
      </w:r>
      <w:r>
        <w:rPr>
          <w:rFonts w:cstheme="minorHAnsi"/>
          <w:sz w:val="24"/>
        </w:rPr>
        <w:t xml:space="preserve"> varying</w:t>
      </w:r>
      <w:r w:rsidR="009F2045">
        <w:rPr>
          <w:rFonts w:cstheme="minorHAnsi"/>
          <w:sz w:val="24"/>
        </w:rPr>
        <w:t xml:space="preserve"> origins</w:t>
      </w:r>
      <w:r>
        <w:rPr>
          <w:rFonts w:cstheme="minorHAnsi"/>
          <w:sz w:val="24"/>
        </w:rPr>
        <w:t>.</w:t>
      </w:r>
    </w:p>
    <w:p w14:paraId="710BA686" w14:textId="77777777" w:rsidR="00CB7650" w:rsidRDefault="00F37CA9" w:rsidP="00CB7650">
      <w:pPr>
        <w:keepNext/>
        <w:tabs>
          <w:tab w:val="left" w:pos="3075"/>
        </w:tabs>
        <w:spacing w:after="120" w:line="480" w:lineRule="auto"/>
      </w:pPr>
      <w:r>
        <w:rPr>
          <w:noProof/>
          <w:lang w:eastAsia="en-GB"/>
        </w:rPr>
        <w:lastRenderedPageBreak/>
        <w:drawing>
          <wp:inline distT="0" distB="0" distL="0" distR="0" wp14:anchorId="7338A48D" wp14:editId="065A73DE">
            <wp:extent cx="5489575" cy="3608070"/>
            <wp:effectExtent l="0" t="0" r="0" b="0"/>
            <wp:docPr id="197" name="Chart 197">
              <a:extLst xmlns:a="http://schemas.openxmlformats.org/drawingml/2006/main">
                <a:ext uri="{FF2B5EF4-FFF2-40B4-BE49-F238E27FC236}">
                  <a16:creationId xmlns:a16="http://schemas.microsoft.com/office/drawing/2014/main" id="{87F6523E-5B30-400E-B974-0D25B438C9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59F7346" w14:textId="0E7DCA6B" w:rsidR="00F37CA9" w:rsidRPr="006077E6" w:rsidRDefault="00CB7650" w:rsidP="008B2B75">
      <w:pPr>
        <w:pStyle w:val="Caption"/>
        <w:jc w:val="center"/>
        <w:rPr>
          <w:rFonts w:cstheme="minorHAnsi"/>
          <w:sz w:val="28"/>
        </w:rPr>
      </w:pPr>
      <w:bookmarkStart w:id="42" w:name="_Ref31286036"/>
      <w:r w:rsidRPr="006077E6">
        <w:rPr>
          <w:sz w:val="20"/>
        </w:rPr>
        <w:t xml:space="preserve">Figure </w:t>
      </w:r>
      <w:r w:rsidRPr="006077E6">
        <w:rPr>
          <w:sz w:val="20"/>
        </w:rPr>
        <w:fldChar w:fldCharType="begin"/>
      </w:r>
      <w:r w:rsidRPr="006077E6">
        <w:rPr>
          <w:sz w:val="20"/>
        </w:rPr>
        <w:instrText xml:space="preserve"> SEQ Figure \* ARABIC </w:instrText>
      </w:r>
      <w:r w:rsidRPr="006077E6">
        <w:rPr>
          <w:sz w:val="20"/>
        </w:rPr>
        <w:fldChar w:fldCharType="separate"/>
      </w:r>
      <w:r w:rsidR="00161FDC">
        <w:rPr>
          <w:noProof/>
          <w:sz w:val="20"/>
        </w:rPr>
        <w:t>34</w:t>
      </w:r>
      <w:r w:rsidRPr="006077E6">
        <w:rPr>
          <w:sz w:val="20"/>
        </w:rPr>
        <w:fldChar w:fldCharType="end"/>
      </w:r>
      <w:bookmarkEnd w:id="42"/>
      <w:r w:rsidRPr="006077E6">
        <w:rPr>
          <w:sz w:val="20"/>
        </w:rPr>
        <w:t xml:space="preserve"> </w:t>
      </w:r>
      <w:r w:rsidRPr="006077E6">
        <w:rPr>
          <w:sz w:val="20"/>
          <w:vertAlign w:val="superscript"/>
        </w:rPr>
        <w:t>241</w:t>
      </w:r>
      <w:r w:rsidRPr="006077E6">
        <w:rPr>
          <w:sz w:val="20"/>
        </w:rPr>
        <w:t>Pu/</w:t>
      </w:r>
      <w:r w:rsidRPr="006077E6">
        <w:rPr>
          <w:sz w:val="20"/>
          <w:vertAlign w:val="superscript"/>
        </w:rPr>
        <w:t>239</w:t>
      </w:r>
      <w:r w:rsidRPr="006077E6">
        <w:rPr>
          <w:sz w:val="20"/>
        </w:rPr>
        <w:t xml:space="preserve">Pu ratios compared between multiple sites, including the three sample types from the project </w:t>
      </w:r>
      <w:r w:rsidR="007B2E8C" w:rsidRPr="006077E6">
        <w:rPr>
          <w:sz w:val="20"/>
        </w:rPr>
        <w:fldChar w:fldCharType="begin" w:fldLock="1"/>
      </w:r>
      <w:r w:rsidR="007B2E8C" w:rsidRPr="006077E6">
        <w:rPr>
          <w:sz w:val="20"/>
        </w:rPr>
        <w:instrText>ADDIN CSL_CITATION {"citationItems":[{"id":"ITEM-1","itemData":{"DOI":"10.1016/j.nimb.2012.06.017","ISSN":"0168583X","PMID":"23565016","abstract":"VERA, the Vienna Environmental Research Accelerator, is especially equipped for the measurement of actinides, and performs a growing number of measurements on environmental samples. While AMS is not the optimum method for each particular plutonium isotope, the possibility to measure (239)Pu, (240)Pu, (241)Pu, (242)Pu and (244)Pu on the same AMS sputter target is a great simplification. We have obtained a first result on the global fallout value of (244)Pu/(239)Pu = (5.7 ± 1.0) × 10(-5) based on soil samples from Salzburg prefecture, Austria. Furthermore, we suggest using the (242)Pu/(240)Pu ratio as an estimate of the initial (241)Pu/(239)Pu ratio, which allows dating of the time of irradiation based solely on Pu isotopes. We have checked the validity of this estimate using literature data, simulations, and environmental samples from soil from the Salzburg prefecture (Austria), from the shut down Garigliano Nuclear Power Plant (Sessa Aurunca, Italy) and from the Irish Sea near the Sellafield nuclear facility. The maximum deviation of the estimated dates from the expected ages is 6 years, while relative dating of material from the same source seems to be possible with a precision of less than 2 years. Additional information carried by the minor plutonium isotopes may allow further improvements of the precision of the method.","author":[{"dropping-particle":"","family":"Steier","given":"P","non-dropping-particle":"","parse-names":false,"suffix":""},{"dropping-particle":"","family":"Hrnecek","given":"E","non-dropping-particle":"","parse-names":false,"suffix":""},{"dropping-particle":"","family":"Priller","given":"A","non-dropping-particle":"","parse-names":false,"suffix":""},{"dropping-particle":"","family":"Quinto","given":"F","non-dropping-particle":"","parse-names":false,"suffix":""},{"dropping-particle":"","family":"Srncik","given":"M","non-dropping-particle":"","parse-names":false,"suffix":""},{"dropping-particle":"","family":"Wallner","given":"A.","non-dropping-particle":"","parse-names":false,"suffix":""},{"dropping-particle":"","family":"Wallner","given":"G","non-dropping-particle":"","parse-names":false,"suffix":""},{"dropping-particle":"","family":"Winkler","given":"S","non-dropping-particle":"","parse-names":false,"suffix":""}],"container-title":"Nuclear Instruments and Methods in Physics Research Section B: Beam Interactions with Materials and Atoms","id":"ITEM-1","issue":"2-2","issued":{"date-parts":[["2013","1"]]},"page":"160-164","publisher":"Elsevier","title":"AMS of the Minor Plutonium Isotopes","type":"article-journal","volume":"294"},"uris":["http://www.mendeley.com/documents/?uuid=05b1f9d1-7369-3cb1-b743-0bc252b99de6"]}],"mendeley":{"formattedCitation":"[64]","plainTextFormattedCitation":"[64]","previouslyFormattedCitation":"[64]"},"properties":{"noteIndex":0},"schema":"https://github.com/citation-style-language/schema/raw/master/csl-citation.json"}</w:instrText>
      </w:r>
      <w:r w:rsidR="007B2E8C" w:rsidRPr="006077E6">
        <w:rPr>
          <w:sz w:val="20"/>
        </w:rPr>
        <w:fldChar w:fldCharType="separate"/>
      </w:r>
      <w:r w:rsidR="007B2E8C" w:rsidRPr="006077E6">
        <w:rPr>
          <w:i w:val="0"/>
          <w:noProof/>
          <w:sz w:val="20"/>
        </w:rPr>
        <w:t>[64]</w:t>
      </w:r>
      <w:r w:rsidR="007B2E8C" w:rsidRPr="006077E6">
        <w:rPr>
          <w:sz w:val="20"/>
        </w:rPr>
        <w:fldChar w:fldCharType="end"/>
      </w:r>
      <w:r w:rsidR="007B2E8C" w:rsidRPr="006077E6">
        <w:rPr>
          <w:sz w:val="20"/>
        </w:rPr>
        <w:fldChar w:fldCharType="begin" w:fldLock="1"/>
      </w:r>
      <w:r w:rsidR="006F1462">
        <w:rPr>
          <w:sz w:val="20"/>
        </w:rPr>
        <w:instrText>ADDIN CSL_CITATION {"citationItems":[{"id":"ITEM-1","itemData":{"DOI":"10.1016/j.jenvrad.2003.09.001","abstract":"Plutonium in Polish forest soils and the Bó r za Lasem peat bog is resolved between Cher-nobyl and global fallout contributions via inductively coupled plasma mass spectrometric measurements of 240 Pu= 239 Pu and 241 Pu= 239 Pu atom ratios in previously prepared NdF 3 a spectrometric sources. Compared to global fallout, Chernobyl Pu exhibits higher abundances of 240 Pu and 241 Pu. The ratios 240 Pu= 239 Pu and 241 Pu= 239 Pu co-vary and range from 0.186 to 0.348 and 0.0029 to 0.0412, respectively, in forest soils (241 Pu= 239 Pu ¼ 0:2407Â ½ 240 Pu= 239 Pu</w:instrText>
      </w:r>
      <w:r w:rsidR="006F1462">
        <w:rPr>
          <w:rFonts w:ascii="Calibri" w:hAnsi="Calibri" w:cs="Calibri"/>
          <w:sz w:val="20"/>
        </w:rPr>
        <w:instrText>Š</w:instrText>
      </w:r>
      <w:r w:rsidR="006F1462">
        <w:rPr>
          <w:sz w:val="20"/>
        </w:rPr>
        <w:instrText xml:space="preserve"> </w:instrText>
      </w:r>
      <w:r w:rsidR="006F1462">
        <w:rPr>
          <w:rFonts w:ascii="Calibri" w:hAnsi="Calibri" w:cs="Calibri"/>
          <w:sz w:val="20"/>
        </w:rPr>
        <w:instrText>À</w:instrText>
      </w:r>
      <w:r w:rsidR="006F1462">
        <w:rPr>
          <w:sz w:val="20"/>
        </w:rPr>
        <w:instrText xml:space="preserve"> 0:0413; r 2 ¼ 0:9924). Two-component mixing models are developed to apportion 239þ240 Pu and 241 Pu activities; various estimates of the percentage of Chernobyl-derived 239þ240 Pu activity in forest soils range from &lt;10% to &gt;90% for the sample set. The 240 Pu= 239 Pu 241 Pu= 239 Pu atom ratio mixing line extrapolates to estimate 241 Pu= 239 Pu and the 241 Pu= 239þ240 Pu activity ratio for the Chernobyl source term (0:123 AE 0:007; 83 AE 5; 1 May 1986). Sample 241 Pu activities, calculated using existing alpha spectrometric 239þ240 Pu activities , and the 240 Pu= 239 Pu and 241 Pu= 239 Pu atom ratios, agree relatively well with previous liquid scintillation spectrometry measurements. Chernobyl Pu is most evident in locations from northeastern Poland. The 241 Pu activities and/or the 241 Pu= 239 Pu atom ratios are more sensitive than 240 Pu= 239 Pu or 238 Pu= 239þ240 Pu activity ratios at detecting small Chernobyl 239þ240 Pu inputs, found in southern Poland. The mass spectrometric data show that the Ã Corresponding author.","author":[{"dropping-particle":"","family":"Ketterer","given":"Michael E","non-dropping-particle":"","parse-names":false,"suffix":""},{"dropping-particle":"","family":"Hafer","given":"Kevin M","non-dropping-particle":"","parse-names":false,"suffix":""},{"dropping-particle":"","family":"Mietelski","given":"Jerzy W","non-dropping-particle":"","parse-names":false,"suffix":""}],"container-title":"Journal of Environmental Radioactivity","id":"ITEM-1","issued":{"date-parts":[["2004"]]},"page":"183-201","title":"Resolving Chernobyl vs. global fallout contributions in soils from Poland using Plutonium atom ratios measured by inductively coupled plasma mass spectrometry","type":"article-journal","volume":"73"},"uris":["http://www.mendeley.com/documents/?uuid=dfe1ec57-207a-3f37-a993-535397cc3ce3"]}],"mendeley":{"formattedCitation":"[86]","plainTextFormattedCitation":"[86]","previouslyFormattedCitation":"[86]"},"properties":{"noteIndex":0},"schema":"https://github.com/citation-style-language/schema/raw/master/csl-citation.json"}</w:instrText>
      </w:r>
      <w:r w:rsidR="007B2E8C" w:rsidRPr="006077E6">
        <w:rPr>
          <w:sz w:val="20"/>
        </w:rPr>
        <w:fldChar w:fldCharType="separate"/>
      </w:r>
      <w:r w:rsidR="00E510BC" w:rsidRPr="00E510BC">
        <w:rPr>
          <w:i w:val="0"/>
          <w:noProof/>
          <w:sz w:val="20"/>
        </w:rPr>
        <w:t>[86]</w:t>
      </w:r>
      <w:r w:rsidR="007B2E8C" w:rsidRPr="006077E6">
        <w:rPr>
          <w:sz w:val="20"/>
        </w:rPr>
        <w:fldChar w:fldCharType="end"/>
      </w:r>
      <w:r w:rsidR="007B2E8C" w:rsidRPr="006077E6">
        <w:rPr>
          <w:sz w:val="20"/>
        </w:rPr>
        <w:fldChar w:fldCharType="begin" w:fldLock="1"/>
      </w:r>
      <w:r w:rsidR="006F1462">
        <w:rPr>
          <w:sz w:val="20"/>
        </w:rPr>
        <w:instrText>ADDIN CSL_CITATION {"citationItems":[{"id":"ITEM-1","itemData":{"DOI":"10.1016/j.jenvrad.2011.01.004","abstract":"Samples from a marine sediment core from the Irish Sea (54.416 N, 3.563 W) were analyzed for the isotopic composition of uranium, plutonium and americium by a combination of radiometric methods and AMS. The radiochemical procedure consisted of a Pu separation step by anion exchange, subsequent U separation by extraction chromatography using UTEVA Ò and finally Am separation with TRU Ò Resin. Additionally to radiometric determination of these isotopes by alpha spectrometry, the separated samples were also used for the determination of 236 U/ 238 U and plutonium isotope ratios by Accelerator Mass Spectrometry (AMS) at the VERA facility.","author":[{"dropping-particle":"","family":"Srncik","given":"M","non-dropping-particle":"","parse-names":false,"suffix":""},{"dropping-particle":"","family":"Hrnecek","given":"E","non-dropping-particle":"","parse-names":false,"suffix":""},{"dropping-particle":"","family":"Steier","given":"P","non-dropping-particle":"","parse-names":false,"suffix":""},{"dropping-particle":"","family":"Wallner","given":"G","non-dropping-particle":"","parse-names":false,"suffix":""}],"container-title":"Journal of Environmental Radioactivity","id":"ITEM-1","issue":"4","issued":{"date-parts":[["2011"]]},"page":"331-335","title":"Determination of U, Pu and Am isotopes in Irish Sea sediment by a combination of AMS and radiometric methods","type":"article-journal","volume":"102"},"uris":["http://www.mendeley.com/documents/?uuid=f876fce7-e309-3555-9955-bcee1cab539d"]}],"mendeley":{"formattedCitation":"[87]","plainTextFormattedCitation":"[87]","previouslyFormattedCitation":"[87]"},"properties":{"noteIndex":0},"schema":"https://github.com/citation-style-language/schema/raw/master/csl-citation.json"}</w:instrText>
      </w:r>
      <w:r w:rsidR="007B2E8C" w:rsidRPr="006077E6">
        <w:rPr>
          <w:sz w:val="20"/>
        </w:rPr>
        <w:fldChar w:fldCharType="separate"/>
      </w:r>
      <w:r w:rsidR="00E510BC" w:rsidRPr="00E510BC">
        <w:rPr>
          <w:i w:val="0"/>
          <w:noProof/>
          <w:sz w:val="20"/>
        </w:rPr>
        <w:t>[87]</w:t>
      </w:r>
      <w:r w:rsidR="007B2E8C" w:rsidRPr="006077E6">
        <w:rPr>
          <w:sz w:val="20"/>
        </w:rPr>
        <w:fldChar w:fldCharType="end"/>
      </w:r>
      <w:r w:rsidR="007B2E8C" w:rsidRPr="006077E6">
        <w:rPr>
          <w:sz w:val="20"/>
        </w:rPr>
        <w:fldChar w:fldCharType="begin" w:fldLock="1"/>
      </w:r>
      <w:r w:rsidR="006F1462">
        <w:rPr>
          <w:sz w:val="20"/>
        </w:rPr>
        <w:instrText>ADDIN CSL_CITATION {"citationItems":[{"id":"ITEM-1","itemData":{"DOI":"10.1524/ract.2008.1559","ISSN":"0033-8230","author":[{"dropping-particle":"","family":"Srncik","given":"M.","non-dropping-particle":"","parse-names":false,"suffix":""},{"dropping-particle":"","family":"Hrnecek","given":"Erich","non-dropping-particle":"","parse-names":false,"suffix":""},{"dropping-particle":"","family":"Steier","given":"P.","non-dropping-particle":"","parse-names":false,"suffix":""},{"dropping-particle":"","family":"Wallner","given":"A.","non-dropping-particle":"","parse-names":false,"suffix":""},{"dropping-particle":"","family":"Wallner","given":"Gabriele","non-dropping-particle":"","parse-names":false,"suffix":""},{"dropping-particle":"","family":"Bossew","given":"P.","non-dropping-particle":"","parse-names":false,"suffix":""}],"container-title":"Radiochimica Acta","id":"ITEM-1","issue":"9-11","issued":{"date-parts":[["2008","1"]]},"page":"733-738","publisher":"Oldenbourg Wissenschaftsverlag GmbH","title":"Vertical distribution of 238Pu, 239(40)Pu, 241Am, 90Sr and 137Cs in Austrian soil profiles","type":"article-journal","volume":"96"},"uris":["http://www.mendeley.com/documents/?uuid=25a6a48b-abcf-30b6-b2f3-d6eea2e799e7"]}],"mendeley":{"formattedCitation":"[88]","plainTextFormattedCitation":"[88]","previouslyFormattedCitation":"[88]"},"properties":{"noteIndex":0},"schema":"https://github.com/citation-style-language/schema/raw/master/csl-citation.json"}</w:instrText>
      </w:r>
      <w:r w:rsidR="007B2E8C" w:rsidRPr="006077E6">
        <w:rPr>
          <w:sz w:val="20"/>
        </w:rPr>
        <w:fldChar w:fldCharType="separate"/>
      </w:r>
      <w:r w:rsidR="00E510BC" w:rsidRPr="00E510BC">
        <w:rPr>
          <w:i w:val="0"/>
          <w:noProof/>
          <w:sz w:val="20"/>
        </w:rPr>
        <w:t>[88]</w:t>
      </w:r>
      <w:r w:rsidR="007B2E8C" w:rsidRPr="006077E6">
        <w:rPr>
          <w:sz w:val="20"/>
        </w:rPr>
        <w:fldChar w:fldCharType="end"/>
      </w:r>
      <w:r w:rsidR="007B2E8C" w:rsidRPr="006077E6">
        <w:rPr>
          <w:sz w:val="20"/>
        </w:rPr>
        <w:fldChar w:fldCharType="begin" w:fldLock="1"/>
      </w:r>
      <w:r w:rsidR="006F1462">
        <w:rPr>
          <w:sz w:val="20"/>
        </w:rPr>
        <w:instrText>ADDIN CSL_CITATION {"citationItems":[{"id":"ITEM-1","itemData":{"DOI":"10.1126/science.214.4523.913","ISSN":"0036-8075","PMID":"17782447","abstract":"Mass spectrometry data on plutonium isolated from Columbia River sediments exhibit mean ratios of plutonium-240 to plutonium-242 consistent with those observed for integrated global fallout. Ratios of plutonium-240 to plutonium-239 show marked deviations from accepted fallout values, suggesting a second source of plutonium-239. This additional plutonium-239 arises from the decay of neptunium-239 produced in reactor effluent water from the old plutonium production reactors located on the Hanford Reservation. An estimated 20 to 25 percent of the total plutonium inventory in sediments behind McNary Reservoir, the first downriver site of fine sediment accumulation below the Hanford Reservation, is ascribed to reactor operations.","author":[{"dropping-particle":"","family":"Beasley","given":"T M","non-dropping-particle":"","parse-names":false,"suffix":""},{"dropping-particle":"","family":"Ball","given":"L A","non-dropping-particle":"","parse-names":false,"suffix":""},{"dropping-particle":"","family":"Andrews","given":"J E","non-dropping-particle":"","parse-names":false,"suffix":""},{"dropping-particle":"","family":"Halverson","given":"J E","non-dropping-particle":"","parse-names":false,"suffix":""}],"container-title":"Science (New York, N.Y.)","id":"ITEM-1","issue":"4523","issued":{"date-parts":[["1981","11","20"]]},"page":"913-5","publisher":"American Association for the Advancement of Science","title":"Hanford-derived plutonium in columbia river sediments.","type":"article-journal","volume":"214"},"uris":["http://www.mendeley.com/documents/?uuid=699dc22f-d030-30b4-aaad-e7325108e189"]}],"mendeley":{"formattedCitation":"[89]","plainTextFormattedCitation":"[89]","previouslyFormattedCitation":"[89]"},"properties":{"noteIndex":0},"schema":"https://github.com/citation-style-language/schema/raw/master/csl-citation.json"}</w:instrText>
      </w:r>
      <w:r w:rsidR="007B2E8C" w:rsidRPr="006077E6">
        <w:rPr>
          <w:sz w:val="20"/>
        </w:rPr>
        <w:fldChar w:fldCharType="separate"/>
      </w:r>
      <w:r w:rsidR="00E510BC" w:rsidRPr="00E510BC">
        <w:rPr>
          <w:i w:val="0"/>
          <w:noProof/>
          <w:sz w:val="20"/>
        </w:rPr>
        <w:t>[89]</w:t>
      </w:r>
      <w:r w:rsidR="007B2E8C" w:rsidRPr="006077E6">
        <w:rPr>
          <w:sz w:val="20"/>
        </w:rPr>
        <w:fldChar w:fldCharType="end"/>
      </w:r>
      <w:r w:rsidRPr="00B60C21">
        <w:rPr>
          <w:sz w:val="20"/>
        </w:rPr>
        <w:t xml:space="preserve">. </w:t>
      </w:r>
      <w:r w:rsidRPr="006077E6">
        <w:rPr>
          <w:sz w:val="20"/>
        </w:rPr>
        <w:t>Samples; “Away”, “Offsite”, “Onsite”, and “Our Average” are all sample measurements produced as part of this project and are outlined in black for clarity. All samples presented were soil samples, other than the ‘Sellafield’ sample, which is Irish Sea sediment presumed contaminated by Sellafield waste emissions.</w:t>
      </w:r>
    </w:p>
    <w:p w14:paraId="2115F5D0" w14:textId="1510D98B" w:rsidR="00F37CA9" w:rsidRDefault="00F37CA9" w:rsidP="00D24BE8">
      <w:pPr>
        <w:tabs>
          <w:tab w:val="left" w:pos="3075"/>
        </w:tabs>
        <w:spacing w:after="120" w:line="480" w:lineRule="auto"/>
        <w:ind w:firstLine="567"/>
        <w:rPr>
          <w:rFonts w:cstheme="minorHAnsi"/>
          <w:sz w:val="24"/>
        </w:rPr>
      </w:pPr>
      <w:r>
        <w:rPr>
          <w:rFonts w:cstheme="minorHAnsi"/>
          <w:sz w:val="24"/>
        </w:rPr>
        <w:t xml:space="preserve">As can be seen from </w:t>
      </w:r>
      <w:r w:rsidR="007B2E8C">
        <w:rPr>
          <w:rFonts w:cstheme="minorHAnsi"/>
          <w:sz w:val="24"/>
        </w:rPr>
        <w:fldChar w:fldCharType="begin"/>
      </w:r>
      <w:r w:rsidR="007B2E8C">
        <w:rPr>
          <w:rFonts w:cstheme="minorHAnsi"/>
          <w:sz w:val="24"/>
        </w:rPr>
        <w:instrText xml:space="preserve"> REF _Ref31286036 \h </w:instrText>
      </w:r>
      <w:r w:rsidR="00E20389">
        <w:rPr>
          <w:rFonts w:cstheme="minorHAnsi"/>
          <w:sz w:val="24"/>
        </w:rPr>
        <w:instrText xml:space="preserve"> \* MERGEFORMAT </w:instrText>
      </w:r>
      <w:r w:rsidR="007B2E8C">
        <w:rPr>
          <w:rFonts w:cstheme="minorHAnsi"/>
          <w:sz w:val="24"/>
        </w:rPr>
      </w:r>
      <w:r w:rsidR="007B2E8C">
        <w:rPr>
          <w:rFonts w:cstheme="minorHAnsi"/>
          <w:sz w:val="24"/>
        </w:rPr>
        <w:fldChar w:fldCharType="separate"/>
      </w:r>
      <w:r w:rsidR="00161FDC" w:rsidRPr="00161FDC">
        <w:rPr>
          <w:sz w:val="24"/>
        </w:rPr>
        <w:t xml:space="preserve">Figure </w:t>
      </w:r>
      <w:r w:rsidR="00161FDC" w:rsidRPr="00161FDC">
        <w:rPr>
          <w:noProof/>
        </w:rPr>
        <w:t>34</w:t>
      </w:r>
      <w:r w:rsidR="007B2E8C">
        <w:rPr>
          <w:rFonts w:cstheme="minorHAnsi"/>
          <w:sz w:val="24"/>
        </w:rPr>
        <w:fldChar w:fldCharType="end"/>
      </w:r>
      <w:r>
        <w:rPr>
          <w:rFonts w:cstheme="minorHAnsi"/>
          <w:sz w:val="24"/>
        </w:rPr>
        <w:t>, Sellafield values are the highest by a significant margin, which fits with Day &amp; Cross’s Nature report in 1981, stating the 200 Ci y</w:t>
      </w:r>
      <w:r>
        <w:rPr>
          <w:rFonts w:cstheme="minorHAnsi"/>
          <w:sz w:val="24"/>
          <w:vertAlign w:val="superscript"/>
        </w:rPr>
        <w:t>-1</w:t>
      </w:r>
      <w:r>
        <w:rPr>
          <w:rFonts w:cstheme="minorHAnsi"/>
          <w:sz w:val="24"/>
        </w:rPr>
        <w:t xml:space="preserve"> releases of waste </w:t>
      </w:r>
      <w:r>
        <w:rPr>
          <w:sz w:val="24"/>
          <w:vertAlign w:val="superscript"/>
        </w:rPr>
        <w:t>241</w:t>
      </w:r>
      <w:r>
        <w:rPr>
          <w:sz w:val="24"/>
        </w:rPr>
        <w:t>Pu</w:t>
      </w:r>
      <w:r>
        <w:rPr>
          <w:rFonts w:cstheme="minorHAnsi"/>
          <w:sz w:val="24"/>
        </w:rPr>
        <w:t xml:space="preserve"> into the Irish Sea</w:t>
      </w:r>
      <w:r w:rsidR="00640AF8">
        <w:rPr>
          <w:rFonts w:cstheme="minorHAnsi"/>
          <w:sz w:val="24"/>
        </w:rPr>
        <w:t xml:space="preserve"> </w:t>
      </w:r>
      <w:r w:rsidR="00640AF8">
        <w:rPr>
          <w:rFonts w:cstheme="minorHAnsi"/>
          <w:sz w:val="24"/>
        </w:rPr>
        <w:fldChar w:fldCharType="begin" w:fldLock="1"/>
      </w:r>
      <w:r w:rsidR="006F1462">
        <w:rPr>
          <w:rFonts w:cstheme="minorHAnsi"/>
          <w:sz w:val="24"/>
        </w:rPr>
        <w:instrText xml:space="preserve">ADDIN CSL_CITATION {"citationItems":[{"id":"ITEM-1","itemData":{"DOI":"10.1038/292043a0","ISSN":"0028-0836","abstract":"Americium-241 is a long-lived α-emitting nuclide which has become one of the more important marine contaminants arising from the discharge of effluents to the Irish Sea from the nuclear fuel reprocessing plant at Windscale, Cumbria1–3. These discharges contain 241Am, currently </w:instrText>
      </w:r>
      <w:r w:rsidR="006F1462">
        <w:rPr>
          <w:rFonts w:ascii="Cambria Math" w:hAnsi="Cambria Math" w:cs="Cambria Math"/>
          <w:sz w:val="24"/>
        </w:rPr>
        <w:instrText>∼</w:instrText>
      </w:r>
      <w:r w:rsidR="006F1462">
        <w:rPr>
          <w:rFonts w:cstheme="minorHAnsi"/>
          <w:sz w:val="24"/>
        </w:rPr>
        <w:instrText>200 Ci yr</w:instrText>
      </w:r>
      <w:r w:rsidR="006F1462">
        <w:rPr>
          <w:rFonts w:ascii="Calibri" w:hAnsi="Calibri" w:cs="Calibri"/>
          <w:sz w:val="24"/>
        </w:rPr>
        <w:instrText>−</w:instrText>
      </w:r>
      <w:r w:rsidR="006F1462">
        <w:rPr>
          <w:rFonts w:cstheme="minorHAnsi"/>
          <w:sz w:val="24"/>
        </w:rPr>
        <w:instrText xml:space="preserve">1, and also the </w:instrText>
      </w:r>
      <w:r w:rsidR="006F1462">
        <w:rPr>
          <w:rFonts w:ascii="Calibri" w:hAnsi="Calibri" w:cs="Calibri"/>
          <w:sz w:val="24"/>
        </w:rPr>
        <w:instrText>β</w:instrText>
      </w:r>
      <w:r w:rsidR="006F1462">
        <w:rPr>
          <w:rFonts w:cstheme="minorHAnsi"/>
          <w:sz w:val="24"/>
        </w:rPr>
        <w:instrText xml:space="preserve">-emitting nuclide, 241Pu (half life 14.7 yr), which decays in the environment to 241Am. Both americium and plutonium seem to be largely retained in sediments relatively close to Windscale4–7, and a reservoir of 241Am is building up both from direct deposition and from the radioactive decay of sedimented 241Pu. Here we attempt to estimate quantitatively the size and rate of growth of this reservoir. Using data for Windscale discharges1–4, we have estimated the probable sedimentary deposition of 241Am and 241Pu over the past 20 yr, and calculated the consequent additional ingrowth of 241Am. The latter is now </w:instrText>
      </w:r>
      <w:r w:rsidR="006F1462">
        <w:rPr>
          <w:rFonts w:ascii="Cambria Math" w:hAnsi="Cambria Math" w:cs="Cambria Math"/>
          <w:sz w:val="24"/>
        </w:rPr>
        <w:instrText>∼</w:instrText>
      </w:r>
      <w:r w:rsidR="006F1462">
        <w:rPr>
          <w:rFonts w:cstheme="minorHAnsi"/>
          <w:sz w:val="24"/>
        </w:rPr>
        <w:instrText>600 Ci yr</w:instrText>
      </w:r>
      <w:r w:rsidR="006F1462">
        <w:rPr>
          <w:rFonts w:ascii="Calibri" w:hAnsi="Calibri" w:cs="Calibri"/>
          <w:sz w:val="24"/>
        </w:rPr>
        <w:instrText>−</w:instrText>
      </w:r>
      <w:r w:rsidR="006F1462">
        <w:rPr>
          <w:rFonts w:cstheme="minorHAnsi"/>
          <w:sz w:val="24"/>
        </w:rPr>
        <w:instrText xml:space="preserve">1, rising towards a steady state </w:instrText>
      </w:r>
      <w:r w:rsidR="006F1462">
        <w:rPr>
          <w:rFonts w:ascii="Cambria Math" w:hAnsi="Cambria Math" w:cs="Cambria Math"/>
          <w:sz w:val="24"/>
        </w:rPr>
        <w:instrText>∼</w:instrText>
      </w:r>
      <w:r w:rsidR="006F1462">
        <w:rPr>
          <w:rFonts w:cstheme="minorHAnsi"/>
          <w:sz w:val="24"/>
        </w:rPr>
        <w:instrText>1,300 Ci yr</w:instrText>
      </w:r>
      <w:r w:rsidR="006F1462">
        <w:rPr>
          <w:rFonts w:ascii="Calibri" w:hAnsi="Calibri" w:cs="Calibri"/>
          <w:sz w:val="24"/>
        </w:rPr>
        <w:instrText>−</w:instrText>
      </w:r>
      <w:r w:rsidR="006F1462">
        <w:rPr>
          <w:rFonts w:cstheme="minorHAnsi"/>
          <w:sz w:val="24"/>
        </w:rPr>
        <w:instrText xml:space="preserve">1 if present rates of discharge of 241Pu are maintained. The present sedimentary reservoir of 241Am is </w:instrText>
      </w:r>
      <w:r w:rsidR="006F1462">
        <w:rPr>
          <w:rFonts w:ascii="Cambria Math" w:hAnsi="Cambria Math" w:cs="Cambria Math"/>
          <w:sz w:val="24"/>
        </w:rPr>
        <w:instrText>∼</w:instrText>
      </w:r>
      <w:r w:rsidR="006F1462">
        <w:rPr>
          <w:rFonts w:cstheme="minorHAnsi"/>
          <w:sz w:val="24"/>
        </w:rPr>
        <w:instrText>18,000 Ci, of which about 4,800 have resulted from 241Pu decay in situ. Measurement of the 241Pu/Pu-</w:instrText>
      </w:r>
      <w:r w:rsidR="006F1462">
        <w:rPr>
          <w:rFonts w:ascii="Calibri" w:hAnsi="Calibri" w:cs="Calibri"/>
          <w:sz w:val="24"/>
        </w:rPr>
        <w:instrText>α</w:instrText>
      </w:r>
      <w:r w:rsidR="006F1462">
        <w:rPr>
          <w:rFonts w:cstheme="minorHAnsi"/>
          <w:sz w:val="24"/>
        </w:rPr>
        <w:instrText xml:space="preserve"> isotope ratio in coastal sediments confirms our estimates of 241Pu deposition. Outside the Irish Sea, in the dispersal plume into Scottish waters, we have concluded that the observed 241Am concentration8 can be accounted for largely by ingrowth from the 241Pu transported in the water mass.","author":[{"dropping-particle":"","family":"Day","given":"J. P.","non-dropping-particle":"","parse-names":false,"suffix":""},{"dropping-particle":"","family":"Cross","given":"J. E.","non-dropping-particle":"","parse-names":false,"suffix":""}],"container-title":"Nature","id":"ITEM-1","issue":"5818","issued":{"date-parts":[["1981","7"]]},"page":"43-45","publisher":"Nature Publishing Group","title":"241Am from the decay of 241Pu in the Irish Sea","type":"article-journal","volume":"292"},"uris":["http://www.mendeley.com/documents/?uuid=702cae05-dc14-3886-8566-a5768926032e"]}],"mendeley":{"formattedCitation":"[90]","plainTextFormattedCitation":"[90]","previouslyFormattedCitation":"[90]"},"properties":{"noteIndex":0},"schema":"https://github.com/citation-style-language/schema/raw/master/csl-citation.json"}</w:instrText>
      </w:r>
      <w:r w:rsidR="00640AF8">
        <w:rPr>
          <w:rFonts w:cstheme="minorHAnsi"/>
          <w:sz w:val="24"/>
        </w:rPr>
        <w:fldChar w:fldCharType="separate"/>
      </w:r>
      <w:r w:rsidR="00E510BC" w:rsidRPr="00E510BC">
        <w:rPr>
          <w:rFonts w:cstheme="minorHAnsi"/>
          <w:noProof/>
          <w:sz w:val="24"/>
        </w:rPr>
        <w:t>[90]</w:t>
      </w:r>
      <w:r w:rsidR="00640AF8">
        <w:rPr>
          <w:rFonts w:cstheme="minorHAnsi"/>
          <w:sz w:val="24"/>
        </w:rPr>
        <w:fldChar w:fldCharType="end"/>
      </w:r>
      <w:r>
        <w:rPr>
          <w:rFonts w:cstheme="minorHAnsi"/>
          <w:sz w:val="24"/>
        </w:rPr>
        <w:t xml:space="preserve">, where the sample was collected from the sediment. Similarly, Garigliano drainage shows a higher ratio (though not significantly higher than all DSRL samples) which fits the same trend of </w:t>
      </w:r>
      <w:r>
        <w:rPr>
          <w:sz w:val="24"/>
          <w:vertAlign w:val="superscript"/>
        </w:rPr>
        <w:t>241</w:t>
      </w:r>
      <w:r>
        <w:rPr>
          <w:sz w:val="24"/>
        </w:rPr>
        <w:t>Pu</w:t>
      </w:r>
      <w:r>
        <w:rPr>
          <w:rFonts w:cstheme="minorHAnsi"/>
          <w:sz w:val="24"/>
        </w:rPr>
        <w:t xml:space="preserve"> waste release and the narrative</w:t>
      </w:r>
      <w:r w:rsidR="00A932DC">
        <w:rPr>
          <w:rFonts w:cstheme="minorHAnsi"/>
          <w:sz w:val="24"/>
        </w:rPr>
        <w:t>,</w:t>
      </w:r>
      <w:r>
        <w:rPr>
          <w:rFonts w:cstheme="minorHAnsi"/>
          <w:sz w:val="24"/>
        </w:rPr>
        <w:t xml:space="preserve"> as it was sampled from Garigliano nuclear power plant</w:t>
      </w:r>
      <w:r w:rsidR="00E703E8">
        <w:rPr>
          <w:rFonts w:cstheme="minorHAnsi"/>
          <w:sz w:val="24"/>
        </w:rPr>
        <w:t xml:space="preserve"> drainage</w:t>
      </w:r>
      <w:r w:rsidR="00640AF8">
        <w:rPr>
          <w:rFonts w:cstheme="minorHAnsi"/>
          <w:sz w:val="24"/>
        </w:rPr>
        <w:t xml:space="preserve"> </w:t>
      </w:r>
      <w:r w:rsidR="00640AF8">
        <w:rPr>
          <w:rFonts w:cstheme="minorHAnsi"/>
          <w:sz w:val="24"/>
        </w:rPr>
        <w:fldChar w:fldCharType="begin" w:fldLock="1"/>
      </w:r>
      <w:r w:rsidR="00767A68">
        <w:rPr>
          <w:rFonts w:cstheme="minorHAnsi"/>
          <w:sz w:val="24"/>
        </w:rPr>
        <w:instrText>ADDIN CSL_CITATION {"citationItems":[{"id":"ITEM-1","itemData":{"DOI":"10.1016/j.nimb.2012.06.017","ISSN":"0168583X","PMID":"23565016","abstract":"VERA, the Vienna Environmental Research Accelerator, is especially equipped for the measurement of actinides, and performs a growing number of measurements on environmental samples. While AMS is not the optimum method for each particular plutonium isotope, the possibility to measure (239)Pu, (240)Pu, (241)Pu, (242)Pu and (244)Pu on the same AMS sputter target is a great simplification. We have obtained a first result on the global fallout value of (244)Pu/(239)Pu = (5.7 ± 1.0) × 10(-5) based on soil samples from Salzburg prefecture, Austria. Furthermore, we suggest using the (242)Pu/(240)Pu ratio as an estimate of the initial (241)Pu/(239)Pu ratio, which allows dating of the time of irradiation based solely on Pu isotopes. We have checked the validity of this estimate using literature data, simulations, and environmental samples from soil from the Salzburg prefecture (Austria), from the shut down Garigliano Nuclear Power Plant (Sessa Aurunca, Italy) and from the Irish Sea near the Sellafield nuclear facility. The maximum deviation of the estimated dates from the expected ages is 6 years, while relative dating of material from the same source seems to be possible with a precision of less than 2 years. Additional information carried by the minor plutonium isotopes may allow further improvements of the precision of the method.","author":[{"dropping-particle":"","family":"Steier","given":"P","non-dropping-particle":"","parse-names":false,"suffix":""},{"dropping-particle":"","family":"Hrnecek","given":"E","non-dropping-particle":"","parse-names":false,"suffix":""},{"dropping-particle":"","family":"Priller","given":"A","non-dropping-particle":"","parse-names":false,"suffix":""},{"dropping-particle":"","family":"Quinto","given":"F","non-dropping-particle":"","parse-names":false,"suffix":""},{"dropping-particle":"","family":"Srncik","given":"M","non-dropping-particle":"","parse-names":false,"suffix":""},{"dropping-particle":"","family":"Wallner","given":"A.","non-dropping-particle":"","parse-names":false,"suffix":""},{"dropping-particle":"","family":"Wallner","given":"G","non-dropping-particle":"","parse-names":false,"suffix":""},{"dropping-particle":"","family":"Winkler","given":"S","non-dropping-particle":"","parse-names":false,"suffix":""}],"container-title":"Nuclear Instruments and Methods in Physics Research Section B: Beam Interactions with Materials and Atoms","id":"ITEM-1","issue":"2-2","issued":{"date-parts":[["2013","1"]]},"page":"160-164","publisher":"Elsevier","title":"AMS of the Minor Plutonium Isotopes","type":"article-journal","volume":"294"},"uris":["http://www.mendeley.com/documents/?uuid=05b1f9d1-7369-3cb1-b743-0bc252b99de6"]}],"mendeley":{"formattedCitation":"[64]","plainTextFormattedCitation":"[64]","previouslyFormattedCitation":"[64]"},"properties":{"noteIndex":0},"schema":"https://github.com/citation-style-language/schema/raw/master/csl-citation.json"}</w:instrText>
      </w:r>
      <w:r w:rsidR="00640AF8">
        <w:rPr>
          <w:rFonts w:cstheme="minorHAnsi"/>
          <w:sz w:val="24"/>
        </w:rPr>
        <w:fldChar w:fldCharType="separate"/>
      </w:r>
      <w:r w:rsidR="000B0F18" w:rsidRPr="000B0F18">
        <w:rPr>
          <w:rFonts w:cstheme="minorHAnsi"/>
          <w:noProof/>
          <w:sz w:val="24"/>
        </w:rPr>
        <w:t>[64]</w:t>
      </w:r>
      <w:r w:rsidR="00640AF8">
        <w:rPr>
          <w:rFonts w:cstheme="minorHAnsi"/>
          <w:sz w:val="24"/>
        </w:rPr>
        <w:fldChar w:fldCharType="end"/>
      </w:r>
      <w:r w:rsidR="00640AF8">
        <w:rPr>
          <w:rFonts w:cstheme="minorHAnsi"/>
          <w:sz w:val="24"/>
        </w:rPr>
        <w:fldChar w:fldCharType="begin" w:fldLock="1"/>
      </w:r>
      <w:r w:rsidR="006F1462">
        <w:rPr>
          <w:rFonts w:cstheme="minorHAnsi"/>
          <w:sz w:val="24"/>
        </w:rPr>
        <w:instrText>ADDIN CSL_CITATION {"citationItems":[{"id":"ITEM-1","itemData":{"DOI":"10.1016/j.nimb.2012.05.020","ISSN":"0168583X","abstract":"Keywords: 236 U Pu isotopes Mass and isotopic ratio sensitivities Environmental and structural samples a b s t r a c t Accelerator mass spectrometry (AMS) is presently the most sensitive technique for the measurement of long-lived actinides, e.g. 236 U and 239 Pu. A new actinide line is in operation at the Center for Isotopic Research on Cultural and Environmental heritage (CIRCE) in Caserta, Italy. Using the actinide line a uranium mass sensitivity of around 4 lg has been reached measuring with a 16-strip silicon detector, and a 239 Pu background level of below 0.1 fg has been obtained. In this work we also discuss preliminary results for environmental and structural samples from in and around the Garigliano nuclear power plant (GNPP), presently in the decommissioning phase. Measurements on environmental samples from the vicinity of the plant allow the assessment of contamination, if any, over the years. Measurements of structural samples from the plant are relevant to the optimization of the decommissioning program for the GNPP.","author":[{"dropping-particle":"","family":"Cesare","given":"M.","non-dropping-particle":"De","parse-names":false,"suffix":""},{"dropping-particle":"","family":"Fifield","given":"L.K.","non-dropping-particle":"","parse-names":false,"suffix":""},{"dropping-particle":"","family":"Sabbarese","given":"C","non-dropping-particle":"","parse-names":false,"suffix":""},{"dropping-particle":"","family":"Tims","given":"S.G.","non-dropping-particle":"","parse-names":false,"suffix":""},{"dropping-particle":"","family":"Cesare","given":"N","non-dropping-particle":"De","parse-names":false,"suffix":""},{"dropping-particle":"","family":"D’Onofrio","given":"A.","non-dropping-particle":"","parse-names":false,"suffix":""},{"dropping-particle":"","family":"D’Arco","given":"A.","non-dropping-particle":"","parse-names":false,"suffix":""},{"dropping-particle":"","family":"Esposito","given":"A.M.","non-dropping-particle":"","parse-names":false,"suffix":""},{"dropping-particle":"","family":"Petraglia","given":"A","non-dropping-particle":"","parse-names":false,"suffix":""},{"dropping-particle":"","family":"Roca","given":"V","non-dropping-particle":"","parse-names":false,"suffix":""},{"dropping-particle":"","family":"Terrasi","given":"F","non-dropping-particle":"","parse-names":false,"suffix":""}],"container-title":"Nuclear Instruments and Methods in Physics Research Section B: Beam Interactions with Materials and Atoms","id":"ITEM-1","issued":{"date-parts":[["2013","1"]]},"page":"152-159","title":"Actinides AMS at CIRCE and 236U and Pu measurements of structural and environmental samples from in and around a mothballed nuclear power plant","type":"article-journal","volume":"294"},"uris":["http://www.mendeley.com/documents/?uuid=da1914c6-ac01-36e0-8ed1-c8c17f8700cd"]}],"mendeley":{"formattedCitation":"[91]","plainTextFormattedCitation":"[91]","previouslyFormattedCitation":"[91]"},"properties":{"noteIndex":0},"schema":"https://github.com/citation-style-language/schema/raw/master/csl-citation.json"}</w:instrText>
      </w:r>
      <w:r w:rsidR="00640AF8">
        <w:rPr>
          <w:rFonts w:cstheme="minorHAnsi"/>
          <w:sz w:val="24"/>
        </w:rPr>
        <w:fldChar w:fldCharType="separate"/>
      </w:r>
      <w:r w:rsidR="00E510BC" w:rsidRPr="00E510BC">
        <w:rPr>
          <w:rFonts w:cstheme="minorHAnsi"/>
          <w:noProof/>
          <w:sz w:val="24"/>
        </w:rPr>
        <w:t>[91]</w:t>
      </w:r>
      <w:r w:rsidR="00640AF8">
        <w:rPr>
          <w:rFonts w:cstheme="minorHAnsi"/>
          <w:sz w:val="24"/>
        </w:rPr>
        <w:fldChar w:fldCharType="end"/>
      </w:r>
      <w:r w:rsidR="00895FE0">
        <w:rPr>
          <w:rFonts w:cstheme="minorHAnsi"/>
          <w:sz w:val="24"/>
        </w:rPr>
        <w:t>, the uncertainty on this measurement is proportionally high however, so it remains consistent with most of the other measurements</w:t>
      </w:r>
      <w:r>
        <w:rPr>
          <w:rFonts w:cstheme="minorHAnsi"/>
          <w:sz w:val="24"/>
        </w:rPr>
        <w:t>.</w:t>
      </w:r>
    </w:p>
    <w:p w14:paraId="6283E013" w14:textId="77777777" w:rsidR="00F37CA9" w:rsidRDefault="00F37CA9" w:rsidP="00F37CA9">
      <w:pPr>
        <w:tabs>
          <w:tab w:val="left" w:pos="3075"/>
        </w:tabs>
        <w:spacing w:after="120" w:line="480" w:lineRule="auto"/>
        <w:ind w:firstLine="567"/>
        <w:rPr>
          <w:sz w:val="24"/>
        </w:rPr>
      </w:pPr>
      <w:r>
        <w:rPr>
          <w:sz w:val="24"/>
        </w:rPr>
        <w:t xml:space="preserve">The overall project sample average and on-site ratio values are consistent with global fallout </w:t>
      </w:r>
      <w:r>
        <w:rPr>
          <w:sz w:val="24"/>
          <w:vertAlign w:val="superscript"/>
        </w:rPr>
        <w:t>241</w:t>
      </w:r>
      <w:r>
        <w:rPr>
          <w:sz w:val="24"/>
        </w:rPr>
        <w:t>Pu/</w:t>
      </w:r>
      <w:r>
        <w:rPr>
          <w:sz w:val="24"/>
          <w:vertAlign w:val="superscript"/>
        </w:rPr>
        <w:t>239</w:t>
      </w:r>
      <w:r>
        <w:rPr>
          <w:sz w:val="24"/>
        </w:rPr>
        <w:t xml:space="preserve">Pu ratios, which suggests minimal to no significant contamination solely </w:t>
      </w:r>
      <w:r>
        <w:rPr>
          <w:sz w:val="24"/>
        </w:rPr>
        <w:lastRenderedPageBreak/>
        <w:t xml:space="preserve">from a Dounreay site release of </w:t>
      </w:r>
      <w:r>
        <w:rPr>
          <w:sz w:val="24"/>
          <w:vertAlign w:val="superscript"/>
        </w:rPr>
        <w:t>241</w:t>
      </w:r>
      <w:r>
        <w:rPr>
          <w:sz w:val="24"/>
        </w:rPr>
        <w:t>Pu. If this were the case, the ratio could be significantly higher.</w:t>
      </w:r>
    </w:p>
    <w:p w14:paraId="7838213D" w14:textId="5B84FA5B" w:rsidR="00F37CA9" w:rsidRPr="00895FE0" w:rsidRDefault="00F37CA9" w:rsidP="00F37CA9">
      <w:pPr>
        <w:tabs>
          <w:tab w:val="left" w:pos="3075"/>
        </w:tabs>
        <w:spacing w:after="120" w:line="480" w:lineRule="auto"/>
        <w:ind w:firstLine="567"/>
        <w:rPr>
          <w:sz w:val="24"/>
        </w:rPr>
      </w:pPr>
      <w:r>
        <w:rPr>
          <w:sz w:val="24"/>
        </w:rPr>
        <w:t xml:space="preserve">The ‘away from site’ average shows one of the highest </w:t>
      </w:r>
      <w:r>
        <w:rPr>
          <w:sz w:val="24"/>
          <w:vertAlign w:val="superscript"/>
        </w:rPr>
        <w:t>241</w:t>
      </w:r>
      <w:r>
        <w:rPr>
          <w:sz w:val="24"/>
        </w:rPr>
        <w:t>Pu/</w:t>
      </w:r>
      <w:r>
        <w:rPr>
          <w:sz w:val="24"/>
          <w:vertAlign w:val="superscript"/>
        </w:rPr>
        <w:t>239</w:t>
      </w:r>
      <w:r>
        <w:rPr>
          <w:sz w:val="24"/>
        </w:rPr>
        <w:t xml:space="preserve">Pu ratios when compared to the global sample examples. This difference reflects a higher </w:t>
      </w:r>
      <w:r>
        <w:rPr>
          <w:sz w:val="24"/>
          <w:vertAlign w:val="superscript"/>
        </w:rPr>
        <w:t>241</w:t>
      </w:r>
      <w:r>
        <w:rPr>
          <w:sz w:val="24"/>
        </w:rPr>
        <w:t xml:space="preserve">Pu abundance in the two ‘away’ samples alongside a lower </w:t>
      </w:r>
      <w:r>
        <w:rPr>
          <w:sz w:val="24"/>
          <w:vertAlign w:val="superscript"/>
        </w:rPr>
        <w:t>239</w:t>
      </w:r>
      <w:r>
        <w:rPr>
          <w:sz w:val="24"/>
        </w:rPr>
        <w:t xml:space="preserve">Pu abundance. The increased </w:t>
      </w:r>
      <w:r>
        <w:rPr>
          <w:sz w:val="24"/>
          <w:vertAlign w:val="superscript"/>
        </w:rPr>
        <w:t>241</w:t>
      </w:r>
      <w:r>
        <w:rPr>
          <w:sz w:val="24"/>
        </w:rPr>
        <w:t>Pu could be due to the sample sites</w:t>
      </w:r>
      <w:r w:rsidR="00EA5BD9">
        <w:rPr>
          <w:sz w:val="24"/>
        </w:rPr>
        <w:t>’</w:t>
      </w:r>
      <w:r>
        <w:rPr>
          <w:sz w:val="24"/>
        </w:rPr>
        <w:t xml:space="preserve"> higher elevation, making the site more susceptible to fallout deposition than the Dounreay area, which rests at sea level. Further, Dounreay is ~500 miles further north than the ‘Away’ samples which could also have allowed increased deposition of </w:t>
      </w:r>
      <w:r>
        <w:rPr>
          <w:sz w:val="24"/>
          <w:vertAlign w:val="superscript"/>
        </w:rPr>
        <w:t>241</w:t>
      </w:r>
      <w:r>
        <w:rPr>
          <w:sz w:val="24"/>
        </w:rPr>
        <w:t>Pu</w:t>
      </w:r>
      <w:r w:rsidR="00D24BE8">
        <w:rPr>
          <w:sz w:val="24"/>
        </w:rPr>
        <w:t xml:space="preserve"> at Malham and Biggin compared to Dounreay</w:t>
      </w:r>
      <w:r>
        <w:rPr>
          <w:sz w:val="24"/>
        </w:rPr>
        <w:t xml:space="preserve">. Based on these observations, it </w:t>
      </w:r>
      <w:r w:rsidR="00895FE0">
        <w:rPr>
          <w:sz w:val="24"/>
        </w:rPr>
        <w:t>could be argued</w:t>
      </w:r>
      <w:r>
        <w:rPr>
          <w:sz w:val="24"/>
        </w:rPr>
        <w:t xml:space="preserve"> that ‘Away’ samples received higher deposits of Chernobyl origin than others in the sample set</w:t>
      </w:r>
      <w:r w:rsidR="00895FE0">
        <w:rPr>
          <w:sz w:val="24"/>
        </w:rPr>
        <w:t xml:space="preserve">, or that there may have been increased levels of </w:t>
      </w:r>
      <w:r w:rsidR="00895FE0">
        <w:rPr>
          <w:sz w:val="24"/>
          <w:vertAlign w:val="superscript"/>
        </w:rPr>
        <w:t>239</w:t>
      </w:r>
      <w:r w:rsidR="00895FE0">
        <w:rPr>
          <w:sz w:val="24"/>
        </w:rPr>
        <w:t>Pu in the Dounreay area which has driven the ratio down when compared to the ‘Away’ samples.</w:t>
      </w:r>
    </w:p>
    <w:p w14:paraId="1C600BB6" w14:textId="77777777" w:rsidR="00F37CA9" w:rsidRDefault="00F37CA9" w:rsidP="00F37CA9">
      <w:pPr>
        <w:rPr>
          <w:sz w:val="24"/>
        </w:rPr>
      </w:pPr>
      <w:r>
        <w:rPr>
          <w:sz w:val="24"/>
        </w:rPr>
        <w:br w:type="page"/>
      </w:r>
    </w:p>
    <w:p w14:paraId="2BAE03FC" w14:textId="77777777" w:rsidR="00F37CA9" w:rsidRPr="00301B60" w:rsidRDefault="00F37CA9" w:rsidP="00F37CA9">
      <w:pPr>
        <w:tabs>
          <w:tab w:val="left" w:pos="3075"/>
        </w:tabs>
        <w:spacing w:line="480" w:lineRule="auto"/>
        <w:rPr>
          <w:rFonts w:cstheme="minorHAnsi"/>
          <w:b/>
          <w:sz w:val="28"/>
          <w:lang w:val="fr-FR"/>
        </w:rPr>
      </w:pPr>
      <w:bookmarkStart w:id="43" w:name="_Hlk534819487"/>
      <w:r w:rsidRPr="00301B60">
        <w:rPr>
          <w:rFonts w:cstheme="minorHAnsi"/>
          <w:b/>
          <w:sz w:val="28"/>
          <w:lang w:val="fr-FR"/>
        </w:rPr>
        <w:lastRenderedPageBreak/>
        <w:t xml:space="preserve">4.3.5.4 </w:t>
      </w:r>
      <w:r w:rsidRPr="00301B60">
        <w:rPr>
          <w:rFonts w:cstheme="minorHAnsi"/>
          <w:b/>
          <w:sz w:val="28"/>
          <w:vertAlign w:val="superscript"/>
          <w:lang w:val="fr-FR"/>
        </w:rPr>
        <w:t>242</w:t>
      </w:r>
      <w:r w:rsidRPr="00301B60">
        <w:rPr>
          <w:rFonts w:cstheme="minorHAnsi"/>
          <w:b/>
          <w:sz w:val="28"/>
          <w:lang w:val="fr-FR"/>
        </w:rPr>
        <w:t>Pu/</w:t>
      </w:r>
      <w:r w:rsidRPr="00301B60">
        <w:rPr>
          <w:rFonts w:cstheme="minorHAnsi"/>
          <w:b/>
          <w:sz w:val="28"/>
          <w:vertAlign w:val="superscript"/>
          <w:lang w:val="fr-FR"/>
        </w:rPr>
        <w:t>239</w:t>
      </w:r>
      <w:r w:rsidRPr="00301B60">
        <w:rPr>
          <w:rFonts w:cstheme="minorHAnsi"/>
          <w:b/>
          <w:sz w:val="28"/>
          <w:lang w:val="fr-FR"/>
        </w:rPr>
        <w:t>Pu</w:t>
      </w:r>
    </w:p>
    <w:bookmarkEnd w:id="43"/>
    <w:p w14:paraId="4DDB9D3C" w14:textId="6C933CA6" w:rsidR="00F37CA9" w:rsidRPr="00475858" w:rsidRDefault="00F37CA9" w:rsidP="00C14A46">
      <w:pPr>
        <w:tabs>
          <w:tab w:val="left" w:pos="3075"/>
        </w:tabs>
        <w:spacing w:line="480" w:lineRule="auto"/>
        <w:ind w:firstLine="567"/>
        <w:rPr>
          <w:rFonts w:cstheme="minorHAnsi"/>
          <w:sz w:val="24"/>
        </w:rPr>
      </w:pPr>
      <w:r w:rsidRPr="008E51B5">
        <w:rPr>
          <w:rFonts w:cstheme="minorHAnsi"/>
          <w:sz w:val="24"/>
        </w:rPr>
        <w:t xml:space="preserve">The </w:t>
      </w:r>
      <w:r w:rsidRPr="008E51B5">
        <w:rPr>
          <w:rFonts w:cstheme="minorHAnsi"/>
          <w:sz w:val="24"/>
          <w:vertAlign w:val="superscript"/>
        </w:rPr>
        <w:t>242</w:t>
      </w:r>
      <w:r w:rsidRPr="008E51B5">
        <w:rPr>
          <w:rFonts w:cstheme="minorHAnsi"/>
          <w:sz w:val="24"/>
        </w:rPr>
        <w:t>Pu/</w:t>
      </w:r>
      <w:r w:rsidRPr="008E51B5">
        <w:rPr>
          <w:rFonts w:cstheme="minorHAnsi"/>
          <w:sz w:val="24"/>
          <w:vertAlign w:val="superscript"/>
        </w:rPr>
        <w:t>239</w:t>
      </w:r>
      <w:r w:rsidRPr="008E51B5">
        <w:rPr>
          <w:rFonts w:cstheme="minorHAnsi"/>
          <w:sz w:val="24"/>
        </w:rPr>
        <w:t xml:space="preserve">Pu ratios demonstrate consistent levels in all samples. </w:t>
      </w:r>
      <w:r>
        <w:rPr>
          <w:rFonts w:cstheme="minorHAnsi"/>
          <w:sz w:val="24"/>
        </w:rPr>
        <w:t xml:space="preserve">They are presented in </w:t>
      </w:r>
      <w:r w:rsidR="007B2E8C">
        <w:rPr>
          <w:rFonts w:cstheme="minorHAnsi"/>
          <w:sz w:val="24"/>
        </w:rPr>
        <w:fldChar w:fldCharType="begin"/>
      </w:r>
      <w:r w:rsidR="007B2E8C">
        <w:rPr>
          <w:rFonts w:cstheme="minorHAnsi"/>
          <w:sz w:val="24"/>
        </w:rPr>
        <w:instrText xml:space="preserve"> REF _Ref31285949 \h </w:instrText>
      </w:r>
      <w:r w:rsidR="007B2E8C">
        <w:rPr>
          <w:rFonts w:cstheme="minorHAnsi"/>
          <w:sz w:val="24"/>
        </w:rPr>
      </w:r>
      <w:r w:rsidR="007B2E8C">
        <w:rPr>
          <w:rFonts w:cstheme="minorHAnsi"/>
          <w:sz w:val="24"/>
        </w:rPr>
        <w:fldChar w:fldCharType="separate"/>
      </w:r>
      <w:r w:rsidR="00161FDC" w:rsidRPr="006077E6">
        <w:rPr>
          <w:sz w:val="20"/>
        </w:rPr>
        <w:t xml:space="preserve">Table </w:t>
      </w:r>
      <w:r w:rsidR="00161FDC">
        <w:rPr>
          <w:noProof/>
          <w:sz w:val="20"/>
        </w:rPr>
        <w:t>5</w:t>
      </w:r>
      <w:r w:rsidR="007B2E8C">
        <w:rPr>
          <w:rFonts w:cstheme="minorHAnsi"/>
          <w:sz w:val="24"/>
        </w:rPr>
        <w:fldChar w:fldCharType="end"/>
      </w:r>
      <w:r>
        <w:rPr>
          <w:rFonts w:cstheme="minorHAnsi"/>
          <w:sz w:val="24"/>
        </w:rPr>
        <w:t xml:space="preserve"> below.</w:t>
      </w:r>
    </w:p>
    <w:tbl>
      <w:tblPr>
        <w:tblStyle w:val="TableGrid"/>
        <w:tblW w:w="0" w:type="auto"/>
        <w:tblLook w:val="04A0" w:firstRow="1" w:lastRow="0" w:firstColumn="1" w:lastColumn="0" w:noHBand="0" w:noVBand="1"/>
      </w:tblPr>
      <w:tblGrid>
        <w:gridCol w:w="4508"/>
        <w:gridCol w:w="4508"/>
      </w:tblGrid>
      <w:tr w:rsidR="00F37CA9" w14:paraId="56E14AE1" w14:textId="77777777" w:rsidTr="00497DCB">
        <w:tc>
          <w:tcPr>
            <w:tcW w:w="4508" w:type="dxa"/>
          </w:tcPr>
          <w:p w14:paraId="7D2BD398" w14:textId="77777777" w:rsidR="00F37CA9" w:rsidRDefault="00F37CA9" w:rsidP="00497DCB">
            <w:pPr>
              <w:tabs>
                <w:tab w:val="left" w:pos="3075"/>
              </w:tabs>
              <w:spacing w:line="480" w:lineRule="auto"/>
              <w:rPr>
                <w:sz w:val="24"/>
              </w:rPr>
            </w:pPr>
            <w:r>
              <w:rPr>
                <w:sz w:val="24"/>
              </w:rPr>
              <w:t>Area</w:t>
            </w:r>
          </w:p>
        </w:tc>
        <w:tc>
          <w:tcPr>
            <w:tcW w:w="4508" w:type="dxa"/>
          </w:tcPr>
          <w:p w14:paraId="15617564" w14:textId="77777777" w:rsidR="00F37CA9" w:rsidRDefault="00F37CA9" w:rsidP="00497DCB">
            <w:pPr>
              <w:tabs>
                <w:tab w:val="left" w:pos="3075"/>
              </w:tabs>
              <w:spacing w:line="480" w:lineRule="auto"/>
              <w:rPr>
                <w:sz w:val="24"/>
              </w:rPr>
            </w:pPr>
            <w:r>
              <w:rPr>
                <w:sz w:val="24"/>
                <w:vertAlign w:val="superscript"/>
              </w:rPr>
              <w:t>242</w:t>
            </w:r>
            <w:r>
              <w:rPr>
                <w:sz w:val="24"/>
              </w:rPr>
              <w:t>Pu/</w:t>
            </w:r>
            <w:r>
              <w:rPr>
                <w:sz w:val="24"/>
                <w:vertAlign w:val="superscript"/>
              </w:rPr>
              <w:t>239</w:t>
            </w:r>
            <w:r>
              <w:rPr>
                <w:sz w:val="24"/>
              </w:rPr>
              <w:t>Pu ratio</w:t>
            </w:r>
          </w:p>
        </w:tc>
      </w:tr>
      <w:tr w:rsidR="00F37CA9" w14:paraId="543B262F" w14:textId="77777777" w:rsidTr="00497DCB">
        <w:tc>
          <w:tcPr>
            <w:tcW w:w="4508" w:type="dxa"/>
          </w:tcPr>
          <w:p w14:paraId="1C027381" w14:textId="77777777" w:rsidR="00F37CA9" w:rsidRDefault="00F37CA9" w:rsidP="00497DCB">
            <w:pPr>
              <w:tabs>
                <w:tab w:val="left" w:pos="3075"/>
              </w:tabs>
              <w:spacing w:line="480" w:lineRule="auto"/>
              <w:rPr>
                <w:sz w:val="24"/>
              </w:rPr>
            </w:pPr>
            <w:r>
              <w:rPr>
                <w:sz w:val="24"/>
              </w:rPr>
              <w:t>On-site</w:t>
            </w:r>
          </w:p>
        </w:tc>
        <w:tc>
          <w:tcPr>
            <w:tcW w:w="4508" w:type="dxa"/>
          </w:tcPr>
          <w:p w14:paraId="2515E692" w14:textId="487EF86D" w:rsidR="00F37CA9" w:rsidRPr="00EF1E08" w:rsidRDefault="00F37CA9" w:rsidP="00497DCB">
            <w:pPr>
              <w:tabs>
                <w:tab w:val="left" w:pos="3075"/>
              </w:tabs>
              <w:spacing w:line="480" w:lineRule="auto"/>
              <w:rPr>
                <w:sz w:val="24"/>
                <w:vertAlign w:val="superscript"/>
              </w:rPr>
            </w:pPr>
            <w:r>
              <w:rPr>
                <w:sz w:val="24"/>
              </w:rPr>
              <w:t>(</w:t>
            </w:r>
            <w:r w:rsidR="00EA5BD9">
              <w:rPr>
                <w:sz w:val="24"/>
              </w:rPr>
              <w:t>4</w:t>
            </w:r>
            <w:r>
              <w:rPr>
                <w:sz w:val="24"/>
              </w:rPr>
              <w:t>±</w:t>
            </w:r>
            <w:r w:rsidR="00EA5BD9">
              <w:rPr>
                <w:sz w:val="24"/>
              </w:rPr>
              <w:t>2</w:t>
            </w:r>
            <w:r>
              <w:rPr>
                <w:sz w:val="24"/>
              </w:rPr>
              <w:t>) x10</w:t>
            </w:r>
            <w:r>
              <w:rPr>
                <w:sz w:val="24"/>
                <w:vertAlign w:val="superscript"/>
              </w:rPr>
              <w:t>-3</w:t>
            </w:r>
          </w:p>
        </w:tc>
      </w:tr>
      <w:tr w:rsidR="00F37CA9" w14:paraId="72B36243" w14:textId="77777777" w:rsidTr="00497DCB">
        <w:tc>
          <w:tcPr>
            <w:tcW w:w="4508" w:type="dxa"/>
          </w:tcPr>
          <w:p w14:paraId="7C34CD49" w14:textId="77777777" w:rsidR="00F37CA9" w:rsidRDefault="00F37CA9" w:rsidP="00497DCB">
            <w:pPr>
              <w:tabs>
                <w:tab w:val="left" w:pos="3075"/>
              </w:tabs>
              <w:spacing w:line="480" w:lineRule="auto"/>
              <w:rPr>
                <w:sz w:val="24"/>
              </w:rPr>
            </w:pPr>
            <w:r>
              <w:rPr>
                <w:sz w:val="24"/>
              </w:rPr>
              <w:t>Off-site</w:t>
            </w:r>
          </w:p>
        </w:tc>
        <w:tc>
          <w:tcPr>
            <w:tcW w:w="4508" w:type="dxa"/>
          </w:tcPr>
          <w:p w14:paraId="10B45F29" w14:textId="34A0DF3B" w:rsidR="00F37CA9" w:rsidRPr="00EF1E08" w:rsidRDefault="00F37CA9" w:rsidP="00497DCB">
            <w:pPr>
              <w:tabs>
                <w:tab w:val="left" w:pos="3075"/>
              </w:tabs>
              <w:spacing w:line="480" w:lineRule="auto"/>
              <w:rPr>
                <w:sz w:val="24"/>
                <w:vertAlign w:val="superscript"/>
              </w:rPr>
            </w:pPr>
            <w:r>
              <w:rPr>
                <w:sz w:val="24"/>
              </w:rPr>
              <w:t>(3.4±0.</w:t>
            </w:r>
            <w:r w:rsidR="00EA5BD9">
              <w:rPr>
                <w:sz w:val="24"/>
              </w:rPr>
              <w:t>5</w:t>
            </w:r>
            <w:r>
              <w:rPr>
                <w:sz w:val="24"/>
              </w:rPr>
              <w:t>) x10</w:t>
            </w:r>
            <w:r>
              <w:rPr>
                <w:sz w:val="24"/>
                <w:vertAlign w:val="superscript"/>
              </w:rPr>
              <w:t>-4</w:t>
            </w:r>
          </w:p>
        </w:tc>
      </w:tr>
      <w:tr w:rsidR="00F37CA9" w14:paraId="25CFCEDA" w14:textId="77777777" w:rsidTr="00497DCB">
        <w:tc>
          <w:tcPr>
            <w:tcW w:w="4508" w:type="dxa"/>
          </w:tcPr>
          <w:p w14:paraId="66CD9149" w14:textId="77777777" w:rsidR="00F37CA9" w:rsidRDefault="00F37CA9" w:rsidP="00497DCB">
            <w:pPr>
              <w:tabs>
                <w:tab w:val="left" w:pos="3075"/>
              </w:tabs>
              <w:spacing w:line="480" w:lineRule="auto"/>
              <w:rPr>
                <w:sz w:val="24"/>
              </w:rPr>
            </w:pPr>
            <w:r>
              <w:rPr>
                <w:sz w:val="24"/>
              </w:rPr>
              <w:t>Away from site</w:t>
            </w:r>
          </w:p>
        </w:tc>
        <w:tc>
          <w:tcPr>
            <w:tcW w:w="4508" w:type="dxa"/>
          </w:tcPr>
          <w:p w14:paraId="774B7B8D" w14:textId="74559168" w:rsidR="00F37CA9" w:rsidRPr="00EF1E08" w:rsidRDefault="00F37CA9" w:rsidP="00CB7650">
            <w:pPr>
              <w:keepNext/>
              <w:tabs>
                <w:tab w:val="left" w:pos="3075"/>
              </w:tabs>
              <w:spacing w:line="480" w:lineRule="auto"/>
              <w:rPr>
                <w:sz w:val="24"/>
                <w:vertAlign w:val="superscript"/>
              </w:rPr>
            </w:pPr>
            <w:r>
              <w:rPr>
                <w:sz w:val="24"/>
              </w:rPr>
              <w:t>(4.1±0.</w:t>
            </w:r>
            <w:r w:rsidR="00EA5BD9">
              <w:rPr>
                <w:sz w:val="24"/>
              </w:rPr>
              <w:t>4</w:t>
            </w:r>
            <w:r>
              <w:rPr>
                <w:sz w:val="24"/>
              </w:rPr>
              <w:t>) x10</w:t>
            </w:r>
            <w:r>
              <w:rPr>
                <w:sz w:val="24"/>
                <w:vertAlign w:val="superscript"/>
              </w:rPr>
              <w:t>-3</w:t>
            </w:r>
          </w:p>
        </w:tc>
      </w:tr>
    </w:tbl>
    <w:p w14:paraId="63951DE3" w14:textId="45F3C9F5" w:rsidR="00CB7650" w:rsidRPr="006077E6" w:rsidRDefault="00CB7650">
      <w:pPr>
        <w:pStyle w:val="Caption"/>
        <w:rPr>
          <w:sz w:val="20"/>
        </w:rPr>
      </w:pPr>
      <w:bookmarkStart w:id="44" w:name="_Ref31285949"/>
      <w:r w:rsidRPr="006077E6">
        <w:rPr>
          <w:sz w:val="20"/>
        </w:rPr>
        <w:t xml:space="preserve">Table </w:t>
      </w:r>
      <w:r w:rsidRPr="006077E6">
        <w:rPr>
          <w:sz w:val="20"/>
        </w:rPr>
        <w:fldChar w:fldCharType="begin"/>
      </w:r>
      <w:r w:rsidRPr="006077E6">
        <w:rPr>
          <w:sz w:val="20"/>
        </w:rPr>
        <w:instrText xml:space="preserve"> SEQ Table \* ARABIC </w:instrText>
      </w:r>
      <w:r w:rsidRPr="006077E6">
        <w:rPr>
          <w:sz w:val="20"/>
        </w:rPr>
        <w:fldChar w:fldCharType="separate"/>
      </w:r>
      <w:r w:rsidR="00161FDC">
        <w:rPr>
          <w:noProof/>
          <w:sz w:val="20"/>
        </w:rPr>
        <w:t>5</w:t>
      </w:r>
      <w:r w:rsidRPr="006077E6">
        <w:rPr>
          <w:sz w:val="20"/>
        </w:rPr>
        <w:fldChar w:fldCharType="end"/>
      </w:r>
      <w:bookmarkEnd w:id="44"/>
      <w:r w:rsidRPr="006077E6">
        <w:rPr>
          <w:sz w:val="20"/>
        </w:rPr>
        <w:t xml:space="preserve"> The </w:t>
      </w:r>
      <w:r w:rsidRPr="006077E6">
        <w:rPr>
          <w:sz w:val="20"/>
          <w:vertAlign w:val="superscript"/>
        </w:rPr>
        <w:t>242</w:t>
      </w:r>
      <w:r w:rsidRPr="006077E6">
        <w:rPr>
          <w:sz w:val="20"/>
        </w:rPr>
        <w:t>Pu/</w:t>
      </w:r>
      <w:r w:rsidRPr="006077E6">
        <w:rPr>
          <w:sz w:val="20"/>
          <w:vertAlign w:val="superscript"/>
        </w:rPr>
        <w:t>239</w:t>
      </w:r>
      <w:r w:rsidRPr="006077E6">
        <w:rPr>
          <w:sz w:val="20"/>
        </w:rPr>
        <w:t>Pu ratios of the different sample groups in this study, measured using AMS at ETH Zϋrich and differentiated by sampling site.</w:t>
      </w:r>
    </w:p>
    <w:p w14:paraId="303F5A23" w14:textId="55AD1CAA" w:rsidR="00F37CA9" w:rsidRDefault="00F37CA9" w:rsidP="00F37CA9">
      <w:pPr>
        <w:tabs>
          <w:tab w:val="left" w:pos="3075"/>
        </w:tabs>
        <w:spacing w:line="480" w:lineRule="auto"/>
        <w:ind w:firstLine="567"/>
        <w:rPr>
          <w:sz w:val="24"/>
        </w:rPr>
      </w:pPr>
      <w:r>
        <w:rPr>
          <w:sz w:val="24"/>
        </w:rPr>
        <w:t xml:space="preserve">The values displayed in </w:t>
      </w:r>
      <w:r w:rsidR="007B2E8C">
        <w:rPr>
          <w:sz w:val="24"/>
        </w:rPr>
        <w:fldChar w:fldCharType="begin"/>
      </w:r>
      <w:r w:rsidR="007B2E8C">
        <w:rPr>
          <w:sz w:val="24"/>
        </w:rPr>
        <w:instrText xml:space="preserve"> REF _Ref31285949 \h </w:instrText>
      </w:r>
      <w:r w:rsidR="00E20389">
        <w:rPr>
          <w:sz w:val="24"/>
        </w:rPr>
        <w:instrText xml:space="preserve"> \* MERGEFORMAT </w:instrText>
      </w:r>
      <w:r w:rsidR="007B2E8C">
        <w:rPr>
          <w:sz w:val="24"/>
        </w:rPr>
      </w:r>
      <w:r w:rsidR="007B2E8C">
        <w:rPr>
          <w:sz w:val="24"/>
        </w:rPr>
        <w:fldChar w:fldCharType="separate"/>
      </w:r>
      <w:r w:rsidR="00161FDC" w:rsidRPr="00161FDC">
        <w:rPr>
          <w:sz w:val="24"/>
        </w:rPr>
        <w:t xml:space="preserve">Table </w:t>
      </w:r>
      <w:r w:rsidR="00161FDC" w:rsidRPr="00161FDC">
        <w:rPr>
          <w:noProof/>
        </w:rPr>
        <w:t>5</w:t>
      </w:r>
      <w:r w:rsidR="007B2E8C">
        <w:rPr>
          <w:sz w:val="24"/>
        </w:rPr>
        <w:fldChar w:fldCharType="end"/>
      </w:r>
      <w:r w:rsidR="007B2E8C">
        <w:rPr>
          <w:sz w:val="24"/>
        </w:rPr>
        <w:t xml:space="preserve"> </w:t>
      </w:r>
      <w:r>
        <w:rPr>
          <w:sz w:val="24"/>
        </w:rPr>
        <w:t xml:space="preserve">were measured with AMS. </w:t>
      </w:r>
      <w:r w:rsidR="00EA5BD9">
        <w:rPr>
          <w:sz w:val="24"/>
        </w:rPr>
        <w:t>They</w:t>
      </w:r>
      <w:r>
        <w:rPr>
          <w:sz w:val="24"/>
        </w:rPr>
        <w:t xml:space="preserve"> are compared against other samples including the global average </w:t>
      </w:r>
      <w:r>
        <w:rPr>
          <w:sz w:val="24"/>
          <w:vertAlign w:val="superscript"/>
        </w:rPr>
        <w:t>242</w:t>
      </w:r>
      <w:r>
        <w:rPr>
          <w:sz w:val="24"/>
        </w:rPr>
        <w:t>Pu/</w:t>
      </w:r>
      <w:r>
        <w:rPr>
          <w:sz w:val="24"/>
          <w:vertAlign w:val="superscript"/>
        </w:rPr>
        <w:t>239</w:t>
      </w:r>
      <w:r>
        <w:rPr>
          <w:sz w:val="24"/>
        </w:rPr>
        <w:t xml:space="preserve">Pu ratio in </w:t>
      </w:r>
      <w:r w:rsidR="007B2E8C">
        <w:rPr>
          <w:sz w:val="24"/>
        </w:rPr>
        <w:fldChar w:fldCharType="begin"/>
      </w:r>
      <w:r w:rsidR="007B2E8C">
        <w:rPr>
          <w:sz w:val="24"/>
        </w:rPr>
        <w:instrText xml:space="preserve"> REF _Ref31285922 \h </w:instrText>
      </w:r>
      <w:r w:rsidR="00E20389">
        <w:rPr>
          <w:sz w:val="24"/>
        </w:rPr>
        <w:instrText xml:space="preserve"> \* MERGEFORMAT </w:instrText>
      </w:r>
      <w:r w:rsidR="007B2E8C">
        <w:rPr>
          <w:sz w:val="24"/>
        </w:rPr>
      </w:r>
      <w:r w:rsidR="007B2E8C">
        <w:rPr>
          <w:sz w:val="24"/>
        </w:rPr>
        <w:fldChar w:fldCharType="separate"/>
      </w:r>
      <w:r w:rsidR="00161FDC" w:rsidRPr="00161FDC">
        <w:rPr>
          <w:sz w:val="24"/>
        </w:rPr>
        <w:t xml:space="preserve">Figure </w:t>
      </w:r>
      <w:r w:rsidR="00161FDC" w:rsidRPr="00161FDC">
        <w:rPr>
          <w:noProof/>
        </w:rPr>
        <w:t>35</w:t>
      </w:r>
      <w:r w:rsidR="007B2E8C">
        <w:rPr>
          <w:sz w:val="24"/>
        </w:rPr>
        <w:fldChar w:fldCharType="end"/>
      </w:r>
      <w:r>
        <w:rPr>
          <w:sz w:val="24"/>
        </w:rPr>
        <w:t xml:space="preserve"> below.</w:t>
      </w:r>
    </w:p>
    <w:p w14:paraId="0971BB7F" w14:textId="77777777" w:rsidR="00F37CA9" w:rsidRDefault="00F37CA9" w:rsidP="00F37CA9">
      <w:pPr>
        <w:rPr>
          <w:sz w:val="24"/>
        </w:rPr>
      </w:pPr>
      <w:r>
        <w:rPr>
          <w:sz w:val="24"/>
        </w:rPr>
        <w:br w:type="page"/>
      </w:r>
    </w:p>
    <w:p w14:paraId="6A3C047C" w14:textId="77777777" w:rsidR="00CB7650" w:rsidRDefault="00F37CA9" w:rsidP="00CB7650">
      <w:pPr>
        <w:keepNext/>
        <w:tabs>
          <w:tab w:val="left" w:pos="3075"/>
        </w:tabs>
        <w:spacing w:line="480" w:lineRule="auto"/>
      </w:pPr>
      <w:r>
        <w:rPr>
          <w:noProof/>
          <w:lang w:eastAsia="en-GB"/>
        </w:rPr>
        <w:lastRenderedPageBreak/>
        <w:drawing>
          <wp:inline distT="0" distB="0" distL="0" distR="0" wp14:anchorId="7630552D" wp14:editId="229042F5">
            <wp:extent cx="5391150" cy="3152775"/>
            <wp:effectExtent l="0" t="0" r="0" b="0"/>
            <wp:docPr id="198" name="Chart 198">
              <a:extLst xmlns:a="http://schemas.openxmlformats.org/drawingml/2006/main">
                <a:ext uri="{FF2B5EF4-FFF2-40B4-BE49-F238E27FC236}">
                  <a16:creationId xmlns:a16="http://schemas.microsoft.com/office/drawing/2014/main" id="{BEAF8F22-1AC7-418D-A8CB-1753A156D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B8503EF" w14:textId="0D5A4898" w:rsidR="00CB7650" w:rsidRPr="006077E6" w:rsidRDefault="00CB7650" w:rsidP="008B2B75">
      <w:pPr>
        <w:pStyle w:val="Caption"/>
        <w:jc w:val="center"/>
        <w:rPr>
          <w:sz w:val="20"/>
        </w:rPr>
      </w:pPr>
      <w:bookmarkStart w:id="45" w:name="_Ref31285922"/>
      <w:r w:rsidRPr="006077E6">
        <w:rPr>
          <w:sz w:val="20"/>
        </w:rPr>
        <w:t xml:space="preserve">Figure </w:t>
      </w:r>
      <w:r w:rsidRPr="006077E6">
        <w:rPr>
          <w:sz w:val="20"/>
        </w:rPr>
        <w:fldChar w:fldCharType="begin"/>
      </w:r>
      <w:r w:rsidRPr="006077E6">
        <w:rPr>
          <w:sz w:val="20"/>
        </w:rPr>
        <w:instrText xml:space="preserve"> SEQ Figure \* ARABIC </w:instrText>
      </w:r>
      <w:r w:rsidRPr="006077E6">
        <w:rPr>
          <w:sz w:val="20"/>
        </w:rPr>
        <w:fldChar w:fldCharType="separate"/>
      </w:r>
      <w:r w:rsidR="00161FDC">
        <w:rPr>
          <w:noProof/>
          <w:sz w:val="20"/>
        </w:rPr>
        <w:t>35</w:t>
      </w:r>
      <w:r w:rsidRPr="006077E6">
        <w:rPr>
          <w:sz w:val="20"/>
        </w:rPr>
        <w:fldChar w:fldCharType="end"/>
      </w:r>
      <w:bookmarkEnd w:id="45"/>
      <w:r w:rsidRPr="006077E6">
        <w:rPr>
          <w:sz w:val="20"/>
        </w:rPr>
        <w:t xml:space="preserve"> </w:t>
      </w:r>
      <w:r w:rsidRPr="006077E6">
        <w:rPr>
          <w:sz w:val="20"/>
          <w:vertAlign w:val="superscript"/>
        </w:rPr>
        <w:t>242</w:t>
      </w:r>
      <w:r w:rsidRPr="006077E6">
        <w:rPr>
          <w:sz w:val="20"/>
        </w:rPr>
        <w:t>Pu/</w:t>
      </w:r>
      <w:r w:rsidRPr="006077E6">
        <w:rPr>
          <w:sz w:val="20"/>
          <w:vertAlign w:val="superscript"/>
        </w:rPr>
        <w:t>239</w:t>
      </w:r>
      <w:r w:rsidRPr="006077E6">
        <w:rPr>
          <w:sz w:val="20"/>
        </w:rPr>
        <w:t xml:space="preserve">Pu ratios compared between multiple sites, including the three sample types from this project </w:t>
      </w:r>
      <w:r w:rsidRPr="006077E6">
        <w:rPr>
          <w:sz w:val="20"/>
        </w:rPr>
        <w:fldChar w:fldCharType="begin" w:fldLock="1"/>
      </w:r>
      <w:r w:rsidRPr="006077E6">
        <w:rPr>
          <w:sz w:val="20"/>
        </w:rPr>
        <w:instrText>ADDIN CSL_CITATION {"citationItems":[{"id":"ITEM-1","itemData":{"DOI":"10.1016/j.nimb.2012.06.017","ISSN":"0168583X","PMID":"23565016","abstract":"VERA, the Vienna Environmental Research Accelerator, is especially equipped for the measurement of actinides, and performs a growing number of measurements on environmental samples. While AMS is not the optimum method for each particular plutonium isotope, the possibility to measure (239)Pu, (240)Pu, (241)Pu, (242)Pu and (244)Pu on the same AMS sputter target is a great simplification. We have obtained a first result on the global fallout value of (244)Pu/(239)Pu = (5.7 ± 1.0) × 10(-5) based on soil samples from Salzburg prefecture, Austria. Furthermore, we suggest using the (242)Pu/(240)Pu ratio as an estimate of the initial (241)Pu/(239)Pu ratio, which allows dating of the time of irradiation based solely on Pu isotopes. We have checked the validity of this estimate using literature data, simulations, and environmental samples from soil from the Salzburg prefecture (Austria), from the shut down Garigliano Nuclear Power Plant (Sessa Aurunca, Italy) and from the Irish Sea near the Sellafield nuclear facility. The maximum deviation of the estimated dates from the expected ages is 6 years, while relative dating of material from the same source seems to be possible with a precision of less than 2 years. Additional information carried by the minor plutonium isotopes may allow further improvements of the precision of the method.","author":[{"dropping-particle":"","family":"Steier","given":"P","non-dropping-particle":"","parse-names":false,"suffix":""},{"dropping-particle":"","family":"Hrnecek","given":"E","non-dropping-particle":"","parse-names":false,"suffix":""},{"dropping-particle":"","family":"Priller","given":"A","non-dropping-particle":"","parse-names":false,"suffix":""},{"dropping-particle":"","family":"Quinto","given":"F","non-dropping-particle":"","parse-names":false,"suffix":""},{"dropping-particle":"","family":"Srncik","given":"M","non-dropping-particle":"","parse-names":false,"suffix":""},{"dropping-particle":"","family":"Wallner","given":"A.","non-dropping-particle":"","parse-names":false,"suffix":""},{"dropping-particle":"","family":"Wallner","given":"G","non-dropping-particle":"","parse-names":false,"suffix":""},{"dropping-particle":"","family":"Winkler","given":"S","non-dropping-particle":"","parse-names":false,"suffix":""}],"container-title":"Nuclear Instruments and Methods in Physics Research Section B: Beam Interactions with Materials and Atoms","id":"ITEM-1","issue":"2-2","issued":{"date-parts":[["2013","1"]]},"page":"160-164","publisher":"Elsevier","title":"AMS of the Minor Plutonium Isotopes","type":"article-journal","volume":"294"},"uris":["http://www.mendeley.com/documents/?uuid=05b1f9d1-7369-3cb1-b743-0bc252b99de6"]}],"mendeley":{"formattedCitation":"[64]","plainTextFormattedCitation":"[64]","previouslyFormattedCitation":"[64]"},"properties":{"noteIndex":0},"schema":"https://github.com/citation-style-language/schema/raw/master/csl-citation.json"}</w:instrText>
      </w:r>
      <w:r w:rsidRPr="006077E6">
        <w:rPr>
          <w:sz w:val="20"/>
        </w:rPr>
        <w:fldChar w:fldCharType="separate"/>
      </w:r>
      <w:r w:rsidRPr="006077E6">
        <w:rPr>
          <w:i w:val="0"/>
          <w:noProof/>
          <w:sz w:val="20"/>
        </w:rPr>
        <w:t>[64]</w:t>
      </w:r>
      <w:r w:rsidRPr="006077E6">
        <w:rPr>
          <w:sz w:val="20"/>
        </w:rPr>
        <w:fldChar w:fldCharType="end"/>
      </w:r>
      <w:r w:rsidRPr="006077E6">
        <w:rPr>
          <w:sz w:val="20"/>
        </w:rPr>
        <w:fldChar w:fldCharType="begin" w:fldLock="1"/>
      </w:r>
      <w:r w:rsidR="006F1462">
        <w:rPr>
          <w:sz w:val="20"/>
        </w:rPr>
        <w:instrText>ADDIN CSL_CITATION {"citationItems":[{"id":"ITEM-1","itemData":{"abstract":"The November 1, 1952 thermonuclear explosion {\"Mike\") produced all of the uranium isotopes U~', U\"', ~ U\"' through multiple neutron capture by U\"'. The long-lived products of successive P decays from these isotopes were measured mass spectrometrically and radiometrically. The logarithms of the abundances decline smoothly with increasing mass number; the even-mass abundances slightly exceed the geometric mean of adjacent odd-mass abundances. Some nuclear properties of neutron-rich heavy nuclides, not subject to ordinary investigation are inferred.","author":[{"dropping-particle":"","family":"Diamond","given":"H","non-dropping-particle":"","parse-names":false,"suffix":""},{"dropping-particle":"","family":"Fields","given":"P R","non-dropping-particle":"","parse-names":false,"suffix":""},{"dropping-particle":"","family":"Stkvens","given":"C S","non-dropping-particle":"","parse-names":false,"suffix":""},{"dropping-particle":"","family":"Studier","given":"M H","non-dropping-particle":"","parse-names":false,"suffix":""},{"dropping-particle":"","family":"Inghram","given":"M G","non-dropping-particle":"","parse-names":false,"suffix":""},{"dropping-particle":"","family":"Hess","given":"D C","non-dropping-particle":"","parse-names":false,"suffix":""},{"dropping-particle":"","family":"Pvle$","given":"G L","non-dropping-particle":"","parse-names":false,"suffix":""},{"dropping-particle":"","family":"Mech","given":"J F","non-dropping-particle":"","parse-names":false,"suffix":""},{"dropping-particle":"","family":"Manning","given":"W M","non-dropping-particle":"","parse-names":false,"suffix":""},{"dropping-particle":"","family":"Ghiqrso","given":"A","non-dropping-particle":"","parse-names":false,"suffix":""},{"dropping-particle":"","family":"Thqmpson","given":"S G","non-dropping-particle":"","parse-names":false,"suffix":""},{"dropping-particle":"","family":"Higgins","given":"G H","non-dropping-particle":"","parse-names":false,"suffix":""},{"dropping-particle":"","family":"Seabqrg","given":"G T","non-dropping-particle":"","parse-names":false,"suffix":""},{"dropping-particle":"","family":"Browne","given":"C I","non-dropping-particle":"","parse-names":false,"suffix":""},{"dropping-particle":"","family":"Smithy","given":"H L","non-dropping-particle":"","parse-names":false,"suffix":""},{"dropping-particle":"","family":"Spence","given":"R W","non-dropping-particle":"","parse-names":false,"suffix":""}],"container-title":"Physical Review","id":"ITEM-1","issue":"6","issued":{"date-parts":[["1960"]]},"title":"Heavy Isotope Abundances in Mike Thermonuclear Device","type":"article-journal","volume":"119"},"uris":["http://www.mendeley.com/documents/?uuid=cb3365e4-95be-3e1c-acd2-f83cb2dcd4df"]}],"mendeley":{"formattedCitation":"[85]","plainTextFormattedCitation":"[85]","previouslyFormattedCitation":"[85]"},"properties":{"noteIndex":0},"schema":"https://github.com/citation-style-language/schema/raw/master/csl-citation.json"}</w:instrText>
      </w:r>
      <w:r w:rsidRPr="006077E6">
        <w:rPr>
          <w:sz w:val="20"/>
        </w:rPr>
        <w:fldChar w:fldCharType="separate"/>
      </w:r>
      <w:r w:rsidR="00E510BC" w:rsidRPr="00E510BC">
        <w:rPr>
          <w:i w:val="0"/>
          <w:noProof/>
          <w:sz w:val="20"/>
        </w:rPr>
        <w:t>[85]</w:t>
      </w:r>
      <w:r w:rsidRPr="006077E6">
        <w:rPr>
          <w:sz w:val="20"/>
        </w:rPr>
        <w:fldChar w:fldCharType="end"/>
      </w:r>
      <w:r w:rsidRPr="006077E6">
        <w:rPr>
          <w:sz w:val="20"/>
        </w:rPr>
        <w:fldChar w:fldCharType="begin" w:fldLock="1"/>
      </w:r>
      <w:r w:rsidR="006F1462">
        <w:rPr>
          <w:sz w:val="20"/>
        </w:rPr>
        <w:instrText>ADDIN CSL_CITATION {"citationItems":[{"id":"ITEM-1","itemData":{"DOI":"10.1016/j.jenvrad.2003.09.001","abstract":"Plutonium in Polish forest soils and the Bó r za Lasem peat bog is resolved between Cher-nobyl and global fallout contributions via inductively coupled plasma mass spectrometric measurements of 240 Pu= 239 Pu and 241 Pu= 239 Pu atom ratios in previously prepared NdF 3 a spectrometric sources. Compared to global fallout, Chernobyl Pu exhibits higher abundances of 240 Pu and 241 Pu. The ratios 240 Pu= 239 Pu and 241 Pu= 239 Pu co-vary and range from 0.186 to 0.348 and 0.0029 to 0.0412, respectively, in forest soils (241 Pu= 239 Pu ¼ 0:2407Â ½ 240 Pu= 239 Pu</w:instrText>
      </w:r>
      <w:r w:rsidR="006F1462">
        <w:rPr>
          <w:rFonts w:ascii="Calibri" w:hAnsi="Calibri" w:cs="Calibri"/>
          <w:sz w:val="20"/>
        </w:rPr>
        <w:instrText>Š</w:instrText>
      </w:r>
      <w:r w:rsidR="006F1462">
        <w:rPr>
          <w:sz w:val="20"/>
        </w:rPr>
        <w:instrText xml:space="preserve"> </w:instrText>
      </w:r>
      <w:r w:rsidR="006F1462">
        <w:rPr>
          <w:rFonts w:ascii="Calibri" w:hAnsi="Calibri" w:cs="Calibri"/>
          <w:sz w:val="20"/>
        </w:rPr>
        <w:instrText>À</w:instrText>
      </w:r>
      <w:r w:rsidR="006F1462">
        <w:rPr>
          <w:sz w:val="20"/>
        </w:rPr>
        <w:instrText xml:space="preserve"> 0:0413; r 2 </w:instrText>
      </w:r>
      <w:r w:rsidR="006F1462">
        <w:rPr>
          <w:rFonts w:ascii="Calibri" w:hAnsi="Calibri" w:cs="Calibri"/>
          <w:sz w:val="20"/>
        </w:rPr>
        <w:instrText>¼</w:instrText>
      </w:r>
      <w:r w:rsidR="006F1462">
        <w:rPr>
          <w:sz w:val="20"/>
        </w:rPr>
        <w:instrText xml:space="preserve"> 0:9924). Two-component mixing models are developed to apportion 239</w:instrText>
      </w:r>
      <w:r w:rsidR="006F1462">
        <w:rPr>
          <w:rFonts w:ascii="Calibri" w:hAnsi="Calibri" w:cs="Calibri"/>
          <w:sz w:val="20"/>
        </w:rPr>
        <w:instrText>þ</w:instrText>
      </w:r>
      <w:r w:rsidR="006F1462">
        <w:rPr>
          <w:sz w:val="20"/>
        </w:rPr>
        <w:instrText>240 Pu and 241 Pu activities; various estimates of the percentage of Chernobyl-derived 239</w:instrText>
      </w:r>
      <w:r w:rsidR="006F1462">
        <w:rPr>
          <w:rFonts w:ascii="Calibri" w:hAnsi="Calibri" w:cs="Calibri"/>
          <w:sz w:val="20"/>
        </w:rPr>
        <w:instrText>þ</w:instrText>
      </w:r>
      <w:r w:rsidR="006F1462">
        <w:rPr>
          <w:sz w:val="20"/>
        </w:rPr>
        <w:instrText>240 Pu activity in forest soils range from &lt;10% to &gt;90% for the sample set. The 240 Pu= 239 Pu 241 Pu= 239 Pu atom ratio mixing line extrapolates to estimate 241 Pu= 239 Pu and the 241 Pu= 239þ240 Pu activity ratio for the Chernobyl source term (0:123 AE 0:007; 83 AE 5; 1 May 1986). Sample 241 Pu activities, calculated using existing alpha spectrometric 239þ240 Pu activities , and the 240 Pu= 239 Pu and 241 Pu= 239 Pu atom ratios, agree relatively well with previous liquid scintillation spectrometry measurements. Chernobyl Pu is most evident in locations from northeastern Poland. The 241 Pu activities and/or the 241 Pu= 239 Pu atom ratios are more sensitive than 240 Pu= 239 Pu or 238 Pu= 239þ240 Pu activity ratios at detecting small Chernobyl 239þ240 Pu inputs, found in southern Poland. The mass spectrometric data show that the Ã Corresponding author.","author":[{"dropping-particle":"","family":"Ketterer","given":"Michael E","non-dropping-particle":"","parse-names":false,"suffix":""},{"dropping-particle":"","family":"Hafer","given":"Kevin M","non-dropping-particle":"","parse-names":false,"suffix":""},{"dropping-particle":"","family":"Mietelski","given":"Jerzy W","non-dropping-particle":"","parse-names":false,"suffix":""}],"container-title":"Journal of Environmental Radioactivity","id":"ITEM-1","issued":{"date-parts":[["2004"]]},"page":"183-201","title":"Resolving Chernobyl vs. global fallout contributions in soils from Poland using Plutonium atom ratios measured by inductively coupled plasma mass spectrometry","type":"article-journal","volume":"73"},"uris":["http://www.mendeley.com/documents/?uuid=dfe1ec57-207a-3f37-a993-535397cc3ce3"]}],"mendeley":{"formattedCitation":"[86]","plainTextFormattedCitation":"[86]","previouslyFormattedCitation":"[86]"},"properties":{"noteIndex":0},"schema":"https://github.com/citation-style-language/schema/raw/master/csl-citation.json"}</w:instrText>
      </w:r>
      <w:r w:rsidRPr="006077E6">
        <w:rPr>
          <w:sz w:val="20"/>
        </w:rPr>
        <w:fldChar w:fldCharType="separate"/>
      </w:r>
      <w:r w:rsidR="00E510BC" w:rsidRPr="00E510BC">
        <w:rPr>
          <w:i w:val="0"/>
          <w:noProof/>
          <w:sz w:val="20"/>
        </w:rPr>
        <w:t>[86]</w:t>
      </w:r>
      <w:r w:rsidRPr="006077E6">
        <w:rPr>
          <w:sz w:val="20"/>
        </w:rPr>
        <w:fldChar w:fldCharType="end"/>
      </w:r>
      <w:r w:rsidRPr="006077E6">
        <w:rPr>
          <w:sz w:val="20"/>
        </w:rPr>
        <w:fldChar w:fldCharType="begin" w:fldLock="1"/>
      </w:r>
      <w:r w:rsidR="006F1462">
        <w:rPr>
          <w:sz w:val="20"/>
        </w:rPr>
        <w:instrText>ADDIN CSL_CITATION {"citationItems":[{"id":"ITEM-1","itemData":{"DOI":"10.1016/j.jenvrad.2011.01.004","abstract":"Samples from a marine sediment core from the Irish Sea (54.416 N, 3.563 W) were analyzed for the isotopic composition of uranium, plutonium and americium by a combination of radiometric methods and AMS. The radiochemical procedure consisted of a Pu separation step by anion exchange, subsequent U separation by extraction chromatography using UTEVA Ò and finally Am separation with TRU Ò Resin. Additionally to radiometric determination of these isotopes by alpha spectrometry, the separated samples were also used for the determination of 236 U/ 238 U and plutonium isotope ratios by Accelerator Mass Spectrometry (AMS) at the VERA facility.","author":[{"dropping-particle":"","family":"Srncik","given":"M","non-dropping-particle":"","parse-names":false,"suffix":""},{"dropping-particle":"","family":"Hrnecek","given":"E","non-dropping-particle":"","parse-names":false,"suffix":""},{"dropping-particle":"","family":"Steier","given":"P","non-dropping-particle":"","parse-names":false,"suffix":""},{"dropping-particle":"","family":"Wallner","given":"G","non-dropping-particle":"","parse-names":false,"suffix":""}],"container-title":"Journal of Environmental Radioactivity","id":"ITEM-1","issue":"4","issued":{"date-parts":[["2011"]]},"page":"331-335","title":"Determination of U, Pu and Am isotopes in Irish Sea sediment by a combination of AMS and radiometric methods","type":"article-journal","volume":"102"},"uris":["http://www.mendeley.com/documents/?uuid=f876fce7-e309-3555-9955-bcee1cab539d"]}],"mendeley":{"formattedCitation":"[87]","plainTextFormattedCitation":"[87]","previouslyFormattedCitation":"[87]"},"properties":{"noteIndex":0},"schema":"https://github.com/citation-style-language/schema/raw/master/csl-citation.json"}</w:instrText>
      </w:r>
      <w:r w:rsidRPr="006077E6">
        <w:rPr>
          <w:sz w:val="20"/>
        </w:rPr>
        <w:fldChar w:fldCharType="separate"/>
      </w:r>
      <w:r w:rsidR="00E510BC" w:rsidRPr="00E510BC">
        <w:rPr>
          <w:i w:val="0"/>
          <w:noProof/>
          <w:sz w:val="20"/>
        </w:rPr>
        <w:t>[87]</w:t>
      </w:r>
      <w:r w:rsidRPr="006077E6">
        <w:rPr>
          <w:sz w:val="20"/>
        </w:rPr>
        <w:fldChar w:fldCharType="end"/>
      </w:r>
      <w:r w:rsidRPr="006077E6">
        <w:rPr>
          <w:sz w:val="20"/>
        </w:rPr>
        <w:fldChar w:fldCharType="begin" w:fldLock="1"/>
      </w:r>
      <w:r w:rsidR="006F1462">
        <w:rPr>
          <w:sz w:val="20"/>
        </w:rPr>
        <w:instrText>ADDIN CSL_CITATION {"citationItems":[{"id":"ITEM-1","itemData":{"DOI":"10.1524/ract.2008.1559","ISSN":"0033-8230","author":[{"dropping-particle":"","family":"Srncik","given":"M.","non-dropping-particle":"","parse-names":false,"suffix":""},{"dropping-particle":"","family":"Hrnecek","given":"Erich","non-dropping-particle":"","parse-names":false,"suffix":""},{"dropping-particle":"","family":"Steier","given":"P.","non-dropping-particle":"","parse-names":false,"suffix":""},{"dropping-particle":"","family":"Wallner","given":"A.","non-dropping-particle":"","parse-names":false,"suffix":""},{"dropping-particle":"","family":"Wallner","given":"Gabriele","non-dropping-particle":"","parse-names":false,"suffix":""},{"dropping-particle":"","family":"Bossew","given":"P.","non-dropping-particle":"","parse-names":false,"suffix":""}],"container-title":"Radiochimica Acta","id":"ITEM-1","issue":"9-11","issued":{"date-parts":[["2008","1"]]},"page":"733-738","publisher":"Oldenbourg Wissenschaftsverlag GmbH","title":"Vertical distribution of 238Pu, 239(40)Pu, 241Am, 90Sr and 137Cs in Austrian soil profiles","type":"article-journal","volume":"96"},"uris":["http://www.mendeley.com/documents/?uuid=25a6a48b-abcf-30b6-b2f3-d6eea2e799e7"]}],"mendeley":{"formattedCitation":"[88]","plainTextFormattedCitation":"[88]","previouslyFormattedCitation":"[88]"},"properties":{"noteIndex":0},"schema":"https://github.com/citation-style-language/schema/raw/master/csl-citation.json"}</w:instrText>
      </w:r>
      <w:r w:rsidRPr="006077E6">
        <w:rPr>
          <w:sz w:val="20"/>
        </w:rPr>
        <w:fldChar w:fldCharType="separate"/>
      </w:r>
      <w:r w:rsidR="00E510BC" w:rsidRPr="00E510BC">
        <w:rPr>
          <w:i w:val="0"/>
          <w:noProof/>
          <w:sz w:val="20"/>
        </w:rPr>
        <w:t>[88]</w:t>
      </w:r>
      <w:r w:rsidRPr="006077E6">
        <w:rPr>
          <w:sz w:val="20"/>
        </w:rPr>
        <w:fldChar w:fldCharType="end"/>
      </w:r>
      <w:r w:rsidRPr="006077E6">
        <w:rPr>
          <w:sz w:val="20"/>
        </w:rPr>
        <w:fldChar w:fldCharType="begin" w:fldLock="1"/>
      </w:r>
      <w:r w:rsidR="007B2E8C" w:rsidRPr="006077E6">
        <w:rPr>
          <w:sz w:val="20"/>
        </w:rPr>
        <w:instrText>ADDIN CSL_CITATION {"citationItems":[{"id":"ITEM-1","itemData":{"abstract":"Published by Elsevier Science Ltd. Printed in Great Britain P I I : S 0 2 6 5-9 3 1 X (9 7) 0 0 0 5 0-7 ABS¹RAC¹ Mass spectrometry measurements of Pu, U and Np isolated from soils contaminated by the 1957 accident at the Mayak nuclear complex in the Southern Ural mountains ('Kyshtym accident') and from soils collected at and near the Former Soviet Union (FSU) test site at Semipalatinsk-21 are reported. The results provide a coherent isotopic data set suggesting (1) that Pu recovered from irradiated uranium fuels processed at Mayak formed the source material for Pu devices tested at Semipalatinsk-21; (2) that 237 Np in the breached Mayak storage tank resulted, principally, from enrichment of this radionucl-ide in waste streams during the processing of low burn-up uranium fuels to recover both Pu and U and (3) the presence of 236 U at both sites may be useful in tracing inputs of this, and other transuranic radionuclides, to nearby river systems that flow to the Arctic Ocean. Published by Elsevier Science Ltd.","author":[{"dropping-particle":"","family":"Beasley","given":"T M","non-dropping-particle":"","parse-names":false,"suffix":""},{"dropping-particle":"","family":"Kelley","given":"J M","non-dropping-particle":"","parse-names":false,"suffix":""},{"dropping-particle":"","family":"Orlandini","given":"K A","non-dropping-particle":"","parse-names":false,"suffix":""},{"dropping-particle":"","family":"Bond","given":"A L A","non-dropping-particle":"","parse-names":false,"suffix":""},{"dropping-particle":"","family":"Aarkrog","given":"@ A","non-dropping-particle":"","parse-names":false,"suffix":""},{"dropping-particle":"","family":"Trapeznikovc","given":"B A P","non-dropping-particle":"","parse-names":false,"suffix":""},{"dropping-particle":"","family":"Pozolotinac","given":"V N","non-dropping-particle":"","parse-names":false,"suffix":""}],"container-title":"J. Environ. Radioactivity","id":"ITEM-1","issue":"2","issued":{"date-parts":[["1998"]]},"number-of-pages":"215-230","title":"Isotopic Pu, U, and Np Signatures in Soils from Semipalatinsk-21, Kazakh Republic and the Southern Urals, Russia","type":"report","volume":"39"},"uris":["http://www.mendeley.com/documents/?uuid=aa751f5d-6309-3641-9dc2-4010ee13a5b8"]}],"mendeley":{"formattedCitation":"[12]","plainTextFormattedCitation":"[12]","previouslyFormattedCitation":"[12]"},"properties":{"noteIndex":0},"schema":"https://github.com/citation-style-language/schema/raw/master/csl-citation.json"}</w:instrText>
      </w:r>
      <w:r w:rsidRPr="006077E6">
        <w:rPr>
          <w:sz w:val="20"/>
        </w:rPr>
        <w:fldChar w:fldCharType="separate"/>
      </w:r>
      <w:r w:rsidRPr="00B60C21">
        <w:rPr>
          <w:i w:val="0"/>
          <w:noProof/>
          <w:sz w:val="20"/>
        </w:rPr>
        <w:t>[12]</w:t>
      </w:r>
      <w:r w:rsidRPr="006077E6">
        <w:rPr>
          <w:sz w:val="20"/>
        </w:rPr>
        <w:fldChar w:fldCharType="end"/>
      </w:r>
      <w:r w:rsidRPr="00B60C21">
        <w:rPr>
          <w:rFonts w:cstheme="minorHAnsi"/>
          <w:sz w:val="20"/>
        </w:rPr>
        <w:t xml:space="preserve">. </w:t>
      </w:r>
      <w:r w:rsidRPr="006077E6">
        <w:rPr>
          <w:rFonts w:cstheme="minorHAnsi"/>
          <w:sz w:val="20"/>
        </w:rPr>
        <w:t>Samples; “Away”, “Offsite”, “Onsite”, and “Our Average” are all sample measurements produced as part of this project and are outlined in black for clarity. All samples presented were soil samples, other than the ‘Sellafield’ sample, which is Irish Sea sediment contaminated by Sellafield waste emissions.</w:t>
      </w:r>
    </w:p>
    <w:p w14:paraId="13604859" w14:textId="25A698B6" w:rsidR="00F37CA9" w:rsidRDefault="00F37CA9" w:rsidP="00F37CA9">
      <w:pPr>
        <w:tabs>
          <w:tab w:val="left" w:pos="3075"/>
        </w:tabs>
        <w:spacing w:line="480" w:lineRule="auto"/>
        <w:ind w:firstLine="567"/>
        <w:rPr>
          <w:sz w:val="24"/>
        </w:rPr>
      </w:pPr>
      <w:r>
        <w:rPr>
          <w:sz w:val="24"/>
        </w:rPr>
        <w:t xml:space="preserve">As can be seen from </w:t>
      </w:r>
      <w:r w:rsidR="007B2E8C">
        <w:rPr>
          <w:sz w:val="24"/>
        </w:rPr>
        <w:fldChar w:fldCharType="begin"/>
      </w:r>
      <w:r w:rsidR="007B2E8C">
        <w:rPr>
          <w:sz w:val="24"/>
        </w:rPr>
        <w:instrText xml:space="preserve"> REF _Ref31285922 \h </w:instrText>
      </w:r>
      <w:r w:rsidR="00B12EE5">
        <w:rPr>
          <w:sz w:val="24"/>
        </w:rPr>
        <w:instrText xml:space="preserve"> \* MERGEFORMAT </w:instrText>
      </w:r>
      <w:r w:rsidR="007B2E8C">
        <w:rPr>
          <w:sz w:val="24"/>
        </w:rPr>
      </w:r>
      <w:r w:rsidR="007B2E8C">
        <w:rPr>
          <w:sz w:val="24"/>
        </w:rPr>
        <w:fldChar w:fldCharType="separate"/>
      </w:r>
      <w:r w:rsidR="00161FDC" w:rsidRPr="00161FDC">
        <w:rPr>
          <w:sz w:val="24"/>
        </w:rPr>
        <w:t xml:space="preserve">Figure </w:t>
      </w:r>
      <w:r w:rsidR="00161FDC" w:rsidRPr="00161FDC">
        <w:rPr>
          <w:noProof/>
        </w:rPr>
        <w:t>35</w:t>
      </w:r>
      <w:r w:rsidR="007B2E8C">
        <w:rPr>
          <w:sz w:val="24"/>
        </w:rPr>
        <w:fldChar w:fldCharType="end"/>
      </w:r>
      <w:r>
        <w:rPr>
          <w:sz w:val="24"/>
        </w:rPr>
        <w:t xml:space="preserve">, all of the project samples are consistent with the global average </w:t>
      </w:r>
      <w:r w:rsidRPr="008D1FBF">
        <w:rPr>
          <w:sz w:val="24"/>
          <w:vertAlign w:val="superscript"/>
        </w:rPr>
        <w:t>242</w:t>
      </w:r>
      <w:r>
        <w:rPr>
          <w:sz w:val="24"/>
        </w:rPr>
        <w:t>Pu/</w:t>
      </w:r>
      <w:r w:rsidRPr="008D1FBF">
        <w:rPr>
          <w:sz w:val="24"/>
          <w:vertAlign w:val="superscript"/>
        </w:rPr>
        <w:t>239</w:t>
      </w:r>
      <w:r>
        <w:rPr>
          <w:sz w:val="24"/>
        </w:rPr>
        <w:t xml:space="preserve">Pu ratio. The Klofta (Norway) sample is also in good agreement with the project samples. Glomfjord (Norway) and Sellafield are well above the project ratios, which suggest high </w:t>
      </w:r>
      <w:r w:rsidRPr="008D1FBF">
        <w:rPr>
          <w:sz w:val="24"/>
          <w:vertAlign w:val="superscript"/>
        </w:rPr>
        <w:t>242</w:t>
      </w:r>
      <w:r>
        <w:rPr>
          <w:sz w:val="24"/>
        </w:rPr>
        <w:t xml:space="preserve">Pu abundances and/or low </w:t>
      </w:r>
      <w:r w:rsidRPr="008D1FBF">
        <w:rPr>
          <w:sz w:val="24"/>
          <w:vertAlign w:val="superscript"/>
        </w:rPr>
        <w:t>239</w:t>
      </w:r>
      <w:r>
        <w:rPr>
          <w:sz w:val="24"/>
        </w:rPr>
        <w:t xml:space="preserve">Pu in the project samples. As Sellafield released plant waste into the Irish Sea, this sample’s high ratio is likely due to a low </w:t>
      </w:r>
      <w:r w:rsidRPr="008D1FBF">
        <w:rPr>
          <w:sz w:val="24"/>
          <w:vertAlign w:val="superscript"/>
        </w:rPr>
        <w:t>239</w:t>
      </w:r>
      <w:r>
        <w:rPr>
          <w:sz w:val="24"/>
        </w:rPr>
        <w:t xml:space="preserve">Pu contribution and higher </w:t>
      </w:r>
      <w:r w:rsidRPr="008D1FBF">
        <w:rPr>
          <w:sz w:val="24"/>
          <w:vertAlign w:val="superscript"/>
        </w:rPr>
        <w:t>242</w:t>
      </w:r>
      <w:r>
        <w:rPr>
          <w:sz w:val="24"/>
        </w:rPr>
        <w:t xml:space="preserve">Pu abundance. The Semipalatinsk test site shows the lowest </w:t>
      </w:r>
      <w:r w:rsidRPr="008D1FBF">
        <w:rPr>
          <w:sz w:val="24"/>
          <w:vertAlign w:val="superscript"/>
        </w:rPr>
        <w:t>242</w:t>
      </w:r>
      <w:r>
        <w:rPr>
          <w:sz w:val="24"/>
        </w:rPr>
        <w:t>Pu/</w:t>
      </w:r>
      <w:r w:rsidRPr="008D1FBF">
        <w:rPr>
          <w:sz w:val="24"/>
          <w:vertAlign w:val="superscript"/>
        </w:rPr>
        <w:t>239</w:t>
      </w:r>
      <w:r>
        <w:rPr>
          <w:sz w:val="24"/>
        </w:rPr>
        <w:t xml:space="preserve">Pu ratio, likely due to the </w:t>
      </w:r>
      <w:r w:rsidR="00EA5BD9">
        <w:rPr>
          <w:sz w:val="24"/>
        </w:rPr>
        <w:t>relatively large</w:t>
      </w:r>
      <w:r>
        <w:rPr>
          <w:sz w:val="24"/>
        </w:rPr>
        <w:t xml:space="preserve"> amount of </w:t>
      </w:r>
      <w:r w:rsidRPr="008D1FBF">
        <w:rPr>
          <w:sz w:val="24"/>
          <w:vertAlign w:val="superscript"/>
        </w:rPr>
        <w:t>239</w:t>
      </w:r>
      <w:r>
        <w:rPr>
          <w:sz w:val="24"/>
        </w:rPr>
        <w:t>Pu emitted during the Russian nuclear bomb tests at the Kazakh site.</w:t>
      </w:r>
    </w:p>
    <w:p w14:paraId="6FC4279D" w14:textId="5CFBA21D" w:rsidR="00F37CA9" w:rsidRDefault="00F37CA9" w:rsidP="00F37CA9">
      <w:pPr>
        <w:tabs>
          <w:tab w:val="left" w:pos="3075"/>
        </w:tabs>
        <w:spacing w:line="480" w:lineRule="auto"/>
        <w:ind w:firstLine="567"/>
        <w:rPr>
          <w:sz w:val="24"/>
        </w:rPr>
      </w:pPr>
      <w:r>
        <w:rPr>
          <w:sz w:val="24"/>
        </w:rPr>
        <w:t xml:space="preserve">The samples from the Dounreay site exhibit very similar ratio values to that of Salzburg and Klofta, areas of low radioactivity, while showing huge differences to samples that are </w:t>
      </w:r>
      <w:r w:rsidR="00EA5BD9">
        <w:rPr>
          <w:sz w:val="24"/>
        </w:rPr>
        <w:t>indicative</w:t>
      </w:r>
      <w:r>
        <w:rPr>
          <w:sz w:val="24"/>
        </w:rPr>
        <w:t xml:space="preserve"> of significant radioactive events.</w:t>
      </w:r>
      <w:r>
        <w:rPr>
          <w:sz w:val="24"/>
        </w:rPr>
        <w:br w:type="page"/>
      </w:r>
    </w:p>
    <w:p w14:paraId="5330B575" w14:textId="77777777" w:rsidR="00F37CA9" w:rsidRPr="005A775C" w:rsidRDefault="00F37CA9" w:rsidP="00F37CA9">
      <w:pPr>
        <w:tabs>
          <w:tab w:val="left" w:pos="3075"/>
        </w:tabs>
        <w:spacing w:line="480" w:lineRule="auto"/>
        <w:rPr>
          <w:b/>
          <w:sz w:val="28"/>
        </w:rPr>
      </w:pPr>
      <w:r w:rsidRPr="005A775C">
        <w:rPr>
          <w:b/>
          <w:sz w:val="28"/>
        </w:rPr>
        <w:lastRenderedPageBreak/>
        <w:t>4.</w:t>
      </w:r>
      <w:r>
        <w:rPr>
          <w:b/>
          <w:sz w:val="28"/>
        </w:rPr>
        <w:t>3</w:t>
      </w:r>
      <w:r w:rsidRPr="005A775C">
        <w:rPr>
          <w:b/>
          <w:sz w:val="28"/>
        </w:rPr>
        <w:t xml:space="preserve">.5.5 </w:t>
      </w:r>
      <w:bookmarkStart w:id="46" w:name="_Hlk1671156"/>
      <w:r w:rsidRPr="005A775C">
        <w:rPr>
          <w:b/>
          <w:sz w:val="28"/>
          <w:vertAlign w:val="superscript"/>
        </w:rPr>
        <w:t>244</w:t>
      </w:r>
      <w:r w:rsidRPr="005A775C">
        <w:rPr>
          <w:b/>
          <w:sz w:val="28"/>
        </w:rPr>
        <w:t>Pu/</w:t>
      </w:r>
      <w:r w:rsidRPr="005A775C">
        <w:rPr>
          <w:b/>
          <w:sz w:val="28"/>
          <w:vertAlign w:val="superscript"/>
        </w:rPr>
        <w:t>239</w:t>
      </w:r>
      <w:r w:rsidRPr="005A775C">
        <w:rPr>
          <w:b/>
          <w:sz w:val="28"/>
        </w:rPr>
        <w:t>Pu</w:t>
      </w:r>
      <w:bookmarkEnd w:id="46"/>
    </w:p>
    <w:p w14:paraId="0EAE3A6D" w14:textId="519DE7B2" w:rsidR="00F37CA9" w:rsidRDefault="00F37CA9" w:rsidP="00F37CA9">
      <w:pPr>
        <w:tabs>
          <w:tab w:val="left" w:pos="3075"/>
        </w:tabs>
        <w:spacing w:line="480" w:lineRule="auto"/>
        <w:ind w:firstLine="567"/>
        <w:rPr>
          <w:sz w:val="24"/>
        </w:rPr>
      </w:pPr>
      <w:r w:rsidRPr="000047E7">
        <w:rPr>
          <w:sz w:val="24"/>
        </w:rPr>
        <w:t xml:space="preserve">Ordinarily, </w:t>
      </w:r>
      <w:r w:rsidRPr="00C808F7">
        <w:rPr>
          <w:sz w:val="24"/>
          <w:vertAlign w:val="superscript"/>
        </w:rPr>
        <w:t>24</w:t>
      </w:r>
      <w:r>
        <w:rPr>
          <w:sz w:val="24"/>
          <w:vertAlign w:val="superscript"/>
        </w:rPr>
        <w:t>4</w:t>
      </w:r>
      <w:r>
        <w:rPr>
          <w:sz w:val="24"/>
        </w:rPr>
        <w:t>Pu</w:t>
      </w:r>
      <w:r w:rsidRPr="000047E7">
        <w:rPr>
          <w:sz w:val="24"/>
        </w:rPr>
        <w:t xml:space="preserve"> would </w:t>
      </w:r>
      <w:r>
        <w:rPr>
          <w:sz w:val="24"/>
        </w:rPr>
        <w:t>provide</w:t>
      </w:r>
      <w:r w:rsidRPr="000047E7">
        <w:rPr>
          <w:sz w:val="24"/>
        </w:rPr>
        <w:t xml:space="preserve"> evidence </w:t>
      </w:r>
      <w:r>
        <w:rPr>
          <w:sz w:val="24"/>
        </w:rPr>
        <w:t>for whether</w:t>
      </w:r>
      <w:r w:rsidRPr="000047E7">
        <w:rPr>
          <w:sz w:val="24"/>
        </w:rPr>
        <w:t xml:space="preserve"> the material is</w:t>
      </w:r>
      <w:r>
        <w:rPr>
          <w:sz w:val="24"/>
        </w:rPr>
        <w:t xml:space="preserve"> of</w:t>
      </w:r>
      <w:r w:rsidRPr="000047E7">
        <w:rPr>
          <w:sz w:val="24"/>
        </w:rPr>
        <w:t xml:space="preserve"> </w:t>
      </w:r>
      <w:r w:rsidR="00D84D0B">
        <w:rPr>
          <w:sz w:val="24"/>
        </w:rPr>
        <w:t xml:space="preserve">high yield </w:t>
      </w:r>
      <w:r w:rsidRPr="000047E7">
        <w:rPr>
          <w:sz w:val="24"/>
        </w:rPr>
        <w:t>weapons</w:t>
      </w:r>
      <w:r>
        <w:rPr>
          <w:sz w:val="24"/>
        </w:rPr>
        <w:t xml:space="preserve"> test origin</w:t>
      </w:r>
      <w:r w:rsidR="00D84D0B">
        <w:rPr>
          <w:sz w:val="24"/>
        </w:rPr>
        <w:t xml:space="preserve"> or not</w:t>
      </w:r>
      <w:r w:rsidRPr="000047E7">
        <w:rPr>
          <w:sz w:val="24"/>
        </w:rPr>
        <w:t xml:space="preserve"> as it is a long-lived radionuclide (half-life 80.8 million years) that is only </w:t>
      </w:r>
      <w:r>
        <w:rPr>
          <w:sz w:val="24"/>
        </w:rPr>
        <w:t>created from</w:t>
      </w:r>
      <w:r w:rsidRPr="000047E7">
        <w:rPr>
          <w:sz w:val="24"/>
        </w:rPr>
        <w:t xml:space="preserve"> </w:t>
      </w:r>
      <w:r>
        <w:rPr>
          <w:sz w:val="24"/>
        </w:rPr>
        <w:t xml:space="preserve">a high neutron flux environment, </w:t>
      </w:r>
      <w:r w:rsidR="00D84D0B">
        <w:rPr>
          <w:sz w:val="24"/>
        </w:rPr>
        <w:t>i.e. high-yield</w:t>
      </w:r>
      <w:r>
        <w:rPr>
          <w:sz w:val="24"/>
        </w:rPr>
        <w:t xml:space="preserve"> weapons tests</w:t>
      </w:r>
      <w:r w:rsidRPr="000047E7">
        <w:rPr>
          <w:sz w:val="24"/>
        </w:rPr>
        <w:t xml:space="preserve">. </w:t>
      </w:r>
      <w:r w:rsidRPr="00C808F7">
        <w:rPr>
          <w:sz w:val="24"/>
          <w:vertAlign w:val="superscript"/>
        </w:rPr>
        <w:t>2</w:t>
      </w:r>
      <w:r>
        <w:rPr>
          <w:sz w:val="24"/>
          <w:vertAlign w:val="superscript"/>
        </w:rPr>
        <w:t>39</w:t>
      </w:r>
      <w:r>
        <w:rPr>
          <w:sz w:val="24"/>
        </w:rPr>
        <w:t>Pu</w:t>
      </w:r>
      <w:r w:rsidRPr="000047E7">
        <w:rPr>
          <w:sz w:val="24"/>
        </w:rPr>
        <w:t xml:space="preserve"> forms </w:t>
      </w:r>
      <w:r w:rsidRPr="00C808F7">
        <w:rPr>
          <w:sz w:val="24"/>
          <w:vertAlign w:val="superscript"/>
        </w:rPr>
        <w:t>244</w:t>
      </w:r>
      <w:r>
        <w:rPr>
          <w:sz w:val="24"/>
        </w:rPr>
        <w:t>Pu</w:t>
      </w:r>
      <w:r w:rsidRPr="000047E7">
        <w:rPr>
          <w:sz w:val="24"/>
        </w:rPr>
        <w:t xml:space="preserve"> by </w:t>
      </w:r>
      <w:r w:rsidR="00D84D0B">
        <w:rPr>
          <w:sz w:val="24"/>
        </w:rPr>
        <w:t>acquiring</w:t>
      </w:r>
      <w:r w:rsidRPr="000047E7">
        <w:rPr>
          <w:sz w:val="24"/>
        </w:rPr>
        <w:t xml:space="preserve"> neutrons in quick succession. This </w:t>
      </w:r>
      <w:r>
        <w:rPr>
          <w:sz w:val="24"/>
        </w:rPr>
        <w:t>reaction does</w:t>
      </w:r>
      <w:r w:rsidR="00D84D0B">
        <w:rPr>
          <w:sz w:val="24"/>
        </w:rPr>
        <w:t xml:space="preserve"> not</w:t>
      </w:r>
      <w:r>
        <w:rPr>
          <w:sz w:val="24"/>
        </w:rPr>
        <w:t xml:space="preserve"> </w:t>
      </w:r>
      <w:r w:rsidR="00D24BE8">
        <w:rPr>
          <w:sz w:val="24"/>
        </w:rPr>
        <w:t xml:space="preserve">often </w:t>
      </w:r>
      <w:r>
        <w:rPr>
          <w:sz w:val="24"/>
        </w:rPr>
        <w:t>occur</w:t>
      </w:r>
      <w:r w:rsidRPr="000047E7">
        <w:rPr>
          <w:sz w:val="24"/>
        </w:rPr>
        <w:t xml:space="preserve"> in sustained fission reactions as the lower neutron flux allows time for m</w:t>
      </w:r>
      <w:r>
        <w:rPr>
          <w:sz w:val="24"/>
        </w:rPr>
        <w:t>any</w:t>
      </w:r>
      <w:r w:rsidRPr="000047E7">
        <w:rPr>
          <w:sz w:val="24"/>
        </w:rPr>
        <w:t xml:space="preserve"> of the </w:t>
      </w:r>
      <w:r w:rsidRPr="00C808F7">
        <w:rPr>
          <w:sz w:val="24"/>
          <w:vertAlign w:val="superscript"/>
        </w:rPr>
        <w:t>24</w:t>
      </w:r>
      <w:r>
        <w:rPr>
          <w:sz w:val="24"/>
          <w:vertAlign w:val="superscript"/>
        </w:rPr>
        <w:t>1</w:t>
      </w:r>
      <w:r>
        <w:rPr>
          <w:sz w:val="24"/>
        </w:rPr>
        <w:t>Pu atoms</w:t>
      </w:r>
      <w:r w:rsidRPr="000047E7">
        <w:rPr>
          <w:sz w:val="24"/>
        </w:rPr>
        <w:t xml:space="preserve"> to decay to </w:t>
      </w:r>
      <w:r w:rsidRPr="00C808F7">
        <w:rPr>
          <w:sz w:val="24"/>
          <w:vertAlign w:val="superscript"/>
        </w:rPr>
        <w:t>24</w:t>
      </w:r>
      <w:r>
        <w:rPr>
          <w:sz w:val="24"/>
          <w:vertAlign w:val="superscript"/>
        </w:rPr>
        <w:t>1</w:t>
      </w:r>
      <w:r>
        <w:rPr>
          <w:sz w:val="24"/>
        </w:rPr>
        <w:t>Am</w:t>
      </w:r>
      <w:r w:rsidRPr="000047E7">
        <w:rPr>
          <w:sz w:val="24"/>
        </w:rPr>
        <w:t xml:space="preserve"> and then </w:t>
      </w:r>
      <w:r w:rsidR="00D84D0B">
        <w:rPr>
          <w:sz w:val="24"/>
          <w:vertAlign w:val="superscript"/>
        </w:rPr>
        <w:t>237</w:t>
      </w:r>
      <w:r w:rsidR="00D84D0B">
        <w:rPr>
          <w:sz w:val="24"/>
        </w:rPr>
        <w:t>Np</w:t>
      </w:r>
      <w:r w:rsidRPr="000047E7">
        <w:rPr>
          <w:sz w:val="24"/>
        </w:rPr>
        <w:t xml:space="preserve">. </w:t>
      </w:r>
    </w:p>
    <w:p w14:paraId="4D0410CF" w14:textId="3CC84A78" w:rsidR="00F37CA9" w:rsidRDefault="00F37CA9" w:rsidP="00F37CA9">
      <w:pPr>
        <w:tabs>
          <w:tab w:val="left" w:pos="3075"/>
        </w:tabs>
        <w:spacing w:line="480" w:lineRule="auto"/>
        <w:ind w:firstLine="567"/>
        <w:rPr>
          <w:sz w:val="24"/>
        </w:rPr>
      </w:pPr>
      <w:r>
        <w:rPr>
          <w:sz w:val="24"/>
        </w:rPr>
        <w:t>Th</w:t>
      </w:r>
      <w:r w:rsidR="00D84D0B">
        <w:rPr>
          <w:sz w:val="24"/>
        </w:rPr>
        <w:t>is</w:t>
      </w:r>
      <w:r>
        <w:rPr>
          <w:sz w:val="24"/>
        </w:rPr>
        <w:t xml:space="preserve"> project</w:t>
      </w:r>
      <w:r w:rsidR="00D84D0B">
        <w:rPr>
          <w:sz w:val="24"/>
        </w:rPr>
        <w:t>’s</w:t>
      </w:r>
      <w:r>
        <w:rPr>
          <w:sz w:val="24"/>
        </w:rPr>
        <w:t xml:space="preserve"> values for the </w:t>
      </w:r>
      <w:r w:rsidRPr="008D1FBF">
        <w:rPr>
          <w:sz w:val="24"/>
          <w:vertAlign w:val="superscript"/>
        </w:rPr>
        <w:t>244</w:t>
      </w:r>
      <w:r w:rsidRPr="008047BE">
        <w:rPr>
          <w:sz w:val="24"/>
        </w:rPr>
        <w:t>Pu/</w:t>
      </w:r>
      <w:r w:rsidRPr="008D1FBF">
        <w:rPr>
          <w:sz w:val="24"/>
          <w:vertAlign w:val="superscript"/>
        </w:rPr>
        <w:t>239</w:t>
      </w:r>
      <w:r w:rsidRPr="008047BE">
        <w:rPr>
          <w:sz w:val="24"/>
        </w:rPr>
        <w:t>Pu</w:t>
      </w:r>
      <w:r>
        <w:rPr>
          <w:sz w:val="24"/>
        </w:rPr>
        <w:t xml:space="preserve"> ratio are not </w:t>
      </w:r>
      <w:r w:rsidR="00D84D0B">
        <w:rPr>
          <w:sz w:val="24"/>
        </w:rPr>
        <w:t xml:space="preserve">specific to </w:t>
      </w:r>
      <w:r w:rsidR="00D84D0B">
        <w:rPr>
          <w:sz w:val="24"/>
          <w:vertAlign w:val="superscript"/>
        </w:rPr>
        <w:t>244</w:t>
      </w:r>
      <w:r w:rsidR="00D84D0B">
        <w:rPr>
          <w:sz w:val="24"/>
        </w:rPr>
        <w:t>Pu</w:t>
      </w:r>
      <w:r>
        <w:rPr>
          <w:sz w:val="24"/>
        </w:rPr>
        <w:t xml:space="preserve">, only the measurements for the full </w:t>
      </w:r>
      <w:r w:rsidRPr="008D1FBF">
        <w:rPr>
          <w:sz w:val="24"/>
          <w:vertAlign w:val="superscript"/>
        </w:rPr>
        <w:t>244</w:t>
      </w:r>
      <w:r w:rsidRPr="008047BE">
        <w:rPr>
          <w:sz w:val="24"/>
        </w:rPr>
        <w:t>Pu</w:t>
      </w:r>
      <w:r>
        <w:rPr>
          <w:sz w:val="24"/>
        </w:rPr>
        <w:t xml:space="preserve"> isobar were taken from the AMS due to various constraints. Therefore, the </w:t>
      </w:r>
      <w:r w:rsidRPr="008D1FBF">
        <w:rPr>
          <w:sz w:val="24"/>
          <w:vertAlign w:val="superscript"/>
        </w:rPr>
        <w:t>244</w:t>
      </w:r>
      <w:r w:rsidRPr="008047BE">
        <w:rPr>
          <w:sz w:val="24"/>
        </w:rPr>
        <w:t>Pu</w:t>
      </w:r>
      <w:r>
        <w:rPr>
          <w:sz w:val="24"/>
        </w:rPr>
        <w:t xml:space="preserve"> values measured from AMS </w:t>
      </w:r>
      <w:r w:rsidR="00D84D0B">
        <w:rPr>
          <w:sz w:val="24"/>
        </w:rPr>
        <w:t>comprise</w:t>
      </w:r>
      <w:r>
        <w:rPr>
          <w:sz w:val="24"/>
        </w:rPr>
        <w:t xml:space="preserve"> the mass of </w:t>
      </w:r>
      <w:r w:rsidRPr="008D1FBF">
        <w:rPr>
          <w:sz w:val="24"/>
          <w:vertAlign w:val="superscript"/>
        </w:rPr>
        <w:t>244</w:t>
      </w:r>
      <w:r w:rsidRPr="008047BE">
        <w:rPr>
          <w:sz w:val="24"/>
        </w:rPr>
        <w:t>Pu</w:t>
      </w:r>
      <w:r>
        <w:rPr>
          <w:sz w:val="24"/>
        </w:rPr>
        <w:t xml:space="preserve"> and </w:t>
      </w:r>
      <w:r w:rsidRPr="008D1FBF">
        <w:rPr>
          <w:sz w:val="24"/>
          <w:vertAlign w:val="superscript"/>
        </w:rPr>
        <w:t>244</w:t>
      </w:r>
      <w:r>
        <w:rPr>
          <w:sz w:val="24"/>
        </w:rPr>
        <w:t>Cm. Comparisons can still be made between the project samples and</w:t>
      </w:r>
      <w:r w:rsidR="00D84D0B">
        <w:rPr>
          <w:sz w:val="24"/>
        </w:rPr>
        <w:t xml:space="preserve"> the</w:t>
      </w:r>
      <w:r>
        <w:rPr>
          <w:sz w:val="24"/>
        </w:rPr>
        <w:t xml:space="preserve"> literature,</w:t>
      </w:r>
      <w:r w:rsidR="00D84D0B">
        <w:rPr>
          <w:sz w:val="24"/>
        </w:rPr>
        <w:t xml:space="preserve"> although</w:t>
      </w:r>
      <w:r>
        <w:rPr>
          <w:sz w:val="24"/>
        </w:rPr>
        <w:t xml:space="preserve"> the reader must be mindful that the actual </w:t>
      </w:r>
      <w:r w:rsidRPr="008D1FBF">
        <w:rPr>
          <w:sz w:val="24"/>
          <w:vertAlign w:val="superscript"/>
        </w:rPr>
        <w:t>244</w:t>
      </w:r>
      <w:r w:rsidRPr="008047BE">
        <w:rPr>
          <w:sz w:val="24"/>
        </w:rPr>
        <w:t>Pu/</w:t>
      </w:r>
      <w:r w:rsidRPr="008D1FBF">
        <w:rPr>
          <w:sz w:val="24"/>
          <w:vertAlign w:val="superscript"/>
        </w:rPr>
        <w:t>239</w:t>
      </w:r>
      <w:r w:rsidRPr="008047BE">
        <w:rPr>
          <w:sz w:val="24"/>
        </w:rPr>
        <w:t>Pu</w:t>
      </w:r>
      <w:r>
        <w:rPr>
          <w:sz w:val="24"/>
        </w:rPr>
        <w:t xml:space="preserve"> ratio for the project samples will be lower than that presented</w:t>
      </w:r>
      <w:r w:rsidR="00D84D0B">
        <w:rPr>
          <w:sz w:val="24"/>
        </w:rPr>
        <w:t xml:space="preserve"> for this reason</w:t>
      </w:r>
      <w:r>
        <w:rPr>
          <w:sz w:val="24"/>
        </w:rPr>
        <w:t>.</w:t>
      </w:r>
    </w:p>
    <w:p w14:paraId="3005AB4B" w14:textId="168DC242" w:rsidR="00F37CA9" w:rsidRDefault="00F37CA9" w:rsidP="00F37CA9">
      <w:pPr>
        <w:tabs>
          <w:tab w:val="left" w:pos="3075"/>
        </w:tabs>
        <w:spacing w:line="480" w:lineRule="auto"/>
        <w:ind w:firstLine="567"/>
        <w:rPr>
          <w:sz w:val="24"/>
        </w:rPr>
      </w:pPr>
      <w:r>
        <w:rPr>
          <w:sz w:val="24"/>
        </w:rPr>
        <w:t xml:space="preserve">Even with a larger than representative </w:t>
      </w:r>
      <w:r w:rsidRPr="008D1FBF">
        <w:rPr>
          <w:sz w:val="24"/>
          <w:vertAlign w:val="superscript"/>
        </w:rPr>
        <w:t>244</w:t>
      </w:r>
      <w:r w:rsidRPr="008047BE">
        <w:rPr>
          <w:sz w:val="24"/>
        </w:rPr>
        <w:t>Pu/</w:t>
      </w:r>
      <w:r w:rsidRPr="008D1FBF">
        <w:rPr>
          <w:sz w:val="24"/>
          <w:vertAlign w:val="superscript"/>
        </w:rPr>
        <w:t>239</w:t>
      </w:r>
      <w:r w:rsidRPr="008047BE">
        <w:rPr>
          <w:sz w:val="24"/>
        </w:rPr>
        <w:t>Pu</w:t>
      </w:r>
      <w:r>
        <w:rPr>
          <w:sz w:val="24"/>
        </w:rPr>
        <w:t xml:space="preserve"> ratio, the project sample is within the range of two values presented by Steier et al of Salzburg soil and Irish Sea debris (affected by Sellafield emission)</w:t>
      </w:r>
      <w:r w:rsidR="00640AF8">
        <w:rPr>
          <w:sz w:val="24"/>
        </w:rPr>
        <w:fldChar w:fldCharType="begin" w:fldLock="1"/>
      </w:r>
      <w:r w:rsidR="00767A68">
        <w:rPr>
          <w:sz w:val="24"/>
        </w:rPr>
        <w:instrText>ADDIN CSL_CITATION {"citationItems":[{"id":"ITEM-1","itemData":{"DOI":"10.1016/j.nimb.2012.06.017","ISSN":"0168583X","PMID":"23565016","abstract":"VERA, the Vienna Environmental Research Accelerator, is especially equipped for the measurement of actinides, and performs a growing number of measurements on environmental samples. While AMS is not the optimum method for each particular plutonium isotope, the possibility to measure (239)Pu, (240)Pu, (241)Pu, (242)Pu and (244)Pu on the same AMS sputter target is a great simplification. We have obtained a first result on the global fallout value of (244)Pu/(239)Pu = (5.7 ± 1.0) × 10(-5) based on soil samples from Salzburg prefecture, Austria. Furthermore, we suggest using the (242)Pu/(240)Pu ratio as an estimate of the initial (241)Pu/(239)Pu ratio, which allows dating of the time of irradiation based solely on Pu isotopes. We have checked the validity of this estimate using literature data, simulations, and environmental samples from soil from the Salzburg prefecture (Austria), from the shut down Garigliano Nuclear Power Plant (Sessa Aurunca, Italy) and from the Irish Sea near the Sellafield nuclear facility. The maximum deviation of the estimated dates from the expected ages is 6 years, while relative dating of material from the same source seems to be possible with a precision of less than 2 years. Additional information carried by the minor plutonium isotopes may allow further improvements of the precision of the method.","author":[{"dropping-particle":"","family":"Steier","given":"P","non-dropping-particle":"","parse-names":false,"suffix":""},{"dropping-particle":"","family":"Hrnecek","given":"E","non-dropping-particle":"","parse-names":false,"suffix":""},{"dropping-particle":"","family":"Priller","given":"A","non-dropping-particle":"","parse-names":false,"suffix":""},{"dropping-particle":"","family":"Quinto","given":"F","non-dropping-particle":"","parse-names":false,"suffix":""},{"dropping-particle":"","family":"Srncik","given":"M","non-dropping-particle":"","parse-names":false,"suffix":""},{"dropping-particle":"","family":"Wallner","given":"A.","non-dropping-particle":"","parse-names":false,"suffix":""},{"dropping-particle":"","family":"Wallner","given":"G","non-dropping-particle":"","parse-names":false,"suffix":""},{"dropping-particle":"","family":"Winkler","given":"S","non-dropping-particle":"","parse-names":false,"suffix":""}],"container-title":"Nuclear Instruments and Methods in Physics Research Section B: Beam Interactions with Materials and Atoms","id":"ITEM-1","issue":"2-2","issued":{"date-parts":[["2013","1"]]},"page":"160-164","publisher":"Elsevier","title":"AMS of the Minor Plutonium Isotopes","type":"article-journal","volume":"294"},"uris":["http://www.mendeley.com/documents/?uuid=05b1f9d1-7369-3cb1-b743-0bc252b99de6"]}],"mendeley":{"formattedCitation":"[64]","plainTextFormattedCitation":"[64]","previouslyFormattedCitation":"[64]"},"properties":{"noteIndex":0},"schema":"https://github.com/citation-style-language/schema/raw/master/csl-citation.json"}</w:instrText>
      </w:r>
      <w:r w:rsidR="00640AF8">
        <w:rPr>
          <w:sz w:val="24"/>
        </w:rPr>
        <w:fldChar w:fldCharType="separate"/>
      </w:r>
      <w:r w:rsidR="000B0F18" w:rsidRPr="000B0F18">
        <w:rPr>
          <w:noProof/>
          <w:sz w:val="24"/>
        </w:rPr>
        <w:t>[64]</w:t>
      </w:r>
      <w:r w:rsidR="00640AF8">
        <w:rPr>
          <w:sz w:val="24"/>
        </w:rPr>
        <w:fldChar w:fldCharType="end"/>
      </w:r>
      <w:r>
        <w:rPr>
          <w:sz w:val="24"/>
        </w:rPr>
        <w:t xml:space="preserve">. The combined </w:t>
      </w:r>
      <w:r w:rsidRPr="008D1FBF">
        <w:rPr>
          <w:sz w:val="24"/>
          <w:vertAlign w:val="superscript"/>
        </w:rPr>
        <w:t>244</w:t>
      </w:r>
      <w:r w:rsidRPr="008047BE">
        <w:rPr>
          <w:sz w:val="24"/>
        </w:rPr>
        <w:t>Pu</w:t>
      </w:r>
      <w:r>
        <w:rPr>
          <w:sz w:val="24"/>
        </w:rPr>
        <w:t xml:space="preserve"> isobar values from this project present at (1.6±0.7) x10</w:t>
      </w:r>
      <w:r>
        <w:rPr>
          <w:sz w:val="24"/>
          <w:vertAlign w:val="superscript"/>
        </w:rPr>
        <w:t>-5</w:t>
      </w:r>
      <w:r>
        <w:rPr>
          <w:sz w:val="24"/>
        </w:rPr>
        <w:t>, while Salzburg soil (used as an estimate for global fallout only) demonstrates a higher ratio at (5.7±1) x10</w:t>
      </w:r>
      <w:r>
        <w:rPr>
          <w:sz w:val="24"/>
          <w:vertAlign w:val="superscript"/>
        </w:rPr>
        <w:t>-5</w:t>
      </w:r>
      <w:r>
        <w:rPr>
          <w:sz w:val="24"/>
        </w:rPr>
        <w:t xml:space="preserve"> and Irish Sea debris is &lt;3.5 x10</w:t>
      </w:r>
      <w:r>
        <w:rPr>
          <w:sz w:val="24"/>
          <w:vertAlign w:val="superscript"/>
        </w:rPr>
        <w:t>-6</w:t>
      </w:r>
      <w:r>
        <w:rPr>
          <w:sz w:val="24"/>
        </w:rPr>
        <w:t>.</w:t>
      </w:r>
    </w:p>
    <w:p w14:paraId="7D3AAF30" w14:textId="01441E89" w:rsidR="00F37CA9" w:rsidRPr="006E0D82" w:rsidRDefault="00F37CA9" w:rsidP="00F37CA9">
      <w:pPr>
        <w:tabs>
          <w:tab w:val="left" w:pos="3075"/>
        </w:tabs>
        <w:spacing w:line="480" w:lineRule="auto"/>
        <w:ind w:firstLine="567"/>
        <w:rPr>
          <w:sz w:val="24"/>
        </w:rPr>
      </w:pPr>
      <w:r>
        <w:rPr>
          <w:sz w:val="24"/>
        </w:rPr>
        <w:t xml:space="preserve">While a conclusion based only on this data set would be tenuous at best, it does confirm that the DSRL samples are within a reasonable range of </w:t>
      </w:r>
      <w:r w:rsidRPr="008D1FBF">
        <w:rPr>
          <w:sz w:val="24"/>
          <w:vertAlign w:val="superscript"/>
        </w:rPr>
        <w:t>244</w:t>
      </w:r>
      <w:r w:rsidRPr="008047BE">
        <w:rPr>
          <w:sz w:val="24"/>
        </w:rPr>
        <w:t>Pu</w:t>
      </w:r>
      <w:r>
        <w:rPr>
          <w:sz w:val="24"/>
        </w:rPr>
        <w:t xml:space="preserve"> abundance, which suggests that the samples have not been subjected to contamination greater than that of fallout.</w:t>
      </w:r>
    </w:p>
    <w:p w14:paraId="4F5FCCA8" w14:textId="77777777" w:rsidR="00F37CA9" w:rsidRPr="002E7271" w:rsidRDefault="00F37CA9" w:rsidP="00F37CA9">
      <w:pPr>
        <w:tabs>
          <w:tab w:val="left" w:pos="3075"/>
        </w:tabs>
        <w:spacing w:line="480" w:lineRule="auto"/>
        <w:rPr>
          <w:b/>
          <w:sz w:val="28"/>
        </w:rPr>
      </w:pPr>
      <w:r w:rsidRPr="005A775C">
        <w:rPr>
          <w:b/>
          <w:sz w:val="28"/>
        </w:rPr>
        <w:lastRenderedPageBreak/>
        <w:t>4.</w:t>
      </w:r>
      <w:r>
        <w:rPr>
          <w:b/>
          <w:sz w:val="28"/>
        </w:rPr>
        <w:t>4</w:t>
      </w:r>
      <w:r w:rsidRPr="005A775C">
        <w:rPr>
          <w:b/>
          <w:sz w:val="28"/>
        </w:rPr>
        <w:t xml:space="preserve"> </w:t>
      </w:r>
      <w:r>
        <w:rPr>
          <w:b/>
          <w:sz w:val="28"/>
        </w:rPr>
        <w:t>Summary</w:t>
      </w:r>
      <w:r w:rsidRPr="0053257E">
        <w:rPr>
          <w:sz w:val="24"/>
          <w:szCs w:val="24"/>
        </w:rPr>
        <w:t xml:space="preserve"> </w:t>
      </w:r>
    </w:p>
    <w:p w14:paraId="293B2B90" w14:textId="52C66145" w:rsidR="00F37CA9" w:rsidRDefault="00F37CA9" w:rsidP="00F37CA9">
      <w:pPr>
        <w:tabs>
          <w:tab w:val="left" w:pos="3075"/>
        </w:tabs>
        <w:spacing w:line="480" w:lineRule="auto"/>
        <w:ind w:firstLine="567"/>
        <w:rPr>
          <w:sz w:val="24"/>
        </w:rPr>
      </w:pPr>
      <w:r>
        <w:rPr>
          <w:sz w:val="24"/>
        </w:rPr>
        <w:t xml:space="preserve">Overall comparison between the gamma spectra and AMS results validates the lack of </w:t>
      </w:r>
      <w:r w:rsidR="00F3631B">
        <w:rPr>
          <w:sz w:val="24"/>
        </w:rPr>
        <w:t xml:space="preserve">visible </w:t>
      </w:r>
      <w:r>
        <w:rPr>
          <w:sz w:val="24"/>
        </w:rPr>
        <w:t>plutonium peaks within the</w:t>
      </w:r>
      <w:r w:rsidR="00F3631B">
        <w:rPr>
          <w:sz w:val="24"/>
        </w:rPr>
        <w:t xml:space="preserve"> gamma</w:t>
      </w:r>
      <w:r>
        <w:rPr>
          <w:sz w:val="24"/>
        </w:rPr>
        <w:t xml:space="preserve"> spectra. The plutonium abundance reported by the AMS reveals levels too low to display significant peaks in the soil at such a high uranium abundance, due to the</w:t>
      </w:r>
      <w:r w:rsidR="00F72DB9">
        <w:rPr>
          <w:sz w:val="24"/>
        </w:rPr>
        <w:t xml:space="preserve"> uranium decay chain</w:t>
      </w:r>
      <w:r>
        <w:rPr>
          <w:sz w:val="24"/>
        </w:rPr>
        <w:t xml:space="preserve"> gamma background.</w:t>
      </w:r>
    </w:p>
    <w:p w14:paraId="5E0307AE" w14:textId="7F889252" w:rsidR="00F37CA9" w:rsidRDefault="00F37CA9" w:rsidP="00F37CA9">
      <w:pPr>
        <w:tabs>
          <w:tab w:val="left" w:pos="3075"/>
        </w:tabs>
        <w:spacing w:line="480" w:lineRule="auto"/>
        <w:ind w:firstLine="567"/>
        <w:rPr>
          <w:sz w:val="24"/>
        </w:rPr>
      </w:pPr>
      <w:r>
        <w:rPr>
          <w:sz w:val="24"/>
        </w:rPr>
        <w:t xml:space="preserve">Comparisons between the gamma-ray spectra and the neutron detection results show correlating results as both sets of measurements displayed very low levels of sample radioactivity. The gamma results demonstrated this through the presence of an </w:t>
      </w:r>
      <w:r>
        <w:rPr>
          <w:sz w:val="24"/>
          <w:vertAlign w:val="superscript"/>
        </w:rPr>
        <w:t>241</w:t>
      </w:r>
      <w:r>
        <w:rPr>
          <w:sz w:val="24"/>
        </w:rPr>
        <w:t>Am peak – the only peak originating from a plutonium decay chain amongst spectra inundated with uranium</w:t>
      </w:r>
      <w:r w:rsidR="00D84D0B">
        <w:rPr>
          <w:sz w:val="24"/>
        </w:rPr>
        <w:t xml:space="preserve"> and thorium</w:t>
      </w:r>
      <w:r>
        <w:rPr>
          <w:sz w:val="24"/>
        </w:rPr>
        <w:t xml:space="preserve"> decay emissions, consistent throughout the samples.</w:t>
      </w:r>
      <w:r w:rsidR="000838AF">
        <w:rPr>
          <w:sz w:val="24"/>
        </w:rPr>
        <w:t xml:space="preserve"> This </w:t>
      </w:r>
      <w:r w:rsidR="00EC63E6">
        <w:rPr>
          <w:sz w:val="24"/>
          <w:vertAlign w:val="superscript"/>
        </w:rPr>
        <w:t>241</w:t>
      </w:r>
      <w:r w:rsidR="00EC63E6">
        <w:rPr>
          <w:sz w:val="24"/>
        </w:rPr>
        <w:t xml:space="preserve">Am peak measurement is supported by </w:t>
      </w:r>
      <w:r w:rsidR="0076360E">
        <w:rPr>
          <w:sz w:val="24"/>
        </w:rPr>
        <w:fldChar w:fldCharType="begin"/>
      </w:r>
      <w:r w:rsidR="0076360E">
        <w:rPr>
          <w:sz w:val="24"/>
        </w:rPr>
        <w:instrText xml:space="preserve"> REF _Ref31286036 \h  \* MERGEFORMAT </w:instrText>
      </w:r>
      <w:r w:rsidR="0076360E">
        <w:rPr>
          <w:sz w:val="24"/>
        </w:rPr>
      </w:r>
      <w:r w:rsidR="0076360E">
        <w:rPr>
          <w:sz w:val="24"/>
        </w:rPr>
        <w:fldChar w:fldCharType="separate"/>
      </w:r>
      <w:r w:rsidR="00161FDC" w:rsidRPr="00161FDC">
        <w:rPr>
          <w:sz w:val="24"/>
        </w:rPr>
        <w:t>Figure 34</w:t>
      </w:r>
      <w:r w:rsidR="0076360E">
        <w:rPr>
          <w:sz w:val="24"/>
        </w:rPr>
        <w:fldChar w:fldCharType="end"/>
      </w:r>
      <w:r w:rsidR="00876D0D">
        <w:rPr>
          <w:sz w:val="24"/>
        </w:rPr>
        <w:t xml:space="preserve">, where the </w:t>
      </w:r>
      <w:r w:rsidR="003276E1">
        <w:rPr>
          <w:sz w:val="24"/>
        </w:rPr>
        <w:t xml:space="preserve">on-site samples show comparable ratios to the Salzburg site sample, which is considered the standard for global average. </w:t>
      </w:r>
      <w:r w:rsidR="009D6DD7">
        <w:rPr>
          <w:sz w:val="24"/>
        </w:rPr>
        <w:t xml:space="preserve">The fact that the ‘Away’ (Malham and Biggin) samples show </w:t>
      </w:r>
      <w:r w:rsidR="009A5622">
        <w:rPr>
          <w:sz w:val="24"/>
        </w:rPr>
        <w:t>a significantly higher average ratio than the Salzburg sample</w:t>
      </w:r>
      <w:r w:rsidR="00BB69A1">
        <w:rPr>
          <w:sz w:val="24"/>
        </w:rPr>
        <w:t xml:space="preserve"> also shows good agreement between the gamma-ray and AMS measurements, as the ‘Away’ samples demonstrated higher </w:t>
      </w:r>
      <w:r w:rsidR="002A21AE">
        <w:rPr>
          <w:sz w:val="24"/>
          <w:vertAlign w:val="superscript"/>
        </w:rPr>
        <w:t>241</w:t>
      </w:r>
      <w:r w:rsidR="00E901A5">
        <w:rPr>
          <w:sz w:val="24"/>
        </w:rPr>
        <w:t>Am abundance within the sam</w:t>
      </w:r>
      <w:r w:rsidR="005575DB">
        <w:rPr>
          <w:sz w:val="24"/>
        </w:rPr>
        <w:t>ple sets.</w:t>
      </w:r>
    </w:p>
    <w:p w14:paraId="354A8C48" w14:textId="14B6750F" w:rsidR="00F37CA9" w:rsidRDefault="00F37CA9" w:rsidP="00F37CA9">
      <w:pPr>
        <w:tabs>
          <w:tab w:val="left" w:pos="3075"/>
        </w:tabs>
        <w:spacing w:line="480" w:lineRule="auto"/>
        <w:ind w:firstLine="567"/>
        <w:rPr>
          <w:sz w:val="24"/>
        </w:rPr>
      </w:pPr>
      <w:r>
        <w:rPr>
          <w:sz w:val="24"/>
        </w:rPr>
        <w:t>The low abundances of actinides reported by the AMS measurements confirm the low neutron counts measured from the samples in the 16-detector array. However, the low neutron counts did not</w:t>
      </w:r>
      <w:r w:rsidR="00D24BE8">
        <w:rPr>
          <w:sz w:val="24"/>
        </w:rPr>
        <w:t xml:space="preserve"> allow</w:t>
      </w:r>
      <w:r>
        <w:rPr>
          <w:sz w:val="24"/>
        </w:rPr>
        <w:t xml:space="preserve"> confirm</w:t>
      </w:r>
      <w:r w:rsidR="00D24BE8">
        <w:rPr>
          <w:sz w:val="24"/>
        </w:rPr>
        <w:t>ation of</w:t>
      </w:r>
      <w:r>
        <w:rPr>
          <w:sz w:val="24"/>
        </w:rPr>
        <w:t xml:space="preserve"> the array’s ability to identify high levels of plutonium in soil samples. This ability was confirmed by the spiked soil samples. The 45</w:t>
      </w:r>
      <w:r w:rsidR="00D84D0B">
        <w:rPr>
          <w:sz w:val="24"/>
        </w:rPr>
        <w:t xml:space="preserve"> </w:t>
      </w:r>
      <w:r>
        <w:rPr>
          <w:sz w:val="24"/>
        </w:rPr>
        <w:t xml:space="preserve">ng </w:t>
      </w:r>
      <w:r w:rsidRPr="00C808F7">
        <w:rPr>
          <w:sz w:val="24"/>
          <w:vertAlign w:val="superscript"/>
        </w:rPr>
        <w:t>240</w:t>
      </w:r>
      <w:r>
        <w:rPr>
          <w:sz w:val="24"/>
        </w:rPr>
        <w:t>Pu spike is equivalent to approximately 1</w:t>
      </w:r>
      <w:r w:rsidR="00D84D0B">
        <w:rPr>
          <w:sz w:val="24"/>
        </w:rPr>
        <w:t xml:space="preserve"> </w:t>
      </w:r>
      <w:r>
        <w:rPr>
          <w:sz w:val="24"/>
        </w:rPr>
        <w:t>Bq/g of activity in the 313</w:t>
      </w:r>
      <w:r w:rsidR="00D84D0B">
        <w:rPr>
          <w:sz w:val="24"/>
        </w:rPr>
        <w:t xml:space="preserve"> </w:t>
      </w:r>
      <w:r>
        <w:rPr>
          <w:sz w:val="24"/>
        </w:rPr>
        <w:t>g soil sample, which has shown to demonstrate a significantly higher neutron emission than the un-spiked sample.</w:t>
      </w:r>
    </w:p>
    <w:p w14:paraId="07F4797B" w14:textId="1A6CB3DF" w:rsidR="00F37CA9" w:rsidRDefault="00F37CA9" w:rsidP="00F37CA9">
      <w:pPr>
        <w:tabs>
          <w:tab w:val="left" w:pos="3075"/>
        </w:tabs>
        <w:spacing w:line="480" w:lineRule="auto"/>
        <w:ind w:firstLine="567"/>
        <w:rPr>
          <w:sz w:val="24"/>
        </w:rPr>
      </w:pPr>
      <w:r>
        <w:rPr>
          <w:sz w:val="24"/>
        </w:rPr>
        <w:lastRenderedPageBreak/>
        <w:t xml:space="preserve">From the research presented, it is reasonable to conclude that there has been </w:t>
      </w:r>
      <w:r w:rsidR="00AF6030">
        <w:rPr>
          <w:sz w:val="24"/>
        </w:rPr>
        <w:t>no noticeable, plutonium-related</w:t>
      </w:r>
      <w:r>
        <w:rPr>
          <w:sz w:val="24"/>
        </w:rPr>
        <w:t xml:space="preserve"> contamination in the DSRL soil samples, other than that </w:t>
      </w:r>
      <w:r w:rsidR="00AF6030">
        <w:rPr>
          <w:sz w:val="24"/>
        </w:rPr>
        <w:t xml:space="preserve">consistent with that </w:t>
      </w:r>
      <w:r>
        <w:rPr>
          <w:sz w:val="24"/>
        </w:rPr>
        <w:t>reported globally.</w:t>
      </w:r>
    </w:p>
    <w:p w14:paraId="48E5168F" w14:textId="54789CBD" w:rsidR="00F37CA9" w:rsidRDefault="00F37CA9" w:rsidP="00F37CA9">
      <w:pPr>
        <w:tabs>
          <w:tab w:val="left" w:pos="3075"/>
        </w:tabs>
        <w:spacing w:line="480" w:lineRule="auto"/>
        <w:ind w:firstLine="567"/>
        <w:rPr>
          <w:sz w:val="24"/>
        </w:rPr>
      </w:pPr>
      <w:r>
        <w:rPr>
          <w:sz w:val="24"/>
        </w:rPr>
        <w:t xml:space="preserve">The samples are consistent with global averages for fallout in both </w:t>
      </w:r>
      <w:r w:rsidRPr="00C808F7">
        <w:rPr>
          <w:sz w:val="24"/>
          <w:vertAlign w:val="superscript"/>
        </w:rPr>
        <w:t>24</w:t>
      </w:r>
      <w:r>
        <w:rPr>
          <w:sz w:val="24"/>
          <w:vertAlign w:val="superscript"/>
        </w:rPr>
        <w:t>1</w:t>
      </w:r>
      <w:r>
        <w:rPr>
          <w:sz w:val="24"/>
        </w:rPr>
        <w:t>Pu/</w:t>
      </w:r>
      <w:r w:rsidRPr="00C808F7">
        <w:rPr>
          <w:sz w:val="24"/>
          <w:vertAlign w:val="superscript"/>
        </w:rPr>
        <w:t>2</w:t>
      </w:r>
      <w:r>
        <w:rPr>
          <w:sz w:val="24"/>
          <w:vertAlign w:val="superscript"/>
        </w:rPr>
        <w:t>39</w:t>
      </w:r>
      <w:r>
        <w:rPr>
          <w:sz w:val="24"/>
        </w:rPr>
        <w:t xml:space="preserve">Pu and </w:t>
      </w:r>
      <w:r w:rsidRPr="00C808F7">
        <w:rPr>
          <w:sz w:val="24"/>
          <w:vertAlign w:val="superscript"/>
        </w:rPr>
        <w:t>24</w:t>
      </w:r>
      <w:r>
        <w:rPr>
          <w:sz w:val="24"/>
          <w:vertAlign w:val="superscript"/>
        </w:rPr>
        <w:t>2</w:t>
      </w:r>
      <w:r>
        <w:rPr>
          <w:sz w:val="24"/>
        </w:rPr>
        <w:t>Pu/</w:t>
      </w:r>
      <w:r w:rsidRPr="00C808F7">
        <w:rPr>
          <w:sz w:val="24"/>
          <w:vertAlign w:val="superscript"/>
        </w:rPr>
        <w:t>2</w:t>
      </w:r>
      <w:r>
        <w:rPr>
          <w:sz w:val="24"/>
          <w:vertAlign w:val="superscript"/>
        </w:rPr>
        <w:t>39</w:t>
      </w:r>
      <w:r>
        <w:rPr>
          <w:sz w:val="24"/>
        </w:rPr>
        <w:t xml:space="preserve">Pu ratios, though they differ slightly from global </w:t>
      </w:r>
      <w:r w:rsidRPr="00C808F7">
        <w:rPr>
          <w:sz w:val="24"/>
          <w:vertAlign w:val="superscript"/>
        </w:rPr>
        <w:t>24</w:t>
      </w:r>
      <w:r>
        <w:rPr>
          <w:sz w:val="24"/>
          <w:vertAlign w:val="superscript"/>
        </w:rPr>
        <w:t>0</w:t>
      </w:r>
      <w:r>
        <w:rPr>
          <w:sz w:val="24"/>
        </w:rPr>
        <w:t>Pu/</w:t>
      </w:r>
      <w:r w:rsidRPr="00C808F7">
        <w:rPr>
          <w:sz w:val="24"/>
          <w:vertAlign w:val="superscript"/>
        </w:rPr>
        <w:t>2</w:t>
      </w:r>
      <w:r>
        <w:rPr>
          <w:sz w:val="24"/>
          <w:vertAlign w:val="superscript"/>
        </w:rPr>
        <w:t>39</w:t>
      </w:r>
      <w:r>
        <w:rPr>
          <w:sz w:val="24"/>
        </w:rPr>
        <w:t>Pu average ratios.</w:t>
      </w:r>
    </w:p>
    <w:p w14:paraId="179F529B" w14:textId="78826F4B" w:rsidR="00F37CA9" w:rsidRDefault="00F37CA9" w:rsidP="00F37CA9">
      <w:pPr>
        <w:tabs>
          <w:tab w:val="left" w:pos="3075"/>
        </w:tabs>
        <w:spacing w:line="480" w:lineRule="auto"/>
        <w:ind w:firstLine="567"/>
        <w:rPr>
          <w:sz w:val="24"/>
        </w:rPr>
      </w:pPr>
      <w:r>
        <w:rPr>
          <w:sz w:val="24"/>
        </w:rPr>
        <w:t xml:space="preserve">Overall, the sample averages are consistent with global fallout. When separated to different sample types, the ‘Away’ samples remain consistent with the global fallout average </w:t>
      </w:r>
      <w:r w:rsidR="00640AF8">
        <w:rPr>
          <w:sz w:val="24"/>
        </w:rPr>
        <w:fldChar w:fldCharType="begin" w:fldLock="1"/>
      </w:r>
      <w:r w:rsidR="00767A68">
        <w:rPr>
          <w:sz w:val="24"/>
        </w:rPr>
        <w:instrText>ADDIN CSL_CITATION {"citationItems":[{"id":"ITEM-1","itemData":{"abstract":"The mass isotopic content of fall-out plutonium in soil samples collected from around the world in 1970 and 1971 showed some variability which correlated with the location of nuclear weapons test sites. Omitting local effects, the global mean ratios of 240Pu/239Pu, 241Pu/239Pu and 242Pu/239Pu are 0.176+-0.014, 0.0086+-0.0017 and 0.0044+-0.0011, respectively, corrected to January 1971. Such isotopic data provide the most sensitive technique to resolve mixtures of fall-out plutonium with plutonium from a second source. From these data, the 241Am/sup(239,240)Pu activity ratio of integrated fall-out on the earth's surface can be estimated and will peak at 0.42 in the year 2037","author":[{"dropping-particle":"","family":"Krey","given":"P.W.","non-dropping-particle":"","parse-names":false,"suffix":""},{"dropping-particle":"","family":"Hardy","given":"E.P.","non-dropping-particle":"","parse-names":false,"suffix":""},{"dropping-particle":"","family":"Benson","given":"W.K.","non-dropping-particle":"","parse-names":false,"suffix":""}],"container-title":"Symposium on transuranium nuclides in the environment","id":"ITEM-1","issued":{"date-parts":[["1976"]]},"page":"671-677","publisher-place":"San Francisco","title":"Mass Isotopic Composition of Global Fall-Out Plutonium in Soil","type":"paper-conference"},"uris":["http://www.mendeley.com/documents/?uuid=a88e2888-53f4-4639-a568-644f256133cc"]}],"mendeley":{"formattedCitation":"[66]","plainTextFormattedCitation":"[66]","previouslyFormattedCitation":"[66]"},"properties":{"noteIndex":0},"schema":"https://github.com/citation-style-language/schema/raw/master/csl-citation.json"}</w:instrText>
      </w:r>
      <w:r w:rsidR="00640AF8">
        <w:rPr>
          <w:sz w:val="24"/>
        </w:rPr>
        <w:fldChar w:fldCharType="separate"/>
      </w:r>
      <w:r w:rsidR="000B0F18" w:rsidRPr="000B0F18">
        <w:rPr>
          <w:noProof/>
          <w:sz w:val="24"/>
        </w:rPr>
        <w:t>[66]</w:t>
      </w:r>
      <w:r w:rsidR="00640AF8">
        <w:rPr>
          <w:sz w:val="24"/>
        </w:rPr>
        <w:fldChar w:fldCharType="end"/>
      </w:r>
      <w:r>
        <w:rPr>
          <w:sz w:val="24"/>
        </w:rPr>
        <w:t xml:space="preserve"> while all samples collected around Dounreay, both on and off site are significantly lower than the average for fallout. If only the on-site samples were significantly lower than the fallout average while off-site remained consistent, it would have led to a conclusion of on-site contamination. However, both sample types display significantly lower ratios than the global averages, which means that this result is unlikely to be the cause of Dounreay site activities. The results are more likely symptomatic of the previously reported high uranium abundance of the local geology, where the abundant </w:t>
      </w:r>
      <w:r w:rsidRPr="00C808F7">
        <w:rPr>
          <w:sz w:val="24"/>
          <w:vertAlign w:val="superscript"/>
        </w:rPr>
        <w:t>2</w:t>
      </w:r>
      <w:r>
        <w:rPr>
          <w:sz w:val="24"/>
          <w:vertAlign w:val="superscript"/>
        </w:rPr>
        <w:t>38</w:t>
      </w:r>
      <w:r>
        <w:rPr>
          <w:sz w:val="24"/>
        </w:rPr>
        <w:t xml:space="preserve">U accepts neutrons and convert to </w:t>
      </w:r>
      <w:r w:rsidRPr="00C808F7">
        <w:rPr>
          <w:sz w:val="24"/>
          <w:vertAlign w:val="superscript"/>
        </w:rPr>
        <w:t>2</w:t>
      </w:r>
      <w:r>
        <w:rPr>
          <w:sz w:val="24"/>
          <w:vertAlign w:val="superscript"/>
        </w:rPr>
        <w:t>39</w:t>
      </w:r>
      <w:r>
        <w:rPr>
          <w:sz w:val="24"/>
        </w:rPr>
        <w:t>Pu through natural acceptance of neutrons</w:t>
      </w:r>
      <w:r w:rsidR="00D24BE8">
        <w:rPr>
          <w:sz w:val="24"/>
        </w:rPr>
        <w:t>, and also the historical presence of breeder reactors.</w:t>
      </w:r>
    </w:p>
    <w:p w14:paraId="5630B1F0" w14:textId="31D6A005" w:rsidR="00F37CA9" w:rsidRDefault="00F37CA9" w:rsidP="00F37CA9">
      <w:pPr>
        <w:tabs>
          <w:tab w:val="left" w:pos="3075"/>
        </w:tabs>
        <w:spacing w:line="480" w:lineRule="auto"/>
        <w:ind w:firstLine="567"/>
        <w:rPr>
          <w:sz w:val="24"/>
        </w:rPr>
      </w:pPr>
      <w:r>
        <w:rPr>
          <w:sz w:val="24"/>
        </w:rPr>
        <w:t xml:space="preserve">Distinguishing between two low mass samples by measuring neutrons has been shown to be possible, however it is likely that a lower mass of material could be discerned in a larger sample size for a longer counting period. Further, an increase in the number of detectors and detector coverage of the samples (currently at approximately two thirds coverage) could further increase the array sensitivity. The measurements in this study were subject to time, space, and material limitations that would </w:t>
      </w:r>
      <w:r w:rsidR="00B21994">
        <w:rPr>
          <w:sz w:val="24"/>
        </w:rPr>
        <w:t>be less</w:t>
      </w:r>
      <w:r>
        <w:rPr>
          <w:sz w:val="24"/>
        </w:rPr>
        <w:t xml:space="preserve"> of a barrier in applications outside of research.</w:t>
      </w:r>
      <w:r w:rsidR="00B21994">
        <w:rPr>
          <w:sz w:val="24"/>
        </w:rPr>
        <w:t xml:space="preserve"> In the same vein, repeat measurements of </w:t>
      </w:r>
      <w:r w:rsidR="00CB1F0B">
        <w:rPr>
          <w:sz w:val="24"/>
        </w:rPr>
        <w:t xml:space="preserve">the gamma and AMS </w:t>
      </w:r>
      <w:r w:rsidR="00B21994">
        <w:rPr>
          <w:sz w:val="24"/>
        </w:rPr>
        <w:lastRenderedPageBreak/>
        <w:t>techniqu</w:t>
      </w:r>
      <w:r w:rsidR="00CB1F0B">
        <w:rPr>
          <w:sz w:val="24"/>
        </w:rPr>
        <w:t>es</w:t>
      </w:r>
      <w:r w:rsidR="00B21994">
        <w:rPr>
          <w:sz w:val="24"/>
        </w:rPr>
        <w:t xml:space="preserve"> would have provided greater confidence in the results</w:t>
      </w:r>
      <w:r w:rsidR="00CB1F0B">
        <w:rPr>
          <w:sz w:val="24"/>
        </w:rPr>
        <w:t>,</w:t>
      </w:r>
      <w:r w:rsidR="00B21994">
        <w:rPr>
          <w:sz w:val="24"/>
        </w:rPr>
        <w:t xml:space="preserve"> </w:t>
      </w:r>
      <w:r w:rsidR="00CB1F0B">
        <w:rPr>
          <w:sz w:val="24"/>
        </w:rPr>
        <w:t>but due to time and cost constraints only one campaign of measurements for each technique were analysed.</w:t>
      </w:r>
    </w:p>
    <w:p w14:paraId="26F46DBE" w14:textId="573D452E" w:rsidR="00F37CA9" w:rsidRPr="00DD014F" w:rsidRDefault="00F37CA9" w:rsidP="00DD014F">
      <w:pPr>
        <w:spacing w:line="480" w:lineRule="auto"/>
        <w:rPr>
          <w:b/>
          <w:sz w:val="32"/>
          <w:u w:val="single"/>
        </w:rPr>
      </w:pPr>
      <w:r>
        <w:rPr>
          <w:b/>
          <w:sz w:val="28"/>
        </w:rPr>
        <w:br w:type="page"/>
      </w:r>
      <w:r w:rsidRPr="00DD014F">
        <w:rPr>
          <w:b/>
          <w:sz w:val="32"/>
          <w:u w:val="single"/>
        </w:rPr>
        <w:lastRenderedPageBreak/>
        <w:t xml:space="preserve">Chapter </w:t>
      </w:r>
      <w:r w:rsidR="00313434" w:rsidRPr="00DD014F">
        <w:rPr>
          <w:b/>
          <w:sz w:val="32"/>
          <w:u w:val="single"/>
        </w:rPr>
        <w:t>5</w:t>
      </w:r>
    </w:p>
    <w:p w14:paraId="0A22C9A0" w14:textId="5E293059" w:rsidR="00F37CA9" w:rsidRDefault="006952A2" w:rsidP="00DD014F">
      <w:pPr>
        <w:spacing w:line="480" w:lineRule="auto"/>
        <w:rPr>
          <w:b/>
          <w:sz w:val="32"/>
        </w:rPr>
      </w:pPr>
      <w:r>
        <w:rPr>
          <w:b/>
          <w:sz w:val="32"/>
        </w:rPr>
        <w:t xml:space="preserve">5. </w:t>
      </w:r>
      <w:r w:rsidR="00F37CA9" w:rsidRPr="00146976">
        <w:rPr>
          <w:b/>
          <w:sz w:val="32"/>
        </w:rPr>
        <w:t>Conclusions</w:t>
      </w:r>
      <w:r w:rsidR="00F37CA9">
        <w:rPr>
          <w:b/>
          <w:sz w:val="32"/>
        </w:rPr>
        <w:t xml:space="preserve"> and Further Work</w:t>
      </w:r>
    </w:p>
    <w:p w14:paraId="07D4FFA2" w14:textId="45DFB7F0" w:rsidR="00944AA0" w:rsidRPr="0049322E" w:rsidRDefault="00313434" w:rsidP="00F37CA9">
      <w:pPr>
        <w:spacing w:line="480" w:lineRule="auto"/>
        <w:rPr>
          <w:b/>
          <w:sz w:val="28"/>
        </w:rPr>
      </w:pPr>
      <w:r>
        <w:rPr>
          <w:b/>
          <w:sz w:val="28"/>
        </w:rPr>
        <w:t>5</w:t>
      </w:r>
      <w:r w:rsidR="00944AA0" w:rsidRPr="0049322E">
        <w:rPr>
          <w:b/>
          <w:sz w:val="28"/>
        </w:rPr>
        <w:t>.1 Conclusions</w:t>
      </w:r>
    </w:p>
    <w:p w14:paraId="739DAA0E" w14:textId="598A039D" w:rsidR="00F37CA9" w:rsidRPr="00AF6030" w:rsidRDefault="00F37CA9" w:rsidP="00F37CA9">
      <w:pPr>
        <w:spacing w:line="480" w:lineRule="auto"/>
        <w:ind w:firstLine="567"/>
        <w:rPr>
          <w:sz w:val="24"/>
          <w:szCs w:val="24"/>
        </w:rPr>
      </w:pPr>
      <w:r w:rsidRPr="00AF6030">
        <w:rPr>
          <w:sz w:val="24"/>
          <w:szCs w:val="24"/>
        </w:rPr>
        <w:t xml:space="preserve">Following are the conclusions made following consideration and discussion of the results, followed by potential future applications for the work and further research that could be undertaken to </w:t>
      </w:r>
      <w:r w:rsidR="00CD2458">
        <w:rPr>
          <w:sz w:val="24"/>
          <w:szCs w:val="24"/>
        </w:rPr>
        <w:t>continue</w:t>
      </w:r>
      <w:r w:rsidRPr="00AF6030">
        <w:rPr>
          <w:sz w:val="24"/>
          <w:szCs w:val="24"/>
        </w:rPr>
        <w:t xml:space="preserve"> develop</w:t>
      </w:r>
      <w:r w:rsidR="00CD2458">
        <w:rPr>
          <w:sz w:val="24"/>
          <w:szCs w:val="24"/>
        </w:rPr>
        <w:t>ment of</w:t>
      </w:r>
      <w:r w:rsidRPr="00AF6030">
        <w:rPr>
          <w:sz w:val="24"/>
          <w:szCs w:val="24"/>
        </w:rPr>
        <w:t xml:space="preserve"> the techniques presented.</w:t>
      </w:r>
    </w:p>
    <w:p w14:paraId="56AD5B15" w14:textId="5AD8E4A1" w:rsidR="00D24BE8" w:rsidRPr="00AF6030" w:rsidRDefault="00D24BE8" w:rsidP="00F37CA9">
      <w:pPr>
        <w:spacing w:line="480" w:lineRule="auto"/>
        <w:ind w:firstLine="567"/>
        <w:rPr>
          <w:sz w:val="24"/>
          <w:szCs w:val="24"/>
        </w:rPr>
      </w:pPr>
      <w:r w:rsidRPr="00AF6030">
        <w:rPr>
          <w:sz w:val="24"/>
          <w:szCs w:val="24"/>
        </w:rPr>
        <w:t xml:space="preserve">This project has demonstrated the use of varied analysis methods to identify plutonium content within Dounreay soil samples. The project developed a neutron detector array made up of liquid scintillators that could not distinguish between samples of background level </w:t>
      </w:r>
      <w:r w:rsidR="00944AA0" w:rsidRPr="00AF6030">
        <w:rPr>
          <w:sz w:val="24"/>
          <w:szCs w:val="24"/>
        </w:rPr>
        <w:t>radioactivity but</w:t>
      </w:r>
      <w:r w:rsidRPr="00AF6030">
        <w:rPr>
          <w:sz w:val="24"/>
          <w:szCs w:val="24"/>
        </w:rPr>
        <w:t xml:space="preserve"> did identify differences between a sample spiked with 45</w:t>
      </w:r>
      <w:r w:rsidR="00AF6030">
        <w:rPr>
          <w:sz w:val="24"/>
          <w:szCs w:val="24"/>
        </w:rPr>
        <w:t xml:space="preserve"> </w:t>
      </w:r>
      <w:r w:rsidRPr="00AF6030">
        <w:rPr>
          <w:sz w:val="24"/>
          <w:szCs w:val="24"/>
        </w:rPr>
        <w:t xml:space="preserve">ng of </w:t>
      </w:r>
      <w:r w:rsidRPr="00AF6030">
        <w:rPr>
          <w:sz w:val="24"/>
          <w:szCs w:val="24"/>
          <w:vertAlign w:val="superscript"/>
        </w:rPr>
        <w:t>240</w:t>
      </w:r>
      <w:r w:rsidRPr="00AF6030">
        <w:rPr>
          <w:sz w:val="24"/>
          <w:szCs w:val="24"/>
        </w:rPr>
        <w:t xml:space="preserve">Pu, and </w:t>
      </w:r>
      <w:r w:rsidR="00CD2458">
        <w:rPr>
          <w:sz w:val="24"/>
          <w:szCs w:val="24"/>
        </w:rPr>
        <w:t>the same</w:t>
      </w:r>
      <w:r w:rsidRPr="00AF6030">
        <w:rPr>
          <w:sz w:val="24"/>
          <w:szCs w:val="24"/>
        </w:rPr>
        <w:t xml:space="preserve"> sample</w:t>
      </w:r>
      <w:r w:rsidR="00CD2458">
        <w:rPr>
          <w:sz w:val="24"/>
          <w:szCs w:val="24"/>
        </w:rPr>
        <w:t xml:space="preserve"> pre-spike</w:t>
      </w:r>
      <w:r w:rsidRPr="00AF6030">
        <w:rPr>
          <w:sz w:val="24"/>
          <w:szCs w:val="24"/>
        </w:rPr>
        <w:t xml:space="preserve">. </w:t>
      </w:r>
      <w:r w:rsidR="00944AA0" w:rsidRPr="00AF6030">
        <w:rPr>
          <w:sz w:val="24"/>
          <w:szCs w:val="24"/>
        </w:rPr>
        <w:t xml:space="preserve">There are still areas of analysis that must be undertaken to identify the limit of spike at which two such samples could be distinguished, and the mechanisms involved in the </w:t>
      </w:r>
      <w:r w:rsidR="00CD2458">
        <w:rPr>
          <w:sz w:val="24"/>
          <w:szCs w:val="24"/>
        </w:rPr>
        <w:t>production and detection</w:t>
      </w:r>
      <w:r w:rsidR="00944AA0" w:rsidRPr="00AF6030">
        <w:rPr>
          <w:sz w:val="24"/>
          <w:szCs w:val="24"/>
        </w:rPr>
        <w:t xml:space="preserve"> of fast neutrons.</w:t>
      </w:r>
    </w:p>
    <w:p w14:paraId="188C9726" w14:textId="41876FE8" w:rsidR="00944AA0" w:rsidRPr="00AF6030" w:rsidRDefault="00944AA0" w:rsidP="00F37CA9">
      <w:pPr>
        <w:spacing w:line="480" w:lineRule="auto"/>
        <w:ind w:firstLine="567"/>
        <w:rPr>
          <w:sz w:val="24"/>
          <w:szCs w:val="24"/>
        </w:rPr>
      </w:pPr>
      <w:r w:rsidRPr="00AF6030">
        <w:rPr>
          <w:sz w:val="24"/>
          <w:szCs w:val="24"/>
        </w:rPr>
        <w:t xml:space="preserve">The project also confirmed that the use of gamma detection in a high natural uranium background does not have the required resolution to isolate plutonium peaks. The analysis method did however provide valuable data on the </w:t>
      </w:r>
      <w:r w:rsidRPr="00AF6030">
        <w:rPr>
          <w:sz w:val="24"/>
          <w:szCs w:val="24"/>
          <w:vertAlign w:val="superscript"/>
        </w:rPr>
        <w:t>241</w:t>
      </w:r>
      <w:r w:rsidRPr="00AF6030">
        <w:rPr>
          <w:sz w:val="24"/>
          <w:szCs w:val="24"/>
        </w:rPr>
        <w:t>Am content of samples, which were visible in most spectra</w:t>
      </w:r>
      <w:r w:rsidR="00AF6030">
        <w:rPr>
          <w:sz w:val="24"/>
          <w:szCs w:val="24"/>
        </w:rPr>
        <w:t>, which enabled</w:t>
      </w:r>
      <w:r w:rsidR="00CD2458">
        <w:rPr>
          <w:sz w:val="24"/>
          <w:szCs w:val="24"/>
        </w:rPr>
        <w:t xml:space="preserve"> estimation of</w:t>
      </w:r>
      <w:r w:rsidR="00AF6030">
        <w:rPr>
          <w:sz w:val="24"/>
          <w:szCs w:val="24"/>
        </w:rPr>
        <w:t xml:space="preserve"> </w:t>
      </w:r>
      <w:r w:rsidR="00AF6030">
        <w:rPr>
          <w:sz w:val="24"/>
          <w:szCs w:val="24"/>
          <w:vertAlign w:val="superscript"/>
        </w:rPr>
        <w:t>241</w:t>
      </w:r>
      <w:r w:rsidR="00AF6030">
        <w:rPr>
          <w:sz w:val="24"/>
          <w:szCs w:val="24"/>
        </w:rPr>
        <w:t>Pu</w:t>
      </w:r>
      <w:r w:rsidR="00CD2458">
        <w:rPr>
          <w:sz w:val="24"/>
          <w:szCs w:val="24"/>
        </w:rPr>
        <w:t xml:space="preserve"> abundance.</w:t>
      </w:r>
    </w:p>
    <w:p w14:paraId="4F7E2AE2" w14:textId="573F9625" w:rsidR="00896F73" w:rsidRDefault="00944AA0" w:rsidP="00F37CA9">
      <w:pPr>
        <w:spacing w:line="480" w:lineRule="auto"/>
        <w:ind w:firstLine="567"/>
        <w:rPr>
          <w:sz w:val="24"/>
          <w:szCs w:val="24"/>
        </w:rPr>
      </w:pPr>
      <w:r w:rsidRPr="00AF6030">
        <w:rPr>
          <w:sz w:val="24"/>
          <w:szCs w:val="24"/>
        </w:rPr>
        <w:t xml:space="preserve">Accelerator Mass Spectrometry identified that the Dounreay samples contain plutonium abundances consistent overall with global averages for fallout. The </w:t>
      </w:r>
      <w:r w:rsidRPr="00AF6030">
        <w:rPr>
          <w:sz w:val="24"/>
          <w:szCs w:val="24"/>
          <w:vertAlign w:val="superscript"/>
        </w:rPr>
        <w:t>2</w:t>
      </w:r>
      <w:r w:rsidR="0049322E" w:rsidRPr="00AF6030">
        <w:rPr>
          <w:sz w:val="24"/>
          <w:szCs w:val="24"/>
          <w:vertAlign w:val="superscript"/>
        </w:rPr>
        <w:t>40</w:t>
      </w:r>
      <w:r w:rsidRPr="00AF6030">
        <w:rPr>
          <w:sz w:val="24"/>
          <w:szCs w:val="24"/>
        </w:rPr>
        <w:t>Pu/</w:t>
      </w:r>
      <w:r w:rsidRPr="00AF6030">
        <w:rPr>
          <w:sz w:val="24"/>
          <w:szCs w:val="24"/>
          <w:vertAlign w:val="superscript"/>
        </w:rPr>
        <w:t>2</w:t>
      </w:r>
      <w:r w:rsidR="0049322E" w:rsidRPr="00AF6030">
        <w:rPr>
          <w:sz w:val="24"/>
          <w:szCs w:val="24"/>
          <w:vertAlign w:val="superscript"/>
        </w:rPr>
        <w:t>39</w:t>
      </w:r>
      <w:r w:rsidRPr="00AF6030">
        <w:rPr>
          <w:sz w:val="24"/>
          <w:szCs w:val="24"/>
        </w:rPr>
        <w:t xml:space="preserve">Pu ratio </w:t>
      </w:r>
      <w:r w:rsidR="0049322E" w:rsidRPr="00AF6030">
        <w:rPr>
          <w:sz w:val="24"/>
          <w:szCs w:val="24"/>
        </w:rPr>
        <w:t xml:space="preserve">of DSRL samples was not consistent however with the global averages for fallout. The ratio was lower than the average, which could suggest low levels of </w:t>
      </w:r>
      <w:r w:rsidR="0049322E" w:rsidRPr="00AF6030">
        <w:rPr>
          <w:sz w:val="24"/>
          <w:szCs w:val="24"/>
          <w:vertAlign w:val="superscript"/>
        </w:rPr>
        <w:t>240</w:t>
      </w:r>
      <w:r w:rsidR="0049322E" w:rsidRPr="00AF6030">
        <w:rPr>
          <w:sz w:val="24"/>
          <w:szCs w:val="24"/>
        </w:rPr>
        <w:t>Pu on site, or</w:t>
      </w:r>
      <w:r w:rsidR="00CD2458">
        <w:rPr>
          <w:sz w:val="24"/>
          <w:szCs w:val="24"/>
        </w:rPr>
        <w:t xml:space="preserve">, more </w:t>
      </w:r>
      <w:r w:rsidR="00CD2458">
        <w:rPr>
          <w:sz w:val="24"/>
          <w:szCs w:val="24"/>
        </w:rPr>
        <w:lastRenderedPageBreak/>
        <w:t>likely,</w:t>
      </w:r>
      <w:r w:rsidR="0049322E" w:rsidRPr="00AF6030">
        <w:rPr>
          <w:sz w:val="24"/>
          <w:szCs w:val="24"/>
        </w:rPr>
        <w:t xml:space="preserve"> </w:t>
      </w:r>
      <w:r w:rsidR="008E51B5">
        <w:rPr>
          <w:sz w:val="24"/>
          <w:szCs w:val="24"/>
        </w:rPr>
        <w:t>high</w:t>
      </w:r>
      <w:r w:rsidR="0049322E" w:rsidRPr="00AF6030">
        <w:rPr>
          <w:sz w:val="24"/>
          <w:szCs w:val="24"/>
        </w:rPr>
        <w:t xml:space="preserve"> </w:t>
      </w:r>
      <w:r w:rsidR="0049322E" w:rsidRPr="00AF6030">
        <w:rPr>
          <w:sz w:val="24"/>
          <w:szCs w:val="24"/>
          <w:vertAlign w:val="superscript"/>
        </w:rPr>
        <w:t>239</w:t>
      </w:r>
      <w:r w:rsidR="0049322E" w:rsidRPr="00AF6030">
        <w:rPr>
          <w:sz w:val="24"/>
          <w:szCs w:val="24"/>
        </w:rPr>
        <w:t xml:space="preserve">Pu. It is known that the Dounreay site </w:t>
      </w:r>
      <w:bookmarkStart w:id="47" w:name="_GoBack"/>
      <w:bookmarkEnd w:id="47"/>
      <w:r w:rsidR="0049322E" w:rsidRPr="00AF6030">
        <w:rPr>
          <w:sz w:val="24"/>
          <w:szCs w:val="24"/>
        </w:rPr>
        <w:t>was host to two fast breeder reactors, the Dounreay fast reactor and the Prototype fast reactor</w:t>
      </w:r>
      <w:r w:rsidR="00CD2458">
        <w:rPr>
          <w:sz w:val="24"/>
          <w:szCs w:val="24"/>
        </w:rPr>
        <w:t xml:space="preserve"> which utilised and produced fuel high in </w:t>
      </w:r>
      <w:r w:rsidR="00CD2458">
        <w:rPr>
          <w:sz w:val="24"/>
          <w:szCs w:val="24"/>
          <w:vertAlign w:val="superscript"/>
        </w:rPr>
        <w:t>239</w:t>
      </w:r>
      <w:r w:rsidR="00CD2458">
        <w:rPr>
          <w:sz w:val="24"/>
          <w:szCs w:val="24"/>
        </w:rPr>
        <w:t>Pu</w:t>
      </w:r>
      <w:r w:rsidR="0049322E" w:rsidRPr="00AF6030">
        <w:rPr>
          <w:sz w:val="24"/>
          <w:szCs w:val="24"/>
        </w:rPr>
        <w:t xml:space="preserve">. Further, it is </w:t>
      </w:r>
      <w:r w:rsidR="00CD2458">
        <w:rPr>
          <w:sz w:val="24"/>
          <w:szCs w:val="24"/>
        </w:rPr>
        <w:t>known</w:t>
      </w:r>
      <w:r w:rsidR="0049322E" w:rsidRPr="00AF6030">
        <w:rPr>
          <w:sz w:val="24"/>
          <w:szCs w:val="24"/>
        </w:rPr>
        <w:t xml:space="preserve"> on-site that the site has had multiple contamination events local to specific areas. With these considerations, it is reasonable to conclude that the site soil has seen contamination by material proportionally high in </w:t>
      </w:r>
      <w:r w:rsidR="0049322E" w:rsidRPr="00AF6030">
        <w:rPr>
          <w:sz w:val="24"/>
          <w:szCs w:val="24"/>
          <w:vertAlign w:val="superscript"/>
        </w:rPr>
        <w:t>239</w:t>
      </w:r>
      <w:r w:rsidR="0049322E" w:rsidRPr="00AF6030">
        <w:rPr>
          <w:sz w:val="24"/>
          <w:szCs w:val="24"/>
        </w:rPr>
        <w:t>Pu</w:t>
      </w:r>
      <w:r w:rsidR="00CD2458">
        <w:rPr>
          <w:sz w:val="24"/>
          <w:szCs w:val="24"/>
        </w:rPr>
        <w:t>.</w:t>
      </w:r>
    </w:p>
    <w:p w14:paraId="4FEB7E25" w14:textId="77777777" w:rsidR="00896F73" w:rsidRDefault="00896F73">
      <w:pPr>
        <w:rPr>
          <w:sz w:val="24"/>
          <w:szCs w:val="24"/>
        </w:rPr>
      </w:pPr>
      <w:r>
        <w:rPr>
          <w:sz w:val="24"/>
          <w:szCs w:val="24"/>
        </w:rPr>
        <w:br w:type="page"/>
      </w:r>
    </w:p>
    <w:p w14:paraId="30375313" w14:textId="363FFD77" w:rsidR="0049322E" w:rsidRDefault="00313434" w:rsidP="00896F73">
      <w:pPr>
        <w:spacing w:line="480" w:lineRule="auto"/>
        <w:rPr>
          <w:b/>
          <w:sz w:val="28"/>
        </w:rPr>
      </w:pPr>
      <w:r>
        <w:rPr>
          <w:b/>
          <w:sz w:val="28"/>
        </w:rPr>
        <w:lastRenderedPageBreak/>
        <w:t>5</w:t>
      </w:r>
      <w:r w:rsidR="0049322E" w:rsidRPr="0049322E">
        <w:rPr>
          <w:b/>
          <w:sz w:val="28"/>
        </w:rPr>
        <w:t>.2 Further Work</w:t>
      </w:r>
    </w:p>
    <w:p w14:paraId="787D1369" w14:textId="0B16358A" w:rsidR="00853EDD" w:rsidRDefault="009E6C33" w:rsidP="00F37CA9">
      <w:pPr>
        <w:spacing w:line="480" w:lineRule="auto"/>
        <w:ind w:firstLine="567"/>
        <w:rPr>
          <w:sz w:val="24"/>
        </w:rPr>
      </w:pPr>
      <w:r>
        <w:rPr>
          <w:sz w:val="24"/>
        </w:rPr>
        <w:t>Through the project, areas of further work have been identified to increase understanding of this diverse field of research.</w:t>
      </w:r>
    </w:p>
    <w:p w14:paraId="6E10AB99" w14:textId="526E6F25" w:rsidR="009E6C33" w:rsidRDefault="009E6C33" w:rsidP="00F37CA9">
      <w:pPr>
        <w:spacing w:line="480" w:lineRule="auto"/>
        <w:ind w:firstLine="567"/>
        <w:rPr>
          <w:sz w:val="24"/>
        </w:rPr>
      </w:pPr>
      <w:r>
        <w:rPr>
          <w:sz w:val="24"/>
        </w:rPr>
        <w:t xml:space="preserve">The most common area for further work to compliment this study </w:t>
      </w:r>
      <w:r w:rsidR="00CD2458">
        <w:rPr>
          <w:sz w:val="24"/>
        </w:rPr>
        <w:t>must</w:t>
      </w:r>
      <w:r>
        <w:rPr>
          <w:sz w:val="24"/>
        </w:rPr>
        <w:t xml:space="preserve"> be analyses to increase the UK database of nuclides within soils, particularly an attempt to identify areas with the lowest radioactivity in soil. An increased database would allow more appropriate comparisons for decommissioning sites</w:t>
      </w:r>
      <w:r w:rsidR="00CD2458">
        <w:rPr>
          <w:sz w:val="24"/>
        </w:rPr>
        <w:t xml:space="preserve"> and regulators to consider</w:t>
      </w:r>
      <w:r>
        <w:rPr>
          <w:sz w:val="24"/>
        </w:rPr>
        <w:t>.</w:t>
      </w:r>
    </w:p>
    <w:p w14:paraId="4D0334AC" w14:textId="13716BE0" w:rsidR="009E6C33" w:rsidRDefault="009E6C33" w:rsidP="00E86365">
      <w:pPr>
        <w:spacing w:line="480" w:lineRule="auto"/>
        <w:ind w:firstLine="567"/>
        <w:rPr>
          <w:sz w:val="24"/>
        </w:rPr>
      </w:pPr>
      <w:r>
        <w:rPr>
          <w:sz w:val="24"/>
        </w:rPr>
        <w:t>Further to an increase in sampled sites would be a study to aim to quantify the effect that the immediate environment has on the abundance of actinides. Many studies have been carried out on vertical soil profiles, showing the decrease of actinides as depth increases. However, there are gaps in the literature in how actinides behave on surfaces with a high gradient. For example, would mechanical deposition of actinides via water displacement occur before the movement of actinides through the vertical soil profile</w:t>
      </w:r>
      <w:r w:rsidR="00CD2458">
        <w:rPr>
          <w:sz w:val="24"/>
        </w:rPr>
        <w:t>, and to what extent?</w:t>
      </w:r>
    </w:p>
    <w:p w14:paraId="629B27AA" w14:textId="76EF3896" w:rsidR="00F16B05" w:rsidRDefault="009E6C33" w:rsidP="00CB7650">
      <w:pPr>
        <w:spacing w:line="480" w:lineRule="auto"/>
        <w:ind w:firstLine="567"/>
        <w:rPr>
          <w:sz w:val="24"/>
        </w:rPr>
      </w:pPr>
      <w:r>
        <w:rPr>
          <w:sz w:val="24"/>
        </w:rPr>
        <w:t>In terms of neutron measurements, clearly there is a gap in the research for the identification of the detection limit of plutonium. To tackle this, a</w:t>
      </w:r>
      <w:r w:rsidR="005E74BC">
        <w:rPr>
          <w:sz w:val="24"/>
        </w:rPr>
        <w:t xml:space="preserve"> simple experiment could be carried out with incrementally increasing levels of </w:t>
      </w:r>
      <w:r w:rsidR="005E74BC">
        <w:rPr>
          <w:sz w:val="24"/>
          <w:vertAlign w:val="superscript"/>
        </w:rPr>
        <w:t>240</w:t>
      </w:r>
      <w:r w:rsidR="005E74BC">
        <w:rPr>
          <w:sz w:val="24"/>
        </w:rPr>
        <w:t>Pu within spiked soil samples as carried out in this project. The neutron emission could be measured and the point at which the spiked samples are distinguishable from un-spiked samples could be identified. Unfortunately, the difficulty with carrying out such studies is not the analysis but rather the procurement of material with consistent</w:t>
      </w:r>
      <w:r w:rsidR="00AF6030">
        <w:rPr>
          <w:sz w:val="24"/>
        </w:rPr>
        <w:t xml:space="preserve"> levels of</w:t>
      </w:r>
      <w:r w:rsidR="005E74BC">
        <w:rPr>
          <w:sz w:val="24"/>
        </w:rPr>
        <w:t xml:space="preserve"> neutron emission.</w:t>
      </w:r>
    </w:p>
    <w:p w14:paraId="562C65CB" w14:textId="77777777" w:rsidR="00CB7650" w:rsidRDefault="00CB7650">
      <w:pPr>
        <w:rPr>
          <w:b/>
          <w:sz w:val="28"/>
        </w:rPr>
      </w:pPr>
      <w:r>
        <w:rPr>
          <w:b/>
          <w:sz w:val="28"/>
        </w:rPr>
        <w:br w:type="page"/>
      </w:r>
    </w:p>
    <w:p w14:paraId="4AFE9E2E" w14:textId="1151A251" w:rsidR="00D82CF6" w:rsidRDefault="00D82CF6" w:rsidP="00D82CF6">
      <w:pPr>
        <w:widowControl w:val="0"/>
        <w:autoSpaceDE w:val="0"/>
        <w:autoSpaceDN w:val="0"/>
        <w:adjustRightInd w:val="0"/>
        <w:spacing w:line="480" w:lineRule="auto"/>
        <w:ind w:left="640" w:hanging="640"/>
        <w:rPr>
          <w:b/>
          <w:sz w:val="28"/>
        </w:rPr>
      </w:pPr>
      <w:r>
        <w:rPr>
          <w:b/>
          <w:sz w:val="28"/>
        </w:rPr>
        <w:lastRenderedPageBreak/>
        <w:t>Bibliography</w:t>
      </w:r>
    </w:p>
    <w:p w14:paraId="1FE11C5D" w14:textId="41668633" w:rsidR="006F1462" w:rsidRPr="006F1462" w:rsidRDefault="00D82CF6" w:rsidP="006F1462">
      <w:pPr>
        <w:widowControl w:val="0"/>
        <w:autoSpaceDE w:val="0"/>
        <w:autoSpaceDN w:val="0"/>
        <w:adjustRightInd w:val="0"/>
        <w:spacing w:line="480" w:lineRule="auto"/>
        <w:ind w:left="640" w:hanging="640"/>
        <w:rPr>
          <w:rFonts w:ascii="Calibri" w:hAnsi="Calibri" w:cs="Calibri"/>
          <w:noProof/>
          <w:sz w:val="28"/>
          <w:szCs w:val="24"/>
        </w:rPr>
      </w:pPr>
      <w:r>
        <w:rPr>
          <w:b/>
          <w:sz w:val="28"/>
        </w:rPr>
        <w:fldChar w:fldCharType="begin" w:fldLock="1"/>
      </w:r>
      <w:r>
        <w:rPr>
          <w:b/>
          <w:sz w:val="28"/>
        </w:rPr>
        <w:instrText xml:space="preserve">ADDIN Mendeley Bibliography CSL_BIBLIOGRAPHY </w:instrText>
      </w:r>
      <w:r>
        <w:rPr>
          <w:b/>
          <w:sz w:val="28"/>
        </w:rPr>
        <w:fldChar w:fldCharType="separate"/>
      </w:r>
      <w:r w:rsidR="006F1462" w:rsidRPr="006F1462">
        <w:rPr>
          <w:rFonts w:ascii="Calibri" w:hAnsi="Calibri" w:cs="Calibri"/>
          <w:noProof/>
          <w:sz w:val="28"/>
          <w:szCs w:val="24"/>
        </w:rPr>
        <w:t>[1]</w:t>
      </w:r>
      <w:r w:rsidR="006F1462" w:rsidRPr="006F1462">
        <w:rPr>
          <w:rFonts w:ascii="Calibri" w:hAnsi="Calibri" w:cs="Calibri"/>
          <w:noProof/>
          <w:sz w:val="28"/>
          <w:szCs w:val="24"/>
        </w:rPr>
        <w:tab/>
        <w:t xml:space="preserve">M. Koide, J. J. Griffin, and E. D. Goldberg, “Records of plutonium fallout in marine and terrestrial samples,” </w:t>
      </w:r>
      <w:r w:rsidR="006F1462" w:rsidRPr="006F1462">
        <w:rPr>
          <w:rFonts w:ascii="Calibri" w:hAnsi="Calibri" w:cs="Calibri"/>
          <w:i/>
          <w:iCs/>
          <w:noProof/>
          <w:sz w:val="28"/>
          <w:szCs w:val="24"/>
        </w:rPr>
        <w:t>J. Geophys. Res.</w:t>
      </w:r>
      <w:r w:rsidR="006F1462" w:rsidRPr="006F1462">
        <w:rPr>
          <w:rFonts w:ascii="Calibri" w:hAnsi="Calibri" w:cs="Calibri"/>
          <w:noProof/>
          <w:sz w:val="28"/>
          <w:szCs w:val="24"/>
        </w:rPr>
        <w:t>, vol. 80, no. 30, pp. 4153–4162, Oct. 1975, doi: 10.1029/JC080i030p04153.</w:t>
      </w:r>
    </w:p>
    <w:p w14:paraId="1A09D3F3"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[2]</w:t>
      </w:r>
      <w:r w:rsidRPr="006F1462">
        <w:rPr>
          <w:rFonts w:ascii="Calibri" w:hAnsi="Calibri" w:cs="Calibri"/>
          <w:noProof/>
          <w:sz w:val="28"/>
          <w:szCs w:val="24"/>
        </w:rPr>
        <w:tab/>
        <w:t xml:space="preserve">M. Gastberger </w:t>
      </w:r>
      <w:r w:rsidRPr="006F1462">
        <w:rPr>
          <w:rFonts w:ascii="Calibri" w:hAnsi="Calibri" w:cs="Calibri"/>
          <w:i/>
          <w:iCs/>
          <w:noProof/>
          <w:sz w:val="28"/>
          <w:szCs w:val="24"/>
        </w:rPr>
        <w:t>et al.</w:t>
      </w:r>
      <w:r w:rsidRPr="006F1462">
        <w:rPr>
          <w:rFonts w:ascii="Calibri" w:hAnsi="Calibri" w:cs="Calibri"/>
          <w:noProof/>
          <w:sz w:val="28"/>
          <w:szCs w:val="24"/>
        </w:rPr>
        <w:t>, “Plutonium in soil from Dolon near the Semipalatinsk nuclear test site,”  by Oldenbourg Wissenschaftsverlag, 2001.</w:t>
      </w:r>
    </w:p>
    <w:p w14:paraId="0614C26F"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[3]</w:t>
      </w:r>
      <w:r w:rsidRPr="006F1462">
        <w:rPr>
          <w:rFonts w:ascii="Calibri" w:hAnsi="Calibri" w:cs="Calibri"/>
          <w:noProof/>
          <w:sz w:val="28"/>
          <w:szCs w:val="24"/>
        </w:rPr>
        <w:tab/>
        <w:t xml:space="preserve">D. Marčiulionienė </w:t>
      </w:r>
      <w:r w:rsidRPr="006F1462">
        <w:rPr>
          <w:rFonts w:ascii="Calibri" w:hAnsi="Calibri" w:cs="Calibri"/>
          <w:i/>
          <w:iCs/>
          <w:noProof/>
          <w:sz w:val="28"/>
          <w:szCs w:val="24"/>
        </w:rPr>
        <w:t>et al.</w:t>
      </w:r>
      <w:r w:rsidRPr="006F1462">
        <w:rPr>
          <w:rFonts w:ascii="Calibri" w:hAnsi="Calibri" w:cs="Calibri"/>
          <w:noProof/>
          <w:sz w:val="28"/>
          <w:szCs w:val="24"/>
        </w:rPr>
        <w:t xml:space="preserve">, “137Cs and plutonium isotopes accumulation/retention in bottom sediments and soil in Lithuania: A case study of the activity concentration of anthropogenic radionuclides and their provenance before the start of operation of the Belarusian Nuclear Power Plant (NPP),” </w:t>
      </w:r>
      <w:r w:rsidRPr="006F1462">
        <w:rPr>
          <w:rFonts w:ascii="Calibri" w:hAnsi="Calibri" w:cs="Calibri"/>
          <w:i/>
          <w:iCs/>
          <w:noProof/>
          <w:sz w:val="28"/>
          <w:szCs w:val="24"/>
        </w:rPr>
        <w:t>J. Environ. Radioact.</w:t>
      </w:r>
      <w:r w:rsidRPr="006F1462">
        <w:rPr>
          <w:rFonts w:ascii="Calibri" w:hAnsi="Calibri" w:cs="Calibri"/>
          <w:noProof/>
          <w:sz w:val="28"/>
          <w:szCs w:val="24"/>
        </w:rPr>
        <w:t>, vol. 178–179, pp. 253–264, Nov. 2017, doi: 10.1016/J.JENVRAD.2017.07.024.</w:t>
      </w:r>
    </w:p>
    <w:p w14:paraId="6573D5CB"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[4]</w:t>
      </w:r>
      <w:r w:rsidRPr="006F1462">
        <w:rPr>
          <w:rFonts w:ascii="Calibri" w:hAnsi="Calibri" w:cs="Calibri"/>
          <w:noProof/>
          <w:sz w:val="28"/>
          <w:szCs w:val="24"/>
        </w:rPr>
        <w:tab/>
        <w:t>Nuclear Decommissioning Authority, “Site End State Definition Process,” 2006.</w:t>
      </w:r>
    </w:p>
    <w:p w14:paraId="27DDB2CD"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[5]</w:t>
      </w:r>
      <w:r w:rsidRPr="006F1462">
        <w:rPr>
          <w:rFonts w:ascii="Calibri" w:hAnsi="Calibri" w:cs="Calibri"/>
          <w:noProof/>
          <w:sz w:val="28"/>
          <w:szCs w:val="24"/>
        </w:rPr>
        <w:tab/>
        <w:t xml:space="preserve">A. Lavietes </w:t>
      </w:r>
      <w:r w:rsidRPr="006F1462">
        <w:rPr>
          <w:rFonts w:ascii="Calibri" w:hAnsi="Calibri" w:cs="Calibri"/>
          <w:i/>
          <w:iCs/>
          <w:noProof/>
          <w:sz w:val="28"/>
          <w:szCs w:val="24"/>
        </w:rPr>
        <w:t>et al.</w:t>
      </w:r>
      <w:r w:rsidRPr="006F1462">
        <w:rPr>
          <w:rFonts w:ascii="Calibri" w:hAnsi="Calibri" w:cs="Calibri"/>
          <w:noProof/>
          <w:sz w:val="28"/>
          <w:szCs w:val="24"/>
        </w:rPr>
        <w:t xml:space="preserve">, “Liquid scintillator-based neutron detector development,” in </w:t>
      </w:r>
      <w:r w:rsidRPr="006F1462">
        <w:rPr>
          <w:rFonts w:ascii="Calibri" w:hAnsi="Calibri" w:cs="Calibri"/>
          <w:i/>
          <w:iCs/>
          <w:noProof/>
          <w:sz w:val="28"/>
          <w:szCs w:val="24"/>
        </w:rPr>
        <w:t>2012 IEEE Nuclear Science Symposium and Medical Imaging Conference Record (NSS/MIC)</w:t>
      </w:r>
      <w:r w:rsidRPr="006F1462">
        <w:rPr>
          <w:rFonts w:ascii="Calibri" w:hAnsi="Calibri" w:cs="Calibri"/>
          <w:noProof/>
          <w:sz w:val="28"/>
          <w:szCs w:val="24"/>
        </w:rPr>
        <w:t>, 2012, pp. 230–244, doi: 10.1109/NSSMIC.2012.6551100.</w:t>
      </w:r>
    </w:p>
    <w:p w14:paraId="7F212515"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lastRenderedPageBreak/>
        <w:t>[6]</w:t>
      </w:r>
      <w:r w:rsidRPr="006F1462">
        <w:rPr>
          <w:rFonts w:ascii="Calibri" w:hAnsi="Calibri" w:cs="Calibri"/>
          <w:noProof/>
          <w:sz w:val="28"/>
          <w:szCs w:val="24"/>
        </w:rPr>
        <w:tab/>
        <w:t>F. Gauthier-Lafaye, I. P. Holliger, and P.-L. Blanc, “Natural fission reactors in the Franceville basin, Gabon: A review of the conditions and results of a &amp;quot;critical event&amp;quot; in a geologic system,” 1996.</w:t>
      </w:r>
    </w:p>
    <w:p w14:paraId="359882D4"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[7]</w:t>
      </w:r>
      <w:r w:rsidRPr="006F1462">
        <w:rPr>
          <w:rFonts w:ascii="Calibri" w:hAnsi="Calibri" w:cs="Calibri"/>
          <w:noProof/>
          <w:sz w:val="28"/>
          <w:szCs w:val="24"/>
        </w:rPr>
        <w:tab/>
        <w:t xml:space="preserve">C. Scheib, J. D. Appleton, J. C. H. Miles, and E. Hodgkinson, “Geological controls on radon potential in England,” </w:t>
      </w:r>
      <w:r w:rsidRPr="006F1462">
        <w:rPr>
          <w:rFonts w:ascii="Calibri" w:hAnsi="Calibri" w:cs="Calibri"/>
          <w:i/>
          <w:iCs/>
          <w:noProof/>
          <w:sz w:val="28"/>
          <w:szCs w:val="24"/>
        </w:rPr>
        <w:t>Proc. Geol. Assoc.</w:t>
      </w:r>
      <w:r w:rsidRPr="006F1462">
        <w:rPr>
          <w:rFonts w:ascii="Calibri" w:hAnsi="Calibri" w:cs="Calibri"/>
          <w:noProof/>
          <w:sz w:val="28"/>
          <w:szCs w:val="24"/>
        </w:rPr>
        <w:t>, vol. 124, no. 6, pp. 910–928, 2013, doi: 10.1016/j.pgeola.2013.03.004.</w:t>
      </w:r>
    </w:p>
    <w:p w14:paraId="36DFBD95"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[8]</w:t>
      </w:r>
      <w:r w:rsidRPr="006F1462">
        <w:rPr>
          <w:rFonts w:ascii="Calibri" w:hAnsi="Calibri" w:cs="Calibri"/>
          <w:noProof/>
          <w:sz w:val="28"/>
          <w:szCs w:val="24"/>
        </w:rPr>
        <w:tab/>
        <w:t xml:space="preserve">C. Scheib, J. D. Appleton, J. C. H. Miles, and E. Hodgkinson, “Geological controls on radon potential in England,” </w:t>
      </w:r>
      <w:r w:rsidRPr="006F1462">
        <w:rPr>
          <w:rFonts w:ascii="Calibri" w:hAnsi="Calibri" w:cs="Calibri"/>
          <w:i/>
          <w:iCs/>
          <w:noProof/>
          <w:sz w:val="28"/>
          <w:szCs w:val="24"/>
        </w:rPr>
        <w:t>Proc. Geol. Assoc.</w:t>
      </w:r>
      <w:r w:rsidRPr="006F1462">
        <w:rPr>
          <w:rFonts w:ascii="Calibri" w:hAnsi="Calibri" w:cs="Calibri"/>
          <w:noProof/>
          <w:sz w:val="28"/>
          <w:szCs w:val="24"/>
        </w:rPr>
        <w:t>, vol. 124, no. 6, pp. 910–928, Dec. 2013, doi: 10.1016/j.pgeola.2013.03.004.</w:t>
      </w:r>
    </w:p>
    <w:p w14:paraId="4078CA4E"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[9]</w:t>
      </w:r>
      <w:r w:rsidRPr="006F1462">
        <w:rPr>
          <w:rFonts w:ascii="Calibri" w:hAnsi="Calibri" w:cs="Calibri"/>
          <w:noProof/>
          <w:sz w:val="28"/>
          <w:szCs w:val="24"/>
        </w:rPr>
        <w:tab/>
        <w:t>British Geological Survey, “Mineral Profile: Uranium,” no. March, 2010.</w:t>
      </w:r>
    </w:p>
    <w:p w14:paraId="74F5EF9E"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[10]</w:t>
      </w:r>
      <w:r w:rsidRPr="006F1462">
        <w:rPr>
          <w:rFonts w:ascii="Calibri" w:hAnsi="Calibri" w:cs="Calibri"/>
          <w:noProof/>
          <w:sz w:val="28"/>
          <w:szCs w:val="24"/>
        </w:rPr>
        <w:tab/>
        <w:t xml:space="preserve">L. E. Peterson and R. L. Miller, “Association between radioactive fallout from 1951–1962 US nuclear tests at the Nevada Test Site and cancer mortality in midwestern US populations,” </w:t>
      </w:r>
      <w:r w:rsidRPr="006F1462">
        <w:rPr>
          <w:rFonts w:ascii="Calibri" w:hAnsi="Calibri" w:cs="Calibri"/>
          <w:i/>
          <w:iCs/>
          <w:noProof/>
          <w:sz w:val="28"/>
          <w:szCs w:val="24"/>
        </w:rPr>
        <w:t>Russ. J. Ecol.</w:t>
      </w:r>
      <w:r w:rsidRPr="006F1462">
        <w:rPr>
          <w:rFonts w:ascii="Calibri" w:hAnsi="Calibri" w:cs="Calibri"/>
          <w:noProof/>
          <w:sz w:val="28"/>
          <w:szCs w:val="24"/>
        </w:rPr>
        <w:t>, vol. 39, no. 7, pp. 495–509, Dec. 2008, doi: 10.1134/S1067413608070060.</w:t>
      </w:r>
    </w:p>
    <w:p w14:paraId="19F68613"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[11]</w:t>
      </w:r>
      <w:r w:rsidRPr="006F1462">
        <w:rPr>
          <w:rFonts w:ascii="Calibri" w:hAnsi="Calibri" w:cs="Calibri"/>
          <w:noProof/>
          <w:sz w:val="28"/>
          <w:szCs w:val="24"/>
        </w:rPr>
        <w:tab/>
        <w:t>Y. Muramatsu, T. Hamilton, S. Uchida, K. Tagami, S. Yoshida, and W. Robison, “Measurement of 240Pu/239Pu isotopic ratios in soils from the Marshall Islands using ICP-MS,” 2001.</w:t>
      </w:r>
    </w:p>
    <w:p w14:paraId="21823C2E"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[12]</w:t>
      </w:r>
      <w:r w:rsidRPr="006F1462">
        <w:rPr>
          <w:rFonts w:ascii="Calibri" w:hAnsi="Calibri" w:cs="Calibri"/>
          <w:noProof/>
          <w:sz w:val="28"/>
          <w:szCs w:val="24"/>
        </w:rPr>
        <w:tab/>
        <w:t xml:space="preserve">T. M. Beasley </w:t>
      </w:r>
      <w:r w:rsidRPr="006F1462">
        <w:rPr>
          <w:rFonts w:ascii="Calibri" w:hAnsi="Calibri" w:cs="Calibri"/>
          <w:i/>
          <w:iCs/>
          <w:noProof/>
          <w:sz w:val="28"/>
          <w:szCs w:val="24"/>
        </w:rPr>
        <w:t>et al.</w:t>
      </w:r>
      <w:r w:rsidRPr="006F1462">
        <w:rPr>
          <w:rFonts w:ascii="Calibri" w:hAnsi="Calibri" w:cs="Calibri"/>
          <w:noProof/>
          <w:sz w:val="28"/>
          <w:szCs w:val="24"/>
        </w:rPr>
        <w:t>, “Isotopic Pu, U, and Np Signatures in Soils from Semipalatinsk-21, Kazakh Republic and the Southern Urals, Russia,” 1998.</w:t>
      </w:r>
    </w:p>
    <w:p w14:paraId="1C4B69CF"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lastRenderedPageBreak/>
        <w:t>[13]</w:t>
      </w:r>
      <w:r w:rsidRPr="006F1462">
        <w:rPr>
          <w:rFonts w:ascii="Calibri" w:hAnsi="Calibri" w:cs="Calibri"/>
          <w:noProof/>
          <w:sz w:val="28"/>
          <w:szCs w:val="24"/>
        </w:rPr>
        <w:tab/>
        <w:t xml:space="preserve">A. Markabayeva </w:t>
      </w:r>
      <w:r w:rsidRPr="006F1462">
        <w:rPr>
          <w:rFonts w:ascii="Calibri" w:hAnsi="Calibri" w:cs="Calibri"/>
          <w:i/>
          <w:iCs/>
          <w:noProof/>
          <w:sz w:val="28"/>
          <w:szCs w:val="24"/>
        </w:rPr>
        <w:t>et al.</w:t>
      </w:r>
      <w:r w:rsidRPr="006F1462">
        <w:rPr>
          <w:rFonts w:ascii="Calibri" w:hAnsi="Calibri" w:cs="Calibri"/>
          <w:noProof/>
          <w:sz w:val="28"/>
          <w:szCs w:val="24"/>
        </w:rPr>
        <w:t xml:space="preserve">, “Increased prevalence of essential hypertension in areas previously exposed to fallout due to nuclear weapons testing at the Semipalatinsk Test Site, Kazakhstan,” </w:t>
      </w:r>
      <w:r w:rsidRPr="006F1462">
        <w:rPr>
          <w:rFonts w:ascii="Calibri" w:hAnsi="Calibri" w:cs="Calibri"/>
          <w:i/>
          <w:iCs/>
          <w:noProof/>
          <w:sz w:val="28"/>
          <w:szCs w:val="24"/>
        </w:rPr>
        <w:t>Environ. Res.</w:t>
      </w:r>
      <w:r w:rsidRPr="006F1462">
        <w:rPr>
          <w:rFonts w:ascii="Calibri" w:hAnsi="Calibri" w:cs="Calibri"/>
          <w:noProof/>
          <w:sz w:val="28"/>
          <w:szCs w:val="24"/>
        </w:rPr>
        <w:t>, vol. 167, pp. 129–135, Nov. 2018, doi: 10.1016/j.envres.2018.07.016.</w:t>
      </w:r>
    </w:p>
    <w:p w14:paraId="1426ED6A"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[14]</w:t>
      </w:r>
      <w:r w:rsidRPr="006F1462">
        <w:rPr>
          <w:rFonts w:ascii="Calibri" w:hAnsi="Calibri" w:cs="Calibri"/>
          <w:noProof/>
          <w:sz w:val="28"/>
          <w:szCs w:val="24"/>
        </w:rPr>
        <w:tab/>
        <w:t xml:space="preserve">V. I. KHALTURIN, T. G. RAUTIAN, P. G. RICHARDS, and W. S. LEITH, “A Review of Nuclear Testing by the Soviet Union at Novaya Zemlya, 1955–1990,” </w:t>
      </w:r>
      <w:r w:rsidRPr="006F1462">
        <w:rPr>
          <w:rFonts w:ascii="Calibri" w:hAnsi="Calibri" w:cs="Calibri"/>
          <w:i/>
          <w:iCs/>
          <w:noProof/>
          <w:sz w:val="28"/>
          <w:szCs w:val="24"/>
        </w:rPr>
        <w:t>Sci. Glob. Secur.</w:t>
      </w:r>
      <w:r w:rsidRPr="006F1462">
        <w:rPr>
          <w:rFonts w:ascii="Calibri" w:hAnsi="Calibri" w:cs="Calibri"/>
          <w:noProof/>
          <w:sz w:val="28"/>
          <w:szCs w:val="24"/>
        </w:rPr>
        <w:t>, vol. 13, no. 1–2, pp. 1–42, Jan. 2005, doi: 10.1080/08929880590961862.</w:t>
      </w:r>
    </w:p>
    <w:p w14:paraId="346EAC5D"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[15]</w:t>
      </w:r>
      <w:r w:rsidRPr="006F1462">
        <w:rPr>
          <w:rFonts w:ascii="Calibri" w:hAnsi="Calibri" w:cs="Calibri"/>
          <w:noProof/>
          <w:sz w:val="28"/>
          <w:szCs w:val="24"/>
        </w:rPr>
        <w:tab/>
        <w:t xml:space="preserve">S. G. Tims, M. B. Froehlich, L. K. Fifield, A. Wallner, and M. De Cesare, “236U and 239,240Pu ratios from soils around an Australian nuclear weapons test site,” </w:t>
      </w:r>
      <w:r w:rsidRPr="006F1462">
        <w:rPr>
          <w:rFonts w:ascii="Calibri" w:hAnsi="Calibri" w:cs="Calibri"/>
          <w:i/>
          <w:iCs/>
          <w:noProof/>
          <w:sz w:val="28"/>
          <w:szCs w:val="24"/>
        </w:rPr>
        <w:t>J. Environ. Radioact.</w:t>
      </w:r>
      <w:r w:rsidRPr="006F1462">
        <w:rPr>
          <w:rFonts w:ascii="Calibri" w:hAnsi="Calibri" w:cs="Calibri"/>
          <w:noProof/>
          <w:sz w:val="28"/>
          <w:szCs w:val="24"/>
        </w:rPr>
        <w:t>, vol. 151, pp. 563–567, Jan. 2016, doi: 10.1016/J.JENVRAD.2015.06.020.</w:t>
      </w:r>
    </w:p>
    <w:p w14:paraId="14D72FC0"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[16]</w:t>
      </w:r>
      <w:r w:rsidRPr="006F1462">
        <w:rPr>
          <w:rFonts w:ascii="Calibri" w:hAnsi="Calibri" w:cs="Calibri"/>
          <w:noProof/>
          <w:sz w:val="28"/>
          <w:szCs w:val="24"/>
        </w:rPr>
        <w:tab/>
        <w:t xml:space="preserve">I. Pitrou, “Nuclear Tests in French Polynesia,” </w:t>
      </w:r>
      <w:r w:rsidRPr="006F1462">
        <w:rPr>
          <w:rFonts w:ascii="Calibri" w:hAnsi="Calibri" w:cs="Calibri"/>
          <w:i/>
          <w:iCs/>
          <w:noProof/>
          <w:sz w:val="28"/>
          <w:szCs w:val="24"/>
        </w:rPr>
        <w:t>Asia Pacific J. Public Heal.</w:t>
      </w:r>
      <w:r w:rsidRPr="006F1462">
        <w:rPr>
          <w:rFonts w:ascii="Calibri" w:hAnsi="Calibri" w:cs="Calibri"/>
          <w:noProof/>
          <w:sz w:val="28"/>
          <w:szCs w:val="24"/>
        </w:rPr>
        <w:t>, vol. 27, no. 2, pp. 232–233, Mar. 2015, doi: 10.1177/1010539514548761.</w:t>
      </w:r>
    </w:p>
    <w:p w14:paraId="1E4F8290"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[17]</w:t>
      </w:r>
      <w:r w:rsidRPr="006F1462">
        <w:rPr>
          <w:rFonts w:ascii="Calibri" w:hAnsi="Calibri" w:cs="Calibri"/>
          <w:noProof/>
          <w:sz w:val="28"/>
          <w:szCs w:val="24"/>
        </w:rPr>
        <w:tab/>
        <w:t xml:space="preserve">Brian Martin, “The global health effects of nuclear war,” 1982. </w:t>
      </w:r>
      <w:r w:rsidRPr="00A32F25">
        <w:rPr>
          <w:rFonts w:ascii="Calibri" w:hAnsi="Calibri" w:cs="Calibri"/>
          <w:sz w:val="28"/>
          <w:szCs w:val="24"/>
          <w:lang w:val="fr-FR"/>
        </w:rPr>
        <w:t xml:space="preserve">[Online]. Available: https://www.uow.edu.au/~bmartin/pubs/82cab/. </w:t>
      </w:r>
      <w:r w:rsidRPr="006F1462">
        <w:rPr>
          <w:rFonts w:ascii="Calibri" w:hAnsi="Calibri" w:cs="Calibri"/>
          <w:noProof/>
          <w:sz w:val="28"/>
          <w:szCs w:val="24"/>
        </w:rPr>
        <w:t>[Accessed: 26-Jan-2019].</w:t>
      </w:r>
    </w:p>
    <w:p w14:paraId="6B508F6C"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[18]</w:t>
      </w:r>
      <w:r w:rsidRPr="006F1462">
        <w:rPr>
          <w:rFonts w:ascii="Calibri" w:hAnsi="Calibri" w:cs="Calibri"/>
          <w:noProof/>
          <w:sz w:val="28"/>
          <w:szCs w:val="24"/>
        </w:rPr>
        <w:tab/>
        <w:t xml:space="preserve">S. Schneider </w:t>
      </w:r>
      <w:r w:rsidRPr="006F1462">
        <w:rPr>
          <w:rFonts w:ascii="Calibri" w:hAnsi="Calibri" w:cs="Calibri"/>
          <w:i/>
          <w:iCs/>
          <w:noProof/>
          <w:sz w:val="28"/>
          <w:szCs w:val="24"/>
        </w:rPr>
        <w:t>et al.</w:t>
      </w:r>
      <w:r w:rsidRPr="006F1462">
        <w:rPr>
          <w:rFonts w:ascii="Calibri" w:hAnsi="Calibri" w:cs="Calibri"/>
          <w:noProof/>
          <w:sz w:val="28"/>
          <w:szCs w:val="24"/>
        </w:rPr>
        <w:t xml:space="preserve">, “Plutonium release from Fukushima Daiichi fosters the need for more detailed investigations,” </w:t>
      </w:r>
      <w:r w:rsidRPr="006F1462">
        <w:rPr>
          <w:rFonts w:ascii="Calibri" w:hAnsi="Calibri" w:cs="Calibri"/>
          <w:i/>
          <w:iCs/>
          <w:noProof/>
          <w:sz w:val="28"/>
          <w:szCs w:val="24"/>
        </w:rPr>
        <w:t>Sci. Rep.</w:t>
      </w:r>
      <w:r w:rsidRPr="006F1462">
        <w:rPr>
          <w:rFonts w:ascii="Calibri" w:hAnsi="Calibri" w:cs="Calibri"/>
          <w:noProof/>
          <w:sz w:val="28"/>
          <w:szCs w:val="24"/>
        </w:rPr>
        <w:t xml:space="preserve">, vol. 3, no. 1, p. 2988, </w:t>
      </w:r>
      <w:r w:rsidRPr="006F1462">
        <w:rPr>
          <w:rFonts w:ascii="Calibri" w:hAnsi="Calibri" w:cs="Calibri"/>
          <w:noProof/>
          <w:sz w:val="28"/>
          <w:szCs w:val="24"/>
        </w:rPr>
        <w:lastRenderedPageBreak/>
        <w:t>Dec. 2013, doi: 10.1038/srep02988.</w:t>
      </w:r>
    </w:p>
    <w:p w14:paraId="0C9B1C85"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[19]</w:t>
      </w:r>
      <w:r w:rsidRPr="006F1462">
        <w:rPr>
          <w:rFonts w:ascii="Calibri" w:hAnsi="Calibri" w:cs="Calibri"/>
          <w:noProof/>
          <w:sz w:val="28"/>
          <w:szCs w:val="24"/>
        </w:rPr>
        <w:tab/>
        <w:t>J. Heathcote, “Dounreay Site Description - Geology, Hydrology and Hydrogeology,” 2012.</w:t>
      </w:r>
    </w:p>
    <w:p w14:paraId="35A1DE94"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[20]</w:t>
      </w:r>
      <w:r w:rsidRPr="006F1462">
        <w:rPr>
          <w:rFonts w:ascii="Calibri" w:hAnsi="Calibri" w:cs="Calibri"/>
          <w:noProof/>
          <w:sz w:val="28"/>
          <w:szCs w:val="24"/>
        </w:rPr>
        <w:tab/>
        <w:t xml:space="preserve">M. F. L’Annunziata, </w:t>
      </w:r>
      <w:r w:rsidRPr="006F1462">
        <w:rPr>
          <w:rFonts w:ascii="Calibri" w:hAnsi="Calibri" w:cs="Calibri"/>
          <w:i/>
          <w:iCs/>
          <w:noProof/>
          <w:sz w:val="28"/>
          <w:szCs w:val="24"/>
        </w:rPr>
        <w:t>Handbook of radioactivity analysis</w:t>
      </w:r>
      <w:r w:rsidRPr="006F1462">
        <w:rPr>
          <w:rFonts w:ascii="Calibri" w:hAnsi="Calibri" w:cs="Calibri"/>
          <w:noProof/>
          <w:sz w:val="28"/>
          <w:szCs w:val="24"/>
        </w:rPr>
        <w:t>. Elsevier Science, 2012.</w:t>
      </w:r>
    </w:p>
    <w:p w14:paraId="1DE49974" w14:textId="77777777" w:rsidR="006F1462" w:rsidRPr="00A32F25" w:rsidRDefault="006F1462" w:rsidP="006F1462">
      <w:pPr>
        <w:widowControl w:val="0"/>
        <w:autoSpaceDE w:val="0"/>
        <w:autoSpaceDN w:val="0"/>
        <w:adjustRightInd w:val="0"/>
        <w:spacing w:line="480" w:lineRule="auto"/>
        <w:ind w:left="640" w:hanging="640"/>
        <w:rPr>
          <w:rFonts w:ascii="Calibri" w:hAnsi="Calibri" w:cs="Calibri"/>
          <w:sz w:val="28"/>
          <w:szCs w:val="24"/>
          <w:lang w:val="fr-FR"/>
        </w:rPr>
      </w:pPr>
      <w:r w:rsidRPr="006F1462">
        <w:rPr>
          <w:rFonts w:ascii="Calibri" w:hAnsi="Calibri" w:cs="Calibri"/>
          <w:noProof/>
          <w:sz w:val="28"/>
          <w:szCs w:val="24"/>
        </w:rPr>
        <w:t>[21]</w:t>
      </w:r>
      <w:r w:rsidRPr="006F1462">
        <w:rPr>
          <w:rFonts w:ascii="Calibri" w:hAnsi="Calibri" w:cs="Calibri"/>
          <w:noProof/>
          <w:sz w:val="28"/>
          <w:szCs w:val="24"/>
        </w:rPr>
        <w:tab/>
        <w:t xml:space="preserve">UK Government, “Dounreay,” </w:t>
      </w:r>
      <w:r w:rsidRPr="006F1462">
        <w:rPr>
          <w:rFonts w:ascii="Calibri" w:hAnsi="Calibri" w:cs="Calibri"/>
          <w:i/>
          <w:iCs/>
          <w:noProof/>
          <w:sz w:val="28"/>
          <w:szCs w:val="24"/>
        </w:rPr>
        <w:t>Gov.uk</w:t>
      </w:r>
      <w:r w:rsidRPr="006F1462">
        <w:rPr>
          <w:rFonts w:ascii="Calibri" w:hAnsi="Calibri" w:cs="Calibri"/>
          <w:noProof/>
          <w:sz w:val="28"/>
          <w:szCs w:val="24"/>
        </w:rPr>
        <w:t xml:space="preserve">, 2020. </w:t>
      </w:r>
      <w:r w:rsidRPr="00A32F25">
        <w:rPr>
          <w:rFonts w:ascii="Calibri" w:hAnsi="Calibri" w:cs="Calibri"/>
          <w:sz w:val="28"/>
          <w:szCs w:val="24"/>
          <w:lang w:val="fr-FR"/>
        </w:rPr>
        <w:t>[Online]. Available: https://www.gov.uk/government/organisations/dounreay.</w:t>
      </w:r>
    </w:p>
    <w:p w14:paraId="65DFA7C4"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[22]</w:t>
      </w:r>
      <w:r w:rsidRPr="006F1462">
        <w:rPr>
          <w:rFonts w:ascii="Calibri" w:hAnsi="Calibri" w:cs="Calibri"/>
          <w:noProof/>
          <w:sz w:val="28"/>
          <w:szCs w:val="24"/>
        </w:rPr>
        <w:tab/>
        <w:t>M. S. Tate, “Environmental Safety Case - DSRL,” 2006.</w:t>
      </w:r>
    </w:p>
    <w:p w14:paraId="503405FC"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[23]</w:t>
      </w:r>
      <w:r w:rsidRPr="006F1462">
        <w:rPr>
          <w:rFonts w:ascii="Calibri" w:hAnsi="Calibri" w:cs="Calibri"/>
          <w:noProof/>
          <w:sz w:val="28"/>
          <w:szCs w:val="24"/>
        </w:rPr>
        <w:tab/>
        <w:t xml:space="preserve">J. N. Hutchinson, D. L. Millar, and N. H. Trewin, “Coast erosion at a nuclear waste shaft, Dounreay, Scotland,” </w:t>
      </w:r>
      <w:r w:rsidRPr="006F1462">
        <w:rPr>
          <w:rFonts w:ascii="Calibri" w:hAnsi="Calibri" w:cs="Calibri"/>
          <w:i/>
          <w:iCs/>
          <w:noProof/>
          <w:sz w:val="28"/>
          <w:szCs w:val="24"/>
        </w:rPr>
        <w:t>Q. J. Eng. Geol. Hydrogeol.</w:t>
      </w:r>
      <w:r w:rsidRPr="006F1462">
        <w:rPr>
          <w:rFonts w:ascii="Calibri" w:hAnsi="Calibri" w:cs="Calibri"/>
          <w:noProof/>
          <w:sz w:val="28"/>
          <w:szCs w:val="24"/>
        </w:rPr>
        <w:t>, vol. 34, no. 3, pp. 245–268, Aug. 2001, doi: 10.1144/qjegh.34.3.245.</w:t>
      </w:r>
    </w:p>
    <w:p w14:paraId="76D67115"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[24]</w:t>
      </w:r>
      <w:r w:rsidRPr="006F1462">
        <w:rPr>
          <w:rFonts w:ascii="Calibri" w:hAnsi="Calibri" w:cs="Calibri"/>
          <w:noProof/>
          <w:sz w:val="28"/>
          <w:szCs w:val="24"/>
        </w:rPr>
        <w:tab/>
        <w:t>D. A. Cavendish and D. Partnership, “Dounreay Socio Economic Plan,” 2018.</w:t>
      </w:r>
    </w:p>
    <w:p w14:paraId="1BBD18FC"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[25]</w:t>
      </w:r>
      <w:r w:rsidRPr="006F1462">
        <w:rPr>
          <w:rFonts w:ascii="Calibri" w:hAnsi="Calibri" w:cs="Calibri"/>
          <w:noProof/>
          <w:sz w:val="28"/>
          <w:szCs w:val="24"/>
        </w:rPr>
        <w:tab/>
        <w:t xml:space="preserve">N. Vajda and C.-K. Kim, “Determination of Pu isotopes by alpha spectrometry: a review of analytical methodology,” </w:t>
      </w:r>
      <w:r w:rsidRPr="006F1462">
        <w:rPr>
          <w:rFonts w:ascii="Calibri" w:hAnsi="Calibri" w:cs="Calibri"/>
          <w:i/>
          <w:iCs/>
          <w:noProof/>
          <w:sz w:val="28"/>
          <w:szCs w:val="24"/>
        </w:rPr>
        <w:t>J. Radioanal. Nucl. Chem.</w:t>
      </w:r>
      <w:r w:rsidRPr="006F1462">
        <w:rPr>
          <w:rFonts w:ascii="Calibri" w:hAnsi="Calibri" w:cs="Calibri"/>
          <w:noProof/>
          <w:sz w:val="28"/>
          <w:szCs w:val="24"/>
        </w:rPr>
        <w:t>, vol. 283, no. 1, pp. 203–223, Jan. 2010, doi: 10.1007/s10967-009-0342-x.</w:t>
      </w:r>
    </w:p>
    <w:p w14:paraId="407433D1"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[26]</w:t>
      </w:r>
      <w:r w:rsidRPr="006F1462">
        <w:rPr>
          <w:rFonts w:ascii="Calibri" w:hAnsi="Calibri" w:cs="Calibri"/>
          <w:noProof/>
          <w:sz w:val="28"/>
          <w:szCs w:val="24"/>
        </w:rPr>
        <w:tab/>
        <w:t xml:space="preserve">L. K. Fifield, “Accelerator mass spectrometry of the actinides,” </w:t>
      </w:r>
      <w:r w:rsidRPr="006F1462">
        <w:rPr>
          <w:rFonts w:ascii="Calibri" w:hAnsi="Calibri" w:cs="Calibri"/>
          <w:i/>
          <w:iCs/>
          <w:noProof/>
          <w:sz w:val="28"/>
          <w:szCs w:val="24"/>
        </w:rPr>
        <w:t>Quat. Geochronol.</w:t>
      </w:r>
      <w:r w:rsidRPr="006F1462">
        <w:rPr>
          <w:rFonts w:ascii="Calibri" w:hAnsi="Calibri" w:cs="Calibri"/>
          <w:noProof/>
          <w:sz w:val="28"/>
          <w:szCs w:val="24"/>
        </w:rPr>
        <w:t xml:space="preserve">, vol. 3, pp. 276–290, 2008, doi: </w:t>
      </w:r>
      <w:r w:rsidRPr="006F1462">
        <w:rPr>
          <w:rFonts w:ascii="Calibri" w:hAnsi="Calibri" w:cs="Calibri"/>
          <w:noProof/>
          <w:sz w:val="28"/>
          <w:szCs w:val="24"/>
        </w:rPr>
        <w:lastRenderedPageBreak/>
        <w:t>10.1016/j.quageo.2007.10.003.</w:t>
      </w:r>
    </w:p>
    <w:p w14:paraId="44F4C293"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[27]</w:t>
      </w:r>
      <w:r w:rsidRPr="006F1462">
        <w:rPr>
          <w:rFonts w:ascii="Calibri" w:hAnsi="Calibri" w:cs="Calibri"/>
          <w:noProof/>
          <w:sz w:val="28"/>
          <w:szCs w:val="24"/>
        </w:rPr>
        <w:tab/>
        <w:t>Scottish Environmental Protection Agency, “ENVIRONMENTAL PROTECTION The Radioactive Contaminated Land ( Scotland ) Regulations 2007,” vol. 1995, no. 179, 2007.</w:t>
      </w:r>
    </w:p>
    <w:p w14:paraId="7CD95F95"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[28]</w:t>
      </w:r>
      <w:r w:rsidRPr="006F1462">
        <w:rPr>
          <w:rFonts w:ascii="Calibri" w:hAnsi="Calibri" w:cs="Calibri"/>
          <w:noProof/>
          <w:sz w:val="28"/>
          <w:szCs w:val="24"/>
        </w:rPr>
        <w:tab/>
        <w:t xml:space="preserve">B. D’Mellow, M. D. Aspinall, R. O. Mackin, M. J. Joyce, and A. J. Peyton, “Digital discrimination of neutrons and ??-rays in liquid scintillators using pulse gradient analysis,” </w:t>
      </w:r>
      <w:r w:rsidRPr="006F1462">
        <w:rPr>
          <w:rFonts w:ascii="Calibri" w:hAnsi="Calibri" w:cs="Calibri"/>
          <w:i/>
          <w:iCs/>
          <w:noProof/>
          <w:sz w:val="28"/>
          <w:szCs w:val="24"/>
        </w:rPr>
        <w:t>Nucl. Instruments Methods Phys. Res. Sect. A Accel. Spectrometers, Detect. Assoc. Equip.</w:t>
      </w:r>
      <w:r w:rsidRPr="006F1462">
        <w:rPr>
          <w:rFonts w:ascii="Calibri" w:hAnsi="Calibri" w:cs="Calibri"/>
          <w:noProof/>
          <w:sz w:val="28"/>
          <w:szCs w:val="24"/>
        </w:rPr>
        <w:t>, vol. 578, no. 1, pp. 191–197, 2007, doi: 10.1016/j.nima.2007.04.174.</w:t>
      </w:r>
    </w:p>
    <w:p w14:paraId="3A34E3B2"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[29]</w:t>
      </w:r>
      <w:r w:rsidRPr="006F1462">
        <w:rPr>
          <w:rFonts w:ascii="Calibri" w:hAnsi="Calibri" w:cs="Calibri"/>
          <w:noProof/>
          <w:sz w:val="28"/>
          <w:szCs w:val="24"/>
        </w:rPr>
        <w:tab/>
        <w:t xml:space="preserve">M. J. Joyce, K. A. A. Gamage, M. D. Aspinall, F. D. Cave, and A. Lavietes, “A 4-channel multiplex analyzer for real-time, parallel processing of fast scintillators,” </w:t>
      </w:r>
      <w:r w:rsidRPr="006F1462">
        <w:rPr>
          <w:rFonts w:ascii="Calibri" w:hAnsi="Calibri" w:cs="Calibri"/>
          <w:i/>
          <w:iCs/>
          <w:noProof/>
          <w:sz w:val="28"/>
          <w:szCs w:val="24"/>
        </w:rPr>
        <w:t>IEEE Nucl. Sci. Symp. Conf. Rec.</w:t>
      </w:r>
      <w:r w:rsidRPr="006F1462">
        <w:rPr>
          <w:rFonts w:ascii="Calibri" w:hAnsi="Calibri" w:cs="Calibri"/>
          <w:noProof/>
          <w:sz w:val="28"/>
          <w:szCs w:val="24"/>
        </w:rPr>
        <w:t>, pp. 134–138, 2012, doi: 10.1109/NSSMIC.2012.6551077.</w:t>
      </w:r>
    </w:p>
    <w:p w14:paraId="1A0FF437"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[30]</w:t>
      </w:r>
      <w:r w:rsidRPr="006F1462">
        <w:rPr>
          <w:rFonts w:ascii="Calibri" w:hAnsi="Calibri" w:cs="Calibri"/>
          <w:noProof/>
          <w:sz w:val="28"/>
          <w:szCs w:val="24"/>
        </w:rPr>
        <w:tab/>
        <w:t xml:space="preserve">I. Tsutomu, M. Takehiko, and S. Keisho, “Measurement of Fast Neutron Spectrum with Helium-3 Proportional Counter,” </w:t>
      </w:r>
      <w:r w:rsidRPr="006F1462">
        <w:rPr>
          <w:rFonts w:ascii="Calibri" w:hAnsi="Calibri" w:cs="Calibri"/>
          <w:i/>
          <w:iCs/>
          <w:noProof/>
          <w:sz w:val="28"/>
          <w:szCs w:val="24"/>
        </w:rPr>
        <w:t>J. Nucl. Sci. Technol.</w:t>
      </w:r>
      <w:r w:rsidRPr="006F1462">
        <w:rPr>
          <w:rFonts w:ascii="Calibri" w:hAnsi="Calibri" w:cs="Calibri"/>
          <w:noProof/>
          <w:sz w:val="28"/>
          <w:szCs w:val="24"/>
        </w:rPr>
        <w:t>, vol. 8, no. 4, pp. 192–194, 1971, doi: 10.1080/18811248.1971.9735315.</w:t>
      </w:r>
    </w:p>
    <w:p w14:paraId="71189F92"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[31]</w:t>
      </w:r>
      <w:r w:rsidRPr="006F1462">
        <w:rPr>
          <w:rFonts w:ascii="Calibri" w:hAnsi="Calibri" w:cs="Calibri"/>
          <w:noProof/>
          <w:sz w:val="28"/>
          <w:szCs w:val="24"/>
        </w:rPr>
        <w:tab/>
        <w:t xml:space="preserve">A. J. Hurd and R. T. Kouzes, “Why new neutron detector materials must replace helium-3,” </w:t>
      </w:r>
      <w:r w:rsidRPr="006F1462">
        <w:rPr>
          <w:rFonts w:ascii="Calibri" w:hAnsi="Calibri" w:cs="Calibri"/>
          <w:i/>
          <w:iCs/>
          <w:noProof/>
          <w:sz w:val="28"/>
          <w:szCs w:val="24"/>
        </w:rPr>
        <w:t>J. Appl. Genet.</w:t>
      </w:r>
      <w:r w:rsidRPr="006F1462">
        <w:rPr>
          <w:rFonts w:ascii="Calibri" w:hAnsi="Calibri" w:cs="Calibri"/>
          <w:noProof/>
          <w:sz w:val="28"/>
          <w:szCs w:val="24"/>
        </w:rPr>
        <w:t>, vol. 129, no. 10, Oct. 2014, doi: 10.1140/epjp/i2014-14236-6.</w:t>
      </w:r>
    </w:p>
    <w:p w14:paraId="58AE89B7"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lastRenderedPageBreak/>
        <w:t>[32]</w:t>
      </w:r>
      <w:r w:rsidRPr="006F1462">
        <w:rPr>
          <w:rFonts w:ascii="Calibri" w:hAnsi="Calibri" w:cs="Calibri"/>
          <w:noProof/>
          <w:sz w:val="28"/>
          <w:szCs w:val="24"/>
        </w:rPr>
        <w:tab/>
        <w:t>R. C. Martin, J. B. Knauer, and P. A. Balo, “Production, distribution and applications of californium-252 neutron sources,” 2000.</w:t>
      </w:r>
    </w:p>
    <w:p w14:paraId="3AE61E0D"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[33]</w:t>
      </w:r>
      <w:r w:rsidRPr="006F1462">
        <w:rPr>
          <w:rFonts w:ascii="Calibri" w:hAnsi="Calibri" w:cs="Calibri"/>
          <w:noProof/>
          <w:sz w:val="28"/>
          <w:szCs w:val="24"/>
        </w:rPr>
        <w:tab/>
        <w:t>N. Holden and M. Zucker, “A reevaluation of the average prompt neutron emission multiplicity (nubar) values from fission of uranium and transuranium nuclides.” 1984.</w:t>
      </w:r>
    </w:p>
    <w:p w14:paraId="291BBA22"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[34]</w:t>
      </w:r>
      <w:r w:rsidRPr="006F1462">
        <w:rPr>
          <w:rFonts w:ascii="Calibri" w:hAnsi="Calibri" w:cs="Calibri"/>
          <w:noProof/>
          <w:sz w:val="28"/>
          <w:szCs w:val="24"/>
        </w:rPr>
        <w:tab/>
        <w:t xml:space="preserve">M. J. Joyce, K. A. A. Gamage, M. D. Aspinall, F. D. Cave, and A. Lavietes, “Real-time, fast neutron coincidence assay of plutonium with a 4-channel multiplexed analyzer and organic scintillators,” </w:t>
      </w:r>
      <w:r w:rsidRPr="006F1462">
        <w:rPr>
          <w:rFonts w:ascii="Calibri" w:hAnsi="Calibri" w:cs="Calibri"/>
          <w:i/>
          <w:iCs/>
          <w:noProof/>
          <w:sz w:val="28"/>
          <w:szCs w:val="24"/>
        </w:rPr>
        <w:t>IEEE Trans. Nucl. Sci.</w:t>
      </w:r>
      <w:r w:rsidRPr="006F1462">
        <w:rPr>
          <w:rFonts w:ascii="Calibri" w:hAnsi="Calibri" w:cs="Calibri"/>
          <w:noProof/>
          <w:sz w:val="28"/>
          <w:szCs w:val="24"/>
        </w:rPr>
        <w:t>, vol. 61, no. 3, pp. 1340–1348, 2014, doi: 10.1109/TNS.2014.2313574.</w:t>
      </w:r>
    </w:p>
    <w:p w14:paraId="27C062ED"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[35]</w:t>
      </w:r>
      <w:r w:rsidRPr="006F1462">
        <w:rPr>
          <w:rFonts w:ascii="Calibri" w:hAnsi="Calibri" w:cs="Calibri"/>
          <w:noProof/>
          <w:sz w:val="28"/>
          <w:szCs w:val="24"/>
        </w:rPr>
        <w:tab/>
        <w:t xml:space="preserve">J. L. Dolan </w:t>
      </w:r>
      <w:r w:rsidRPr="006F1462">
        <w:rPr>
          <w:rFonts w:ascii="Calibri" w:hAnsi="Calibri" w:cs="Calibri"/>
          <w:i/>
          <w:iCs/>
          <w:noProof/>
          <w:sz w:val="28"/>
          <w:szCs w:val="24"/>
        </w:rPr>
        <w:t>et al.</w:t>
      </w:r>
      <w:r w:rsidRPr="006F1462">
        <w:rPr>
          <w:rFonts w:ascii="Calibri" w:hAnsi="Calibri" w:cs="Calibri"/>
          <w:noProof/>
          <w:sz w:val="28"/>
          <w:szCs w:val="24"/>
        </w:rPr>
        <w:t>, “Active-interrogation measurements of fast neutrons from induced fission in low-enriched uranium,” 2014, doi: 10.1016/j.nima.2013.11.052.</w:t>
      </w:r>
    </w:p>
    <w:p w14:paraId="1A9FD6E5"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[36]</w:t>
      </w:r>
      <w:r w:rsidRPr="006F1462">
        <w:rPr>
          <w:rFonts w:ascii="Calibri" w:hAnsi="Calibri" w:cs="Calibri"/>
          <w:noProof/>
          <w:sz w:val="28"/>
          <w:szCs w:val="24"/>
        </w:rPr>
        <w:tab/>
        <w:t xml:space="preserve">R. Chandra, G. Davatz, U. Gendotti, and A. Howard, “Fast neutron detection in homeland security applications,” in </w:t>
      </w:r>
      <w:r w:rsidRPr="006F1462">
        <w:rPr>
          <w:rFonts w:ascii="Calibri" w:hAnsi="Calibri" w:cs="Calibri"/>
          <w:i/>
          <w:iCs/>
          <w:noProof/>
          <w:sz w:val="28"/>
          <w:szCs w:val="24"/>
        </w:rPr>
        <w:t>IEEE Nuclear Science Symposuim &amp; Medical Imaging Conference</w:t>
      </w:r>
      <w:r w:rsidRPr="006F1462">
        <w:rPr>
          <w:rFonts w:ascii="Calibri" w:hAnsi="Calibri" w:cs="Calibri"/>
          <w:noProof/>
          <w:sz w:val="28"/>
          <w:szCs w:val="24"/>
        </w:rPr>
        <w:t>, 2010, pp. 508–511, doi: 10.1109/NSSMIC.2010.5873813.</w:t>
      </w:r>
    </w:p>
    <w:p w14:paraId="0103DCE5"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[37]</w:t>
      </w:r>
      <w:r w:rsidRPr="006F1462">
        <w:rPr>
          <w:rFonts w:ascii="Calibri" w:hAnsi="Calibri" w:cs="Calibri"/>
          <w:noProof/>
          <w:sz w:val="28"/>
          <w:szCs w:val="24"/>
        </w:rPr>
        <w:tab/>
        <w:t xml:space="preserve">A. Zimbal, D. Degering, M. Reginatto, H. Schuhmacher, B. Wiegel, and K. Zuber, “Low-level measuring techniques for neutrons: High accuracy neutron source strength determination and fluence rate measurement at </w:t>
      </w:r>
      <w:r w:rsidRPr="006F1462">
        <w:rPr>
          <w:rFonts w:ascii="Calibri" w:hAnsi="Calibri" w:cs="Calibri"/>
          <w:noProof/>
          <w:sz w:val="28"/>
          <w:szCs w:val="24"/>
        </w:rPr>
        <w:lastRenderedPageBreak/>
        <w:t>an underground laboratory,” vol. 1549, p. 77, 2013, doi: 10.1063/1.4818078.</w:t>
      </w:r>
    </w:p>
    <w:p w14:paraId="0C3DFE88"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[38]</w:t>
      </w:r>
      <w:r w:rsidRPr="006F1462">
        <w:rPr>
          <w:rFonts w:ascii="Calibri" w:hAnsi="Calibri" w:cs="Calibri"/>
          <w:noProof/>
          <w:sz w:val="28"/>
          <w:szCs w:val="24"/>
        </w:rPr>
        <w:tab/>
        <w:t xml:space="preserve">H. M. O. Parker, J. S. Beaumont, and M. J. Joyce, “Passive, non-intrusive assay of depleted uranium,” </w:t>
      </w:r>
      <w:r w:rsidRPr="006F1462">
        <w:rPr>
          <w:rFonts w:ascii="Calibri" w:hAnsi="Calibri" w:cs="Calibri"/>
          <w:i/>
          <w:iCs/>
          <w:noProof/>
          <w:sz w:val="28"/>
          <w:szCs w:val="24"/>
        </w:rPr>
        <w:t>J. Hazard. Mater.</w:t>
      </w:r>
      <w:r w:rsidRPr="006F1462">
        <w:rPr>
          <w:rFonts w:ascii="Calibri" w:hAnsi="Calibri" w:cs="Calibri"/>
          <w:noProof/>
          <w:sz w:val="28"/>
          <w:szCs w:val="24"/>
        </w:rPr>
        <w:t>, vol. 364, pp. 293–299, Feb. 2019, doi: 10.1016/j.jhazmat.2018.08.018.</w:t>
      </w:r>
    </w:p>
    <w:p w14:paraId="415A69DE"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[39]</w:t>
      </w:r>
      <w:r w:rsidRPr="006F1462">
        <w:rPr>
          <w:rFonts w:ascii="Calibri" w:hAnsi="Calibri" w:cs="Calibri"/>
          <w:noProof/>
          <w:sz w:val="28"/>
          <w:szCs w:val="24"/>
        </w:rPr>
        <w:tab/>
        <w:t xml:space="preserve">N. Ensslin, “The Origin of Neutron Radiation,” </w:t>
      </w:r>
      <w:r w:rsidRPr="006F1462">
        <w:rPr>
          <w:rFonts w:ascii="Calibri" w:hAnsi="Calibri" w:cs="Calibri"/>
          <w:i/>
          <w:iCs/>
          <w:noProof/>
          <w:sz w:val="28"/>
          <w:szCs w:val="24"/>
        </w:rPr>
        <w:t>Passiv. Nondestruct. Assay Nucl. Mater.</w:t>
      </w:r>
      <w:r w:rsidRPr="006F1462">
        <w:rPr>
          <w:rFonts w:ascii="Calibri" w:hAnsi="Calibri" w:cs="Calibri"/>
          <w:noProof/>
          <w:sz w:val="28"/>
          <w:szCs w:val="24"/>
        </w:rPr>
        <w:t>, pp. 337–356, 1991.</w:t>
      </w:r>
    </w:p>
    <w:p w14:paraId="449C5369"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[40]</w:t>
      </w:r>
      <w:r w:rsidRPr="006F1462">
        <w:rPr>
          <w:rFonts w:ascii="Calibri" w:hAnsi="Calibri" w:cs="Calibri"/>
          <w:noProof/>
          <w:sz w:val="28"/>
          <w:szCs w:val="24"/>
        </w:rPr>
        <w:tab/>
        <w:t xml:space="preserve">Y. Feige, B. G. Oltman, and J. Kastner, “Production rates of neutrons in soils due to natural radioactivity,” </w:t>
      </w:r>
      <w:r w:rsidRPr="006F1462">
        <w:rPr>
          <w:rFonts w:ascii="Calibri" w:hAnsi="Calibri" w:cs="Calibri"/>
          <w:i/>
          <w:iCs/>
          <w:noProof/>
          <w:sz w:val="28"/>
          <w:szCs w:val="24"/>
        </w:rPr>
        <w:t>J. Geophys. Res.</w:t>
      </w:r>
      <w:r w:rsidRPr="006F1462">
        <w:rPr>
          <w:rFonts w:ascii="Calibri" w:hAnsi="Calibri" w:cs="Calibri"/>
          <w:noProof/>
          <w:sz w:val="28"/>
          <w:szCs w:val="24"/>
        </w:rPr>
        <w:t>, vol. 73, no. 10, pp. 3135–3142, May 1968, doi: 10.1029/JB073i010p03135.</w:t>
      </w:r>
    </w:p>
    <w:p w14:paraId="3C38B890"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[41]</w:t>
      </w:r>
      <w:r w:rsidRPr="006F1462">
        <w:rPr>
          <w:rFonts w:ascii="Calibri" w:hAnsi="Calibri" w:cs="Calibri"/>
          <w:noProof/>
          <w:sz w:val="28"/>
          <w:szCs w:val="24"/>
        </w:rPr>
        <w:tab/>
        <w:t xml:space="preserve">G. Heusser, “Low-Radioactivity Background Techniques,” </w:t>
      </w:r>
      <w:r w:rsidRPr="006F1462">
        <w:rPr>
          <w:rFonts w:ascii="Calibri" w:hAnsi="Calibri" w:cs="Calibri"/>
          <w:i/>
          <w:iCs/>
          <w:noProof/>
          <w:sz w:val="28"/>
          <w:szCs w:val="24"/>
        </w:rPr>
        <w:t>Annu. Rev. Nucl. Part. Sci.</w:t>
      </w:r>
      <w:r w:rsidRPr="006F1462">
        <w:rPr>
          <w:rFonts w:ascii="Calibri" w:hAnsi="Calibri" w:cs="Calibri"/>
          <w:noProof/>
          <w:sz w:val="28"/>
          <w:szCs w:val="24"/>
        </w:rPr>
        <w:t>, vol. 45, no. 1, pp. 543–590, Dec. 1995, doi: 10.1146/annurev.ns.45.120195.002551.</w:t>
      </w:r>
    </w:p>
    <w:p w14:paraId="670D48D9"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[42]</w:t>
      </w:r>
      <w:r w:rsidRPr="006F1462">
        <w:rPr>
          <w:rFonts w:ascii="Calibri" w:hAnsi="Calibri" w:cs="Calibri"/>
          <w:noProof/>
          <w:sz w:val="28"/>
          <w:szCs w:val="24"/>
        </w:rPr>
        <w:tab/>
        <w:t>S. Reilly, D., Ensslin, N., Smith, H. Jr., Kreiner, “Passive Nondestructive Assay of Nuclear Materials,” 1991.</w:t>
      </w:r>
    </w:p>
    <w:p w14:paraId="03B09330"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[43]</w:t>
      </w:r>
      <w:r w:rsidRPr="006F1462">
        <w:rPr>
          <w:rFonts w:ascii="Calibri" w:hAnsi="Calibri" w:cs="Calibri"/>
          <w:noProof/>
          <w:sz w:val="28"/>
          <w:szCs w:val="24"/>
        </w:rPr>
        <w:tab/>
        <w:t xml:space="preserve">H.-A. Synal and L. Wacker, “AMS measurement technique after 30years: Possibilities and limitations of low energy systems,” </w:t>
      </w:r>
      <w:r w:rsidRPr="006F1462">
        <w:rPr>
          <w:rFonts w:ascii="Calibri" w:hAnsi="Calibri" w:cs="Calibri"/>
          <w:i/>
          <w:iCs/>
          <w:noProof/>
          <w:sz w:val="28"/>
          <w:szCs w:val="24"/>
        </w:rPr>
        <w:t>Nucl. Instruments Methods Phys. Res. Sect. B Beam Interact. with Mater. Atoms</w:t>
      </w:r>
      <w:r w:rsidRPr="006F1462">
        <w:rPr>
          <w:rFonts w:ascii="Calibri" w:hAnsi="Calibri" w:cs="Calibri"/>
          <w:noProof/>
          <w:sz w:val="28"/>
          <w:szCs w:val="24"/>
        </w:rPr>
        <w:t>, vol. 268, no. 7–8, pp. 701–707, Apr. 2010, doi: 10.1016/j.nimb.2009.10.009.</w:t>
      </w:r>
    </w:p>
    <w:p w14:paraId="280B5090"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lastRenderedPageBreak/>
        <w:t>[44]</w:t>
      </w:r>
      <w:r w:rsidRPr="006F1462">
        <w:rPr>
          <w:rFonts w:ascii="Calibri" w:hAnsi="Calibri" w:cs="Calibri"/>
          <w:noProof/>
          <w:sz w:val="28"/>
          <w:szCs w:val="24"/>
        </w:rPr>
        <w:tab/>
        <w:t xml:space="preserve">E. Chamizo, M. López-Lora, M. Villa, N. Casacuberta, J. M. López-Gutiérrez, and M. K. Pham, “Analysis of 236U and plutonium isotopes, 239,240Pu, on the 1 MV AMS system at the Centro Nacional de Aceleradores, as a potential tool in oceanography,” </w:t>
      </w:r>
      <w:r w:rsidRPr="006F1462">
        <w:rPr>
          <w:rFonts w:ascii="Calibri" w:hAnsi="Calibri" w:cs="Calibri"/>
          <w:i/>
          <w:iCs/>
          <w:noProof/>
          <w:sz w:val="28"/>
          <w:szCs w:val="24"/>
        </w:rPr>
        <w:t>Nucl. Instruments Methods Phys. Res. Sect. B Beam Interact. with Mater. Atoms</w:t>
      </w:r>
      <w:r w:rsidRPr="006F1462">
        <w:rPr>
          <w:rFonts w:ascii="Calibri" w:hAnsi="Calibri" w:cs="Calibri"/>
          <w:noProof/>
          <w:sz w:val="28"/>
          <w:szCs w:val="24"/>
        </w:rPr>
        <w:t>, vol. 361, pp. 535–540, Oct. 2015, doi: 10.1016/J.NIMB.2015.02.066.</w:t>
      </w:r>
    </w:p>
    <w:p w14:paraId="551E59A9"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[45]</w:t>
      </w:r>
      <w:r w:rsidRPr="006F1462">
        <w:rPr>
          <w:rFonts w:ascii="Calibri" w:hAnsi="Calibri" w:cs="Calibri"/>
          <w:noProof/>
          <w:sz w:val="28"/>
          <w:szCs w:val="24"/>
        </w:rPr>
        <w:tab/>
        <w:t xml:space="preserve">A. Rahman, </w:t>
      </w:r>
      <w:r w:rsidRPr="006F1462">
        <w:rPr>
          <w:rFonts w:ascii="Calibri" w:hAnsi="Calibri" w:cs="Calibri"/>
          <w:i/>
          <w:iCs/>
          <w:noProof/>
          <w:sz w:val="28"/>
          <w:szCs w:val="24"/>
        </w:rPr>
        <w:t>Decommissioning and Radioactive Waste Management</w:t>
      </w:r>
      <w:r w:rsidRPr="006F1462">
        <w:rPr>
          <w:rFonts w:ascii="Calibri" w:hAnsi="Calibri" w:cs="Calibri"/>
          <w:noProof/>
          <w:sz w:val="28"/>
          <w:szCs w:val="24"/>
        </w:rPr>
        <w:t>, Illustrate. Whittles publishing, 2008.</w:t>
      </w:r>
    </w:p>
    <w:p w14:paraId="08628ED3"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[46]</w:t>
      </w:r>
      <w:r w:rsidRPr="006F1462">
        <w:rPr>
          <w:rFonts w:ascii="Calibri" w:hAnsi="Calibri" w:cs="Calibri"/>
          <w:noProof/>
          <w:sz w:val="28"/>
          <w:szCs w:val="24"/>
        </w:rPr>
        <w:tab/>
        <w:t xml:space="preserve">N. V. Gorin </w:t>
      </w:r>
      <w:r w:rsidRPr="006F1462">
        <w:rPr>
          <w:rFonts w:ascii="Calibri" w:hAnsi="Calibri" w:cs="Calibri"/>
          <w:i/>
          <w:iCs/>
          <w:noProof/>
          <w:sz w:val="28"/>
          <w:szCs w:val="24"/>
        </w:rPr>
        <w:t>et al.</w:t>
      </w:r>
      <w:r w:rsidRPr="006F1462">
        <w:rPr>
          <w:rFonts w:ascii="Calibri" w:hAnsi="Calibri" w:cs="Calibri"/>
          <w:noProof/>
          <w:sz w:val="28"/>
          <w:szCs w:val="24"/>
        </w:rPr>
        <w:t xml:space="preserve">, “Calibration Experiment on the Detection of Fissioning Material in Soil by Means of Neutron Detection,” </w:t>
      </w:r>
      <w:r w:rsidRPr="006F1462">
        <w:rPr>
          <w:rFonts w:ascii="Calibri" w:hAnsi="Calibri" w:cs="Calibri"/>
          <w:i/>
          <w:iCs/>
          <w:noProof/>
          <w:sz w:val="28"/>
          <w:szCs w:val="24"/>
        </w:rPr>
        <w:t>At. Energy</w:t>
      </w:r>
      <w:r w:rsidRPr="006F1462">
        <w:rPr>
          <w:rFonts w:ascii="Calibri" w:hAnsi="Calibri" w:cs="Calibri"/>
          <w:noProof/>
          <w:sz w:val="28"/>
          <w:szCs w:val="24"/>
        </w:rPr>
        <w:t>, vol. 99, no. 3, pp. 670–675, Sep. 2005, doi: 10.1007/s10512-005-0264-9.</w:t>
      </w:r>
    </w:p>
    <w:p w14:paraId="480DF3BE"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[47]</w:t>
      </w:r>
      <w:r w:rsidRPr="006F1462">
        <w:rPr>
          <w:rFonts w:ascii="Calibri" w:hAnsi="Calibri" w:cs="Calibri"/>
          <w:noProof/>
          <w:sz w:val="28"/>
          <w:szCs w:val="24"/>
        </w:rPr>
        <w:tab/>
        <w:t xml:space="preserve">S. C. Sheppard, M. I. Sheppard, M. Ilin, J. Tait, and B. Sanipelli, “Primordial radionuclides in Canadian background sites: secular equilibrium and isotopic differences,” </w:t>
      </w:r>
      <w:r w:rsidRPr="006F1462">
        <w:rPr>
          <w:rFonts w:ascii="Calibri" w:hAnsi="Calibri" w:cs="Calibri"/>
          <w:i/>
          <w:iCs/>
          <w:noProof/>
          <w:sz w:val="28"/>
          <w:szCs w:val="24"/>
        </w:rPr>
        <w:t>J. Environ. Radioact.</w:t>
      </w:r>
      <w:r w:rsidRPr="006F1462">
        <w:rPr>
          <w:rFonts w:ascii="Calibri" w:hAnsi="Calibri" w:cs="Calibri"/>
          <w:noProof/>
          <w:sz w:val="28"/>
          <w:szCs w:val="24"/>
        </w:rPr>
        <w:t>, vol. 99, no. 6, pp. 933–946, Jun. 2008, doi: 10.1016/j.jenvrad.2007.11.018.</w:t>
      </w:r>
    </w:p>
    <w:p w14:paraId="5A4C979D"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[48]</w:t>
      </w:r>
      <w:r w:rsidRPr="006F1462">
        <w:rPr>
          <w:rFonts w:ascii="Calibri" w:hAnsi="Calibri" w:cs="Calibri"/>
          <w:noProof/>
          <w:sz w:val="28"/>
          <w:szCs w:val="24"/>
        </w:rPr>
        <w:tab/>
        <w:t xml:space="preserve">M. D. Aspinall </w:t>
      </w:r>
      <w:r w:rsidRPr="006F1462">
        <w:rPr>
          <w:rFonts w:ascii="Calibri" w:hAnsi="Calibri" w:cs="Calibri"/>
          <w:i/>
          <w:iCs/>
          <w:noProof/>
          <w:sz w:val="28"/>
          <w:szCs w:val="24"/>
        </w:rPr>
        <w:t>et al.</w:t>
      </w:r>
      <w:r w:rsidRPr="006F1462">
        <w:rPr>
          <w:rFonts w:ascii="Calibri" w:hAnsi="Calibri" w:cs="Calibri"/>
          <w:noProof/>
          <w:sz w:val="28"/>
          <w:szCs w:val="24"/>
        </w:rPr>
        <w:t xml:space="preserve">, “Real-Time Capabilities of a Digital Analyzer for Mixed-Field Assay Using Scintillation Detectors,” </w:t>
      </w:r>
      <w:r w:rsidRPr="006F1462">
        <w:rPr>
          <w:rFonts w:ascii="Calibri" w:hAnsi="Calibri" w:cs="Calibri"/>
          <w:i/>
          <w:iCs/>
          <w:noProof/>
          <w:sz w:val="28"/>
          <w:szCs w:val="24"/>
        </w:rPr>
        <w:t>IEEE Trans. Nucl. Sci.</w:t>
      </w:r>
      <w:r w:rsidRPr="006F1462">
        <w:rPr>
          <w:rFonts w:ascii="Calibri" w:hAnsi="Calibri" w:cs="Calibri"/>
          <w:noProof/>
          <w:sz w:val="28"/>
          <w:szCs w:val="24"/>
        </w:rPr>
        <w:t>, vol. 64, no. 3, pp. 945–950, Mar. 2017, doi: 10.1109/TNS.2017.2654512.</w:t>
      </w:r>
    </w:p>
    <w:p w14:paraId="476148D6"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[49]</w:t>
      </w:r>
      <w:r w:rsidRPr="006F1462">
        <w:rPr>
          <w:rFonts w:ascii="Calibri" w:hAnsi="Calibri" w:cs="Calibri"/>
          <w:noProof/>
          <w:sz w:val="28"/>
          <w:szCs w:val="24"/>
        </w:rPr>
        <w:tab/>
        <w:t xml:space="preserve">Helen M.O. Parker </w:t>
      </w:r>
      <w:r w:rsidRPr="006F1462">
        <w:rPr>
          <w:rFonts w:ascii="Calibri" w:hAnsi="Calibri" w:cs="Calibri"/>
          <w:i/>
          <w:iCs/>
          <w:noProof/>
          <w:sz w:val="28"/>
          <w:szCs w:val="24"/>
        </w:rPr>
        <w:t>et al.</w:t>
      </w:r>
      <w:r w:rsidRPr="006F1462">
        <w:rPr>
          <w:rFonts w:ascii="Calibri" w:hAnsi="Calibri" w:cs="Calibri"/>
          <w:noProof/>
          <w:sz w:val="28"/>
          <w:szCs w:val="24"/>
        </w:rPr>
        <w:t xml:space="preserve">, “Active fast neutron singles assay of 235U </w:t>
      </w:r>
      <w:r w:rsidRPr="006F1462">
        <w:rPr>
          <w:rFonts w:ascii="Calibri" w:hAnsi="Calibri" w:cs="Calibri"/>
          <w:noProof/>
          <w:sz w:val="28"/>
          <w:szCs w:val="24"/>
        </w:rPr>
        <w:lastRenderedPageBreak/>
        <w:t xml:space="preserve">enrichment in small samples of triuranium octoxide,” </w:t>
      </w:r>
      <w:r w:rsidRPr="006F1462">
        <w:rPr>
          <w:rFonts w:ascii="Calibri" w:hAnsi="Calibri" w:cs="Calibri"/>
          <w:i/>
          <w:iCs/>
          <w:noProof/>
          <w:sz w:val="28"/>
          <w:szCs w:val="24"/>
        </w:rPr>
        <w:t>Prog. Nucl. energy</w:t>
      </w:r>
      <w:r w:rsidRPr="006F1462">
        <w:rPr>
          <w:rFonts w:ascii="Calibri" w:hAnsi="Calibri" w:cs="Calibri"/>
          <w:noProof/>
          <w:sz w:val="28"/>
          <w:szCs w:val="24"/>
        </w:rPr>
        <w:t>, vol. 93, pp. 59–66, 2016.</w:t>
      </w:r>
    </w:p>
    <w:p w14:paraId="7A341BAC"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[50]</w:t>
      </w:r>
      <w:r w:rsidRPr="006F1462">
        <w:rPr>
          <w:rFonts w:ascii="Calibri" w:hAnsi="Calibri" w:cs="Calibri"/>
          <w:noProof/>
          <w:sz w:val="28"/>
          <w:szCs w:val="24"/>
        </w:rPr>
        <w:tab/>
        <w:t xml:space="preserve">R. Sarwar </w:t>
      </w:r>
      <w:r w:rsidRPr="006F1462">
        <w:rPr>
          <w:rFonts w:ascii="Calibri" w:hAnsi="Calibri" w:cs="Calibri"/>
          <w:i/>
          <w:iCs/>
          <w:noProof/>
          <w:sz w:val="28"/>
          <w:szCs w:val="24"/>
        </w:rPr>
        <w:t>et al.</w:t>
      </w:r>
      <w:r w:rsidRPr="006F1462">
        <w:rPr>
          <w:rFonts w:ascii="Calibri" w:hAnsi="Calibri" w:cs="Calibri"/>
          <w:noProof/>
          <w:sz w:val="28"/>
          <w:szCs w:val="24"/>
        </w:rPr>
        <w:t xml:space="preserve">, “An event-triggered coincidence algorithm for fast-neutron multiplicity assay corrected for cross-talk and photon breakthrough,” </w:t>
      </w:r>
      <w:r w:rsidRPr="006F1462">
        <w:rPr>
          <w:rFonts w:ascii="Calibri" w:hAnsi="Calibri" w:cs="Calibri"/>
          <w:i/>
          <w:iCs/>
          <w:noProof/>
          <w:sz w:val="28"/>
          <w:szCs w:val="24"/>
        </w:rPr>
        <w:t>Nucl. Inst. Methods Phys. Res. A</w:t>
      </w:r>
      <w:r w:rsidRPr="006F1462">
        <w:rPr>
          <w:rFonts w:ascii="Calibri" w:hAnsi="Calibri" w:cs="Calibri"/>
          <w:noProof/>
          <w:sz w:val="28"/>
          <w:szCs w:val="24"/>
        </w:rPr>
        <w:t>, vol. 903, pp. 152–161, 2018, doi: 10.1016/j.nima.2018.06.056.</w:t>
      </w:r>
    </w:p>
    <w:p w14:paraId="3C167ED6"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[51]</w:t>
      </w:r>
      <w:r w:rsidRPr="006F1462">
        <w:rPr>
          <w:rFonts w:ascii="Calibri" w:hAnsi="Calibri" w:cs="Calibri"/>
          <w:noProof/>
          <w:sz w:val="28"/>
          <w:szCs w:val="24"/>
        </w:rPr>
        <w:tab/>
        <w:t xml:space="preserve">V. Astromskas, M. J. Joyce, and M. Aspinall, “Investigation of instabilities of photomultiplier tubes for multi-element detector systems,” </w:t>
      </w:r>
      <w:r w:rsidRPr="006F1462">
        <w:rPr>
          <w:rFonts w:ascii="Calibri" w:hAnsi="Calibri" w:cs="Calibri"/>
          <w:i/>
          <w:iCs/>
          <w:noProof/>
          <w:sz w:val="28"/>
          <w:szCs w:val="24"/>
        </w:rPr>
        <w:t>J. Instrum.</w:t>
      </w:r>
      <w:r w:rsidRPr="006F1462">
        <w:rPr>
          <w:rFonts w:ascii="Calibri" w:hAnsi="Calibri" w:cs="Calibri"/>
          <w:noProof/>
          <w:sz w:val="28"/>
          <w:szCs w:val="24"/>
        </w:rPr>
        <w:t>, vol. 13, no. 10, pp. P10008–P10008, Oct. 2018, doi: 10.1088/1748-0221/13/10/P10008.</w:t>
      </w:r>
    </w:p>
    <w:p w14:paraId="460C9A34"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[52]</w:t>
      </w:r>
      <w:r w:rsidRPr="006F1462">
        <w:rPr>
          <w:rFonts w:ascii="Calibri" w:hAnsi="Calibri" w:cs="Calibri"/>
          <w:noProof/>
          <w:sz w:val="28"/>
          <w:szCs w:val="24"/>
        </w:rPr>
        <w:tab/>
        <w:t xml:space="preserve">Frank A. Haight, </w:t>
      </w:r>
      <w:r w:rsidRPr="006F1462">
        <w:rPr>
          <w:rFonts w:ascii="Calibri" w:hAnsi="Calibri" w:cs="Calibri"/>
          <w:i/>
          <w:iCs/>
          <w:noProof/>
          <w:sz w:val="28"/>
          <w:szCs w:val="24"/>
        </w:rPr>
        <w:t>Handbook of the Poisson Distribution</w:t>
      </w:r>
      <w:r w:rsidRPr="006F1462">
        <w:rPr>
          <w:rFonts w:ascii="Calibri" w:hAnsi="Calibri" w:cs="Calibri"/>
          <w:noProof/>
          <w:sz w:val="28"/>
          <w:szCs w:val="24"/>
        </w:rPr>
        <w:t>. Wiley, 1967.</w:t>
      </w:r>
    </w:p>
    <w:p w14:paraId="6C849B26"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[53]</w:t>
      </w:r>
      <w:r w:rsidRPr="006F1462">
        <w:rPr>
          <w:rFonts w:ascii="Calibri" w:hAnsi="Calibri" w:cs="Calibri"/>
          <w:noProof/>
          <w:sz w:val="28"/>
          <w:szCs w:val="24"/>
        </w:rPr>
        <w:tab/>
        <w:t xml:space="preserve">R. R. S. De Mendonça, J.-P. Raulin, E. Echer, V. S. Makhmutov, and G. Fernandez, “Analysis of atmospheric pressure and temperature effects on cosmic ray measurements,” </w:t>
      </w:r>
      <w:r w:rsidRPr="006F1462">
        <w:rPr>
          <w:rFonts w:ascii="Calibri" w:hAnsi="Calibri" w:cs="Calibri"/>
          <w:i/>
          <w:iCs/>
          <w:noProof/>
          <w:sz w:val="28"/>
          <w:szCs w:val="24"/>
        </w:rPr>
        <w:t>J. Geophys. Res. Sp. Phys.</w:t>
      </w:r>
      <w:r w:rsidRPr="006F1462">
        <w:rPr>
          <w:rFonts w:ascii="Calibri" w:hAnsi="Calibri" w:cs="Calibri"/>
          <w:noProof/>
          <w:sz w:val="28"/>
          <w:szCs w:val="24"/>
        </w:rPr>
        <w:t>, vol. 118, no. 4, pp. 1403–1409, Apr. 2013, doi: 10.1029/2012JA018026.</w:t>
      </w:r>
    </w:p>
    <w:p w14:paraId="3640EDFA"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[54]</w:t>
      </w:r>
      <w:r w:rsidRPr="006F1462">
        <w:rPr>
          <w:rFonts w:ascii="Calibri" w:hAnsi="Calibri" w:cs="Calibri"/>
          <w:noProof/>
          <w:sz w:val="28"/>
          <w:szCs w:val="24"/>
        </w:rPr>
        <w:tab/>
        <w:t xml:space="preserve">I. . Artamonova, D. M. Volobuev, and N. G. Makarenko, “Analysis of lower atmosphere pressure field response for short-time cosmic ray variations by Multifield Comparison Measure method,” </w:t>
      </w:r>
      <w:r w:rsidRPr="006F1462">
        <w:rPr>
          <w:rFonts w:ascii="Calibri" w:hAnsi="Calibri" w:cs="Calibri"/>
          <w:i/>
          <w:iCs/>
          <w:noProof/>
          <w:sz w:val="28"/>
          <w:szCs w:val="24"/>
        </w:rPr>
        <w:t>J. Phys. Conf. Ser.</w:t>
      </w:r>
      <w:r w:rsidRPr="006F1462">
        <w:rPr>
          <w:rFonts w:ascii="Calibri" w:hAnsi="Calibri" w:cs="Calibri"/>
          <w:noProof/>
          <w:sz w:val="28"/>
          <w:szCs w:val="24"/>
        </w:rPr>
        <w:t>, vol. 675, no. 3, p. 032030, Feb. 2016, doi: 10.1088/1742-6596/675/3/032030.</w:t>
      </w:r>
    </w:p>
    <w:p w14:paraId="73F65C52"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lastRenderedPageBreak/>
        <w:t>[55]</w:t>
      </w:r>
      <w:r w:rsidRPr="006F1462">
        <w:rPr>
          <w:rFonts w:ascii="Calibri" w:hAnsi="Calibri" w:cs="Calibri"/>
          <w:noProof/>
          <w:sz w:val="28"/>
          <w:szCs w:val="24"/>
        </w:rPr>
        <w:tab/>
        <w:t xml:space="preserve">Canberra, </w:t>
      </w:r>
      <w:r w:rsidRPr="006F1462">
        <w:rPr>
          <w:rFonts w:ascii="Calibri" w:hAnsi="Calibri" w:cs="Calibri"/>
          <w:i/>
          <w:iCs/>
          <w:noProof/>
          <w:sz w:val="28"/>
          <w:szCs w:val="24"/>
        </w:rPr>
        <w:t>Broad Energy Germanium Detectors (BEGe)</w:t>
      </w:r>
      <w:r w:rsidRPr="006F1462">
        <w:rPr>
          <w:rFonts w:ascii="Calibri" w:hAnsi="Calibri" w:cs="Calibri"/>
          <w:noProof/>
          <w:sz w:val="28"/>
          <w:szCs w:val="24"/>
        </w:rPr>
        <w:t>. 2013.</w:t>
      </w:r>
    </w:p>
    <w:p w14:paraId="4D40A116"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[56]</w:t>
      </w:r>
      <w:r w:rsidRPr="006F1462">
        <w:rPr>
          <w:rFonts w:ascii="Calibri" w:hAnsi="Calibri" w:cs="Calibri"/>
          <w:noProof/>
          <w:sz w:val="28"/>
          <w:szCs w:val="24"/>
        </w:rPr>
        <w:tab/>
        <w:t>Mirion Technologies, “Model S574 LabSOCS calibration software,” 2017.</w:t>
      </w:r>
    </w:p>
    <w:p w14:paraId="4370A707"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[57]</w:t>
      </w:r>
      <w:r w:rsidRPr="006F1462">
        <w:rPr>
          <w:rFonts w:ascii="Calibri" w:hAnsi="Calibri" w:cs="Calibri"/>
          <w:noProof/>
          <w:sz w:val="28"/>
          <w:szCs w:val="24"/>
        </w:rPr>
        <w:tab/>
        <w:t xml:space="preserve">Canberra, </w:t>
      </w:r>
      <w:r w:rsidRPr="006F1462">
        <w:rPr>
          <w:rFonts w:ascii="Calibri" w:hAnsi="Calibri" w:cs="Calibri"/>
          <w:i/>
          <w:iCs/>
          <w:noProof/>
          <w:sz w:val="28"/>
          <w:szCs w:val="24"/>
        </w:rPr>
        <w:t>Small Anode Germanium (SAGe) Well Detector Features</w:t>
      </w:r>
      <w:r w:rsidRPr="006F1462">
        <w:rPr>
          <w:rFonts w:ascii="Calibri" w:hAnsi="Calibri" w:cs="Calibri"/>
          <w:noProof/>
          <w:sz w:val="28"/>
          <w:szCs w:val="24"/>
        </w:rPr>
        <w:t>. 2016.</w:t>
      </w:r>
    </w:p>
    <w:p w14:paraId="53C48FCF"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[58]</w:t>
      </w:r>
      <w:r w:rsidRPr="006F1462">
        <w:rPr>
          <w:rFonts w:ascii="Calibri" w:hAnsi="Calibri" w:cs="Calibri"/>
          <w:noProof/>
          <w:sz w:val="28"/>
          <w:szCs w:val="24"/>
        </w:rPr>
        <w:tab/>
        <w:t>Mirion Technologies, “Prospect Gamma Spectroscopy Software Features,” 2013.</w:t>
      </w:r>
    </w:p>
    <w:p w14:paraId="36CDD0FD"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[59]</w:t>
      </w:r>
      <w:r w:rsidRPr="006F1462">
        <w:rPr>
          <w:rFonts w:ascii="Calibri" w:hAnsi="Calibri" w:cs="Calibri"/>
          <w:noProof/>
          <w:sz w:val="28"/>
          <w:szCs w:val="24"/>
        </w:rPr>
        <w:tab/>
        <w:t xml:space="preserve">Harry Bateman, “The solution of a system of differential equations occurring in the theory of radioactive transformations,” </w:t>
      </w:r>
      <w:r w:rsidRPr="006F1462">
        <w:rPr>
          <w:rFonts w:ascii="Calibri" w:hAnsi="Calibri" w:cs="Calibri"/>
          <w:i/>
          <w:iCs/>
          <w:noProof/>
          <w:sz w:val="28"/>
          <w:szCs w:val="24"/>
        </w:rPr>
        <w:t>Proc. Cambridge Philos. Soc. Math. Phys. Sci.</w:t>
      </w:r>
      <w:r w:rsidRPr="006F1462">
        <w:rPr>
          <w:rFonts w:ascii="Calibri" w:hAnsi="Calibri" w:cs="Calibri"/>
          <w:noProof/>
          <w:sz w:val="28"/>
          <w:szCs w:val="24"/>
        </w:rPr>
        <w:t>, vol. 11, pp. 423–427, 1910.</w:t>
      </w:r>
    </w:p>
    <w:p w14:paraId="10D75D1E"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[60]</w:t>
      </w:r>
      <w:r w:rsidRPr="006F1462">
        <w:rPr>
          <w:rFonts w:ascii="Calibri" w:hAnsi="Calibri" w:cs="Calibri"/>
          <w:noProof/>
          <w:sz w:val="28"/>
          <w:szCs w:val="24"/>
        </w:rPr>
        <w:tab/>
        <w:t xml:space="preserve">J. Cetnar, “General solution of Bateman equations for nuclear transmutations,” </w:t>
      </w:r>
      <w:r w:rsidRPr="006F1462">
        <w:rPr>
          <w:rFonts w:ascii="Calibri" w:hAnsi="Calibri" w:cs="Calibri"/>
          <w:i/>
          <w:iCs/>
          <w:noProof/>
          <w:sz w:val="28"/>
          <w:szCs w:val="24"/>
        </w:rPr>
        <w:t>Ann. Nucl. Energy</w:t>
      </w:r>
      <w:r w:rsidRPr="006F1462">
        <w:rPr>
          <w:rFonts w:ascii="Calibri" w:hAnsi="Calibri" w:cs="Calibri"/>
          <w:noProof/>
          <w:sz w:val="28"/>
          <w:szCs w:val="24"/>
        </w:rPr>
        <w:t>, vol. 33, no. 7, pp. 640–645, May 2006, doi: 10.1016/j.anucene.2006.02.004.</w:t>
      </w:r>
    </w:p>
    <w:p w14:paraId="311C0E42"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[61]</w:t>
      </w:r>
      <w:r w:rsidRPr="006F1462">
        <w:rPr>
          <w:rFonts w:ascii="Calibri" w:hAnsi="Calibri" w:cs="Calibri"/>
          <w:noProof/>
          <w:sz w:val="28"/>
          <w:szCs w:val="24"/>
        </w:rPr>
        <w:tab/>
        <w:t xml:space="preserve">J. Lemons, “Erring with high‐level nuclear waste disposal: a case study of the precautionary principle,” </w:t>
      </w:r>
      <w:r w:rsidRPr="006F1462">
        <w:rPr>
          <w:rFonts w:ascii="Calibri" w:hAnsi="Calibri" w:cs="Calibri"/>
          <w:i/>
          <w:iCs/>
          <w:noProof/>
          <w:sz w:val="28"/>
          <w:szCs w:val="24"/>
        </w:rPr>
        <w:t>Int. J. Environ. Stud.</w:t>
      </w:r>
      <w:r w:rsidRPr="006F1462">
        <w:rPr>
          <w:rFonts w:ascii="Calibri" w:hAnsi="Calibri" w:cs="Calibri"/>
          <w:noProof/>
          <w:sz w:val="28"/>
          <w:szCs w:val="24"/>
        </w:rPr>
        <w:t>, vol. 58, no. 5, pp. 549–583, Aug. 2001, doi: 10.1080/00207230108711351.</w:t>
      </w:r>
    </w:p>
    <w:p w14:paraId="1C5BC2F6"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[62]</w:t>
      </w:r>
      <w:r w:rsidRPr="006F1462">
        <w:rPr>
          <w:rFonts w:ascii="Calibri" w:hAnsi="Calibri" w:cs="Calibri"/>
          <w:noProof/>
          <w:sz w:val="28"/>
          <w:szCs w:val="24"/>
        </w:rPr>
        <w:tab/>
        <w:t>T. E. Sampson, “Plutonium isotopic composition by gamma-ray spectroscopy: a review,” Los Alamos, NM, Sep. 1986.</w:t>
      </w:r>
    </w:p>
    <w:p w14:paraId="075307B3"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[63]</w:t>
      </w:r>
      <w:r w:rsidRPr="006F1462">
        <w:rPr>
          <w:rFonts w:ascii="Calibri" w:hAnsi="Calibri" w:cs="Calibri"/>
          <w:noProof/>
          <w:sz w:val="28"/>
          <w:szCs w:val="24"/>
        </w:rPr>
        <w:tab/>
        <w:t xml:space="preserve">H.-A. S. A.M. Muller, M. Christl, J. Lachner, M. Suter, “Competitive 10Be measurements below 1 MeV with the upgraded ETH–TANDY AMS facility,” </w:t>
      </w:r>
      <w:r w:rsidRPr="006F1462">
        <w:rPr>
          <w:rFonts w:ascii="Calibri" w:hAnsi="Calibri" w:cs="Calibri"/>
          <w:i/>
          <w:iCs/>
          <w:noProof/>
          <w:sz w:val="28"/>
          <w:szCs w:val="24"/>
        </w:rPr>
        <w:t xml:space="preserve">Nucl. Instruments Methods Phys. Res. Sect. B Beam Interact. with </w:t>
      </w:r>
      <w:r w:rsidRPr="006F1462">
        <w:rPr>
          <w:rFonts w:ascii="Calibri" w:hAnsi="Calibri" w:cs="Calibri"/>
          <w:i/>
          <w:iCs/>
          <w:noProof/>
          <w:sz w:val="28"/>
          <w:szCs w:val="24"/>
        </w:rPr>
        <w:lastRenderedPageBreak/>
        <w:t>Mater. Atoms</w:t>
      </w:r>
      <w:r w:rsidRPr="006F1462">
        <w:rPr>
          <w:rFonts w:ascii="Calibri" w:hAnsi="Calibri" w:cs="Calibri"/>
          <w:noProof/>
          <w:sz w:val="28"/>
          <w:szCs w:val="24"/>
        </w:rPr>
        <w:t>, vol. 268, no. 17–18, pp. 2801–2807, Sep. 2010, doi: 10.1016/J.NIMB.2010.05.104.</w:t>
      </w:r>
    </w:p>
    <w:p w14:paraId="175B1793"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[64]</w:t>
      </w:r>
      <w:r w:rsidRPr="006F1462">
        <w:rPr>
          <w:rFonts w:ascii="Calibri" w:hAnsi="Calibri" w:cs="Calibri"/>
          <w:noProof/>
          <w:sz w:val="28"/>
          <w:szCs w:val="24"/>
        </w:rPr>
        <w:tab/>
        <w:t xml:space="preserve">P. Steier </w:t>
      </w:r>
      <w:r w:rsidRPr="006F1462">
        <w:rPr>
          <w:rFonts w:ascii="Calibri" w:hAnsi="Calibri" w:cs="Calibri"/>
          <w:i/>
          <w:iCs/>
          <w:noProof/>
          <w:sz w:val="28"/>
          <w:szCs w:val="24"/>
        </w:rPr>
        <w:t>et al.</w:t>
      </w:r>
      <w:r w:rsidRPr="006F1462">
        <w:rPr>
          <w:rFonts w:ascii="Calibri" w:hAnsi="Calibri" w:cs="Calibri"/>
          <w:noProof/>
          <w:sz w:val="28"/>
          <w:szCs w:val="24"/>
        </w:rPr>
        <w:t xml:space="preserve">, “AMS of the Minor Plutonium Isotopes,” </w:t>
      </w:r>
      <w:r w:rsidRPr="006F1462">
        <w:rPr>
          <w:rFonts w:ascii="Calibri" w:hAnsi="Calibri" w:cs="Calibri"/>
          <w:i/>
          <w:iCs/>
          <w:noProof/>
          <w:sz w:val="28"/>
          <w:szCs w:val="24"/>
        </w:rPr>
        <w:t>Nucl. Instruments Methods Phys. Res. Sect. B Beam Interact. with Mater. Atoms</w:t>
      </w:r>
      <w:r w:rsidRPr="006F1462">
        <w:rPr>
          <w:rFonts w:ascii="Calibri" w:hAnsi="Calibri" w:cs="Calibri"/>
          <w:noProof/>
          <w:sz w:val="28"/>
          <w:szCs w:val="24"/>
        </w:rPr>
        <w:t>, vol. 294, no. 2–2, pp. 160–164, Jan. 2013, doi: 10.1016/j.nimb.2012.06.017.</w:t>
      </w:r>
    </w:p>
    <w:p w14:paraId="1CA42910"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[65]</w:t>
      </w:r>
      <w:r w:rsidRPr="006F1462">
        <w:rPr>
          <w:rFonts w:ascii="Calibri" w:hAnsi="Calibri" w:cs="Calibri"/>
          <w:noProof/>
          <w:sz w:val="28"/>
          <w:szCs w:val="24"/>
        </w:rPr>
        <w:tab/>
        <w:t xml:space="preserve">H.-A. Synal, “Developments in accelerator mass spectrometry,” </w:t>
      </w:r>
      <w:r w:rsidRPr="006F1462">
        <w:rPr>
          <w:rFonts w:ascii="Calibri" w:hAnsi="Calibri" w:cs="Calibri"/>
          <w:i/>
          <w:iCs/>
          <w:noProof/>
          <w:sz w:val="28"/>
          <w:szCs w:val="24"/>
        </w:rPr>
        <w:t>Int. J. Mass Spectrom.</w:t>
      </w:r>
      <w:r w:rsidRPr="006F1462">
        <w:rPr>
          <w:rFonts w:ascii="Calibri" w:hAnsi="Calibri" w:cs="Calibri"/>
          <w:noProof/>
          <w:sz w:val="28"/>
          <w:szCs w:val="24"/>
        </w:rPr>
        <w:t>, vol. 349–350, pp. 192–202, Sep. 2013, doi: 10.1016/J.IJMS.2013.05.008.</w:t>
      </w:r>
    </w:p>
    <w:p w14:paraId="60C8094D"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[66]</w:t>
      </w:r>
      <w:r w:rsidRPr="006F1462">
        <w:rPr>
          <w:rFonts w:ascii="Calibri" w:hAnsi="Calibri" w:cs="Calibri"/>
          <w:noProof/>
          <w:sz w:val="28"/>
          <w:szCs w:val="24"/>
        </w:rPr>
        <w:tab/>
        <w:t xml:space="preserve">P. W. Krey, E. P. Hardy, and W. K. Benson, “Mass Isotopic Composition of Global Fall-Out Plutonium in Soil,” in </w:t>
      </w:r>
      <w:r w:rsidRPr="006F1462">
        <w:rPr>
          <w:rFonts w:ascii="Calibri" w:hAnsi="Calibri" w:cs="Calibri"/>
          <w:i/>
          <w:iCs/>
          <w:noProof/>
          <w:sz w:val="28"/>
          <w:szCs w:val="24"/>
        </w:rPr>
        <w:t>Symposium on transuranium nuclides in the environment</w:t>
      </w:r>
      <w:r w:rsidRPr="006F1462">
        <w:rPr>
          <w:rFonts w:ascii="Calibri" w:hAnsi="Calibri" w:cs="Calibri"/>
          <w:noProof/>
          <w:sz w:val="28"/>
          <w:szCs w:val="24"/>
        </w:rPr>
        <w:t>, 1976, pp. 671–677.</w:t>
      </w:r>
    </w:p>
    <w:p w14:paraId="7519BB8A"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[67]</w:t>
      </w:r>
      <w:r w:rsidRPr="006F1462">
        <w:rPr>
          <w:rFonts w:ascii="Calibri" w:hAnsi="Calibri" w:cs="Calibri"/>
          <w:noProof/>
          <w:sz w:val="28"/>
          <w:szCs w:val="24"/>
        </w:rPr>
        <w:tab/>
        <w:t xml:space="preserve">B. Simony </w:t>
      </w:r>
      <w:r w:rsidRPr="006F1462">
        <w:rPr>
          <w:rFonts w:ascii="Calibri" w:hAnsi="Calibri" w:cs="Calibri"/>
          <w:i/>
          <w:iCs/>
          <w:noProof/>
          <w:sz w:val="28"/>
          <w:szCs w:val="24"/>
        </w:rPr>
        <w:t>et al.</w:t>
      </w:r>
      <w:r w:rsidRPr="006F1462">
        <w:rPr>
          <w:rFonts w:ascii="Calibri" w:hAnsi="Calibri" w:cs="Calibri"/>
          <w:noProof/>
          <w:sz w:val="28"/>
          <w:szCs w:val="24"/>
        </w:rPr>
        <w:t xml:space="preserve">, “Cross-Talk Characterization in Passive Neutron Coincidence Counting of Radioactive Waste Drums With Plastic Scintillators,” </w:t>
      </w:r>
      <w:r w:rsidRPr="006F1462">
        <w:rPr>
          <w:rFonts w:ascii="Calibri" w:hAnsi="Calibri" w:cs="Calibri"/>
          <w:i/>
          <w:iCs/>
          <w:noProof/>
          <w:sz w:val="28"/>
          <w:szCs w:val="24"/>
        </w:rPr>
        <w:t>IEEE Trans. Nucl. Sci.</w:t>
      </w:r>
      <w:r w:rsidRPr="006F1462">
        <w:rPr>
          <w:rFonts w:ascii="Calibri" w:hAnsi="Calibri" w:cs="Calibri"/>
          <w:noProof/>
          <w:sz w:val="28"/>
          <w:szCs w:val="24"/>
        </w:rPr>
        <w:t>, vol. 63, no. 3, pp. 1513–1519, Jun. 2016, doi: 10.1109/TNS.2016.2542290.</w:t>
      </w:r>
    </w:p>
    <w:p w14:paraId="773CA4E6"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[68]</w:t>
      </w:r>
      <w:r w:rsidRPr="006F1462">
        <w:rPr>
          <w:rFonts w:ascii="Calibri" w:hAnsi="Calibri" w:cs="Calibri"/>
          <w:noProof/>
          <w:sz w:val="28"/>
          <w:szCs w:val="24"/>
        </w:rPr>
        <w:tab/>
        <w:t xml:space="preserve">M. M. Abdel-Aziz, S. E. Gwaily, A. S. Makarious, and A. El-Sayed Abdo, “Ethylene-propylene diene rubber/low density polyethylene/boron carbide composites as neutron shields,” </w:t>
      </w:r>
      <w:r w:rsidRPr="006F1462">
        <w:rPr>
          <w:rFonts w:ascii="Calibri" w:hAnsi="Calibri" w:cs="Calibri"/>
          <w:i/>
          <w:iCs/>
          <w:noProof/>
          <w:sz w:val="28"/>
          <w:szCs w:val="24"/>
        </w:rPr>
        <w:t>Polym. Degrad. Stab.</w:t>
      </w:r>
      <w:r w:rsidRPr="006F1462">
        <w:rPr>
          <w:rFonts w:ascii="Calibri" w:hAnsi="Calibri" w:cs="Calibri"/>
          <w:noProof/>
          <w:sz w:val="28"/>
          <w:szCs w:val="24"/>
        </w:rPr>
        <w:t>, vol. 50, no. 2, pp. 235–240, Jan. 1995, doi: 10.1016/0141-3910(95)00177-8.</w:t>
      </w:r>
    </w:p>
    <w:p w14:paraId="6C8F10DA"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lastRenderedPageBreak/>
        <w:t>[69]</w:t>
      </w:r>
      <w:r w:rsidRPr="006F1462">
        <w:rPr>
          <w:rFonts w:ascii="Calibri" w:hAnsi="Calibri" w:cs="Calibri"/>
          <w:noProof/>
          <w:sz w:val="28"/>
          <w:szCs w:val="24"/>
        </w:rPr>
        <w:tab/>
        <w:t xml:space="preserve">Francis R. Livens &amp; Diane L. Singleton, “Plutonium and americium in soil organic matter,” </w:t>
      </w:r>
      <w:r w:rsidRPr="006F1462">
        <w:rPr>
          <w:rFonts w:ascii="Calibri" w:hAnsi="Calibri" w:cs="Calibri"/>
          <w:i/>
          <w:iCs/>
          <w:noProof/>
          <w:sz w:val="28"/>
          <w:szCs w:val="24"/>
        </w:rPr>
        <w:t>J. Environ. Radioact.</w:t>
      </w:r>
      <w:r w:rsidRPr="006F1462">
        <w:rPr>
          <w:rFonts w:ascii="Calibri" w:hAnsi="Calibri" w:cs="Calibri"/>
          <w:noProof/>
          <w:sz w:val="28"/>
          <w:szCs w:val="24"/>
        </w:rPr>
        <w:t>, vol. 13, no. 4, pp. 323–339, Jan. 1991, doi: 10.1016/0265-931X(91)90005-Z.</w:t>
      </w:r>
    </w:p>
    <w:p w14:paraId="47865A6E"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[70]</w:t>
      </w:r>
      <w:r w:rsidRPr="006F1462">
        <w:rPr>
          <w:rFonts w:ascii="Calibri" w:hAnsi="Calibri" w:cs="Calibri"/>
          <w:noProof/>
          <w:sz w:val="28"/>
          <w:szCs w:val="24"/>
        </w:rPr>
        <w:tab/>
        <w:t xml:space="preserve">M. M. Kononova and I. V. Alexandrova, “Formation of humic acids during plant residue humification and their nature,” </w:t>
      </w:r>
      <w:r w:rsidRPr="006F1462">
        <w:rPr>
          <w:rFonts w:ascii="Calibri" w:hAnsi="Calibri" w:cs="Calibri"/>
          <w:i/>
          <w:iCs/>
          <w:noProof/>
          <w:sz w:val="28"/>
          <w:szCs w:val="24"/>
        </w:rPr>
        <w:t>Geoderma</w:t>
      </w:r>
      <w:r w:rsidRPr="006F1462">
        <w:rPr>
          <w:rFonts w:ascii="Calibri" w:hAnsi="Calibri" w:cs="Calibri"/>
          <w:noProof/>
          <w:sz w:val="28"/>
          <w:szCs w:val="24"/>
        </w:rPr>
        <w:t>, vol. 9, no. 3, pp. 157–164, Jul. 1973, doi: 10.1016/0016-7061(73)90056-6.</w:t>
      </w:r>
    </w:p>
    <w:p w14:paraId="084802B5"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[71]</w:t>
      </w:r>
      <w:r w:rsidRPr="006F1462">
        <w:rPr>
          <w:rFonts w:ascii="Calibri" w:hAnsi="Calibri" w:cs="Calibri"/>
          <w:noProof/>
          <w:sz w:val="28"/>
          <w:szCs w:val="24"/>
        </w:rPr>
        <w:tab/>
        <w:t xml:space="preserve">F. Quinto, E. Hrnecek, M. Krachler, W. Shotyk, P. Steier, and S. R. Winkler, “Determination of 239Pu, 240Pu, 241Pu and 242Pu at femtogram and attogram levels – evidence for the migration of fallout plutonium in an ombrotrophic peat bog profile,” </w:t>
      </w:r>
      <w:r w:rsidRPr="006F1462">
        <w:rPr>
          <w:rFonts w:ascii="Calibri" w:hAnsi="Calibri" w:cs="Calibri"/>
          <w:i/>
          <w:iCs/>
          <w:noProof/>
          <w:sz w:val="28"/>
          <w:szCs w:val="24"/>
        </w:rPr>
        <w:t>Environ. Sci. Process. Impacts</w:t>
      </w:r>
      <w:r w:rsidRPr="006F1462">
        <w:rPr>
          <w:rFonts w:ascii="Calibri" w:hAnsi="Calibri" w:cs="Calibri"/>
          <w:noProof/>
          <w:sz w:val="28"/>
          <w:szCs w:val="24"/>
        </w:rPr>
        <w:t>, vol. 15, no. 4, p. 839, 2013, doi: 10.1039/c3em30910j.</w:t>
      </w:r>
    </w:p>
    <w:p w14:paraId="4D9C9DF0"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[72]</w:t>
      </w:r>
      <w:r w:rsidRPr="006F1462">
        <w:rPr>
          <w:rFonts w:ascii="Calibri" w:hAnsi="Calibri" w:cs="Calibri"/>
          <w:noProof/>
          <w:sz w:val="28"/>
          <w:szCs w:val="24"/>
        </w:rPr>
        <w:tab/>
        <w:t xml:space="preserve">C. A. Levine, G. T. Seaborg Vol, B. A. Charles Levine, and G. T. Seaborg, “The Occurrence of Plutonium in Nature,” </w:t>
      </w:r>
      <w:r w:rsidRPr="006F1462">
        <w:rPr>
          <w:rFonts w:ascii="Calibri" w:hAnsi="Calibri" w:cs="Calibri"/>
          <w:i/>
          <w:iCs/>
          <w:noProof/>
          <w:sz w:val="28"/>
          <w:szCs w:val="24"/>
        </w:rPr>
        <w:t>J. Am. Chem. Soc.</w:t>
      </w:r>
      <w:r w:rsidRPr="006F1462">
        <w:rPr>
          <w:rFonts w:ascii="Calibri" w:hAnsi="Calibri" w:cs="Calibri"/>
          <w:noProof/>
          <w:sz w:val="28"/>
          <w:szCs w:val="24"/>
        </w:rPr>
        <w:t>, vol. 7, no. 73, pp. 3278–3283, 1951, doi: 10.1021/ja01151a085.</w:t>
      </w:r>
    </w:p>
    <w:p w14:paraId="0C63E545"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[73]</w:t>
      </w:r>
      <w:r w:rsidRPr="006F1462">
        <w:rPr>
          <w:rFonts w:ascii="Calibri" w:hAnsi="Calibri" w:cs="Calibri"/>
          <w:noProof/>
          <w:sz w:val="28"/>
          <w:szCs w:val="24"/>
        </w:rPr>
        <w:tab/>
        <w:t xml:space="preserve">S. Salmani-Ghabeshi, E. Chamizo, M. Christl, C. Miró, E. Pinilla-Gil, and F. Cereceda-Balic, “Presence of 236 U and 239,240 Pu in soils from Southern Hemisphere,” </w:t>
      </w:r>
      <w:r w:rsidRPr="006F1462">
        <w:rPr>
          <w:rFonts w:ascii="Calibri" w:hAnsi="Calibri" w:cs="Calibri"/>
          <w:i/>
          <w:iCs/>
          <w:noProof/>
          <w:sz w:val="28"/>
          <w:szCs w:val="24"/>
        </w:rPr>
        <w:t>J. Environ. Radioact.</w:t>
      </w:r>
      <w:r w:rsidRPr="006F1462">
        <w:rPr>
          <w:rFonts w:ascii="Calibri" w:hAnsi="Calibri" w:cs="Calibri"/>
          <w:noProof/>
          <w:sz w:val="28"/>
          <w:szCs w:val="24"/>
        </w:rPr>
        <w:t>, vol. 192, pp. 478–484, 2018, doi: 10.1016/j.jenvrad.2018.08.003.</w:t>
      </w:r>
    </w:p>
    <w:p w14:paraId="6F5F3CD0"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[74]</w:t>
      </w:r>
      <w:r w:rsidRPr="006F1462">
        <w:rPr>
          <w:rFonts w:ascii="Calibri" w:hAnsi="Calibri" w:cs="Calibri"/>
          <w:noProof/>
          <w:sz w:val="28"/>
          <w:szCs w:val="24"/>
        </w:rPr>
        <w:tab/>
        <w:t xml:space="preserve">C. R. Armstrong, P. R. Nuessle, H. A. Brant, G. Hall, J. E. Halverson, and J. </w:t>
      </w:r>
      <w:r w:rsidRPr="006F1462">
        <w:rPr>
          <w:rFonts w:ascii="Calibri" w:hAnsi="Calibri" w:cs="Calibri"/>
          <w:noProof/>
          <w:sz w:val="28"/>
          <w:szCs w:val="24"/>
        </w:rPr>
        <w:lastRenderedPageBreak/>
        <w:t xml:space="preserve">R. Cadieux, “Plutonium Isotopes in the Terrestrial Environment at the Savannah River Site, USA: A Long-Term Study,” </w:t>
      </w:r>
      <w:r w:rsidRPr="006F1462">
        <w:rPr>
          <w:rFonts w:ascii="Calibri" w:hAnsi="Calibri" w:cs="Calibri"/>
          <w:i/>
          <w:iCs/>
          <w:noProof/>
          <w:sz w:val="28"/>
          <w:szCs w:val="24"/>
        </w:rPr>
        <w:t>Environ. Sci. Technol.</w:t>
      </w:r>
      <w:r w:rsidRPr="006F1462">
        <w:rPr>
          <w:rFonts w:ascii="Calibri" w:hAnsi="Calibri" w:cs="Calibri"/>
          <w:noProof/>
          <w:sz w:val="28"/>
          <w:szCs w:val="24"/>
        </w:rPr>
        <w:t>, vol. 49, no. 3, pp. 1286–1293, 2015, doi: 10.1021/es504147d.</w:t>
      </w:r>
    </w:p>
    <w:p w14:paraId="33ACF2F8"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[75]</w:t>
      </w:r>
      <w:r w:rsidRPr="006F1462">
        <w:rPr>
          <w:rFonts w:ascii="Calibri" w:hAnsi="Calibri" w:cs="Calibri"/>
          <w:noProof/>
          <w:sz w:val="28"/>
          <w:szCs w:val="24"/>
        </w:rPr>
        <w:tab/>
        <w:t xml:space="preserve">J. H. Harley, “Plutonium in the environment - A review.,” </w:t>
      </w:r>
      <w:r w:rsidRPr="006F1462">
        <w:rPr>
          <w:rFonts w:ascii="Calibri" w:hAnsi="Calibri" w:cs="Calibri"/>
          <w:i/>
          <w:iCs/>
          <w:noProof/>
          <w:sz w:val="28"/>
          <w:szCs w:val="24"/>
        </w:rPr>
        <w:t>J. Radiat. Res.</w:t>
      </w:r>
      <w:r w:rsidRPr="006F1462">
        <w:rPr>
          <w:rFonts w:ascii="Calibri" w:hAnsi="Calibri" w:cs="Calibri"/>
          <w:noProof/>
          <w:sz w:val="28"/>
          <w:szCs w:val="24"/>
        </w:rPr>
        <w:t>, vol. 21, no. 1, pp. 83–104, Mar. 1980, doi: 10.1269/jrr.21.83.</w:t>
      </w:r>
    </w:p>
    <w:p w14:paraId="0CF1F43B"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[76]</w:t>
      </w:r>
      <w:r w:rsidRPr="006F1462">
        <w:rPr>
          <w:rFonts w:ascii="Calibri" w:hAnsi="Calibri" w:cs="Calibri"/>
          <w:noProof/>
          <w:sz w:val="28"/>
          <w:szCs w:val="24"/>
        </w:rPr>
        <w:tab/>
        <w:t>D. Curtis, J. Fabryka-Martin, P. Dixon, and J. Cramer, “Nature’s uncommon elements: Plutonium and technetium,” 1999.</w:t>
      </w:r>
    </w:p>
    <w:p w14:paraId="393330A2"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[77]</w:t>
      </w:r>
      <w:r w:rsidRPr="006F1462">
        <w:rPr>
          <w:rFonts w:ascii="Calibri" w:hAnsi="Calibri" w:cs="Calibri"/>
          <w:noProof/>
          <w:sz w:val="28"/>
          <w:szCs w:val="24"/>
        </w:rPr>
        <w:tab/>
        <w:t xml:space="preserve">L. W. Green, F. C. Miller, J. A. Sparling, and S. R. Joshi, “Determination of plutonium 240/239 ratios in Lake Ontario sediments,” </w:t>
      </w:r>
      <w:r w:rsidRPr="006F1462">
        <w:rPr>
          <w:rFonts w:ascii="Calibri" w:hAnsi="Calibri" w:cs="Calibri"/>
          <w:i/>
          <w:iCs/>
          <w:noProof/>
          <w:sz w:val="28"/>
          <w:szCs w:val="24"/>
        </w:rPr>
        <w:t>J. Am. Soc. Mass Spectrom.</w:t>
      </w:r>
      <w:r w:rsidRPr="006F1462">
        <w:rPr>
          <w:rFonts w:ascii="Calibri" w:hAnsi="Calibri" w:cs="Calibri"/>
          <w:noProof/>
          <w:sz w:val="28"/>
          <w:szCs w:val="24"/>
        </w:rPr>
        <w:t>, vol. 2, no. 3, pp. 240–244, May 1991, doi: 10.1016/1044-0305(91)80050-H.</w:t>
      </w:r>
    </w:p>
    <w:p w14:paraId="7BDD8F57"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[78]</w:t>
      </w:r>
      <w:r w:rsidRPr="006F1462">
        <w:rPr>
          <w:rFonts w:ascii="Calibri" w:hAnsi="Calibri" w:cs="Calibri"/>
          <w:noProof/>
          <w:sz w:val="28"/>
          <w:szCs w:val="24"/>
        </w:rPr>
        <w:tab/>
        <w:t>J. M. Kelley, L. A. Bond, and T. M. Beasley, “Global distribution of Pu isotopes and 237 Np,” 1999.</w:t>
      </w:r>
    </w:p>
    <w:p w14:paraId="7DD0EA4C"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[79]</w:t>
      </w:r>
      <w:r w:rsidRPr="006F1462">
        <w:rPr>
          <w:rFonts w:ascii="Calibri" w:hAnsi="Calibri" w:cs="Calibri"/>
          <w:noProof/>
          <w:sz w:val="28"/>
          <w:szCs w:val="24"/>
        </w:rPr>
        <w:tab/>
        <w:t xml:space="preserve">K. O. Buesseler, “The isotopic signature of fallout plutonium in the North Pacific,” </w:t>
      </w:r>
      <w:r w:rsidRPr="006F1462">
        <w:rPr>
          <w:rFonts w:ascii="Calibri" w:hAnsi="Calibri" w:cs="Calibri"/>
          <w:i/>
          <w:iCs/>
          <w:noProof/>
          <w:sz w:val="28"/>
          <w:szCs w:val="24"/>
        </w:rPr>
        <w:t>J. Environ. Radioact.</w:t>
      </w:r>
      <w:r w:rsidRPr="006F1462">
        <w:rPr>
          <w:rFonts w:ascii="Calibri" w:hAnsi="Calibri" w:cs="Calibri"/>
          <w:noProof/>
          <w:sz w:val="28"/>
          <w:szCs w:val="24"/>
        </w:rPr>
        <w:t>, vol. 36, no. 1, pp. 69–83, Jan. 1997, doi: 10.1016/S0265-931X(96)00071-9.</w:t>
      </w:r>
    </w:p>
    <w:p w14:paraId="52B962D0"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[80]</w:t>
      </w:r>
      <w:r w:rsidRPr="006F1462">
        <w:rPr>
          <w:rFonts w:ascii="Calibri" w:hAnsi="Calibri" w:cs="Calibri"/>
          <w:noProof/>
          <w:sz w:val="28"/>
          <w:szCs w:val="24"/>
        </w:rPr>
        <w:tab/>
        <w:t xml:space="preserve">M. J. Joyce </w:t>
      </w:r>
      <w:r w:rsidRPr="006F1462">
        <w:rPr>
          <w:rFonts w:ascii="Calibri" w:hAnsi="Calibri" w:cs="Calibri"/>
          <w:i/>
          <w:iCs/>
          <w:noProof/>
          <w:sz w:val="28"/>
          <w:szCs w:val="24"/>
        </w:rPr>
        <w:t>et al.</w:t>
      </w:r>
      <w:r w:rsidRPr="006F1462">
        <w:rPr>
          <w:rFonts w:ascii="Calibri" w:hAnsi="Calibri" w:cs="Calibri"/>
          <w:noProof/>
          <w:sz w:val="28"/>
          <w:szCs w:val="24"/>
        </w:rPr>
        <w:t xml:space="preserve">, “Searching for Zero Plutonium in the Far North of Scotland,” in </w:t>
      </w:r>
      <w:r w:rsidRPr="006F1462">
        <w:rPr>
          <w:rFonts w:ascii="Calibri" w:hAnsi="Calibri" w:cs="Calibri"/>
          <w:i/>
          <w:iCs/>
          <w:noProof/>
          <w:sz w:val="28"/>
          <w:szCs w:val="24"/>
        </w:rPr>
        <w:t>Actinides Research Quarterly</w:t>
      </w:r>
      <w:r w:rsidRPr="006F1462">
        <w:rPr>
          <w:rFonts w:ascii="Calibri" w:hAnsi="Calibri" w:cs="Calibri"/>
          <w:noProof/>
          <w:sz w:val="28"/>
          <w:szCs w:val="24"/>
        </w:rPr>
        <w:t>, 2019, pp. 27–30.</w:t>
      </w:r>
    </w:p>
    <w:p w14:paraId="2D10B37C"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[81]</w:t>
      </w:r>
      <w:r w:rsidRPr="006F1462">
        <w:rPr>
          <w:rFonts w:ascii="Calibri" w:hAnsi="Calibri" w:cs="Calibri"/>
          <w:noProof/>
          <w:sz w:val="28"/>
          <w:szCs w:val="24"/>
        </w:rPr>
        <w:tab/>
        <w:t xml:space="preserve">W. P. Masque., J.K. Cochran., D. Hebbeln., D.J. Hirschberg., D. Dethleff., </w:t>
      </w:r>
      <w:r w:rsidRPr="006F1462">
        <w:rPr>
          <w:rFonts w:ascii="Calibri" w:hAnsi="Calibri" w:cs="Calibri"/>
          <w:noProof/>
          <w:sz w:val="28"/>
          <w:szCs w:val="24"/>
        </w:rPr>
        <w:lastRenderedPageBreak/>
        <w:t xml:space="preserve">A., “The Role of Sea Ice in the Fate of Contaminants in the Arctic Ocean: Plutonium Atom Ratios in the Fram Strait,” </w:t>
      </w:r>
      <w:r w:rsidRPr="006F1462">
        <w:rPr>
          <w:rFonts w:ascii="Calibri" w:hAnsi="Calibri" w:cs="Calibri"/>
          <w:i/>
          <w:iCs/>
          <w:noProof/>
          <w:sz w:val="28"/>
          <w:szCs w:val="24"/>
        </w:rPr>
        <w:t>Environ. Sci. Technol.</w:t>
      </w:r>
      <w:r w:rsidRPr="006F1462">
        <w:rPr>
          <w:rFonts w:ascii="Calibri" w:hAnsi="Calibri" w:cs="Calibri"/>
          <w:noProof/>
          <w:sz w:val="28"/>
          <w:szCs w:val="24"/>
        </w:rPr>
        <w:t>, vol. 37, no. 21, pp. 4848–4854, 2003, doi: 10.1021/es034176n.</w:t>
      </w:r>
    </w:p>
    <w:p w14:paraId="74C2616D"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[82]</w:t>
      </w:r>
      <w:r w:rsidRPr="006F1462">
        <w:rPr>
          <w:rFonts w:ascii="Calibri" w:hAnsi="Calibri" w:cs="Calibri"/>
          <w:noProof/>
          <w:sz w:val="28"/>
          <w:szCs w:val="24"/>
        </w:rPr>
        <w:tab/>
        <w:t>E. Chamizo, M. Christl, and L. K. Fifield, “Measurement of 236 U on the 1 MV AMS system at the Centro Nacional de Aceleradores (CNA),” 2015, doi: 10.1016/j.nimb.2015.05.008.</w:t>
      </w:r>
    </w:p>
    <w:p w14:paraId="60209A71"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[83]</w:t>
      </w:r>
      <w:r w:rsidRPr="006F1462">
        <w:rPr>
          <w:rFonts w:ascii="Calibri" w:hAnsi="Calibri" w:cs="Calibri"/>
          <w:noProof/>
          <w:sz w:val="28"/>
          <w:szCs w:val="24"/>
        </w:rPr>
        <w:tab/>
        <w:t xml:space="preserve">A. Sakaguchi </w:t>
      </w:r>
      <w:r w:rsidRPr="006F1462">
        <w:rPr>
          <w:rFonts w:ascii="Calibri" w:hAnsi="Calibri" w:cs="Calibri"/>
          <w:i/>
          <w:iCs/>
          <w:noProof/>
          <w:sz w:val="28"/>
          <w:szCs w:val="24"/>
        </w:rPr>
        <w:t>et al.</w:t>
      </w:r>
      <w:r w:rsidRPr="006F1462">
        <w:rPr>
          <w:rFonts w:ascii="Calibri" w:hAnsi="Calibri" w:cs="Calibri"/>
          <w:noProof/>
          <w:sz w:val="28"/>
          <w:szCs w:val="24"/>
        </w:rPr>
        <w:t xml:space="preserve">, “First results on 236 U levels in global fallout,” </w:t>
      </w:r>
      <w:r w:rsidRPr="006F1462">
        <w:rPr>
          <w:rFonts w:ascii="Calibri" w:hAnsi="Calibri" w:cs="Calibri"/>
          <w:i/>
          <w:iCs/>
          <w:noProof/>
          <w:sz w:val="28"/>
          <w:szCs w:val="24"/>
        </w:rPr>
        <w:t>Sci. Total Environ.</w:t>
      </w:r>
      <w:r w:rsidRPr="006F1462">
        <w:rPr>
          <w:rFonts w:ascii="Calibri" w:hAnsi="Calibri" w:cs="Calibri"/>
          <w:noProof/>
          <w:sz w:val="28"/>
          <w:szCs w:val="24"/>
        </w:rPr>
        <w:t>, vol. 407, pp. 4238–4242, 2009, doi: 10.1016/j.scitotenv.2009.01.058.</w:t>
      </w:r>
    </w:p>
    <w:p w14:paraId="5DD1C707"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[84]</w:t>
      </w:r>
      <w:r w:rsidRPr="006F1462">
        <w:rPr>
          <w:rFonts w:ascii="Calibri" w:hAnsi="Calibri" w:cs="Calibri"/>
          <w:noProof/>
          <w:sz w:val="28"/>
          <w:szCs w:val="24"/>
        </w:rPr>
        <w:tab/>
        <w:t xml:space="preserve">M. Srncik, S. G. Tims, M. De Cesare, and L. K. Fifield, “First measurements of 236 U concentrations and 236 U/ 239 Pu isotopic ratios in a Southern Hemisphere soil far from nuclear test or reactor sites,” </w:t>
      </w:r>
      <w:r w:rsidRPr="006F1462">
        <w:rPr>
          <w:rFonts w:ascii="Calibri" w:hAnsi="Calibri" w:cs="Calibri"/>
          <w:i/>
          <w:iCs/>
          <w:noProof/>
          <w:sz w:val="28"/>
          <w:szCs w:val="24"/>
        </w:rPr>
        <w:t>J. Environ. Radioact.</w:t>
      </w:r>
      <w:r w:rsidRPr="006F1462">
        <w:rPr>
          <w:rFonts w:ascii="Calibri" w:hAnsi="Calibri" w:cs="Calibri"/>
          <w:noProof/>
          <w:sz w:val="28"/>
          <w:szCs w:val="24"/>
        </w:rPr>
        <w:t>, vol. 132, pp. 108–114, 2014, doi: 10.1016/j.jenvrad.2014.02.022.</w:t>
      </w:r>
    </w:p>
    <w:p w14:paraId="53CD398C"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[85]</w:t>
      </w:r>
      <w:r w:rsidRPr="006F1462">
        <w:rPr>
          <w:rFonts w:ascii="Calibri" w:hAnsi="Calibri" w:cs="Calibri"/>
          <w:noProof/>
          <w:sz w:val="28"/>
          <w:szCs w:val="24"/>
        </w:rPr>
        <w:tab/>
        <w:t xml:space="preserve">H. Diamond </w:t>
      </w:r>
      <w:r w:rsidRPr="006F1462">
        <w:rPr>
          <w:rFonts w:ascii="Calibri" w:hAnsi="Calibri" w:cs="Calibri"/>
          <w:i/>
          <w:iCs/>
          <w:noProof/>
          <w:sz w:val="28"/>
          <w:szCs w:val="24"/>
        </w:rPr>
        <w:t>et al.</w:t>
      </w:r>
      <w:r w:rsidRPr="006F1462">
        <w:rPr>
          <w:rFonts w:ascii="Calibri" w:hAnsi="Calibri" w:cs="Calibri"/>
          <w:noProof/>
          <w:sz w:val="28"/>
          <w:szCs w:val="24"/>
        </w:rPr>
        <w:t xml:space="preserve">, “Heavy Isotope Abundances in Mike Thermonuclear Device,” </w:t>
      </w:r>
      <w:r w:rsidRPr="006F1462">
        <w:rPr>
          <w:rFonts w:ascii="Calibri" w:hAnsi="Calibri" w:cs="Calibri"/>
          <w:i/>
          <w:iCs/>
          <w:noProof/>
          <w:sz w:val="28"/>
          <w:szCs w:val="24"/>
        </w:rPr>
        <w:t>Phys. Rev.</w:t>
      </w:r>
      <w:r w:rsidRPr="006F1462">
        <w:rPr>
          <w:rFonts w:ascii="Calibri" w:hAnsi="Calibri" w:cs="Calibri"/>
          <w:noProof/>
          <w:sz w:val="28"/>
          <w:szCs w:val="24"/>
        </w:rPr>
        <w:t>, vol. 119, no. 6, 1960.</w:t>
      </w:r>
    </w:p>
    <w:p w14:paraId="0325A02E"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[86]</w:t>
      </w:r>
      <w:r w:rsidRPr="006F1462">
        <w:rPr>
          <w:rFonts w:ascii="Calibri" w:hAnsi="Calibri" w:cs="Calibri"/>
          <w:noProof/>
          <w:sz w:val="28"/>
          <w:szCs w:val="24"/>
        </w:rPr>
        <w:tab/>
        <w:t xml:space="preserve">M. E. Ketterer, K. M. Hafer, and J. W. Mietelski, “Resolving Chernobyl vs. global fallout contributions in soils from Poland using Plutonium atom ratios measured by inductively coupled plasma mass spectrometry,” </w:t>
      </w:r>
      <w:r w:rsidRPr="006F1462">
        <w:rPr>
          <w:rFonts w:ascii="Calibri" w:hAnsi="Calibri" w:cs="Calibri"/>
          <w:i/>
          <w:iCs/>
          <w:noProof/>
          <w:sz w:val="28"/>
          <w:szCs w:val="24"/>
        </w:rPr>
        <w:t xml:space="preserve">J. </w:t>
      </w:r>
      <w:r w:rsidRPr="006F1462">
        <w:rPr>
          <w:rFonts w:ascii="Calibri" w:hAnsi="Calibri" w:cs="Calibri"/>
          <w:i/>
          <w:iCs/>
          <w:noProof/>
          <w:sz w:val="28"/>
          <w:szCs w:val="24"/>
        </w:rPr>
        <w:lastRenderedPageBreak/>
        <w:t>Environ. Radioact.</w:t>
      </w:r>
      <w:r w:rsidRPr="006F1462">
        <w:rPr>
          <w:rFonts w:ascii="Calibri" w:hAnsi="Calibri" w:cs="Calibri"/>
          <w:noProof/>
          <w:sz w:val="28"/>
          <w:szCs w:val="24"/>
        </w:rPr>
        <w:t>, vol. 73, pp. 183–201, 2004, doi: 10.1016/j.jenvrad.2003.09.001.</w:t>
      </w:r>
    </w:p>
    <w:p w14:paraId="557EC2E7"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[87]</w:t>
      </w:r>
      <w:r w:rsidRPr="006F1462">
        <w:rPr>
          <w:rFonts w:ascii="Calibri" w:hAnsi="Calibri" w:cs="Calibri"/>
          <w:noProof/>
          <w:sz w:val="28"/>
          <w:szCs w:val="24"/>
        </w:rPr>
        <w:tab/>
        <w:t xml:space="preserve">M. Srncik, E. Hrnecek, P. Steier, and G. Wallner, “Determination of U, Pu and Am isotopes in Irish Sea sediment by a combination of AMS and radiometric methods,” </w:t>
      </w:r>
      <w:r w:rsidRPr="006F1462">
        <w:rPr>
          <w:rFonts w:ascii="Calibri" w:hAnsi="Calibri" w:cs="Calibri"/>
          <w:i/>
          <w:iCs/>
          <w:noProof/>
          <w:sz w:val="28"/>
          <w:szCs w:val="24"/>
        </w:rPr>
        <w:t>J. Environ. Radioact.</w:t>
      </w:r>
      <w:r w:rsidRPr="006F1462">
        <w:rPr>
          <w:rFonts w:ascii="Calibri" w:hAnsi="Calibri" w:cs="Calibri"/>
          <w:noProof/>
          <w:sz w:val="28"/>
          <w:szCs w:val="24"/>
        </w:rPr>
        <w:t>, vol. 102, no. 4, pp. 331–335, 2011, doi: 10.1016/j.jenvrad.2011.01.004.</w:t>
      </w:r>
    </w:p>
    <w:p w14:paraId="7B07E89D"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[88]</w:t>
      </w:r>
      <w:r w:rsidRPr="006F1462">
        <w:rPr>
          <w:rFonts w:ascii="Calibri" w:hAnsi="Calibri" w:cs="Calibri"/>
          <w:noProof/>
          <w:sz w:val="28"/>
          <w:szCs w:val="24"/>
        </w:rPr>
        <w:tab/>
        <w:t xml:space="preserve">M. Srncik, E. Hrnecek, P. Steier, A. Wallner, G. Wallner, and P. Bossew, “Vertical distribution of 238Pu, 239(40)Pu, 241Am, 90Sr and 137Cs in Austrian soil profiles,” </w:t>
      </w:r>
      <w:r w:rsidRPr="006F1462">
        <w:rPr>
          <w:rFonts w:ascii="Calibri" w:hAnsi="Calibri" w:cs="Calibri"/>
          <w:i/>
          <w:iCs/>
          <w:noProof/>
          <w:sz w:val="28"/>
          <w:szCs w:val="24"/>
        </w:rPr>
        <w:t>Radiochim. Acta</w:t>
      </w:r>
      <w:r w:rsidRPr="006F1462">
        <w:rPr>
          <w:rFonts w:ascii="Calibri" w:hAnsi="Calibri" w:cs="Calibri"/>
          <w:noProof/>
          <w:sz w:val="28"/>
          <w:szCs w:val="24"/>
        </w:rPr>
        <w:t>, vol. 96, no. 9–11, pp. 733–738, Jan. 2008, doi: 10.1524/ract.2008.1559.</w:t>
      </w:r>
    </w:p>
    <w:p w14:paraId="7973D7ED"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[89]</w:t>
      </w:r>
      <w:r w:rsidRPr="006F1462">
        <w:rPr>
          <w:rFonts w:ascii="Calibri" w:hAnsi="Calibri" w:cs="Calibri"/>
          <w:noProof/>
          <w:sz w:val="28"/>
          <w:szCs w:val="24"/>
        </w:rPr>
        <w:tab/>
        <w:t xml:space="preserve">T. M. Beasley, L. A. Ball, J. E. Andrews, and J. E. Halverson, “Hanford-derived plutonium in columbia river sediments.,” </w:t>
      </w:r>
      <w:r w:rsidRPr="006F1462">
        <w:rPr>
          <w:rFonts w:ascii="Calibri" w:hAnsi="Calibri" w:cs="Calibri"/>
          <w:i/>
          <w:iCs/>
          <w:noProof/>
          <w:sz w:val="28"/>
          <w:szCs w:val="24"/>
        </w:rPr>
        <w:t>Science</w:t>
      </w:r>
      <w:r w:rsidRPr="006F1462">
        <w:rPr>
          <w:rFonts w:ascii="Calibri" w:hAnsi="Calibri" w:cs="Calibri"/>
          <w:noProof/>
          <w:sz w:val="28"/>
          <w:szCs w:val="24"/>
        </w:rPr>
        <w:t>, vol. 214, no. 4523, pp. 913–5, Nov. 1981, doi: 10.1126/science.214.4523.913.</w:t>
      </w:r>
    </w:p>
    <w:p w14:paraId="6C2F99E7"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szCs w:val="24"/>
        </w:rPr>
      </w:pPr>
      <w:r w:rsidRPr="006F1462">
        <w:rPr>
          <w:rFonts w:ascii="Calibri" w:hAnsi="Calibri" w:cs="Calibri"/>
          <w:noProof/>
          <w:sz w:val="28"/>
          <w:szCs w:val="24"/>
        </w:rPr>
        <w:t>[90]</w:t>
      </w:r>
      <w:r w:rsidRPr="006F1462">
        <w:rPr>
          <w:rFonts w:ascii="Calibri" w:hAnsi="Calibri" w:cs="Calibri"/>
          <w:noProof/>
          <w:sz w:val="28"/>
          <w:szCs w:val="24"/>
        </w:rPr>
        <w:tab/>
        <w:t xml:space="preserve">J. P. Day and J. E. Cross, “241Am from the decay of 241Pu in the Irish Sea,” </w:t>
      </w:r>
      <w:r w:rsidRPr="006F1462">
        <w:rPr>
          <w:rFonts w:ascii="Calibri" w:hAnsi="Calibri" w:cs="Calibri"/>
          <w:i/>
          <w:iCs/>
          <w:noProof/>
          <w:sz w:val="28"/>
          <w:szCs w:val="24"/>
        </w:rPr>
        <w:t>Nature</w:t>
      </w:r>
      <w:r w:rsidRPr="006F1462">
        <w:rPr>
          <w:rFonts w:ascii="Calibri" w:hAnsi="Calibri" w:cs="Calibri"/>
          <w:noProof/>
          <w:sz w:val="28"/>
          <w:szCs w:val="24"/>
        </w:rPr>
        <w:t>, vol. 292, no. 5818, pp. 43–45, Jul. 1981, doi: 10.1038/292043a0.</w:t>
      </w:r>
    </w:p>
    <w:p w14:paraId="79302807" w14:textId="77777777" w:rsidR="006F1462" w:rsidRPr="006F1462" w:rsidRDefault="006F1462" w:rsidP="006F1462">
      <w:pPr>
        <w:widowControl w:val="0"/>
        <w:autoSpaceDE w:val="0"/>
        <w:autoSpaceDN w:val="0"/>
        <w:adjustRightInd w:val="0"/>
        <w:spacing w:line="480" w:lineRule="auto"/>
        <w:ind w:left="640" w:hanging="640"/>
        <w:rPr>
          <w:rFonts w:ascii="Calibri" w:hAnsi="Calibri" w:cs="Calibri"/>
          <w:noProof/>
          <w:sz w:val="28"/>
        </w:rPr>
      </w:pPr>
      <w:r w:rsidRPr="006F1462">
        <w:rPr>
          <w:rFonts w:ascii="Calibri" w:hAnsi="Calibri" w:cs="Calibri"/>
          <w:noProof/>
          <w:sz w:val="28"/>
          <w:szCs w:val="24"/>
        </w:rPr>
        <w:t>[91]</w:t>
      </w:r>
      <w:r w:rsidRPr="006F1462">
        <w:rPr>
          <w:rFonts w:ascii="Calibri" w:hAnsi="Calibri" w:cs="Calibri"/>
          <w:noProof/>
          <w:sz w:val="28"/>
          <w:szCs w:val="24"/>
        </w:rPr>
        <w:tab/>
        <w:t xml:space="preserve">M. De Cesare </w:t>
      </w:r>
      <w:r w:rsidRPr="006F1462">
        <w:rPr>
          <w:rFonts w:ascii="Calibri" w:hAnsi="Calibri" w:cs="Calibri"/>
          <w:i/>
          <w:iCs/>
          <w:noProof/>
          <w:sz w:val="28"/>
          <w:szCs w:val="24"/>
        </w:rPr>
        <w:t>et al.</w:t>
      </w:r>
      <w:r w:rsidRPr="006F1462">
        <w:rPr>
          <w:rFonts w:ascii="Calibri" w:hAnsi="Calibri" w:cs="Calibri"/>
          <w:noProof/>
          <w:sz w:val="28"/>
          <w:szCs w:val="24"/>
        </w:rPr>
        <w:t xml:space="preserve">, “Actinides AMS at CIRCE and 236U and Pu measurements of structural and environmental samples from in and around a mothballed nuclear power plant,” </w:t>
      </w:r>
      <w:r w:rsidRPr="006F1462">
        <w:rPr>
          <w:rFonts w:ascii="Calibri" w:hAnsi="Calibri" w:cs="Calibri"/>
          <w:i/>
          <w:iCs/>
          <w:noProof/>
          <w:sz w:val="28"/>
          <w:szCs w:val="24"/>
        </w:rPr>
        <w:t xml:space="preserve">Nucl. Instruments Methods </w:t>
      </w:r>
      <w:r w:rsidRPr="006F1462">
        <w:rPr>
          <w:rFonts w:ascii="Calibri" w:hAnsi="Calibri" w:cs="Calibri"/>
          <w:i/>
          <w:iCs/>
          <w:noProof/>
          <w:sz w:val="28"/>
          <w:szCs w:val="24"/>
        </w:rPr>
        <w:lastRenderedPageBreak/>
        <w:t>Phys. Res. Sect. B Beam Interact. with Mater. Atoms</w:t>
      </w:r>
      <w:r w:rsidRPr="006F1462">
        <w:rPr>
          <w:rFonts w:ascii="Calibri" w:hAnsi="Calibri" w:cs="Calibri"/>
          <w:noProof/>
          <w:sz w:val="28"/>
          <w:szCs w:val="24"/>
        </w:rPr>
        <w:t>, vol. 294, pp. 152–159, Jan. 2013, doi: 10.1016/j.nimb.2012.05.020.</w:t>
      </w:r>
    </w:p>
    <w:p w14:paraId="1E271CF8" w14:textId="76FD5462" w:rsidR="00CB7650" w:rsidRDefault="00D82CF6" w:rsidP="00CB7650">
      <w:pPr>
        <w:spacing w:line="480" w:lineRule="auto"/>
        <w:ind w:firstLine="567"/>
        <w:rPr>
          <w:b/>
          <w:sz w:val="28"/>
        </w:rPr>
      </w:pPr>
      <w:r>
        <w:rPr>
          <w:b/>
          <w:sz w:val="28"/>
        </w:rPr>
        <w:fldChar w:fldCharType="end"/>
      </w:r>
    </w:p>
    <w:p w14:paraId="310C5241" w14:textId="1195DEF9" w:rsidR="00FE63DC" w:rsidRPr="00F16B05" w:rsidRDefault="009710BE" w:rsidP="00F16B05">
      <w:pPr>
        <w:spacing w:line="480" w:lineRule="auto"/>
        <w:rPr>
          <w:b/>
          <w:sz w:val="28"/>
        </w:rPr>
      </w:pPr>
      <w:r>
        <w:rPr>
          <w:b/>
          <w:sz w:val="28"/>
        </w:rPr>
        <w:br w:type="page"/>
      </w:r>
    </w:p>
    <w:p w14:paraId="20F16C0C" w14:textId="77777777" w:rsidR="00AB1232" w:rsidRPr="00AB1232" w:rsidRDefault="00FE63DC" w:rsidP="00AB1232">
      <w:pPr>
        <w:pStyle w:val="ListParagraph"/>
        <w:spacing w:line="480" w:lineRule="auto"/>
        <w:ind w:left="360"/>
        <w:rPr>
          <w:b/>
          <w:sz w:val="32"/>
        </w:rPr>
      </w:pPr>
      <w:r w:rsidRPr="00AB1232">
        <w:rPr>
          <w:b/>
          <w:sz w:val="32"/>
        </w:rPr>
        <w:lastRenderedPageBreak/>
        <w:t>A</w:t>
      </w:r>
      <w:r w:rsidR="00AB1232" w:rsidRPr="00AB1232">
        <w:rPr>
          <w:b/>
          <w:sz w:val="32"/>
        </w:rPr>
        <w:t xml:space="preserve">ppendix </w:t>
      </w:r>
    </w:p>
    <w:p w14:paraId="12B1FBDF" w14:textId="6C30BFF8" w:rsidR="00FE63DC" w:rsidRPr="00AB1232" w:rsidRDefault="00FE63DC" w:rsidP="00AB1232">
      <w:pPr>
        <w:pStyle w:val="ListParagraph"/>
        <w:spacing w:line="480" w:lineRule="auto"/>
        <w:ind w:left="360"/>
        <w:rPr>
          <w:b/>
          <w:sz w:val="28"/>
        </w:rPr>
      </w:pPr>
      <w:r w:rsidRPr="00AB1232">
        <w:rPr>
          <w:b/>
          <w:sz w:val="28"/>
        </w:rPr>
        <w:t>Technical Specifications</w:t>
      </w:r>
    </w:p>
    <w:p w14:paraId="511844B8" w14:textId="3F4F25F6" w:rsidR="00FE63DC" w:rsidRDefault="00FE63DC" w:rsidP="00AB1232">
      <w:pPr>
        <w:pStyle w:val="ListParagraph"/>
        <w:spacing w:line="480" w:lineRule="auto"/>
        <w:ind w:left="360"/>
        <w:rPr>
          <w:sz w:val="24"/>
        </w:rPr>
      </w:pPr>
      <w:r w:rsidRPr="00AB1232">
        <w:rPr>
          <w:sz w:val="24"/>
        </w:rPr>
        <w:t>A.1</w:t>
      </w:r>
      <w:r w:rsidRPr="00AB1232">
        <w:rPr>
          <w:sz w:val="24"/>
        </w:rPr>
        <w:tab/>
        <w:t>EJ-309 Detecto</w:t>
      </w:r>
      <w:r w:rsidR="00204618" w:rsidRPr="00AB1232">
        <w:rPr>
          <w:sz w:val="24"/>
        </w:rPr>
        <w:t>rs</w:t>
      </w:r>
      <w:r w:rsidR="00204618">
        <w:rPr>
          <w:sz w:val="24"/>
        </w:rPr>
        <w:t xml:space="preserve"> </w:t>
      </w:r>
      <w:r w:rsidR="00204618">
        <w:rPr>
          <w:sz w:val="24"/>
        </w:rPr>
        <w:object w:dxaOrig="9180" w:dyaOrig="11880" w14:anchorId="3A408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546pt" o:ole="">
            <v:imagedata r:id="rId53" o:title=""/>
          </v:shape>
          <o:OLEObject Type="Embed" ProgID="AcroExch.Document.DC" ShapeID="_x0000_i1025" DrawAspect="Content" ObjectID="_1645598460" r:id="rId54"/>
        </w:object>
      </w:r>
    </w:p>
    <w:p w14:paraId="0F16F8CE" w14:textId="722616AB" w:rsidR="00AB1232" w:rsidRPr="00AB1232" w:rsidRDefault="00204618" w:rsidP="00AB1232">
      <w:pPr>
        <w:pStyle w:val="ListParagraph"/>
        <w:spacing w:line="480" w:lineRule="auto"/>
        <w:ind w:left="360"/>
        <w:rPr>
          <w:sz w:val="24"/>
        </w:rPr>
      </w:pPr>
      <w:r>
        <w:rPr>
          <w:noProof/>
          <w:sz w:val="24"/>
          <w:lang w:eastAsia="en-GB"/>
        </w:rPr>
        <w:lastRenderedPageBreak/>
        <w:drawing>
          <wp:inline distT="0" distB="0" distL="0" distR="0" wp14:anchorId="684585E1" wp14:editId="5D6DC7B2">
            <wp:extent cx="5731510" cy="8100695"/>
            <wp:effectExtent l="0" t="0" r="254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Document from Christopher Tighe.png"/>
                    <pic:cNvPicPr/>
                  </pic:nvPicPr>
                  <pic:blipFill>
                    <a:blip r:embed="rId55">
                      <a:extLst>
                        <a:ext uri="{28A0092B-C50C-407E-A947-70E740481C1C}">
                          <a14:useLocalDpi xmlns:a14="http://schemas.microsoft.com/office/drawing/2010/main" val="0"/>
                        </a:ext>
                      </a:extLst>
                    </a:blip>
                    <a:stretch>
                      <a:fillRect/>
                    </a:stretch>
                  </pic:blipFill>
                  <pic:spPr>
                    <a:xfrm>
                      <a:off x="0" y="0"/>
                      <a:ext cx="5731510" cy="8100695"/>
                    </a:xfrm>
                    <a:prstGeom prst="rect">
                      <a:avLst/>
                    </a:prstGeom>
                  </pic:spPr>
                </pic:pic>
              </a:graphicData>
            </a:graphic>
          </wp:inline>
        </w:drawing>
      </w:r>
    </w:p>
    <w:p w14:paraId="3AC90201" w14:textId="77777777" w:rsidR="00204618" w:rsidRDefault="00204618" w:rsidP="00AB1232">
      <w:pPr>
        <w:pStyle w:val="ListParagraph"/>
        <w:spacing w:line="480" w:lineRule="auto"/>
        <w:ind w:left="360"/>
        <w:rPr>
          <w:sz w:val="24"/>
        </w:rPr>
      </w:pPr>
    </w:p>
    <w:p w14:paraId="683718C7" w14:textId="77777777" w:rsidR="00204618" w:rsidRDefault="00204618" w:rsidP="00AB1232">
      <w:pPr>
        <w:pStyle w:val="ListParagraph"/>
        <w:spacing w:line="480" w:lineRule="auto"/>
        <w:ind w:left="360"/>
        <w:rPr>
          <w:sz w:val="24"/>
        </w:rPr>
      </w:pPr>
    </w:p>
    <w:p w14:paraId="2B113537" w14:textId="32F64FEC" w:rsidR="00FE63DC" w:rsidRDefault="00FE63DC" w:rsidP="00AB1232">
      <w:pPr>
        <w:pStyle w:val="ListParagraph"/>
        <w:spacing w:line="480" w:lineRule="auto"/>
        <w:ind w:left="360"/>
        <w:rPr>
          <w:sz w:val="24"/>
        </w:rPr>
      </w:pPr>
      <w:r w:rsidRPr="00AB1232">
        <w:rPr>
          <w:sz w:val="24"/>
        </w:rPr>
        <w:lastRenderedPageBreak/>
        <w:t>A.2</w:t>
      </w:r>
      <w:r w:rsidRPr="00AB1232">
        <w:rPr>
          <w:sz w:val="24"/>
        </w:rPr>
        <w:tab/>
      </w:r>
      <w:r w:rsidR="00962E36">
        <w:rPr>
          <w:sz w:val="24"/>
        </w:rPr>
        <w:t xml:space="preserve">Hybrid Instruments </w:t>
      </w:r>
      <w:r w:rsidRPr="00AB1232">
        <w:rPr>
          <w:sz w:val="24"/>
        </w:rPr>
        <w:t>Mixed Field Analysers</w:t>
      </w:r>
    </w:p>
    <w:p w14:paraId="17A231DD" w14:textId="781C950F" w:rsidR="00CD5E12" w:rsidRPr="00CD5E12" w:rsidRDefault="00CD5E12" w:rsidP="00CD5E12">
      <w:pPr>
        <w:pStyle w:val="ListParagraph"/>
        <w:spacing w:line="240" w:lineRule="auto"/>
        <w:ind w:left="360"/>
        <w:rPr>
          <w:b/>
          <w:sz w:val="24"/>
        </w:rPr>
      </w:pPr>
      <w:r w:rsidRPr="00CD5E12">
        <w:rPr>
          <w:b/>
          <w:sz w:val="24"/>
        </w:rPr>
        <w:t>Specifications</w:t>
      </w:r>
    </w:p>
    <w:p w14:paraId="4AA02CEA" w14:textId="77777777" w:rsidR="00CD5E12" w:rsidRDefault="00CD5E12" w:rsidP="00CD5E12">
      <w:pPr>
        <w:pStyle w:val="ListParagraph"/>
        <w:spacing w:line="240" w:lineRule="auto"/>
        <w:ind w:left="360"/>
        <w:rPr>
          <w:b/>
          <w:sz w:val="24"/>
        </w:rPr>
      </w:pPr>
    </w:p>
    <w:p w14:paraId="445FB8B0" w14:textId="595FC89E" w:rsidR="00CD5E12" w:rsidRPr="00CD5E12" w:rsidRDefault="00CD5E12" w:rsidP="00CD5E12">
      <w:pPr>
        <w:pStyle w:val="ListParagraph"/>
        <w:spacing w:line="240" w:lineRule="auto"/>
        <w:ind w:left="360"/>
        <w:rPr>
          <w:b/>
          <w:sz w:val="24"/>
        </w:rPr>
      </w:pPr>
      <w:r w:rsidRPr="00CD5E12">
        <w:rPr>
          <w:b/>
          <w:sz w:val="24"/>
        </w:rPr>
        <w:t>System</w:t>
      </w:r>
    </w:p>
    <w:p w14:paraId="273D03C4" w14:textId="2CE68F85" w:rsidR="00CD5E12" w:rsidRPr="00CD5E12" w:rsidRDefault="00CD5E12" w:rsidP="00CD5E12">
      <w:pPr>
        <w:pStyle w:val="ListParagraph"/>
        <w:spacing w:line="240" w:lineRule="auto"/>
        <w:ind w:left="360"/>
        <w:rPr>
          <w:sz w:val="24"/>
        </w:rPr>
      </w:pPr>
      <w:r w:rsidRPr="00CD5E12">
        <w:rPr>
          <w:sz w:val="24"/>
        </w:rPr>
        <w:t xml:space="preserve">Input voltage </w:t>
      </w:r>
      <w:r>
        <w:rPr>
          <w:sz w:val="24"/>
        </w:rPr>
        <w:tab/>
      </w:r>
      <w:r>
        <w:rPr>
          <w:sz w:val="24"/>
        </w:rPr>
        <w:tab/>
      </w:r>
      <w:r>
        <w:rPr>
          <w:sz w:val="24"/>
        </w:rPr>
        <w:tab/>
      </w:r>
      <w:r w:rsidRPr="00CD5E12">
        <w:rPr>
          <w:sz w:val="24"/>
        </w:rPr>
        <w:t>28 V to 40 V DC, 80 W</w:t>
      </w:r>
    </w:p>
    <w:p w14:paraId="6AC64925" w14:textId="0E960911" w:rsidR="00CD5E12" w:rsidRPr="00301B60" w:rsidRDefault="00CD5E12" w:rsidP="00CD5E12">
      <w:pPr>
        <w:pStyle w:val="ListParagraph"/>
        <w:spacing w:line="240" w:lineRule="auto"/>
        <w:ind w:left="360"/>
        <w:rPr>
          <w:sz w:val="24"/>
          <w:lang w:val="fr-FR"/>
        </w:rPr>
      </w:pPr>
      <w:r w:rsidRPr="00301B60">
        <w:rPr>
          <w:sz w:val="24"/>
          <w:lang w:val="fr-FR"/>
        </w:rPr>
        <w:t xml:space="preserve">Dimensions </w:t>
      </w:r>
      <w:r w:rsidRPr="00301B60">
        <w:rPr>
          <w:sz w:val="24"/>
          <w:lang w:val="fr-FR"/>
        </w:rPr>
        <w:tab/>
      </w:r>
      <w:r w:rsidRPr="00301B60">
        <w:rPr>
          <w:sz w:val="24"/>
          <w:lang w:val="fr-FR"/>
        </w:rPr>
        <w:tab/>
      </w:r>
      <w:r w:rsidRPr="00301B60">
        <w:rPr>
          <w:sz w:val="24"/>
          <w:lang w:val="fr-FR"/>
        </w:rPr>
        <w:tab/>
        <w:t>35 cm x 26 cm x 11 cm</w:t>
      </w:r>
    </w:p>
    <w:p w14:paraId="53F11391" w14:textId="5FC473A9" w:rsidR="00CD5E12" w:rsidRPr="00CD5E12" w:rsidRDefault="00CD5E12" w:rsidP="00CD5E12">
      <w:pPr>
        <w:pStyle w:val="ListParagraph"/>
        <w:spacing w:line="240" w:lineRule="auto"/>
        <w:ind w:left="360"/>
        <w:rPr>
          <w:sz w:val="24"/>
        </w:rPr>
      </w:pPr>
      <w:r w:rsidRPr="00CD5E12">
        <w:rPr>
          <w:sz w:val="24"/>
        </w:rPr>
        <w:t xml:space="preserve">Mass </w:t>
      </w:r>
      <w:r>
        <w:rPr>
          <w:sz w:val="24"/>
        </w:rPr>
        <w:tab/>
      </w:r>
      <w:r>
        <w:rPr>
          <w:sz w:val="24"/>
        </w:rPr>
        <w:tab/>
      </w:r>
      <w:r>
        <w:rPr>
          <w:sz w:val="24"/>
        </w:rPr>
        <w:tab/>
      </w:r>
      <w:r>
        <w:rPr>
          <w:sz w:val="24"/>
        </w:rPr>
        <w:tab/>
      </w:r>
      <w:r w:rsidRPr="00CD5E12">
        <w:rPr>
          <w:sz w:val="24"/>
        </w:rPr>
        <w:t>4.8 kg</w:t>
      </w:r>
    </w:p>
    <w:p w14:paraId="628876B8" w14:textId="241C9997" w:rsidR="00CD5E12" w:rsidRPr="00CD5E12" w:rsidRDefault="00CD5E12" w:rsidP="00CD5E12">
      <w:pPr>
        <w:pStyle w:val="ListParagraph"/>
        <w:spacing w:line="240" w:lineRule="auto"/>
        <w:ind w:left="360"/>
        <w:rPr>
          <w:sz w:val="24"/>
        </w:rPr>
      </w:pPr>
      <w:r w:rsidRPr="00CD5E12">
        <w:rPr>
          <w:sz w:val="24"/>
        </w:rPr>
        <w:t xml:space="preserve">Temperature range Operating: </w:t>
      </w:r>
      <w:r>
        <w:rPr>
          <w:sz w:val="24"/>
        </w:rPr>
        <w:tab/>
      </w:r>
      <w:r w:rsidRPr="00CD5E12">
        <w:rPr>
          <w:sz w:val="24"/>
        </w:rPr>
        <w:t>0°C to 50°C</w:t>
      </w:r>
    </w:p>
    <w:p w14:paraId="4575DA28" w14:textId="77777777" w:rsidR="00CD5E12" w:rsidRDefault="00CD5E12" w:rsidP="00CD5E12">
      <w:pPr>
        <w:pStyle w:val="ListParagraph"/>
        <w:spacing w:line="240" w:lineRule="auto"/>
        <w:ind w:left="360"/>
        <w:rPr>
          <w:b/>
          <w:sz w:val="24"/>
        </w:rPr>
      </w:pPr>
    </w:p>
    <w:p w14:paraId="283F50E7" w14:textId="7DE7ECD6" w:rsidR="00CD5E12" w:rsidRPr="00CD5E12" w:rsidRDefault="00CD5E12" w:rsidP="00CD5E12">
      <w:pPr>
        <w:pStyle w:val="ListParagraph"/>
        <w:spacing w:line="240" w:lineRule="auto"/>
        <w:ind w:left="360"/>
        <w:rPr>
          <w:b/>
          <w:sz w:val="24"/>
        </w:rPr>
      </w:pPr>
      <w:r w:rsidRPr="00CD5E12">
        <w:rPr>
          <w:b/>
          <w:sz w:val="24"/>
        </w:rPr>
        <w:t>High voltage</w:t>
      </w:r>
    </w:p>
    <w:p w14:paraId="200F8284" w14:textId="09EDFBE2" w:rsidR="00CD5E12" w:rsidRPr="00CD5E12" w:rsidRDefault="00CD5E12" w:rsidP="00CD5E12">
      <w:pPr>
        <w:pStyle w:val="ListParagraph"/>
        <w:spacing w:line="240" w:lineRule="auto"/>
        <w:ind w:left="360"/>
        <w:rPr>
          <w:sz w:val="24"/>
        </w:rPr>
      </w:pPr>
      <w:r w:rsidRPr="00CD5E12">
        <w:rPr>
          <w:sz w:val="24"/>
        </w:rPr>
        <w:t xml:space="preserve">Channels </w:t>
      </w:r>
      <w:r>
        <w:rPr>
          <w:sz w:val="24"/>
        </w:rPr>
        <w:tab/>
      </w:r>
      <w:r>
        <w:rPr>
          <w:sz w:val="24"/>
        </w:rPr>
        <w:tab/>
      </w:r>
      <w:r>
        <w:rPr>
          <w:sz w:val="24"/>
        </w:rPr>
        <w:tab/>
      </w:r>
      <w:r>
        <w:rPr>
          <w:sz w:val="24"/>
        </w:rPr>
        <w:tab/>
      </w:r>
      <w:r w:rsidRPr="00CD5E12">
        <w:rPr>
          <w:sz w:val="24"/>
        </w:rPr>
        <w:t>4</w:t>
      </w:r>
    </w:p>
    <w:p w14:paraId="0E0EB834" w14:textId="43B952FA" w:rsidR="00CD5E12" w:rsidRPr="00CD5E12" w:rsidRDefault="00CD5E12" w:rsidP="00CD5E12">
      <w:pPr>
        <w:pStyle w:val="ListParagraph"/>
        <w:spacing w:line="240" w:lineRule="auto"/>
        <w:ind w:left="360"/>
        <w:rPr>
          <w:sz w:val="24"/>
        </w:rPr>
      </w:pPr>
      <w:r w:rsidRPr="00CD5E12">
        <w:rPr>
          <w:sz w:val="24"/>
        </w:rPr>
        <w:t xml:space="preserve">High voltage max. </w:t>
      </w:r>
      <w:r>
        <w:rPr>
          <w:sz w:val="24"/>
        </w:rPr>
        <w:tab/>
      </w:r>
      <w:r>
        <w:rPr>
          <w:sz w:val="24"/>
        </w:rPr>
        <w:tab/>
      </w:r>
      <w:r>
        <w:rPr>
          <w:sz w:val="24"/>
        </w:rPr>
        <w:tab/>
      </w:r>
      <w:r w:rsidRPr="00CD5E12">
        <w:rPr>
          <w:sz w:val="24"/>
        </w:rPr>
        <w:t>-2000 V DC</w:t>
      </w:r>
    </w:p>
    <w:p w14:paraId="65BD69D9" w14:textId="2189495C" w:rsidR="00CD5E12" w:rsidRPr="00CD5E12" w:rsidRDefault="00CD5E12" w:rsidP="00CD5E12">
      <w:pPr>
        <w:pStyle w:val="ListParagraph"/>
        <w:spacing w:line="240" w:lineRule="auto"/>
        <w:ind w:left="360"/>
        <w:rPr>
          <w:sz w:val="24"/>
        </w:rPr>
      </w:pPr>
      <w:r w:rsidRPr="00CD5E12">
        <w:rPr>
          <w:sz w:val="24"/>
        </w:rPr>
        <w:t xml:space="preserve">Output voltage control </w:t>
      </w:r>
      <w:r>
        <w:rPr>
          <w:sz w:val="24"/>
        </w:rPr>
        <w:tab/>
      </w:r>
      <w:r>
        <w:rPr>
          <w:sz w:val="24"/>
        </w:rPr>
        <w:tab/>
      </w:r>
      <w:r w:rsidRPr="00CD5E12">
        <w:rPr>
          <w:sz w:val="24"/>
        </w:rPr>
        <w:t>PC software based graphical user interface</w:t>
      </w:r>
    </w:p>
    <w:p w14:paraId="2E928432" w14:textId="19DE3EC9" w:rsidR="00CD5E12" w:rsidRPr="00CD5E12" w:rsidRDefault="00CD5E12" w:rsidP="00CD5E12">
      <w:pPr>
        <w:pStyle w:val="ListParagraph"/>
        <w:spacing w:line="240" w:lineRule="auto"/>
        <w:ind w:left="360"/>
        <w:rPr>
          <w:sz w:val="24"/>
        </w:rPr>
      </w:pPr>
      <w:r w:rsidRPr="00CD5E12">
        <w:rPr>
          <w:sz w:val="24"/>
        </w:rPr>
        <w:t xml:space="preserve">Regulation </w:t>
      </w:r>
      <w:r>
        <w:rPr>
          <w:sz w:val="24"/>
        </w:rPr>
        <w:tab/>
      </w:r>
      <w:r>
        <w:rPr>
          <w:sz w:val="24"/>
        </w:rPr>
        <w:tab/>
      </w:r>
      <w:r>
        <w:rPr>
          <w:sz w:val="24"/>
        </w:rPr>
        <w:tab/>
      </w:r>
      <w:r w:rsidRPr="00CD5E12">
        <w:rPr>
          <w:sz w:val="24"/>
        </w:rPr>
        <w:t>0.001% for 0% to 100% load change</w:t>
      </w:r>
    </w:p>
    <w:p w14:paraId="45E64E40" w14:textId="3526273A" w:rsidR="00CD5E12" w:rsidRPr="00CD5E12" w:rsidRDefault="00CD5E12" w:rsidP="00CD5E12">
      <w:pPr>
        <w:pStyle w:val="ListParagraph"/>
        <w:spacing w:line="240" w:lineRule="auto"/>
        <w:ind w:left="360"/>
        <w:rPr>
          <w:sz w:val="24"/>
        </w:rPr>
      </w:pPr>
      <w:r w:rsidRPr="00CD5E12">
        <w:rPr>
          <w:sz w:val="24"/>
        </w:rPr>
        <w:t xml:space="preserve">Stability </w:t>
      </w:r>
      <w:r>
        <w:rPr>
          <w:sz w:val="24"/>
        </w:rPr>
        <w:tab/>
      </w:r>
      <w:r>
        <w:rPr>
          <w:sz w:val="24"/>
        </w:rPr>
        <w:tab/>
      </w:r>
      <w:r>
        <w:rPr>
          <w:sz w:val="24"/>
        </w:rPr>
        <w:tab/>
      </w:r>
      <w:r>
        <w:rPr>
          <w:sz w:val="24"/>
        </w:rPr>
        <w:tab/>
      </w:r>
      <w:r w:rsidRPr="00CD5E12">
        <w:rPr>
          <w:sz w:val="24"/>
        </w:rPr>
        <w:t>50 ppm/Hr, 200 ppm/8Hr</w:t>
      </w:r>
    </w:p>
    <w:p w14:paraId="2F54D028" w14:textId="20C339E6" w:rsidR="00CD5E12" w:rsidRPr="00CD5E12" w:rsidRDefault="00CD5E12" w:rsidP="00CD5E12">
      <w:pPr>
        <w:pStyle w:val="ListParagraph"/>
        <w:spacing w:line="240" w:lineRule="auto"/>
        <w:ind w:left="360"/>
        <w:rPr>
          <w:sz w:val="24"/>
        </w:rPr>
      </w:pPr>
      <w:r w:rsidRPr="00CD5E12">
        <w:rPr>
          <w:sz w:val="24"/>
        </w:rPr>
        <w:t xml:space="preserve">Temperature coef. </w:t>
      </w:r>
      <w:r>
        <w:rPr>
          <w:sz w:val="24"/>
        </w:rPr>
        <w:tab/>
      </w:r>
      <w:r>
        <w:rPr>
          <w:sz w:val="24"/>
        </w:rPr>
        <w:tab/>
      </w:r>
      <w:r w:rsidRPr="00CD5E12">
        <w:rPr>
          <w:sz w:val="24"/>
        </w:rPr>
        <w:t>50 ppm/°C</w:t>
      </w:r>
    </w:p>
    <w:p w14:paraId="63C25F61" w14:textId="138AA473" w:rsidR="00CD5E12" w:rsidRPr="00CD5E12" w:rsidRDefault="00CD5E12" w:rsidP="00CD5E12">
      <w:pPr>
        <w:pStyle w:val="ListParagraph"/>
        <w:spacing w:line="240" w:lineRule="auto"/>
        <w:ind w:left="360"/>
        <w:rPr>
          <w:sz w:val="24"/>
        </w:rPr>
      </w:pPr>
      <w:r w:rsidRPr="00CD5E12">
        <w:rPr>
          <w:sz w:val="24"/>
        </w:rPr>
        <w:t xml:space="preserve">Current limit </w:t>
      </w:r>
      <w:r>
        <w:rPr>
          <w:sz w:val="24"/>
        </w:rPr>
        <w:tab/>
      </w:r>
      <w:r>
        <w:rPr>
          <w:sz w:val="24"/>
        </w:rPr>
        <w:tab/>
      </w:r>
      <w:r>
        <w:rPr>
          <w:sz w:val="24"/>
        </w:rPr>
        <w:tab/>
      </w:r>
      <w:r w:rsidRPr="00CD5E12">
        <w:rPr>
          <w:sz w:val="24"/>
        </w:rPr>
        <w:t>120% of maximum output current, 2 mA</w:t>
      </w:r>
    </w:p>
    <w:p w14:paraId="32D1E5B4" w14:textId="2C043A03" w:rsidR="00CD5E12" w:rsidRPr="00CD5E12" w:rsidRDefault="00CD5E12" w:rsidP="00CD5E12">
      <w:pPr>
        <w:pStyle w:val="ListParagraph"/>
        <w:spacing w:line="240" w:lineRule="auto"/>
        <w:ind w:left="360"/>
        <w:rPr>
          <w:sz w:val="24"/>
        </w:rPr>
      </w:pPr>
      <w:r w:rsidRPr="00CD5E12">
        <w:rPr>
          <w:sz w:val="24"/>
        </w:rPr>
        <w:t xml:space="preserve">Protection </w:t>
      </w:r>
      <w:r>
        <w:rPr>
          <w:sz w:val="24"/>
        </w:rPr>
        <w:tab/>
      </w:r>
      <w:r>
        <w:rPr>
          <w:sz w:val="24"/>
        </w:rPr>
        <w:tab/>
      </w:r>
      <w:r>
        <w:rPr>
          <w:sz w:val="24"/>
        </w:rPr>
        <w:tab/>
      </w:r>
      <w:r>
        <w:rPr>
          <w:sz w:val="24"/>
        </w:rPr>
        <w:tab/>
      </w:r>
      <w:r w:rsidRPr="00CD5E12">
        <w:rPr>
          <w:sz w:val="24"/>
        </w:rPr>
        <w:t>Short circuit and arc protected</w:t>
      </w:r>
    </w:p>
    <w:p w14:paraId="70C815CC" w14:textId="77777777" w:rsidR="00CD5E12" w:rsidRDefault="00CD5E12" w:rsidP="00CD5E12">
      <w:pPr>
        <w:pStyle w:val="ListParagraph"/>
        <w:spacing w:line="240" w:lineRule="auto"/>
        <w:ind w:left="360"/>
        <w:rPr>
          <w:sz w:val="24"/>
        </w:rPr>
      </w:pPr>
    </w:p>
    <w:p w14:paraId="3965FF96" w14:textId="553F19A8" w:rsidR="00CD5E12" w:rsidRPr="00CD5E12" w:rsidRDefault="00CD5E12" w:rsidP="00CD5E12">
      <w:pPr>
        <w:pStyle w:val="ListParagraph"/>
        <w:spacing w:line="240" w:lineRule="auto"/>
        <w:ind w:left="360"/>
        <w:rPr>
          <w:b/>
          <w:sz w:val="24"/>
        </w:rPr>
      </w:pPr>
      <w:r w:rsidRPr="00CD5E12">
        <w:rPr>
          <w:b/>
          <w:sz w:val="24"/>
        </w:rPr>
        <w:t>Digitiser</w:t>
      </w:r>
    </w:p>
    <w:p w14:paraId="190AE520" w14:textId="1351D769" w:rsidR="00CD5E12" w:rsidRPr="00CD5E12" w:rsidRDefault="00CD5E12" w:rsidP="00CD5E12">
      <w:pPr>
        <w:pStyle w:val="ListParagraph"/>
        <w:spacing w:line="240" w:lineRule="auto"/>
        <w:ind w:left="360"/>
        <w:rPr>
          <w:sz w:val="24"/>
        </w:rPr>
      </w:pPr>
      <w:r w:rsidRPr="00CD5E12">
        <w:rPr>
          <w:sz w:val="24"/>
        </w:rPr>
        <w:t xml:space="preserve">Channels </w:t>
      </w:r>
      <w:r w:rsidR="00A11F1B">
        <w:rPr>
          <w:sz w:val="24"/>
        </w:rPr>
        <w:tab/>
      </w:r>
      <w:r w:rsidR="00A11F1B">
        <w:rPr>
          <w:sz w:val="24"/>
        </w:rPr>
        <w:tab/>
      </w:r>
      <w:r w:rsidR="00A11F1B">
        <w:rPr>
          <w:sz w:val="24"/>
        </w:rPr>
        <w:tab/>
      </w:r>
      <w:r w:rsidR="00A11F1B">
        <w:rPr>
          <w:sz w:val="24"/>
        </w:rPr>
        <w:tab/>
      </w:r>
      <w:r w:rsidRPr="00CD5E12">
        <w:rPr>
          <w:sz w:val="24"/>
        </w:rPr>
        <w:t>4</w:t>
      </w:r>
    </w:p>
    <w:p w14:paraId="5204C8FA" w14:textId="605BDB15" w:rsidR="00CD5E12" w:rsidRPr="00CD5E12" w:rsidRDefault="00CD5E12" w:rsidP="00CD5E12">
      <w:pPr>
        <w:pStyle w:val="ListParagraph"/>
        <w:spacing w:line="240" w:lineRule="auto"/>
        <w:ind w:left="360"/>
        <w:rPr>
          <w:sz w:val="24"/>
        </w:rPr>
      </w:pPr>
      <w:r w:rsidRPr="00CD5E12">
        <w:rPr>
          <w:sz w:val="24"/>
        </w:rPr>
        <w:t xml:space="preserve">Full scale range </w:t>
      </w:r>
      <w:r w:rsidR="00A11F1B">
        <w:rPr>
          <w:sz w:val="24"/>
        </w:rPr>
        <w:tab/>
      </w:r>
      <w:r w:rsidR="00A11F1B">
        <w:rPr>
          <w:sz w:val="24"/>
        </w:rPr>
        <w:tab/>
      </w:r>
      <w:r w:rsidR="00A11F1B">
        <w:rPr>
          <w:sz w:val="24"/>
        </w:rPr>
        <w:tab/>
      </w:r>
      <w:r w:rsidRPr="00CD5E12">
        <w:rPr>
          <w:sz w:val="24"/>
        </w:rPr>
        <w:t xml:space="preserve">20 mVpp to 600 mVpp user configurable Variable Gain </w:t>
      </w:r>
      <w:r w:rsidR="00962E36">
        <w:rPr>
          <w:sz w:val="24"/>
        </w:rPr>
        <w:tab/>
      </w:r>
      <w:r w:rsidR="00962E36">
        <w:rPr>
          <w:sz w:val="24"/>
        </w:rPr>
        <w:tab/>
      </w:r>
      <w:r w:rsidR="00962E36">
        <w:rPr>
          <w:sz w:val="24"/>
        </w:rPr>
        <w:tab/>
      </w:r>
      <w:r w:rsidR="00962E36">
        <w:rPr>
          <w:sz w:val="24"/>
        </w:rPr>
        <w:tab/>
      </w:r>
      <w:r w:rsidR="00962E36">
        <w:rPr>
          <w:sz w:val="24"/>
        </w:rPr>
        <w:tab/>
      </w:r>
      <w:r w:rsidRPr="00CD5E12">
        <w:rPr>
          <w:sz w:val="24"/>
        </w:rPr>
        <w:t>Amplifier (VGA)</w:t>
      </w:r>
    </w:p>
    <w:p w14:paraId="1C9EFC2F" w14:textId="3997C224" w:rsidR="00CD5E12" w:rsidRPr="00CD5E12" w:rsidRDefault="00CD5E12" w:rsidP="00CD5E12">
      <w:pPr>
        <w:pStyle w:val="ListParagraph"/>
        <w:spacing w:line="240" w:lineRule="auto"/>
        <w:ind w:left="360"/>
        <w:rPr>
          <w:sz w:val="24"/>
        </w:rPr>
      </w:pPr>
      <w:r w:rsidRPr="00CD5E12">
        <w:rPr>
          <w:sz w:val="24"/>
        </w:rPr>
        <w:t xml:space="preserve">Impedance </w:t>
      </w:r>
      <w:r w:rsidR="00962E36">
        <w:rPr>
          <w:sz w:val="24"/>
        </w:rPr>
        <w:tab/>
      </w:r>
      <w:r w:rsidR="00962E36">
        <w:rPr>
          <w:sz w:val="24"/>
        </w:rPr>
        <w:tab/>
      </w:r>
      <w:r w:rsidR="00962E36">
        <w:rPr>
          <w:sz w:val="24"/>
        </w:rPr>
        <w:tab/>
      </w:r>
      <w:r w:rsidRPr="00CD5E12">
        <w:rPr>
          <w:sz w:val="24"/>
        </w:rPr>
        <w:t>50 Ohm</w:t>
      </w:r>
    </w:p>
    <w:p w14:paraId="1A3D56FE" w14:textId="753039F0" w:rsidR="00CD5E12" w:rsidRPr="00CD5E12" w:rsidRDefault="00CD5E12" w:rsidP="00CD5E12">
      <w:pPr>
        <w:pStyle w:val="ListParagraph"/>
        <w:spacing w:line="240" w:lineRule="auto"/>
        <w:ind w:left="360"/>
        <w:rPr>
          <w:sz w:val="24"/>
        </w:rPr>
      </w:pPr>
      <w:r w:rsidRPr="00CD5E12">
        <w:rPr>
          <w:sz w:val="24"/>
        </w:rPr>
        <w:t xml:space="preserve">Resolution </w:t>
      </w:r>
      <w:r w:rsidR="00962E36">
        <w:rPr>
          <w:sz w:val="24"/>
        </w:rPr>
        <w:tab/>
      </w:r>
      <w:r w:rsidR="00962E36">
        <w:rPr>
          <w:sz w:val="24"/>
        </w:rPr>
        <w:tab/>
      </w:r>
      <w:r w:rsidR="00962E36">
        <w:rPr>
          <w:sz w:val="24"/>
        </w:rPr>
        <w:tab/>
      </w:r>
      <w:r w:rsidRPr="00CD5E12">
        <w:rPr>
          <w:sz w:val="24"/>
        </w:rPr>
        <w:t>12 bit bipolar</w:t>
      </w:r>
    </w:p>
    <w:p w14:paraId="3E3EFF6D" w14:textId="35731A8E" w:rsidR="00CD5E12" w:rsidRPr="00CD5E12" w:rsidRDefault="00CD5E12" w:rsidP="00CD5E12">
      <w:pPr>
        <w:pStyle w:val="ListParagraph"/>
        <w:spacing w:line="240" w:lineRule="auto"/>
        <w:ind w:left="360"/>
        <w:rPr>
          <w:sz w:val="24"/>
        </w:rPr>
      </w:pPr>
      <w:r w:rsidRPr="00CD5E12">
        <w:rPr>
          <w:sz w:val="24"/>
        </w:rPr>
        <w:t xml:space="preserve">Sampling rate </w:t>
      </w:r>
      <w:r w:rsidR="00962E36">
        <w:rPr>
          <w:sz w:val="24"/>
        </w:rPr>
        <w:tab/>
      </w:r>
      <w:r w:rsidR="00962E36">
        <w:rPr>
          <w:sz w:val="24"/>
        </w:rPr>
        <w:tab/>
      </w:r>
      <w:r w:rsidR="00962E36">
        <w:rPr>
          <w:sz w:val="24"/>
        </w:rPr>
        <w:tab/>
      </w:r>
      <w:r w:rsidRPr="00CD5E12">
        <w:rPr>
          <w:sz w:val="24"/>
        </w:rPr>
        <w:t>500 MS/s</w:t>
      </w:r>
    </w:p>
    <w:p w14:paraId="11D9D86F" w14:textId="5B45F8F2" w:rsidR="00CD5E12" w:rsidRPr="00CD5E12" w:rsidRDefault="00CD5E12" w:rsidP="00CD5E12">
      <w:pPr>
        <w:pStyle w:val="ListParagraph"/>
        <w:spacing w:line="240" w:lineRule="auto"/>
        <w:ind w:left="360"/>
        <w:rPr>
          <w:sz w:val="24"/>
        </w:rPr>
      </w:pPr>
      <w:r w:rsidRPr="00CD5E12">
        <w:rPr>
          <w:sz w:val="24"/>
        </w:rPr>
        <w:t xml:space="preserve">Acquisition window </w:t>
      </w:r>
      <w:r w:rsidR="00962E36">
        <w:rPr>
          <w:sz w:val="24"/>
        </w:rPr>
        <w:tab/>
      </w:r>
      <w:r w:rsidR="00962E36">
        <w:rPr>
          <w:sz w:val="24"/>
        </w:rPr>
        <w:tab/>
      </w:r>
      <w:r w:rsidRPr="00CD5E12">
        <w:rPr>
          <w:sz w:val="24"/>
        </w:rPr>
        <w:t>148 ns</w:t>
      </w:r>
    </w:p>
    <w:p w14:paraId="6D50DA03" w14:textId="5D223DCA" w:rsidR="00CD5E12" w:rsidRPr="00CD5E12" w:rsidRDefault="00CD5E12" w:rsidP="00CD5E12">
      <w:pPr>
        <w:pStyle w:val="ListParagraph"/>
        <w:spacing w:line="240" w:lineRule="auto"/>
        <w:ind w:left="360"/>
        <w:rPr>
          <w:sz w:val="24"/>
        </w:rPr>
      </w:pPr>
      <w:r w:rsidRPr="00CD5E12">
        <w:rPr>
          <w:sz w:val="24"/>
        </w:rPr>
        <w:t xml:space="preserve">ADC clock </w:t>
      </w:r>
      <w:r w:rsidR="00962E36">
        <w:rPr>
          <w:sz w:val="24"/>
        </w:rPr>
        <w:tab/>
      </w:r>
      <w:r w:rsidR="00962E36">
        <w:rPr>
          <w:sz w:val="24"/>
        </w:rPr>
        <w:tab/>
      </w:r>
      <w:r w:rsidR="00962E36">
        <w:rPr>
          <w:sz w:val="24"/>
        </w:rPr>
        <w:tab/>
      </w:r>
      <w:r w:rsidR="00962E36">
        <w:rPr>
          <w:sz w:val="24"/>
        </w:rPr>
        <w:tab/>
      </w:r>
      <w:r w:rsidRPr="00CD5E12">
        <w:rPr>
          <w:sz w:val="24"/>
        </w:rPr>
        <w:t>On-board PLL using internal oscillator</w:t>
      </w:r>
    </w:p>
    <w:p w14:paraId="51C88E10" w14:textId="0DFFC270" w:rsidR="00CD5E12" w:rsidRPr="00CD5E12" w:rsidRDefault="00CD5E12" w:rsidP="00CD5E12">
      <w:pPr>
        <w:pStyle w:val="ListParagraph"/>
        <w:spacing w:line="240" w:lineRule="auto"/>
        <w:ind w:left="360"/>
        <w:rPr>
          <w:sz w:val="24"/>
        </w:rPr>
      </w:pPr>
      <w:r w:rsidRPr="00CD5E12">
        <w:rPr>
          <w:sz w:val="24"/>
        </w:rPr>
        <w:t xml:space="preserve">Communication interface </w:t>
      </w:r>
      <w:r w:rsidR="00962E36">
        <w:rPr>
          <w:sz w:val="24"/>
        </w:rPr>
        <w:tab/>
      </w:r>
      <w:r w:rsidRPr="00CD5E12">
        <w:rPr>
          <w:sz w:val="24"/>
        </w:rPr>
        <w:t>Ethernet (&lt;5 kpps), TTL (3.3 Mpps), serial (debugging)</w:t>
      </w:r>
    </w:p>
    <w:p w14:paraId="15FEE816" w14:textId="437E3AB1" w:rsidR="00CD5E12" w:rsidRPr="00CD5E12" w:rsidRDefault="00CD5E12" w:rsidP="00CD5E12">
      <w:pPr>
        <w:pStyle w:val="ListParagraph"/>
        <w:spacing w:line="240" w:lineRule="auto"/>
        <w:ind w:left="360"/>
        <w:rPr>
          <w:sz w:val="24"/>
        </w:rPr>
      </w:pPr>
      <w:r w:rsidRPr="00CD5E12">
        <w:rPr>
          <w:sz w:val="24"/>
        </w:rPr>
        <w:t xml:space="preserve">Onboard memory </w:t>
      </w:r>
      <w:r w:rsidR="00962E36">
        <w:rPr>
          <w:sz w:val="24"/>
        </w:rPr>
        <w:tab/>
      </w:r>
      <w:r w:rsidR="00962E36">
        <w:rPr>
          <w:sz w:val="24"/>
        </w:rPr>
        <w:tab/>
      </w:r>
      <w:r w:rsidR="00962E36">
        <w:rPr>
          <w:sz w:val="24"/>
        </w:rPr>
        <w:tab/>
      </w:r>
      <w:r w:rsidRPr="00CD5E12">
        <w:rPr>
          <w:sz w:val="24"/>
        </w:rPr>
        <w:t>32 Mbit EEPROM</w:t>
      </w:r>
    </w:p>
    <w:p w14:paraId="6F1A5986" w14:textId="2A3D1668" w:rsidR="00CD5E12" w:rsidRPr="00CD5E12" w:rsidRDefault="00CD5E12" w:rsidP="00CD5E12">
      <w:pPr>
        <w:pStyle w:val="ListParagraph"/>
        <w:spacing w:line="240" w:lineRule="auto"/>
        <w:ind w:left="360"/>
        <w:rPr>
          <w:sz w:val="24"/>
        </w:rPr>
      </w:pPr>
      <w:r w:rsidRPr="00CD5E12">
        <w:rPr>
          <w:sz w:val="24"/>
        </w:rPr>
        <w:t xml:space="preserve">Input protection </w:t>
      </w:r>
      <w:r w:rsidR="00962E36">
        <w:rPr>
          <w:sz w:val="24"/>
        </w:rPr>
        <w:tab/>
      </w:r>
      <w:r w:rsidR="00962E36">
        <w:rPr>
          <w:sz w:val="24"/>
        </w:rPr>
        <w:tab/>
      </w:r>
      <w:r w:rsidR="00962E36">
        <w:rPr>
          <w:sz w:val="24"/>
        </w:rPr>
        <w:tab/>
      </w:r>
      <w:r w:rsidRPr="00CD5E12">
        <w:rPr>
          <w:sz w:val="24"/>
        </w:rPr>
        <w:t>Over limit diode protected</w:t>
      </w:r>
    </w:p>
    <w:p w14:paraId="619F90E5" w14:textId="77777777" w:rsidR="00CD5E12" w:rsidRDefault="00CD5E12" w:rsidP="00CD5E12">
      <w:pPr>
        <w:pStyle w:val="ListParagraph"/>
        <w:spacing w:line="240" w:lineRule="auto"/>
        <w:ind w:left="360"/>
        <w:rPr>
          <w:sz w:val="24"/>
        </w:rPr>
      </w:pPr>
    </w:p>
    <w:p w14:paraId="60E95919" w14:textId="46F93629" w:rsidR="00CD5E12" w:rsidRPr="00CD5E12" w:rsidRDefault="00CD5E12" w:rsidP="00CD5E12">
      <w:pPr>
        <w:pStyle w:val="ListParagraph"/>
        <w:spacing w:line="240" w:lineRule="auto"/>
        <w:ind w:left="360"/>
        <w:rPr>
          <w:b/>
          <w:sz w:val="24"/>
        </w:rPr>
      </w:pPr>
      <w:r w:rsidRPr="00CD5E12">
        <w:rPr>
          <w:b/>
          <w:sz w:val="24"/>
        </w:rPr>
        <w:t>Digital TTL output</w:t>
      </w:r>
    </w:p>
    <w:p w14:paraId="730BF1D1" w14:textId="425298FE" w:rsidR="00CD5E12" w:rsidRPr="00CD5E12" w:rsidRDefault="00CD5E12" w:rsidP="00CD5E12">
      <w:pPr>
        <w:pStyle w:val="ListParagraph"/>
        <w:spacing w:line="240" w:lineRule="auto"/>
        <w:ind w:left="360"/>
        <w:rPr>
          <w:sz w:val="24"/>
        </w:rPr>
      </w:pPr>
      <w:r w:rsidRPr="00CD5E12">
        <w:rPr>
          <w:sz w:val="24"/>
        </w:rPr>
        <w:t xml:space="preserve">Impedance </w:t>
      </w:r>
      <w:r w:rsidR="00962E36">
        <w:rPr>
          <w:sz w:val="24"/>
        </w:rPr>
        <w:tab/>
      </w:r>
      <w:r w:rsidR="00962E36">
        <w:rPr>
          <w:sz w:val="24"/>
        </w:rPr>
        <w:tab/>
      </w:r>
      <w:r w:rsidR="00962E36">
        <w:rPr>
          <w:sz w:val="24"/>
        </w:rPr>
        <w:tab/>
      </w:r>
      <w:r w:rsidRPr="00CD5E12">
        <w:rPr>
          <w:sz w:val="24"/>
        </w:rPr>
        <w:t>50 Ohm</w:t>
      </w:r>
    </w:p>
    <w:p w14:paraId="2C48C1AF" w14:textId="49955E16" w:rsidR="00CD5E12" w:rsidRPr="00CD5E12" w:rsidRDefault="00CD5E12" w:rsidP="00CD5E12">
      <w:pPr>
        <w:pStyle w:val="ListParagraph"/>
        <w:spacing w:line="240" w:lineRule="auto"/>
        <w:ind w:left="360"/>
        <w:rPr>
          <w:sz w:val="24"/>
        </w:rPr>
      </w:pPr>
      <w:r w:rsidRPr="00CD5E12">
        <w:rPr>
          <w:sz w:val="24"/>
        </w:rPr>
        <w:t xml:space="preserve">Current limit </w:t>
      </w:r>
      <w:r w:rsidR="00962E36">
        <w:rPr>
          <w:sz w:val="24"/>
        </w:rPr>
        <w:tab/>
      </w:r>
      <w:r w:rsidR="00962E36">
        <w:rPr>
          <w:sz w:val="24"/>
        </w:rPr>
        <w:tab/>
      </w:r>
      <w:r w:rsidR="00962E36">
        <w:rPr>
          <w:sz w:val="24"/>
        </w:rPr>
        <w:tab/>
      </w:r>
      <w:r w:rsidRPr="00CD5E12">
        <w:rPr>
          <w:sz w:val="24"/>
        </w:rPr>
        <w:t>20 mA</w:t>
      </w:r>
    </w:p>
    <w:p w14:paraId="7E3B19A2" w14:textId="0B21B7FE" w:rsidR="00CD5E12" w:rsidRPr="00CD5E12" w:rsidRDefault="00CD5E12" w:rsidP="00CD5E12">
      <w:pPr>
        <w:pStyle w:val="ListParagraph"/>
        <w:spacing w:line="240" w:lineRule="auto"/>
        <w:ind w:left="360"/>
        <w:rPr>
          <w:sz w:val="24"/>
        </w:rPr>
      </w:pPr>
      <w:r w:rsidRPr="00CD5E12">
        <w:rPr>
          <w:sz w:val="24"/>
        </w:rPr>
        <w:t xml:space="preserve">Switching time </w:t>
      </w:r>
      <w:r w:rsidR="00962E36">
        <w:rPr>
          <w:sz w:val="24"/>
        </w:rPr>
        <w:tab/>
      </w:r>
      <w:r w:rsidR="00962E36">
        <w:rPr>
          <w:sz w:val="24"/>
        </w:rPr>
        <w:tab/>
      </w:r>
      <w:r w:rsidR="00962E36">
        <w:rPr>
          <w:sz w:val="24"/>
        </w:rPr>
        <w:tab/>
      </w:r>
      <w:r w:rsidRPr="00CD5E12">
        <w:rPr>
          <w:sz w:val="24"/>
        </w:rPr>
        <w:t>&lt;1 ns</w:t>
      </w:r>
    </w:p>
    <w:p w14:paraId="3C534B7F" w14:textId="65AA74A7" w:rsidR="00CD5E12" w:rsidRPr="00CD5E12" w:rsidRDefault="00CD5E12" w:rsidP="00CD5E12">
      <w:pPr>
        <w:pStyle w:val="ListParagraph"/>
        <w:spacing w:line="240" w:lineRule="auto"/>
        <w:ind w:left="360"/>
        <w:rPr>
          <w:sz w:val="24"/>
        </w:rPr>
      </w:pPr>
      <w:r w:rsidRPr="00CD5E12">
        <w:rPr>
          <w:sz w:val="24"/>
        </w:rPr>
        <w:t xml:space="preserve">Idle state </w:t>
      </w:r>
      <w:r w:rsidR="00962E36">
        <w:rPr>
          <w:sz w:val="24"/>
        </w:rPr>
        <w:tab/>
      </w:r>
      <w:r w:rsidR="00962E36">
        <w:rPr>
          <w:sz w:val="24"/>
        </w:rPr>
        <w:tab/>
      </w:r>
      <w:r w:rsidR="00962E36">
        <w:rPr>
          <w:sz w:val="24"/>
        </w:rPr>
        <w:tab/>
      </w:r>
      <w:r w:rsidR="00962E36">
        <w:rPr>
          <w:sz w:val="24"/>
        </w:rPr>
        <w:tab/>
      </w:r>
      <w:r w:rsidRPr="00CD5E12">
        <w:rPr>
          <w:sz w:val="24"/>
        </w:rPr>
        <w:t>3.8 V, high</w:t>
      </w:r>
    </w:p>
    <w:p w14:paraId="6284137D" w14:textId="6CCD9DAF" w:rsidR="00CD5E12" w:rsidRPr="00CD5E12" w:rsidRDefault="00CD5E12" w:rsidP="00CD5E12">
      <w:pPr>
        <w:pStyle w:val="ListParagraph"/>
        <w:spacing w:line="240" w:lineRule="auto"/>
        <w:ind w:left="360"/>
        <w:rPr>
          <w:sz w:val="24"/>
        </w:rPr>
      </w:pPr>
      <w:r w:rsidRPr="00CD5E12">
        <w:rPr>
          <w:sz w:val="24"/>
        </w:rPr>
        <w:t xml:space="preserve">Active state </w:t>
      </w:r>
      <w:r w:rsidR="00962E36">
        <w:rPr>
          <w:sz w:val="24"/>
        </w:rPr>
        <w:tab/>
      </w:r>
      <w:r w:rsidR="00962E36">
        <w:rPr>
          <w:sz w:val="24"/>
        </w:rPr>
        <w:tab/>
      </w:r>
      <w:r w:rsidR="00962E36">
        <w:rPr>
          <w:sz w:val="24"/>
        </w:rPr>
        <w:tab/>
      </w:r>
      <w:r w:rsidRPr="00CD5E12">
        <w:rPr>
          <w:sz w:val="24"/>
        </w:rPr>
        <w:t>0 V, low</w:t>
      </w:r>
    </w:p>
    <w:p w14:paraId="7FEC7FC4" w14:textId="6ED6D89D" w:rsidR="00CD5E12" w:rsidRPr="00CD5E12" w:rsidRDefault="00CD5E12" w:rsidP="00CD5E12">
      <w:pPr>
        <w:pStyle w:val="ListParagraph"/>
        <w:spacing w:line="240" w:lineRule="auto"/>
        <w:ind w:left="360"/>
        <w:rPr>
          <w:sz w:val="24"/>
        </w:rPr>
      </w:pPr>
      <w:r w:rsidRPr="00CD5E12">
        <w:rPr>
          <w:sz w:val="24"/>
        </w:rPr>
        <w:t xml:space="preserve">Pulse width </w:t>
      </w:r>
      <w:r w:rsidR="00962E36">
        <w:rPr>
          <w:sz w:val="24"/>
        </w:rPr>
        <w:tab/>
      </w:r>
      <w:r w:rsidR="00962E36">
        <w:rPr>
          <w:sz w:val="24"/>
        </w:rPr>
        <w:tab/>
      </w:r>
      <w:r w:rsidR="00962E36">
        <w:rPr>
          <w:sz w:val="24"/>
        </w:rPr>
        <w:tab/>
      </w:r>
      <w:r w:rsidRPr="00CD5E12">
        <w:rPr>
          <w:sz w:val="24"/>
        </w:rPr>
        <w:t>50 ns</w:t>
      </w:r>
    </w:p>
    <w:p w14:paraId="2EEE8ED8" w14:textId="2BD80396" w:rsidR="00CD5E12" w:rsidRPr="00CD5E12" w:rsidRDefault="00CD5E12" w:rsidP="00CD5E12">
      <w:pPr>
        <w:pStyle w:val="ListParagraph"/>
        <w:spacing w:line="240" w:lineRule="auto"/>
        <w:ind w:left="360"/>
        <w:rPr>
          <w:sz w:val="24"/>
        </w:rPr>
      </w:pPr>
      <w:r w:rsidRPr="00CD5E12">
        <w:rPr>
          <w:sz w:val="24"/>
        </w:rPr>
        <w:t xml:space="preserve">Max. PSD throughput </w:t>
      </w:r>
      <w:r w:rsidR="00962E36">
        <w:rPr>
          <w:sz w:val="24"/>
        </w:rPr>
        <w:tab/>
      </w:r>
      <w:r w:rsidR="00962E36">
        <w:rPr>
          <w:sz w:val="24"/>
        </w:rPr>
        <w:tab/>
      </w:r>
      <w:r w:rsidRPr="00CD5E12">
        <w:rPr>
          <w:sz w:val="24"/>
        </w:rPr>
        <w:t>3.3 Mpps/channel</w:t>
      </w:r>
    </w:p>
    <w:p w14:paraId="7C1F429D" w14:textId="5707E6C5" w:rsidR="00AB1232" w:rsidRDefault="00CD5E12" w:rsidP="00CD5E12">
      <w:pPr>
        <w:pStyle w:val="ListParagraph"/>
        <w:spacing w:line="240" w:lineRule="auto"/>
        <w:ind w:left="360"/>
        <w:rPr>
          <w:sz w:val="24"/>
        </w:rPr>
      </w:pPr>
      <w:r w:rsidRPr="00CD5E12">
        <w:rPr>
          <w:sz w:val="24"/>
        </w:rPr>
        <w:t xml:space="preserve">Input-to-output jitter </w:t>
      </w:r>
      <w:r w:rsidR="00962E36">
        <w:rPr>
          <w:sz w:val="24"/>
        </w:rPr>
        <w:tab/>
      </w:r>
      <w:r w:rsidR="00962E36">
        <w:rPr>
          <w:sz w:val="24"/>
        </w:rPr>
        <w:tab/>
      </w:r>
      <w:r w:rsidRPr="00CD5E12">
        <w:rPr>
          <w:sz w:val="24"/>
        </w:rPr>
        <w:t>&lt;6 ns</w:t>
      </w:r>
    </w:p>
    <w:p w14:paraId="03D8FC96" w14:textId="365EC7D5" w:rsidR="004575CA" w:rsidRDefault="004575CA">
      <w:pPr>
        <w:rPr>
          <w:sz w:val="24"/>
        </w:rPr>
      </w:pPr>
      <w:r>
        <w:rPr>
          <w:sz w:val="24"/>
        </w:rPr>
        <w:br w:type="page"/>
      </w:r>
    </w:p>
    <w:p w14:paraId="4E3347CF" w14:textId="2D8FCE52" w:rsidR="00FE63DC" w:rsidRDefault="00FE63DC" w:rsidP="00AB1232">
      <w:pPr>
        <w:pStyle w:val="ListParagraph"/>
        <w:spacing w:line="480" w:lineRule="auto"/>
        <w:ind w:left="360"/>
        <w:rPr>
          <w:sz w:val="24"/>
        </w:rPr>
      </w:pPr>
      <w:r w:rsidRPr="00AB1232">
        <w:rPr>
          <w:sz w:val="24"/>
        </w:rPr>
        <w:lastRenderedPageBreak/>
        <w:t>A.3</w:t>
      </w:r>
      <w:r w:rsidRPr="00AB1232">
        <w:rPr>
          <w:sz w:val="24"/>
        </w:rPr>
        <w:tab/>
        <w:t>BEGe Detector</w:t>
      </w:r>
    </w:p>
    <w:p w14:paraId="05760ECB" w14:textId="5FD80EDE" w:rsidR="00C30297" w:rsidRDefault="0096099C">
      <w:pPr>
        <w:tabs>
          <w:tab w:val="center" w:pos="8484"/>
        </w:tabs>
        <w:spacing w:after="0"/>
        <w:rPr>
          <w:sz w:val="24"/>
        </w:rPr>
      </w:pPr>
      <w:r>
        <w:rPr>
          <w:sz w:val="24"/>
        </w:rPr>
        <w:object w:dxaOrig="9180" w:dyaOrig="11880" w14:anchorId="02213DAC">
          <v:shape id="_x0000_i1026" type="#_x0000_t75" style="width:459pt;height:594.75pt" o:ole="">
            <v:imagedata r:id="rId56" o:title=""/>
          </v:shape>
          <o:OLEObject Type="Embed" ProgID="AcroExch.Document.DC" ShapeID="_x0000_i1026" DrawAspect="Content" ObjectID="_1645598461" r:id="rId57"/>
        </w:object>
      </w:r>
    </w:p>
    <w:p w14:paraId="7EBF40C6" w14:textId="77777777" w:rsidR="0036454D" w:rsidRDefault="0036454D">
      <w:pPr>
        <w:rPr>
          <w:sz w:val="24"/>
        </w:rPr>
      </w:pPr>
      <w:r>
        <w:rPr>
          <w:sz w:val="24"/>
        </w:rPr>
        <w:br w:type="page"/>
      </w:r>
    </w:p>
    <w:p w14:paraId="0084DF11" w14:textId="6E1123ED" w:rsidR="001A6491" w:rsidRPr="00FD3A0B" w:rsidRDefault="001A6491" w:rsidP="00812B95">
      <w:pPr>
        <w:pStyle w:val="Heading1"/>
        <w:spacing w:after="109"/>
        <w:ind w:left="10"/>
        <w:rPr>
          <w:b/>
          <w:color w:val="000000" w:themeColor="text1"/>
        </w:rPr>
      </w:pPr>
      <w:r w:rsidRPr="00FD3A0B">
        <w:rPr>
          <w:b/>
          <w:color w:val="000000" w:themeColor="text1"/>
          <w:sz w:val="20"/>
          <w:u w:val="single" w:color="000000"/>
        </w:rPr>
        <w:lastRenderedPageBreak/>
        <w:t>Gamma Reference Source</w:t>
      </w:r>
    </w:p>
    <w:tbl>
      <w:tblPr>
        <w:tblStyle w:val="TableGrid0"/>
        <w:tblpPr w:vertAnchor="text" w:horzAnchor="margin" w:tblpY="93"/>
        <w:tblOverlap w:val="never"/>
        <w:tblW w:w="9782" w:type="dxa"/>
        <w:tblInd w:w="0" w:type="dxa"/>
        <w:tblCellMar>
          <w:top w:w="53" w:type="dxa"/>
          <w:left w:w="403" w:type="dxa"/>
          <w:right w:w="115" w:type="dxa"/>
        </w:tblCellMar>
        <w:tblLook w:val="04A0" w:firstRow="1" w:lastRow="0" w:firstColumn="1" w:lastColumn="0" w:noHBand="0" w:noVBand="1"/>
      </w:tblPr>
      <w:tblGrid>
        <w:gridCol w:w="2448"/>
        <w:gridCol w:w="2438"/>
        <w:gridCol w:w="2444"/>
        <w:gridCol w:w="2452"/>
      </w:tblGrid>
      <w:tr w:rsidR="003F1697" w14:paraId="1E40EB67" w14:textId="77777777" w:rsidTr="003F1697">
        <w:trPr>
          <w:trHeight w:val="509"/>
        </w:trPr>
        <w:tc>
          <w:tcPr>
            <w:tcW w:w="2448" w:type="dxa"/>
            <w:tcBorders>
              <w:top w:val="single" w:sz="2" w:space="0" w:color="000000"/>
              <w:left w:val="single" w:sz="2" w:space="0" w:color="000000"/>
              <w:bottom w:val="single" w:sz="2" w:space="0" w:color="000000"/>
              <w:right w:val="single" w:sz="2" w:space="0" w:color="000000"/>
            </w:tcBorders>
          </w:tcPr>
          <w:p w14:paraId="326994D4" w14:textId="77777777" w:rsidR="003F1697" w:rsidRDefault="003F1697" w:rsidP="003F1697">
            <w:pPr>
              <w:ind w:right="264"/>
              <w:jc w:val="center"/>
            </w:pPr>
            <w:r>
              <w:rPr>
                <w:sz w:val="20"/>
              </w:rPr>
              <w:t>Nuclide</w:t>
            </w:r>
          </w:p>
        </w:tc>
        <w:tc>
          <w:tcPr>
            <w:tcW w:w="2438" w:type="dxa"/>
            <w:tcBorders>
              <w:top w:val="single" w:sz="2" w:space="0" w:color="000000"/>
              <w:left w:val="single" w:sz="2" w:space="0" w:color="000000"/>
              <w:bottom w:val="single" w:sz="2" w:space="0" w:color="000000"/>
              <w:right w:val="single" w:sz="2" w:space="0" w:color="000000"/>
            </w:tcBorders>
          </w:tcPr>
          <w:p w14:paraId="177F5DC3" w14:textId="77777777" w:rsidR="003F1697" w:rsidRDefault="003F1697" w:rsidP="003F1697">
            <w:pPr>
              <w:ind w:right="91"/>
              <w:jc w:val="center"/>
            </w:pPr>
            <w:r>
              <w:rPr>
                <w:sz w:val="20"/>
              </w:rPr>
              <w:t>Gamma-ray energy [MeVl</w:t>
            </w:r>
          </w:p>
        </w:tc>
        <w:tc>
          <w:tcPr>
            <w:tcW w:w="2444" w:type="dxa"/>
            <w:tcBorders>
              <w:top w:val="single" w:sz="2" w:space="0" w:color="000000"/>
              <w:left w:val="single" w:sz="2" w:space="0" w:color="000000"/>
              <w:bottom w:val="single" w:sz="2" w:space="0" w:color="000000"/>
              <w:right w:val="single" w:sz="2" w:space="0" w:color="000000"/>
            </w:tcBorders>
          </w:tcPr>
          <w:p w14:paraId="0C3CC607" w14:textId="77777777" w:rsidR="003F1697" w:rsidRDefault="003F1697" w:rsidP="003F1697">
            <w:pPr>
              <w:ind w:right="289"/>
              <w:jc w:val="center"/>
            </w:pPr>
            <w:r>
              <w:rPr>
                <w:sz w:val="20"/>
              </w:rPr>
              <w:t>Activity</w:t>
            </w:r>
          </w:p>
        </w:tc>
        <w:tc>
          <w:tcPr>
            <w:tcW w:w="2452" w:type="dxa"/>
            <w:tcBorders>
              <w:top w:val="single" w:sz="2" w:space="0" w:color="000000"/>
              <w:left w:val="single" w:sz="2" w:space="0" w:color="000000"/>
              <w:bottom w:val="single" w:sz="2" w:space="0" w:color="000000"/>
              <w:right w:val="single" w:sz="2" w:space="0" w:color="000000"/>
            </w:tcBorders>
          </w:tcPr>
          <w:p w14:paraId="1285B943" w14:textId="77777777" w:rsidR="003F1697" w:rsidRDefault="003F1697" w:rsidP="003F1697">
            <w:pPr>
              <w:ind w:right="284"/>
              <w:jc w:val="center"/>
            </w:pPr>
            <w:r>
              <w:rPr>
                <w:sz w:val="20"/>
              </w:rPr>
              <w:t>Emission rate</w:t>
            </w:r>
          </w:p>
          <w:p w14:paraId="2F20F417" w14:textId="77777777" w:rsidR="003F1697" w:rsidRDefault="003F1697" w:rsidP="003F1697">
            <w:pPr>
              <w:ind w:right="294"/>
              <w:jc w:val="center"/>
            </w:pPr>
            <w:r>
              <w:t>Is-Il</w:t>
            </w:r>
          </w:p>
        </w:tc>
      </w:tr>
      <w:tr w:rsidR="003F1697" w14:paraId="373153B2" w14:textId="77777777" w:rsidTr="003F1697">
        <w:trPr>
          <w:trHeight w:val="3438"/>
        </w:trPr>
        <w:tc>
          <w:tcPr>
            <w:tcW w:w="2448" w:type="dxa"/>
            <w:tcBorders>
              <w:top w:val="single" w:sz="2" w:space="0" w:color="000000"/>
              <w:left w:val="single" w:sz="2" w:space="0" w:color="000000"/>
              <w:bottom w:val="single" w:sz="2" w:space="0" w:color="000000"/>
              <w:right w:val="single" w:sz="2" w:space="0" w:color="000000"/>
            </w:tcBorders>
          </w:tcPr>
          <w:p w14:paraId="3B93881D" w14:textId="77777777" w:rsidR="003F1697" w:rsidRDefault="003F1697" w:rsidP="003F1697">
            <w:pPr>
              <w:ind w:left="10"/>
            </w:pPr>
            <w:r>
              <w:rPr>
                <w:rFonts w:ascii="Calibri" w:eastAsia="Calibri" w:hAnsi="Calibri" w:cs="Calibri"/>
                <w:sz w:val="20"/>
              </w:rPr>
              <w:t>Americium-241</w:t>
            </w:r>
          </w:p>
          <w:p w14:paraId="25D99522" w14:textId="77777777" w:rsidR="003F1697" w:rsidRDefault="003F1697" w:rsidP="003F1697">
            <w:pPr>
              <w:ind w:left="14"/>
            </w:pPr>
            <w:r>
              <w:rPr>
                <w:sz w:val="20"/>
              </w:rPr>
              <w:t>Cadmium-109</w:t>
            </w:r>
          </w:p>
          <w:p w14:paraId="273AEF9A" w14:textId="77777777" w:rsidR="003F1697" w:rsidRDefault="003F1697" w:rsidP="003F1697">
            <w:pPr>
              <w:ind w:left="14"/>
            </w:pPr>
            <w:r>
              <w:rPr>
                <w:sz w:val="20"/>
              </w:rPr>
              <w:t>Cobalt-57</w:t>
            </w:r>
          </w:p>
          <w:p w14:paraId="1B06ADE8" w14:textId="77777777" w:rsidR="003F1697" w:rsidRDefault="003F1697" w:rsidP="003F1697">
            <w:pPr>
              <w:spacing w:line="245" w:lineRule="auto"/>
              <w:ind w:left="19" w:hanging="5"/>
            </w:pPr>
            <w:r>
              <w:rPr>
                <w:sz w:val="20"/>
              </w:rPr>
              <w:t>Cerium-139 Mercury-203</w:t>
            </w:r>
          </w:p>
          <w:p w14:paraId="6A4A5147" w14:textId="77777777" w:rsidR="003F1697" w:rsidRPr="007102CE" w:rsidRDefault="003F1697" w:rsidP="003F1697">
            <w:pPr>
              <w:ind w:left="5"/>
              <w:rPr>
                <w:lang w:val="de-DE"/>
              </w:rPr>
            </w:pPr>
            <w:r w:rsidRPr="007102CE">
              <w:rPr>
                <w:sz w:val="20"/>
                <w:lang w:val="de-DE"/>
              </w:rPr>
              <w:t>Tin-113</w:t>
            </w:r>
          </w:p>
          <w:p w14:paraId="401D133E" w14:textId="77777777" w:rsidR="003F1697" w:rsidRPr="007102CE" w:rsidRDefault="003F1697" w:rsidP="003F1697">
            <w:pPr>
              <w:ind w:left="5"/>
              <w:rPr>
                <w:lang w:val="de-DE"/>
              </w:rPr>
            </w:pPr>
            <w:r w:rsidRPr="007102CE">
              <w:rPr>
                <w:sz w:val="20"/>
                <w:lang w:val="de-DE"/>
              </w:rPr>
              <w:t>Strontium-85</w:t>
            </w:r>
          </w:p>
          <w:p w14:paraId="3678146E" w14:textId="77777777" w:rsidR="003F1697" w:rsidRPr="007102CE" w:rsidRDefault="003F1697" w:rsidP="003F1697">
            <w:pPr>
              <w:spacing w:line="241" w:lineRule="auto"/>
              <w:ind w:left="5" w:right="34" w:firstLine="5"/>
              <w:rPr>
                <w:lang w:val="de-DE"/>
              </w:rPr>
            </w:pPr>
            <w:r w:rsidRPr="007102CE">
              <w:rPr>
                <w:sz w:val="20"/>
                <w:lang w:val="de-DE"/>
              </w:rPr>
              <w:t>Caesium-137 Yttrium-88</w:t>
            </w:r>
          </w:p>
          <w:p w14:paraId="37B490CF" w14:textId="77777777" w:rsidR="003F1697" w:rsidRPr="007102CE" w:rsidRDefault="003F1697" w:rsidP="003F1697">
            <w:pPr>
              <w:ind w:left="5"/>
              <w:rPr>
                <w:lang w:val="de-DE"/>
              </w:rPr>
            </w:pPr>
            <w:r w:rsidRPr="007102CE">
              <w:rPr>
                <w:sz w:val="20"/>
                <w:lang w:val="de-DE"/>
              </w:rPr>
              <w:t>Cobalt-60</w:t>
            </w:r>
          </w:p>
          <w:p w14:paraId="25242EAA" w14:textId="77777777" w:rsidR="003F1697" w:rsidRDefault="003F1697" w:rsidP="003F1697">
            <w:pPr>
              <w:ind w:left="5"/>
            </w:pPr>
            <w:r>
              <w:rPr>
                <w:sz w:val="20"/>
              </w:rPr>
              <w:t>Cobalt-60</w:t>
            </w:r>
          </w:p>
          <w:p w14:paraId="781F04F3" w14:textId="77777777" w:rsidR="003F1697" w:rsidRDefault="003F1697" w:rsidP="003F1697">
            <w:r>
              <w:rPr>
                <w:sz w:val="20"/>
              </w:rPr>
              <w:t>Yttrium-88</w:t>
            </w:r>
          </w:p>
        </w:tc>
        <w:tc>
          <w:tcPr>
            <w:tcW w:w="2438" w:type="dxa"/>
            <w:tcBorders>
              <w:top w:val="single" w:sz="2" w:space="0" w:color="000000"/>
              <w:left w:val="single" w:sz="2" w:space="0" w:color="000000"/>
              <w:bottom w:val="single" w:sz="2" w:space="0" w:color="000000"/>
              <w:right w:val="single" w:sz="2" w:space="0" w:color="000000"/>
            </w:tcBorders>
          </w:tcPr>
          <w:p w14:paraId="590DCC45" w14:textId="77777777" w:rsidR="003F1697" w:rsidRDefault="003F1697" w:rsidP="003F1697">
            <w:pPr>
              <w:ind w:right="360"/>
              <w:jc w:val="center"/>
            </w:pPr>
            <w:r>
              <w:rPr>
                <w:rFonts w:ascii="Calibri" w:eastAsia="Calibri" w:hAnsi="Calibri" w:cs="Calibri"/>
                <w:sz w:val="20"/>
              </w:rPr>
              <w:t>0.060</w:t>
            </w:r>
          </w:p>
          <w:p w14:paraId="016265C9" w14:textId="77777777" w:rsidR="003F1697" w:rsidRDefault="003F1697" w:rsidP="003F1697">
            <w:pPr>
              <w:ind w:right="370"/>
              <w:jc w:val="center"/>
            </w:pPr>
            <w:r>
              <w:rPr>
                <w:rFonts w:ascii="Calibri" w:eastAsia="Calibri" w:hAnsi="Calibri" w:cs="Calibri"/>
                <w:sz w:val="20"/>
              </w:rPr>
              <w:t>0.088</w:t>
            </w:r>
          </w:p>
          <w:p w14:paraId="36E78705" w14:textId="77777777" w:rsidR="003F1697" w:rsidRDefault="003F1697" w:rsidP="003F1697">
            <w:pPr>
              <w:ind w:right="370"/>
              <w:jc w:val="center"/>
            </w:pPr>
            <w:r>
              <w:rPr>
                <w:rFonts w:ascii="Calibri" w:eastAsia="Calibri" w:hAnsi="Calibri" w:cs="Calibri"/>
                <w:sz w:val="20"/>
              </w:rPr>
              <w:t>0.122</w:t>
            </w:r>
          </w:p>
          <w:p w14:paraId="6B338ABB" w14:textId="77777777" w:rsidR="003F1697" w:rsidRDefault="003F1697" w:rsidP="003F1697">
            <w:pPr>
              <w:ind w:right="370"/>
              <w:jc w:val="center"/>
            </w:pPr>
            <w:r>
              <w:rPr>
                <w:rFonts w:ascii="Calibri" w:eastAsia="Calibri" w:hAnsi="Calibri" w:cs="Calibri"/>
                <w:sz w:val="20"/>
              </w:rPr>
              <w:t>0.166</w:t>
            </w:r>
          </w:p>
          <w:p w14:paraId="335E0AEA" w14:textId="77777777" w:rsidR="003F1697" w:rsidRDefault="003F1697" w:rsidP="003F1697">
            <w:pPr>
              <w:ind w:right="370"/>
              <w:jc w:val="center"/>
            </w:pPr>
            <w:r>
              <w:rPr>
                <w:rFonts w:ascii="Calibri" w:eastAsia="Calibri" w:hAnsi="Calibri" w:cs="Calibri"/>
                <w:sz w:val="20"/>
              </w:rPr>
              <w:t>0.279</w:t>
            </w:r>
          </w:p>
          <w:p w14:paraId="39D58AE6" w14:textId="77777777" w:rsidR="003F1697" w:rsidRDefault="003F1697" w:rsidP="003F1697">
            <w:pPr>
              <w:ind w:right="374"/>
              <w:jc w:val="center"/>
            </w:pPr>
            <w:r>
              <w:rPr>
                <w:rFonts w:ascii="Calibri" w:eastAsia="Calibri" w:hAnsi="Calibri" w:cs="Calibri"/>
                <w:sz w:val="20"/>
              </w:rPr>
              <w:t>0.392</w:t>
            </w:r>
          </w:p>
          <w:p w14:paraId="503E75DE" w14:textId="77777777" w:rsidR="003F1697" w:rsidRDefault="003F1697" w:rsidP="003F1697">
            <w:pPr>
              <w:ind w:right="374"/>
              <w:jc w:val="center"/>
            </w:pPr>
            <w:r>
              <w:rPr>
                <w:rFonts w:ascii="Calibri" w:eastAsia="Calibri" w:hAnsi="Calibri" w:cs="Calibri"/>
                <w:sz w:val="20"/>
              </w:rPr>
              <w:t>0.514</w:t>
            </w:r>
          </w:p>
          <w:p w14:paraId="073C9719" w14:textId="77777777" w:rsidR="003F1697" w:rsidRDefault="003F1697" w:rsidP="003F1697">
            <w:pPr>
              <w:ind w:right="379"/>
              <w:jc w:val="center"/>
            </w:pPr>
            <w:r>
              <w:rPr>
                <w:rFonts w:ascii="Calibri" w:eastAsia="Calibri" w:hAnsi="Calibri" w:cs="Calibri"/>
                <w:sz w:val="20"/>
              </w:rPr>
              <w:t>0.662</w:t>
            </w:r>
          </w:p>
          <w:p w14:paraId="3A7D5E91" w14:textId="77777777" w:rsidR="003F1697" w:rsidRDefault="003F1697" w:rsidP="003F1697">
            <w:pPr>
              <w:spacing w:after="226"/>
              <w:ind w:right="379"/>
              <w:jc w:val="center"/>
            </w:pPr>
            <w:r>
              <w:rPr>
                <w:rFonts w:ascii="Calibri" w:eastAsia="Calibri" w:hAnsi="Calibri" w:cs="Calibri"/>
                <w:sz w:val="20"/>
              </w:rPr>
              <w:t>0.898</w:t>
            </w:r>
          </w:p>
          <w:p w14:paraId="76A1BB43" w14:textId="77777777" w:rsidR="003F1697" w:rsidRDefault="003F1697" w:rsidP="003F1697">
            <w:pPr>
              <w:ind w:right="374"/>
              <w:jc w:val="center"/>
            </w:pPr>
            <w:r>
              <w:rPr>
                <w:rFonts w:ascii="Calibri" w:eastAsia="Calibri" w:hAnsi="Calibri" w:cs="Calibri"/>
                <w:sz w:val="20"/>
              </w:rPr>
              <w:t>1.333</w:t>
            </w:r>
          </w:p>
          <w:p w14:paraId="3599EA55" w14:textId="77777777" w:rsidR="003F1697" w:rsidRDefault="003F1697" w:rsidP="003F1697">
            <w:pPr>
              <w:ind w:right="379"/>
              <w:jc w:val="center"/>
            </w:pPr>
            <w:r>
              <w:rPr>
                <w:rFonts w:ascii="Calibri" w:eastAsia="Calibri" w:hAnsi="Calibri" w:cs="Calibri"/>
                <w:sz w:val="20"/>
              </w:rPr>
              <w:t>1.836</w:t>
            </w:r>
          </w:p>
        </w:tc>
        <w:tc>
          <w:tcPr>
            <w:tcW w:w="2444" w:type="dxa"/>
            <w:tcBorders>
              <w:top w:val="single" w:sz="2" w:space="0" w:color="000000"/>
              <w:left w:val="single" w:sz="2" w:space="0" w:color="000000"/>
              <w:bottom w:val="single" w:sz="2" w:space="0" w:color="000000"/>
              <w:right w:val="single" w:sz="2" w:space="0" w:color="000000"/>
            </w:tcBorders>
          </w:tcPr>
          <w:p w14:paraId="6CBF956B" w14:textId="77777777" w:rsidR="003F1697" w:rsidRPr="007102CE" w:rsidRDefault="003F1697" w:rsidP="003F1697">
            <w:pPr>
              <w:ind w:right="352"/>
              <w:jc w:val="center"/>
              <w:rPr>
                <w:lang w:val="it-IT"/>
              </w:rPr>
            </w:pPr>
            <w:r w:rsidRPr="007102CE">
              <w:rPr>
                <w:sz w:val="20"/>
                <w:lang w:val="it-IT"/>
              </w:rPr>
              <w:t>3.42E03</w:t>
            </w:r>
          </w:p>
          <w:p w14:paraId="0CD42236" w14:textId="77777777" w:rsidR="003F1697" w:rsidRPr="007102CE" w:rsidRDefault="003F1697" w:rsidP="003F1697">
            <w:pPr>
              <w:ind w:right="342"/>
              <w:jc w:val="center"/>
              <w:rPr>
                <w:lang w:val="it-IT"/>
              </w:rPr>
            </w:pPr>
            <w:r w:rsidRPr="007102CE">
              <w:rPr>
                <w:sz w:val="20"/>
                <w:lang w:val="it-IT"/>
              </w:rPr>
              <w:t>1.59E04</w:t>
            </w:r>
          </w:p>
          <w:p w14:paraId="41311A4E" w14:textId="77777777" w:rsidR="003F1697" w:rsidRPr="007102CE" w:rsidRDefault="003F1697" w:rsidP="003F1697">
            <w:pPr>
              <w:ind w:right="352"/>
              <w:jc w:val="center"/>
              <w:rPr>
                <w:lang w:val="it-IT"/>
              </w:rPr>
            </w:pPr>
            <w:r w:rsidRPr="007102CE">
              <w:rPr>
                <w:sz w:val="20"/>
                <w:lang w:val="it-IT"/>
              </w:rPr>
              <w:t>5.79E02</w:t>
            </w:r>
          </w:p>
          <w:p w14:paraId="13CAEE04" w14:textId="77777777" w:rsidR="003F1697" w:rsidRPr="007102CE" w:rsidRDefault="003F1697" w:rsidP="003F1697">
            <w:pPr>
              <w:ind w:right="356"/>
              <w:jc w:val="center"/>
              <w:rPr>
                <w:lang w:val="it-IT"/>
              </w:rPr>
            </w:pPr>
            <w:r w:rsidRPr="007102CE">
              <w:rPr>
                <w:sz w:val="20"/>
                <w:lang w:val="it-IT"/>
              </w:rPr>
              <w:t>7.25E02</w:t>
            </w:r>
          </w:p>
          <w:p w14:paraId="6B19D476" w14:textId="77777777" w:rsidR="003F1697" w:rsidRPr="007102CE" w:rsidRDefault="003F1697" w:rsidP="003F1697">
            <w:pPr>
              <w:ind w:right="352"/>
              <w:jc w:val="center"/>
              <w:rPr>
                <w:lang w:val="it-IT"/>
              </w:rPr>
            </w:pPr>
            <w:r w:rsidRPr="007102CE">
              <w:rPr>
                <w:sz w:val="20"/>
                <w:lang w:val="it-IT"/>
              </w:rPr>
              <w:t>1.40E03</w:t>
            </w:r>
          </w:p>
          <w:p w14:paraId="58F897DF" w14:textId="77777777" w:rsidR="003F1697" w:rsidRPr="007102CE" w:rsidRDefault="003F1697" w:rsidP="003F1697">
            <w:pPr>
              <w:ind w:right="361"/>
              <w:jc w:val="center"/>
              <w:rPr>
                <w:lang w:val="it-IT"/>
              </w:rPr>
            </w:pPr>
            <w:r w:rsidRPr="007102CE">
              <w:rPr>
                <w:sz w:val="20"/>
                <w:lang w:val="it-IT"/>
              </w:rPr>
              <w:t>2.58E03</w:t>
            </w:r>
          </w:p>
          <w:p w14:paraId="53E71A28" w14:textId="77777777" w:rsidR="003F1697" w:rsidRPr="007102CE" w:rsidRDefault="003F1697" w:rsidP="003F1697">
            <w:pPr>
              <w:ind w:right="361"/>
              <w:jc w:val="center"/>
              <w:rPr>
                <w:lang w:val="it-IT"/>
              </w:rPr>
            </w:pPr>
            <w:r w:rsidRPr="007102CE">
              <w:rPr>
                <w:sz w:val="20"/>
                <w:lang w:val="it-IT"/>
              </w:rPr>
              <w:t>2.88E03</w:t>
            </w:r>
          </w:p>
          <w:p w14:paraId="63E349B2" w14:textId="77777777" w:rsidR="003F1697" w:rsidRPr="007102CE" w:rsidRDefault="003F1697" w:rsidP="003F1697">
            <w:pPr>
              <w:ind w:right="361"/>
              <w:jc w:val="center"/>
              <w:rPr>
                <w:lang w:val="it-IT"/>
              </w:rPr>
            </w:pPr>
            <w:r w:rsidRPr="007102CE">
              <w:rPr>
                <w:sz w:val="20"/>
                <w:lang w:val="it-IT"/>
              </w:rPr>
              <w:t>2.77E03</w:t>
            </w:r>
          </w:p>
          <w:p w14:paraId="218F115A" w14:textId="77777777" w:rsidR="003F1697" w:rsidRPr="007102CE" w:rsidRDefault="003F1697" w:rsidP="003F1697">
            <w:pPr>
              <w:ind w:right="366"/>
              <w:jc w:val="center"/>
              <w:rPr>
                <w:lang w:val="it-IT"/>
              </w:rPr>
            </w:pPr>
            <w:r w:rsidRPr="007102CE">
              <w:rPr>
                <w:sz w:val="20"/>
                <w:lang w:val="it-IT"/>
              </w:rPr>
              <w:t>5.11E03</w:t>
            </w:r>
          </w:p>
          <w:p w14:paraId="08995B74" w14:textId="77777777" w:rsidR="003F1697" w:rsidRPr="007102CE" w:rsidRDefault="003F1697" w:rsidP="003F1697">
            <w:pPr>
              <w:ind w:right="366"/>
              <w:jc w:val="center"/>
              <w:rPr>
                <w:lang w:val="it-IT"/>
              </w:rPr>
            </w:pPr>
            <w:r w:rsidRPr="007102CE">
              <w:rPr>
                <w:sz w:val="20"/>
                <w:lang w:val="it-IT"/>
              </w:rPr>
              <w:t>3.36E03</w:t>
            </w:r>
          </w:p>
          <w:p w14:paraId="7E5615A1" w14:textId="77777777" w:rsidR="003F1697" w:rsidRDefault="003F1697" w:rsidP="003F1697">
            <w:pPr>
              <w:ind w:right="366"/>
              <w:jc w:val="center"/>
            </w:pPr>
            <w:r>
              <w:rPr>
                <w:sz w:val="20"/>
              </w:rPr>
              <w:t>3.36E03</w:t>
            </w:r>
          </w:p>
          <w:p w14:paraId="4788ACEF" w14:textId="77777777" w:rsidR="003F1697" w:rsidRDefault="003F1697" w:rsidP="003F1697">
            <w:pPr>
              <w:ind w:right="366"/>
              <w:jc w:val="center"/>
            </w:pPr>
            <w:r>
              <w:rPr>
                <w:sz w:val="20"/>
              </w:rPr>
              <w:t>5.11E03</w:t>
            </w:r>
          </w:p>
        </w:tc>
        <w:tc>
          <w:tcPr>
            <w:tcW w:w="2452" w:type="dxa"/>
            <w:tcBorders>
              <w:top w:val="single" w:sz="2" w:space="0" w:color="000000"/>
              <w:left w:val="single" w:sz="2" w:space="0" w:color="000000"/>
              <w:bottom w:val="single" w:sz="2" w:space="0" w:color="000000"/>
              <w:right w:val="single" w:sz="2" w:space="0" w:color="000000"/>
            </w:tcBorders>
          </w:tcPr>
          <w:p w14:paraId="615F38F2" w14:textId="77777777" w:rsidR="003F1697" w:rsidRPr="007102CE" w:rsidRDefault="003F1697" w:rsidP="003F1697">
            <w:pPr>
              <w:ind w:right="342"/>
              <w:jc w:val="center"/>
              <w:rPr>
                <w:lang w:val="it-IT"/>
              </w:rPr>
            </w:pPr>
            <w:r w:rsidRPr="007102CE">
              <w:rPr>
                <w:sz w:val="20"/>
                <w:lang w:val="it-IT"/>
              </w:rPr>
              <w:t>1.23E03</w:t>
            </w:r>
          </w:p>
          <w:p w14:paraId="1D1879E0" w14:textId="77777777" w:rsidR="003F1697" w:rsidRPr="007102CE" w:rsidRDefault="003F1697" w:rsidP="003F1697">
            <w:pPr>
              <w:ind w:right="347"/>
              <w:jc w:val="center"/>
              <w:rPr>
                <w:lang w:val="it-IT"/>
              </w:rPr>
            </w:pPr>
            <w:r w:rsidRPr="007102CE">
              <w:rPr>
                <w:sz w:val="20"/>
                <w:lang w:val="it-IT"/>
              </w:rPr>
              <w:t>5.82E02</w:t>
            </w:r>
          </w:p>
          <w:p w14:paraId="4F0857AC" w14:textId="77777777" w:rsidR="003F1697" w:rsidRPr="007102CE" w:rsidRDefault="003F1697" w:rsidP="003F1697">
            <w:pPr>
              <w:ind w:right="352"/>
              <w:jc w:val="center"/>
              <w:rPr>
                <w:lang w:val="it-IT"/>
              </w:rPr>
            </w:pPr>
            <w:r w:rsidRPr="007102CE">
              <w:rPr>
                <w:sz w:val="20"/>
                <w:lang w:val="it-IT"/>
              </w:rPr>
              <w:t>4.96E02</w:t>
            </w:r>
          </w:p>
          <w:p w14:paraId="0E183E66" w14:textId="77777777" w:rsidR="003F1697" w:rsidRPr="007102CE" w:rsidRDefault="003F1697" w:rsidP="003F1697">
            <w:pPr>
              <w:ind w:right="347"/>
              <w:jc w:val="center"/>
              <w:rPr>
                <w:lang w:val="it-IT"/>
              </w:rPr>
            </w:pPr>
            <w:r w:rsidRPr="007102CE">
              <w:rPr>
                <w:sz w:val="20"/>
                <w:lang w:val="it-IT"/>
              </w:rPr>
              <w:t>5.79E02</w:t>
            </w:r>
          </w:p>
          <w:p w14:paraId="531E8B85" w14:textId="77777777" w:rsidR="003F1697" w:rsidRPr="007102CE" w:rsidRDefault="003F1697" w:rsidP="003F1697">
            <w:pPr>
              <w:ind w:right="347"/>
              <w:jc w:val="center"/>
              <w:rPr>
                <w:lang w:val="it-IT"/>
              </w:rPr>
            </w:pPr>
            <w:r w:rsidRPr="007102CE">
              <w:rPr>
                <w:sz w:val="20"/>
                <w:lang w:val="it-IT"/>
              </w:rPr>
              <w:t>1.14E03</w:t>
            </w:r>
          </w:p>
          <w:p w14:paraId="55DB5D8F" w14:textId="77777777" w:rsidR="003F1697" w:rsidRPr="007102CE" w:rsidRDefault="003F1697" w:rsidP="003F1697">
            <w:pPr>
              <w:ind w:right="347"/>
              <w:jc w:val="center"/>
              <w:rPr>
                <w:lang w:val="it-IT"/>
              </w:rPr>
            </w:pPr>
            <w:r w:rsidRPr="007102CE">
              <w:rPr>
                <w:sz w:val="20"/>
                <w:lang w:val="it-IT"/>
              </w:rPr>
              <w:t>1.68E03</w:t>
            </w:r>
          </w:p>
          <w:p w14:paraId="5BA11489" w14:textId="77777777" w:rsidR="003F1697" w:rsidRPr="007102CE" w:rsidRDefault="003F1697" w:rsidP="003F1697">
            <w:pPr>
              <w:ind w:right="352"/>
              <w:jc w:val="center"/>
              <w:rPr>
                <w:lang w:val="it-IT"/>
              </w:rPr>
            </w:pPr>
            <w:r w:rsidRPr="007102CE">
              <w:rPr>
                <w:sz w:val="20"/>
                <w:lang w:val="it-IT"/>
              </w:rPr>
              <w:t>2.83E03</w:t>
            </w:r>
          </w:p>
          <w:p w14:paraId="4D9DA096" w14:textId="77777777" w:rsidR="003F1697" w:rsidRPr="007102CE" w:rsidRDefault="003F1697" w:rsidP="003F1697">
            <w:pPr>
              <w:ind w:right="352"/>
              <w:jc w:val="center"/>
              <w:rPr>
                <w:lang w:val="it-IT"/>
              </w:rPr>
            </w:pPr>
            <w:r w:rsidRPr="007102CE">
              <w:rPr>
                <w:sz w:val="20"/>
                <w:lang w:val="it-IT"/>
              </w:rPr>
              <w:t>2.36E03</w:t>
            </w:r>
          </w:p>
          <w:p w14:paraId="33268C02" w14:textId="77777777" w:rsidR="003F1697" w:rsidRPr="007102CE" w:rsidRDefault="003F1697" w:rsidP="003F1697">
            <w:pPr>
              <w:ind w:right="361"/>
              <w:jc w:val="center"/>
              <w:rPr>
                <w:lang w:val="it-IT"/>
              </w:rPr>
            </w:pPr>
            <w:r w:rsidRPr="007102CE">
              <w:rPr>
                <w:sz w:val="20"/>
                <w:lang w:val="it-IT"/>
              </w:rPr>
              <w:t>4.80E03</w:t>
            </w:r>
          </w:p>
          <w:p w14:paraId="68D609AE" w14:textId="77777777" w:rsidR="003F1697" w:rsidRPr="007102CE" w:rsidRDefault="003F1697" w:rsidP="003F1697">
            <w:pPr>
              <w:ind w:right="356"/>
              <w:jc w:val="center"/>
              <w:rPr>
                <w:lang w:val="it-IT"/>
              </w:rPr>
            </w:pPr>
            <w:r w:rsidRPr="007102CE">
              <w:rPr>
                <w:sz w:val="20"/>
                <w:lang w:val="it-IT"/>
              </w:rPr>
              <w:t>3.36E03</w:t>
            </w:r>
          </w:p>
          <w:p w14:paraId="763E5A0F" w14:textId="77777777" w:rsidR="003F1697" w:rsidRDefault="003F1697" w:rsidP="003F1697">
            <w:pPr>
              <w:ind w:right="356"/>
              <w:jc w:val="center"/>
            </w:pPr>
            <w:r>
              <w:rPr>
                <w:sz w:val="20"/>
              </w:rPr>
              <w:t>3.36E03</w:t>
            </w:r>
          </w:p>
          <w:p w14:paraId="5111E955" w14:textId="77777777" w:rsidR="003F1697" w:rsidRDefault="003F1697" w:rsidP="003F1697">
            <w:pPr>
              <w:ind w:right="356"/>
              <w:jc w:val="center"/>
            </w:pPr>
            <w:r>
              <w:rPr>
                <w:sz w:val="20"/>
              </w:rPr>
              <w:t>5.07E03</w:t>
            </w:r>
          </w:p>
        </w:tc>
      </w:tr>
    </w:tbl>
    <w:p w14:paraId="00EAD8F7" w14:textId="51E4F754" w:rsidR="00AB1232" w:rsidRDefault="00AB1232" w:rsidP="00AB1232">
      <w:pPr>
        <w:pStyle w:val="ListParagraph"/>
        <w:spacing w:line="480" w:lineRule="auto"/>
        <w:ind w:left="360"/>
        <w:rPr>
          <w:sz w:val="24"/>
        </w:rPr>
      </w:pPr>
    </w:p>
    <w:p w14:paraId="53B5B6A7" w14:textId="77777777" w:rsidR="008C5FF9" w:rsidRDefault="008C5FF9" w:rsidP="00AB1232">
      <w:pPr>
        <w:pStyle w:val="ListParagraph"/>
        <w:spacing w:line="480" w:lineRule="auto"/>
        <w:ind w:left="360"/>
        <w:rPr>
          <w:sz w:val="24"/>
        </w:rPr>
      </w:pPr>
    </w:p>
    <w:p w14:paraId="29F779FC" w14:textId="4C6FADAD" w:rsidR="00887B67" w:rsidRPr="00204618" w:rsidRDefault="00887B67" w:rsidP="00204618">
      <w:pPr>
        <w:rPr>
          <w:sz w:val="24"/>
        </w:rPr>
      </w:pPr>
    </w:p>
    <w:sectPr w:rsidR="00887B67" w:rsidRPr="00204618">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DB8D3" w14:textId="77777777" w:rsidR="00824880" w:rsidRDefault="00824880">
      <w:pPr>
        <w:spacing w:after="0" w:line="240" w:lineRule="auto"/>
      </w:pPr>
      <w:r>
        <w:separator/>
      </w:r>
    </w:p>
  </w:endnote>
  <w:endnote w:type="continuationSeparator" w:id="0">
    <w:p w14:paraId="033D58A9" w14:textId="77777777" w:rsidR="00824880" w:rsidRDefault="00824880">
      <w:pPr>
        <w:spacing w:after="0" w:line="240" w:lineRule="auto"/>
      </w:pPr>
      <w:r>
        <w:continuationSeparator/>
      </w:r>
    </w:p>
  </w:endnote>
  <w:endnote w:type="continuationNotice" w:id="1">
    <w:p w14:paraId="17BFDCD0" w14:textId="77777777" w:rsidR="00824880" w:rsidRDefault="008248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80398"/>
      <w:docPartObj>
        <w:docPartGallery w:val="Page Numbers (Bottom of Page)"/>
        <w:docPartUnique/>
      </w:docPartObj>
    </w:sdtPr>
    <w:sdtEndPr>
      <w:rPr>
        <w:noProof/>
      </w:rPr>
    </w:sdtEndPr>
    <w:sdtContent>
      <w:p w14:paraId="7DBD53A7" w14:textId="56A3AA4E" w:rsidR="006F1462" w:rsidRPr="00606019" w:rsidRDefault="006F1462">
        <w:pPr>
          <w:pStyle w:val="Footer"/>
          <w:jc w:val="center"/>
        </w:pPr>
        <w:r w:rsidRPr="00606019">
          <w:fldChar w:fldCharType="begin"/>
        </w:r>
        <w:r w:rsidRPr="00606019">
          <w:instrText xml:space="preserve"> PAGE   \* MERGEFORMAT </w:instrText>
        </w:r>
        <w:r w:rsidRPr="00606019">
          <w:fldChar w:fldCharType="separate"/>
        </w:r>
        <w:r w:rsidR="008E51B5">
          <w:rPr>
            <w:noProof/>
          </w:rPr>
          <w:t>21</w:t>
        </w:r>
        <w:r w:rsidRPr="00606019">
          <w:rPr>
            <w:noProof/>
          </w:rPr>
          <w:fldChar w:fldCharType="end"/>
        </w:r>
      </w:p>
    </w:sdtContent>
  </w:sdt>
  <w:p w14:paraId="633F16F1" w14:textId="77777777" w:rsidR="006F1462" w:rsidRDefault="006F14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9979849"/>
      <w:docPartObj>
        <w:docPartGallery w:val="Page Numbers (Bottom of Page)"/>
        <w:docPartUnique/>
      </w:docPartObj>
    </w:sdtPr>
    <w:sdtEndPr>
      <w:rPr>
        <w:noProof/>
      </w:rPr>
    </w:sdtEndPr>
    <w:sdtContent>
      <w:p w14:paraId="3DB2533E" w14:textId="77777777" w:rsidR="006F1462" w:rsidRDefault="006F1462">
        <w:pPr>
          <w:pStyle w:val="Footer"/>
          <w:jc w:val="center"/>
        </w:pPr>
      </w:p>
      <w:p w14:paraId="16DE3574" w14:textId="4A83CF3E" w:rsidR="006F1462" w:rsidRDefault="008E51B5">
        <w:pPr>
          <w:pStyle w:val="Footer"/>
          <w:jc w:val="center"/>
        </w:pPr>
      </w:p>
    </w:sdtContent>
  </w:sdt>
  <w:p w14:paraId="65B560E1" w14:textId="77777777" w:rsidR="006F1462" w:rsidRDefault="006F14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559444"/>
      <w:docPartObj>
        <w:docPartGallery w:val="Page Numbers (Bottom of Page)"/>
        <w:docPartUnique/>
      </w:docPartObj>
    </w:sdtPr>
    <w:sdtEndPr>
      <w:rPr>
        <w:noProof/>
      </w:rPr>
    </w:sdtEndPr>
    <w:sdtContent>
      <w:p w14:paraId="63B7A2FF" w14:textId="4992EA91" w:rsidR="006F1462" w:rsidRDefault="006F1462">
        <w:pPr>
          <w:pStyle w:val="Footer"/>
          <w:jc w:val="center"/>
        </w:pPr>
        <w:r>
          <w:fldChar w:fldCharType="begin"/>
        </w:r>
        <w:r>
          <w:instrText xml:space="preserve"> PAGE   \* MERGEFORMAT </w:instrText>
        </w:r>
        <w:r>
          <w:fldChar w:fldCharType="separate"/>
        </w:r>
        <w:r w:rsidR="008E51B5">
          <w:rPr>
            <w:noProof/>
          </w:rPr>
          <w:t>67</w:t>
        </w:r>
        <w:r>
          <w:rPr>
            <w:noProof/>
          </w:rPr>
          <w:fldChar w:fldCharType="end"/>
        </w:r>
      </w:p>
    </w:sdtContent>
  </w:sdt>
  <w:p w14:paraId="16F50561" w14:textId="77777777" w:rsidR="006F1462" w:rsidRDefault="006F14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305781"/>
      <w:docPartObj>
        <w:docPartGallery w:val="Page Numbers (Bottom of Page)"/>
        <w:docPartUnique/>
      </w:docPartObj>
    </w:sdtPr>
    <w:sdtEndPr>
      <w:rPr>
        <w:noProof/>
      </w:rPr>
    </w:sdtEndPr>
    <w:sdtContent>
      <w:p w14:paraId="68A7F2D3" w14:textId="359683CD" w:rsidR="006F1462" w:rsidRDefault="008E51B5">
        <w:pPr>
          <w:pStyle w:val="Footer"/>
          <w:jc w:val="center"/>
        </w:pPr>
      </w:p>
    </w:sdtContent>
  </w:sdt>
  <w:p w14:paraId="0E1B7FF1" w14:textId="77777777" w:rsidR="006F1462" w:rsidRDefault="006F14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698531"/>
      <w:docPartObj>
        <w:docPartGallery w:val="Page Numbers (Bottom of Page)"/>
        <w:docPartUnique/>
      </w:docPartObj>
    </w:sdtPr>
    <w:sdtEndPr>
      <w:rPr>
        <w:noProof/>
      </w:rPr>
    </w:sdtEndPr>
    <w:sdtContent>
      <w:p w14:paraId="12AD9FA3" w14:textId="29895D70" w:rsidR="006F1462" w:rsidRDefault="006F1462">
        <w:pPr>
          <w:pStyle w:val="Footer"/>
          <w:jc w:val="center"/>
        </w:pPr>
        <w:r>
          <w:fldChar w:fldCharType="begin"/>
        </w:r>
        <w:r>
          <w:instrText xml:space="preserve"> PAGE   \* MERGEFORMAT </w:instrText>
        </w:r>
        <w:r>
          <w:fldChar w:fldCharType="separate"/>
        </w:r>
        <w:r w:rsidR="008E51B5">
          <w:rPr>
            <w:noProof/>
          </w:rPr>
          <w:t>119</w:t>
        </w:r>
        <w:r>
          <w:rPr>
            <w:noProof/>
          </w:rPr>
          <w:fldChar w:fldCharType="end"/>
        </w:r>
      </w:p>
    </w:sdtContent>
  </w:sdt>
  <w:p w14:paraId="29D1F094" w14:textId="77777777" w:rsidR="006F1462" w:rsidRDefault="006F1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3743F" w14:textId="77777777" w:rsidR="00824880" w:rsidRDefault="00824880">
      <w:pPr>
        <w:spacing w:after="0" w:line="240" w:lineRule="auto"/>
      </w:pPr>
      <w:r>
        <w:separator/>
      </w:r>
    </w:p>
  </w:footnote>
  <w:footnote w:type="continuationSeparator" w:id="0">
    <w:p w14:paraId="565C12F4" w14:textId="77777777" w:rsidR="00824880" w:rsidRDefault="00824880">
      <w:pPr>
        <w:spacing w:after="0" w:line="240" w:lineRule="auto"/>
      </w:pPr>
      <w:r>
        <w:continuationSeparator/>
      </w:r>
    </w:p>
  </w:footnote>
  <w:footnote w:type="continuationNotice" w:id="1">
    <w:p w14:paraId="0917D0B4" w14:textId="77777777" w:rsidR="00824880" w:rsidRDefault="008248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E2E2E" w14:textId="77777777" w:rsidR="006F1462" w:rsidRDefault="006F14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1376A" w14:textId="77777777" w:rsidR="006F1462" w:rsidRDefault="006F14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6AD3"/>
    <w:multiLevelType w:val="hybridMultilevel"/>
    <w:tmpl w:val="7D082B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593C3C"/>
    <w:multiLevelType w:val="multilevel"/>
    <w:tmpl w:val="0726B9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D136CE"/>
    <w:multiLevelType w:val="multilevel"/>
    <w:tmpl w:val="5D3E9F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843F02"/>
    <w:multiLevelType w:val="hybridMultilevel"/>
    <w:tmpl w:val="D91E0702"/>
    <w:lvl w:ilvl="0" w:tplc="525AA6AC">
      <w:start w:val="1"/>
      <w:numFmt w:val="bullet"/>
      <w:lvlText w:val="•"/>
      <w:lvlJc w:val="left"/>
      <w:pPr>
        <w:ind w:left="36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1" w:tplc="94AE6C24">
      <w:start w:val="1"/>
      <w:numFmt w:val="bullet"/>
      <w:lvlText w:val="o"/>
      <w:lvlJc w:val="left"/>
      <w:pPr>
        <w:ind w:left="126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2" w:tplc="1B76CC90">
      <w:start w:val="1"/>
      <w:numFmt w:val="bullet"/>
      <w:lvlText w:val="▪"/>
      <w:lvlJc w:val="left"/>
      <w:pPr>
        <w:ind w:left="198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3" w:tplc="4EC8CE26">
      <w:start w:val="1"/>
      <w:numFmt w:val="bullet"/>
      <w:lvlText w:val="•"/>
      <w:lvlJc w:val="left"/>
      <w:pPr>
        <w:ind w:left="270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4" w:tplc="3BC09D3E">
      <w:start w:val="1"/>
      <w:numFmt w:val="bullet"/>
      <w:lvlText w:val="o"/>
      <w:lvlJc w:val="left"/>
      <w:pPr>
        <w:ind w:left="342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5" w:tplc="E196E782">
      <w:start w:val="1"/>
      <w:numFmt w:val="bullet"/>
      <w:lvlText w:val="▪"/>
      <w:lvlJc w:val="left"/>
      <w:pPr>
        <w:ind w:left="414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6" w:tplc="1A105AD0">
      <w:start w:val="1"/>
      <w:numFmt w:val="bullet"/>
      <w:lvlText w:val="•"/>
      <w:lvlJc w:val="left"/>
      <w:pPr>
        <w:ind w:left="486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7" w:tplc="70D86E5C">
      <w:start w:val="1"/>
      <w:numFmt w:val="bullet"/>
      <w:lvlText w:val="o"/>
      <w:lvlJc w:val="left"/>
      <w:pPr>
        <w:ind w:left="558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8" w:tplc="5D364AFE">
      <w:start w:val="1"/>
      <w:numFmt w:val="bullet"/>
      <w:lvlText w:val="▪"/>
      <w:lvlJc w:val="left"/>
      <w:pPr>
        <w:ind w:left="630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abstractNum>
  <w:abstractNum w:abstractNumId="4" w15:restartNumberingAfterBreak="0">
    <w:nsid w:val="1D2B2BA9"/>
    <w:multiLevelType w:val="hybridMultilevel"/>
    <w:tmpl w:val="6722F486"/>
    <w:lvl w:ilvl="0" w:tplc="5BC4FD54">
      <w:start w:val="1"/>
      <w:numFmt w:val="bullet"/>
      <w:lvlText w:val="•"/>
      <w:lvlJc w:val="left"/>
      <w:pPr>
        <w:ind w:left="36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1" w:tplc="4394F0C6">
      <w:start w:val="1"/>
      <w:numFmt w:val="bullet"/>
      <w:lvlText w:val="o"/>
      <w:lvlJc w:val="left"/>
      <w:pPr>
        <w:ind w:left="126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2" w:tplc="5C0CC152">
      <w:start w:val="1"/>
      <w:numFmt w:val="bullet"/>
      <w:lvlText w:val="▪"/>
      <w:lvlJc w:val="left"/>
      <w:pPr>
        <w:ind w:left="198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3" w:tplc="D9DC696E">
      <w:start w:val="1"/>
      <w:numFmt w:val="bullet"/>
      <w:lvlText w:val="•"/>
      <w:lvlJc w:val="left"/>
      <w:pPr>
        <w:ind w:left="270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4" w:tplc="383CCB9C">
      <w:start w:val="1"/>
      <w:numFmt w:val="bullet"/>
      <w:lvlText w:val="o"/>
      <w:lvlJc w:val="left"/>
      <w:pPr>
        <w:ind w:left="342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5" w:tplc="C8D40F1E">
      <w:start w:val="1"/>
      <w:numFmt w:val="bullet"/>
      <w:lvlText w:val="▪"/>
      <w:lvlJc w:val="left"/>
      <w:pPr>
        <w:ind w:left="414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6" w:tplc="4A8C2A16">
      <w:start w:val="1"/>
      <w:numFmt w:val="bullet"/>
      <w:lvlText w:val="•"/>
      <w:lvlJc w:val="left"/>
      <w:pPr>
        <w:ind w:left="486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7" w:tplc="E9C82F58">
      <w:start w:val="1"/>
      <w:numFmt w:val="bullet"/>
      <w:lvlText w:val="o"/>
      <w:lvlJc w:val="left"/>
      <w:pPr>
        <w:ind w:left="558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8" w:tplc="BA5CFEF6">
      <w:start w:val="1"/>
      <w:numFmt w:val="bullet"/>
      <w:lvlText w:val="▪"/>
      <w:lvlJc w:val="left"/>
      <w:pPr>
        <w:ind w:left="630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abstractNum>
  <w:abstractNum w:abstractNumId="5" w15:restartNumberingAfterBreak="0">
    <w:nsid w:val="1E0D1CFE"/>
    <w:multiLevelType w:val="multilevel"/>
    <w:tmpl w:val="F9E8F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9C50CE"/>
    <w:multiLevelType w:val="hybridMultilevel"/>
    <w:tmpl w:val="6C5ED36C"/>
    <w:lvl w:ilvl="0" w:tplc="59CED0FA">
      <w:start w:val="1"/>
      <w:numFmt w:val="bullet"/>
      <w:lvlText w:val="•"/>
      <w:lvlJc w:val="left"/>
      <w:pPr>
        <w:ind w:left="36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1" w:tplc="85D477E2">
      <w:start w:val="1"/>
      <w:numFmt w:val="bullet"/>
      <w:lvlText w:val="o"/>
      <w:lvlJc w:val="left"/>
      <w:pPr>
        <w:ind w:left="126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2" w:tplc="9D100B60">
      <w:start w:val="1"/>
      <w:numFmt w:val="bullet"/>
      <w:lvlText w:val="▪"/>
      <w:lvlJc w:val="left"/>
      <w:pPr>
        <w:ind w:left="198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3" w:tplc="A4863728">
      <w:start w:val="1"/>
      <w:numFmt w:val="bullet"/>
      <w:lvlText w:val="•"/>
      <w:lvlJc w:val="left"/>
      <w:pPr>
        <w:ind w:left="270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4" w:tplc="59EC4516">
      <w:start w:val="1"/>
      <w:numFmt w:val="bullet"/>
      <w:lvlText w:val="o"/>
      <w:lvlJc w:val="left"/>
      <w:pPr>
        <w:ind w:left="342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5" w:tplc="ADF062D4">
      <w:start w:val="1"/>
      <w:numFmt w:val="bullet"/>
      <w:lvlText w:val="▪"/>
      <w:lvlJc w:val="left"/>
      <w:pPr>
        <w:ind w:left="414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6" w:tplc="B2BEA848">
      <w:start w:val="1"/>
      <w:numFmt w:val="bullet"/>
      <w:lvlText w:val="•"/>
      <w:lvlJc w:val="left"/>
      <w:pPr>
        <w:ind w:left="486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7" w:tplc="53AAF428">
      <w:start w:val="1"/>
      <w:numFmt w:val="bullet"/>
      <w:lvlText w:val="o"/>
      <w:lvlJc w:val="left"/>
      <w:pPr>
        <w:ind w:left="558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8" w:tplc="4D645216">
      <w:start w:val="1"/>
      <w:numFmt w:val="bullet"/>
      <w:lvlText w:val="▪"/>
      <w:lvlJc w:val="left"/>
      <w:pPr>
        <w:ind w:left="630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abstractNum>
  <w:abstractNum w:abstractNumId="7" w15:restartNumberingAfterBreak="0">
    <w:nsid w:val="428935F5"/>
    <w:multiLevelType w:val="multilevel"/>
    <w:tmpl w:val="762CE810"/>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72A5A44"/>
    <w:multiLevelType w:val="multilevel"/>
    <w:tmpl w:val="56685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D15C1E"/>
    <w:multiLevelType w:val="multilevel"/>
    <w:tmpl w:val="5D3E9F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C9E1E4F"/>
    <w:multiLevelType w:val="multilevel"/>
    <w:tmpl w:val="E5E4F2C8"/>
    <w:lvl w:ilvl="0">
      <w:start w:val="1"/>
      <w:numFmt w:val="decimal"/>
      <w:lvlText w:val="%1"/>
      <w:lvlJc w:val="left"/>
      <w:pPr>
        <w:ind w:left="720" w:hanging="720"/>
      </w:pPr>
      <w:rPr>
        <w:rFonts w:hint="default"/>
      </w:rPr>
    </w:lvl>
    <w:lvl w:ilvl="1">
      <w:start w:val="1"/>
      <w:numFmt w:val="decimal"/>
      <w:lvlText w:val="%2"/>
      <w:lvlJc w:val="left"/>
      <w:pPr>
        <w:ind w:left="720" w:hanging="720"/>
      </w:pPr>
      <w:rPr>
        <w:rFonts w:asciiTheme="minorHAnsi" w:eastAsiaTheme="minorHAnsi" w:hAnsiTheme="minorHAnsi" w:cstheme="minorBidi"/>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5B676D"/>
    <w:multiLevelType w:val="hybridMultilevel"/>
    <w:tmpl w:val="3A04FB56"/>
    <w:lvl w:ilvl="0" w:tplc="D2C08FDC">
      <w:start w:val="1"/>
      <w:numFmt w:val="bullet"/>
      <w:lvlText w:val="•"/>
      <w:lvlJc w:val="left"/>
      <w:pPr>
        <w:ind w:left="2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74A20AB2">
      <w:start w:val="1"/>
      <w:numFmt w:val="bullet"/>
      <w:lvlText w:val="o"/>
      <w:lvlJc w:val="left"/>
      <w:pPr>
        <w:ind w:left="118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987EC880">
      <w:start w:val="1"/>
      <w:numFmt w:val="bullet"/>
      <w:lvlText w:val="▪"/>
      <w:lvlJc w:val="left"/>
      <w:pPr>
        <w:ind w:left="190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63C27BC2">
      <w:start w:val="1"/>
      <w:numFmt w:val="bullet"/>
      <w:lvlText w:val="•"/>
      <w:lvlJc w:val="left"/>
      <w:pPr>
        <w:ind w:left="262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5220F0DA">
      <w:start w:val="1"/>
      <w:numFmt w:val="bullet"/>
      <w:lvlText w:val="o"/>
      <w:lvlJc w:val="left"/>
      <w:pPr>
        <w:ind w:left="334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7A28EC36">
      <w:start w:val="1"/>
      <w:numFmt w:val="bullet"/>
      <w:lvlText w:val="▪"/>
      <w:lvlJc w:val="left"/>
      <w:pPr>
        <w:ind w:left="406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87DA3022">
      <w:start w:val="1"/>
      <w:numFmt w:val="bullet"/>
      <w:lvlText w:val="•"/>
      <w:lvlJc w:val="left"/>
      <w:pPr>
        <w:ind w:left="478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0C8CDCA4">
      <w:start w:val="1"/>
      <w:numFmt w:val="bullet"/>
      <w:lvlText w:val="o"/>
      <w:lvlJc w:val="left"/>
      <w:pPr>
        <w:ind w:left="550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20CA43EC">
      <w:start w:val="1"/>
      <w:numFmt w:val="bullet"/>
      <w:lvlText w:val="▪"/>
      <w:lvlJc w:val="left"/>
      <w:pPr>
        <w:ind w:left="622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2" w15:restartNumberingAfterBreak="0">
    <w:nsid w:val="50FF7AB8"/>
    <w:multiLevelType w:val="hybridMultilevel"/>
    <w:tmpl w:val="19B6A8E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359411D"/>
    <w:multiLevelType w:val="hybridMultilevel"/>
    <w:tmpl w:val="AC6C1C22"/>
    <w:lvl w:ilvl="0" w:tplc="B71C54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674E74"/>
    <w:multiLevelType w:val="hybridMultilevel"/>
    <w:tmpl w:val="14321F2E"/>
    <w:lvl w:ilvl="0" w:tplc="AC3AE2FC">
      <w:start w:val="1"/>
      <w:numFmt w:val="bullet"/>
      <w:lvlText w:val="•"/>
      <w:lvlJc w:val="left"/>
      <w:pPr>
        <w:ind w:left="36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1" w:tplc="8A5EDA52">
      <w:start w:val="1"/>
      <w:numFmt w:val="bullet"/>
      <w:lvlText w:val="o"/>
      <w:lvlJc w:val="left"/>
      <w:pPr>
        <w:ind w:left="126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2" w:tplc="1812A9EC">
      <w:start w:val="1"/>
      <w:numFmt w:val="bullet"/>
      <w:lvlText w:val="▪"/>
      <w:lvlJc w:val="left"/>
      <w:pPr>
        <w:ind w:left="198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3" w:tplc="57B8B058">
      <w:start w:val="1"/>
      <w:numFmt w:val="bullet"/>
      <w:lvlText w:val="•"/>
      <w:lvlJc w:val="left"/>
      <w:pPr>
        <w:ind w:left="270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4" w:tplc="BA4226E2">
      <w:start w:val="1"/>
      <w:numFmt w:val="bullet"/>
      <w:lvlText w:val="o"/>
      <w:lvlJc w:val="left"/>
      <w:pPr>
        <w:ind w:left="342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5" w:tplc="33A0D2E6">
      <w:start w:val="1"/>
      <w:numFmt w:val="bullet"/>
      <w:lvlText w:val="▪"/>
      <w:lvlJc w:val="left"/>
      <w:pPr>
        <w:ind w:left="414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6" w:tplc="81228EC8">
      <w:start w:val="1"/>
      <w:numFmt w:val="bullet"/>
      <w:lvlText w:val="•"/>
      <w:lvlJc w:val="left"/>
      <w:pPr>
        <w:ind w:left="486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7" w:tplc="0ADC0822">
      <w:start w:val="1"/>
      <w:numFmt w:val="bullet"/>
      <w:lvlText w:val="o"/>
      <w:lvlJc w:val="left"/>
      <w:pPr>
        <w:ind w:left="558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lvl w:ilvl="8" w:tplc="65FC0656">
      <w:start w:val="1"/>
      <w:numFmt w:val="bullet"/>
      <w:lvlText w:val="▪"/>
      <w:lvlJc w:val="left"/>
      <w:pPr>
        <w:ind w:left="6300"/>
      </w:pPr>
      <w:rPr>
        <w:rFonts w:ascii="Arial" w:eastAsia="Arial" w:hAnsi="Arial" w:cs="Arial"/>
        <w:b w:val="0"/>
        <w:i w:val="0"/>
        <w:strike w:val="0"/>
        <w:dstrike w:val="0"/>
        <w:color w:val="DB6832"/>
        <w:sz w:val="18"/>
        <w:szCs w:val="18"/>
        <w:u w:val="none" w:color="000000"/>
        <w:bdr w:val="none" w:sz="0" w:space="0" w:color="auto"/>
        <w:shd w:val="clear" w:color="auto" w:fill="auto"/>
        <w:vertAlign w:val="baseline"/>
      </w:rPr>
    </w:lvl>
  </w:abstractNum>
  <w:abstractNum w:abstractNumId="15" w15:restartNumberingAfterBreak="0">
    <w:nsid w:val="549B7A52"/>
    <w:multiLevelType w:val="multilevel"/>
    <w:tmpl w:val="E4D8ED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D16DA"/>
    <w:multiLevelType w:val="hybridMultilevel"/>
    <w:tmpl w:val="C3205204"/>
    <w:lvl w:ilvl="0" w:tplc="98F211A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0B6026"/>
    <w:multiLevelType w:val="multilevel"/>
    <w:tmpl w:val="CE00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1B56AB"/>
    <w:multiLevelType w:val="hybridMultilevel"/>
    <w:tmpl w:val="887ECE0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8B25CF"/>
    <w:multiLevelType w:val="multilevel"/>
    <w:tmpl w:val="728C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E66C0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299270D"/>
    <w:multiLevelType w:val="multilevel"/>
    <w:tmpl w:val="CB949C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274BA6"/>
    <w:multiLevelType w:val="multilevel"/>
    <w:tmpl w:val="C18811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9"/>
  </w:num>
  <w:num w:numId="3">
    <w:abstractNumId w:val="20"/>
  </w:num>
  <w:num w:numId="4">
    <w:abstractNumId w:val="10"/>
  </w:num>
  <w:num w:numId="5">
    <w:abstractNumId w:val="18"/>
  </w:num>
  <w:num w:numId="6">
    <w:abstractNumId w:val="12"/>
  </w:num>
  <w:num w:numId="7">
    <w:abstractNumId w:val="22"/>
  </w:num>
  <w:num w:numId="8">
    <w:abstractNumId w:val="1"/>
  </w:num>
  <w:num w:numId="9">
    <w:abstractNumId w:val="0"/>
  </w:num>
  <w:num w:numId="10">
    <w:abstractNumId w:val="2"/>
  </w:num>
  <w:num w:numId="11">
    <w:abstractNumId w:val="15"/>
  </w:num>
  <w:num w:numId="12">
    <w:abstractNumId w:val="7"/>
  </w:num>
  <w:num w:numId="13">
    <w:abstractNumId w:val="13"/>
  </w:num>
  <w:num w:numId="14">
    <w:abstractNumId w:val="8"/>
  </w:num>
  <w:num w:numId="15">
    <w:abstractNumId w:val="19"/>
  </w:num>
  <w:num w:numId="16">
    <w:abstractNumId w:val="21"/>
  </w:num>
  <w:num w:numId="17">
    <w:abstractNumId w:val="17"/>
  </w:num>
  <w:num w:numId="18">
    <w:abstractNumId w:val="5"/>
  </w:num>
  <w:num w:numId="19">
    <w:abstractNumId w:val="3"/>
  </w:num>
  <w:num w:numId="20">
    <w:abstractNumId w:val="6"/>
  </w:num>
  <w:num w:numId="21">
    <w:abstractNumId w:val="4"/>
  </w:num>
  <w:num w:numId="22">
    <w:abstractNumId w:val="1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BBB"/>
    <w:rsid w:val="00000D4C"/>
    <w:rsid w:val="00001F64"/>
    <w:rsid w:val="00002C75"/>
    <w:rsid w:val="00003B69"/>
    <w:rsid w:val="0000661A"/>
    <w:rsid w:val="000076D6"/>
    <w:rsid w:val="0000791B"/>
    <w:rsid w:val="00010714"/>
    <w:rsid w:val="00015264"/>
    <w:rsid w:val="00016444"/>
    <w:rsid w:val="00022A5C"/>
    <w:rsid w:val="00023AA1"/>
    <w:rsid w:val="000242B1"/>
    <w:rsid w:val="00024764"/>
    <w:rsid w:val="00024EEE"/>
    <w:rsid w:val="0003605E"/>
    <w:rsid w:val="00037653"/>
    <w:rsid w:val="00041488"/>
    <w:rsid w:val="00042BC7"/>
    <w:rsid w:val="000449F9"/>
    <w:rsid w:val="00044ABA"/>
    <w:rsid w:val="000467AC"/>
    <w:rsid w:val="00046871"/>
    <w:rsid w:val="0005033D"/>
    <w:rsid w:val="00051255"/>
    <w:rsid w:val="000520A5"/>
    <w:rsid w:val="000527EC"/>
    <w:rsid w:val="0005525D"/>
    <w:rsid w:val="00055898"/>
    <w:rsid w:val="00062535"/>
    <w:rsid w:val="00062883"/>
    <w:rsid w:val="0006370D"/>
    <w:rsid w:val="00063BCA"/>
    <w:rsid w:val="00064DB8"/>
    <w:rsid w:val="00066906"/>
    <w:rsid w:val="00066B1F"/>
    <w:rsid w:val="00070190"/>
    <w:rsid w:val="00070902"/>
    <w:rsid w:val="00072304"/>
    <w:rsid w:val="00072858"/>
    <w:rsid w:val="0007295D"/>
    <w:rsid w:val="0007298F"/>
    <w:rsid w:val="0007314F"/>
    <w:rsid w:val="000735FA"/>
    <w:rsid w:val="00073AB8"/>
    <w:rsid w:val="00075807"/>
    <w:rsid w:val="00077945"/>
    <w:rsid w:val="00082C2D"/>
    <w:rsid w:val="000838AF"/>
    <w:rsid w:val="00084F1F"/>
    <w:rsid w:val="000850E7"/>
    <w:rsid w:val="00085F02"/>
    <w:rsid w:val="000900F6"/>
    <w:rsid w:val="00090777"/>
    <w:rsid w:val="000948BF"/>
    <w:rsid w:val="00096A9F"/>
    <w:rsid w:val="00096B38"/>
    <w:rsid w:val="00096B50"/>
    <w:rsid w:val="000972E5"/>
    <w:rsid w:val="000A0FAF"/>
    <w:rsid w:val="000A1887"/>
    <w:rsid w:val="000A20DF"/>
    <w:rsid w:val="000A2F6E"/>
    <w:rsid w:val="000A6534"/>
    <w:rsid w:val="000B0F18"/>
    <w:rsid w:val="000B10B6"/>
    <w:rsid w:val="000B1D91"/>
    <w:rsid w:val="000B1E92"/>
    <w:rsid w:val="000B40FE"/>
    <w:rsid w:val="000B45E8"/>
    <w:rsid w:val="000B660F"/>
    <w:rsid w:val="000B77AC"/>
    <w:rsid w:val="000C2592"/>
    <w:rsid w:val="000C3026"/>
    <w:rsid w:val="000C3407"/>
    <w:rsid w:val="000D1402"/>
    <w:rsid w:val="000D1D55"/>
    <w:rsid w:val="000D207B"/>
    <w:rsid w:val="000D4DFF"/>
    <w:rsid w:val="000D4E1E"/>
    <w:rsid w:val="000D5333"/>
    <w:rsid w:val="000D6440"/>
    <w:rsid w:val="000D7145"/>
    <w:rsid w:val="000E09B1"/>
    <w:rsid w:val="000E40A9"/>
    <w:rsid w:val="000E4D1E"/>
    <w:rsid w:val="000E4EB2"/>
    <w:rsid w:val="000E5057"/>
    <w:rsid w:val="000E5AFB"/>
    <w:rsid w:val="000E7C97"/>
    <w:rsid w:val="000F038E"/>
    <w:rsid w:val="000F3214"/>
    <w:rsid w:val="000F59A1"/>
    <w:rsid w:val="000F62E1"/>
    <w:rsid w:val="000F7DDC"/>
    <w:rsid w:val="001002FC"/>
    <w:rsid w:val="001009AE"/>
    <w:rsid w:val="00101E85"/>
    <w:rsid w:val="0010636F"/>
    <w:rsid w:val="0010717B"/>
    <w:rsid w:val="001130D4"/>
    <w:rsid w:val="00113523"/>
    <w:rsid w:val="00113926"/>
    <w:rsid w:val="00114004"/>
    <w:rsid w:val="00114A33"/>
    <w:rsid w:val="00115952"/>
    <w:rsid w:val="001166CF"/>
    <w:rsid w:val="00116CE2"/>
    <w:rsid w:val="00117DD6"/>
    <w:rsid w:val="0012145E"/>
    <w:rsid w:val="00121688"/>
    <w:rsid w:val="00121EF5"/>
    <w:rsid w:val="00125E33"/>
    <w:rsid w:val="00125EC5"/>
    <w:rsid w:val="001261D9"/>
    <w:rsid w:val="001267FD"/>
    <w:rsid w:val="00130F3E"/>
    <w:rsid w:val="001319EA"/>
    <w:rsid w:val="001345A8"/>
    <w:rsid w:val="00135075"/>
    <w:rsid w:val="001352ED"/>
    <w:rsid w:val="0013567F"/>
    <w:rsid w:val="00135998"/>
    <w:rsid w:val="0013609F"/>
    <w:rsid w:val="00137826"/>
    <w:rsid w:val="00142FE4"/>
    <w:rsid w:val="00146B19"/>
    <w:rsid w:val="00147D81"/>
    <w:rsid w:val="00153E43"/>
    <w:rsid w:val="00154B49"/>
    <w:rsid w:val="00155549"/>
    <w:rsid w:val="001565AA"/>
    <w:rsid w:val="00157ACB"/>
    <w:rsid w:val="00157C25"/>
    <w:rsid w:val="00157D27"/>
    <w:rsid w:val="001606A8"/>
    <w:rsid w:val="00161FDC"/>
    <w:rsid w:val="00162965"/>
    <w:rsid w:val="00164ABA"/>
    <w:rsid w:val="001662A8"/>
    <w:rsid w:val="00166730"/>
    <w:rsid w:val="00167132"/>
    <w:rsid w:val="00167AD8"/>
    <w:rsid w:val="001728B8"/>
    <w:rsid w:val="001748FA"/>
    <w:rsid w:val="00175EAE"/>
    <w:rsid w:val="00176F92"/>
    <w:rsid w:val="00177B0A"/>
    <w:rsid w:val="001806BA"/>
    <w:rsid w:val="00181D75"/>
    <w:rsid w:val="00182422"/>
    <w:rsid w:val="001843C7"/>
    <w:rsid w:val="00184C8A"/>
    <w:rsid w:val="00186BE6"/>
    <w:rsid w:val="00190852"/>
    <w:rsid w:val="00190D6A"/>
    <w:rsid w:val="00190F57"/>
    <w:rsid w:val="00191BCC"/>
    <w:rsid w:val="00191CF6"/>
    <w:rsid w:val="001938F3"/>
    <w:rsid w:val="001954EA"/>
    <w:rsid w:val="00195955"/>
    <w:rsid w:val="00196D79"/>
    <w:rsid w:val="00197664"/>
    <w:rsid w:val="00197D48"/>
    <w:rsid w:val="001A2A01"/>
    <w:rsid w:val="001A3DC0"/>
    <w:rsid w:val="001A49F4"/>
    <w:rsid w:val="001A6491"/>
    <w:rsid w:val="001A6943"/>
    <w:rsid w:val="001A7C09"/>
    <w:rsid w:val="001B0289"/>
    <w:rsid w:val="001B0C66"/>
    <w:rsid w:val="001B2123"/>
    <w:rsid w:val="001B231E"/>
    <w:rsid w:val="001B5B6D"/>
    <w:rsid w:val="001B636D"/>
    <w:rsid w:val="001B79B5"/>
    <w:rsid w:val="001C2E02"/>
    <w:rsid w:val="001C5DCF"/>
    <w:rsid w:val="001D2E4A"/>
    <w:rsid w:val="001D4EC6"/>
    <w:rsid w:val="001D5646"/>
    <w:rsid w:val="001D61BA"/>
    <w:rsid w:val="001E0395"/>
    <w:rsid w:val="001E1015"/>
    <w:rsid w:val="001E18E0"/>
    <w:rsid w:val="001E1BE7"/>
    <w:rsid w:val="001E240B"/>
    <w:rsid w:val="001E365A"/>
    <w:rsid w:val="001E5567"/>
    <w:rsid w:val="001E5AF5"/>
    <w:rsid w:val="001F03BC"/>
    <w:rsid w:val="001F0924"/>
    <w:rsid w:val="001F26CC"/>
    <w:rsid w:val="001F2D1E"/>
    <w:rsid w:val="001F3BE7"/>
    <w:rsid w:val="001F42EC"/>
    <w:rsid w:val="001F4B65"/>
    <w:rsid w:val="001F7056"/>
    <w:rsid w:val="001F70C5"/>
    <w:rsid w:val="001F75DF"/>
    <w:rsid w:val="00200347"/>
    <w:rsid w:val="002015D1"/>
    <w:rsid w:val="00203756"/>
    <w:rsid w:val="002042CE"/>
    <w:rsid w:val="00204618"/>
    <w:rsid w:val="002061D6"/>
    <w:rsid w:val="00207E0A"/>
    <w:rsid w:val="00210D18"/>
    <w:rsid w:val="0021128C"/>
    <w:rsid w:val="0021263B"/>
    <w:rsid w:val="0021290A"/>
    <w:rsid w:val="0021488D"/>
    <w:rsid w:val="00217062"/>
    <w:rsid w:val="0022145D"/>
    <w:rsid w:val="0022182A"/>
    <w:rsid w:val="00221854"/>
    <w:rsid w:val="00223097"/>
    <w:rsid w:val="00225C37"/>
    <w:rsid w:val="00227B88"/>
    <w:rsid w:val="002318BE"/>
    <w:rsid w:val="00231C6A"/>
    <w:rsid w:val="00234327"/>
    <w:rsid w:val="00235F23"/>
    <w:rsid w:val="002369B7"/>
    <w:rsid w:val="0024246C"/>
    <w:rsid w:val="002460B8"/>
    <w:rsid w:val="00250D5F"/>
    <w:rsid w:val="00253436"/>
    <w:rsid w:val="002537ED"/>
    <w:rsid w:val="00253E01"/>
    <w:rsid w:val="002542E7"/>
    <w:rsid w:val="00255251"/>
    <w:rsid w:val="00255504"/>
    <w:rsid w:val="00256A17"/>
    <w:rsid w:val="00256B11"/>
    <w:rsid w:val="00257088"/>
    <w:rsid w:val="00264590"/>
    <w:rsid w:val="00264BD7"/>
    <w:rsid w:val="0026572F"/>
    <w:rsid w:val="002666D0"/>
    <w:rsid w:val="00266D0D"/>
    <w:rsid w:val="00266FA0"/>
    <w:rsid w:val="00267993"/>
    <w:rsid w:val="0027183A"/>
    <w:rsid w:val="002725D8"/>
    <w:rsid w:val="00273238"/>
    <w:rsid w:val="0027335E"/>
    <w:rsid w:val="0027418E"/>
    <w:rsid w:val="00274801"/>
    <w:rsid w:val="00276A60"/>
    <w:rsid w:val="002778B0"/>
    <w:rsid w:val="002802AF"/>
    <w:rsid w:val="002832D4"/>
    <w:rsid w:val="00290BAE"/>
    <w:rsid w:val="0029157A"/>
    <w:rsid w:val="002958CD"/>
    <w:rsid w:val="00296B67"/>
    <w:rsid w:val="00297197"/>
    <w:rsid w:val="002A045A"/>
    <w:rsid w:val="002A1CD3"/>
    <w:rsid w:val="002A21AE"/>
    <w:rsid w:val="002A3E5E"/>
    <w:rsid w:val="002A56EB"/>
    <w:rsid w:val="002B0DA6"/>
    <w:rsid w:val="002B2550"/>
    <w:rsid w:val="002B46BB"/>
    <w:rsid w:val="002B58D3"/>
    <w:rsid w:val="002B5ECB"/>
    <w:rsid w:val="002B787B"/>
    <w:rsid w:val="002C0819"/>
    <w:rsid w:val="002C1C15"/>
    <w:rsid w:val="002C38D2"/>
    <w:rsid w:val="002C3C1D"/>
    <w:rsid w:val="002C4B9E"/>
    <w:rsid w:val="002D0427"/>
    <w:rsid w:val="002D1CD3"/>
    <w:rsid w:val="002D2239"/>
    <w:rsid w:val="002D36DB"/>
    <w:rsid w:val="002D3E44"/>
    <w:rsid w:val="002D5652"/>
    <w:rsid w:val="002D6F7D"/>
    <w:rsid w:val="002D74BD"/>
    <w:rsid w:val="002D78B0"/>
    <w:rsid w:val="002E02A7"/>
    <w:rsid w:val="002E0751"/>
    <w:rsid w:val="002E2ABB"/>
    <w:rsid w:val="002E3184"/>
    <w:rsid w:val="002E49EF"/>
    <w:rsid w:val="002E591E"/>
    <w:rsid w:val="002E7E4B"/>
    <w:rsid w:val="002F05BF"/>
    <w:rsid w:val="002F20A6"/>
    <w:rsid w:val="002F3D29"/>
    <w:rsid w:val="002F441D"/>
    <w:rsid w:val="002F45A6"/>
    <w:rsid w:val="002F6F99"/>
    <w:rsid w:val="00301B60"/>
    <w:rsid w:val="00303198"/>
    <w:rsid w:val="00303952"/>
    <w:rsid w:val="003047F9"/>
    <w:rsid w:val="00305CF2"/>
    <w:rsid w:val="00307AE9"/>
    <w:rsid w:val="0031342C"/>
    <w:rsid w:val="00313434"/>
    <w:rsid w:val="00313FC4"/>
    <w:rsid w:val="003145C3"/>
    <w:rsid w:val="00316FDE"/>
    <w:rsid w:val="00323289"/>
    <w:rsid w:val="0032337E"/>
    <w:rsid w:val="00326303"/>
    <w:rsid w:val="003276E1"/>
    <w:rsid w:val="00330268"/>
    <w:rsid w:val="0033258C"/>
    <w:rsid w:val="0033447E"/>
    <w:rsid w:val="00334ECA"/>
    <w:rsid w:val="00336BCD"/>
    <w:rsid w:val="00342535"/>
    <w:rsid w:val="00342F96"/>
    <w:rsid w:val="0034397F"/>
    <w:rsid w:val="00343CCF"/>
    <w:rsid w:val="00343FF9"/>
    <w:rsid w:val="00351380"/>
    <w:rsid w:val="0035389E"/>
    <w:rsid w:val="0035508C"/>
    <w:rsid w:val="00355BC1"/>
    <w:rsid w:val="0035702B"/>
    <w:rsid w:val="00357ED3"/>
    <w:rsid w:val="00361545"/>
    <w:rsid w:val="00361A04"/>
    <w:rsid w:val="00362D5E"/>
    <w:rsid w:val="003634FD"/>
    <w:rsid w:val="0036454D"/>
    <w:rsid w:val="00364B83"/>
    <w:rsid w:val="00365B60"/>
    <w:rsid w:val="00367058"/>
    <w:rsid w:val="003707CC"/>
    <w:rsid w:val="00372B7A"/>
    <w:rsid w:val="003738BB"/>
    <w:rsid w:val="00373AF9"/>
    <w:rsid w:val="0037451E"/>
    <w:rsid w:val="00377284"/>
    <w:rsid w:val="00377F89"/>
    <w:rsid w:val="003822A7"/>
    <w:rsid w:val="00384130"/>
    <w:rsid w:val="003843CC"/>
    <w:rsid w:val="0038759D"/>
    <w:rsid w:val="00387606"/>
    <w:rsid w:val="00392BED"/>
    <w:rsid w:val="00394B4F"/>
    <w:rsid w:val="00394DA0"/>
    <w:rsid w:val="003952FB"/>
    <w:rsid w:val="00396B45"/>
    <w:rsid w:val="00397674"/>
    <w:rsid w:val="00397D2C"/>
    <w:rsid w:val="00397F82"/>
    <w:rsid w:val="003A1346"/>
    <w:rsid w:val="003A44D3"/>
    <w:rsid w:val="003A4B72"/>
    <w:rsid w:val="003A63A8"/>
    <w:rsid w:val="003B003B"/>
    <w:rsid w:val="003B2A6C"/>
    <w:rsid w:val="003B7689"/>
    <w:rsid w:val="003C0314"/>
    <w:rsid w:val="003C09AE"/>
    <w:rsid w:val="003C2717"/>
    <w:rsid w:val="003C5AC5"/>
    <w:rsid w:val="003D20B1"/>
    <w:rsid w:val="003D4419"/>
    <w:rsid w:val="003D4831"/>
    <w:rsid w:val="003D61A6"/>
    <w:rsid w:val="003D6893"/>
    <w:rsid w:val="003D7659"/>
    <w:rsid w:val="003E1321"/>
    <w:rsid w:val="003E2B04"/>
    <w:rsid w:val="003E45D1"/>
    <w:rsid w:val="003E7BA1"/>
    <w:rsid w:val="003F0E95"/>
    <w:rsid w:val="003F1697"/>
    <w:rsid w:val="003F556D"/>
    <w:rsid w:val="003F608C"/>
    <w:rsid w:val="003F7821"/>
    <w:rsid w:val="003F7839"/>
    <w:rsid w:val="0040064D"/>
    <w:rsid w:val="00401047"/>
    <w:rsid w:val="00401136"/>
    <w:rsid w:val="00401554"/>
    <w:rsid w:val="00401CFD"/>
    <w:rsid w:val="004079DE"/>
    <w:rsid w:val="00407A1E"/>
    <w:rsid w:val="00410187"/>
    <w:rsid w:val="004114D2"/>
    <w:rsid w:val="004117B2"/>
    <w:rsid w:val="00414BA3"/>
    <w:rsid w:val="00415705"/>
    <w:rsid w:val="004157F6"/>
    <w:rsid w:val="00416217"/>
    <w:rsid w:val="0041662F"/>
    <w:rsid w:val="0042003A"/>
    <w:rsid w:val="00422FDD"/>
    <w:rsid w:val="004244C3"/>
    <w:rsid w:val="00424E02"/>
    <w:rsid w:val="004250AE"/>
    <w:rsid w:val="00426381"/>
    <w:rsid w:val="00426681"/>
    <w:rsid w:val="00427451"/>
    <w:rsid w:val="00431FC6"/>
    <w:rsid w:val="0043243B"/>
    <w:rsid w:val="004338B5"/>
    <w:rsid w:val="00433D3E"/>
    <w:rsid w:val="00435B88"/>
    <w:rsid w:val="00442363"/>
    <w:rsid w:val="00447BD3"/>
    <w:rsid w:val="0045168A"/>
    <w:rsid w:val="004517B3"/>
    <w:rsid w:val="00452A2F"/>
    <w:rsid w:val="00455EE2"/>
    <w:rsid w:val="004567C1"/>
    <w:rsid w:val="00457498"/>
    <w:rsid w:val="004575CA"/>
    <w:rsid w:val="00462AFC"/>
    <w:rsid w:val="00463624"/>
    <w:rsid w:val="00465CE9"/>
    <w:rsid w:val="0046771E"/>
    <w:rsid w:val="00470E2D"/>
    <w:rsid w:val="004727AA"/>
    <w:rsid w:val="00472FC1"/>
    <w:rsid w:val="00474989"/>
    <w:rsid w:val="004764D2"/>
    <w:rsid w:val="00476EEC"/>
    <w:rsid w:val="00477A16"/>
    <w:rsid w:val="00480323"/>
    <w:rsid w:val="00482C2A"/>
    <w:rsid w:val="00484522"/>
    <w:rsid w:val="00484C35"/>
    <w:rsid w:val="0048638B"/>
    <w:rsid w:val="004868DE"/>
    <w:rsid w:val="0049117F"/>
    <w:rsid w:val="00492C0C"/>
    <w:rsid w:val="00492DD2"/>
    <w:rsid w:val="0049322E"/>
    <w:rsid w:val="004954A0"/>
    <w:rsid w:val="0049638F"/>
    <w:rsid w:val="0049738A"/>
    <w:rsid w:val="00497545"/>
    <w:rsid w:val="00497DCB"/>
    <w:rsid w:val="004A032B"/>
    <w:rsid w:val="004A0AF1"/>
    <w:rsid w:val="004A1482"/>
    <w:rsid w:val="004A576B"/>
    <w:rsid w:val="004A6BCA"/>
    <w:rsid w:val="004A6E4D"/>
    <w:rsid w:val="004A707D"/>
    <w:rsid w:val="004A7A17"/>
    <w:rsid w:val="004A7A71"/>
    <w:rsid w:val="004B56D7"/>
    <w:rsid w:val="004B67D5"/>
    <w:rsid w:val="004B7579"/>
    <w:rsid w:val="004C12E8"/>
    <w:rsid w:val="004C475A"/>
    <w:rsid w:val="004C575B"/>
    <w:rsid w:val="004C5EBC"/>
    <w:rsid w:val="004C668A"/>
    <w:rsid w:val="004C7E25"/>
    <w:rsid w:val="004D32E3"/>
    <w:rsid w:val="004D33AA"/>
    <w:rsid w:val="004D344A"/>
    <w:rsid w:val="004D3B0B"/>
    <w:rsid w:val="004D3B73"/>
    <w:rsid w:val="004D761E"/>
    <w:rsid w:val="004E2EA3"/>
    <w:rsid w:val="004E3095"/>
    <w:rsid w:val="004E3987"/>
    <w:rsid w:val="004E45D0"/>
    <w:rsid w:val="004E5F48"/>
    <w:rsid w:val="004E5FC6"/>
    <w:rsid w:val="004F0FB9"/>
    <w:rsid w:val="004F1553"/>
    <w:rsid w:val="004F21B7"/>
    <w:rsid w:val="004F2779"/>
    <w:rsid w:val="004F4D1E"/>
    <w:rsid w:val="004F5BEB"/>
    <w:rsid w:val="004F6763"/>
    <w:rsid w:val="0050254D"/>
    <w:rsid w:val="00502A49"/>
    <w:rsid w:val="0050575A"/>
    <w:rsid w:val="00505F69"/>
    <w:rsid w:val="0050636F"/>
    <w:rsid w:val="0050776A"/>
    <w:rsid w:val="0051097B"/>
    <w:rsid w:val="0051167C"/>
    <w:rsid w:val="00511823"/>
    <w:rsid w:val="0051373C"/>
    <w:rsid w:val="00513943"/>
    <w:rsid w:val="005146A6"/>
    <w:rsid w:val="00516517"/>
    <w:rsid w:val="00522517"/>
    <w:rsid w:val="00525934"/>
    <w:rsid w:val="005267A5"/>
    <w:rsid w:val="005308CC"/>
    <w:rsid w:val="005318A7"/>
    <w:rsid w:val="00531D37"/>
    <w:rsid w:val="00532A97"/>
    <w:rsid w:val="0053440B"/>
    <w:rsid w:val="005349F6"/>
    <w:rsid w:val="005354ED"/>
    <w:rsid w:val="00536063"/>
    <w:rsid w:val="0053648B"/>
    <w:rsid w:val="00536CF6"/>
    <w:rsid w:val="00537A66"/>
    <w:rsid w:val="00537B2F"/>
    <w:rsid w:val="00541BF3"/>
    <w:rsid w:val="0054233F"/>
    <w:rsid w:val="0054257B"/>
    <w:rsid w:val="005429DB"/>
    <w:rsid w:val="00543084"/>
    <w:rsid w:val="005433CB"/>
    <w:rsid w:val="00543B42"/>
    <w:rsid w:val="0054566D"/>
    <w:rsid w:val="0054575C"/>
    <w:rsid w:val="00545AE1"/>
    <w:rsid w:val="00547C5E"/>
    <w:rsid w:val="0055324C"/>
    <w:rsid w:val="0055385A"/>
    <w:rsid w:val="005546F5"/>
    <w:rsid w:val="00556058"/>
    <w:rsid w:val="005563C9"/>
    <w:rsid w:val="005565B6"/>
    <w:rsid w:val="00556DDA"/>
    <w:rsid w:val="005572D6"/>
    <w:rsid w:val="005575DB"/>
    <w:rsid w:val="00560C38"/>
    <w:rsid w:val="00563F65"/>
    <w:rsid w:val="00563FBB"/>
    <w:rsid w:val="005655C5"/>
    <w:rsid w:val="005668E2"/>
    <w:rsid w:val="00567E62"/>
    <w:rsid w:val="0057178B"/>
    <w:rsid w:val="00575B1F"/>
    <w:rsid w:val="005768B1"/>
    <w:rsid w:val="00576E52"/>
    <w:rsid w:val="005805CA"/>
    <w:rsid w:val="00580E60"/>
    <w:rsid w:val="00582AA8"/>
    <w:rsid w:val="00584176"/>
    <w:rsid w:val="0058478C"/>
    <w:rsid w:val="0058789A"/>
    <w:rsid w:val="00587ECF"/>
    <w:rsid w:val="005904E4"/>
    <w:rsid w:val="0059422C"/>
    <w:rsid w:val="005950DD"/>
    <w:rsid w:val="005961C4"/>
    <w:rsid w:val="0059679B"/>
    <w:rsid w:val="005A19D7"/>
    <w:rsid w:val="005A3E41"/>
    <w:rsid w:val="005A5320"/>
    <w:rsid w:val="005A6ACF"/>
    <w:rsid w:val="005B1C71"/>
    <w:rsid w:val="005B36A5"/>
    <w:rsid w:val="005B37C3"/>
    <w:rsid w:val="005B3CB7"/>
    <w:rsid w:val="005B7C68"/>
    <w:rsid w:val="005C1FB0"/>
    <w:rsid w:val="005C20D0"/>
    <w:rsid w:val="005C24A3"/>
    <w:rsid w:val="005C4C58"/>
    <w:rsid w:val="005C589A"/>
    <w:rsid w:val="005C67BB"/>
    <w:rsid w:val="005C7050"/>
    <w:rsid w:val="005C754B"/>
    <w:rsid w:val="005C779A"/>
    <w:rsid w:val="005D0BCE"/>
    <w:rsid w:val="005D270A"/>
    <w:rsid w:val="005D2B0C"/>
    <w:rsid w:val="005D40F5"/>
    <w:rsid w:val="005E0C0E"/>
    <w:rsid w:val="005E10A6"/>
    <w:rsid w:val="005E1336"/>
    <w:rsid w:val="005E1CFB"/>
    <w:rsid w:val="005E207B"/>
    <w:rsid w:val="005E22DD"/>
    <w:rsid w:val="005E5922"/>
    <w:rsid w:val="005E74BC"/>
    <w:rsid w:val="005E7A24"/>
    <w:rsid w:val="005F0129"/>
    <w:rsid w:val="005F3B98"/>
    <w:rsid w:val="005F4743"/>
    <w:rsid w:val="005F661B"/>
    <w:rsid w:val="00601C19"/>
    <w:rsid w:val="00602214"/>
    <w:rsid w:val="00603892"/>
    <w:rsid w:val="00604714"/>
    <w:rsid w:val="0060535E"/>
    <w:rsid w:val="00605D0F"/>
    <w:rsid w:val="00606019"/>
    <w:rsid w:val="00606AAC"/>
    <w:rsid w:val="006077E6"/>
    <w:rsid w:val="0061084A"/>
    <w:rsid w:val="00613C79"/>
    <w:rsid w:val="00614FCB"/>
    <w:rsid w:val="006153D5"/>
    <w:rsid w:val="00616D67"/>
    <w:rsid w:val="00617753"/>
    <w:rsid w:val="0062385B"/>
    <w:rsid w:val="00626A5B"/>
    <w:rsid w:val="00630E07"/>
    <w:rsid w:val="0063174F"/>
    <w:rsid w:val="0063630F"/>
    <w:rsid w:val="00636383"/>
    <w:rsid w:val="00637619"/>
    <w:rsid w:val="006401CA"/>
    <w:rsid w:val="00640AF8"/>
    <w:rsid w:val="0064547A"/>
    <w:rsid w:val="00646115"/>
    <w:rsid w:val="00646819"/>
    <w:rsid w:val="00646B52"/>
    <w:rsid w:val="00646F25"/>
    <w:rsid w:val="00653BD4"/>
    <w:rsid w:val="00653BEE"/>
    <w:rsid w:val="00654947"/>
    <w:rsid w:val="00655136"/>
    <w:rsid w:val="00660D8D"/>
    <w:rsid w:val="006641CF"/>
    <w:rsid w:val="00665045"/>
    <w:rsid w:val="0066505E"/>
    <w:rsid w:val="006662A9"/>
    <w:rsid w:val="00667582"/>
    <w:rsid w:val="00676BD1"/>
    <w:rsid w:val="0068334C"/>
    <w:rsid w:val="00683504"/>
    <w:rsid w:val="006842BC"/>
    <w:rsid w:val="00687F76"/>
    <w:rsid w:val="00690ACA"/>
    <w:rsid w:val="006925FF"/>
    <w:rsid w:val="00692634"/>
    <w:rsid w:val="00692FB3"/>
    <w:rsid w:val="00693379"/>
    <w:rsid w:val="00695221"/>
    <w:rsid w:val="006952A2"/>
    <w:rsid w:val="00695FA3"/>
    <w:rsid w:val="00696116"/>
    <w:rsid w:val="0069641B"/>
    <w:rsid w:val="00696994"/>
    <w:rsid w:val="00696BEB"/>
    <w:rsid w:val="006A36B9"/>
    <w:rsid w:val="006A4F6F"/>
    <w:rsid w:val="006B1942"/>
    <w:rsid w:val="006B3717"/>
    <w:rsid w:val="006B3A5B"/>
    <w:rsid w:val="006B5F79"/>
    <w:rsid w:val="006C09C8"/>
    <w:rsid w:val="006C0F99"/>
    <w:rsid w:val="006C3FEB"/>
    <w:rsid w:val="006C4619"/>
    <w:rsid w:val="006C4E05"/>
    <w:rsid w:val="006C5904"/>
    <w:rsid w:val="006D0069"/>
    <w:rsid w:val="006D1A02"/>
    <w:rsid w:val="006D1EEF"/>
    <w:rsid w:val="006D3F73"/>
    <w:rsid w:val="006D42D8"/>
    <w:rsid w:val="006D7144"/>
    <w:rsid w:val="006D74F5"/>
    <w:rsid w:val="006E26CE"/>
    <w:rsid w:val="006E46B5"/>
    <w:rsid w:val="006E5B2B"/>
    <w:rsid w:val="006E77F6"/>
    <w:rsid w:val="006E798C"/>
    <w:rsid w:val="006F1462"/>
    <w:rsid w:val="006F2D8D"/>
    <w:rsid w:val="006F7001"/>
    <w:rsid w:val="00701A41"/>
    <w:rsid w:val="00701EFE"/>
    <w:rsid w:val="00702B95"/>
    <w:rsid w:val="0070361D"/>
    <w:rsid w:val="00703ECE"/>
    <w:rsid w:val="00704651"/>
    <w:rsid w:val="00705F17"/>
    <w:rsid w:val="007102CE"/>
    <w:rsid w:val="00712459"/>
    <w:rsid w:val="00712BE4"/>
    <w:rsid w:val="00713449"/>
    <w:rsid w:val="00713F5D"/>
    <w:rsid w:val="00714C22"/>
    <w:rsid w:val="007177C7"/>
    <w:rsid w:val="0071794D"/>
    <w:rsid w:val="0072027C"/>
    <w:rsid w:val="0072102B"/>
    <w:rsid w:val="00721226"/>
    <w:rsid w:val="00723262"/>
    <w:rsid w:val="007236B7"/>
    <w:rsid w:val="00724042"/>
    <w:rsid w:val="00725A29"/>
    <w:rsid w:val="007312FB"/>
    <w:rsid w:val="0073196C"/>
    <w:rsid w:val="007321DE"/>
    <w:rsid w:val="00733844"/>
    <w:rsid w:val="00734745"/>
    <w:rsid w:val="0073772F"/>
    <w:rsid w:val="00743EF0"/>
    <w:rsid w:val="00744B7F"/>
    <w:rsid w:val="007505C6"/>
    <w:rsid w:val="007530DA"/>
    <w:rsid w:val="0076165F"/>
    <w:rsid w:val="00763153"/>
    <w:rsid w:val="0076360E"/>
    <w:rsid w:val="00763756"/>
    <w:rsid w:val="00765724"/>
    <w:rsid w:val="00767A68"/>
    <w:rsid w:val="00770C4F"/>
    <w:rsid w:val="00770F60"/>
    <w:rsid w:val="0077113B"/>
    <w:rsid w:val="00773363"/>
    <w:rsid w:val="00773528"/>
    <w:rsid w:val="00773D98"/>
    <w:rsid w:val="00773F5A"/>
    <w:rsid w:val="00776147"/>
    <w:rsid w:val="0077690C"/>
    <w:rsid w:val="00780048"/>
    <w:rsid w:val="00780FAD"/>
    <w:rsid w:val="007835E4"/>
    <w:rsid w:val="00783970"/>
    <w:rsid w:val="00784E2D"/>
    <w:rsid w:val="00787252"/>
    <w:rsid w:val="007873C1"/>
    <w:rsid w:val="007903F2"/>
    <w:rsid w:val="00792111"/>
    <w:rsid w:val="00792FE3"/>
    <w:rsid w:val="007932CC"/>
    <w:rsid w:val="00793669"/>
    <w:rsid w:val="007A0FEA"/>
    <w:rsid w:val="007A3EF3"/>
    <w:rsid w:val="007A5698"/>
    <w:rsid w:val="007A575B"/>
    <w:rsid w:val="007A7AA4"/>
    <w:rsid w:val="007B2E8C"/>
    <w:rsid w:val="007B5E42"/>
    <w:rsid w:val="007B6045"/>
    <w:rsid w:val="007B70EF"/>
    <w:rsid w:val="007C0ED7"/>
    <w:rsid w:val="007C173A"/>
    <w:rsid w:val="007C1B97"/>
    <w:rsid w:val="007C2F47"/>
    <w:rsid w:val="007C3F18"/>
    <w:rsid w:val="007C3F9C"/>
    <w:rsid w:val="007C409B"/>
    <w:rsid w:val="007C41CB"/>
    <w:rsid w:val="007C4F95"/>
    <w:rsid w:val="007C51C2"/>
    <w:rsid w:val="007C742F"/>
    <w:rsid w:val="007D1026"/>
    <w:rsid w:val="007D17A4"/>
    <w:rsid w:val="007D18D2"/>
    <w:rsid w:val="007D1AB4"/>
    <w:rsid w:val="007D226A"/>
    <w:rsid w:val="007D4BA3"/>
    <w:rsid w:val="007D5851"/>
    <w:rsid w:val="007D755F"/>
    <w:rsid w:val="007E4C09"/>
    <w:rsid w:val="007E4FFD"/>
    <w:rsid w:val="007E5580"/>
    <w:rsid w:val="007E6DBB"/>
    <w:rsid w:val="007E6DE9"/>
    <w:rsid w:val="007E7428"/>
    <w:rsid w:val="007E7EE0"/>
    <w:rsid w:val="007E7F14"/>
    <w:rsid w:val="007F0F4A"/>
    <w:rsid w:val="007F1D88"/>
    <w:rsid w:val="007F2A59"/>
    <w:rsid w:val="007F42C5"/>
    <w:rsid w:val="007F5B00"/>
    <w:rsid w:val="007F5E5F"/>
    <w:rsid w:val="007F7301"/>
    <w:rsid w:val="007F7A90"/>
    <w:rsid w:val="0080080C"/>
    <w:rsid w:val="0080124D"/>
    <w:rsid w:val="008024CA"/>
    <w:rsid w:val="00802954"/>
    <w:rsid w:val="00803B57"/>
    <w:rsid w:val="00804CDF"/>
    <w:rsid w:val="00807410"/>
    <w:rsid w:val="00810FA1"/>
    <w:rsid w:val="00812B95"/>
    <w:rsid w:val="00815DCB"/>
    <w:rsid w:val="008173C1"/>
    <w:rsid w:val="008173D1"/>
    <w:rsid w:val="00820F18"/>
    <w:rsid w:val="00821402"/>
    <w:rsid w:val="00821B0E"/>
    <w:rsid w:val="00822B4F"/>
    <w:rsid w:val="00822BC7"/>
    <w:rsid w:val="00823DC6"/>
    <w:rsid w:val="00824880"/>
    <w:rsid w:val="00826F61"/>
    <w:rsid w:val="008309CB"/>
    <w:rsid w:val="00831110"/>
    <w:rsid w:val="00833C5F"/>
    <w:rsid w:val="008354ED"/>
    <w:rsid w:val="008403CE"/>
    <w:rsid w:val="00840879"/>
    <w:rsid w:val="00840AFA"/>
    <w:rsid w:val="00841703"/>
    <w:rsid w:val="00843B41"/>
    <w:rsid w:val="00843E4E"/>
    <w:rsid w:val="008503EC"/>
    <w:rsid w:val="00850E22"/>
    <w:rsid w:val="00853EDD"/>
    <w:rsid w:val="008567CD"/>
    <w:rsid w:val="008611F4"/>
    <w:rsid w:val="008612F4"/>
    <w:rsid w:val="00862563"/>
    <w:rsid w:val="00862CB7"/>
    <w:rsid w:val="0086314C"/>
    <w:rsid w:val="0086457E"/>
    <w:rsid w:val="00864A44"/>
    <w:rsid w:val="00864DC2"/>
    <w:rsid w:val="008650DC"/>
    <w:rsid w:val="008666EF"/>
    <w:rsid w:val="00867421"/>
    <w:rsid w:val="008675A3"/>
    <w:rsid w:val="0087091C"/>
    <w:rsid w:val="00871E33"/>
    <w:rsid w:val="0087654D"/>
    <w:rsid w:val="00876B8F"/>
    <w:rsid w:val="00876D0D"/>
    <w:rsid w:val="00877D3B"/>
    <w:rsid w:val="00880C42"/>
    <w:rsid w:val="00881C6F"/>
    <w:rsid w:val="00884CB0"/>
    <w:rsid w:val="00884F90"/>
    <w:rsid w:val="0088585C"/>
    <w:rsid w:val="00887B67"/>
    <w:rsid w:val="00890A4B"/>
    <w:rsid w:val="00891B4C"/>
    <w:rsid w:val="00893EC3"/>
    <w:rsid w:val="008945A2"/>
    <w:rsid w:val="008946F6"/>
    <w:rsid w:val="00895949"/>
    <w:rsid w:val="00895AB7"/>
    <w:rsid w:val="00895FE0"/>
    <w:rsid w:val="008966A7"/>
    <w:rsid w:val="00896F73"/>
    <w:rsid w:val="008A2BA0"/>
    <w:rsid w:val="008A4CF2"/>
    <w:rsid w:val="008A6A48"/>
    <w:rsid w:val="008A6F8A"/>
    <w:rsid w:val="008A7E89"/>
    <w:rsid w:val="008B2B75"/>
    <w:rsid w:val="008B3D13"/>
    <w:rsid w:val="008B5548"/>
    <w:rsid w:val="008C0677"/>
    <w:rsid w:val="008C128B"/>
    <w:rsid w:val="008C1C11"/>
    <w:rsid w:val="008C34EA"/>
    <w:rsid w:val="008C408F"/>
    <w:rsid w:val="008C5FF9"/>
    <w:rsid w:val="008C6E40"/>
    <w:rsid w:val="008C7941"/>
    <w:rsid w:val="008C7B88"/>
    <w:rsid w:val="008D0934"/>
    <w:rsid w:val="008D1BFE"/>
    <w:rsid w:val="008D4B4E"/>
    <w:rsid w:val="008D4F53"/>
    <w:rsid w:val="008D591E"/>
    <w:rsid w:val="008D5D51"/>
    <w:rsid w:val="008D70BE"/>
    <w:rsid w:val="008E2922"/>
    <w:rsid w:val="008E29CC"/>
    <w:rsid w:val="008E3E5C"/>
    <w:rsid w:val="008E51B5"/>
    <w:rsid w:val="008E57E1"/>
    <w:rsid w:val="008E69D4"/>
    <w:rsid w:val="008E6F86"/>
    <w:rsid w:val="008E77C1"/>
    <w:rsid w:val="008F0267"/>
    <w:rsid w:val="008F07B2"/>
    <w:rsid w:val="008F6BA9"/>
    <w:rsid w:val="00900033"/>
    <w:rsid w:val="00901730"/>
    <w:rsid w:val="0090180A"/>
    <w:rsid w:val="009044FF"/>
    <w:rsid w:val="0090697C"/>
    <w:rsid w:val="00906DBA"/>
    <w:rsid w:val="00907B9C"/>
    <w:rsid w:val="00910173"/>
    <w:rsid w:val="00910288"/>
    <w:rsid w:val="00910BAE"/>
    <w:rsid w:val="009138B2"/>
    <w:rsid w:val="00915057"/>
    <w:rsid w:val="00921B46"/>
    <w:rsid w:val="00922277"/>
    <w:rsid w:val="0092290D"/>
    <w:rsid w:val="0092501C"/>
    <w:rsid w:val="00926641"/>
    <w:rsid w:val="00926D0B"/>
    <w:rsid w:val="00927449"/>
    <w:rsid w:val="009316D0"/>
    <w:rsid w:val="009355E2"/>
    <w:rsid w:val="00935EB3"/>
    <w:rsid w:val="0093633F"/>
    <w:rsid w:val="00936506"/>
    <w:rsid w:val="00936595"/>
    <w:rsid w:val="00937434"/>
    <w:rsid w:val="00940284"/>
    <w:rsid w:val="009410E9"/>
    <w:rsid w:val="00941B26"/>
    <w:rsid w:val="00941E76"/>
    <w:rsid w:val="009431BB"/>
    <w:rsid w:val="00943918"/>
    <w:rsid w:val="00944AA0"/>
    <w:rsid w:val="00944DC7"/>
    <w:rsid w:val="009459D1"/>
    <w:rsid w:val="00946BF4"/>
    <w:rsid w:val="009473BB"/>
    <w:rsid w:val="00947F9A"/>
    <w:rsid w:val="00950BCD"/>
    <w:rsid w:val="00950BED"/>
    <w:rsid w:val="00951B65"/>
    <w:rsid w:val="009532FA"/>
    <w:rsid w:val="0095445B"/>
    <w:rsid w:val="00955598"/>
    <w:rsid w:val="00956353"/>
    <w:rsid w:val="009567DE"/>
    <w:rsid w:val="00956A56"/>
    <w:rsid w:val="00956BE1"/>
    <w:rsid w:val="00957172"/>
    <w:rsid w:val="00957592"/>
    <w:rsid w:val="00957D21"/>
    <w:rsid w:val="00957E1F"/>
    <w:rsid w:val="0096099C"/>
    <w:rsid w:val="0096138F"/>
    <w:rsid w:val="00962E36"/>
    <w:rsid w:val="0096402A"/>
    <w:rsid w:val="00964AE4"/>
    <w:rsid w:val="009655A4"/>
    <w:rsid w:val="009666EB"/>
    <w:rsid w:val="009710BE"/>
    <w:rsid w:val="00971FA0"/>
    <w:rsid w:val="00973C4C"/>
    <w:rsid w:val="00974AF6"/>
    <w:rsid w:val="0097719E"/>
    <w:rsid w:val="00977A47"/>
    <w:rsid w:val="009836E5"/>
    <w:rsid w:val="00985CB4"/>
    <w:rsid w:val="00990896"/>
    <w:rsid w:val="0099344F"/>
    <w:rsid w:val="0099719A"/>
    <w:rsid w:val="009A0519"/>
    <w:rsid w:val="009A181C"/>
    <w:rsid w:val="009A5622"/>
    <w:rsid w:val="009A5A71"/>
    <w:rsid w:val="009B3D98"/>
    <w:rsid w:val="009C40FE"/>
    <w:rsid w:val="009D1AED"/>
    <w:rsid w:val="009D473C"/>
    <w:rsid w:val="009D5904"/>
    <w:rsid w:val="009D5F52"/>
    <w:rsid w:val="009D62D2"/>
    <w:rsid w:val="009D6DD7"/>
    <w:rsid w:val="009D7789"/>
    <w:rsid w:val="009D7AC6"/>
    <w:rsid w:val="009E06E4"/>
    <w:rsid w:val="009E323E"/>
    <w:rsid w:val="009E3C36"/>
    <w:rsid w:val="009E5A4C"/>
    <w:rsid w:val="009E5BA9"/>
    <w:rsid w:val="009E6C33"/>
    <w:rsid w:val="009E77FA"/>
    <w:rsid w:val="009E7A6D"/>
    <w:rsid w:val="009F2045"/>
    <w:rsid w:val="009F34B3"/>
    <w:rsid w:val="009F43E5"/>
    <w:rsid w:val="009F67E6"/>
    <w:rsid w:val="009F6D10"/>
    <w:rsid w:val="009F6E4D"/>
    <w:rsid w:val="00A00211"/>
    <w:rsid w:val="00A0065E"/>
    <w:rsid w:val="00A014D2"/>
    <w:rsid w:val="00A035EF"/>
    <w:rsid w:val="00A05B9C"/>
    <w:rsid w:val="00A06414"/>
    <w:rsid w:val="00A07BA6"/>
    <w:rsid w:val="00A10268"/>
    <w:rsid w:val="00A10979"/>
    <w:rsid w:val="00A11F1B"/>
    <w:rsid w:val="00A1201B"/>
    <w:rsid w:val="00A15175"/>
    <w:rsid w:val="00A155B3"/>
    <w:rsid w:val="00A16615"/>
    <w:rsid w:val="00A20041"/>
    <w:rsid w:val="00A21007"/>
    <w:rsid w:val="00A212E5"/>
    <w:rsid w:val="00A22332"/>
    <w:rsid w:val="00A22400"/>
    <w:rsid w:val="00A22679"/>
    <w:rsid w:val="00A2317A"/>
    <w:rsid w:val="00A239F9"/>
    <w:rsid w:val="00A24352"/>
    <w:rsid w:val="00A243EE"/>
    <w:rsid w:val="00A25DA1"/>
    <w:rsid w:val="00A26792"/>
    <w:rsid w:val="00A3085E"/>
    <w:rsid w:val="00A30952"/>
    <w:rsid w:val="00A316C7"/>
    <w:rsid w:val="00A31E0E"/>
    <w:rsid w:val="00A32F25"/>
    <w:rsid w:val="00A342E3"/>
    <w:rsid w:val="00A359E4"/>
    <w:rsid w:val="00A36368"/>
    <w:rsid w:val="00A41230"/>
    <w:rsid w:val="00A41857"/>
    <w:rsid w:val="00A4283E"/>
    <w:rsid w:val="00A43E4A"/>
    <w:rsid w:val="00A45B8C"/>
    <w:rsid w:val="00A46319"/>
    <w:rsid w:val="00A50145"/>
    <w:rsid w:val="00A50A49"/>
    <w:rsid w:val="00A52FFA"/>
    <w:rsid w:val="00A575C2"/>
    <w:rsid w:val="00A60FE0"/>
    <w:rsid w:val="00A61905"/>
    <w:rsid w:val="00A65C83"/>
    <w:rsid w:val="00A663D5"/>
    <w:rsid w:val="00A71416"/>
    <w:rsid w:val="00A73127"/>
    <w:rsid w:val="00A75A16"/>
    <w:rsid w:val="00A77E8A"/>
    <w:rsid w:val="00A77ECC"/>
    <w:rsid w:val="00A81B9D"/>
    <w:rsid w:val="00A82C1D"/>
    <w:rsid w:val="00A831E8"/>
    <w:rsid w:val="00A834E1"/>
    <w:rsid w:val="00A8384A"/>
    <w:rsid w:val="00A8385B"/>
    <w:rsid w:val="00A84035"/>
    <w:rsid w:val="00A8430D"/>
    <w:rsid w:val="00A87202"/>
    <w:rsid w:val="00A90998"/>
    <w:rsid w:val="00A90DC9"/>
    <w:rsid w:val="00A916D3"/>
    <w:rsid w:val="00A92A79"/>
    <w:rsid w:val="00A92E3F"/>
    <w:rsid w:val="00A932DC"/>
    <w:rsid w:val="00A933F7"/>
    <w:rsid w:val="00A93506"/>
    <w:rsid w:val="00A941FF"/>
    <w:rsid w:val="00A94F3E"/>
    <w:rsid w:val="00A95095"/>
    <w:rsid w:val="00A957EB"/>
    <w:rsid w:val="00A97144"/>
    <w:rsid w:val="00AA18B0"/>
    <w:rsid w:val="00AA40A7"/>
    <w:rsid w:val="00AA5993"/>
    <w:rsid w:val="00AB078E"/>
    <w:rsid w:val="00AB1232"/>
    <w:rsid w:val="00AB3DA6"/>
    <w:rsid w:val="00AB5DA5"/>
    <w:rsid w:val="00AB6D1E"/>
    <w:rsid w:val="00AB7BBA"/>
    <w:rsid w:val="00AB7D86"/>
    <w:rsid w:val="00AC04DA"/>
    <w:rsid w:val="00AC305B"/>
    <w:rsid w:val="00AC6C6B"/>
    <w:rsid w:val="00AD46B6"/>
    <w:rsid w:val="00AD4EAE"/>
    <w:rsid w:val="00AD4F46"/>
    <w:rsid w:val="00AD5212"/>
    <w:rsid w:val="00AD7E47"/>
    <w:rsid w:val="00AE0C91"/>
    <w:rsid w:val="00AE0E5E"/>
    <w:rsid w:val="00AE1EDF"/>
    <w:rsid w:val="00AE1FBB"/>
    <w:rsid w:val="00AE27F0"/>
    <w:rsid w:val="00AE38DA"/>
    <w:rsid w:val="00AE459D"/>
    <w:rsid w:val="00AE4AF0"/>
    <w:rsid w:val="00AE5425"/>
    <w:rsid w:val="00AE7650"/>
    <w:rsid w:val="00AE785F"/>
    <w:rsid w:val="00AE7E8B"/>
    <w:rsid w:val="00AF1013"/>
    <w:rsid w:val="00AF1739"/>
    <w:rsid w:val="00AF6030"/>
    <w:rsid w:val="00AF60C2"/>
    <w:rsid w:val="00B01481"/>
    <w:rsid w:val="00B02053"/>
    <w:rsid w:val="00B02E9B"/>
    <w:rsid w:val="00B1044A"/>
    <w:rsid w:val="00B11410"/>
    <w:rsid w:val="00B12EE5"/>
    <w:rsid w:val="00B12F9F"/>
    <w:rsid w:val="00B130F3"/>
    <w:rsid w:val="00B13BBF"/>
    <w:rsid w:val="00B14526"/>
    <w:rsid w:val="00B14AE0"/>
    <w:rsid w:val="00B14E5F"/>
    <w:rsid w:val="00B15582"/>
    <w:rsid w:val="00B15ECF"/>
    <w:rsid w:val="00B16AC1"/>
    <w:rsid w:val="00B21994"/>
    <w:rsid w:val="00B22B26"/>
    <w:rsid w:val="00B2328E"/>
    <w:rsid w:val="00B24C28"/>
    <w:rsid w:val="00B27F04"/>
    <w:rsid w:val="00B33313"/>
    <w:rsid w:val="00B35A82"/>
    <w:rsid w:val="00B35ADA"/>
    <w:rsid w:val="00B36DA9"/>
    <w:rsid w:val="00B41D6F"/>
    <w:rsid w:val="00B42142"/>
    <w:rsid w:val="00B423CE"/>
    <w:rsid w:val="00B43A67"/>
    <w:rsid w:val="00B43DDF"/>
    <w:rsid w:val="00B45997"/>
    <w:rsid w:val="00B476AF"/>
    <w:rsid w:val="00B47C38"/>
    <w:rsid w:val="00B47C70"/>
    <w:rsid w:val="00B47DE7"/>
    <w:rsid w:val="00B50AEB"/>
    <w:rsid w:val="00B5772E"/>
    <w:rsid w:val="00B5799B"/>
    <w:rsid w:val="00B579BB"/>
    <w:rsid w:val="00B60366"/>
    <w:rsid w:val="00B6070C"/>
    <w:rsid w:val="00B60C21"/>
    <w:rsid w:val="00B6219B"/>
    <w:rsid w:val="00B653D9"/>
    <w:rsid w:val="00B74350"/>
    <w:rsid w:val="00B7532E"/>
    <w:rsid w:val="00B77821"/>
    <w:rsid w:val="00B77BBC"/>
    <w:rsid w:val="00B80A5E"/>
    <w:rsid w:val="00B812D4"/>
    <w:rsid w:val="00B82AD4"/>
    <w:rsid w:val="00B82B0B"/>
    <w:rsid w:val="00B82C65"/>
    <w:rsid w:val="00B83B99"/>
    <w:rsid w:val="00B84FE0"/>
    <w:rsid w:val="00B921DF"/>
    <w:rsid w:val="00B93159"/>
    <w:rsid w:val="00B96FDA"/>
    <w:rsid w:val="00B9777E"/>
    <w:rsid w:val="00B97C40"/>
    <w:rsid w:val="00BA190B"/>
    <w:rsid w:val="00BA1BBF"/>
    <w:rsid w:val="00BA3A0D"/>
    <w:rsid w:val="00BA5AD6"/>
    <w:rsid w:val="00BA6187"/>
    <w:rsid w:val="00BA636F"/>
    <w:rsid w:val="00BB05BA"/>
    <w:rsid w:val="00BB081D"/>
    <w:rsid w:val="00BB0861"/>
    <w:rsid w:val="00BB2A65"/>
    <w:rsid w:val="00BB4DE7"/>
    <w:rsid w:val="00BB5A51"/>
    <w:rsid w:val="00BB6519"/>
    <w:rsid w:val="00BB69A1"/>
    <w:rsid w:val="00BB6C44"/>
    <w:rsid w:val="00BB7D8E"/>
    <w:rsid w:val="00BC03F6"/>
    <w:rsid w:val="00BC55AF"/>
    <w:rsid w:val="00BC6D5F"/>
    <w:rsid w:val="00BC7B29"/>
    <w:rsid w:val="00BD126D"/>
    <w:rsid w:val="00BD414A"/>
    <w:rsid w:val="00BE19B6"/>
    <w:rsid w:val="00BE2D13"/>
    <w:rsid w:val="00BE44DE"/>
    <w:rsid w:val="00BE48A4"/>
    <w:rsid w:val="00BE51A9"/>
    <w:rsid w:val="00BE68A9"/>
    <w:rsid w:val="00BE69E0"/>
    <w:rsid w:val="00BE6A14"/>
    <w:rsid w:val="00BE77C0"/>
    <w:rsid w:val="00BF149A"/>
    <w:rsid w:val="00BF2887"/>
    <w:rsid w:val="00BF3AE0"/>
    <w:rsid w:val="00BF49C4"/>
    <w:rsid w:val="00BF4EE5"/>
    <w:rsid w:val="00BF5824"/>
    <w:rsid w:val="00BF64BC"/>
    <w:rsid w:val="00BF7CF5"/>
    <w:rsid w:val="00C03536"/>
    <w:rsid w:val="00C043C8"/>
    <w:rsid w:val="00C05548"/>
    <w:rsid w:val="00C06C0E"/>
    <w:rsid w:val="00C10E52"/>
    <w:rsid w:val="00C13548"/>
    <w:rsid w:val="00C141E9"/>
    <w:rsid w:val="00C1497E"/>
    <w:rsid w:val="00C14A46"/>
    <w:rsid w:val="00C24344"/>
    <w:rsid w:val="00C248AF"/>
    <w:rsid w:val="00C253C9"/>
    <w:rsid w:val="00C25A50"/>
    <w:rsid w:val="00C30297"/>
    <w:rsid w:val="00C31D49"/>
    <w:rsid w:val="00C31F89"/>
    <w:rsid w:val="00C3457F"/>
    <w:rsid w:val="00C41F9C"/>
    <w:rsid w:val="00C42172"/>
    <w:rsid w:val="00C431BF"/>
    <w:rsid w:val="00C443F5"/>
    <w:rsid w:val="00C451E9"/>
    <w:rsid w:val="00C45456"/>
    <w:rsid w:val="00C45EC1"/>
    <w:rsid w:val="00C47226"/>
    <w:rsid w:val="00C476E5"/>
    <w:rsid w:val="00C51BCF"/>
    <w:rsid w:val="00C52531"/>
    <w:rsid w:val="00C52815"/>
    <w:rsid w:val="00C52FA7"/>
    <w:rsid w:val="00C533E2"/>
    <w:rsid w:val="00C536B1"/>
    <w:rsid w:val="00C57D33"/>
    <w:rsid w:val="00C6594B"/>
    <w:rsid w:val="00C742E5"/>
    <w:rsid w:val="00C74A0D"/>
    <w:rsid w:val="00C753B1"/>
    <w:rsid w:val="00C76DD1"/>
    <w:rsid w:val="00C77A27"/>
    <w:rsid w:val="00C80A86"/>
    <w:rsid w:val="00C85904"/>
    <w:rsid w:val="00C90027"/>
    <w:rsid w:val="00C90A48"/>
    <w:rsid w:val="00C9116B"/>
    <w:rsid w:val="00C9143A"/>
    <w:rsid w:val="00C91618"/>
    <w:rsid w:val="00C94019"/>
    <w:rsid w:val="00C94B86"/>
    <w:rsid w:val="00C95B67"/>
    <w:rsid w:val="00C96B22"/>
    <w:rsid w:val="00C9711D"/>
    <w:rsid w:val="00CA01B4"/>
    <w:rsid w:val="00CA0737"/>
    <w:rsid w:val="00CA1156"/>
    <w:rsid w:val="00CA1EF2"/>
    <w:rsid w:val="00CA2972"/>
    <w:rsid w:val="00CA2ED5"/>
    <w:rsid w:val="00CA4ABA"/>
    <w:rsid w:val="00CB1997"/>
    <w:rsid w:val="00CB1F0B"/>
    <w:rsid w:val="00CB217B"/>
    <w:rsid w:val="00CB538E"/>
    <w:rsid w:val="00CB5450"/>
    <w:rsid w:val="00CB6188"/>
    <w:rsid w:val="00CB72A4"/>
    <w:rsid w:val="00CB7518"/>
    <w:rsid w:val="00CB7650"/>
    <w:rsid w:val="00CB77FC"/>
    <w:rsid w:val="00CC035E"/>
    <w:rsid w:val="00CC07BD"/>
    <w:rsid w:val="00CC2291"/>
    <w:rsid w:val="00CC4ADC"/>
    <w:rsid w:val="00CC65AA"/>
    <w:rsid w:val="00CD08C3"/>
    <w:rsid w:val="00CD23B7"/>
    <w:rsid w:val="00CD2458"/>
    <w:rsid w:val="00CD3283"/>
    <w:rsid w:val="00CD593D"/>
    <w:rsid w:val="00CD5E12"/>
    <w:rsid w:val="00CE221D"/>
    <w:rsid w:val="00CE242F"/>
    <w:rsid w:val="00CE2537"/>
    <w:rsid w:val="00CE3963"/>
    <w:rsid w:val="00CE54D9"/>
    <w:rsid w:val="00CE7415"/>
    <w:rsid w:val="00CF19A5"/>
    <w:rsid w:val="00CF3768"/>
    <w:rsid w:val="00CF5965"/>
    <w:rsid w:val="00CF59A1"/>
    <w:rsid w:val="00CF651B"/>
    <w:rsid w:val="00CF76FA"/>
    <w:rsid w:val="00D01FC7"/>
    <w:rsid w:val="00D03C4E"/>
    <w:rsid w:val="00D054B4"/>
    <w:rsid w:val="00D067BF"/>
    <w:rsid w:val="00D07110"/>
    <w:rsid w:val="00D127CB"/>
    <w:rsid w:val="00D1476D"/>
    <w:rsid w:val="00D14C51"/>
    <w:rsid w:val="00D166CA"/>
    <w:rsid w:val="00D16B85"/>
    <w:rsid w:val="00D2139C"/>
    <w:rsid w:val="00D214EE"/>
    <w:rsid w:val="00D21FE5"/>
    <w:rsid w:val="00D22F80"/>
    <w:rsid w:val="00D23D8B"/>
    <w:rsid w:val="00D24BE8"/>
    <w:rsid w:val="00D27AC0"/>
    <w:rsid w:val="00D31D0B"/>
    <w:rsid w:val="00D3462C"/>
    <w:rsid w:val="00D351D4"/>
    <w:rsid w:val="00D35391"/>
    <w:rsid w:val="00D35623"/>
    <w:rsid w:val="00D37B29"/>
    <w:rsid w:val="00D40935"/>
    <w:rsid w:val="00D42A87"/>
    <w:rsid w:val="00D44EA4"/>
    <w:rsid w:val="00D50343"/>
    <w:rsid w:val="00D50B11"/>
    <w:rsid w:val="00D524B1"/>
    <w:rsid w:val="00D52909"/>
    <w:rsid w:val="00D53624"/>
    <w:rsid w:val="00D548ED"/>
    <w:rsid w:val="00D55F53"/>
    <w:rsid w:val="00D56AEE"/>
    <w:rsid w:val="00D579AD"/>
    <w:rsid w:val="00D610E2"/>
    <w:rsid w:val="00D610F0"/>
    <w:rsid w:val="00D61960"/>
    <w:rsid w:val="00D650DA"/>
    <w:rsid w:val="00D6531E"/>
    <w:rsid w:val="00D66664"/>
    <w:rsid w:val="00D7039D"/>
    <w:rsid w:val="00D7129D"/>
    <w:rsid w:val="00D722D9"/>
    <w:rsid w:val="00D73AA7"/>
    <w:rsid w:val="00D742C0"/>
    <w:rsid w:val="00D752F2"/>
    <w:rsid w:val="00D75ECD"/>
    <w:rsid w:val="00D81540"/>
    <w:rsid w:val="00D82CF6"/>
    <w:rsid w:val="00D84450"/>
    <w:rsid w:val="00D84A7A"/>
    <w:rsid w:val="00D84D0B"/>
    <w:rsid w:val="00D85203"/>
    <w:rsid w:val="00D86ADE"/>
    <w:rsid w:val="00D92240"/>
    <w:rsid w:val="00D94CDE"/>
    <w:rsid w:val="00DA0760"/>
    <w:rsid w:val="00DA1E74"/>
    <w:rsid w:val="00DA206E"/>
    <w:rsid w:val="00DA3304"/>
    <w:rsid w:val="00DA346B"/>
    <w:rsid w:val="00DA6307"/>
    <w:rsid w:val="00DA6554"/>
    <w:rsid w:val="00DA6AC4"/>
    <w:rsid w:val="00DA7018"/>
    <w:rsid w:val="00DA71C0"/>
    <w:rsid w:val="00DB0447"/>
    <w:rsid w:val="00DB1AD2"/>
    <w:rsid w:val="00DB1E4F"/>
    <w:rsid w:val="00DB30A9"/>
    <w:rsid w:val="00DB367A"/>
    <w:rsid w:val="00DB45CE"/>
    <w:rsid w:val="00DC0229"/>
    <w:rsid w:val="00DC0E48"/>
    <w:rsid w:val="00DC175C"/>
    <w:rsid w:val="00DC1835"/>
    <w:rsid w:val="00DD014F"/>
    <w:rsid w:val="00DD07A5"/>
    <w:rsid w:val="00DD432E"/>
    <w:rsid w:val="00DD4BE0"/>
    <w:rsid w:val="00DE0E4E"/>
    <w:rsid w:val="00DE127F"/>
    <w:rsid w:val="00DE4877"/>
    <w:rsid w:val="00DE75C9"/>
    <w:rsid w:val="00DF017E"/>
    <w:rsid w:val="00DF2456"/>
    <w:rsid w:val="00DF2C7B"/>
    <w:rsid w:val="00DF4B2C"/>
    <w:rsid w:val="00DF5711"/>
    <w:rsid w:val="00E00096"/>
    <w:rsid w:val="00E0247C"/>
    <w:rsid w:val="00E040F5"/>
    <w:rsid w:val="00E06CCF"/>
    <w:rsid w:val="00E06E77"/>
    <w:rsid w:val="00E10FC9"/>
    <w:rsid w:val="00E11031"/>
    <w:rsid w:val="00E11E6A"/>
    <w:rsid w:val="00E12F64"/>
    <w:rsid w:val="00E1323D"/>
    <w:rsid w:val="00E13A97"/>
    <w:rsid w:val="00E13DA4"/>
    <w:rsid w:val="00E17790"/>
    <w:rsid w:val="00E20389"/>
    <w:rsid w:val="00E20548"/>
    <w:rsid w:val="00E251BB"/>
    <w:rsid w:val="00E263CC"/>
    <w:rsid w:val="00E27DB4"/>
    <w:rsid w:val="00E3068E"/>
    <w:rsid w:val="00E31AD9"/>
    <w:rsid w:val="00E31DDD"/>
    <w:rsid w:val="00E372D8"/>
    <w:rsid w:val="00E41409"/>
    <w:rsid w:val="00E428DB"/>
    <w:rsid w:val="00E45153"/>
    <w:rsid w:val="00E45BAB"/>
    <w:rsid w:val="00E4717A"/>
    <w:rsid w:val="00E510BC"/>
    <w:rsid w:val="00E514DA"/>
    <w:rsid w:val="00E517FB"/>
    <w:rsid w:val="00E51A16"/>
    <w:rsid w:val="00E5261B"/>
    <w:rsid w:val="00E53948"/>
    <w:rsid w:val="00E5408A"/>
    <w:rsid w:val="00E5434E"/>
    <w:rsid w:val="00E54BBD"/>
    <w:rsid w:val="00E54CA9"/>
    <w:rsid w:val="00E57732"/>
    <w:rsid w:val="00E57BBB"/>
    <w:rsid w:val="00E61A73"/>
    <w:rsid w:val="00E61FFF"/>
    <w:rsid w:val="00E62B45"/>
    <w:rsid w:val="00E62C96"/>
    <w:rsid w:val="00E62F22"/>
    <w:rsid w:val="00E6341E"/>
    <w:rsid w:val="00E64F4E"/>
    <w:rsid w:val="00E653B2"/>
    <w:rsid w:val="00E6735A"/>
    <w:rsid w:val="00E703E8"/>
    <w:rsid w:val="00E70436"/>
    <w:rsid w:val="00E70796"/>
    <w:rsid w:val="00E71ABA"/>
    <w:rsid w:val="00E71E1F"/>
    <w:rsid w:val="00E72443"/>
    <w:rsid w:val="00E744C0"/>
    <w:rsid w:val="00E7456D"/>
    <w:rsid w:val="00E76C98"/>
    <w:rsid w:val="00E8022A"/>
    <w:rsid w:val="00E86365"/>
    <w:rsid w:val="00E8750F"/>
    <w:rsid w:val="00E901A5"/>
    <w:rsid w:val="00E90D7D"/>
    <w:rsid w:val="00E91794"/>
    <w:rsid w:val="00E959B2"/>
    <w:rsid w:val="00E966F8"/>
    <w:rsid w:val="00EA04A3"/>
    <w:rsid w:val="00EA0AC8"/>
    <w:rsid w:val="00EA22E2"/>
    <w:rsid w:val="00EA54C3"/>
    <w:rsid w:val="00EA5BD9"/>
    <w:rsid w:val="00EA786F"/>
    <w:rsid w:val="00EB04C0"/>
    <w:rsid w:val="00EB233E"/>
    <w:rsid w:val="00EB4CA3"/>
    <w:rsid w:val="00EB6CC6"/>
    <w:rsid w:val="00EB6FD8"/>
    <w:rsid w:val="00EB71F7"/>
    <w:rsid w:val="00EC122A"/>
    <w:rsid w:val="00EC1EEB"/>
    <w:rsid w:val="00EC4310"/>
    <w:rsid w:val="00EC4743"/>
    <w:rsid w:val="00EC555A"/>
    <w:rsid w:val="00EC57E2"/>
    <w:rsid w:val="00EC63E6"/>
    <w:rsid w:val="00EC6E7D"/>
    <w:rsid w:val="00ED0140"/>
    <w:rsid w:val="00ED063F"/>
    <w:rsid w:val="00ED0ADA"/>
    <w:rsid w:val="00ED588B"/>
    <w:rsid w:val="00ED64F2"/>
    <w:rsid w:val="00EE1510"/>
    <w:rsid w:val="00EE1EFE"/>
    <w:rsid w:val="00EE3F1F"/>
    <w:rsid w:val="00EE41CE"/>
    <w:rsid w:val="00EE4424"/>
    <w:rsid w:val="00EE4533"/>
    <w:rsid w:val="00EE7353"/>
    <w:rsid w:val="00EE7CE4"/>
    <w:rsid w:val="00EF1B5D"/>
    <w:rsid w:val="00EF3C02"/>
    <w:rsid w:val="00EF5DF4"/>
    <w:rsid w:val="00EF617A"/>
    <w:rsid w:val="00EF66A6"/>
    <w:rsid w:val="00EF67C4"/>
    <w:rsid w:val="00F021D3"/>
    <w:rsid w:val="00F03DB8"/>
    <w:rsid w:val="00F04AF7"/>
    <w:rsid w:val="00F04EC3"/>
    <w:rsid w:val="00F07CE1"/>
    <w:rsid w:val="00F11100"/>
    <w:rsid w:val="00F12154"/>
    <w:rsid w:val="00F13DAA"/>
    <w:rsid w:val="00F16236"/>
    <w:rsid w:val="00F1641D"/>
    <w:rsid w:val="00F16B05"/>
    <w:rsid w:val="00F202B2"/>
    <w:rsid w:val="00F20A48"/>
    <w:rsid w:val="00F252E2"/>
    <w:rsid w:val="00F25835"/>
    <w:rsid w:val="00F30938"/>
    <w:rsid w:val="00F309E7"/>
    <w:rsid w:val="00F31245"/>
    <w:rsid w:val="00F325FF"/>
    <w:rsid w:val="00F32CD4"/>
    <w:rsid w:val="00F32CDC"/>
    <w:rsid w:val="00F339A2"/>
    <w:rsid w:val="00F35312"/>
    <w:rsid w:val="00F3631B"/>
    <w:rsid w:val="00F37ABA"/>
    <w:rsid w:val="00F37CA9"/>
    <w:rsid w:val="00F44105"/>
    <w:rsid w:val="00F4746F"/>
    <w:rsid w:val="00F47983"/>
    <w:rsid w:val="00F50D6A"/>
    <w:rsid w:val="00F5304E"/>
    <w:rsid w:val="00F54A41"/>
    <w:rsid w:val="00F5699D"/>
    <w:rsid w:val="00F6073B"/>
    <w:rsid w:val="00F61A38"/>
    <w:rsid w:val="00F630F5"/>
    <w:rsid w:val="00F638D9"/>
    <w:rsid w:val="00F639E7"/>
    <w:rsid w:val="00F66301"/>
    <w:rsid w:val="00F71E5F"/>
    <w:rsid w:val="00F72D62"/>
    <w:rsid w:val="00F72D9F"/>
    <w:rsid w:val="00F72DB9"/>
    <w:rsid w:val="00F757F0"/>
    <w:rsid w:val="00F76647"/>
    <w:rsid w:val="00F76A3F"/>
    <w:rsid w:val="00F840D7"/>
    <w:rsid w:val="00F86AC9"/>
    <w:rsid w:val="00F90C88"/>
    <w:rsid w:val="00F91A52"/>
    <w:rsid w:val="00F9411D"/>
    <w:rsid w:val="00F944C6"/>
    <w:rsid w:val="00F9516D"/>
    <w:rsid w:val="00FA0544"/>
    <w:rsid w:val="00FA23D7"/>
    <w:rsid w:val="00FA25E3"/>
    <w:rsid w:val="00FA3417"/>
    <w:rsid w:val="00FB0FCC"/>
    <w:rsid w:val="00FB1C40"/>
    <w:rsid w:val="00FB3E55"/>
    <w:rsid w:val="00FB5C91"/>
    <w:rsid w:val="00FB684D"/>
    <w:rsid w:val="00FB68EE"/>
    <w:rsid w:val="00FC263B"/>
    <w:rsid w:val="00FC6280"/>
    <w:rsid w:val="00FC6CEB"/>
    <w:rsid w:val="00FD11CB"/>
    <w:rsid w:val="00FD13A1"/>
    <w:rsid w:val="00FD350E"/>
    <w:rsid w:val="00FD3A0B"/>
    <w:rsid w:val="00FD4AA2"/>
    <w:rsid w:val="00FD6254"/>
    <w:rsid w:val="00FE08F6"/>
    <w:rsid w:val="00FE09ED"/>
    <w:rsid w:val="00FE10C9"/>
    <w:rsid w:val="00FE226E"/>
    <w:rsid w:val="00FE3492"/>
    <w:rsid w:val="00FE3797"/>
    <w:rsid w:val="00FE5145"/>
    <w:rsid w:val="00FE63DC"/>
    <w:rsid w:val="00FE64C3"/>
    <w:rsid w:val="00FE7157"/>
    <w:rsid w:val="00FF1407"/>
    <w:rsid w:val="00FF19E8"/>
    <w:rsid w:val="00FF1D7E"/>
    <w:rsid w:val="00FF2E71"/>
    <w:rsid w:val="00FF3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B05A40"/>
  <w15:chartTrackingRefBased/>
  <w15:docId w15:val="{A32CABF1-483E-43FB-BB5C-48444E964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7CA9"/>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link w:val="Heading2Char"/>
    <w:uiPriority w:val="9"/>
    <w:qFormat/>
    <w:rsid w:val="00AB1232"/>
    <w:pPr>
      <w:spacing w:after="0" w:line="240" w:lineRule="auto"/>
      <w:outlineLvl w:val="1"/>
    </w:pPr>
    <w:rPr>
      <w:rFonts w:ascii="Times New Roman" w:eastAsiaTheme="minorEastAsia" w:hAnsi="Times New Roman" w:cs="Times New Roman"/>
      <w:sz w:val="24"/>
      <w:szCs w:val="24"/>
      <w:lang w:eastAsia="en-GB"/>
    </w:rPr>
  </w:style>
  <w:style w:type="paragraph" w:styleId="Heading3">
    <w:name w:val="heading 3"/>
    <w:basedOn w:val="Normal"/>
    <w:link w:val="Heading3Char"/>
    <w:uiPriority w:val="9"/>
    <w:qFormat/>
    <w:rsid w:val="00AB1232"/>
    <w:pPr>
      <w:spacing w:after="0" w:line="240" w:lineRule="auto"/>
      <w:outlineLvl w:val="2"/>
    </w:pPr>
    <w:rPr>
      <w:rFonts w:ascii="Times New Roman" w:eastAsiaTheme="minorEastAsia"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A73"/>
    <w:pPr>
      <w:ind w:left="720"/>
      <w:contextualSpacing/>
    </w:pPr>
  </w:style>
  <w:style w:type="paragraph" w:styleId="BodyText">
    <w:name w:val="Body Text"/>
    <w:basedOn w:val="Normal"/>
    <w:link w:val="BodyTextChar"/>
    <w:uiPriority w:val="99"/>
    <w:rsid w:val="00F37CA9"/>
    <w:pPr>
      <w:tabs>
        <w:tab w:val="left" w:pos="288"/>
      </w:tabs>
      <w:spacing w:after="120" w:line="228" w:lineRule="auto"/>
      <w:ind w:firstLine="288"/>
      <w:jc w:val="both"/>
    </w:pPr>
    <w:rPr>
      <w:rFonts w:ascii="Times New Roman" w:eastAsia="MS Mincho" w:hAnsi="Times New Roman" w:cs="Times New Roman"/>
      <w:spacing w:val="-1"/>
      <w:sz w:val="20"/>
      <w:szCs w:val="20"/>
      <w:lang w:val="en-US"/>
    </w:rPr>
  </w:style>
  <w:style w:type="character" w:customStyle="1" w:styleId="BodyTextChar">
    <w:name w:val="Body Text Char"/>
    <w:basedOn w:val="DefaultParagraphFont"/>
    <w:link w:val="BodyText"/>
    <w:uiPriority w:val="99"/>
    <w:rsid w:val="00F37CA9"/>
    <w:rPr>
      <w:rFonts w:ascii="Times New Roman" w:eastAsia="MS Mincho" w:hAnsi="Times New Roman" w:cs="Times New Roman"/>
      <w:spacing w:val="-1"/>
      <w:sz w:val="20"/>
      <w:szCs w:val="20"/>
      <w:lang w:val="en-US"/>
    </w:rPr>
  </w:style>
  <w:style w:type="paragraph" w:styleId="Header">
    <w:name w:val="header"/>
    <w:basedOn w:val="Normal"/>
    <w:link w:val="HeaderChar"/>
    <w:uiPriority w:val="99"/>
    <w:unhideWhenUsed/>
    <w:rsid w:val="00F37C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CA9"/>
  </w:style>
  <w:style w:type="paragraph" w:styleId="Footer">
    <w:name w:val="footer"/>
    <w:basedOn w:val="Normal"/>
    <w:link w:val="FooterChar"/>
    <w:uiPriority w:val="99"/>
    <w:unhideWhenUsed/>
    <w:rsid w:val="00F37C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CA9"/>
  </w:style>
  <w:style w:type="table" w:styleId="TableGrid">
    <w:name w:val="Table Grid"/>
    <w:basedOn w:val="TableNormal"/>
    <w:uiPriority w:val="39"/>
    <w:rsid w:val="00F37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7CA9"/>
    <w:rPr>
      <w:color w:val="808080"/>
    </w:rPr>
  </w:style>
  <w:style w:type="paragraph" w:styleId="BalloonText">
    <w:name w:val="Balloon Text"/>
    <w:basedOn w:val="Normal"/>
    <w:link w:val="BalloonTextChar"/>
    <w:uiPriority w:val="99"/>
    <w:semiHidden/>
    <w:unhideWhenUsed/>
    <w:rsid w:val="00F37C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CA9"/>
    <w:rPr>
      <w:rFonts w:ascii="Segoe UI" w:hAnsi="Segoe UI" w:cs="Segoe UI"/>
      <w:sz w:val="18"/>
      <w:szCs w:val="18"/>
    </w:rPr>
  </w:style>
  <w:style w:type="character" w:customStyle="1" w:styleId="Heading1Char">
    <w:name w:val="Heading 1 Char"/>
    <w:basedOn w:val="DefaultParagraphFont"/>
    <w:link w:val="Heading1"/>
    <w:uiPriority w:val="9"/>
    <w:rsid w:val="00F37CA9"/>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F37CA9"/>
  </w:style>
  <w:style w:type="character" w:customStyle="1" w:styleId="Heading2Char">
    <w:name w:val="Heading 2 Char"/>
    <w:basedOn w:val="DefaultParagraphFont"/>
    <w:link w:val="Heading2"/>
    <w:rsid w:val="00AB1232"/>
    <w:rPr>
      <w:rFonts w:ascii="Times New Roman" w:eastAsiaTheme="minorEastAsia" w:hAnsi="Times New Roman" w:cs="Times New Roman"/>
      <w:sz w:val="24"/>
      <w:szCs w:val="24"/>
      <w:lang w:eastAsia="en-GB"/>
    </w:rPr>
  </w:style>
  <w:style w:type="character" w:customStyle="1" w:styleId="Heading3Char">
    <w:name w:val="Heading 3 Char"/>
    <w:basedOn w:val="DefaultParagraphFont"/>
    <w:link w:val="Heading3"/>
    <w:uiPriority w:val="9"/>
    <w:rsid w:val="00AB1232"/>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AB1232"/>
    <w:rPr>
      <w:color w:val="0000FF"/>
      <w:u w:val="single"/>
    </w:rPr>
  </w:style>
  <w:style w:type="paragraph" w:styleId="NormalWeb">
    <w:name w:val="Normal (Web)"/>
    <w:basedOn w:val="Normal"/>
    <w:uiPriority w:val="99"/>
    <w:semiHidden/>
    <w:unhideWhenUsed/>
    <w:rsid w:val="00AB1232"/>
    <w:pPr>
      <w:spacing w:after="0" w:line="240" w:lineRule="auto"/>
    </w:pPr>
    <w:rPr>
      <w:rFonts w:ascii="Times New Roman" w:eastAsiaTheme="minorEastAsia" w:hAnsi="Times New Roman" w:cs="Times New Roman"/>
      <w:sz w:val="24"/>
      <w:szCs w:val="24"/>
      <w:lang w:eastAsia="en-GB"/>
    </w:rPr>
  </w:style>
  <w:style w:type="paragraph" w:customStyle="1" w:styleId="divider">
    <w:name w:val="divider"/>
    <w:basedOn w:val="Normal"/>
    <w:rsid w:val="00AB1232"/>
    <w:pPr>
      <w:spacing w:after="0" w:line="240" w:lineRule="auto"/>
    </w:pPr>
    <w:rPr>
      <w:rFonts w:ascii="Times New Roman" w:eastAsiaTheme="minorEastAsia" w:hAnsi="Times New Roman" w:cs="Times New Roman"/>
      <w:sz w:val="24"/>
      <w:szCs w:val="24"/>
      <w:lang w:eastAsia="en-GB"/>
    </w:rPr>
  </w:style>
  <w:style w:type="character" w:customStyle="1" w:styleId="textheading32">
    <w:name w:val="textheading32"/>
    <w:basedOn w:val="DefaultParagraphFont"/>
    <w:rsid w:val="00AB1232"/>
  </w:style>
  <w:style w:type="character" w:customStyle="1" w:styleId="mobile-undersized-upper">
    <w:name w:val="mobile-undersized-upper"/>
    <w:basedOn w:val="DefaultParagraphFont"/>
    <w:rsid w:val="00AB1232"/>
  </w:style>
  <w:style w:type="character" w:customStyle="1" w:styleId="textheading12">
    <w:name w:val="textheading12"/>
    <w:basedOn w:val="DefaultParagraphFont"/>
    <w:rsid w:val="00AB1232"/>
  </w:style>
  <w:style w:type="character" w:customStyle="1" w:styleId="textheading22">
    <w:name w:val="textheading22"/>
    <w:basedOn w:val="DefaultParagraphFont"/>
    <w:rsid w:val="00AB1232"/>
  </w:style>
  <w:style w:type="table" w:customStyle="1" w:styleId="TableGrid0">
    <w:name w:val="TableGrid"/>
    <w:rsid w:val="00AB1232"/>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1E1BE7"/>
    <w:rPr>
      <w:color w:val="605E5C"/>
      <w:shd w:val="clear" w:color="auto" w:fill="E1DFDD"/>
    </w:rPr>
  </w:style>
  <w:style w:type="table" w:styleId="TableGridLight">
    <w:name w:val="Grid Table Light"/>
    <w:basedOn w:val="TableNormal"/>
    <w:uiPriority w:val="40"/>
    <w:rsid w:val="00DD4B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536063"/>
    <w:rPr>
      <w:color w:val="954F72" w:themeColor="followedHyperlink"/>
      <w:u w:val="single"/>
    </w:rPr>
  </w:style>
  <w:style w:type="character" w:styleId="CommentReference">
    <w:name w:val="annotation reference"/>
    <w:basedOn w:val="DefaultParagraphFont"/>
    <w:uiPriority w:val="99"/>
    <w:semiHidden/>
    <w:unhideWhenUsed/>
    <w:rsid w:val="000A0FAF"/>
    <w:rPr>
      <w:sz w:val="16"/>
      <w:szCs w:val="16"/>
    </w:rPr>
  </w:style>
  <w:style w:type="paragraph" w:styleId="CommentText">
    <w:name w:val="annotation text"/>
    <w:basedOn w:val="Normal"/>
    <w:link w:val="CommentTextChar"/>
    <w:uiPriority w:val="99"/>
    <w:semiHidden/>
    <w:unhideWhenUsed/>
    <w:rsid w:val="000A0FAF"/>
    <w:pPr>
      <w:spacing w:line="240" w:lineRule="auto"/>
    </w:pPr>
    <w:rPr>
      <w:sz w:val="20"/>
      <w:szCs w:val="20"/>
    </w:rPr>
  </w:style>
  <w:style w:type="character" w:customStyle="1" w:styleId="CommentTextChar">
    <w:name w:val="Comment Text Char"/>
    <w:basedOn w:val="DefaultParagraphFont"/>
    <w:link w:val="CommentText"/>
    <w:uiPriority w:val="99"/>
    <w:semiHidden/>
    <w:rsid w:val="000A0FAF"/>
    <w:rPr>
      <w:sz w:val="20"/>
      <w:szCs w:val="20"/>
    </w:rPr>
  </w:style>
  <w:style w:type="paragraph" w:styleId="CommentSubject">
    <w:name w:val="annotation subject"/>
    <w:basedOn w:val="CommentText"/>
    <w:next w:val="CommentText"/>
    <w:link w:val="CommentSubjectChar"/>
    <w:uiPriority w:val="99"/>
    <w:semiHidden/>
    <w:unhideWhenUsed/>
    <w:rsid w:val="000A0FAF"/>
    <w:rPr>
      <w:b/>
      <w:bCs/>
    </w:rPr>
  </w:style>
  <w:style w:type="character" w:customStyle="1" w:styleId="CommentSubjectChar">
    <w:name w:val="Comment Subject Char"/>
    <w:basedOn w:val="CommentTextChar"/>
    <w:link w:val="CommentSubject"/>
    <w:uiPriority w:val="99"/>
    <w:semiHidden/>
    <w:rsid w:val="000A0FAF"/>
    <w:rPr>
      <w:b/>
      <w:bCs/>
      <w:sz w:val="20"/>
      <w:szCs w:val="20"/>
    </w:rPr>
  </w:style>
  <w:style w:type="paragraph" w:styleId="EndnoteText">
    <w:name w:val="endnote text"/>
    <w:basedOn w:val="Normal"/>
    <w:link w:val="EndnoteTextChar"/>
    <w:uiPriority w:val="99"/>
    <w:semiHidden/>
    <w:unhideWhenUsed/>
    <w:rsid w:val="00F16B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6B05"/>
    <w:rPr>
      <w:sz w:val="20"/>
      <w:szCs w:val="20"/>
    </w:rPr>
  </w:style>
  <w:style w:type="character" w:styleId="EndnoteReference">
    <w:name w:val="endnote reference"/>
    <w:basedOn w:val="DefaultParagraphFont"/>
    <w:uiPriority w:val="99"/>
    <w:semiHidden/>
    <w:unhideWhenUsed/>
    <w:rsid w:val="00F16B05"/>
    <w:rPr>
      <w:vertAlign w:val="superscript"/>
    </w:rPr>
  </w:style>
  <w:style w:type="paragraph" w:styleId="Caption">
    <w:name w:val="caption"/>
    <w:basedOn w:val="Normal"/>
    <w:next w:val="Normal"/>
    <w:uiPriority w:val="35"/>
    <w:unhideWhenUsed/>
    <w:qFormat/>
    <w:rsid w:val="00CD23B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82CF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0501">
      <w:bodyDiv w:val="1"/>
      <w:marLeft w:val="0"/>
      <w:marRight w:val="0"/>
      <w:marTop w:val="0"/>
      <w:marBottom w:val="0"/>
      <w:divBdr>
        <w:top w:val="none" w:sz="0" w:space="0" w:color="auto"/>
        <w:left w:val="none" w:sz="0" w:space="0" w:color="auto"/>
        <w:bottom w:val="none" w:sz="0" w:space="0" w:color="auto"/>
        <w:right w:val="none" w:sz="0" w:space="0" w:color="auto"/>
      </w:divBdr>
    </w:div>
    <w:div w:id="183447445">
      <w:bodyDiv w:val="1"/>
      <w:marLeft w:val="0"/>
      <w:marRight w:val="0"/>
      <w:marTop w:val="0"/>
      <w:marBottom w:val="0"/>
      <w:divBdr>
        <w:top w:val="none" w:sz="0" w:space="0" w:color="auto"/>
        <w:left w:val="none" w:sz="0" w:space="0" w:color="auto"/>
        <w:bottom w:val="none" w:sz="0" w:space="0" w:color="auto"/>
        <w:right w:val="none" w:sz="0" w:space="0" w:color="auto"/>
      </w:divBdr>
    </w:div>
    <w:div w:id="195657588">
      <w:bodyDiv w:val="1"/>
      <w:marLeft w:val="0"/>
      <w:marRight w:val="0"/>
      <w:marTop w:val="0"/>
      <w:marBottom w:val="0"/>
      <w:divBdr>
        <w:top w:val="none" w:sz="0" w:space="0" w:color="auto"/>
        <w:left w:val="none" w:sz="0" w:space="0" w:color="auto"/>
        <w:bottom w:val="none" w:sz="0" w:space="0" w:color="auto"/>
        <w:right w:val="none" w:sz="0" w:space="0" w:color="auto"/>
      </w:divBdr>
    </w:div>
    <w:div w:id="228856109">
      <w:bodyDiv w:val="1"/>
      <w:marLeft w:val="0"/>
      <w:marRight w:val="0"/>
      <w:marTop w:val="0"/>
      <w:marBottom w:val="0"/>
      <w:divBdr>
        <w:top w:val="none" w:sz="0" w:space="0" w:color="auto"/>
        <w:left w:val="none" w:sz="0" w:space="0" w:color="auto"/>
        <w:bottom w:val="none" w:sz="0" w:space="0" w:color="auto"/>
        <w:right w:val="none" w:sz="0" w:space="0" w:color="auto"/>
      </w:divBdr>
    </w:div>
    <w:div w:id="265577237">
      <w:bodyDiv w:val="1"/>
      <w:marLeft w:val="0"/>
      <w:marRight w:val="0"/>
      <w:marTop w:val="0"/>
      <w:marBottom w:val="0"/>
      <w:divBdr>
        <w:top w:val="none" w:sz="0" w:space="0" w:color="auto"/>
        <w:left w:val="none" w:sz="0" w:space="0" w:color="auto"/>
        <w:bottom w:val="none" w:sz="0" w:space="0" w:color="auto"/>
        <w:right w:val="none" w:sz="0" w:space="0" w:color="auto"/>
      </w:divBdr>
    </w:div>
    <w:div w:id="387074608">
      <w:bodyDiv w:val="1"/>
      <w:marLeft w:val="0"/>
      <w:marRight w:val="0"/>
      <w:marTop w:val="0"/>
      <w:marBottom w:val="0"/>
      <w:divBdr>
        <w:top w:val="none" w:sz="0" w:space="0" w:color="auto"/>
        <w:left w:val="none" w:sz="0" w:space="0" w:color="auto"/>
        <w:bottom w:val="none" w:sz="0" w:space="0" w:color="auto"/>
        <w:right w:val="none" w:sz="0" w:space="0" w:color="auto"/>
      </w:divBdr>
    </w:div>
    <w:div w:id="855461344">
      <w:bodyDiv w:val="1"/>
      <w:marLeft w:val="0"/>
      <w:marRight w:val="0"/>
      <w:marTop w:val="0"/>
      <w:marBottom w:val="0"/>
      <w:divBdr>
        <w:top w:val="none" w:sz="0" w:space="0" w:color="auto"/>
        <w:left w:val="none" w:sz="0" w:space="0" w:color="auto"/>
        <w:bottom w:val="none" w:sz="0" w:space="0" w:color="auto"/>
        <w:right w:val="none" w:sz="0" w:space="0" w:color="auto"/>
      </w:divBdr>
    </w:div>
    <w:div w:id="959261446">
      <w:bodyDiv w:val="1"/>
      <w:marLeft w:val="0"/>
      <w:marRight w:val="0"/>
      <w:marTop w:val="0"/>
      <w:marBottom w:val="0"/>
      <w:divBdr>
        <w:top w:val="none" w:sz="0" w:space="0" w:color="auto"/>
        <w:left w:val="none" w:sz="0" w:space="0" w:color="auto"/>
        <w:bottom w:val="none" w:sz="0" w:space="0" w:color="auto"/>
        <w:right w:val="none" w:sz="0" w:space="0" w:color="auto"/>
      </w:divBdr>
    </w:div>
    <w:div w:id="977996486">
      <w:bodyDiv w:val="1"/>
      <w:marLeft w:val="0"/>
      <w:marRight w:val="0"/>
      <w:marTop w:val="0"/>
      <w:marBottom w:val="0"/>
      <w:divBdr>
        <w:top w:val="none" w:sz="0" w:space="0" w:color="auto"/>
        <w:left w:val="none" w:sz="0" w:space="0" w:color="auto"/>
        <w:bottom w:val="none" w:sz="0" w:space="0" w:color="auto"/>
        <w:right w:val="none" w:sz="0" w:space="0" w:color="auto"/>
      </w:divBdr>
    </w:div>
    <w:div w:id="1111167119">
      <w:bodyDiv w:val="1"/>
      <w:marLeft w:val="0"/>
      <w:marRight w:val="0"/>
      <w:marTop w:val="0"/>
      <w:marBottom w:val="0"/>
      <w:divBdr>
        <w:top w:val="none" w:sz="0" w:space="0" w:color="auto"/>
        <w:left w:val="none" w:sz="0" w:space="0" w:color="auto"/>
        <w:bottom w:val="none" w:sz="0" w:space="0" w:color="auto"/>
        <w:right w:val="none" w:sz="0" w:space="0" w:color="auto"/>
      </w:divBdr>
      <w:divsChild>
        <w:div w:id="57481320">
          <w:marLeft w:val="0"/>
          <w:marRight w:val="0"/>
          <w:marTop w:val="0"/>
          <w:marBottom w:val="0"/>
          <w:divBdr>
            <w:top w:val="none" w:sz="0" w:space="0" w:color="auto"/>
            <w:left w:val="none" w:sz="0" w:space="0" w:color="auto"/>
            <w:bottom w:val="none" w:sz="0" w:space="0" w:color="auto"/>
            <w:right w:val="none" w:sz="0" w:space="0" w:color="auto"/>
          </w:divBdr>
        </w:div>
        <w:div w:id="157505654">
          <w:marLeft w:val="0"/>
          <w:marRight w:val="0"/>
          <w:marTop w:val="0"/>
          <w:marBottom w:val="0"/>
          <w:divBdr>
            <w:top w:val="none" w:sz="0" w:space="0" w:color="auto"/>
            <w:left w:val="none" w:sz="0" w:space="0" w:color="auto"/>
            <w:bottom w:val="none" w:sz="0" w:space="0" w:color="auto"/>
            <w:right w:val="none" w:sz="0" w:space="0" w:color="auto"/>
          </w:divBdr>
        </w:div>
        <w:div w:id="181214902">
          <w:marLeft w:val="0"/>
          <w:marRight w:val="0"/>
          <w:marTop w:val="0"/>
          <w:marBottom w:val="0"/>
          <w:divBdr>
            <w:top w:val="none" w:sz="0" w:space="0" w:color="auto"/>
            <w:left w:val="none" w:sz="0" w:space="0" w:color="auto"/>
            <w:bottom w:val="none" w:sz="0" w:space="0" w:color="auto"/>
            <w:right w:val="none" w:sz="0" w:space="0" w:color="auto"/>
          </w:divBdr>
        </w:div>
        <w:div w:id="693919007">
          <w:marLeft w:val="0"/>
          <w:marRight w:val="0"/>
          <w:marTop w:val="0"/>
          <w:marBottom w:val="0"/>
          <w:divBdr>
            <w:top w:val="none" w:sz="0" w:space="0" w:color="auto"/>
            <w:left w:val="none" w:sz="0" w:space="0" w:color="auto"/>
            <w:bottom w:val="none" w:sz="0" w:space="0" w:color="auto"/>
            <w:right w:val="none" w:sz="0" w:space="0" w:color="auto"/>
          </w:divBdr>
        </w:div>
        <w:div w:id="1238857478">
          <w:marLeft w:val="0"/>
          <w:marRight w:val="0"/>
          <w:marTop w:val="0"/>
          <w:marBottom w:val="0"/>
          <w:divBdr>
            <w:top w:val="none" w:sz="0" w:space="0" w:color="auto"/>
            <w:left w:val="none" w:sz="0" w:space="0" w:color="auto"/>
            <w:bottom w:val="none" w:sz="0" w:space="0" w:color="auto"/>
            <w:right w:val="none" w:sz="0" w:space="0" w:color="auto"/>
          </w:divBdr>
        </w:div>
        <w:div w:id="1271474172">
          <w:marLeft w:val="0"/>
          <w:marRight w:val="0"/>
          <w:marTop w:val="0"/>
          <w:marBottom w:val="0"/>
          <w:divBdr>
            <w:top w:val="none" w:sz="0" w:space="0" w:color="auto"/>
            <w:left w:val="none" w:sz="0" w:space="0" w:color="auto"/>
            <w:bottom w:val="none" w:sz="0" w:space="0" w:color="auto"/>
            <w:right w:val="none" w:sz="0" w:space="0" w:color="auto"/>
          </w:divBdr>
        </w:div>
        <w:div w:id="1312515783">
          <w:marLeft w:val="0"/>
          <w:marRight w:val="0"/>
          <w:marTop w:val="0"/>
          <w:marBottom w:val="0"/>
          <w:divBdr>
            <w:top w:val="none" w:sz="0" w:space="0" w:color="auto"/>
            <w:left w:val="none" w:sz="0" w:space="0" w:color="auto"/>
            <w:bottom w:val="none" w:sz="0" w:space="0" w:color="auto"/>
            <w:right w:val="none" w:sz="0" w:space="0" w:color="auto"/>
          </w:divBdr>
        </w:div>
      </w:divsChild>
    </w:div>
    <w:div w:id="1134103081">
      <w:bodyDiv w:val="1"/>
      <w:marLeft w:val="0"/>
      <w:marRight w:val="0"/>
      <w:marTop w:val="0"/>
      <w:marBottom w:val="0"/>
      <w:divBdr>
        <w:top w:val="none" w:sz="0" w:space="0" w:color="auto"/>
        <w:left w:val="none" w:sz="0" w:space="0" w:color="auto"/>
        <w:bottom w:val="none" w:sz="0" w:space="0" w:color="auto"/>
        <w:right w:val="none" w:sz="0" w:space="0" w:color="auto"/>
      </w:divBdr>
    </w:div>
    <w:div w:id="1159422250">
      <w:bodyDiv w:val="1"/>
      <w:marLeft w:val="0"/>
      <w:marRight w:val="0"/>
      <w:marTop w:val="0"/>
      <w:marBottom w:val="0"/>
      <w:divBdr>
        <w:top w:val="none" w:sz="0" w:space="0" w:color="auto"/>
        <w:left w:val="none" w:sz="0" w:space="0" w:color="auto"/>
        <w:bottom w:val="none" w:sz="0" w:space="0" w:color="auto"/>
        <w:right w:val="none" w:sz="0" w:space="0" w:color="auto"/>
      </w:divBdr>
    </w:div>
    <w:div w:id="1321957301">
      <w:bodyDiv w:val="1"/>
      <w:marLeft w:val="0"/>
      <w:marRight w:val="0"/>
      <w:marTop w:val="0"/>
      <w:marBottom w:val="0"/>
      <w:divBdr>
        <w:top w:val="none" w:sz="0" w:space="0" w:color="auto"/>
        <w:left w:val="none" w:sz="0" w:space="0" w:color="auto"/>
        <w:bottom w:val="none" w:sz="0" w:space="0" w:color="auto"/>
        <w:right w:val="none" w:sz="0" w:space="0" w:color="auto"/>
      </w:divBdr>
      <w:divsChild>
        <w:div w:id="11541571">
          <w:marLeft w:val="0"/>
          <w:marRight w:val="0"/>
          <w:marTop w:val="0"/>
          <w:marBottom w:val="0"/>
          <w:divBdr>
            <w:top w:val="none" w:sz="0" w:space="0" w:color="auto"/>
            <w:left w:val="none" w:sz="0" w:space="0" w:color="auto"/>
            <w:bottom w:val="none" w:sz="0" w:space="0" w:color="auto"/>
            <w:right w:val="none" w:sz="0" w:space="0" w:color="auto"/>
          </w:divBdr>
          <w:divsChild>
            <w:div w:id="778259348">
              <w:marLeft w:val="0"/>
              <w:marRight w:val="0"/>
              <w:marTop w:val="0"/>
              <w:marBottom w:val="0"/>
              <w:divBdr>
                <w:top w:val="none" w:sz="0" w:space="0" w:color="auto"/>
                <w:left w:val="none" w:sz="0" w:space="0" w:color="auto"/>
                <w:bottom w:val="none" w:sz="0" w:space="0" w:color="auto"/>
                <w:right w:val="none" w:sz="0" w:space="0" w:color="auto"/>
              </w:divBdr>
            </w:div>
          </w:divsChild>
        </w:div>
        <w:div w:id="368795650">
          <w:marLeft w:val="0"/>
          <w:marRight w:val="0"/>
          <w:marTop w:val="0"/>
          <w:marBottom w:val="0"/>
          <w:divBdr>
            <w:top w:val="none" w:sz="0" w:space="0" w:color="auto"/>
            <w:left w:val="none" w:sz="0" w:space="0" w:color="auto"/>
            <w:bottom w:val="none" w:sz="0" w:space="0" w:color="auto"/>
            <w:right w:val="none" w:sz="0" w:space="0" w:color="auto"/>
          </w:divBdr>
          <w:divsChild>
            <w:div w:id="457727940">
              <w:marLeft w:val="0"/>
              <w:marRight w:val="0"/>
              <w:marTop w:val="0"/>
              <w:marBottom w:val="0"/>
              <w:divBdr>
                <w:top w:val="none" w:sz="0" w:space="0" w:color="auto"/>
                <w:left w:val="none" w:sz="0" w:space="0" w:color="auto"/>
                <w:bottom w:val="none" w:sz="0" w:space="0" w:color="auto"/>
                <w:right w:val="none" w:sz="0" w:space="0" w:color="auto"/>
              </w:divBdr>
              <w:divsChild>
                <w:div w:id="399641727">
                  <w:marLeft w:val="0"/>
                  <w:marRight w:val="0"/>
                  <w:marTop w:val="100"/>
                  <w:marBottom w:val="100"/>
                  <w:divBdr>
                    <w:top w:val="none" w:sz="0" w:space="0" w:color="auto"/>
                    <w:left w:val="none" w:sz="0" w:space="0" w:color="auto"/>
                    <w:bottom w:val="none" w:sz="0" w:space="0" w:color="auto"/>
                    <w:right w:val="none" w:sz="0" w:space="0" w:color="auto"/>
                  </w:divBdr>
                  <w:divsChild>
                    <w:div w:id="776213326">
                      <w:marLeft w:val="15"/>
                      <w:marRight w:val="0"/>
                      <w:marTop w:val="900"/>
                      <w:marBottom w:val="0"/>
                      <w:divBdr>
                        <w:top w:val="none" w:sz="0" w:space="0" w:color="auto"/>
                        <w:left w:val="none" w:sz="0" w:space="0" w:color="auto"/>
                        <w:bottom w:val="none" w:sz="0" w:space="0" w:color="auto"/>
                        <w:right w:val="none" w:sz="0" w:space="0" w:color="auto"/>
                      </w:divBdr>
                      <w:divsChild>
                        <w:div w:id="1244729246">
                          <w:marLeft w:val="0"/>
                          <w:marRight w:val="0"/>
                          <w:marTop w:val="0"/>
                          <w:marBottom w:val="0"/>
                          <w:divBdr>
                            <w:top w:val="none" w:sz="0" w:space="0" w:color="auto"/>
                            <w:left w:val="none" w:sz="0" w:space="0" w:color="auto"/>
                            <w:bottom w:val="none" w:sz="0" w:space="0" w:color="auto"/>
                            <w:right w:val="none" w:sz="0" w:space="0" w:color="auto"/>
                          </w:divBdr>
                          <w:divsChild>
                            <w:div w:id="1891456902">
                              <w:marLeft w:val="0"/>
                              <w:marRight w:val="0"/>
                              <w:marTop w:val="0"/>
                              <w:marBottom w:val="0"/>
                              <w:divBdr>
                                <w:top w:val="none" w:sz="0" w:space="0" w:color="auto"/>
                                <w:left w:val="none" w:sz="0" w:space="0" w:color="auto"/>
                                <w:bottom w:val="none" w:sz="0" w:space="0" w:color="auto"/>
                                <w:right w:val="none" w:sz="0" w:space="0" w:color="auto"/>
                              </w:divBdr>
                              <w:divsChild>
                                <w:div w:id="193338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771164">
                  <w:marLeft w:val="0"/>
                  <w:marRight w:val="0"/>
                  <w:marTop w:val="100"/>
                  <w:marBottom w:val="100"/>
                  <w:divBdr>
                    <w:top w:val="none" w:sz="0" w:space="0" w:color="auto"/>
                    <w:left w:val="none" w:sz="0" w:space="0" w:color="auto"/>
                    <w:bottom w:val="none" w:sz="0" w:space="0" w:color="auto"/>
                    <w:right w:val="none" w:sz="0" w:space="0" w:color="auto"/>
                  </w:divBdr>
                  <w:divsChild>
                    <w:div w:id="1492066567">
                      <w:marLeft w:val="0"/>
                      <w:marRight w:val="0"/>
                      <w:marTop w:val="0"/>
                      <w:marBottom w:val="0"/>
                      <w:divBdr>
                        <w:top w:val="none" w:sz="0" w:space="0" w:color="auto"/>
                        <w:left w:val="none" w:sz="0" w:space="0" w:color="auto"/>
                        <w:bottom w:val="none" w:sz="0" w:space="0" w:color="auto"/>
                        <w:right w:val="none" w:sz="0" w:space="0" w:color="auto"/>
                      </w:divBdr>
                      <w:divsChild>
                        <w:div w:id="731318375">
                          <w:marLeft w:val="0"/>
                          <w:marRight w:val="0"/>
                          <w:marTop w:val="0"/>
                          <w:marBottom w:val="0"/>
                          <w:divBdr>
                            <w:top w:val="none" w:sz="0" w:space="0" w:color="auto"/>
                            <w:left w:val="none" w:sz="0" w:space="0" w:color="auto"/>
                            <w:bottom w:val="none" w:sz="0" w:space="0" w:color="auto"/>
                            <w:right w:val="none" w:sz="0" w:space="0" w:color="auto"/>
                          </w:divBdr>
                          <w:divsChild>
                            <w:div w:id="74576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04038">
                      <w:marLeft w:val="0"/>
                      <w:marRight w:val="0"/>
                      <w:marTop w:val="0"/>
                      <w:marBottom w:val="0"/>
                      <w:divBdr>
                        <w:top w:val="none" w:sz="0" w:space="0" w:color="auto"/>
                        <w:left w:val="none" w:sz="0" w:space="0" w:color="auto"/>
                        <w:bottom w:val="none" w:sz="0" w:space="0" w:color="auto"/>
                        <w:right w:val="none" w:sz="0" w:space="0" w:color="auto"/>
                      </w:divBdr>
                      <w:divsChild>
                        <w:div w:id="1508324478">
                          <w:marLeft w:val="0"/>
                          <w:marRight w:val="0"/>
                          <w:marTop w:val="0"/>
                          <w:marBottom w:val="0"/>
                          <w:divBdr>
                            <w:top w:val="none" w:sz="0" w:space="0" w:color="auto"/>
                            <w:left w:val="none" w:sz="0" w:space="0" w:color="auto"/>
                            <w:bottom w:val="none" w:sz="0" w:space="0" w:color="auto"/>
                            <w:right w:val="none" w:sz="0" w:space="0" w:color="auto"/>
                          </w:divBdr>
                          <w:divsChild>
                            <w:div w:id="12655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0455">
                  <w:marLeft w:val="0"/>
                  <w:marRight w:val="0"/>
                  <w:marTop w:val="100"/>
                  <w:marBottom w:val="100"/>
                  <w:divBdr>
                    <w:top w:val="none" w:sz="0" w:space="0" w:color="auto"/>
                    <w:left w:val="none" w:sz="0" w:space="0" w:color="auto"/>
                    <w:bottom w:val="none" w:sz="0" w:space="0" w:color="auto"/>
                    <w:right w:val="none" w:sz="0" w:space="0" w:color="auto"/>
                  </w:divBdr>
                  <w:divsChild>
                    <w:div w:id="846216334">
                      <w:marLeft w:val="15"/>
                      <w:marRight w:val="0"/>
                      <w:marTop w:val="6525"/>
                      <w:marBottom w:val="0"/>
                      <w:divBdr>
                        <w:top w:val="none" w:sz="0" w:space="0" w:color="auto"/>
                        <w:left w:val="none" w:sz="0" w:space="0" w:color="auto"/>
                        <w:bottom w:val="none" w:sz="0" w:space="0" w:color="auto"/>
                        <w:right w:val="none" w:sz="0" w:space="0" w:color="auto"/>
                      </w:divBdr>
                      <w:divsChild>
                        <w:div w:id="1187721004">
                          <w:marLeft w:val="0"/>
                          <w:marRight w:val="0"/>
                          <w:marTop w:val="0"/>
                          <w:marBottom w:val="0"/>
                          <w:divBdr>
                            <w:top w:val="none" w:sz="0" w:space="0" w:color="auto"/>
                            <w:left w:val="none" w:sz="0" w:space="0" w:color="auto"/>
                            <w:bottom w:val="none" w:sz="0" w:space="0" w:color="auto"/>
                            <w:right w:val="none" w:sz="0" w:space="0" w:color="auto"/>
                          </w:divBdr>
                          <w:divsChild>
                            <w:div w:id="19731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74141">
                  <w:marLeft w:val="0"/>
                  <w:marRight w:val="0"/>
                  <w:marTop w:val="100"/>
                  <w:marBottom w:val="100"/>
                  <w:divBdr>
                    <w:top w:val="none" w:sz="0" w:space="0" w:color="auto"/>
                    <w:left w:val="none" w:sz="0" w:space="0" w:color="auto"/>
                    <w:bottom w:val="none" w:sz="0" w:space="0" w:color="auto"/>
                    <w:right w:val="none" w:sz="0" w:space="0" w:color="auto"/>
                  </w:divBdr>
                  <w:divsChild>
                    <w:div w:id="989483463">
                      <w:marLeft w:val="10890"/>
                      <w:marRight w:val="0"/>
                      <w:marTop w:val="105"/>
                      <w:marBottom w:val="0"/>
                      <w:divBdr>
                        <w:top w:val="none" w:sz="0" w:space="0" w:color="auto"/>
                        <w:left w:val="none" w:sz="0" w:space="0" w:color="auto"/>
                        <w:bottom w:val="none" w:sz="0" w:space="0" w:color="auto"/>
                        <w:right w:val="none" w:sz="0" w:space="0" w:color="auto"/>
                      </w:divBdr>
                      <w:divsChild>
                        <w:div w:id="1646162123">
                          <w:marLeft w:val="0"/>
                          <w:marRight w:val="0"/>
                          <w:marTop w:val="0"/>
                          <w:marBottom w:val="0"/>
                          <w:divBdr>
                            <w:top w:val="none" w:sz="0" w:space="0" w:color="auto"/>
                            <w:left w:val="none" w:sz="0" w:space="0" w:color="auto"/>
                            <w:bottom w:val="none" w:sz="0" w:space="0" w:color="auto"/>
                            <w:right w:val="none" w:sz="0" w:space="0" w:color="auto"/>
                          </w:divBdr>
                          <w:divsChild>
                            <w:div w:id="159536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933989">
                  <w:marLeft w:val="0"/>
                  <w:marRight w:val="0"/>
                  <w:marTop w:val="100"/>
                  <w:marBottom w:val="100"/>
                  <w:divBdr>
                    <w:top w:val="none" w:sz="0" w:space="0" w:color="auto"/>
                    <w:left w:val="none" w:sz="0" w:space="0" w:color="auto"/>
                    <w:bottom w:val="none" w:sz="0" w:space="0" w:color="auto"/>
                    <w:right w:val="none" w:sz="0" w:space="0" w:color="auto"/>
                  </w:divBdr>
                  <w:divsChild>
                    <w:div w:id="123813519">
                      <w:marLeft w:val="0"/>
                      <w:marRight w:val="0"/>
                      <w:marTop w:val="856"/>
                      <w:marBottom w:val="0"/>
                      <w:divBdr>
                        <w:top w:val="none" w:sz="0" w:space="0" w:color="auto"/>
                        <w:left w:val="none" w:sz="0" w:space="0" w:color="auto"/>
                        <w:bottom w:val="none" w:sz="0" w:space="0" w:color="auto"/>
                        <w:right w:val="none" w:sz="0" w:space="0" w:color="auto"/>
                      </w:divBdr>
                      <w:divsChild>
                        <w:div w:id="2078819369">
                          <w:marLeft w:val="0"/>
                          <w:marRight w:val="0"/>
                          <w:marTop w:val="0"/>
                          <w:marBottom w:val="0"/>
                          <w:divBdr>
                            <w:top w:val="none" w:sz="0" w:space="0" w:color="auto"/>
                            <w:left w:val="none" w:sz="0" w:space="0" w:color="auto"/>
                            <w:bottom w:val="none" w:sz="0" w:space="0" w:color="auto"/>
                            <w:right w:val="none" w:sz="0" w:space="0" w:color="auto"/>
                          </w:divBdr>
                          <w:divsChild>
                            <w:div w:id="1567253477">
                              <w:marLeft w:val="0"/>
                              <w:marRight w:val="0"/>
                              <w:marTop w:val="0"/>
                              <w:marBottom w:val="0"/>
                              <w:divBdr>
                                <w:top w:val="none" w:sz="0" w:space="0" w:color="auto"/>
                                <w:left w:val="none" w:sz="0" w:space="0" w:color="auto"/>
                                <w:bottom w:val="none" w:sz="0" w:space="0" w:color="auto"/>
                                <w:right w:val="none" w:sz="0" w:space="0" w:color="auto"/>
                              </w:divBdr>
                              <w:divsChild>
                                <w:div w:id="1291864936">
                                  <w:marLeft w:val="0"/>
                                  <w:marRight w:val="0"/>
                                  <w:marTop w:val="0"/>
                                  <w:marBottom w:val="0"/>
                                  <w:divBdr>
                                    <w:top w:val="none" w:sz="0" w:space="0" w:color="auto"/>
                                    <w:left w:val="none" w:sz="0" w:space="0" w:color="auto"/>
                                    <w:bottom w:val="none" w:sz="0" w:space="0" w:color="auto"/>
                                    <w:right w:val="none" w:sz="0" w:space="0" w:color="auto"/>
                                  </w:divBdr>
                                </w:div>
                                <w:div w:id="1812095452">
                                  <w:marLeft w:val="0"/>
                                  <w:marRight w:val="0"/>
                                  <w:marTop w:val="0"/>
                                  <w:marBottom w:val="0"/>
                                  <w:divBdr>
                                    <w:top w:val="none" w:sz="0" w:space="0" w:color="auto"/>
                                    <w:left w:val="none" w:sz="0" w:space="0" w:color="auto"/>
                                    <w:bottom w:val="none" w:sz="0" w:space="0" w:color="auto"/>
                                    <w:right w:val="none" w:sz="0" w:space="0" w:color="auto"/>
                                  </w:divBdr>
                                  <w:divsChild>
                                    <w:div w:id="518352189">
                                      <w:marLeft w:val="0"/>
                                      <w:marRight w:val="0"/>
                                      <w:marTop w:val="0"/>
                                      <w:marBottom w:val="0"/>
                                      <w:divBdr>
                                        <w:top w:val="none" w:sz="0" w:space="0" w:color="auto"/>
                                        <w:left w:val="none" w:sz="0" w:space="0" w:color="auto"/>
                                        <w:bottom w:val="none" w:sz="0" w:space="0" w:color="auto"/>
                                        <w:right w:val="none" w:sz="0" w:space="0" w:color="auto"/>
                                      </w:divBdr>
                                      <w:divsChild>
                                        <w:div w:id="1057977303">
                                          <w:marLeft w:val="30"/>
                                          <w:marRight w:val="0"/>
                                          <w:marTop w:val="195"/>
                                          <w:marBottom w:val="0"/>
                                          <w:divBdr>
                                            <w:top w:val="none" w:sz="0" w:space="0" w:color="auto"/>
                                            <w:left w:val="none" w:sz="0" w:space="0" w:color="auto"/>
                                            <w:bottom w:val="none" w:sz="0" w:space="0" w:color="auto"/>
                                            <w:right w:val="none" w:sz="0" w:space="0" w:color="auto"/>
                                          </w:divBdr>
                                          <w:divsChild>
                                            <w:div w:id="1703893540">
                                              <w:marLeft w:val="0"/>
                                              <w:marRight w:val="0"/>
                                              <w:marTop w:val="0"/>
                                              <w:marBottom w:val="0"/>
                                              <w:divBdr>
                                                <w:top w:val="none" w:sz="0" w:space="0" w:color="auto"/>
                                                <w:left w:val="none" w:sz="0" w:space="0" w:color="auto"/>
                                                <w:bottom w:val="none" w:sz="0" w:space="0" w:color="auto"/>
                                                <w:right w:val="none" w:sz="0" w:space="0" w:color="auto"/>
                                              </w:divBdr>
                                              <w:divsChild>
                                                <w:div w:id="1217158640">
                                                  <w:marLeft w:val="0"/>
                                                  <w:marRight w:val="0"/>
                                                  <w:marTop w:val="0"/>
                                                  <w:marBottom w:val="0"/>
                                                  <w:divBdr>
                                                    <w:top w:val="none" w:sz="0" w:space="0" w:color="auto"/>
                                                    <w:left w:val="none" w:sz="0" w:space="0" w:color="auto"/>
                                                    <w:bottom w:val="none" w:sz="0" w:space="0" w:color="auto"/>
                                                    <w:right w:val="none" w:sz="0" w:space="0" w:color="auto"/>
                                                  </w:divBdr>
                                                  <w:divsChild>
                                                    <w:div w:id="2996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698631">
                      <w:marLeft w:val="0"/>
                      <w:marRight w:val="0"/>
                      <w:marTop w:val="1170"/>
                      <w:marBottom w:val="0"/>
                      <w:divBdr>
                        <w:top w:val="none" w:sz="0" w:space="0" w:color="auto"/>
                        <w:left w:val="none" w:sz="0" w:space="0" w:color="auto"/>
                        <w:bottom w:val="none" w:sz="0" w:space="0" w:color="auto"/>
                        <w:right w:val="none" w:sz="0" w:space="0" w:color="auto"/>
                      </w:divBdr>
                      <w:divsChild>
                        <w:div w:id="140119323">
                          <w:marLeft w:val="0"/>
                          <w:marRight w:val="0"/>
                          <w:marTop w:val="0"/>
                          <w:marBottom w:val="0"/>
                          <w:divBdr>
                            <w:top w:val="none" w:sz="0" w:space="0" w:color="auto"/>
                            <w:left w:val="none" w:sz="0" w:space="0" w:color="auto"/>
                            <w:bottom w:val="none" w:sz="0" w:space="0" w:color="auto"/>
                            <w:right w:val="none" w:sz="0" w:space="0" w:color="auto"/>
                          </w:divBdr>
                          <w:divsChild>
                            <w:div w:id="1933927481">
                              <w:marLeft w:val="0"/>
                              <w:marRight w:val="0"/>
                              <w:marTop w:val="0"/>
                              <w:marBottom w:val="0"/>
                              <w:divBdr>
                                <w:top w:val="none" w:sz="0" w:space="0" w:color="auto"/>
                                <w:left w:val="none" w:sz="0" w:space="0" w:color="auto"/>
                                <w:bottom w:val="none" w:sz="0" w:space="0" w:color="auto"/>
                                <w:right w:val="none" w:sz="0" w:space="0" w:color="auto"/>
                              </w:divBdr>
                              <w:divsChild>
                                <w:div w:id="315492782">
                                  <w:marLeft w:val="0"/>
                                  <w:marRight w:val="0"/>
                                  <w:marTop w:val="0"/>
                                  <w:marBottom w:val="0"/>
                                  <w:divBdr>
                                    <w:top w:val="none" w:sz="0" w:space="0" w:color="auto"/>
                                    <w:left w:val="none" w:sz="0" w:space="0" w:color="auto"/>
                                    <w:bottom w:val="none" w:sz="0" w:space="0" w:color="auto"/>
                                    <w:right w:val="none" w:sz="0" w:space="0" w:color="auto"/>
                                  </w:divBdr>
                                </w:div>
                                <w:div w:id="340621033">
                                  <w:marLeft w:val="0"/>
                                  <w:marRight w:val="0"/>
                                  <w:marTop w:val="0"/>
                                  <w:marBottom w:val="0"/>
                                  <w:divBdr>
                                    <w:top w:val="none" w:sz="0" w:space="0" w:color="auto"/>
                                    <w:left w:val="none" w:sz="0" w:space="0" w:color="auto"/>
                                    <w:bottom w:val="none" w:sz="0" w:space="0" w:color="auto"/>
                                    <w:right w:val="none" w:sz="0" w:space="0" w:color="auto"/>
                                  </w:divBdr>
                                </w:div>
                                <w:div w:id="15645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810392">
                  <w:marLeft w:val="0"/>
                  <w:marRight w:val="0"/>
                  <w:marTop w:val="100"/>
                  <w:marBottom w:val="100"/>
                  <w:divBdr>
                    <w:top w:val="none" w:sz="0" w:space="0" w:color="auto"/>
                    <w:left w:val="none" w:sz="0" w:space="0" w:color="auto"/>
                    <w:bottom w:val="none" w:sz="0" w:space="0" w:color="auto"/>
                    <w:right w:val="none" w:sz="0" w:space="0" w:color="auto"/>
                  </w:divBdr>
                  <w:divsChild>
                    <w:div w:id="1563977644">
                      <w:marLeft w:val="15"/>
                      <w:marRight w:val="0"/>
                      <w:marTop w:val="1470"/>
                      <w:marBottom w:val="0"/>
                      <w:divBdr>
                        <w:top w:val="none" w:sz="0" w:space="0" w:color="auto"/>
                        <w:left w:val="none" w:sz="0" w:space="0" w:color="auto"/>
                        <w:bottom w:val="none" w:sz="0" w:space="0" w:color="auto"/>
                        <w:right w:val="none" w:sz="0" w:space="0" w:color="auto"/>
                      </w:divBdr>
                      <w:divsChild>
                        <w:div w:id="1247298987">
                          <w:marLeft w:val="0"/>
                          <w:marRight w:val="0"/>
                          <w:marTop w:val="0"/>
                          <w:marBottom w:val="0"/>
                          <w:divBdr>
                            <w:top w:val="none" w:sz="0" w:space="0" w:color="auto"/>
                            <w:left w:val="none" w:sz="0" w:space="0" w:color="auto"/>
                            <w:bottom w:val="none" w:sz="0" w:space="0" w:color="auto"/>
                            <w:right w:val="none" w:sz="0" w:space="0" w:color="auto"/>
                          </w:divBdr>
                          <w:divsChild>
                            <w:div w:id="1171918547">
                              <w:marLeft w:val="0"/>
                              <w:marRight w:val="0"/>
                              <w:marTop w:val="0"/>
                              <w:marBottom w:val="0"/>
                              <w:divBdr>
                                <w:top w:val="none" w:sz="0" w:space="0" w:color="auto"/>
                                <w:left w:val="none" w:sz="0" w:space="0" w:color="auto"/>
                                <w:bottom w:val="none" w:sz="0" w:space="0" w:color="auto"/>
                                <w:right w:val="none" w:sz="0" w:space="0" w:color="auto"/>
                              </w:divBdr>
                              <w:divsChild>
                                <w:div w:id="1679695873">
                                  <w:marLeft w:val="0"/>
                                  <w:marRight w:val="0"/>
                                  <w:marTop w:val="0"/>
                                  <w:marBottom w:val="0"/>
                                  <w:divBdr>
                                    <w:top w:val="none" w:sz="0" w:space="0" w:color="auto"/>
                                    <w:left w:val="none" w:sz="0" w:space="0" w:color="auto"/>
                                    <w:bottom w:val="none" w:sz="0" w:space="0" w:color="auto"/>
                                    <w:right w:val="none" w:sz="0" w:space="0" w:color="auto"/>
                                  </w:divBdr>
                                  <w:divsChild>
                                    <w:div w:id="1256405482">
                                      <w:marLeft w:val="30"/>
                                      <w:marRight w:val="0"/>
                                      <w:marTop w:val="0"/>
                                      <w:marBottom w:val="0"/>
                                      <w:divBdr>
                                        <w:top w:val="none" w:sz="0" w:space="0" w:color="auto"/>
                                        <w:left w:val="none" w:sz="0" w:space="0" w:color="auto"/>
                                        <w:bottom w:val="none" w:sz="0" w:space="0" w:color="auto"/>
                                        <w:right w:val="none" w:sz="0" w:space="0" w:color="auto"/>
                                      </w:divBdr>
                                      <w:divsChild>
                                        <w:div w:id="990523671">
                                          <w:marLeft w:val="0"/>
                                          <w:marRight w:val="0"/>
                                          <w:marTop w:val="0"/>
                                          <w:marBottom w:val="0"/>
                                          <w:divBdr>
                                            <w:top w:val="none" w:sz="0" w:space="0" w:color="auto"/>
                                            <w:left w:val="none" w:sz="0" w:space="0" w:color="auto"/>
                                            <w:bottom w:val="none" w:sz="0" w:space="0" w:color="auto"/>
                                            <w:right w:val="none" w:sz="0" w:space="0" w:color="auto"/>
                                          </w:divBdr>
                                          <w:divsChild>
                                            <w:div w:id="11675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226973">
                  <w:marLeft w:val="0"/>
                  <w:marRight w:val="0"/>
                  <w:marTop w:val="100"/>
                  <w:marBottom w:val="100"/>
                  <w:divBdr>
                    <w:top w:val="none" w:sz="0" w:space="0" w:color="auto"/>
                    <w:left w:val="none" w:sz="0" w:space="0" w:color="auto"/>
                    <w:bottom w:val="none" w:sz="0" w:space="0" w:color="auto"/>
                    <w:right w:val="none" w:sz="0" w:space="0" w:color="auto"/>
                  </w:divBdr>
                  <w:divsChild>
                    <w:div w:id="1695376631">
                      <w:marLeft w:val="15"/>
                      <w:marRight w:val="0"/>
                      <w:marTop w:val="0"/>
                      <w:marBottom w:val="0"/>
                      <w:divBdr>
                        <w:top w:val="none" w:sz="0" w:space="0" w:color="auto"/>
                        <w:left w:val="none" w:sz="0" w:space="0" w:color="auto"/>
                        <w:bottom w:val="none" w:sz="0" w:space="0" w:color="auto"/>
                        <w:right w:val="none" w:sz="0" w:space="0" w:color="auto"/>
                      </w:divBdr>
                      <w:divsChild>
                        <w:div w:id="467748330">
                          <w:marLeft w:val="0"/>
                          <w:marRight w:val="0"/>
                          <w:marTop w:val="0"/>
                          <w:marBottom w:val="0"/>
                          <w:divBdr>
                            <w:top w:val="none" w:sz="0" w:space="0" w:color="auto"/>
                            <w:left w:val="none" w:sz="0" w:space="0" w:color="auto"/>
                            <w:bottom w:val="none" w:sz="0" w:space="0" w:color="auto"/>
                            <w:right w:val="none" w:sz="0" w:space="0" w:color="auto"/>
                          </w:divBdr>
                          <w:divsChild>
                            <w:div w:id="144663343">
                              <w:marLeft w:val="0"/>
                              <w:marRight w:val="0"/>
                              <w:marTop w:val="0"/>
                              <w:marBottom w:val="0"/>
                              <w:divBdr>
                                <w:top w:val="none" w:sz="0" w:space="0" w:color="auto"/>
                                <w:left w:val="none" w:sz="0" w:space="0" w:color="auto"/>
                                <w:bottom w:val="none" w:sz="0" w:space="0" w:color="auto"/>
                                <w:right w:val="none" w:sz="0" w:space="0" w:color="auto"/>
                              </w:divBdr>
                              <w:divsChild>
                                <w:div w:id="701250804">
                                  <w:marLeft w:val="0"/>
                                  <w:marRight w:val="0"/>
                                  <w:marTop w:val="0"/>
                                  <w:marBottom w:val="0"/>
                                  <w:divBdr>
                                    <w:top w:val="none" w:sz="0" w:space="0" w:color="auto"/>
                                    <w:left w:val="none" w:sz="0" w:space="0" w:color="auto"/>
                                    <w:bottom w:val="none" w:sz="0" w:space="0" w:color="auto"/>
                                    <w:right w:val="none" w:sz="0" w:space="0" w:color="auto"/>
                                  </w:divBdr>
                                  <w:divsChild>
                                    <w:div w:id="72706640">
                                      <w:marLeft w:val="0"/>
                                      <w:marRight w:val="0"/>
                                      <w:marTop w:val="0"/>
                                      <w:marBottom w:val="0"/>
                                      <w:divBdr>
                                        <w:top w:val="none" w:sz="0" w:space="0" w:color="auto"/>
                                        <w:left w:val="none" w:sz="0" w:space="0" w:color="auto"/>
                                        <w:bottom w:val="none" w:sz="0" w:space="0" w:color="auto"/>
                                        <w:right w:val="none" w:sz="0" w:space="0" w:color="auto"/>
                                      </w:divBdr>
                                      <w:divsChild>
                                        <w:div w:id="16818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911321">
                          <w:marLeft w:val="0"/>
                          <w:marRight w:val="0"/>
                          <w:marTop w:val="0"/>
                          <w:marBottom w:val="0"/>
                          <w:divBdr>
                            <w:top w:val="none" w:sz="0" w:space="0" w:color="auto"/>
                            <w:left w:val="none" w:sz="0" w:space="0" w:color="auto"/>
                            <w:bottom w:val="none" w:sz="0" w:space="0" w:color="auto"/>
                            <w:right w:val="none" w:sz="0" w:space="0" w:color="auto"/>
                          </w:divBdr>
                          <w:divsChild>
                            <w:div w:id="927498140">
                              <w:marLeft w:val="0"/>
                              <w:marRight w:val="0"/>
                              <w:marTop w:val="0"/>
                              <w:marBottom w:val="0"/>
                              <w:divBdr>
                                <w:top w:val="none" w:sz="0" w:space="0" w:color="auto"/>
                                <w:left w:val="none" w:sz="0" w:space="0" w:color="auto"/>
                                <w:bottom w:val="none" w:sz="0" w:space="0" w:color="auto"/>
                                <w:right w:val="none" w:sz="0" w:space="0" w:color="auto"/>
                              </w:divBdr>
                              <w:divsChild>
                                <w:div w:id="8345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579823">
          <w:marLeft w:val="0"/>
          <w:marRight w:val="0"/>
          <w:marTop w:val="0"/>
          <w:marBottom w:val="0"/>
          <w:divBdr>
            <w:top w:val="none" w:sz="0" w:space="0" w:color="auto"/>
            <w:left w:val="none" w:sz="0" w:space="0" w:color="auto"/>
            <w:bottom w:val="none" w:sz="0" w:space="0" w:color="auto"/>
            <w:right w:val="single" w:sz="6" w:space="0" w:color="999999"/>
          </w:divBdr>
        </w:div>
        <w:div w:id="1301685936">
          <w:marLeft w:val="0"/>
          <w:marRight w:val="0"/>
          <w:marTop w:val="0"/>
          <w:marBottom w:val="0"/>
          <w:divBdr>
            <w:top w:val="none" w:sz="0" w:space="0" w:color="auto"/>
            <w:left w:val="none" w:sz="0" w:space="0" w:color="auto"/>
            <w:bottom w:val="single" w:sz="6" w:space="0" w:color="BBBBBB"/>
            <w:right w:val="none" w:sz="0" w:space="0" w:color="auto"/>
          </w:divBdr>
          <w:divsChild>
            <w:div w:id="1447700995">
              <w:marLeft w:val="0"/>
              <w:marRight w:val="0"/>
              <w:marTop w:val="0"/>
              <w:marBottom w:val="0"/>
              <w:divBdr>
                <w:top w:val="none" w:sz="0" w:space="0" w:color="auto"/>
                <w:left w:val="none" w:sz="0" w:space="0" w:color="auto"/>
                <w:bottom w:val="none" w:sz="0" w:space="0" w:color="auto"/>
                <w:right w:val="none" w:sz="0" w:space="0" w:color="auto"/>
              </w:divBdr>
            </w:div>
          </w:divsChild>
        </w:div>
        <w:div w:id="1579054035">
          <w:marLeft w:val="0"/>
          <w:marRight w:val="0"/>
          <w:marTop w:val="0"/>
          <w:marBottom w:val="0"/>
          <w:divBdr>
            <w:top w:val="none" w:sz="0" w:space="0" w:color="auto"/>
            <w:left w:val="none" w:sz="0" w:space="0" w:color="auto"/>
            <w:bottom w:val="none" w:sz="0" w:space="0" w:color="auto"/>
            <w:right w:val="none" w:sz="0" w:space="0" w:color="auto"/>
          </w:divBdr>
          <w:divsChild>
            <w:div w:id="2893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4284">
      <w:bodyDiv w:val="1"/>
      <w:marLeft w:val="0"/>
      <w:marRight w:val="0"/>
      <w:marTop w:val="0"/>
      <w:marBottom w:val="0"/>
      <w:divBdr>
        <w:top w:val="none" w:sz="0" w:space="0" w:color="auto"/>
        <w:left w:val="none" w:sz="0" w:space="0" w:color="auto"/>
        <w:bottom w:val="none" w:sz="0" w:space="0" w:color="auto"/>
        <w:right w:val="none" w:sz="0" w:space="0" w:color="auto"/>
      </w:divBdr>
    </w:div>
    <w:div w:id="1741293396">
      <w:bodyDiv w:val="1"/>
      <w:marLeft w:val="0"/>
      <w:marRight w:val="0"/>
      <w:marTop w:val="0"/>
      <w:marBottom w:val="0"/>
      <w:divBdr>
        <w:top w:val="none" w:sz="0" w:space="0" w:color="auto"/>
        <w:left w:val="none" w:sz="0" w:space="0" w:color="auto"/>
        <w:bottom w:val="none" w:sz="0" w:space="0" w:color="auto"/>
        <w:right w:val="none" w:sz="0" w:space="0" w:color="auto"/>
      </w:divBdr>
    </w:div>
    <w:div w:id="1890333692">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1.xml"/><Relationship Id="rId26" Type="http://schemas.openxmlformats.org/officeDocument/2006/relationships/image" Target="media/image11.jpeg"/><Relationship Id="rId39" Type="http://schemas.openxmlformats.org/officeDocument/2006/relationships/image" Target="media/image15.jpeg"/><Relationship Id="rId21" Type="http://schemas.openxmlformats.org/officeDocument/2006/relationships/image" Target="media/image9.png"/><Relationship Id="rId34" Type="http://schemas.openxmlformats.org/officeDocument/2006/relationships/header" Target="header1.xml"/><Relationship Id="rId42" Type="http://schemas.openxmlformats.org/officeDocument/2006/relationships/chart" Target="charts/chart9.xml"/><Relationship Id="rId47" Type="http://schemas.openxmlformats.org/officeDocument/2006/relationships/chart" Target="charts/chart14.xml"/><Relationship Id="rId50" Type="http://schemas.openxmlformats.org/officeDocument/2006/relationships/chart" Target="charts/chart16.xml"/><Relationship Id="rId55"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chart" Target="charts/chart8.xml"/><Relationship Id="rId38" Type="http://schemas.openxmlformats.org/officeDocument/2006/relationships/footer" Target="footer4.xml"/><Relationship Id="rId46" Type="http://schemas.openxmlformats.org/officeDocument/2006/relationships/chart" Target="charts/chart13.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chart" Target="charts/chart5.xml"/><Relationship Id="rId41" Type="http://schemas.openxmlformats.org/officeDocument/2006/relationships/image" Target="media/image17.jpeg"/><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chart" Target="charts/chart7.xml"/><Relationship Id="rId37" Type="http://schemas.openxmlformats.org/officeDocument/2006/relationships/header" Target="header2.xml"/><Relationship Id="rId40" Type="http://schemas.openxmlformats.org/officeDocument/2006/relationships/image" Target="media/image16.jpeg"/><Relationship Id="rId45" Type="http://schemas.openxmlformats.org/officeDocument/2006/relationships/chart" Target="charts/chart12.xml"/><Relationship Id="rId53" Type="http://schemas.openxmlformats.org/officeDocument/2006/relationships/image" Target="media/image19.emf"/><Relationship Id="rId58"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chart" Target="charts/chart4.xml"/><Relationship Id="rId36" Type="http://schemas.openxmlformats.org/officeDocument/2006/relationships/image" Target="media/image14.png"/><Relationship Id="rId49" Type="http://schemas.openxmlformats.org/officeDocument/2006/relationships/image" Target="media/image18.png"/><Relationship Id="rId57"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6.xml"/><Relationship Id="rId44" Type="http://schemas.openxmlformats.org/officeDocument/2006/relationships/chart" Target="charts/chart11.xml"/><Relationship Id="rId52" Type="http://schemas.openxmlformats.org/officeDocument/2006/relationships/chart" Target="charts/chart18.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image" Target="media/image12.jpg"/><Relationship Id="rId30" Type="http://schemas.openxmlformats.org/officeDocument/2006/relationships/image" Target="media/image13.png"/><Relationship Id="rId35" Type="http://schemas.openxmlformats.org/officeDocument/2006/relationships/footer" Target="footer3.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image" Target="media/image21.emf"/><Relationship Id="rId8" Type="http://schemas.openxmlformats.org/officeDocument/2006/relationships/webSettings" Target="webSettings.xml"/><Relationship Id="rId51" Type="http://schemas.openxmlformats.org/officeDocument/2006/relationships/chart" Target="charts/chart17.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ighec\Documents\AA%20PhD%20Docs\Spreadsheets\MFASetUp.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tighec\Desktop\AmPu%20Rotat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tighec\Desktop\AmPu%20Rotated.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tighec\Desktop\AmPu%20Rotated.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tighec\Desktop\AmPu%20Rotate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tighec\Desktop\AmPu%20Rotate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hristopher\Desktop\AmPu%20Rotated%20241%20ALTERATION.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Christopher\Desktop\AmPu%20Rotated.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Christopher\Desktop\AmPu%20Rotated.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ighec\Documents\AA%20PhD%20Docs\Spreadsheets\MFA%20Background%20coun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ighec\Desktop\AmPu%20Rotat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ighec\Documents\AA%20PhD%20Docs\Spreadsheets\MFASetUp.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2TTL16Detector4MF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2TTL16Detector4MF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2TTL16Detector4MF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tighec\Desktop\AmPu%20Rotat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517460248217"/>
          <c:y val="5.0408947375553959E-2"/>
          <c:w val="0.83677152267323929"/>
          <c:h val="0.70493074660848121"/>
        </c:manualLayout>
      </c:layout>
      <c:barChart>
        <c:barDir val="col"/>
        <c:grouping val="clustered"/>
        <c:varyColors val="0"/>
        <c:ser>
          <c:idx val="0"/>
          <c:order val="0"/>
          <c:tx>
            <c:strRef>
              <c:f>Background!$B$3</c:f>
              <c:strCache>
                <c:ptCount val="1"/>
                <c:pt idx="0">
                  <c:v>Set up 1</c:v>
                </c:pt>
              </c:strCache>
            </c:strRef>
          </c:tx>
          <c:spPr>
            <a:pattFill prst="pct50">
              <a:fgClr>
                <a:srgbClr val="FF0000"/>
              </a:fgClr>
              <a:bgClr>
                <a:schemeClr val="bg1"/>
              </a:bgClr>
            </a:pattFill>
            <a:ln>
              <a:solidFill>
                <a:schemeClr val="tx1"/>
              </a:solidFill>
            </a:ln>
            <a:effectLst/>
          </c:spPr>
          <c:invertIfNegative val="0"/>
          <c:errBars>
            <c:errBarType val="both"/>
            <c:errValType val="cust"/>
            <c:noEndCap val="0"/>
            <c:plus>
              <c:numRef>
                <c:f>(Background!$C$4:$D$4,Background!$G$4:$I$4,Background!$K$4:$O$4)</c:f>
                <c:numCache>
                  <c:formatCode>General</c:formatCode>
                  <c:ptCount val="10"/>
                  <c:pt idx="0">
                    <c:v>30.610455730027933</c:v>
                  </c:pt>
                  <c:pt idx="1">
                    <c:v>31.016124838541646</c:v>
                  </c:pt>
                  <c:pt idx="2">
                    <c:v>28.948229652260256</c:v>
                  </c:pt>
                  <c:pt idx="3">
                    <c:v>29.8496231131986</c:v>
                  </c:pt>
                  <c:pt idx="4">
                    <c:v>29.240383034426891</c:v>
                  </c:pt>
                  <c:pt idx="5">
                    <c:v>34.132096331752024</c:v>
                  </c:pt>
                  <c:pt idx="6">
                    <c:v>30.215889859476256</c:v>
                  </c:pt>
                  <c:pt idx="7">
                    <c:v>39.319206502675002</c:v>
                  </c:pt>
                  <c:pt idx="8">
                    <c:v>34.380226875342167</c:v>
                  </c:pt>
                  <c:pt idx="9">
                    <c:v>30.854497241083024</c:v>
                  </c:pt>
                </c:numCache>
              </c:numRef>
            </c:plus>
            <c:minus>
              <c:numRef>
                <c:f>(Background!$C$6:$D$6,Background!$G$6:$I$6,Background!$K$6:$O$6)</c:f>
                <c:numCache>
                  <c:formatCode>General</c:formatCode>
                  <c:ptCount val="10"/>
                  <c:pt idx="0">
                    <c:v>36.633318168028403</c:v>
                  </c:pt>
                  <c:pt idx="1">
                    <c:v>37.013511046643494</c:v>
                  </c:pt>
                  <c:pt idx="2">
                    <c:v>37.894590642992831</c:v>
                  </c:pt>
                  <c:pt idx="3">
                    <c:v>32.511536414017719</c:v>
                  </c:pt>
                  <c:pt idx="4">
                    <c:v>36.110940170535578</c:v>
                  </c:pt>
                  <c:pt idx="5">
                    <c:v>41.928510586473259</c:v>
                  </c:pt>
                  <c:pt idx="6">
                    <c:v>36.687872655688281</c:v>
                  </c:pt>
                  <c:pt idx="7">
                    <c:v>38.652296180175377</c:v>
                  </c:pt>
                  <c:pt idx="8">
                    <c:v>42.023802778901391</c:v>
                  </c:pt>
                  <c:pt idx="9">
                    <c:v>38.288379438153292</c:v>
                  </c:pt>
                </c:numCache>
              </c:numRef>
            </c:minus>
            <c:spPr>
              <a:noFill/>
              <a:ln w="19050" cap="flat" cmpd="sng" algn="ctr">
                <a:solidFill>
                  <a:schemeClr val="bg1">
                    <a:lumMod val="65000"/>
                  </a:schemeClr>
                </a:solidFill>
                <a:round/>
              </a:ln>
              <a:effectLst/>
            </c:spPr>
          </c:errBars>
          <c:cat>
            <c:numRef>
              <c:f>(Background!$C$1:$D$1,Background!$G$1:$I$1,Background!$K$1:$O$1)</c:f>
              <c:numCache>
                <c:formatCode>General</c:formatCode>
                <c:ptCount val="10"/>
                <c:pt idx="0">
                  <c:v>1</c:v>
                </c:pt>
                <c:pt idx="1">
                  <c:v>2</c:v>
                </c:pt>
                <c:pt idx="2">
                  <c:v>5</c:v>
                </c:pt>
                <c:pt idx="3">
                  <c:v>6</c:v>
                </c:pt>
                <c:pt idx="4">
                  <c:v>7</c:v>
                </c:pt>
                <c:pt idx="5">
                  <c:v>9</c:v>
                </c:pt>
                <c:pt idx="6">
                  <c:v>10</c:v>
                </c:pt>
                <c:pt idx="7">
                  <c:v>11</c:v>
                </c:pt>
                <c:pt idx="8">
                  <c:v>12</c:v>
                </c:pt>
                <c:pt idx="9">
                  <c:v>13</c:v>
                </c:pt>
              </c:numCache>
            </c:numRef>
          </c:cat>
          <c:val>
            <c:numRef>
              <c:f>(Background!$C$3:$D$3,Background!$G$3:$I$3,Background!$K$3:$O$3)</c:f>
              <c:numCache>
                <c:formatCode>General</c:formatCode>
                <c:ptCount val="10"/>
                <c:pt idx="0">
                  <c:v>937</c:v>
                </c:pt>
                <c:pt idx="1">
                  <c:v>962</c:v>
                </c:pt>
                <c:pt idx="2">
                  <c:v>838</c:v>
                </c:pt>
                <c:pt idx="3">
                  <c:v>891</c:v>
                </c:pt>
                <c:pt idx="4">
                  <c:v>855</c:v>
                </c:pt>
                <c:pt idx="5">
                  <c:v>1165</c:v>
                </c:pt>
                <c:pt idx="6">
                  <c:v>913</c:v>
                </c:pt>
                <c:pt idx="7">
                  <c:v>1546</c:v>
                </c:pt>
                <c:pt idx="8">
                  <c:v>1182</c:v>
                </c:pt>
                <c:pt idx="9">
                  <c:v>952</c:v>
                </c:pt>
              </c:numCache>
            </c:numRef>
          </c:val>
          <c:extLst>
            <c:ext xmlns:c16="http://schemas.microsoft.com/office/drawing/2014/chart" uri="{C3380CC4-5D6E-409C-BE32-E72D297353CC}">
              <c16:uniqueId val="{00000000-54D5-4833-9D7B-9413AB0B69DD}"/>
            </c:ext>
          </c:extLst>
        </c:ser>
        <c:ser>
          <c:idx val="1"/>
          <c:order val="1"/>
          <c:tx>
            <c:strRef>
              <c:f>Background!$B$5</c:f>
              <c:strCache>
                <c:ptCount val="1"/>
                <c:pt idx="0">
                  <c:v>Set up 2</c:v>
                </c:pt>
              </c:strCache>
            </c:strRef>
          </c:tx>
          <c:spPr>
            <a:pattFill prst="dkHorz">
              <a:fgClr>
                <a:srgbClr val="FF0000"/>
              </a:fgClr>
              <a:bgClr>
                <a:schemeClr val="bg1"/>
              </a:bgClr>
            </a:pattFill>
            <a:ln>
              <a:solidFill>
                <a:schemeClr val="tx1"/>
              </a:solidFill>
            </a:ln>
            <a:effectLst/>
          </c:spPr>
          <c:invertIfNegative val="0"/>
          <c:errBars>
            <c:errBarType val="both"/>
            <c:errValType val="cust"/>
            <c:noEndCap val="0"/>
            <c:plus>
              <c:numRef>
                <c:f>(Background!$C$6:$D$6,Background!$G$6:$I$6,Background!$K$6:$O$6)</c:f>
                <c:numCache>
                  <c:formatCode>General</c:formatCode>
                  <c:ptCount val="10"/>
                  <c:pt idx="0">
                    <c:v>36.633318168028403</c:v>
                  </c:pt>
                  <c:pt idx="1">
                    <c:v>37.013511046643494</c:v>
                  </c:pt>
                  <c:pt idx="2">
                    <c:v>37.894590642992831</c:v>
                  </c:pt>
                  <c:pt idx="3">
                    <c:v>32.511536414017719</c:v>
                  </c:pt>
                  <c:pt idx="4">
                    <c:v>36.110940170535578</c:v>
                  </c:pt>
                  <c:pt idx="5">
                    <c:v>41.928510586473259</c:v>
                  </c:pt>
                  <c:pt idx="6">
                    <c:v>36.687872655688281</c:v>
                  </c:pt>
                  <c:pt idx="7">
                    <c:v>38.652296180175377</c:v>
                  </c:pt>
                  <c:pt idx="8">
                    <c:v>42.023802778901391</c:v>
                  </c:pt>
                  <c:pt idx="9">
                    <c:v>38.288379438153292</c:v>
                  </c:pt>
                </c:numCache>
              </c:numRef>
            </c:plus>
            <c:minus>
              <c:numRef>
                <c:f>(Background!$C$6:$D$6,Background!$G$6:$I$6,Background!$K$6:$O$6)</c:f>
                <c:numCache>
                  <c:formatCode>General</c:formatCode>
                  <c:ptCount val="10"/>
                  <c:pt idx="0">
                    <c:v>36.633318168028403</c:v>
                  </c:pt>
                  <c:pt idx="1">
                    <c:v>37.013511046643494</c:v>
                  </c:pt>
                  <c:pt idx="2">
                    <c:v>37.894590642992831</c:v>
                  </c:pt>
                  <c:pt idx="3">
                    <c:v>32.511536414017719</c:v>
                  </c:pt>
                  <c:pt idx="4">
                    <c:v>36.110940170535578</c:v>
                  </c:pt>
                  <c:pt idx="5">
                    <c:v>41.928510586473259</c:v>
                  </c:pt>
                  <c:pt idx="6">
                    <c:v>36.687872655688281</c:v>
                  </c:pt>
                  <c:pt idx="7">
                    <c:v>38.652296180175377</c:v>
                  </c:pt>
                  <c:pt idx="8">
                    <c:v>42.023802778901391</c:v>
                  </c:pt>
                  <c:pt idx="9">
                    <c:v>38.288379438153292</c:v>
                  </c:pt>
                </c:numCache>
              </c:numRef>
            </c:minus>
            <c:spPr>
              <a:noFill/>
              <a:ln w="19050" cap="flat" cmpd="sng" algn="ctr">
                <a:solidFill>
                  <a:schemeClr val="bg1">
                    <a:lumMod val="65000"/>
                  </a:schemeClr>
                </a:solidFill>
                <a:round/>
              </a:ln>
              <a:effectLst/>
            </c:spPr>
          </c:errBars>
          <c:cat>
            <c:numRef>
              <c:f>(Background!$C$1:$D$1,Background!$G$1:$I$1,Background!$K$1:$O$1)</c:f>
              <c:numCache>
                <c:formatCode>General</c:formatCode>
                <c:ptCount val="10"/>
                <c:pt idx="0">
                  <c:v>1</c:v>
                </c:pt>
                <c:pt idx="1">
                  <c:v>2</c:v>
                </c:pt>
                <c:pt idx="2">
                  <c:v>5</c:v>
                </c:pt>
                <c:pt idx="3">
                  <c:v>6</c:v>
                </c:pt>
                <c:pt idx="4">
                  <c:v>7</c:v>
                </c:pt>
                <c:pt idx="5">
                  <c:v>9</c:v>
                </c:pt>
                <c:pt idx="6">
                  <c:v>10</c:v>
                </c:pt>
                <c:pt idx="7">
                  <c:v>11</c:v>
                </c:pt>
                <c:pt idx="8">
                  <c:v>12</c:v>
                </c:pt>
                <c:pt idx="9">
                  <c:v>13</c:v>
                </c:pt>
              </c:numCache>
            </c:numRef>
          </c:cat>
          <c:val>
            <c:numRef>
              <c:f>(Background!$C$5:$D$5,Background!$G$5:$I$5,Background!$K$5:$O$5)</c:f>
              <c:numCache>
                <c:formatCode>General</c:formatCode>
                <c:ptCount val="10"/>
                <c:pt idx="0">
                  <c:v>1342</c:v>
                </c:pt>
                <c:pt idx="1">
                  <c:v>1370</c:v>
                </c:pt>
                <c:pt idx="2">
                  <c:v>1436</c:v>
                </c:pt>
                <c:pt idx="3">
                  <c:v>1057</c:v>
                </c:pt>
                <c:pt idx="4">
                  <c:v>1304</c:v>
                </c:pt>
                <c:pt idx="5">
                  <c:v>1758</c:v>
                </c:pt>
                <c:pt idx="6">
                  <c:v>1346</c:v>
                </c:pt>
                <c:pt idx="7">
                  <c:v>1494</c:v>
                </c:pt>
                <c:pt idx="8">
                  <c:v>1766</c:v>
                </c:pt>
                <c:pt idx="9">
                  <c:v>1466</c:v>
                </c:pt>
              </c:numCache>
            </c:numRef>
          </c:val>
          <c:extLst>
            <c:ext xmlns:c16="http://schemas.microsoft.com/office/drawing/2014/chart" uri="{C3380CC4-5D6E-409C-BE32-E72D297353CC}">
              <c16:uniqueId val="{00000001-54D5-4833-9D7B-9413AB0B69DD}"/>
            </c:ext>
          </c:extLst>
        </c:ser>
        <c:dLbls>
          <c:showLegendKey val="0"/>
          <c:showVal val="0"/>
          <c:showCatName val="0"/>
          <c:showSerName val="0"/>
          <c:showPercent val="0"/>
          <c:showBubbleSize val="0"/>
        </c:dLbls>
        <c:gapWidth val="219"/>
        <c:overlap val="-27"/>
        <c:axId val="524084864"/>
        <c:axId val="524082896"/>
      </c:barChart>
      <c:catAx>
        <c:axId val="52408486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Measurement Number</a:t>
                </a:r>
              </a:p>
            </c:rich>
          </c:tx>
          <c:layout>
            <c:manualLayout>
              <c:xMode val="edge"/>
              <c:yMode val="edge"/>
              <c:x val="0.39397491657033173"/>
              <c:y val="0.842111754103026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24082896"/>
        <c:crosses val="autoZero"/>
        <c:auto val="1"/>
        <c:lblAlgn val="ctr"/>
        <c:lblOffset val="100"/>
        <c:noMultiLvlLbl val="0"/>
      </c:catAx>
      <c:valAx>
        <c:axId val="52408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sz="1200">
                    <a:solidFill>
                      <a:sysClr val="windowText" lastClr="000000"/>
                    </a:solidFill>
                  </a:rPr>
                  <a:t>Neutron Counts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24084864"/>
        <c:crosses val="autoZero"/>
        <c:crossBetween val="between"/>
      </c:valAx>
      <c:spPr>
        <a:noFill/>
        <a:ln>
          <a:noFill/>
        </a:ln>
        <a:effectLst/>
      </c:spPr>
    </c:plotArea>
    <c:legend>
      <c:legendPos val="b"/>
      <c:layout>
        <c:manualLayout>
          <c:xMode val="edge"/>
          <c:yMode val="edge"/>
          <c:x val="0.37350456954653521"/>
          <c:y val="0.92006213831704775"/>
          <c:w val="0.34912447856243672"/>
          <c:h val="6.8493619131961628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54640107072709"/>
          <c:y val="5.2847666768926618E-2"/>
          <c:w val="0.85405485738123799"/>
          <c:h val="0.75300242015202645"/>
        </c:manualLayout>
      </c:layout>
      <c:barChart>
        <c:barDir val="col"/>
        <c:grouping val="clustered"/>
        <c:varyColors val="0"/>
        <c:ser>
          <c:idx val="0"/>
          <c:order val="0"/>
          <c:spPr>
            <a:solidFill>
              <a:schemeClr val="tx1"/>
            </a:solidFill>
            <a:ln>
              <a:noFill/>
            </a:ln>
            <a:effectLst/>
          </c:spPr>
          <c:invertIfNegative val="0"/>
          <c:dPt>
            <c:idx val="10"/>
            <c:invertIfNegative val="0"/>
            <c:bubble3D val="0"/>
            <c:spPr>
              <a:pattFill prst="wdDnDiag">
                <a:fgClr>
                  <a:srgbClr val="FF0000"/>
                </a:fgClr>
                <a:bgClr>
                  <a:schemeClr val="bg1"/>
                </a:bgClr>
              </a:pattFill>
              <a:ln>
                <a:solidFill>
                  <a:schemeClr val="tx1"/>
                </a:solidFill>
              </a:ln>
              <a:effectLst/>
            </c:spPr>
            <c:extLst>
              <c:ext xmlns:c16="http://schemas.microsoft.com/office/drawing/2014/chart" uri="{C3380CC4-5D6E-409C-BE32-E72D297353CC}">
                <c16:uniqueId val="{00000001-0A17-4C89-8D39-FF892EBD1925}"/>
              </c:ext>
            </c:extLst>
          </c:dPt>
          <c:dPt>
            <c:idx val="11"/>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3-0A17-4C89-8D39-FF892EBD1925}"/>
              </c:ext>
            </c:extLst>
          </c:dPt>
          <c:dPt>
            <c:idx val="12"/>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5-0A17-4C89-8D39-FF892EBD1925}"/>
              </c:ext>
            </c:extLst>
          </c:dPt>
          <c:dPt>
            <c:idx val="13"/>
            <c:invertIfNegative val="0"/>
            <c:bubble3D val="0"/>
            <c:spPr>
              <a:pattFill prst="wdDnDiag">
                <a:fgClr>
                  <a:srgbClr val="FF0000"/>
                </a:fgClr>
                <a:bgClr>
                  <a:schemeClr val="bg1"/>
                </a:bgClr>
              </a:pattFill>
              <a:ln>
                <a:solidFill>
                  <a:schemeClr val="tx1"/>
                </a:solidFill>
              </a:ln>
              <a:effectLst/>
            </c:spPr>
            <c:extLst>
              <c:ext xmlns:c16="http://schemas.microsoft.com/office/drawing/2014/chart" uri="{C3380CC4-5D6E-409C-BE32-E72D297353CC}">
                <c16:uniqueId val="{00000007-0A17-4C89-8D39-FF892EBD1925}"/>
              </c:ext>
            </c:extLst>
          </c:dPt>
          <c:dPt>
            <c:idx val="14"/>
            <c:invertIfNegative val="0"/>
            <c:bubble3D val="0"/>
            <c:spPr>
              <a:pattFill prst="lgCheck">
                <a:fgClr>
                  <a:schemeClr val="tx1"/>
                </a:fgClr>
                <a:bgClr>
                  <a:schemeClr val="bg1"/>
                </a:bgClr>
              </a:pattFill>
              <a:ln>
                <a:solidFill>
                  <a:schemeClr val="tx1"/>
                </a:solidFill>
              </a:ln>
              <a:effectLst/>
            </c:spPr>
            <c:extLst>
              <c:ext xmlns:c16="http://schemas.microsoft.com/office/drawing/2014/chart" uri="{C3380CC4-5D6E-409C-BE32-E72D297353CC}">
                <c16:uniqueId val="{00000009-0A17-4C89-8D39-FF892EBD1925}"/>
              </c:ext>
            </c:extLst>
          </c:dPt>
          <c:dPt>
            <c:idx val="15"/>
            <c:invertIfNegative val="0"/>
            <c:bubble3D val="0"/>
            <c:spPr>
              <a:pattFill prst="lgCheck">
                <a:fgClr>
                  <a:srgbClr val="FF0000"/>
                </a:fgClr>
                <a:bgClr>
                  <a:schemeClr val="bg1"/>
                </a:bgClr>
              </a:pattFill>
              <a:ln>
                <a:solidFill>
                  <a:schemeClr val="tx1"/>
                </a:solidFill>
              </a:ln>
              <a:effectLst/>
            </c:spPr>
            <c:extLst>
              <c:ext xmlns:c16="http://schemas.microsoft.com/office/drawing/2014/chart" uri="{C3380CC4-5D6E-409C-BE32-E72D297353CC}">
                <c16:uniqueId val="{0000000B-0A17-4C89-8D39-FF892EBD1925}"/>
              </c:ext>
            </c:extLst>
          </c:dPt>
          <c:dPt>
            <c:idx val="16"/>
            <c:invertIfNegative val="0"/>
            <c:bubble3D val="0"/>
            <c:spPr>
              <a:pattFill prst="lgCheck">
                <a:fgClr>
                  <a:schemeClr val="accent1"/>
                </a:fgClr>
                <a:bgClr>
                  <a:schemeClr val="bg1"/>
                </a:bgClr>
              </a:pattFill>
              <a:ln>
                <a:solidFill>
                  <a:schemeClr val="tx1"/>
                </a:solidFill>
              </a:ln>
              <a:effectLst/>
            </c:spPr>
            <c:extLst>
              <c:ext xmlns:c16="http://schemas.microsoft.com/office/drawing/2014/chart" uri="{C3380CC4-5D6E-409C-BE32-E72D297353CC}">
                <c16:uniqueId val="{0000000D-0A17-4C89-8D39-FF892EBD1925}"/>
              </c:ext>
            </c:extLst>
          </c:dPt>
          <c:errBars>
            <c:errBarType val="both"/>
            <c:errValType val="cust"/>
            <c:noEndCap val="0"/>
            <c:plus>
              <c:numRef>
                <c:f>(AMS!$D$14:$Q$14,AMS!$R$14:$T$14)</c:f>
                <c:numCache>
                  <c:formatCode>General</c:formatCode>
                  <c:ptCount val="17"/>
                  <c:pt idx="0">
                    <c:v>3.1337376933307182E-2</c:v>
                  </c:pt>
                  <c:pt idx="1">
                    <c:v>3.1239575290356082E-2</c:v>
                  </c:pt>
                  <c:pt idx="2">
                    <c:v>3.2791068503216822E-2</c:v>
                  </c:pt>
                  <c:pt idx="3">
                    <c:v>3.2752627121420082E-2</c:v>
                  </c:pt>
                  <c:pt idx="4">
                    <c:v>3.1070871629453156E-2</c:v>
                  </c:pt>
                  <c:pt idx="5">
                    <c:v>3.0558064293515142E-2</c:v>
                  </c:pt>
                  <c:pt idx="6">
                    <c:v>1.7410173265628184E-2</c:v>
                  </c:pt>
                  <c:pt idx="7">
                    <c:v>3.2642764198929995E-2</c:v>
                  </c:pt>
                  <c:pt idx="8">
                    <c:v>3.2229899831497558E-2</c:v>
                  </c:pt>
                  <c:pt idx="9">
                    <c:v>3.4645008230747745E-2</c:v>
                  </c:pt>
                  <c:pt idx="10">
                    <c:v>2.7536727488801482E-2</c:v>
                  </c:pt>
                  <c:pt idx="11">
                    <c:v>4.6095965234705723E-2</c:v>
                  </c:pt>
                  <c:pt idx="12">
                    <c:v>3.9022869448211935E-2</c:v>
                  </c:pt>
                  <c:pt idx="13">
                    <c:v>2.6584839430052607E-2</c:v>
                  </c:pt>
                  <c:pt idx="14">
                    <c:v>9.6486882344202066E-2</c:v>
                  </c:pt>
                  <c:pt idx="15">
                    <c:v>3.8275645628966147E-2</c:v>
                  </c:pt>
                  <c:pt idx="16">
                    <c:v>6.0395549098351535E-2</c:v>
                  </c:pt>
                </c:numCache>
              </c:numRef>
            </c:plus>
            <c:minus>
              <c:numRef>
                <c:f>(AMS!$D$14:$Q$14,AMS!$R$14:$T$14)</c:f>
                <c:numCache>
                  <c:formatCode>General</c:formatCode>
                  <c:ptCount val="17"/>
                  <c:pt idx="0">
                    <c:v>3.1337376933307182E-2</c:v>
                  </c:pt>
                  <c:pt idx="1">
                    <c:v>3.1239575290356082E-2</c:v>
                  </c:pt>
                  <c:pt idx="2">
                    <c:v>3.2791068503216822E-2</c:v>
                  </c:pt>
                  <c:pt idx="3">
                    <c:v>3.2752627121420082E-2</c:v>
                  </c:pt>
                  <c:pt idx="4">
                    <c:v>3.1070871629453156E-2</c:v>
                  </c:pt>
                  <c:pt idx="5">
                    <c:v>3.0558064293515142E-2</c:v>
                  </c:pt>
                  <c:pt idx="6">
                    <c:v>1.7410173265628184E-2</c:v>
                  </c:pt>
                  <c:pt idx="7">
                    <c:v>3.2642764198929995E-2</c:v>
                  </c:pt>
                  <c:pt idx="8">
                    <c:v>3.2229899831497558E-2</c:v>
                  </c:pt>
                  <c:pt idx="9">
                    <c:v>3.4645008230747745E-2</c:v>
                  </c:pt>
                  <c:pt idx="10">
                    <c:v>2.7536727488801482E-2</c:v>
                  </c:pt>
                  <c:pt idx="11">
                    <c:v>4.6095965234705723E-2</c:v>
                  </c:pt>
                  <c:pt idx="12">
                    <c:v>3.9022869448211935E-2</c:v>
                  </c:pt>
                  <c:pt idx="13">
                    <c:v>2.6584839430052607E-2</c:v>
                  </c:pt>
                  <c:pt idx="14">
                    <c:v>9.6486882344202066E-2</c:v>
                  </c:pt>
                  <c:pt idx="15">
                    <c:v>3.8275645628966147E-2</c:v>
                  </c:pt>
                  <c:pt idx="16">
                    <c:v>6.0395549098351535E-2</c:v>
                  </c:pt>
                </c:numCache>
              </c:numRef>
            </c:minus>
            <c:spPr>
              <a:noFill/>
              <a:ln w="19050" cap="flat" cmpd="sng" algn="ctr">
                <a:solidFill>
                  <a:schemeClr val="bg1">
                    <a:lumMod val="65000"/>
                  </a:schemeClr>
                </a:solidFill>
                <a:round/>
              </a:ln>
              <a:effectLst/>
            </c:spPr>
          </c:errBars>
          <c:cat>
            <c:strRef>
              <c:f>AMS!$D$10:$T$10</c:f>
              <c:strCache>
                <c:ptCount val="17"/>
                <c:pt idx="0">
                  <c:v>DSRL1</c:v>
                </c:pt>
                <c:pt idx="1">
                  <c:v>DSRL2</c:v>
                </c:pt>
                <c:pt idx="2">
                  <c:v>DSRL3</c:v>
                </c:pt>
                <c:pt idx="3">
                  <c:v>DSRL4</c:v>
                </c:pt>
                <c:pt idx="4">
                  <c:v>DSRL5</c:v>
                </c:pt>
                <c:pt idx="5">
                  <c:v>DSRL6</c:v>
                </c:pt>
                <c:pt idx="6">
                  <c:v>DSRL7</c:v>
                </c:pt>
                <c:pt idx="7">
                  <c:v>DSRL8</c:v>
                </c:pt>
                <c:pt idx="8">
                  <c:v>DSRL9</c:v>
                </c:pt>
                <c:pt idx="9">
                  <c:v>DSRL10</c:v>
                </c:pt>
                <c:pt idx="10">
                  <c:v>DSRL B1A</c:v>
                </c:pt>
                <c:pt idx="11">
                  <c:v>Malham</c:v>
                </c:pt>
                <c:pt idx="12">
                  <c:v>Biggin</c:v>
                </c:pt>
                <c:pt idx="13">
                  <c:v>DSRL B2</c:v>
                </c:pt>
                <c:pt idx="14">
                  <c:v>Avg DSRL</c:v>
                </c:pt>
                <c:pt idx="15">
                  <c:v>Avg Off-site</c:v>
                </c:pt>
                <c:pt idx="16">
                  <c:v>Avg Other</c:v>
                </c:pt>
              </c:strCache>
            </c:strRef>
          </c:cat>
          <c:val>
            <c:numRef>
              <c:f>AMS!$D$13:$T$13</c:f>
              <c:numCache>
                <c:formatCode>0.00</c:formatCode>
                <c:ptCount val="17"/>
                <c:pt idx="0">
                  <c:v>0.81334043826073033</c:v>
                </c:pt>
                <c:pt idx="1">
                  <c:v>0.85900993456281249</c:v>
                </c:pt>
                <c:pt idx="2">
                  <c:v>0.89029442862140817</c:v>
                </c:pt>
                <c:pt idx="3">
                  <c:v>0.85491903882688403</c:v>
                </c:pt>
                <c:pt idx="4">
                  <c:v>0.88034601434366988</c:v>
                </c:pt>
                <c:pt idx="5">
                  <c:v>0.87834583138155409</c:v>
                </c:pt>
                <c:pt idx="6">
                  <c:v>8.333182992617981E-2</c:v>
                </c:pt>
                <c:pt idx="7">
                  <c:v>0.92887858421910174</c:v>
                </c:pt>
                <c:pt idx="8">
                  <c:v>0.90362082946456557</c:v>
                </c:pt>
                <c:pt idx="9">
                  <c:v>1.0750407889848304</c:v>
                </c:pt>
                <c:pt idx="10">
                  <c:v>0.58436932493124938</c:v>
                </c:pt>
                <c:pt idx="11">
                  <c:v>1.150043854081144</c:v>
                </c:pt>
                <c:pt idx="12">
                  <c:v>1.0256070540212365</c:v>
                </c:pt>
                <c:pt idx="13">
                  <c:v>0.59462360453644103</c:v>
                </c:pt>
                <c:pt idx="14">
                  <c:v>0.81671277185917357</c:v>
                </c:pt>
                <c:pt idx="15">
                  <c:v>0.5894964647338452</c:v>
                </c:pt>
                <c:pt idx="16">
                  <c:v>1.0878254540511902</c:v>
                </c:pt>
              </c:numCache>
            </c:numRef>
          </c:val>
          <c:extLst>
            <c:ext xmlns:c16="http://schemas.microsoft.com/office/drawing/2014/chart" uri="{C3380CC4-5D6E-409C-BE32-E72D297353CC}">
              <c16:uniqueId val="{0000000E-0A17-4C89-8D39-FF892EBD1925}"/>
            </c:ext>
          </c:extLst>
        </c:ser>
        <c:dLbls>
          <c:showLegendKey val="0"/>
          <c:showVal val="0"/>
          <c:showCatName val="0"/>
          <c:showSerName val="0"/>
          <c:showPercent val="0"/>
          <c:showBubbleSize val="0"/>
        </c:dLbls>
        <c:gapWidth val="219"/>
        <c:overlap val="-27"/>
        <c:axId val="712103048"/>
        <c:axId val="712124696"/>
      </c:barChart>
      <c:catAx>
        <c:axId val="71210304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Sample</a:t>
                </a:r>
              </a:p>
            </c:rich>
          </c:tx>
          <c:layout>
            <c:manualLayout>
              <c:xMode val="edge"/>
              <c:yMode val="edge"/>
              <c:x val="0.46190123585545184"/>
              <c:y val="0.9388744588744588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712124696"/>
        <c:crosses val="autoZero"/>
        <c:auto val="1"/>
        <c:lblAlgn val="ctr"/>
        <c:lblOffset val="100"/>
        <c:noMultiLvlLbl val="0"/>
      </c:catAx>
      <c:valAx>
        <c:axId val="712124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Pu-241 (</a:t>
                </a:r>
                <a:r>
                  <a:rPr lang="en-US" sz="1200" b="0" i="0" u="none" strike="noStrike" baseline="0">
                    <a:solidFill>
                      <a:sysClr val="windowText" lastClr="000000"/>
                    </a:solidFill>
                    <a:effectLst/>
                  </a:rPr>
                  <a:t>fg/g)</a:t>
                </a:r>
                <a:endParaRPr lang="en-US" sz="1200">
                  <a:solidFill>
                    <a:sysClr val="windowText" lastClr="000000"/>
                  </a:solidFill>
                </a:endParaRPr>
              </a:p>
            </c:rich>
          </c:tx>
          <c:layout>
            <c:manualLayout>
              <c:xMode val="edge"/>
              <c:yMode val="edge"/>
              <c:x val="9.2721372276309694E-3"/>
              <c:y val="0.3916309525758344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712103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6375310936871"/>
          <c:y val="8.4400457080057695E-2"/>
          <c:w val="0.82974635921589412"/>
          <c:h val="0.71648223194939653"/>
        </c:manualLayout>
      </c:layout>
      <c:barChart>
        <c:barDir val="col"/>
        <c:grouping val="clustered"/>
        <c:varyColors val="0"/>
        <c:ser>
          <c:idx val="0"/>
          <c:order val="0"/>
          <c:tx>
            <c:strRef>
              <c:f>AMS!$C$20</c:f>
              <c:strCache>
                <c:ptCount val="1"/>
                <c:pt idx="0">
                  <c:v>Pu-239 fg/g</c:v>
                </c:pt>
              </c:strCache>
            </c:strRef>
          </c:tx>
          <c:spPr>
            <a:solidFill>
              <a:schemeClr val="tx1"/>
            </a:solidFill>
            <a:ln>
              <a:noFill/>
            </a:ln>
            <a:effectLst/>
          </c:spPr>
          <c:invertIfNegative val="0"/>
          <c:dPt>
            <c:idx val="9"/>
            <c:invertIfNegative val="0"/>
            <c:bubble3D val="0"/>
            <c:spPr>
              <a:pattFill prst="wdDnDiag">
                <a:fgClr>
                  <a:srgbClr val="FF0000"/>
                </a:fgClr>
                <a:bgClr>
                  <a:schemeClr val="bg1"/>
                </a:bgClr>
              </a:pattFill>
              <a:ln>
                <a:solidFill>
                  <a:schemeClr val="tx1"/>
                </a:solidFill>
              </a:ln>
              <a:effectLst/>
            </c:spPr>
            <c:extLst>
              <c:ext xmlns:c16="http://schemas.microsoft.com/office/drawing/2014/chart" uri="{C3380CC4-5D6E-409C-BE32-E72D297353CC}">
                <c16:uniqueId val="{00000001-C4E1-483B-AE60-EE2C9348472B}"/>
              </c:ext>
            </c:extLst>
          </c:dPt>
          <c:dPt>
            <c:idx val="10"/>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3-C4E1-483B-AE60-EE2C9348472B}"/>
              </c:ext>
            </c:extLst>
          </c:dPt>
          <c:dPt>
            <c:idx val="11"/>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5-C4E1-483B-AE60-EE2C9348472B}"/>
              </c:ext>
            </c:extLst>
          </c:dPt>
          <c:errBars>
            <c:errBarType val="both"/>
            <c:errValType val="cust"/>
            <c:noEndCap val="0"/>
            <c:plus>
              <c:numRef>
                <c:f>(AMS!$D$21:$I$21,AMS!$K$21:$P$21)</c:f>
                <c:numCache>
                  <c:formatCode>General</c:formatCode>
                  <c:ptCount val="12"/>
                  <c:pt idx="0">
                    <c:v>11.277820372824513</c:v>
                  </c:pt>
                  <c:pt idx="1">
                    <c:v>16.040715543618248</c:v>
                  </c:pt>
                  <c:pt idx="2">
                    <c:v>30.049485721172299</c:v>
                  </c:pt>
                  <c:pt idx="3">
                    <c:v>15.854161005808811</c:v>
                  </c:pt>
                  <c:pt idx="4">
                    <c:v>16.116935724131036</c:v>
                  </c:pt>
                  <c:pt idx="5">
                    <c:v>17.882802543198178</c:v>
                  </c:pt>
                  <c:pt idx="6">
                    <c:v>8.7908936866369363</c:v>
                  </c:pt>
                  <c:pt idx="7">
                    <c:v>16.40947943324619</c:v>
                  </c:pt>
                  <c:pt idx="8">
                    <c:v>17.559300890620126</c:v>
                  </c:pt>
                  <c:pt idx="9">
                    <c:v>18.658150350169219</c:v>
                  </c:pt>
                  <c:pt idx="10">
                    <c:v>10.40888973278614</c:v>
                  </c:pt>
                  <c:pt idx="11">
                    <c:v>12.898732230181269</c:v>
                  </c:pt>
                </c:numCache>
              </c:numRef>
            </c:plus>
            <c:minus>
              <c:numRef>
                <c:f>(AMS!$D$21:$I$21,AMS!$K$21:$P$21)</c:f>
                <c:numCache>
                  <c:formatCode>General</c:formatCode>
                  <c:ptCount val="12"/>
                  <c:pt idx="0">
                    <c:v>11.277820372824513</c:v>
                  </c:pt>
                  <c:pt idx="1">
                    <c:v>16.040715543618248</c:v>
                  </c:pt>
                  <c:pt idx="2">
                    <c:v>30.049485721172299</c:v>
                  </c:pt>
                  <c:pt idx="3">
                    <c:v>15.854161005808811</c:v>
                  </c:pt>
                  <c:pt idx="4">
                    <c:v>16.116935724131036</c:v>
                  </c:pt>
                  <c:pt idx="5">
                    <c:v>17.882802543198178</c:v>
                  </c:pt>
                  <c:pt idx="6">
                    <c:v>8.7908936866369363</c:v>
                  </c:pt>
                  <c:pt idx="7">
                    <c:v>16.40947943324619</c:v>
                  </c:pt>
                  <c:pt idx="8">
                    <c:v>17.559300890620126</c:v>
                  </c:pt>
                  <c:pt idx="9">
                    <c:v>18.658150350169219</c:v>
                  </c:pt>
                  <c:pt idx="10">
                    <c:v>10.40888973278614</c:v>
                  </c:pt>
                  <c:pt idx="11">
                    <c:v>12.898732230181269</c:v>
                  </c:pt>
                </c:numCache>
              </c:numRef>
            </c:minus>
            <c:spPr>
              <a:noFill/>
              <a:ln w="19050" cap="flat" cmpd="sng" algn="ctr">
                <a:solidFill>
                  <a:schemeClr val="bg1">
                    <a:lumMod val="65000"/>
                  </a:schemeClr>
                </a:solidFill>
                <a:round/>
              </a:ln>
              <a:effectLst/>
            </c:spPr>
          </c:errBars>
          <c:cat>
            <c:strRef>
              <c:f>(AMS!$D$17:$I$17,AMS!$K$17:$P$17)</c:f>
              <c:strCache>
                <c:ptCount val="12"/>
                <c:pt idx="0">
                  <c:v>DSRL1</c:v>
                </c:pt>
                <c:pt idx="1">
                  <c:v>DSRL2</c:v>
                </c:pt>
                <c:pt idx="2">
                  <c:v>DSRL3</c:v>
                </c:pt>
                <c:pt idx="3">
                  <c:v>DSRL4</c:v>
                </c:pt>
                <c:pt idx="4">
                  <c:v>DSRL5</c:v>
                </c:pt>
                <c:pt idx="5">
                  <c:v>DSRL6</c:v>
                </c:pt>
                <c:pt idx="6">
                  <c:v>DSRL8</c:v>
                </c:pt>
                <c:pt idx="7">
                  <c:v>DSRL9</c:v>
                </c:pt>
                <c:pt idx="8">
                  <c:v>DSRL10</c:v>
                </c:pt>
                <c:pt idx="9">
                  <c:v>DSRL B1A</c:v>
                </c:pt>
                <c:pt idx="10">
                  <c:v>Malham</c:v>
                </c:pt>
                <c:pt idx="11">
                  <c:v>Biggin</c:v>
                </c:pt>
              </c:strCache>
            </c:strRef>
          </c:cat>
          <c:val>
            <c:numRef>
              <c:f>(AMS!$D$20:$I$20,AMS!$K$20:$P$20)</c:f>
              <c:numCache>
                <c:formatCode>0.00</c:formatCode>
                <c:ptCount val="12"/>
                <c:pt idx="0">
                  <c:v>529.52814849676952</c:v>
                </c:pt>
                <c:pt idx="1">
                  <c:v>532.98228905437497</c:v>
                </c:pt>
                <c:pt idx="2">
                  <c:v>1000.9392437422067</c:v>
                </c:pt>
                <c:pt idx="3">
                  <c:v>527.73210303851704</c:v>
                </c:pt>
                <c:pt idx="4">
                  <c:v>536.14273314760305</c:v>
                </c:pt>
                <c:pt idx="5">
                  <c:v>594.62445707068764</c:v>
                </c:pt>
                <c:pt idx="6">
                  <c:v>289.33948441362395</c:v>
                </c:pt>
                <c:pt idx="7">
                  <c:v>544.63161712277793</c:v>
                </c:pt>
                <c:pt idx="8">
                  <c:v>582.96113544650518</c:v>
                </c:pt>
                <c:pt idx="9">
                  <c:v>620.09632132141803</c:v>
                </c:pt>
                <c:pt idx="10">
                  <c:v>340.62478941421455</c:v>
                </c:pt>
                <c:pt idx="11">
                  <c:v>427.68860390090794</c:v>
                </c:pt>
              </c:numCache>
            </c:numRef>
          </c:val>
          <c:extLst>
            <c:ext xmlns:c16="http://schemas.microsoft.com/office/drawing/2014/chart" uri="{C3380CC4-5D6E-409C-BE32-E72D297353CC}">
              <c16:uniqueId val="{00000006-C4E1-483B-AE60-EE2C9348472B}"/>
            </c:ext>
          </c:extLst>
        </c:ser>
        <c:dLbls>
          <c:showLegendKey val="0"/>
          <c:showVal val="0"/>
          <c:showCatName val="0"/>
          <c:showSerName val="0"/>
          <c:showPercent val="0"/>
          <c:showBubbleSize val="0"/>
        </c:dLbls>
        <c:gapWidth val="219"/>
        <c:overlap val="-27"/>
        <c:axId val="590093048"/>
        <c:axId val="590093376"/>
      </c:barChart>
      <c:catAx>
        <c:axId val="59009304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Sample</a:t>
                </a:r>
              </a:p>
            </c:rich>
          </c:tx>
          <c:layout>
            <c:manualLayout>
              <c:xMode val="edge"/>
              <c:yMode val="edge"/>
              <c:x val="0.47400615726931822"/>
              <c:y val="0.9374569614166983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90093376"/>
        <c:crosses val="autoZero"/>
        <c:auto val="1"/>
        <c:lblAlgn val="ctr"/>
        <c:lblOffset val="100"/>
        <c:noMultiLvlLbl val="0"/>
      </c:catAx>
      <c:valAx>
        <c:axId val="590093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Pu-239 (</a:t>
                </a:r>
                <a:r>
                  <a:rPr lang="en-US" sz="1200" b="0" i="0" u="none" strike="noStrike" baseline="0">
                    <a:effectLst/>
                  </a:rPr>
                  <a:t>fg/g)</a:t>
                </a:r>
                <a:endParaRPr lang="en-US" sz="1200">
                  <a:solidFill>
                    <a:sysClr val="windowText" lastClr="000000"/>
                  </a:solidFill>
                </a:endParaRPr>
              </a:p>
            </c:rich>
          </c:tx>
          <c:layout>
            <c:manualLayout>
              <c:xMode val="edge"/>
              <c:yMode val="edge"/>
              <c:x val="5.1981795729552221E-3"/>
              <c:y val="0.2898765989748089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90093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5819210714733"/>
          <c:y val="7.2699223767241861E-2"/>
          <c:w val="0.85076573037186387"/>
          <c:h val="0.7153926457359262"/>
        </c:manualLayout>
      </c:layout>
      <c:barChart>
        <c:barDir val="col"/>
        <c:grouping val="clustered"/>
        <c:varyColors val="0"/>
        <c:ser>
          <c:idx val="0"/>
          <c:order val="0"/>
          <c:tx>
            <c:strRef>
              <c:f>AMS!$C$22</c:f>
              <c:strCache>
                <c:ptCount val="1"/>
                <c:pt idx="0">
                  <c:v>Pu-242 fg/g</c:v>
                </c:pt>
              </c:strCache>
            </c:strRef>
          </c:tx>
          <c:spPr>
            <a:solidFill>
              <a:schemeClr val="tx1"/>
            </a:solidFill>
            <a:ln>
              <a:noFill/>
            </a:ln>
            <a:effectLst/>
          </c:spPr>
          <c:invertIfNegative val="0"/>
          <c:dPt>
            <c:idx val="9"/>
            <c:invertIfNegative val="0"/>
            <c:bubble3D val="0"/>
            <c:spPr>
              <a:pattFill prst="wdDnDiag">
                <a:fgClr>
                  <a:srgbClr val="FF0000"/>
                </a:fgClr>
                <a:bgClr>
                  <a:schemeClr val="bg1"/>
                </a:bgClr>
              </a:pattFill>
              <a:ln>
                <a:solidFill>
                  <a:schemeClr val="tx1"/>
                </a:solidFill>
              </a:ln>
              <a:effectLst/>
            </c:spPr>
            <c:extLst>
              <c:ext xmlns:c16="http://schemas.microsoft.com/office/drawing/2014/chart" uri="{C3380CC4-5D6E-409C-BE32-E72D297353CC}">
                <c16:uniqueId val="{00000001-EE70-46E7-8573-CA94E605E5D1}"/>
              </c:ext>
            </c:extLst>
          </c:dPt>
          <c:dPt>
            <c:idx val="10"/>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3-EE70-46E7-8573-CA94E605E5D1}"/>
              </c:ext>
            </c:extLst>
          </c:dPt>
          <c:dPt>
            <c:idx val="11"/>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5-EE70-46E7-8573-CA94E605E5D1}"/>
              </c:ext>
            </c:extLst>
          </c:dPt>
          <c:errBars>
            <c:errBarType val="both"/>
            <c:errValType val="cust"/>
            <c:noEndCap val="0"/>
            <c:plus>
              <c:numRef>
                <c:f>(AMS!$D$23:$I$23,AMS!$K$23:$P$23)</c:f>
                <c:numCache>
                  <c:formatCode>General</c:formatCode>
                  <c:ptCount val="12"/>
                  <c:pt idx="0">
                    <c:v>0.11473507056676739</c:v>
                  </c:pt>
                  <c:pt idx="1">
                    <c:v>0.12738602434856069</c:v>
                  </c:pt>
                  <c:pt idx="2">
                    <c:v>0.1770707029787541</c:v>
                  </c:pt>
                  <c:pt idx="3">
                    <c:v>0.17220692599203707</c:v>
                  </c:pt>
                  <c:pt idx="4">
                    <c:v>0.12842700721531494</c:v>
                  </c:pt>
                  <c:pt idx="5">
                    <c:v>0.12280071183861752</c:v>
                  </c:pt>
                  <c:pt idx="6">
                    <c:v>5.9437999522157975E-2</c:v>
                  </c:pt>
                  <c:pt idx="7">
                    <c:v>0.14531803301532789</c:v>
                  </c:pt>
                  <c:pt idx="8">
                    <c:v>0.19209365317505603</c:v>
                  </c:pt>
                  <c:pt idx="9">
                    <c:v>0.29402279909871709</c:v>
                  </c:pt>
                  <c:pt idx="10">
                    <c:v>0.15925698877245845</c:v>
                  </c:pt>
                  <c:pt idx="11">
                    <c:v>0.22076500232611451</c:v>
                  </c:pt>
                </c:numCache>
              </c:numRef>
            </c:plus>
            <c:minus>
              <c:numRef>
                <c:f>(AMS!$D$23:$I$23,AMS!$K$23:$P$23)</c:f>
                <c:numCache>
                  <c:formatCode>General</c:formatCode>
                  <c:ptCount val="12"/>
                  <c:pt idx="0">
                    <c:v>0.11473507056676739</c:v>
                  </c:pt>
                  <c:pt idx="1">
                    <c:v>0.12738602434856069</c:v>
                  </c:pt>
                  <c:pt idx="2">
                    <c:v>0.1770707029787541</c:v>
                  </c:pt>
                  <c:pt idx="3">
                    <c:v>0.17220692599203707</c:v>
                  </c:pt>
                  <c:pt idx="4">
                    <c:v>0.12842700721531494</c:v>
                  </c:pt>
                  <c:pt idx="5">
                    <c:v>0.12280071183861752</c:v>
                  </c:pt>
                  <c:pt idx="6">
                    <c:v>5.9437999522157975E-2</c:v>
                  </c:pt>
                  <c:pt idx="7">
                    <c:v>0.14531803301532789</c:v>
                  </c:pt>
                  <c:pt idx="8">
                    <c:v>0.19209365317505603</c:v>
                  </c:pt>
                  <c:pt idx="9">
                    <c:v>0.29402279909871709</c:v>
                  </c:pt>
                  <c:pt idx="10">
                    <c:v>0.15925698877245845</c:v>
                  </c:pt>
                  <c:pt idx="11">
                    <c:v>0.22076500232611451</c:v>
                  </c:pt>
                </c:numCache>
              </c:numRef>
            </c:minus>
            <c:spPr>
              <a:noFill/>
              <a:ln w="19050" cap="flat" cmpd="sng" algn="ctr">
                <a:solidFill>
                  <a:schemeClr val="bg1">
                    <a:lumMod val="65000"/>
                  </a:schemeClr>
                </a:solidFill>
                <a:round/>
              </a:ln>
              <a:effectLst/>
            </c:spPr>
          </c:errBars>
          <c:cat>
            <c:strRef>
              <c:f>(AMS!$D$17:$I$17,AMS!$K$17:$P$17)</c:f>
              <c:strCache>
                <c:ptCount val="12"/>
                <c:pt idx="0">
                  <c:v>DSRL1</c:v>
                </c:pt>
                <c:pt idx="1">
                  <c:v>DSRL2</c:v>
                </c:pt>
                <c:pt idx="2">
                  <c:v>DSRL3</c:v>
                </c:pt>
                <c:pt idx="3">
                  <c:v>DSRL4</c:v>
                </c:pt>
                <c:pt idx="4">
                  <c:v>DSRL5</c:v>
                </c:pt>
                <c:pt idx="5">
                  <c:v>DSRL6</c:v>
                </c:pt>
                <c:pt idx="6">
                  <c:v>DSRL8</c:v>
                </c:pt>
                <c:pt idx="7">
                  <c:v>DSRL9</c:v>
                </c:pt>
                <c:pt idx="8">
                  <c:v>DSRL10</c:v>
                </c:pt>
                <c:pt idx="9">
                  <c:v>DSRL B1A</c:v>
                </c:pt>
                <c:pt idx="10">
                  <c:v>Malham</c:v>
                </c:pt>
                <c:pt idx="11">
                  <c:v>Biggin</c:v>
                </c:pt>
              </c:strCache>
            </c:strRef>
          </c:cat>
          <c:val>
            <c:numRef>
              <c:f>(AMS!$D$22:$I$22,AMS!$K$22:$P$22)</c:f>
              <c:numCache>
                <c:formatCode>0.00</c:formatCode>
                <c:ptCount val="12"/>
                <c:pt idx="0">
                  <c:v>2.1828607637699768</c:v>
                </c:pt>
                <c:pt idx="1">
                  <c:v>2.2324433031369861</c:v>
                </c:pt>
                <c:pt idx="2">
                  <c:v>4.0783415330869186</c:v>
                </c:pt>
                <c:pt idx="3">
                  <c:v>1.9492279788398266</c:v>
                </c:pt>
                <c:pt idx="4">
                  <c:v>2.0065543808691402</c:v>
                </c:pt>
                <c:pt idx="5">
                  <c:v>2.0185266741762744</c:v>
                </c:pt>
                <c:pt idx="6">
                  <c:v>1.09789763414807</c:v>
                </c:pt>
                <c:pt idx="7">
                  <c:v>2.112752809931898</c:v>
                </c:pt>
                <c:pt idx="8">
                  <c:v>2.2938172981080189</c:v>
                </c:pt>
                <c:pt idx="9">
                  <c:v>2.135245375130939</c:v>
                </c:pt>
                <c:pt idx="10">
                  <c:v>1.5765608238778959</c:v>
                </c:pt>
                <c:pt idx="11">
                  <c:v>1.5626521584065027</c:v>
                </c:pt>
              </c:numCache>
            </c:numRef>
          </c:val>
          <c:extLst>
            <c:ext xmlns:c16="http://schemas.microsoft.com/office/drawing/2014/chart" uri="{C3380CC4-5D6E-409C-BE32-E72D297353CC}">
              <c16:uniqueId val="{00000006-EE70-46E7-8573-CA94E605E5D1}"/>
            </c:ext>
          </c:extLst>
        </c:ser>
        <c:dLbls>
          <c:showLegendKey val="0"/>
          <c:showVal val="0"/>
          <c:showCatName val="0"/>
          <c:showSerName val="0"/>
          <c:showPercent val="0"/>
          <c:showBubbleSize val="0"/>
        </c:dLbls>
        <c:gapWidth val="219"/>
        <c:overlap val="-27"/>
        <c:axId val="540583008"/>
        <c:axId val="540581040"/>
      </c:barChart>
      <c:catAx>
        <c:axId val="54058300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Sample</a:t>
                </a:r>
              </a:p>
            </c:rich>
          </c:tx>
          <c:layout>
            <c:manualLayout>
              <c:xMode val="edge"/>
              <c:yMode val="edge"/>
              <c:x val="0.45702412959815397"/>
              <c:y val="0.916666759215041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40581040"/>
        <c:crosses val="autoZero"/>
        <c:auto val="1"/>
        <c:lblAlgn val="ctr"/>
        <c:lblOffset val="100"/>
        <c:noMultiLvlLbl val="0"/>
      </c:catAx>
      <c:valAx>
        <c:axId val="54058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Pu-242 (</a:t>
                </a:r>
                <a:r>
                  <a:rPr lang="en-US" sz="1200" b="0" i="0" u="none" strike="noStrike" baseline="0">
                    <a:effectLst/>
                  </a:rPr>
                  <a:t>fg/g)</a:t>
                </a:r>
                <a:endParaRPr lang="en-US" sz="1200">
                  <a:solidFill>
                    <a:sysClr val="windowText" lastClr="000000"/>
                  </a:solidFill>
                </a:endParaRPr>
              </a:p>
            </c:rich>
          </c:tx>
          <c:layout>
            <c:manualLayout>
              <c:xMode val="edge"/>
              <c:yMode val="edge"/>
              <c:x val="8.3116905782296968E-3"/>
              <c:y val="0.269236347054202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40583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96081127385376"/>
          <c:y val="4.9412005317517126E-2"/>
          <c:w val="0.84269580630845464"/>
          <c:h val="0.74225702986768549"/>
        </c:manualLayout>
      </c:layout>
      <c:barChart>
        <c:barDir val="col"/>
        <c:grouping val="clustered"/>
        <c:varyColors val="0"/>
        <c:ser>
          <c:idx val="0"/>
          <c:order val="0"/>
          <c:tx>
            <c:strRef>
              <c:f>AMS!$C$18</c:f>
              <c:strCache>
                <c:ptCount val="1"/>
                <c:pt idx="0">
                  <c:v>Pu-240 fg/g</c:v>
                </c:pt>
              </c:strCache>
            </c:strRef>
          </c:tx>
          <c:spPr>
            <a:solidFill>
              <a:schemeClr val="tx1"/>
            </a:solidFill>
            <a:ln>
              <a:noFill/>
            </a:ln>
            <a:effectLst/>
          </c:spPr>
          <c:invertIfNegative val="0"/>
          <c:dPt>
            <c:idx val="9"/>
            <c:invertIfNegative val="0"/>
            <c:bubble3D val="0"/>
            <c:spPr>
              <a:pattFill prst="wdDnDiag">
                <a:fgClr>
                  <a:srgbClr val="FF0000"/>
                </a:fgClr>
                <a:bgClr>
                  <a:schemeClr val="bg1"/>
                </a:bgClr>
              </a:pattFill>
              <a:ln>
                <a:solidFill>
                  <a:schemeClr val="tx1"/>
                </a:solidFill>
              </a:ln>
              <a:effectLst/>
            </c:spPr>
            <c:extLst>
              <c:ext xmlns:c16="http://schemas.microsoft.com/office/drawing/2014/chart" uri="{C3380CC4-5D6E-409C-BE32-E72D297353CC}">
                <c16:uniqueId val="{00000001-E32C-4122-AF0C-5130E442907A}"/>
              </c:ext>
            </c:extLst>
          </c:dPt>
          <c:dPt>
            <c:idx val="10"/>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3-E32C-4122-AF0C-5130E442907A}"/>
              </c:ext>
            </c:extLst>
          </c:dPt>
          <c:dPt>
            <c:idx val="11"/>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5-E32C-4122-AF0C-5130E442907A}"/>
              </c:ext>
            </c:extLst>
          </c:dPt>
          <c:errBars>
            <c:errBarType val="both"/>
            <c:errValType val="cust"/>
            <c:noEndCap val="0"/>
            <c:plus>
              <c:numRef>
                <c:f>(AMS!$D$19:$I$19,AMS!$K$19:$P$19)</c:f>
                <c:numCache>
                  <c:formatCode>General</c:formatCode>
                  <c:ptCount val="12"/>
                  <c:pt idx="0">
                    <c:v>1.4097163664653038</c:v>
                  </c:pt>
                  <c:pt idx="1">
                    <c:v>2.1379214010400562</c:v>
                  </c:pt>
                  <c:pt idx="2">
                    <c:v>2.7846095526223587</c:v>
                  </c:pt>
                  <c:pt idx="3">
                    <c:v>2.0631337146987816</c:v>
                  </c:pt>
                  <c:pt idx="4">
                    <c:v>2.0525366212514879</c:v>
                  </c:pt>
                  <c:pt idx="5">
                    <c:v>2.1640991906790412</c:v>
                  </c:pt>
                  <c:pt idx="6">
                    <c:v>1.1282095679161956</c:v>
                  </c:pt>
                  <c:pt idx="7">
                    <c:v>2.1238424734706141</c:v>
                  </c:pt>
                  <c:pt idx="8">
                    <c:v>2.2531943625995403</c:v>
                  </c:pt>
                  <c:pt idx="9">
                    <c:v>2.0518256731840063</c:v>
                  </c:pt>
                  <c:pt idx="10">
                    <c:v>1.7471143145591199</c:v>
                  </c:pt>
                  <c:pt idx="11">
                    <c:v>1.9950576230235519</c:v>
                  </c:pt>
                </c:numCache>
              </c:numRef>
            </c:plus>
            <c:minus>
              <c:numRef>
                <c:f>(AMS!$D$19:$I$19,AMS!$K$19:$P$19)</c:f>
                <c:numCache>
                  <c:formatCode>General</c:formatCode>
                  <c:ptCount val="12"/>
                  <c:pt idx="0">
                    <c:v>1.4097163664653038</c:v>
                  </c:pt>
                  <c:pt idx="1">
                    <c:v>2.1379214010400562</c:v>
                  </c:pt>
                  <c:pt idx="2">
                    <c:v>2.7846095526223587</c:v>
                  </c:pt>
                  <c:pt idx="3">
                    <c:v>2.0631337146987816</c:v>
                  </c:pt>
                  <c:pt idx="4">
                    <c:v>2.0525366212514879</c:v>
                  </c:pt>
                  <c:pt idx="5">
                    <c:v>2.1640991906790412</c:v>
                  </c:pt>
                  <c:pt idx="6">
                    <c:v>1.1282095679161956</c:v>
                  </c:pt>
                  <c:pt idx="7">
                    <c:v>2.1238424734706141</c:v>
                  </c:pt>
                  <c:pt idx="8">
                    <c:v>2.2531943625995403</c:v>
                  </c:pt>
                  <c:pt idx="9">
                    <c:v>2.0518256731840063</c:v>
                  </c:pt>
                  <c:pt idx="10">
                    <c:v>1.7471143145591199</c:v>
                  </c:pt>
                  <c:pt idx="11">
                    <c:v>1.9950576230235519</c:v>
                  </c:pt>
                </c:numCache>
              </c:numRef>
            </c:minus>
            <c:spPr>
              <a:noFill/>
              <a:ln w="19050" cap="flat" cmpd="sng" algn="ctr">
                <a:solidFill>
                  <a:schemeClr val="bg1">
                    <a:lumMod val="65000"/>
                  </a:schemeClr>
                </a:solidFill>
                <a:round/>
              </a:ln>
              <a:effectLst/>
            </c:spPr>
          </c:errBars>
          <c:cat>
            <c:strRef>
              <c:f>(AMS!$D$17:$I$17,AMS!$K$17:$P$17)</c:f>
              <c:strCache>
                <c:ptCount val="12"/>
                <c:pt idx="0">
                  <c:v>DSRL1</c:v>
                </c:pt>
                <c:pt idx="1">
                  <c:v>DSRL2</c:v>
                </c:pt>
                <c:pt idx="2">
                  <c:v>DSRL3</c:v>
                </c:pt>
                <c:pt idx="3">
                  <c:v>DSRL4</c:v>
                </c:pt>
                <c:pt idx="4">
                  <c:v>DSRL5</c:v>
                </c:pt>
                <c:pt idx="5">
                  <c:v>DSRL6</c:v>
                </c:pt>
                <c:pt idx="6">
                  <c:v>DSRL8</c:v>
                </c:pt>
                <c:pt idx="7">
                  <c:v>DSRL9</c:v>
                </c:pt>
                <c:pt idx="8">
                  <c:v>DSRL10</c:v>
                </c:pt>
                <c:pt idx="9">
                  <c:v>DSRL B1A</c:v>
                </c:pt>
                <c:pt idx="10">
                  <c:v>Malham</c:v>
                </c:pt>
                <c:pt idx="11">
                  <c:v>Biggin</c:v>
                </c:pt>
              </c:strCache>
            </c:strRef>
          </c:cat>
          <c:val>
            <c:numRef>
              <c:f>(AMS!$D$18:$I$18,AMS!$K$18:$P$18)</c:f>
              <c:numCache>
                <c:formatCode>0.00</c:formatCode>
                <c:ptCount val="12"/>
                <c:pt idx="0">
                  <c:v>66.129553168131764</c:v>
                </c:pt>
                <c:pt idx="1">
                  <c:v>71.036946372478354</c:v>
                </c:pt>
                <c:pt idx="2">
                  <c:v>92.684608941064127</c:v>
                </c:pt>
                <c:pt idx="3">
                  <c:v>68.670378175416374</c:v>
                </c:pt>
                <c:pt idx="4">
                  <c:v>68.266460163091637</c:v>
                </c:pt>
                <c:pt idx="5">
                  <c:v>71.921595435209881</c:v>
                </c:pt>
                <c:pt idx="6">
                  <c:v>37.097428467122036</c:v>
                </c:pt>
                <c:pt idx="7">
                  <c:v>70.472900396616396</c:v>
                </c:pt>
                <c:pt idx="8">
                  <c:v>74.782149666619631</c:v>
                </c:pt>
                <c:pt idx="9">
                  <c:v>66.196788769459985</c:v>
                </c:pt>
                <c:pt idx="10">
                  <c:v>67.825090406719681</c:v>
                </c:pt>
                <c:pt idx="11">
                  <c:v>57.940296255850058</c:v>
                </c:pt>
              </c:numCache>
            </c:numRef>
          </c:val>
          <c:extLst>
            <c:ext xmlns:c16="http://schemas.microsoft.com/office/drawing/2014/chart" uri="{C3380CC4-5D6E-409C-BE32-E72D297353CC}">
              <c16:uniqueId val="{00000006-E32C-4122-AF0C-5130E442907A}"/>
            </c:ext>
          </c:extLst>
        </c:ser>
        <c:dLbls>
          <c:showLegendKey val="0"/>
          <c:showVal val="0"/>
          <c:showCatName val="0"/>
          <c:showSerName val="0"/>
          <c:showPercent val="0"/>
          <c:showBubbleSize val="0"/>
        </c:dLbls>
        <c:gapWidth val="219"/>
        <c:overlap val="-27"/>
        <c:axId val="540610560"/>
        <c:axId val="540613512"/>
      </c:barChart>
      <c:catAx>
        <c:axId val="54061056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Sample</a:t>
                </a:r>
              </a:p>
            </c:rich>
          </c:tx>
          <c:layout>
            <c:manualLayout>
              <c:xMode val="edge"/>
              <c:yMode val="edge"/>
              <c:x val="0.49057248828644234"/>
              <c:y val="0.9120067248011243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40613512"/>
        <c:crosses val="autoZero"/>
        <c:auto val="1"/>
        <c:lblAlgn val="ctr"/>
        <c:lblOffset val="100"/>
        <c:noMultiLvlLbl val="0"/>
      </c:catAx>
      <c:valAx>
        <c:axId val="540613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Pu-240 (</a:t>
                </a:r>
                <a:r>
                  <a:rPr lang="en-US" sz="1200" b="0" i="0" u="none" strike="noStrike" baseline="0">
                    <a:effectLst/>
                  </a:rPr>
                  <a:t>fg/g)</a:t>
                </a:r>
                <a:endParaRPr lang="en-US" sz="1200">
                  <a:solidFill>
                    <a:sysClr val="windowText" lastClr="000000"/>
                  </a:solidFill>
                </a:endParaRPr>
              </a:p>
            </c:rich>
          </c:tx>
          <c:layout>
            <c:manualLayout>
              <c:xMode val="edge"/>
              <c:yMode val="edge"/>
              <c:x val="4.7897028177972534E-3"/>
              <c:y val="0.357332279292217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40610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53763605034135"/>
          <c:y val="0.10514451158862462"/>
          <c:w val="0.85121469234628222"/>
          <c:h val="0.69328204967274587"/>
        </c:manualLayout>
      </c:layout>
      <c:barChart>
        <c:barDir val="col"/>
        <c:grouping val="clustered"/>
        <c:varyColors val="0"/>
        <c:ser>
          <c:idx val="0"/>
          <c:order val="0"/>
          <c:tx>
            <c:strRef>
              <c:f>AMS!$C$81</c:f>
              <c:strCache>
                <c:ptCount val="1"/>
                <c:pt idx="0">
                  <c:v>240/239 (s) </c:v>
                </c:pt>
              </c:strCache>
            </c:strRef>
          </c:tx>
          <c:spPr>
            <a:solidFill>
              <a:schemeClr val="tx1"/>
            </a:solidFill>
            <a:ln>
              <a:noFill/>
            </a:ln>
            <a:effectLst/>
          </c:spPr>
          <c:invertIfNegative val="0"/>
          <c:dPt>
            <c:idx val="9"/>
            <c:invertIfNegative val="0"/>
            <c:bubble3D val="0"/>
            <c:spPr>
              <a:pattFill prst="wdDnDiag">
                <a:fgClr>
                  <a:srgbClr val="FF0000"/>
                </a:fgClr>
                <a:bgClr>
                  <a:schemeClr val="bg1"/>
                </a:bgClr>
              </a:pattFill>
              <a:ln>
                <a:solidFill>
                  <a:schemeClr val="tx1"/>
                </a:solidFill>
              </a:ln>
              <a:effectLst/>
            </c:spPr>
            <c:extLst>
              <c:ext xmlns:c16="http://schemas.microsoft.com/office/drawing/2014/chart" uri="{C3380CC4-5D6E-409C-BE32-E72D297353CC}">
                <c16:uniqueId val="{00000001-F34F-4252-BC4F-49122A9815D7}"/>
              </c:ext>
            </c:extLst>
          </c:dPt>
          <c:dPt>
            <c:idx val="10"/>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3-F34F-4252-BC4F-49122A9815D7}"/>
              </c:ext>
            </c:extLst>
          </c:dPt>
          <c:dPt>
            <c:idx val="11"/>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5-F34F-4252-BC4F-49122A9815D7}"/>
              </c:ext>
            </c:extLst>
          </c:dPt>
          <c:errBars>
            <c:errBarType val="both"/>
            <c:errValType val="cust"/>
            <c:noEndCap val="0"/>
            <c:plus>
              <c:numRef>
                <c:f>AMS!$D$84:$D$95</c:f>
                <c:numCache>
                  <c:formatCode>General</c:formatCode>
                  <c:ptCount val="12"/>
                  <c:pt idx="0">
                    <c:v>2.6621780593034878E-3</c:v>
                  </c:pt>
                  <c:pt idx="1">
                    <c:v>4.0095532161717297E-3</c:v>
                  </c:pt>
                  <c:pt idx="2">
                    <c:v>2.7739584233978554E-3</c:v>
                  </c:pt>
                  <c:pt idx="3">
                    <c:v>3.9008283719701104E-3</c:v>
                  </c:pt>
                  <c:pt idx="4">
                    <c:v>3.8222898294041825E-3</c:v>
                  </c:pt>
                  <c:pt idx="5">
                    <c:v>3.6352621632366002E-3</c:v>
                  </c:pt>
                  <c:pt idx="6">
                    <c:v>3.933470694499645E-3</c:v>
                  </c:pt>
                  <c:pt idx="7">
                    <c:v>3.9021979945015927E-3</c:v>
                  </c:pt>
                  <c:pt idx="8">
                    <c:v>3.8665751457075551E-3</c:v>
                  </c:pt>
                  <c:pt idx="9">
                    <c:v>3.2152059030727208E-3</c:v>
                  </c:pt>
                  <c:pt idx="10">
                    <c:v>6.111905699950319E-3</c:v>
                  </c:pt>
                  <c:pt idx="11">
                    <c:v>4.0917078204372008E-3</c:v>
                  </c:pt>
                </c:numCache>
              </c:numRef>
            </c:plus>
            <c:minus>
              <c:numRef>
                <c:f>AMS!$D$84:$D$95</c:f>
                <c:numCache>
                  <c:formatCode>General</c:formatCode>
                  <c:ptCount val="12"/>
                  <c:pt idx="0">
                    <c:v>2.6621780593034878E-3</c:v>
                  </c:pt>
                  <c:pt idx="1">
                    <c:v>4.0095532161717297E-3</c:v>
                  </c:pt>
                  <c:pt idx="2">
                    <c:v>2.7739584233978554E-3</c:v>
                  </c:pt>
                  <c:pt idx="3">
                    <c:v>3.9008283719701104E-3</c:v>
                  </c:pt>
                  <c:pt idx="4">
                    <c:v>3.8222898294041825E-3</c:v>
                  </c:pt>
                  <c:pt idx="5">
                    <c:v>3.6352621632366002E-3</c:v>
                  </c:pt>
                  <c:pt idx="6">
                    <c:v>3.933470694499645E-3</c:v>
                  </c:pt>
                  <c:pt idx="7">
                    <c:v>3.9021979945015927E-3</c:v>
                  </c:pt>
                  <c:pt idx="8">
                    <c:v>3.8665751457075551E-3</c:v>
                  </c:pt>
                  <c:pt idx="9">
                    <c:v>3.2152059030727208E-3</c:v>
                  </c:pt>
                  <c:pt idx="10">
                    <c:v>6.111905699950319E-3</c:v>
                  </c:pt>
                  <c:pt idx="11">
                    <c:v>4.0917078204372008E-3</c:v>
                  </c:pt>
                </c:numCache>
              </c:numRef>
            </c:minus>
            <c:spPr>
              <a:noFill/>
              <a:ln w="19050" cap="flat" cmpd="sng" algn="ctr">
                <a:solidFill>
                  <a:schemeClr val="bg1">
                    <a:lumMod val="65000"/>
                  </a:schemeClr>
                </a:solidFill>
                <a:round/>
              </a:ln>
              <a:effectLst/>
            </c:spPr>
          </c:errBars>
          <c:cat>
            <c:strRef>
              <c:f>AMS!$B$84:$B$95</c:f>
              <c:strCache>
                <c:ptCount val="12"/>
                <c:pt idx="0">
                  <c:v>DSRL1S</c:v>
                </c:pt>
                <c:pt idx="1">
                  <c:v>DSRL2S</c:v>
                </c:pt>
                <c:pt idx="2">
                  <c:v>DSRL3S</c:v>
                </c:pt>
                <c:pt idx="3">
                  <c:v>DSRL4S</c:v>
                </c:pt>
                <c:pt idx="4">
                  <c:v>DSRL5S</c:v>
                </c:pt>
                <c:pt idx="5">
                  <c:v>DSRL6S</c:v>
                </c:pt>
                <c:pt idx="6">
                  <c:v>DSRL8S</c:v>
                </c:pt>
                <c:pt idx="7">
                  <c:v>DSRL9S</c:v>
                </c:pt>
                <c:pt idx="8">
                  <c:v>DSRL10S</c:v>
                </c:pt>
                <c:pt idx="9">
                  <c:v>DSRLB1S</c:v>
                </c:pt>
                <c:pt idx="10">
                  <c:v>MalhamS</c:v>
                </c:pt>
                <c:pt idx="11">
                  <c:v>BigginS</c:v>
                </c:pt>
              </c:strCache>
            </c:strRef>
          </c:cat>
          <c:val>
            <c:numRef>
              <c:f>AMS!$C$84:$C$95</c:f>
              <c:numCache>
                <c:formatCode>0.000</c:formatCode>
                <c:ptCount val="12"/>
                <c:pt idx="0">
                  <c:v>0.12441632619049857</c:v>
                </c:pt>
                <c:pt idx="1">
                  <c:v>0.13280299472285398</c:v>
                </c:pt>
                <c:pt idx="2">
                  <c:v>9.2264847191141086E-2</c:v>
                </c:pt>
                <c:pt idx="3">
                  <c:v>0.12965590083436151</c:v>
                </c:pt>
                <c:pt idx="4">
                  <c:v>0.12687128008350473</c:v>
                </c:pt>
                <c:pt idx="5">
                  <c:v>0.12051827495316154</c:v>
                </c:pt>
                <c:pt idx="6">
                  <c:v>0.12775339926941634</c:v>
                </c:pt>
                <c:pt idx="7">
                  <c:v>0.12893049739015036</c:v>
                </c:pt>
                <c:pt idx="8">
                  <c:v>0.12781879076056271</c:v>
                </c:pt>
                <c:pt idx="9">
                  <c:v>0.10636876799175667</c:v>
                </c:pt>
                <c:pt idx="10">
                  <c:v>0.19840403124062847</c:v>
                </c:pt>
                <c:pt idx="11">
                  <c:v>0.13498620725962951</c:v>
                </c:pt>
              </c:numCache>
            </c:numRef>
          </c:val>
          <c:extLst>
            <c:ext xmlns:c16="http://schemas.microsoft.com/office/drawing/2014/chart" uri="{C3380CC4-5D6E-409C-BE32-E72D297353CC}">
              <c16:uniqueId val="{00000006-F34F-4252-BC4F-49122A9815D7}"/>
            </c:ext>
          </c:extLst>
        </c:ser>
        <c:dLbls>
          <c:showLegendKey val="0"/>
          <c:showVal val="0"/>
          <c:showCatName val="0"/>
          <c:showSerName val="0"/>
          <c:showPercent val="0"/>
          <c:showBubbleSize val="0"/>
        </c:dLbls>
        <c:gapWidth val="219"/>
        <c:axId val="606277296"/>
        <c:axId val="606278936"/>
      </c:barChart>
      <c:lineChart>
        <c:grouping val="standard"/>
        <c:varyColors val="0"/>
        <c:ser>
          <c:idx val="1"/>
          <c:order val="1"/>
          <c:tx>
            <c:strRef>
              <c:f>AMS!$E$81</c:f>
              <c:strCache>
                <c:ptCount val="1"/>
                <c:pt idx="0">
                  <c:v>Global Average Ratio</c:v>
                </c:pt>
              </c:strCache>
            </c:strRef>
          </c:tx>
          <c:spPr>
            <a:ln w="28575" cap="rnd">
              <a:solidFill>
                <a:schemeClr val="bg2">
                  <a:lumMod val="75000"/>
                </a:schemeClr>
              </a:solidFill>
              <a:round/>
            </a:ln>
            <a:effectLst/>
          </c:spPr>
          <c:marker>
            <c:symbol val="none"/>
          </c:marker>
          <c:trendline>
            <c:name>Global Average</c:name>
            <c:spPr>
              <a:ln w="19050" cap="rnd">
                <a:solidFill>
                  <a:sysClr val="windowText" lastClr="000000"/>
                </a:solidFill>
                <a:prstDash val="sysDot"/>
              </a:ln>
              <a:effectLst/>
            </c:spPr>
            <c:trendlineType val="linear"/>
            <c:dispRSqr val="0"/>
            <c:dispEq val="0"/>
          </c:trendline>
          <c:errBars>
            <c:errDir val="y"/>
            <c:errBarType val="both"/>
            <c:errValType val="cust"/>
            <c:noEndCap val="0"/>
            <c:plus>
              <c:numRef>
                <c:f>AMS!$F$82:$F$95</c:f>
                <c:numCache>
                  <c:formatCode>General</c:formatCode>
                  <c:ptCount val="12"/>
                  <c:pt idx="0">
                    <c:v>1.4E-2</c:v>
                  </c:pt>
                  <c:pt idx="1">
                    <c:v>1.4E-2</c:v>
                  </c:pt>
                  <c:pt idx="2">
                    <c:v>1.4E-2</c:v>
                  </c:pt>
                  <c:pt idx="3">
                    <c:v>1.4E-2</c:v>
                  </c:pt>
                  <c:pt idx="4">
                    <c:v>1.4E-2</c:v>
                  </c:pt>
                  <c:pt idx="5">
                    <c:v>1.4E-2</c:v>
                  </c:pt>
                  <c:pt idx="6">
                    <c:v>1.4E-2</c:v>
                  </c:pt>
                  <c:pt idx="7">
                    <c:v>1.4E-2</c:v>
                  </c:pt>
                  <c:pt idx="8">
                    <c:v>1.4E-2</c:v>
                  </c:pt>
                  <c:pt idx="9">
                    <c:v>1.4E-2</c:v>
                  </c:pt>
                  <c:pt idx="10">
                    <c:v>1.4E-2</c:v>
                  </c:pt>
                  <c:pt idx="11">
                    <c:v>1.4E-2</c:v>
                  </c:pt>
                </c:numCache>
              </c:numRef>
            </c:plus>
            <c:minus>
              <c:numRef>
                <c:f>AMS!$F$82:$F$95</c:f>
                <c:numCache>
                  <c:formatCode>General</c:formatCode>
                  <c:ptCount val="12"/>
                  <c:pt idx="0">
                    <c:v>1.4E-2</c:v>
                  </c:pt>
                  <c:pt idx="1">
                    <c:v>1.4E-2</c:v>
                  </c:pt>
                  <c:pt idx="2">
                    <c:v>1.4E-2</c:v>
                  </c:pt>
                  <c:pt idx="3">
                    <c:v>1.4E-2</c:v>
                  </c:pt>
                  <c:pt idx="4">
                    <c:v>1.4E-2</c:v>
                  </c:pt>
                  <c:pt idx="5">
                    <c:v>1.4E-2</c:v>
                  </c:pt>
                  <c:pt idx="6">
                    <c:v>1.4E-2</c:v>
                  </c:pt>
                  <c:pt idx="7">
                    <c:v>1.4E-2</c:v>
                  </c:pt>
                  <c:pt idx="8">
                    <c:v>1.4E-2</c:v>
                  </c:pt>
                  <c:pt idx="9">
                    <c:v>1.4E-2</c:v>
                  </c:pt>
                  <c:pt idx="10">
                    <c:v>1.4E-2</c:v>
                  </c:pt>
                  <c:pt idx="11">
                    <c:v>1.4E-2</c:v>
                  </c:pt>
                </c:numCache>
              </c:numRef>
            </c:minus>
            <c:spPr>
              <a:noFill/>
              <a:ln w="19050" cap="flat" cmpd="sng" algn="ctr">
                <a:solidFill>
                  <a:schemeClr val="bg1">
                    <a:lumMod val="65000"/>
                  </a:schemeClr>
                </a:solidFill>
                <a:round/>
              </a:ln>
              <a:effectLst/>
            </c:spPr>
          </c:errBars>
          <c:cat>
            <c:strRef>
              <c:f>AMS!$B$84:$B$95</c:f>
              <c:strCache>
                <c:ptCount val="12"/>
                <c:pt idx="0">
                  <c:v>DSRL1S</c:v>
                </c:pt>
                <c:pt idx="1">
                  <c:v>DSRL2S</c:v>
                </c:pt>
                <c:pt idx="2">
                  <c:v>DSRL3S</c:v>
                </c:pt>
                <c:pt idx="3">
                  <c:v>DSRL4S</c:v>
                </c:pt>
                <c:pt idx="4">
                  <c:v>DSRL5S</c:v>
                </c:pt>
                <c:pt idx="5">
                  <c:v>DSRL6S</c:v>
                </c:pt>
                <c:pt idx="6">
                  <c:v>DSRL8S</c:v>
                </c:pt>
                <c:pt idx="7">
                  <c:v>DSRL9S</c:v>
                </c:pt>
                <c:pt idx="8">
                  <c:v>DSRL10S</c:v>
                </c:pt>
                <c:pt idx="9">
                  <c:v>DSRLB1S</c:v>
                </c:pt>
                <c:pt idx="10">
                  <c:v>MalhamS</c:v>
                </c:pt>
                <c:pt idx="11">
                  <c:v>BigginS</c:v>
                </c:pt>
              </c:strCache>
            </c:strRef>
          </c:cat>
          <c:val>
            <c:numRef>
              <c:f>AMS!$E$82:$E$95</c:f>
              <c:numCache>
                <c:formatCode>General</c:formatCode>
                <c:ptCount val="12"/>
                <c:pt idx="0">
                  <c:v>0.17599999999999999</c:v>
                </c:pt>
                <c:pt idx="1">
                  <c:v>0.17599999999999999</c:v>
                </c:pt>
                <c:pt idx="2">
                  <c:v>0.17599999999999999</c:v>
                </c:pt>
                <c:pt idx="3">
                  <c:v>0.17599999999999999</c:v>
                </c:pt>
                <c:pt idx="4">
                  <c:v>0.17599999999999999</c:v>
                </c:pt>
                <c:pt idx="5">
                  <c:v>0.17599999999999999</c:v>
                </c:pt>
                <c:pt idx="6">
                  <c:v>0.17599999999999999</c:v>
                </c:pt>
                <c:pt idx="7">
                  <c:v>0.17599999999999999</c:v>
                </c:pt>
                <c:pt idx="8">
                  <c:v>0.17599999999999999</c:v>
                </c:pt>
                <c:pt idx="9">
                  <c:v>0.17599999999999999</c:v>
                </c:pt>
                <c:pt idx="10">
                  <c:v>0.17599999999999999</c:v>
                </c:pt>
                <c:pt idx="11">
                  <c:v>0.17599999999999999</c:v>
                </c:pt>
              </c:numCache>
            </c:numRef>
          </c:val>
          <c:smooth val="0"/>
          <c:extLst>
            <c:ext xmlns:c16="http://schemas.microsoft.com/office/drawing/2014/chart" uri="{C3380CC4-5D6E-409C-BE32-E72D297353CC}">
              <c16:uniqueId val="{00000008-F34F-4252-BC4F-49122A9815D7}"/>
            </c:ext>
          </c:extLst>
        </c:ser>
        <c:ser>
          <c:idx val="2"/>
          <c:order val="2"/>
          <c:tx>
            <c:v>Sample Average</c:v>
          </c:tx>
          <c:spPr>
            <a:ln w="28575" cap="rnd">
              <a:solidFill>
                <a:srgbClr val="FF0000"/>
              </a:solidFill>
              <a:round/>
            </a:ln>
            <a:effectLst/>
          </c:spPr>
          <c:marker>
            <c:symbol val="none"/>
          </c:marker>
          <c:errBars>
            <c:errDir val="y"/>
            <c:errBarType val="both"/>
            <c:errValType val="cust"/>
            <c:noEndCap val="0"/>
            <c:plus>
              <c:numRef>
                <c:f>AMS!$D$96</c:f>
                <c:numCache>
                  <c:formatCode>General</c:formatCode>
                  <c:ptCount val="1"/>
                  <c:pt idx="0">
                    <c:v>1.3564099833484422E-2</c:v>
                  </c:pt>
                </c:numCache>
              </c:numRef>
            </c:plus>
            <c:minus>
              <c:numRef>
                <c:f>AMS!$D$96</c:f>
                <c:numCache>
                  <c:formatCode>General</c:formatCode>
                  <c:ptCount val="1"/>
                  <c:pt idx="0">
                    <c:v>1.3564099833484422E-2</c:v>
                  </c:pt>
                </c:numCache>
              </c:numRef>
            </c:minus>
            <c:spPr>
              <a:noFill/>
              <a:ln w="19050" cap="flat" cmpd="sng" algn="ctr">
                <a:solidFill>
                  <a:schemeClr val="bg1">
                    <a:lumMod val="65000"/>
                  </a:schemeClr>
                </a:solidFill>
                <a:round/>
              </a:ln>
              <a:effectLst/>
            </c:spPr>
          </c:errBars>
          <c:cat>
            <c:strLit>
              <c:ptCount val="12"/>
              <c:pt idx="0">
                <c:v>DSRL1S</c:v>
              </c:pt>
              <c:pt idx="1">
                <c:v>DSRL2S</c:v>
              </c:pt>
              <c:pt idx="2">
                <c:v>DSRL3S</c:v>
              </c:pt>
              <c:pt idx="3">
                <c:v>DSRL4S</c:v>
              </c:pt>
              <c:pt idx="4">
                <c:v>DSRL5S</c:v>
              </c:pt>
              <c:pt idx="5">
                <c:v>DSRL6S</c:v>
              </c:pt>
              <c:pt idx="6">
                <c:v>DSRL8S</c:v>
              </c:pt>
              <c:pt idx="7">
                <c:v>DSRL9S</c:v>
              </c:pt>
              <c:pt idx="8">
                <c:v>DSRL10S</c:v>
              </c:pt>
              <c:pt idx="9">
                <c:v>DSRLB1S</c:v>
              </c:pt>
              <c:pt idx="10">
                <c:v>MalhamS</c:v>
              </c:pt>
              <c:pt idx="11">
                <c:v>BigginS</c:v>
              </c:pt>
              <c:extLst>
                <c:ext xmlns:c15="http://schemas.microsoft.com/office/drawing/2012/chart" uri="{02D57815-91ED-43cb-92C2-25804820EDAC}">
                  <c15:autoCat val="1"/>
                </c:ext>
              </c:extLst>
            </c:strLit>
          </c:cat>
          <c:val>
            <c:numRef>
              <c:f>AMS!$G$82:$G$95</c:f>
              <c:numCache>
                <c:formatCode>0.000</c:formatCode>
                <c:ptCount val="12"/>
                <c:pt idx="0">
                  <c:v>0.12923260982397214</c:v>
                </c:pt>
                <c:pt idx="1">
                  <c:v>0.12923260982397214</c:v>
                </c:pt>
                <c:pt idx="2">
                  <c:v>0.12923260982397214</c:v>
                </c:pt>
                <c:pt idx="3">
                  <c:v>0.12923260982397214</c:v>
                </c:pt>
                <c:pt idx="4">
                  <c:v>0.12923260982397214</c:v>
                </c:pt>
                <c:pt idx="5">
                  <c:v>0.12923260982397214</c:v>
                </c:pt>
                <c:pt idx="6">
                  <c:v>0.12923260982397214</c:v>
                </c:pt>
                <c:pt idx="7">
                  <c:v>0.12923260982397214</c:v>
                </c:pt>
                <c:pt idx="8">
                  <c:v>0.12923260982397214</c:v>
                </c:pt>
                <c:pt idx="9">
                  <c:v>0.12923260982397214</c:v>
                </c:pt>
                <c:pt idx="10">
                  <c:v>0.12923260982397214</c:v>
                </c:pt>
                <c:pt idx="11">
                  <c:v>0.12923260982397214</c:v>
                </c:pt>
              </c:numCache>
            </c:numRef>
          </c:val>
          <c:smooth val="0"/>
          <c:extLst>
            <c:ext xmlns:c16="http://schemas.microsoft.com/office/drawing/2014/chart" uri="{C3380CC4-5D6E-409C-BE32-E72D297353CC}">
              <c16:uniqueId val="{00000009-F34F-4252-BC4F-49122A9815D7}"/>
            </c:ext>
          </c:extLst>
        </c:ser>
        <c:dLbls>
          <c:showLegendKey val="0"/>
          <c:showVal val="0"/>
          <c:showCatName val="0"/>
          <c:showSerName val="0"/>
          <c:showPercent val="0"/>
          <c:showBubbleSize val="0"/>
        </c:dLbls>
        <c:marker val="1"/>
        <c:smooth val="0"/>
        <c:axId val="606277296"/>
        <c:axId val="606278936"/>
      </c:lineChart>
      <c:catAx>
        <c:axId val="60627729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sz="1200">
                    <a:solidFill>
                      <a:sysClr val="windowText" lastClr="000000"/>
                    </a:solidFill>
                  </a:rPr>
                  <a:t>Sample</a:t>
                </a:r>
              </a:p>
            </c:rich>
          </c:tx>
          <c:layout>
            <c:manualLayout>
              <c:xMode val="edge"/>
              <c:yMode val="edge"/>
              <c:x val="0.44875014722882633"/>
              <c:y val="0.9329015427394916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606278936"/>
        <c:crosses val="autoZero"/>
        <c:auto val="1"/>
        <c:lblAlgn val="ctr"/>
        <c:lblOffset val="100"/>
        <c:noMultiLvlLbl val="0"/>
      </c:catAx>
      <c:valAx>
        <c:axId val="606278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sz="1200" b="0" i="0" u="none" strike="noStrike" baseline="30000">
                    <a:effectLst/>
                  </a:rPr>
                  <a:t>240</a:t>
                </a:r>
                <a:r>
                  <a:rPr lang="en-GB" sz="1200" b="0" i="0" u="none" strike="noStrike" baseline="0">
                    <a:effectLst/>
                  </a:rPr>
                  <a:t>Pu/</a:t>
                </a:r>
                <a:r>
                  <a:rPr lang="en-GB" sz="1200" b="0" i="0" u="none" strike="noStrike" baseline="30000">
                    <a:effectLst/>
                  </a:rPr>
                  <a:t>239</a:t>
                </a:r>
                <a:r>
                  <a:rPr lang="en-GB" sz="1200" b="0" i="0" u="none" strike="noStrike" baseline="0">
                    <a:effectLst/>
                  </a:rPr>
                  <a:t>Pu </a:t>
                </a:r>
                <a:r>
                  <a:rPr lang="en-GB" sz="1200" baseline="0">
                    <a:solidFill>
                      <a:sysClr val="windowText" lastClr="000000"/>
                    </a:solidFill>
                  </a:rPr>
                  <a:t>Ratio</a:t>
                </a:r>
                <a:endParaRPr lang="en-GB" sz="1200">
                  <a:solidFill>
                    <a:sysClr val="windowText" lastClr="000000"/>
                  </a:solidFill>
                </a:endParaRPr>
              </a:p>
            </c:rich>
          </c:tx>
          <c:layout>
            <c:manualLayout>
              <c:xMode val="edge"/>
              <c:yMode val="edge"/>
              <c:x val="6.6968831112177458E-3"/>
              <c:y val="0.2655959678926809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606277296"/>
        <c:crosses val="autoZero"/>
        <c:crossBetween val="between"/>
      </c:valAx>
      <c:spPr>
        <a:noFill/>
        <a:ln>
          <a:noFill/>
        </a:ln>
        <a:effectLst/>
      </c:spPr>
    </c:plotArea>
    <c:legend>
      <c:legendPos val="r"/>
      <c:layout>
        <c:manualLayout>
          <c:xMode val="edge"/>
          <c:yMode val="edge"/>
          <c:x val="0.66715990141121562"/>
          <c:y val="2.2207971707573985E-2"/>
          <c:w val="0.32363539599101365"/>
          <c:h val="0.1346089666360583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05067948934923"/>
          <c:y val="6.2284557720146141E-2"/>
          <c:w val="0.87257528993232147"/>
          <c:h val="0.68984460661390812"/>
        </c:manualLayout>
      </c:layout>
      <c:barChart>
        <c:barDir val="col"/>
        <c:grouping val="clustered"/>
        <c:varyColors val="0"/>
        <c:ser>
          <c:idx val="0"/>
          <c:order val="0"/>
          <c:tx>
            <c:strRef>
              <c:f>Neutrons!$D$59</c:f>
              <c:strCache>
                <c:ptCount val="1"/>
                <c:pt idx="0">
                  <c:v>Total sample neutrons</c:v>
                </c:pt>
              </c:strCache>
            </c:strRef>
          </c:tx>
          <c:spPr>
            <a:solidFill>
              <a:schemeClr val="tx1"/>
            </a:solidFill>
            <a:ln>
              <a:noFill/>
            </a:ln>
            <a:effectLst/>
          </c:spPr>
          <c:invertIfNegative val="0"/>
          <c:dPt>
            <c:idx val="9"/>
            <c:invertIfNegative val="0"/>
            <c:bubble3D val="0"/>
            <c:spPr>
              <a:pattFill prst="wdDnDiag">
                <a:fgClr>
                  <a:srgbClr val="FF0000"/>
                </a:fgClr>
                <a:bgClr>
                  <a:schemeClr val="bg1"/>
                </a:bgClr>
              </a:pattFill>
              <a:ln>
                <a:solidFill>
                  <a:schemeClr val="tx1"/>
                </a:solidFill>
              </a:ln>
              <a:effectLst/>
            </c:spPr>
            <c:extLst>
              <c:ext xmlns:c16="http://schemas.microsoft.com/office/drawing/2014/chart" uri="{C3380CC4-5D6E-409C-BE32-E72D297353CC}">
                <c16:uniqueId val="{00000001-1F19-4665-B26C-B8B9A2C867C3}"/>
              </c:ext>
            </c:extLst>
          </c:dPt>
          <c:dPt>
            <c:idx val="10"/>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3-1F19-4665-B26C-B8B9A2C867C3}"/>
              </c:ext>
            </c:extLst>
          </c:dPt>
          <c:dPt>
            <c:idx val="11"/>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5-1F19-4665-B26C-B8B9A2C867C3}"/>
              </c:ext>
            </c:extLst>
          </c:dPt>
          <c:errBars>
            <c:errBarType val="both"/>
            <c:errValType val="cust"/>
            <c:noEndCap val="0"/>
            <c:plus>
              <c:numRef>
                <c:f>(Neutrons!$E$60:$J$60,Neutrons!$L$60:$Q$60)</c:f>
                <c:numCache>
                  <c:formatCode>General</c:formatCode>
                  <c:ptCount val="12"/>
                  <c:pt idx="0">
                    <c:v>0.65742413237801278</c:v>
                  </c:pt>
                  <c:pt idx="1">
                    <c:v>0.85345068698592996</c:v>
                  </c:pt>
                  <c:pt idx="2">
                    <c:v>1.1584499238342849</c:v>
                  </c:pt>
                  <c:pt idx="3">
                    <c:v>0.67927283802547578</c:v>
                  </c:pt>
                  <c:pt idx="4">
                    <c:v>0.83265306509021131</c:v>
                  </c:pt>
                  <c:pt idx="5">
                    <c:v>1.1278658099349619</c:v>
                  </c:pt>
                  <c:pt idx="6">
                    <c:v>0.50855622677122403</c:v>
                  </c:pt>
                  <c:pt idx="7">
                    <c:v>0.99284181270276806</c:v>
                  </c:pt>
                  <c:pt idx="8">
                    <c:v>0.77834747881899913</c:v>
                  </c:pt>
                  <c:pt idx="9">
                    <c:v>0.81862056287432161</c:v>
                  </c:pt>
                  <c:pt idx="10">
                    <c:v>0.4935046624324782</c:v>
                  </c:pt>
                  <c:pt idx="11">
                    <c:v>0.65692975695270539</c:v>
                  </c:pt>
                </c:numCache>
              </c:numRef>
            </c:plus>
            <c:minus>
              <c:numRef>
                <c:f>(Neutrons!$E$60:$J$60,Neutrons!$L$60:$Q$60)</c:f>
                <c:numCache>
                  <c:formatCode>General</c:formatCode>
                  <c:ptCount val="12"/>
                  <c:pt idx="0">
                    <c:v>0.65742413237801278</c:v>
                  </c:pt>
                  <c:pt idx="1">
                    <c:v>0.85345068698592996</c:v>
                  </c:pt>
                  <c:pt idx="2">
                    <c:v>1.1584499238342849</c:v>
                  </c:pt>
                  <c:pt idx="3">
                    <c:v>0.67927283802547578</c:v>
                  </c:pt>
                  <c:pt idx="4">
                    <c:v>0.83265306509021131</c:v>
                  </c:pt>
                  <c:pt idx="5">
                    <c:v>1.1278658099349619</c:v>
                  </c:pt>
                  <c:pt idx="6">
                    <c:v>0.50855622677122403</c:v>
                  </c:pt>
                  <c:pt idx="7">
                    <c:v>0.99284181270276806</c:v>
                  </c:pt>
                  <c:pt idx="8">
                    <c:v>0.77834747881899913</c:v>
                  </c:pt>
                  <c:pt idx="9">
                    <c:v>0.81862056287432161</c:v>
                  </c:pt>
                  <c:pt idx="10">
                    <c:v>0.4935046624324782</c:v>
                  </c:pt>
                  <c:pt idx="11">
                    <c:v>0.65692975695270539</c:v>
                  </c:pt>
                </c:numCache>
              </c:numRef>
            </c:minus>
            <c:spPr>
              <a:noFill/>
              <a:ln w="19050" cap="flat" cmpd="sng" algn="ctr">
                <a:solidFill>
                  <a:schemeClr val="bg1">
                    <a:lumMod val="65000"/>
                  </a:schemeClr>
                </a:solidFill>
                <a:round/>
              </a:ln>
              <a:effectLst/>
            </c:spPr>
          </c:errBars>
          <c:cat>
            <c:strRef>
              <c:f>(Neutrons!$E$58:$J$58,Neutrons!$L$58:$Q$58)</c:f>
              <c:strCache>
                <c:ptCount val="12"/>
                <c:pt idx="0">
                  <c:v>DSRL1</c:v>
                </c:pt>
                <c:pt idx="1">
                  <c:v>DSRL2</c:v>
                </c:pt>
                <c:pt idx="2">
                  <c:v>DSRL3</c:v>
                </c:pt>
                <c:pt idx="3">
                  <c:v>DSRL4</c:v>
                </c:pt>
                <c:pt idx="4">
                  <c:v>DSRL5</c:v>
                </c:pt>
                <c:pt idx="5">
                  <c:v>DSRL6</c:v>
                </c:pt>
                <c:pt idx="6">
                  <c:v>DSRL8</c:v>
                </c:pt>
                <c:pt idx="7">
                  <c:v>DSRL9</c:v>
                </c:pt>
                <c:pt idx="8">
                  <c:v>DSRL10</c:v>
                </c:pt>
                <c:pt idx="9">
                  <c:v>DSRL B1A</c:v>
                </c:pt>
                <c:pt idx="10">
                  <c:v>Malham</c:v>
                </c:pt>
                <c:pt idx="11">
                  <c:v>Biggin</c:v>
                </c:pt>
              </c:strCache>
            </c:strRef>
          </c:cat>
          <c:val>
            <c:numRef>
              <c:f>(Neutrons!$E$59:$J$59,Neutrons!$L$59:$Q$59)</c:f>
              <c:numCache>
                <c:formatCode>General</c:formatCode>
                <c:ptCount val="12"/>
                <c:pt idx="0">
                  <c:v>34.969973678379546</c:v>
                </c:pt>
                <c:pt idx="1">
                  <c:v>35.660007167355857</c:v>
                </c:pt>
                <c:pt idx="2">
                  <c:v>54.509793722477063</c:v>
                </c:pt>
                <c:pt idx="3">
                  <c:v>35.079328487527583</c:v>
                </c:pt>
                <c:pt idx="4">
                  <c:v>35.312371576517748</c:v>
                </c:pt>
                <c:pt idx="5">
                  <c:v>40.152499623894698</c:v>
                </c:pt>
                <c:pt idx="6">
                  <c:v>22.829151633049413</c:v>
                </c:pt>
                <c:pt idx="7">
                  <c:v>37.303390188026157</c:v>
                </c:pt>
                <c:pt idx="8">
                  <c:v>39.064638365884264</c:v>
                </c:pt>
                <c:pt idx="9">
                  <c:v>36.181340818818107</c:v>
                </c:pt>
                <c:pt idx="10">
                  <c:v>28.705958029611821</c:v>
                </c:pt>
                <c:pt idx="11">
                  <c:v>31.478927298811477</c:v>
                </c:pt>
              </c:numCache>
            </c:numRef>
          </c:val>
          <c:extLst>
            <c:ext xmlns:c16="http://schemas.microsoft.com/office/drawing/2014/chart" uri="{C3380CC4-5D6E-409C-BE32-E72D297353CC}">
              <c16:uniqueId val="{00000006-1F19-4665-B26C-B8B9A2C867C3}"/>
            </c:ext>
          </c:extLst>
        </c:ser>
        <c:dLbls>
          <c:showLegendKey val="0"/>
          <c:showVal val="0"/>
          <c:showCatName val="0"/>
          <c:showSerName val="0"/>
          <c:showPercent val="0"/>
          <c:showBubbleSize val="0"/>
        </c:dLbls>
        <c:gapWidth val="219"/>
        <c:overlap val="-27"/>
        <c:axId val="660197960"/>
        <c:axId val="660197632"/>
      </c:barChart>
      <c:catAx>
        <c:axId val="66019796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Sample</a:t>
                </a:r>
              </a:p>
            </c:rich>
          </c:tx>
          <c:layout>
            <c:manualLayout>
              <c:xMode val="edge"/>
              <c:yMode val="edge"/>
              <c:x val="0.47319275374203307"/>
              <c:y val="0.9173327724021875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660197632"/>
        <c:crosses val="autoZero"/>
        <c:auto val="1"/>
        <c:lblAlgn val="ctr"/>
        <c:lblOffset val="100"/>
        <c:noMultiLvlLbl val="0"/>
      </c:catAx>
      <c:valAx>
        <c:axId val="66019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Neutron Emission /4 hours</a:t>
                </a:r>
              </a:p>
            </c:rich>
          </c:tx>
          <c:layout>
            <c:manualLayout>
              <c:xMode val="edge"/>
              <c:yMode val="edge"/>
              <c:x val="6.6474628849988917E-3"/>
              <c:y val="0.2150318505096412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660197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84623947266949"/>
          <c:y val="4.8245614035087717E-2"/>
          <c:w val="0.73725458038108627"/>
          <c:h val="0.77480971128608922"/>
        </c:manualLayout>
      </c:layout>
      <c:barChart>
        <c:barDir val="bar"/>
        <c:grouping val="clustered"/>
        <c:varyColors val="0"/>
        <c:ser>
          <c:idx val="0"/>
          <c:order val="0"/>
          <c:tx>
            <c:strRef>
              <c:f>Ratio!$C$2</c:f>
              <c:strCache>
                <c:ptCount val="1"/>
                <c:pt idx="0">
                  <c:v>240/239</c:v>
                </c:pt>
              </c:strCache>
            </c:strRef>
          </c:tx>
          <c:spPr>
            <a:solidFill>
              <a:schemeClr val="accent1"/>
            </a:solidFill>
            <a:ln>
              <a:noFill/>
            </a:ln>
            <a:effectLst/>
          </c:spPr>
          <c:invertIfNegative val="0"/>
          <c:dPt>
            <c:idx val="1"/>
            <c:invertIfNegative val="0"/>
            <c:bubble3D val="0"/>
            <c:spPr>
              <a:solidFill>
                <a:schemeClr val="accent1"/>
              </a:solidFill>
              <a:ln w="28575">
                <a:solidFill>
                  <a:sysClr val="windowText" lastClr="000000"/>
                </a:solidFill>
              </a:ln>
              <a:effectLst/>
            </c:spPr>
            <c:extLst>
              <c:ext xmlns:c16="http://schemas.microsoft.com/office/drawing/2014/chart" uri="{C3380CC4-5D6E-409C-BE32-E72D297353CC}">
                <c16:uniqueId val="{00000001-24B9-4CCB-89AE-8DC74B099986}"/>
              </c:ext>
            </c:extLst>
          </c:dPt>
          <c:dPt>
            <c:idx val="2"/>
            <c:invertIfNegative val="0"/>
            <c:bubble3D val="0"/>
            <c:spPr>
              <a:solidFill>
                <a:schemeClr val="tx1"/>
              </a:solidFill>
              <a:ln w="28575">
                <a:solidFill>
                  <a:schemeClr val="tx1"/>
                </a:solidFill>
              </a:ln>
              <a:effectLst/>
            </c:spPr>
            <c:extLst>
              <c:ext xmlns:c16="http://schemas.microsoft.com/office/drawing/2014/chart" uri="{C3380CC4-5D6E-409C-BE32-E72D297353CC}">
                <c16:uniqueId val="{00000003-24B9-4CCB-89AE-8DC74B099986}"/>
              </c:ext>
            </c:extLst>
          </c:dPt>
          <c:dPt>
            <c:idx val="3"/>
            <c:invertIfNegative val="0"/>
            <c:bubble3D val="0"/>
            <c:spPr>
              <a:solidFill>
                <a:srgbClr val="FF0000"/>
              </a:solidFill>
              <a:ln w="28575">
                <a:solidFill>
                  <a:sysClr val="windowText" lastClr="000000"/>
                </a:solidFill>
              </a:ln>
              <a:effectLst/>
            </c:spPr>
            <c:extLst>
              <c:ext xmlns:c16="http://schemas.microsoft.com/office/drawing/2014/chart" uri="{C3380CC4-5D6E-409C-BE32-E72D297353CC}">
                <c16:uniqueId val="{00000005-24B9-4CCB-89AE-8DC74B099986}"/>
              </c:ext>
            </c:extLst>
          </c:dPt>
          <c:dPt>
            <c:idx val="4"/>
            <c:invertIfNegative val="0"/>
            <c:bubble3D val="0"/>
            <c:spPr>
              <a:solidFill>
                <a:schemeClr val="accent1"/>
              </a:solidFill>
              <a:ln w="28575">
                <a:solidFill>
                  <a:sysClr val="windowText" lastClr="000000"/>
                </a:solidFill>
              </a:ln>
              <a:effectLst/>
            </c:spPr>
            <c:extLst>
              <c:ext xmlns:c16="http://schemas.microsoft.com/office/drawing/2014/chart" uri="{C3380CC4-5D6E-409C-BE32-E72D297353CC}">
                <c16:uniqueId val="{00000007-24B9-4CCB-89AE-8DC74B099986}"/>
              </c:ext>
            </c:extLst>
          </c:dPt>
          <c:errBars>
            <c:errBarType val="both"/>
            <c:errValType val="cust"/>
            <c:noEndCap val="0"/>
            <c:plus>
              <c:numRef>
                <c:f>(Ratio!$D$3:$D$10,Ratio!$D$13:$D$14,Ratio!$D$16:$D$18)</c:f>
                <c:numCache>
                  <c:formatCode>General</c:formatCode>
                  <c:ptCount val="13"/>
                  <c:pt idx="0">
                    <c:v>0.01</c:v>
                  </c:pt>
                  <c:pt idx="1">
                    <c:v>0.01</c:v>
                  </c:pt>
                  <c:pt idx="2">
                    <c:v>4.0000000000000001E-3</c:v>
                  </c:pt>
                  <c:pt idx="3">
                    <c:v>3.0000000000000001E-3</c:v>
                  </c:pt>
                  <c:pt idx="4">
                    <c:v>7.0000000000000001E-3</c:v>
                  </c:pt>
                  <c:pt idx="5">
                    <c:v>1E-3</c:v>
                  </c:pt>
                  <c:pt idx="6">
                    <c:v>1E-3</c:v>
                  </c:pt>
                  <c:pt idx="7">
                    <c:v>0.01</c:v>
                  </c:pt>
                  <c:pt idx="8">
                    <c:v>1E-4</c:v>
                  </c:pt>
                  <c:pt idx="9">
                    <c:v>1E-4</c:v>
                  </c:pt>
                  <c:pt idx="10">
                    <c:v>0.02</c:v>
                  </c:pt>
                  <c:pt idx="11">
                    <c:v>0.01</c:v>
                  </c:pt>
                  <c:pt idx="12">
                    <c:v>1.4648000000000003E-3</c:v>
                  </c:pt>
                </c:numCache>
              </c:numRef>
            </c:plus>
            <c:minus>
              <c:numRef>
                <c:f>(Ratio!$D$3:$D$10,Ratio!$D$13:$D$14,Ratio!$D$16:$D$18)</c:f>
                <c:numCache>
                  <c:formatCode>General</c:formatCode>
                  <c:ptCount val="13"/>
                  <c:pt idx="0">
                    <c:v>0.01</c:v>
                  </c:pt>
                  <c:pt idx="1">
                    <c:v>0.01</c:v>
                  </c:pt>
                  <c:pt idx="2">
                    <c:v>4.0000000000000001E-3</c:v>
                  </c:pt>
                  <c:pt idx="3">
                    <c:v>3.0000000000000001E-3</c:v>
                  </c:pt>
                  <c:pt idx="4">
                    <c:v>7.0000000000000001E-3</c:v>
                  </c:pt>
                  <c:pt idx="5">
                    <c:v>1E-3</c:v>
                  </c:pt>
                  <c:pt idx="6">
                    <c:v>1E-3</c:v>
                  </c:pt>
                  <c:pt idx="7">
                    <c:v>0.01</c:v>
                  </c:pt>
                  <c:pt idx="8">
                    <c:v>1E-4</c:v>
                  </c:pt>
                  <c:pt idx="9">
                    <c:v>1E-4</c:v>
                  </c:pt>
                  <c:pt idx="10">
                    <c:v>0.02</c:v>
                  </c:pt>
                  <c:pt idx="11">
                    <c:v>0.01</c:v>
                  </c:pt>
                  <c:pt idx="12">
                    <c:v>1.4648000000000003E-3</c:v>
                  </c:pt>
                </c:numCache>
              </c:numRef>
            </c:minus>
            <c:spPr>
              <a:noFill/>
              <a:ln w="19050" cap="flat" cmpd="sng" algn="ctr">
                <a:solidFill>
                  <a:schemeClr val="bg1">
                    <a:lumMod val="65000"/>
                  </a:schemeClr>
                </a:solidFill>
                <a:round/>
              </a:ln>
              <a:effectLst/>
            </c:spPr>
          </c:errBars>
          <c:cat>
            <c:strRef>
              <c:f>(Ratio!$B$3:$B$10,Ratio!$B$13:$B$14,Ratio!$B$16:$B$18)</c:f>
              <c:strCache>
                <c:ptCount val="13"/>
                <c:pt idx="0">
                  <c:v>Global Avg</c:v>
                </c:pt>
                <c:pt idx="1">
                  <c:v>Our Avg</c:v>
                </c:pt>
                <c:pt idx="2">
                  <c:v>Onsite</c:v>
                </c:pt>
                <c:pt idx="3">
                  <c:v>Offsite</c:v>
                </c:pt>
                <c:pt idx="4">
                  <c:v>Away</c:v>
                </c:pt>
                <c:pt idx="5">
                  <c:v>Salzburg</c:v>
                </c:pt>
                <c:pt idx="6">
                  <c:v>Sellafield</c:v>
                </c:pt>
                <c:pt idx="7">
                  <c:v>Garigliano drain</c:v>
                </c:pt>
                <c:pt idx="8">
                  <c:v>Mayak</c:v>
                </c:pt>
                <c:pt idx="9">
                  <c:v>Semipalatinsk</c:v>
                </c:pt>
                <c:pt idx="10">
                  <c:v>Norway (Glomfjord</c:v>
                </c:pt>
                <c:pt idx="11">
                  <c:v>Norway (Klofta)</c:v>
                </c:pt>
                <c:pt idx="12">
                  <c:v>Wick</c:v>
                </c:pt>
              </c:strCache>
            </c:strRef>
          </c:cat>
          <c:val>
            <c:numRef>
              <c:f>(Ratio!$C$3:$C$10,Ratio!$C$13:$C$14,Ratio!$C$16:$C$18)</c:f>
              <c:numCache>
                <c:formatCode>General</c:formatCode>
                <c:ptCount val="13"/>
                <c:pt idx="0">
                  <c:v>0.18</c:v>
                </c:pt>
                <c:pt idx="1">
                  <c:v>0.13</c:v>
                </c:pt>
                <c:pt idx="2">
                  <c:v>0.125</c:v>
                </c:pt>
                <c:pt idx="3">
                  <c:v>0.106</c:v>
                </c:pt>
                <c:pt idx="4">
                  <c:v>0.16700000000000001</c:v>
                </c:pt>
                <c:pt idx="5">
                  <c:v>0.184</c:v>
                </c:pt>
                <c:pt idx="6">
                  <c:v>0.22600000000000001</c:v>
                </c:pt>
                <c:pt idx="7">
                  <c:v>0.16700000000000001</c:v>
                </c:pt>
                <c:pt idx="8">
                  <c:v>2.8299999999999999E-2</c:v>
                </c:pt>
                <c:pt idx="9">
                  <c:v>4.3799999999999999E-2</c:v>
                </c:pt>
                <c:pt idx="10">
                  <c:v>0.2</c:v>
                </c:pt>
                <c:pt idx="11">
                  <c:v>0.17</c:v>
                </c:pt>
                <c:pt idx="12">
                  <c:v>0.18310000000000001</c:v>
                </c:pt>
              </c:numCache>
            </c:numRef>
          </c:val>
          <c:extLst>
            <c:ext xmlns:c16="http://schemas.microsoft.com/office/drawing/2014/chart" uri="{C3380CC4-5D6E-409C-BE32-E72D297353CC}">
              <c16:uniqueId val="{00000008-24B9-4CCB-89AE-8DC74B099986}"/>
            </c:ext>
          </c:extLst>
        </c:ser>
        <c:dLbls>
          <c:showLegendKey val="0"/>
          <c:showVal val="0"/>
          <c:showCatName val="0"/>
          <c:showSerName val="0"/>
          <c:showPercent val="0"/>
          <c:showBubbleSize val="0"/>
        </c:dLbls>
        <c:gapWidth val="182"/>
        <c:axId val="406173128"/>
        <c:axId val="481003152"/>
      </c:barChart>
      <c:catAx>
        <c:axId val="406173128"/>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81003152"/>
        <c:crosses val="autoZero"/>
        <c:auto val="1"/>
        <c:lblAlgn val="ctr"/>
        <c:lblOffset val="100"/>
        <c:noMultiLvlLbl val="0"/>
      </c:catAx>
      <c:valAx>
        <c:axId val="481003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sz="1200" baseline="30000">
                    <a:solidFill>
                      <a:sysClr val="windowText" lastClr="000000"/>
                    </a:solidFill>
                  </a:rPr>
                  <a:t>240</a:t>
                </a:r>
                <a:r>
                  <a:rPr lang="en-GB" sz="1200" baseline="0">
                    <a:solidFill>
                      <a:sysClr val="windowText" lastClr="000000"/>
                    </a:solidFill>
                  </a:rPr>
                  <a:t>Pu/</a:t>
                </a:r>
                <a:r>
                  <a:rPr lang="en-GB" sz="1200" baseline="30000">
                    <a:solidFill>
                      <a:sysClr val="windowText" lastClr="000000"/>
                    </a:solidFill>
                  </a:rPr>
                  <a:t>239</a:t>
                </a:r>
                <a:r>
                  <a:rPr lang="en-GB" sz="1200" baseline="0">
                    <a:solidFill>
                      <a:sysClr val="windowText" lastClr="000000"/>
                    </a:solidFill>
                  </a:rPr>
                  <a:t>Pu Ratio</a:t>
                </a:r>
                <a:endParaRPr lang="en-GB" sz="1200" baseline="30000">
                  <a:solidFill>
                    <a:sysClr val="windowText" lastClr="000000"/>
                  </a:solidFill>
                </a:endParaRPr>
              </a:p>
            </c:rich>
          </c:tx>
          <c:layout>
            <c:manualLayout>
              <c:xMode val="edge"/>
              <c:yMode val="edge"/>
              <c:x val="0.43888434286950562"/>
              <c:y val="0.9256740374773414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06173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86258979038408"/>
          <c:y val="2.8475888771559311E-2"/>
          <c:w val="0.70069267657332313"/>
          <c:h val="0.84087143542115317"/>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w="28575">
                <a:solidFill>
                  <a:schemeClr val="tx1"/>
                </a:solidFill>
              </a:ln>
              <a:effectLst/>
            </c:spPr>
            <c:extLst>
              <c:ext xmlns:c16="http://schemas.microsoft.com/office/drawing/2014/chart" uri="{C3380CC4-5D6E-409C-BE32-E72D297353CC}">
                <c16:uniqueId val="{00000001-7C70-4C30-8EA4-F46E1471F2C8}"/>
              </c:ext>
            </c:extLst>
          </c:dPt>
          <c:dPt>
            <c:idx val="1"/>
            <c:invertIfNegative val="0"/>
            <c:bubble3D val="0"/>
            <c:spPr>
              <a:solidFill>
                <a:schemeClr val="tx1"/>
              </a:solidFill>
              <a:ln w="28575">
                <a:solidFill>
                  <a:schemeClr val="tx1"/>
                </a:solidFill>
              </a:ln>
              <a:effectLst/>
            </c:spPr>
            <c:extLst>
              <c:ext xmlns:c16="http://schemas.microsoft.com/office/drawing/2014/chart" uri="{C3380CC4-5D6E-409C-BE32-E72D297353CC}">
                <c16:uniqueId val="{00000003-7C70-4C30-8EA4-F46E1471F2C8}"/>
              </c:ext>
            </c:extLst>
          </c:dPt>
          <c:dPt>
            <c:idx val="2"/>
            <c:invertIfNegative val="0"/>
            <c:bubble3D val="0"/>
            <c:spPr>
              <a:solidFill>
                <a:srgbClr val="FF0000"/>
              </a:solidFill>
              <a:ln w="28575">
                <a:solidFill>
                  <a:schemeClr val="tx1"/>
                </a:solidFill>
              </a:ln>
              <a:effectLst/>
            </c:spPr>
            <c:extLst>
              <c:ext xmlns:c16="http://schemas.microsoft.com/office/drawing/2014/chart" uri="{C3380CC4-5D6E-409C-BE32-E72D297353CC}">
                <c16:uniqueId val="{00000005-7C70-4C30-8EA4-F46E1471F2C8}"/>
              </c:ext>
            </c:extLst>
          </c:dPt>
          <c:dPt>
            <c:idx val="3"/>
            <c:invertIfNegative val="0"/>
            <c:bubble3D val="0"/>
            <c:spPr>
              <a:solidFill>
                <a:schemeClr val="accent1"/>
              </a:solidFill>
              <a:ln w="28575">
                <a:solidFill>
                  <a:schemeClr val="tx1"/>
                </a:solidFill>
              </a:ln>
              <a:effectLst/>
            </c:spPr>
            <c:extLst>
              <c:ext xmlns:c16="http://schemas.microsoft.com/office/drawing/2014/chart" uri="{C3380CC4-5D6E-409C-BE32-E72D297353CC}">
                <c16:uniqueId val="{00000007-7C70-4C30-8EA4-F46E1471F2C8}"/>
              </c:ext>
            </c:extLst>
          </c:dPt>
          <c:errBars>
            <c:errBarType val="both"/>
            <c:errValType val="cust"/>
            <c:noEndCap val="0"/>
            <c:plus>
              <c:numRef>
                <c:f>(Ratio!$I$4:$I$10,Ratio!$I$13:$I$17)</c:f>
                <c:numCache>
                  <c:formatCode>General</c:formatCode>
                  <c:ptCount val="12"/>
                  <c:pt idx="0">
                    <c:v>7.3399999999999995E-4</c:v>
                  </c:pt>
                  <c:pt idx="1">
                    <c:v>9.7799999999999992E-4</c:v>
                  </c:pt>
                  <c:pt idx="2">
                    <c:v>5.27E-5</c:v>
                  </c:pt>
                  <c:pt idx="3">
                    <c:v>1.03E-4</c:v>
                  </c:pt>
                  <c:pt idx="4">
                    <c:v>6.9999999999999994E-5</c:v>
                  </c:pt>
                  <c:pt idx="5">
                    <c:v>1.2E-4</c:v>
                  </c:pt>
                  <c:pt idx="6">
                    <c:v>1.2999999999999999E-3</c:v>
                  </c:pt>
                  <c:pt idx="7">
                    <c:v>7.9999999999999996E-6</c:v>
                  </c:pt>
                  <c:pt idx="8">
                    <c:v>8.0000000000000007E-5</c:v>
                  </c:pt>
                  <c:pt idx="9">
                    <c:v>1E-4</c:v>
                  </c:pt>
                  <c:pt idx="10">
                    <c:v>8.0000000000000004E-4</c:v>
                  </c:pt>
                  <c:pt idx="11">
                    <c:v>5.0000000000000001E-4</c:v>
                  </c:pt>
                </c:numCache>
              </c:numRef>
            </c:plus>
            <c:minus>
              <c:numRef>
                <c:f>(Ratio!$I$4:$I$10,Ratio!$I$13:$I$17)</c:f>
                <c:numCache>
                  <c:formatCode>General</c:formatCode>
                  <c:ptCount val="12"/>
                  <c:pt idx="0">
                    <c:v>7.3399999999999995E-4</c:v>
                  </c:pt>
                  <c:pt idx="1">
                    <c:v>9.7799999999999992E-4</c:v>
                  </c:pt>
                  <c:pt idx="2">
                    <c:v>5.27E-5</c:v>
                  </c:pt>
                  <c:pt idx="3">
                    <c:v>1.03E-4</c:v>
                  </c:pt>
                  <c:pt idx="4">
                    <c:v>6.9999999999999994E-5</c:v>
                  </c:pt>
                  <c:pt idx="5">
                    <c:v>1.2E-4</c:v>
                  </c:pt>
                  <c:pt idx="6">
                    <c:v>1.2999999999999999E-3</c:v>
                  </c:pt>
                  <c:pt idx="7">
                    <c:v>7.9999999999999996E-6</c:v>
                  </c:pt>
                  <c:pt idx="8">
                    <c:v>8.0000000000000007E-5</c:v>
                  </c:pt>
                  <c:pt idx="9">
                    <c:v>1E-4</c:v>
                  </c:pt>
                  <c:pt idx="10">
                    <c:v>8.0000000000000004E-4</c:v>
                  </c:pt>
                  <c:pt idx="11">
                    <c:v>5.0000000000000001E-4</c:v>
                  </c:pt>
                </c:numCache>
              </c:numRef>
            </c:minus>
            <c:spPr>
              <a:noFill/>
              <a:ln w="19050" cap="flat" cmpd="sng" algn="ctr">
                <a:solidFill>
                  <a:schemeClr val="bg1">
                    <a:lumMod val="65000"/>
                  </a:schemeClr>
                </a:solidFill>
                <a:round/>
              </a:ln>
              <a:effectLst/>
            </c:spPr>
          </c:errBars>
          <c:cat>
            <c:strRef>
              <c:f>(Ratio!$G$4:$G$10,Ratio!$G$13:$G$17)</c:f>
              <c:strCache>
                <c:ptCount val="12"/>
                <c:pt idx="0">
                  <c:v>Our Avg</c:v>
                </c:pt>
                <c:pt idx="1">
                  <c:v>Onsite</c:v>
                </c:pt>
                <c:pt idx="2">
                  <c:v>Offsite</c:v>
                </c:pt>
                <c:pt idx="3">
                  <c:v>Away</c:v>
                </c:pt>
                <c:pt idx="4">
                  <c:v>Salzburg</c:v>
                </c:pt>
                <c:pt idx="5">
                  <c:v>Sellafield</c:v>
                </c:pt>
                <c:pt idx="6">
                  <c:v>Garigliano drain</c:v>
                </c:pt>
                <c:pt idx="7">
                  <c:v>Mayak</c:v>
                </c:pt>
                <c:pt idx="8">
                  <c:v>Semipalatinsk</c:v>
                </c:pt>
                <c:pt idx="9">
                  <c:v>Nevada Test Site</c:v>
                </c:pt>
                <c:pt idx="10">
                  <c:v>Norway (Glomfjord)</c:v>
                </c:pt>
                <c:pt idx="11">
                  <c:v>Norway (Klofta)</c:v>
                </c:pt>
              </c:strCache>
            </c:strRef>
          </c:cat>
          <c:val>
            <c:numRef>
              <c:f>(Ratio!$H$4:$H$10,Ratio!$H$13:$H$17)</c:f>
              <c:numCache>
                <c:formatCode>0.00E+00</c:formatCode>
                <c:ptCount val="12"/>
                <c:pt idx="0">
                  <c:v>1.8500000000000001E-3</c:v>
                </c:pt>
                <c:pt idx="1">
                  <c:v>1.72E-3</c:v>
                </c:pt>
                <c:pt idx="2">
                  <c:v>9.4200000000000002E-4</c:v>
                </c:pt>
                <c:pt idx="3">
                  <c:v>2.8900000000000002E-3</c:v>
                </c:pt>
                <c:pt idx="4">
                  <c:v>1.39E-3</c:v>
                </c:pt>
                <c:pt idx="5">
                  <c:v>8.4499999999999992E-3</c:v>
                </c:pt>
                <c:pt idx="6">
                  <c:v>4.7999999999999996E-3</c:v>
                </c:pt>
                <c:pt idx="7">
                  <c:v>2.2599999999999999E-4</c:v>
                </c:pt>
                <c:pt idx="8">
                  <c:v>4.9899999999999999E-4</c:v>
                </c:pt>
                <c:pt idx="9">
                  <c:v>1E-3</c:v>
                </c:pt>
                <c:pt idx="10">
                  <c:v>2.3E-3</c:v>
                </c:pt>
                <c:pt idx="11">
                  <c:v>8.9999999999999998E-4</c:v>
                </c:pt>
              </c:numCache>
            </c:numRef>
          </c:val>
          <c:extLst>
            <c:ext xmlns:c16="http://schemas.microsoft.com/office/drawing/2014/chart" uri="{C3380CC4-5D6E-409C-BE32-E72D297353CC}">
              <c16:uniqueId val="{00000008-7C70-4C30-8EA4-F46E1471F2C8}"/>
            </c:ext>
          </c:extLst>
        </c:ser>
        <c:dLbls>
          <c:showLegendKey val="0"/>
          <c:showVal val="0"/>
          <c:showCatName val="0"/>
          <c:showSerName val="0"/>
          <c:showPercent val="0"/>
          <c:showBubbleSize val="0"/>
        </c:dLbls>
        <c:gapWidth val="182"/>
        <c:axId val="623444328"/>
        <c:axId val="623447936"/>
      </c:barChart>
      <c:catAx>
        <c:axId val="62344432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623447936"/>
        <c:crosses val="autoZero"/>
        <c:auto val="1"/>
        <c:lblAlgn val="ctr"/>
        <c:lblOffset val="100"/>
        <c:noMultiLvlLbl val="0"/>
      </c:catAx>
      <c:valAx>
        <c:axId val="623447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0" i="0" u="none" strike="noStrike" baseline="30000">
                    <a:effectLst/>
                  </a:rPr>
                  <a:t>241</a:t>
                </a:r>
                <a:r>
                  <a:rPr lang="en-GB" sz="1200" b="0" i="0" u="none" strike="noStrike" baseline="0">
                    <a:effectLst/>
                  </a:rPr>
                  <a:t>Pu/</a:t>
                </a:r>
                <a:r>
                  <a:rPr lang="en-GB" sz="1200" b="0" i="0" u="none" strike="noStrike" baseline="30000">
                    <a:effectLst/>
                  </a:rPr>
                  <a:t>239</a:t>
                </a:r>
                <a:r>
                  <a:rPr lang="en-GB" sz="1200" b="0" i="0" u="none" strike="noStrike" baseline="0">
                    <a:effectLst/>
                  </a:rPr>
                  <a:t>Pu </a:t>
                </a:r>
                <a:r>
                  <a:rPr lang="en-GB" sz="1200">
                    <a:solidFill>
                      <a:schemeClr val="tx1"/>
                    </a:solidFill>
                  </a:rPr>
                  <a:t> Ratio</a:t>
                </a:r>
              </a:p>
            </c:rich>
          </c:tx>
          <c:layout>
            <c:manualLayout>
              <c:xMode val="edge"/>
              <c:yMode val="edge"/>
              <c:x val="0.48173073507511965"/>
              <c:y val="0.9359203119673400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0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623444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49230683620379"/>
          <c:y val="4.5681515837917512E-2"/>
          <c:w val="0.67297775057269782"/>
          <c:h val="0.8065501026873152"/>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chemeClr val="accent1"/>
              </a:solidFill>
              <a:ln w="28575">
                <a:solidFill>
                  <a:schemeClr val="tx1"/>
                </a:solidFill>
              </a:ln>
              <a:effectLst/>
            </c:spPr>
            <c:extLst>
              <c:ext xmlns:c16="http://schemas.microsoft.com/office/drawing/2014/chart" uri="{C3380CC4-5D6E-409C-BE32-E72D297353CC}">
                <c16:uniqueId val="{00000006-69F4-4DD0-AE88-5D64BC76AC9D}"/>
              </c:ext>
            </c:extLst>
          </c:dPt>
          <c:dPt>
            <c:idx val="2"/>
            <c:invertIfNegative val="0"/>
            <c:bubble3D val="0"/>
            <c:spPr>
              <a:solidFill>
                <a:schemeClr val="tx1"/>
              </a:solidFill>
              <a:ln w="28575">
                <a:solidFill>
                  <a:schemeClr val="tx1"/>
                </a:solidFill>
              </a:ln>
              <a:effectLst/>
            </c:spPr>
            <c:extLst>
              <c:ext xmlns:c16="http://schemas.microsoft.com/office/drawing/2014/chart" uri="{C3380CC4-5D6E-409C-BE32-E72D297353CC}">
                <c16:uniqueId val="{00000001-48E8-4979-8543-3F3AE87B52F7}"/>
              </c:ext>
            </c:extLst>
          </c:dPt>
          <c:dPt>
            <c:idx val="3"/>
            <c:invertIfNegative val="0"/>
            <c:bubble3D val="0"/>
            <c:spPr>
              <a:solidFill>
                <a:srgbClr val="FF0000"/>
              </a:solidFill>
              <a:ln w="28575">
                <a:solidFill>
                  <a:schemeClr val="tx1"/>
                </a:solidFill>
              </a:ln>
              <a:effectLst/>
            </c:spPr>
            <c:extLst>
              <c:ext xmlns:c16="http://schemas.microsoft.com/office/drawing/2014/chart" uri="{C3380CC4-5D6E-409C-BE32-E72D297353CC}">
                <c16:uniqueId val="{00000003-48E8-4979-8543-3F3AE87B52F7}"/>
              </c:ext>
            </c:extLst>
          </c:dPt>
          <c:dPt>
            <c:idx val="4"/>
            <c:invertIfNegative val="0"/>
            <c:bubble3D val="0"/>
            <c:spPr>
              <a:solidFill>
                <a:schemeClr val="accent1"/>
              </a:solidFill>
              <a:ln w="28575">
                <a:solidFill>
                  <a:schemeClr val="tx1"/>
                </a:solidFill>
              </a:ln>
              <a:effectLst/>
            </c:spPr>
            <c:extLst>
              <c:ext xmlns:c16="http://schemas.microsoft.com/office/drawing/2014/chart" uri="{C3380CC4-5D6E-409C-BE32-E72D297353CC}">
                <c16:uniqueId val="{00000005-48E8-4979-8543-3F3AE87B52F7}"/>
              </c:ext>
            </c:extLst>
          </c:dPt>
          <c:errBars>
            <c:errBarType val="both"/>
            <c:errValType val="cust"/>
            <c:noEndCap val="0"/>
            <c:plus>
              <c:numRef>
                <c:f>(Ratio!$N$3:$N$10,Ratio!$N$13:$N$14,Ratio!$N$16:$N$17)</c:f>
                <c:numCache>
                  <c:formatCode>General</c:formatCode>
                  <c:ptCount val="12"/>
                  <c:pt idx="0">
                    <c:v>5.9999999999999995E-4</c:v>
                  </c:pt>
                  <c:pt idx="1">
                    <c:v>1.4300000000000001E-3</c:v>
                  </c:pt>
                  <c:pt idx="2">
                    <c:v>1.9E-3</c:v>
                  </c:pt>
                  <c:pt idx="3">
                    <c:v>4.8500000000000003E-4</c:v>
                  </c:pt>
                  <c:pt idx="4">
                    <c:v>3.6000000000000002E-4</c:v>
                  </c:pt>
                  <c:pt idx="5">
                    <c:v>1.1E-4</c:v>
                  </c:pt>
                  <c:pt idx="6">
                    <c:v>1.1E-4</c:v>
                  </c:pt>
                  <c:pt idx="7">
                    <c:v>1.5E-3</c:v>
                  </c:pt>
                  <c:pt idx="8">
                    <c:v>3.4000000000000001E-6</c:v>
                  </c:pt>
                  <c:pt idx="9">
                    <c:v>2.6000000000000001E-6</c:v>
                  </c:pt>
                  <c:pt idx="10">
                    <c:v>1.8E-3</c:v>
                  </c:pt>
                  <c:pt idx="11">
                    <c:v>5.0000000000000001E-4</c:v>
                  </c:pt>
                </c:numCache>
              </c:numRef>
            </c:plus>
            <c:minus>
              <c:numRef>
                <c:f>(Ratio!$N$3:$N$10,Ratio!$N$13:$N$14,Ratio!$N$16:$N$17)</c:f>
                <c:numCache>
                  <c:formatCode>General</c:formatCode>
                  <c:ptCount val="12"/>
                  <c:pt idx="0">
                    <c:v>5.9999999999999995E-4</c:v>
                  </c:pt>
                  <c:pt idx="1">
                    <c:v>1.4300000000000001E-3</c:v>
                  </c:pt>
                  <c:pt idx="2">
                    <c:v>1.9E-3</c:v>
                  </c:pt>
                  <c:pt idx="3">
                    <c:v>4.8500000000000003E-4</c:v>
                  </c:pt>
                  <c:pt idx="4">
                    <c:v>3.6000000000000002E-4</c:v>
                  </c:pt>
                  <c:pt idx="5">
                    <c:v>1.1E-4</c:v>
                  </c:pt>
                  <c:pt idx="6">
                    <c:v>1.1E-4</c:v>
                  </c:pt>
                  <c:pt idx="7">
                    <c:v>1.5E-3</c:v>
                  </c:pt>
                  <c:pt idx="8">
                    <c:v>3.4000000000000001E-6</c:v>
                  </c:pt>
                  <c:pt idx="9">
                    <c:v>2.6000000000000001E-6</c:v>
                  </c:pt>
                  <c:pt idx="10">
                    <c:v>1.8E-3</c:v>
                  </c:pt>
                  <c:pt idx="11">
                    <c:v>5.0000000000000001E-4</c:v>
                  </c:pt>
                </c:numCache>
              </c:numRef>
            </c:minus>
            <c:spPr>
              <a:noFill/>
              <a:ln w="19050" cap="flat" cmpd="sng" algn="ctr">
                <a:solidFill>
                  <a:schemeClr val="bg1">
                    <a:lumMod val="65000"/>
                  </a:schemeClr>
                </a:solidFill>
                <a:round/>
              </a:ln>
              <a:effectLst/>
            </c:spPr>
          </c:errBars>
          <c:cat>
            <c:strRef>
              <c:f>(Ratio!$L$3:$L$10,Ratio!$L$13:$L$14,Ratio!$L$16:$L$17)</c:f>
              <c:strCache>
                <c:ptCount val="12"/>
                <c:pt idx="0">
                  <c:v>Global Avg</c:v>
                </c:pt>
                <c:pt idx="1">
                  <c:v>Our Avg</c:v>
                </c:pt>
                <c:pt idx="2">
                  <c:v>Onsite</c:v>
                </c:pt>
                <c:pt idx="3">
                  <c:v>Offsite</c:v>
                </c:pt>
                <c:pt idx="4">
                  <c:v>Away</c:v>
                </c:pt>
                <c:pt idx="5">
                  <c:v>Salzburg</c:v>
                </c:pt>
                <c:pt idx="6">
                  <c:v>Sellafield</c:v>
                </c:pt>
                <c:pt idx="7">
                  <c:v>Garigliano drain</c:v>
                </c:pt>
                <c:pt idx="8">
                  <c:v>Mayak</c:v>
                </c:pt>
                <c:pt idx="9">
                  <c:v>Semipalatinsk</c:v>
                </c:pt>
                <c:pt idx="10">
                  <c:v>Norway (Glomfjord)</c:v>
                </c:pt>
                <c:pt idx="11">
                  <c:v>Norway (Klofta)</c:v>
                </c:pt>
              </c:strCache>
            </c:strRef>
          </c:cat>
          <c:val>
            <c:numRef>
              <c:f>(Ratio!$M$3:$M$10,Ratio!$M$13:$M$14,Ratio!$M$16:$M$17)</c:f>
              <c:numCache>
                <c:formatCode>0.00E+00</c:formatCode>
                <c:ptCount val="12"/>
                <c:pt idx="0">
                  <c:v>4.1000000000000003E-3</c:v>
                </c:pt>
                <c:pt idx="1">
                  <c:v>3.8800000000000002E-3</c:v>
                </c:pt>
                <c:pt idx="2">
                  <c:v>3.8700000000000002E-3</c:v>
                </c:pt>
                <c:pt idx="3">
                  <c:v>3.4399999999999999E-3</c:v>
                </c:pt>
                <c:pt idx="4">
                  <c:v>4.1399999999999996E-3</c:v>
                </c:pt>
                <c:pt idx="5">
                  <c:v>3.1900000000000001E-3</c:v>
                </c:pt>
                <c:pt idx="6">
                  <c:v>7.1900000000000002E-3</c:v>
                </c:pt>
                <c:pt idx="7">
                  <c:v>6.6E-3</c:v>
                </c:pt>
                <c:pt idx="8">
                  <c:v>7.9799999999999999E-4</c:v>
                </c:pt>
                <c:pt idx="9">
                  <c:v>7.8899999999999993E-5</c:v>
                </c:pt>
                <c:pt idx="10">
                  <c:v>9.9000000000000008E-3</c:v>
                </c:pt>
                <c:pt idx="11">
                  <c:v>3.8E-3</c:v>
                </c:pt>
              </c:numCache>
            </c:numRef>
          </c:val>
          <c:extLst>
            <c:ext xmlns:c16="http://schemas.microsoft.com/office/drawing/2014/chart" uri="{C3380CC4-5D6E-409C-BE32-E72D297353CC}">
              <c16:uniqueId val="{00000006-48E8-4979-8543-3F3AE87B52F7}"/>
            </c:ext>
          </c:extLst>
        </c:ser>
        <c:dLbls>
          <c:showLegendKey val="0"/>
          <c:showVal val="0"/>
          <c:showCatName val="0"/>
          <c:showSerName val="0"/>
          <c:showPercent val="0"/>
          <c:showBubbleSize val="0"/>
        </c:dLbls>
        <c:gapWidth val="182"/>
        <c:axId val="315645000"/>
        <c:axId val="315644672"/>
      </c:barChart>
      <c:catAx>
        <c:axId val="315645000"/>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315644672"/>
        <c:crosses val="autoZero"/>
        <c:auto val="1"/>
        <c:lblAlgn val="ctr"/>
        <c:lblOffset val="100"/>
        <c:noMultiLvlLbl val="0"/>
      </c:catAx>
      <c:valAx>
        <c:axId val="315644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sz="1200" b="0" i="0" u="none" strike="noStrike" baseline="30000">
                    <a:effectLst/>
                  </a:rPr>
                  <a:t>242</a:t>
                </a:r>
                <a:r>
                  <a:rPr lang="en-GB" sz="1200" b="0" i="0" u="none" strike="noStrike" baseline="0">
                    <a:effectLst/>
                  </a:rPr>
                  <a:t>Pu/</a:t>
                </a:r>
                <a:r>
                  <a:rPr lang="en-GB" sz="1200" b="0" i="0" u="none" strike="noStrike" baseline="30000">
                    <a:effectLst/>
                  </a:rPr>
                  <a:t>239</a:t>
                </a:r>
                <a:r>
                  <a:rPr lang="en-GB" sz="1200" b="0" i="0" u="none" strike="noStrike" baseline="0">
                    <a:effectLst/>
                  </a:rPr>
                  <a:t>Pu </a:t>
                </a:r>
                <a:r>
                  <a:rPr lang="en-GB" sz="1200">
                    <a:solidFill>
                      <a:sysClr val="windowText" lastClr="000000"/>
                    </a:solidFill>
                  </a:rPr>
                  <a:t>Ratio</a:t>
                </a:r>
              </a:p>
            </c:rich>
          </c:tx>
          <c:layout>
            <c:manualLayout>
              <c:xMode val="edge"/>
              <c:yMode val="edge"/>
              <c:x val="0.43342867477254388"/>
              <c:y val="0.928418615346797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00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315645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7075090332484"/>
          <c:y val="4.8907240253504888E-2"/>
          <c:w val="0.82872723653367986"/>
          <c:h val="0.79237532808398947"/>
        </c:manualLayout>
      </c:layout>
      <c:barChart>
        <c:barDir val="col"/>
        <c:grouping val="clustered"/>
        <c:varyColors val="0"/>
        <c:ser>
          <c:idx val="0"/>
          <c:order val="0"/>
          <c:tx>
            <c:strRef>
              <c:f>Sheet1!$C$2</c:f>
              <c:strCache>
                <c:ptCount val="1"/>
                <c:pt idx="0">
                  <c:v>4314</c:v>
                </c:pt>
              </c:strCache>
            </c:strRef>
          </c:tx>
          <c:spPr>
            <a:pattFill prst="pct50">
              <a:fgClr>
                <a:srgbClr val="FF0000"/>
              </a:fgClr>
              <a:bgClr>
                <a:schemeClr val="bg1"/>
              </a:bgClr>
            </a:pattFill>
            <a:ln>
              <a:solidFill>
                <a:schemeClr val="tx1"/>
              </a:solidFill>
            </a:ln>
            <a:effectLst/>
          </c:spPr>
          <c:invertIfNegative val="0"/>
          <c:errBars>
            <c:errBarType val="both"/>
            <c:errValType val="cust"/>
            <c:noEndCap val="0"/>
            <c:plus>
              <c:numRef>
                <c:f>Sheet1!$E$3:$E$10</c:f>
                <c:numCache>
                  <c:formatCode>General</c:formatCode>
                  <c:ptCount val="8"/>
                  <c:pt idx="0">
                    <c:v>973.62364391996971</c:v>
                  </c:pt>
                  <c:pt idx="1">
                    <c:v>984.23371208265371</c:v>
                  </c:pt>
                  <c:pt idx="2">
                    <c:v>1003.6792316273163</c:v>
                  </c:pt>
                  <c:pt idx="3">
                    <c:v>982.46628440878317</c:v>
                  </c:pt>
                  <c:pt idx="4">
                    <c:v>765.60825491892388</c:v>
                  </c:pt>
                  <c:pt idx="5">
                    <c:v>1186.7902089248967</c:v>
                  </c:pt>
                  <c:pt idx="6">
                    <c:v>995.3657619187029</c:v>
                  </c:pt>
                  <c:pt idx="7">
                    <c:v>896.40169566997133</c:v>
                  </c:pt>
                </c:numCache>
              </c:numRef>
            </c:plus>
            <c:minus>
              <c:numRef>
                <c:f>Sheet1!$E$3:$E$10</c:f>
                <c:numCache>
                  <c:formatCode>General</c:formatCode>
                  <c:ptCount val="8"/>
                  <c:pt idx="0">
                    <c:v>973.62364391996971</c:v>
                  </c:pt>
                  <c:pt idx="1">
                    <c:v>984.23371208265371</c:v>
                  </c:pt>
                  <c:pt idx="2">
                    <c:v>1003.6792316273163</c:v>
                  </c:pt>
                  <c:pt idx="3">
                    <c:v>982.46628440878317</c:v>
                  </c:pt>
                  <c:pt idx="4">
                    <c:v>765.60825491892388</c:v>
                  </c:pt>
                  <c:pt idx="5">
                    <c:v>1186.7902089248967</c:v>
                  </c:pt>
                  <c:pt idx="6">
                    <c:v>995.3657619187029</c:v>
                  </c:pt>
                  <c:pt idx="7">
                    <c:v>896.40169566997133</c:v>
                  </c:pt>
                </c:numCache>
              </c:numRef>
            </c:minus>
            <c:spPr>
              <a:noFill/>
              <a:ln w="19050" cap="flat" cmpd="sng" algn="ctr">
                <a:solidFill>
                  <a:schemeClr val="bg1">
                    <a:lumMod val="65000"/>
                  </a:schemeClr>
                </a:solidFill>
                <a:round/>
              </a:ln>
              <a:effectLst/>
            </c:spPr>
          </c:errBars>
          <c:cat>
            <c:numRef>
              <c:f>Sheet1!$B$3:$B$10</c:f>
              <c:numCache>
                <c:formatCode>General</c:formatCode>
                <c:ptCount val="8"/>
                <c:pt idx="0">
                  <c:v>833</c:v>
                </c:pt>
                <c:pt idx="1">
                  <c:v>834</c:v>
                </c:pt>
                <c:pt idx="2">
                  <c:v>832</c:v>
                </c:pt>
                <c:pt idx="3">
                  <c:v>845</c:v>
                </c:pt>
                <c:pt idx="4">
                  <c:v>829</c:v>
                </c:pt>
                <c:pt idx="5">
                  <c:v>836</c:v>
                </c:pt>
                <c:pt idx="6">
                  <c:v>844</c:v>
                </c:pt>
                <c:pt idx="7">
                  <c:v>846</c:v>
                </c:pt>
              </c:numCache>
            </c:numRef>
          </c:cat>
          <c:val>
            <c:numRef>
              <c:f>Sheet1!$C$3:$C$10</c:f>
              <c:numCache>
                <c:formatCode>General</c:formatCode>
                <c:ptCount val="8"/>
                <c:pt idx="0">
                  <c:v>947943</c:v>
                </c:pt>
                <c:pt idx="1">
                  <c:v>968716</c:v>
                </c:pt>
                <c:pt idx="2">
                  <c:v>1007372</c:v>
                </c:pt>
                <c:pt idx="3">
                  <c:v>965240</c:v>
                </c:pt>
                <c:pt idx="4">
                  <c:v>586156</c:v>
                </c:pt>
                <c:pt idx="5">
                  <c:v>1408471</c:v>
                </c:pt>
                <c:pt idx="6">
                  <c:v>990753</c:v>
                </c:pt>
                <c:pt idx="7">
                  <c:v>803536</c:v>
                </c:pt>
              </c:numCache>
            </c:numRef>
          </c:val>
          <c:extLst>
            <c:ext xmlns:c16="http://schemas.microsoft.com/office/drawing/2014/chart" uri="{C3380CC4-5D6E-409C-BE32-E72D297353CC}">
              <c16:uniqueId val="{00000000-DACC-469A-89DC-BF4E1F5ED6F4}"/>
            </c:ext>
          </c:extLst>
        </c:ser>
        <c:ser>
          <c:idx val="1"/>
          <c:order val="1"/>
          <c:tx>
            <c:strRef>
              <c:f>Sheet1!$D$2</c:f>
              <c:strCache>
                <c:ptCount val="1"/>
                <c:pt idx="0">
                  <c:v>4311</c:v>
                </c:pt>
              </c:strCache>
            </c:strRef>
          </c:tx>
          <c:spPr>
            <a:pattFill prst="dkHorz">
              <a:fgClr>
                <a:srgbClr val="FF0000"/>
              </a:fgClr>
              <a:bgClr>
                <a:schemeClr val="bg1"/>
              </a:bgClr>
            </a:pattFill>
            <a:ln>
              <a:solidFill>
                <a:schemeClr val="tx1"/>
              </a:solidFill>
            </a:ln>
            <a:effectLst/>
          </c:spPr>
          <c:invertIfNegative val="0"/>
          <c:errBars>
            <c:errBarType val="both"/>
            <c:errValType val="cust"/>
            <c:noEndCap val="0"/>
            <c:plus>
              <c:numRef>
                <c:f>Sheet1!$F$3:$F$10</c:f>
                <c:numCache>
                  <c:formatCode>General</c:formatCode>
                  <c:ptCount val="8"/>
                  <c:pt idx="0">
                    <c:v>1183.6059310429296</c:v>
                  </c:pt>
                  <c:pt idx="1">
                    <c:v>828.6428663785141</c:v>
                  </c:pt>
                  <c:pt idx="2">
                    <c:v>1028.0418279428129</c:v>
                  </c:pt>
                  <c:pt idx="3">
                    <c:v>1085.1843161417328</c:v>
                  </c:pt>
                  <c:pt idx="4">
                    <c:v>1012.6618389176123</c:v>
                  </c:pt>
                  <c:pt idx="5">
                    <c:v>1081.1031403154834</c:v>
                  </c:pt>
                  <c:pt idx="6">
                    <c:v>1077.1290544776889</c:v>
                  </c:pt>
                  <c:pt idx="7">
                    <c:v>1050.872970439339</c:v>
                  </c:pt>
                </c:numCache>
              </c:numRef>
            </c:plus>
            <c:minus>
              <c:numRef>
                <c:f>Sheet1!$F$3:$F$10</c:f>
                <c:numCache>
                  <c:formatCode>General</c:formatCode>
                  <c:ptCount val="8"/>
                  <c:pt idx="0">
                    <c:v>1183.6059310429296</c:v>
                  </c:pt>
                  <c:pt idx="1">
                    <c:v>828.6428663785141</c:v>
                  </c:pt>
                  <c:pt idx="2">
                    <c:v>1028.0418279428129</c:v>
                  </c:pt>
                  <c:pt idx="3">
                    <c:v>1085.1843161417328</c:v>
                  </c:pt>
                  <c:pt idx="4">
                    <c:v>1012.6618389176123</c:v>
                  </c:pt>
                  <c:pt idx="5">
                    <c:v>1081.1031403154834</c:v>
                  </c:pt>
                  <c:pt idx="6">
                    <c:v>1077.1290544776889</c:v>
                  </c:pt>
                  <c:pt idx="7">
                    <c:v>1050.872970439339</c:v>
                  </c:pt>
                </c:numCache>
              </c:numRef>
            </c:minus>
            <c:spPr>
              <a:noFill/>
              <a:ln w="19050" cap="flat" cmpd="sng" algn="ctr">
                <a:solidFill>
                  <a:schemeClr val="bg1">
                    <a:lumMod val="65000"/>
                  </a:schemeClr>
                </a:solidFill>
                <a:round/>
              </a:ln>
              <a:effectLst/>
            </c:spPr>
          </c:errBars>
          <c:cat>
            <c:numRef>
              <c:f>Sheet1!$B$3:$B$10</c:f>
              <c:numCache>
                <c:formatCode>General</c:formatCode>
                <c:ptCount val="8"/>
                <c:pt idx="0">
                  <c:v>833</c:v>
                </c:pt>
                <c:pt idx="1">
                  <c:v>834</c:v>
                </c:pt>
                <c:pt idx="2">
                  <c:v>832</c:v>
                </c:pt>
                <c:pt idx="3">
                  <c:v>845</c:v>
                </c:pt>
                <c:pt idx="4">
                  <c:v>829</c:v>
                </c:pt>
                <c:pt idx="5">
                  <c:v>836</c:v>
                </c:pt>
                <c:pt idx="6">
                  <c:v>844</c:v>
                </c:pt>
                <c:pt idx="7">
                  <c:v>846</c:v>
                </c:pt>
              </c:numCache>
            </c:numRef>
          </c:cat>
          <c:val>
            <c:numRef>
              <c:f>Sheet1!$D$3:$D$10</c:f>
              <c:numCache>
                <c:formatCode>General</c:formatCode>
                <c:ptCount val="8"/>
                <c:pt idx="0">
                  <c:v>1400923</c:v>
                </c:pt>
                <c:pt idx="1">
                  <c:v>686649</c:v>
                </c:pt>
                <c:pt idx="2">
                  <c:v>1056870</c:v>
                </c:pt>
                <c:pt idx="3">
                  <c:v>1177625</c:v>
                </c:pt>
                <c:pt idx="4">
                  <c:v>1025484</c:v>
                </c:pt>
                <c:pt idx="5">
                  <c:v>1168784</c:v>
                </c:pt>
                <c:pt idx="6">
                  <c:v>1160207</c:v>
                </c:pt>
                <c:pt idx="7">
                  <c:v>1104334</c:v>
                </c:pt>
              </c:numCache>
            </c:numRef>
          </c:val>
          <c:extLst>
            <c:ext xmlns:c16="http://schemas.microsoft.com/office/drawing/2014/chart" uri="{C3380CC4-5D6E-409C-BE32-E72D297353CC}">
              <c16:uniqueId val="{00000001-DACC-469A-89DC-BF4E1F5ED6F4}"/>
            </c:ext>
          </c:extLst>
        </c:ser>
        <c:dLbls>
          <c:showLegendKey val="0"/>
          <c:showVal val="0"/>
          <c:showCatName val="0"/>
          <c:showSerName val="0"/>
          <c:showPercent val="0"/>
          <c:showBubbleSize val="0"/>
        </c:dLbls>
        <c:gapWidth val="219"/>
        <c:overlap val="-27"/>
        <c:axId val="800625928"/>
        <c:axId val="807343800"/>
      </c:barChart>
      <c:catAx>
        <c:axId val="80062592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Detector Code</a:t>
                </a:r>
              </a:p>
            </c:rich>
          </c:tx>
          <c:layout>
            <c:manualLayout>
              <c:xMode val="edge"/>
              <c:yMode val="edge"/>
              <c:x val="0.43287333958601437"/>
              <c:y val="0.9215812047884258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07343800"/>
        <c:crosses val="autoZero"/>
        <c:auto val="1"/>
        <c:lblAlgn val="ctr"/>
        <c:lblOffset val="100"/>
        <c:noMultiLvlLbl val="0"/>
      </c:catAx>
      <c:valAx>
        <c:axId val="807343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Neutron Counts</a:t>
                </a:r>
              </a:p>
            </c:rich>
          </c:tx>
          <c:layout>
            <c:manualLayout>
              <c:xMode val="edge"/>
              <c:yMode val="edge"/>
              <c:x val="0"/>
              <c:y val="0.2775870317961027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00625928"/>
        <c:crosses val="autoZero"/>
        <c:crossBetween val="between"/>
      </c:valAx>
      <c:spPr>
        <a:noFill/>
        <a:ln>
          <a:noFill/>
        </a:ln>
        <a:effectLst/>
      </c:spPr>
    </c:plotArea>
    <c:legend>
      <c:legendPos val="b"/>
      <c:layout>
        <c:manualLayout>
          <c:xMode val="edge"/>
          <c:yMode val="edge"/>
          <c:x val="0.72013191702837687"/>
          <c:y val="0.92972312912105504"/>
          <c:w val="0.18927650664165599"/>
          <c:h val="5.1843680830218813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Averages!$C$4</c:f>
              <c:strCache>
                <c:ptCount val="1"/>
                <c:pt idx="0">
                  <c:v>No Sample</c:v>
                </c:pt>
              </c:strCache>
            </c:strRef>
          </c:tx>
          <c:spPr>
            <a:solidFill>
              <a:srgbClr val="FF0000"/>
            </a:solidFill>
            <a:ln>
              <a:noFill/>
            </a:ln>
            <a:effectLst/>
          </c:spPr>
          <c:invertIfNegative val="0"/>
          <c:errBars>
            <c:errBarType val="both"/>
            <c:errValType val="cust"/>
            <c:noEndCap val="0"/>
            <c:plus>
              <c:numRef>
                <c:f>Averages!$C$44:$C$59</c:f>
                <c:numCache>
                  <c:formatCode>General</c:formatCode>
                  <c:ptCount val="16"/>
                  <c:pt idx="0">
                    <c:v>17.395606998812742</c:v>
                  </c:pt>
                  <c:pt idx="1">
                    <c:v>13.843190693313034</c:v>
                  </c:pt>
                  <c:pt idx="2">
                    <c:v>14.18429400529231</c:v>
                  </c:pt>
                  <c:pt idx="3">
                    <c:v>7.7665434028640705</c:v>
                  </c:pt>
                  <c:pt idx="4">
                    <c:v>13.330617282888934</c:v>
                  </c:pt>
                  <c:pt idx="5">
                    <c:v>12.117633992303471</c:v>
                  </c:pt>
                  <c:pt idx="6">
                    <c:v>33.028092750176867</c:v>
                  </c:pt>
                  <c:pt idx="7">
                    <c:v>75.315526761940475</c:v>
                  </c:pt>
                  <c:pt idx="8">
                    <c:v>14.038769660174234</c:v>
                  </c:pt>
                  <c:pt idx="9">
                    <c:v>18.415831698374557</c:v>
                  </c:pt>
                  <c:pt idx="10">
                    <c:v>19.503147639730948</c:v>
                  </c:pt>
                  <c:pt idx="11">
                    <c:v>230.25873936415837</c:v>
                  </c:pt>
                  <c:pt idx="12">
                    <c:v>21.560545977714543</c:v>
                  </c:pt>
                  <c:pt idx="13">
                    <c:v>14.039167150714968</c:v>
                  </c:pt>
                  <c:pt idx="14">
                    <c:v>71.947758204924526</c:v>
                  </c:pt>
                  <c:pt idx="15">
                    <c:v>53.954656061495619</c:v>
                  </c:pt>
                </c:numCache>
              </c:numRef>
            </c:plus>
            <c:minus>
              <c:numRef>
                <c:f>Averages!$C$44:$C$59</c:f>
                <c:numCache>
                  <c:formatCode>General</c:formatCode>
                  <c:ptCount val="16"/>
                  <c:pt idx="0">
                    <c:v>17.395606998812742</c:v>
                  </c:pt>
                  <c:pt idx="1">
                    <c:v>13.843190693313034</c:v>
                  </c:pt>
                  <c:pt idx="2">
                    <c:v>14.18429400529231</c:v>
                  </c:pt>
                  <c:pt idx="3">
                    <c:v>7.7665434028640705</c:v>
                  </c:pt>
                  <c:pt idx="4">
                    <c:v>13.330617282888934</c:v>
                  </c:pt>
                  <c:pt idx="5">
                    <c:v>12.117633992303471</c:v>
                  </c:pt>
                  <c:pt idx="6">
                    <c:v>33.028092750176867</c:v>
                  </c:pt>
                  <c:pt idx="7">
                    <c:v>75.315526761940475</c:v>
                  </c:pt>
                  <c:pt idx="8">
                    <c:v>14.038769660174234</c:v>
                  </c:pt>
                  <c:pt idx="9">
                    <c:v>18.415831698374557</c:v>
                  </c:pt>
                  <c:pt idx="10">
                    <c:v>19.503147639730948</c:v>
                  </c:pt>
                  <c:pt idx="11">
                    <c:v>230.25873936415837</c:v>
                  </c:pt>
                  <c:pt idx="12">
                    <c:v>21.560545977714543</c:v>
                  </c:pt>
                  <c:pt idx="13">
                    <c:v>14.039167150714968</c:v>
                  </c:pt>
                  <c:pt idx="14">
                    <c:v>71.947758204924526</c:v>
                  </c:pt>
                  <c:pt idx="15">
                    <c:v>53.954656061495619</c:v>
                  </c:pt>
                </c:numCache>
              </c:numRef>
            </c:minus>
            <c:spPr>
              <a:noFill/>
              <a:ln w="12700" cap="flat" cmpd="sng" algn="ctr">
                <a:solidFill>
                  <a:schemeClr val="bg1">
                    <a:lumMod val="65000"/>
                  </a:schemeClr>
                </a:solidFill>
                <a:round/>
              </a:ln>
              <a:effectLst/>
            </c:spPr>
          </c:errBars>
          <c:val>
            <c:numRef>
              <c:f>Averages!$C$5:$C$20</c:f>
              <c:numCache>
                <c:formatCode>General</c:formatCode>
                <c:ptCount val="16"/>
                <c:pt idx="0">
                  <c:v>957.5</c:v>
                </c:pt>
                <c:pt idx="1">
                  <c:v>805.75</c:v>
                </c:pt>
                <c:pt idx="2">
                  <c:v>782.125</c:v>
                </c:pt>
                <c:pt idx="3">
                  <c:v>765.375</c:v>
                </c:pt>
                <c:pt idx="4">
                  <c:v>852.75</c:v>
                </c:pt>
                <c:pt idx="5">
                  <c:v>901.875</c:v>
                </c:pt>
                <c:pt idx="6">
                  <c:v>567.375</c:v>
                </c:pt>
                <c:pt idx="7">
                  <c:v>1109.5</c:v>
                </c:pt>
                <c:pt idx="8">
                  <c:v>618.125</c:v>
                </c:pt>
                <c:pt idx="9">
                  <c:v>1176</c:v>
                </c:pt>
                <c:pt idx="10">
                  <c:v>896.875</c:v>
                </c:pt>
                <c:pt idx="11">
                  <c:v>2127.875</c:v>
                </c:pt>
                <c:pt idx="12">
                  <c:v>1178</c:v>
                </c:pt>
                <c:pt idx="13">
                  <c:v>995.25</c:v>
                </c:pt>
                <c:pt idx="14">
                  <c:v>2483.875</c:v>
                </c:pt>
                <c:pt idx="15">
                  <c:v>1196.375</c:v>
                </c:pt>
              </c:numCache>
            </c:numRef>
          </c:val>
          <c:extLst>
            <c:ext xmlns:c16="http://schemas.microsoft.com/office/drawing/2014/chart" uri="{C3380CC4-5D6E-409C-BE32-E72D297353CC}">
              <c16:uniqueId val="{00000000-B386-45C4-969F-5D39E2B0B3C0}"/>
            </c:ext>
          </c:extLst>
        </c:ser>
        <c:ser>
          <c:idx val="1"/>
          <c:order val="1"/>
          <c:tx>
            <c:strRef>
              <c:f>Averages!$D$4</c:f>
              <c:strCache>
                <c:ptCount val="1"/>
                <c:pt idx="0">
                  <c:v>DSRL1</c:v>
                </c:pt>
              </c:strCache>
            </c:strRef>
          </c:tx>
          <c:spPr>
            <a:solidFill>
              <a:schemeClr val="accent6">
                <a:shade val="46000"/>
              </a:schemeClr>
            </a:solidFill>
            <a:ln>
              <a:noFill/>
            </a:ln>
            <a:effectLst/>
          </c:spPr>
          <c:invertIfNegative val="0"/>
          <c:errBars>
            <c:errBarType val="both"/>
            <c:errValType val="cust"/>
            <c:noEndCap val="0"/>
            <c:plus>
              <c:numRef>
                <c:f>Averages!$D$44:$D$59</c:f>
                <c:numCache>
                  <c:formatCode>General</c:formatCode>
                  <c:ptCount val="16"/>
                  <c:pt idx="0">
                    <c:v>3.25</c:v>
                  </c:pt>
                  <c:pt idx="1">
                    <c:v>9.4912240166025654</c:v>
                  </c:pt>
                  <c:pt idx="2">
                    <c:v>16.105770187523891</c:v>
                  </c:pt>
                  <c:pt idx="3">
                    <c:v>16.63016836956259</c:v>
                  </c:pt>
                  <c:pt idx="4">
                    <c:v>19.473807194964898</c:v>
                  </c:pt>
                  <c:pt idx="5">
                    <c:v>13.435028842544403</c:v>
                  </c:pt>
                  <c:pt idx="6">
                    <c:v>16.222412479858434</c:v>
                  </c:pt>
                  <c:pt idx="7">
                    <c:v>9.8361577864530005</c:v>
                  </c:pt>
                  <c:pt idx="8">
                    <c:v>16.392960887730645</c:v>
                  </c:pt>
                  <c:pt idx="9">
                    <c:v>13.629013170439011</c:v>
                  </c:pt>
                  <c:pt idx="10">
                    <c:v>16.403124702324249</c:v>
                  </c:pt>
                  <c:pt idx="11">
                    <c:v>36.826168232205028</c:v>
                  </c:pt>
                  <c:pt idx="12">
                    <c:v>12.847665157529597</c:v>
                  </c:pt>
                  <c:pt idx="13">
                    <c:v>17.089836160712601</c:v>
                  </c:pt>
                  <c:pt idx="14">
                    <c:v>10.847426730181986</c:v>
                  </c:pt>
                  <c:pt idx="15">
                    <c:v>4.7696960070847281</c:v>
                  </c:pt>
                </c:numCache>
              </c:numRef>
            </c:plus>
            <c:minus>
              <c:numRef>
                <c:f>Averages!$D$44:$D$59</c:f>
                <c:numCache>
                  <c:formatCode>General</c:formatCode>
                  <c:ptCount val="16"/>
                  <c:pt idx="0">
                    <c:v>3.25</c:v>
                  </c:pt>
                  <c:pt idx="1">
                    <c:v>9.4912240166025654</c:v>
                  </c:pt>
                  <c:pt idx="2">
                    <c:v>16.105770187523891</c:v>
                  </c:pt>
                  <c:pt idx="3">
                    <c:v>16.63016836956259</c:v>
                  </c:pt>
                  <c:pt idx="4">
                    <c:v>19.473807194964898</c:v>
                  </c:pt>
                  <c:pt idx="5">
                    <c:v>13.435028842544403</c:v>
                  </c:pt>
                  <c:pt idx="6">
                    <c:v>16.222412479858434</c:v>
                  </c:pt>
                  <c:pt idx="7">
                    <c:v>9.8361577864530005</c:v>
                  </c:pt>
                  <c:pt idx="8">
                    <c:v>16.392960887730645</c:v>
                  </c:pt>
                  <c:pt idx="9">
                    <c:v>13.629013170439011</c:v>
                  </c:pt>
                  <c:pt idx="10">
                    <c:v>16.403124702324249</c:v>
                  </c:pt>
                  <c:pt idx="11">
                    <c:v>36.826168232205028</c:v>
                  </c:pt>
                  <c:pt idx="12">
                    <c:v>12.847665157529597</c:v>
                  </c:pt>
                  <c:pt idx="13">
                    <c:v>17.089836160712601</c:v>
                  </c:pt>
                  <c:pt idx="14">
                    <c:v>10.847426730181986</c:v>
                  </c:pt>
                  <c:pt idx="15">
                    <c:v>4.7696960070847281</c:v>
                  </c:pt>
                </c:numCache>
              </c:numRef>
            </c:minus>
            <c:spPr>
              <a:noFill/>
              <a:ln w="12700" cap="flat" cmpd="sng" algn="ctr">
                <a:solidFill>
                  <a:schemeClr val="bg1">
                    <a:lumMod val="65000"/>
                  </a:schemeClr>
                </a:solidFill>
                <a:round/>
              </a:ln>
              <a:effectLst/>
            </c:spPr>
          </c:errBars>
          <c:val>
            <c:numRef>
              <c:f>Averages!$D$5:$D$20</c:f>
              <c:numCache>
                <c:formatCode>General</c:formatCode>
                <c:ptCount val="16"/>
                <c:pt idx="0">
                  <c:v>942.75</c:v>
                </c:pt>
                <c:pt idx="1">
                  <c:v>796.5</c:v>
                </c:pt>
                <c:pt idx="2">
                  <c:v>772.75</c:v>
                </c:pt>
                <c:pt idx="3">
                  <c:v>734.75</c:v>
                </c:pt>
                <c:pt idx="4">
                  <c:v>823.25</c:v>
                </c:pt>
                <c:pt idx="5">
                  <c:v>868</c:v>
                </c:pt>
                <c:pt idx="6">
                  <c:v>534</c:v>
                </c:pt>
                <c:pt idx="7">
                  <c:v>935.5</c:v>
                </c:pt>
                <c:pt idx="8">
                  <c:v>624.75</c:v>
                </c:pt>
                <c:pt idx="9">
                  <c:v>1112.5</c:v>
                </c:pt>
                <c:pt idx="10">
                  <c:v>875.25</c:v>
                </c:pt>
                <c:pt idx="11">
                  <c:v>1222</c:v>
                </c:pt>
                <c:pt idx="12">
                  <c:v>1167.75</c:v>
                </c:pt>
                <c:pt idx="13">
                  <c:v>950.25</c:v>
                </c:pt>
                <c:pt idx="14">
                  <c:v>2601</c:v>
                </c:pt>
                <c:pt idx="15">
                  <c:v>882.5</c:v>
                </c:pt>
              </c:numCache>
            </c:numRef>
          </c:val>
          <c:extLst>
            <c:ext xmlns:c16="http://schemas.microsoft.com/office/drawing/2014/chart" uri="{C3380CC4-5D6E-409C-BE32-E72D297353CC}">
              <c16:uniqueId val="{00000001-B386-45C4-969F-5D39E2B0B3C0}"/>
            </c:ext>
          </c:extLst>
        </c:ser>
        <c:ser>
          <c:idx val="2"/>
          <c:order val="2"/>
          <c:tx>
            <c:strRef>
              <c:f>Averages!$E$4</c:f>
              <c:strCache>
                <c:ptCount val="1"/>
                <c:pt idx="0">
                  <c:v>DSRL2</c:v>
                </c:pt>
              </c:strCache>
            </c:strRef>
          </c:tx>
          <c:spPr>
            <a:solidFill>
              <a:schemeClr val="accent6">
                <a:shade val="54000"/>
              </a:schemeClr>
            </a:solidFill>
            <a:ln>
              <a:noFill/>
            </a:ln>
            <a:effectLst/>
          </c:spPr>
          <c:invertIfNegative val="0"/>
          <c:errBars>
            <c:errBarType val="both"/>
            <c:errValType val="cust"/>
            <c:noEndCap val="0"/>
            <c:plus>
              <c:numRef>
                <c:f>Averages!$E$44:$E$59</c:f>
                <c:numCache>
                  <c:formatCode>General</c:formatCode>
                  <c:ptCount val="16"/>
                  <c:pt idx="0">
                    <c:v>19.352002480363627</c:v>
                  </c:pt>
                  <c:pt idx="1">
                    <c:v>12.21593904154186</c:v>
                  </c:pt>
                  <c:pt idx="2">
                    <c:v>12.439017914074514</c:v>
                  </c:pt>
                  <c:pt idx="3">
                    <c:v>10.151970252123476</c:v>
                  </c:pt>
                  <c:pt idx="4">
                    <c:v>15.72153512436577</c:v>
                  </c:pt>
                  <c:pt idx="5">
                    <c:v>19.627255709004931</c:v>
                  </c:pt>
                  <c:pt idx="6">
                    <c:v>17.173137938847013</c:v>
                  </c:pt>
                  <c:pt idx="7">
                    <c:v>15.739414432140309</c:v>
                  </c:pt>
                  <c:pt idx="8">
                    <c:v>6.9447222166668885</c:v>
                  </c:pt>
                  <c:pt idx="9">
                    <c:v>11.539786248742507</c:v>
                  </c:pt>
                  <c:pt idx="10">
                    <c:v>10.601690116832001</c:v>
                  </c:pt>
                  <c:pt idx="11">
                    <c:v>20.933923823943438</c:v>
                  </c:pt>
                  <c:pt idx="12">
                    <c:v>16.660207081546137</c:v>
                  </c:pt>
                  <c:pt idx="13">
                    <c:v>5.6050572402667456</c:v>
                  </c:pt>
                  <c:pt idx="14">
                    <c:v>36.123630308520582</c:v>
                  </c:pt>
                  <c:pt idx="15">
                    <c:v>18.041618552668716</c:v>
                  </c:pt>
                </c:numCache>
              </c:numRef>
            </c:plus>
            <c:minus>
              <c:numRef>
                <c:f>Averages!$E$44:$E$60</c:f>
                <c:numCache>
                  <c:formatCode>General</c:formatCode>
                  <c:ptCount val="17"/>
                  <c:pt idx="0">
                    <c:v>19.352002480363627</c:v>
                  </c:pt>
                  <c:pt idx="1">
                    <c:v>12.21593904154186</c:v>
                  </c:pt>
                  <c:pt idx="2">
                    <c:v>12.439017914074514</c:v>
                  </c:pt>
                  <c:pt idx="3">
                    <c:v>10.151970252123476</c:v>
                  </c:pt>
                  <c:pt idx="4">
                    <c:v>15.72153512436577</c:v>
                  </c:pt>
                  <c:pt idx="5">
                    <c:v>19.627255709004931</c:v>
                  </c:pt>
                  <c:pt idx="6">
                    <c:v>17.173137938847013</c:v>
                  </c:pt>
                  <c:pt idx="7">
                    <c:v>15.739414432140309</c:v>
                  </c:pt>
                  <c:pt idx="8">
                    <c:v>6.9447222166668885</c:v>
                  </c:pt>
                  <c:pt idx="9">
                    <c:v>11.539786248742507</c:v>
                  </c:pt>
                  <c:pt idx="10">
                    <c:v>10.601690116832001</c:v>
                  </c:pt>
                  <c:pt idx="11">
                    <c:v>20.933923823943438</c:v>
                  </c:pt>
                  <c:pt idx="12">
                    <c:v>16.660207081546137</c:v>
                  </c:pt>
                  <c:pt idx="13">
                    <c:v>5.6050572402667456</c:v>
                  </c:pt>
                  <c:pt idx="14">
                    <c:v>36.123630308520582</c:v>
                  </c:pt>
                  <c:pt idx="15">
                    <c:v>18.041618552668716</c:v>
                  </c:pt>
                </c:numCache>
              </c:numRef>
            </c:minus>
            <c:spPr>
              <a:noFill/>
              <a:ln w="12700" cap="flat" cmpd="sng" algn="ctr">
                <a:solidFill>
                  <a:schemeClr val="bg1">
                    <a:lumMod val="65000"/>
                  </a:schemeClr>
                </a:solidFill>
                <a:round/>
              </a:ln>
              <a:effectLst/>
            </c:spPr>
          </c:errBars>
          <c:val>
            <c:numRef>
              <c:f>Averages!$E$5:$E$20</c:f>
              <c:numCache>
                <c:formatCode>General</c:formatCode>
                <c:ptCount val="16"/>
                <c:pt idx="0">
                  <c:v>937</c:v>
                </c:pt>
                <c:pt idx="1">
                  <c:v>754.75</c:v>
                </c:pt>
                <c:pt idx="2">
                  <c:v>721.25</c:v>
                </c:pt>
                <c:pt idx="3">
                  <c:v>714.25</c:v>
                </c:pt>
                <c:pt idx="4">
                  <c:v>824</c:v>
                </c:pt>
                <c:pt idx="5">
                  <c:v>831.25</c:v>
                </c:pt>
                <c:pt idx="6">
                  <c:v>518.5</c:v>
                </c:pt>
                <c:pt idx="7">
                  <c:v>901.75</c:v>
                </c:pt>
                <c:pt idx="8">
                  <c:v>598.25</c:v>
                </c:pt>
                <c:pt idx="9">
                  <c:v>1111</c:v>
                </c:pt>
                <c:pt idx="10">
                  <c:v>848.75</c:v>
                </c:pt>
                <c:pt idx="11">
                  <c:v>1203.75</c:v>
                </c:pt>
                <c:pt idx="12">
                  <c:v>1163.75</c:v>
                </c:pt>
                <c:pt idx="13">
                  <c:v>929.5</c:v>
                </c:pt>
                <c:pt idx="14">
                  <c:v>2664.5</c:v>
                </c:pt>
                <c:pt idx="15">
                  <c:v>899</c:v>
                </c:pt>
              </c:numCache>
            </c:numRef>
          </c:val>
          <c:extLst>
            <c:ext xmlns:c16="http://schemas.microsoft.com/office/drawing/2014/chart" uri="{C3380CC4-5D6E-409C-BE32-E72D297353CC}">
              <c16:uniqueId val="{00000002-B386-45C4-969F-5D39E2B0B3C0}"/>
            </c:ext>
          </c:extLst>
        </c:ser>
        <c:ser>
          <c:idx val="3"/>
          <c:order val="3"/>
          <c:tx>
            <c:strRef>
              <c:f>Averages!$F$4</c:f>
              <c:strCache>
                <c:ptCount val="1"/>
                <c:pt idx="0">
                  <c:v>DSRL3</c:v>
                </c:pt>
              </c:strCache>
            </c:strRef>
          </c:tx>
          <c:spPr>
            <a:solidFill>
              <a:schemeClr val="accent6">
                <a:shade val="62000"/>
              </a:schemeClr>
            </a:solidFill>
            <a:ln>
              <a:noFill/>
            </a:ln>
            <a:effectLst/>
          </c:spPr>
          <c:invertIfNegative val="0"/>
          <c:errBars>
            <c:errBarType val="both"/>
            <c:errValType val="cust"/>
            <c:noEndCap val="0"/>
            <c:plus>
              <c:numRef>
                <c:f>Averages!$K$39</c:f>
                <c:numCache>
                  <c:formatCode>General</c:formatCode>
                  <c:ptCount val="1"/>
                  <c:pt idx="0">
                    <c:v>146.17062304603706</c:v>
                  </c:pt>
                </c:numCache>
              </c:numRef>
            </c:plus>
            <c:minus>
              <c:numRef>
                <c:f>Averages!$K$39</c:f>
                <c:numCache>
                  <c:formatCode>General</c:formatCode>
                  <c:ptCount val="1"/>
                  <c:pt idx="0">
                    <c:v>146.17062304603706</c:v>
                  </c:pt>
                </c:numCache>
              </c:numRef>
            </c:minus>
            <c:spPr>
              <a:noFill/>
              <a:ln w="12700" cap="flat" cmpd="sng" algn="ctr">
                <a:solidFill>
                  <a:schemeClr val="bg1">
                    <a:lumMod val="65000"/>
                  </a:schemeClr>
                </a:solidFill>
                <a:round/>
              </a:ln>
              <a:effectLst/>
            </c:spPr>
          </c:errBars>
          <c:val>
            <c:numRef>
              <c:f>Averages!$F$5:$F$20</c:f>
              <c:numCache>
                <c:formatCode>General</c:formatCode>
                <c:ptCount val="16"/>
                <c:pt idx="0">
                  <c:v>888</c:v>
                </c:pt>
                <c:pt idx="1">
                  <c:v>735.75</c:v>
                </c:pt>
                <c:pt idx="2">
                  <c:v>694.75</c:v>
                </c:pt>
                <c:pt idx="3">
                  <c:v>715.25</c:v>
                </c:pt>
                <c:pt idx="4">
                  <c:v>743.75</c:v>
                </c:pt>
                <c:pt idx="5">
                  <c:v>792.25</c:v>
                </c:pt>
                <c:pt idx="6">
                  <c:v>483.25</c:v>
                </c:pt>
                <c:pt idx="7">
                  <c:v>845.5</c:v>
                </c:pt>
                <c:pt idx="8">
                  <c:v>580.5</c:v>
                </c:pt>
                <c:pt idx="9">
                  <c:v>1053.5</c:v>
                </c:pt>
                <c:pt idx="10">
                  <c:v>812.25</c:v>
                </c:pt>
                <c:pt idx="11">
                  <c:v>1249.5</c:v>
                </c:pt>
                <c:pt idx="12">
                  <c:v>1111.25</c:v>
                </c:pt>
                <c:pt idx="13">
                  <c:v>874.5</c:v>
                </c:pt>
                <c:pt idx="14">
                  <c:v>2809.75</c:v>
                </c:pt>
                <c:pt idx="15">
                  <c:v>841.75</c:v>
                </c:pt>
              </c:numCache>
            </c:numRef>
          </c:val>
          <c:extLst>
            <c:ext xmlns:c16="http://schemas.microsoft.com/office/drawing/2014/chart" uri="{C3380CC4-5D6E-409C-BE32-E72D297353CC}">
              <c16:uniqueId val="{00000003-B386-45C4-969F-5D39E2B0B3C0}"/>
            </c:ext>
          </c:extLst>
        </c:ser>
        <c:ser>
          <c:idx val="4"/>
          <c:order val="4"/>
          <c:tx>
            <c:strRef>
              <c:f>Averages!$G$4</c:f>
              <c:strCache>
                <c:ptCount val="1"/>
                <c:pt idx="0">
                  <c:v>DSRL4</c:v>
                </c:pt>
              </c:strCache>
            </c:strRef>
          </c:tx>
          <c:spPr>
            <a:solidFill>
              <a:schemeClr val="accent6">
                <a:shade val="71000"/>
              </a:schemeClr>
            </a:solidFill>
            <a:ln>
              <a:noFill/>
            </a:ln>
            <a:effectLst/>
          </c:spPr>
          <c:invertIfNegative val="0"/>
          <c:errBars>
            <c:errBarType val="both"/>
            <c:errValType val="cust"/>
            <c:noEndCap val="0"/>
            <c:plus>
              <c:numRef>
                <c:f>Averages!$G$44:$G$59</c:f>
                <c:numCache>
                  <c:formatCode>General</c:formatCode>
                  <c:ptCount val="16"/>
                  <c:pt idx="0">
                    <c:v>6.4855608855364233</c:v>
                  </c:pt>
                  <c:pt idx="1">
                    <c:v>18.445302021562746</c:v>
                  </c:pt>
                  <c:pt idx="2">
                    <c:v>34.564854500875114</c:v>
                  </c:pt>
                  <c:pt idx="3">
                    <c:v>26.174096609689002</c:v>
                  </c:pt>
                  <c:pt idx="4">
                    <c:v>23.133669546067839</c:v>
                  </c:pt>
                  <c:pt idx="5">
                    <c:v>21.25</c:v>
                  </c:pt>
                  <c:pt idx="6">
                    <c:v>12.773670837573146</c:v>
                  </c:pt>
                  <c:pt idx="7">
                    <c:v>16.568041525780892</c:v>
                  </c:pt>
                  <c:pt idx="8">
                    <c:v>6.5</c:v>
                  </c:pt>
                  <c:pt idx="9">
                    <c:v>14.091220671041953</c:v>
                  </c:pt>
                  <c:pt idx="10">
                    <c:v>10.371234256345771</c:v>
                  </c:pt>
                  <c:pt idx="11">
                    <c:v>59.062819664037939</c:v>
                  </c:pt>
                  <c:pt idx="12">
                    <c:v>11.59382019295912</c:v>
                  </c:pt>
                  <c:pt idx="13">
                    <c:v>12.338118441102219</c:v>
                  </c:pt>
                  <c:pt idx="14">
                    <c:v>58.387177530687332</c:v>
                  </c:pt>
                  <c:pt idx="15">
                    <c:v>24.536961914629938</c:v>
                  </c:pt>
                </c:numCache>
              </c:numRef>
            </c:plus>
            <c:minus>
              <c:numRef>
                <c:f>Averages!$G$44:$G$59</c:f>
                <c:numCache>
                  <c:formatCode>General</c:formatCode>
                  <c:ptCount val="16"/>
                  <c:pt idx="0">
                    <c:v>6.4855608855364233</c:v>
                  </c:pt>
                  <c:pt idx="1">
                    <c:v>18.445302021562746</c:v>
                  </c:pt>
                  <c:pt idx="2">
                    <c:v>34.564854500875114</c:v>
                  </c:pt>
                  <c:pt idx="3">
                    <c:v>26.174096609689002</c:v>
                  </c:pt>
                  <c:pt idx="4">
                    <c:v>23.133669546067839</c:v>
                  </c:pt>
                  <c:pt idx="5">
                    <c:v>21.25</c:v>
                  </c:pt>
                  <c:pt idx="6">
                    <c:v>12.773670837573146</c:v>
                  </c:pt>
                  <c:pt idx="7">
                    <c:v>16.568041525780892</c:v>
                  </c:pt>
                  <c:pt idx="8">
                    <c:v>6.5</c:v>
                  </c:pt>
                  <c:pt idx="9">
                    <c:v>14.091220671041953</c:v>
                  </c:pt>
                  <c:pt idx="10">
                    <c:v>10.371234256345771</c:v>
                  </c:pt>
                  <c:pt idx="11">
                    <c:v>59.062819664037939</c:v>
                  </c:pt>
                  <c:pt idx="12">
                    <c:v>11.59382019295912</c:v>
                  </c:pt>
                  <c:pt idx="13">
                    <c:v>12.338118441102219</c:v>
                  </c:pt>
                  <c:pt idx="14">
                    <c:v>58.387177530687332</c:v>
                  </c:pt>
                  <c:pt idx="15">
                    <c:v>24.536961914629938</c:v>
                  </c:pt>
                </c:numCache>
              </c:numRef>
            </c:minus>
            <c:spPr>
              <a:noFill/>
              <a:ln w="12700" cap="flat" cmpd="sng" algn="ctr">
                <a:solidFill>
                  <a:schemeClr val="bg1">
                    <a:lumMod val="65000"/>
                  </a:schemeClr>
                </a:solidFill>
                <a:round/>
              </a:ln>
              <a:effectLst/>
            </c:spPr>
          </c:errBars>
          <c:val>
            <c:numRef>
              <c:f>Averages!$G$5:$G$20</c:f>
              <c:numCache>
                <c:formatCode>General</c:formatCode>
                <c:ptCount val="16"/>
                <c:pt idx="0">
                  <c:v>948.75</c:v>
                </c:pt>
                <c:pt idx="1">
                  <c:v>759.75</c:v>
                </c:pt>
                <c:pt idx="2">
                  <c:v>778.25</c:v>
                </c:pt>
                <c:pt idx="3">
                  <c:v>728.5</c:v>
                </c:pt>
                <c:pt idx="4">
                  <c:v>815</c:v>
                </c:pt>
                <c:pt idx="5">
                  <c:v>856.25</c:v>
                </c:pt>
                <c:pt idx="6">
                  <c:v>531</c:v>
                </c:pt>
                <c:pt idx="7">
                  <c:v>817</c:v>
                </c:pt>
                <c:pt idx="8">
                  <c:v>534.5</c:v>
                </c:pt>
                <c:pt idx="9">
                  <c:v>1144.75</c:v>
                </c:pt>
                <c:pt idx="10">
                  <c:v>855.75</c:v>
                </c:pt>
                <c:pt idx="11">
                  <c:v>1554.5</c:v>
                </c:pt>
                <c:pt idx="12">
                  <c:v>1157.5</c:v>
                </c:pt>
                <c:pt idx="13">
                  <c:v>937.25</c:v>
                </c:pt>
                <c:pt idx="14">
                  <c:v>3754.75</c:v>
                </c:pt>
                <c:pt idx="15">
                  <c:v>929.75</c:v>
                </c:pt>
              </c:numCache>
            </c:numRef>
          </c:val>
          <c:extLst>
            <c:ext xmlns:c16="http://schemas.microsoft.com/office/drawing/2014/chart" uri="{C3380CC4-5D6E-409C-BE32-E72D297353CC}">
              <c16:uniqueId val="{00000004-B386-45C4-969F-5D39E2B0B3C0}"/>
            </c:ext>
          </c:extLst>
        </c:ser>
        <c:ser>
          <c:idx val="5"/>
          <c:order val="5"/>
          <c:tx>
            <c:strRef>
              <c:f>Averages!$H$4</c:f>
              <c:strCache>
                <c:ptCount val="1"/>
                <c:pt idx="0">
                  <c:v>DSRL5</c:v>
                </c:pt>
              </c:strCache>
            </c:strRef>
          </c:tx>
          <c:spPr>
            <a:solidFill>
              <a:schemeClr val="accent6">
                <a:shade val="79000"/>
              </a:schemeClr>
            </a:solidFill>
            <a:ln>
              <a:noFill/>
            </a:ln>
            <a:effectLst/>
          </c:spPr>
          <c:invertIfNegative val="0"/>
          <c:errBars>
            <c:errBarType val="both"/>
            <c:errValType val="cust"/>
            <c:noEndCap val="0"/>
            <c:plus>
              <c:numRef>
                <c:f>Averages!$H$44:$H$59</c:f>
                <c:numCache>
                  <c:formatCode>General</c:formatCode>
                  <c:ptCount val="16"/>
                  <c:pt idx="0">
                    <c:v>16.459546368799678</c:v>
                  </c:pt>
                  <c:pt idx="1">
                    <c:v>14.01412977438604</c:v>
                  </c:pt>
                  <c:pt idx="2">
                    <c:v>11.946931265670974</c:v>
                  </c:pt>
                  <c:pt idx="3">
                    <c:v>7.0754858490424528</c:v>
                  </c:pt>
                  <c:pt idx="4">
                    <c:v>2.2173557826083452</c:v>
                  </c:pt>
                  <c:pt idx="5">
                    <c:v>7.6198753270640855</c:v>
                  </c:pt>
                  <c:pt idx="6">
                    <c:v>12.071833608307672</c:v>
                  </c:pt>
                  <c:pt idx="7">
                    <c:v>27.756005356198745</c:v>
                  </c:pt>
                  <c:pt idx="8">
                    <c:v>41.044691089916448</c:v>
                  </c:pt>
                  <c:pt idx="9">
                    <c:v>6.0190669265814503</c:v>
                  </c:pt>
                  <c:pt idx="10">
                    <c:v>21.50387561967997</c:v>
                  </c:pt>
                  <c:pt idx="11">
                    <c:v>66.105187643129284</c:v>
                  </c:pt>
                  <c:pt idx="12">
                    <c:v>18.701604209265042</c:v>
                  </c:pt>
                  <c:pt idx="13">
                    <c:v>23.47117025913564</c:v>
                  </c:pt>
                  <c:pt idx="14">
                    <c:v>40.237834600452011</c:v>
                  </c:pt>
                  <c:pt idx="15">
                    <c:v>80.188709720674936</c:v>
                  </c:pt>
                </c:numCache>
              </c:numRef>
            </c:plus>
            <c:minus>
              <c:numRef>
                <c:f>Averages!$H$44:$H$59</c:f>
                <c:numCache>
                  <c:formatCode>General</c:formatCode>
                  <c:ptCount val="16"/>
                  <c:pt idx="0">
                    <c:v>16.459546368799678</c:v>
                  </c:pt>
                  <c:pt idx="1">
                    <c:v>14.01412977438604</c:v>
                  </c:pt>
                  <c:pt idx="2">
                    <c:v>11.946931265670974</c:v>
                  </c:pt>
                  <c:pt idx="3">
                    <c:v>7.0754858490424528</c:v>
                  </c:pt>
                  <c:pt idx="4">
                    <c:v>2.2173557826083452</c:v>
                  </c:pt>
                  <c:pt idx="5">
                    <c:v>7.6198753270640855</c:v>
                  </c:pt>
                  <c:pt idx="6">
                    <c:v>12.071833608307672</c:v>
                  </c:pt>
                  <c:pt idx="7">
                    <c:v>27.756005356198745</c:v>
                  </c:pt>
                  <c:pt idx="8">
                    <c:v>41.044691089916448</c:v>
                  </c:pt>
                  <c:pt idx="9">
                    <c:v>6.0190669265814503</c:v>
                  </c:pt>
                  <c:pt idx="10">
                    <c:v>21.50387561967997</c:v>
                  </c:pt>
                  <c:pt idx="11">
                    <c:v>66.105187643129284</c:v>
                  </c:pt>
                  <c:pt idx="12">
                    <c:v>18.701604209265042</c:v>
                  </c:pt>
                  <c:pt idx="13">
                    <c:v>23.47117025913564</c:v>
                  </c:pt>
                  <c:pt idx="14">
                    <c:v>40.237834600452011</c:v>
                  </c:pt>
                  <c:pt idx="15">
                    <c:v>80.188709720674936</c:v>
                  </c:pt>
                </c:numCache>
              </c:numRef>
            </c:minus>
            <c:spPr>
              <a:noFill/>
              <a:ln w="12700" cap="flat" cmpd="sng" algn="ctr">
                <a:solidFill>
                  <a:schemeClr val="bg1">
                    <a:lumMod val="65000"/>
                  </a:schemeClr>
                </a:solidFill>
                <a:round/>
              </a:ln>
              <a:effectLst/>
            </c:spPr>
          </c:errBars>
          <c:val>
            <c:numRef>
              <c:f>Averages!$H$5:$H$20</c:f>
              <c:numCache>
                <c:formatCode>General</c:formatCode>
                <c:ptCount val="16"/>
                <c:pt idx="0">
                  <c:v>888.5</c:v>
                </c:pt>
                <c:pt idx="1">
                  <c:v>752.75</c:v>
                </c:pt>
                <c:pt idx="2">
                  <c:v>746.25</c:v>
                </c:pt>
                <c:pt idx="3">
                  <c:v>719.75</c:v>
                </c:pt>
                <c:pt idx="4">
                  <c:v>795.5</c:v>
                </c:pt>
                <c:pt idx="5">
                  <c:v>836.25</c:v>
                </c:pt>
                <c:pt idx="6">
                  <c:v>529.75</c:v>
                </c:pt>
                <c:pt idx="7">
                  <c:v>794.75</c:v>
                </c:pt>
                <c:pt idx="8">
                  <c:v>646</c:v>
                </c:pt>
                <c:pt idx="9">
                  <c:v>1145.75</c:v>
                </c:pt>
                <c:pt idx="10">
                  <c:v>833.5</c:v>
                </c:pt>
                <c:pt idx="11">
                  <c:v>1436.25</c:v>
                </c:pt>
                <c:pt idx="12">
                  <c:v>1096.5</c:v>
                </c:pt>
                <c:pt idx="13">
                  <c:v>923.25</c:v>
                </c:pt>
                <c:pt idx="14">
                  <c:v>3953.5</c:v>
                </c:pt>
                <c:pt idx="15">
                  <c:v>993.75</c:v>
                </c:pt>
              </c:numCache>
            </c:numRef>
          </c:val>
          <c:extLst>
            <c:ext xmlns:c16="http://schemas.microsoft.com/office/drawing/2014/chart" uri="{C3380CC4-5D6E-409C-BE32-E72D297353CC}">
              <c16:uniqueId val="{00000005-B386-45C4-969F-5D39E2B0B3C0}"/>
            </c:ext>
          </c:extLst>
        </c:ser>
        <c:ser>
          <c:idx val="6"/>
          <c:order val="6"/>
          <c:tx>
            <c:strRef>
              <c:f>Averages!$I$4</c:f>
              <c:strCache>
                <c:ptCount val="1"/>
                <c:pt idx="0">
                  <c:v>DSRL6</c:v>
                </c:pt>
              </c:strCache>
            </c:strRef>
          </c:tx>
          <c:spPr>
            <a:solidFill>
              <a:schemeClr val="accent6">
                <a:shade val="87000"/>
              </a:schemeClr>
            </a:solidFill>
            <a:ln>
              <a:noFill/>
            </a:ln>
            <a:effectLst/>
          </c:spPr>
          <c:invertIfNegative val="0"/>
          <c:errBars>
            <c:errBarType val="both"/>
            <c:errValType val="cust"/>
            <c:noEndCap val="0"/>
            <c:plus>
              <c:numRef>
                <c:f>Averages!$I$44:$I$59</c:f>
                <c:numCache>
                  <c:formatCode>General</c:formatCode>
                  <c:ptCount val="16"/>
                  <c:pt idx="0">
                    <c:v>21.527114685128304</c:v>
                  </c:pt>
                  <c:pt idx="1">
                    <c:v>9.2421137553411814</c:v>
                  </c:pt>
                  <c:pt idx="2">
                    <c:v>11.090536506409418</c:v>
                  </c:pt>
                  <c:pt idx="3">
                    <c:v>20.237650555338682</c:v>
                  </c:pt>
                  <c:pt idx="4">
                    <c:v>14.44818327679989</c:v>
                  </c:pt>
                  <c:pt idx="5">
                    <c:v>17.058722109231979</c:v>
                  </c:pt>
                  <c:pt idx="6">
                    <c:v>14.812719759269958</c:v>
                  </c:pt>
                  <c:pt idx="7">
                    <c:v>16.464608508353102</c:v>
                  </c:pt>
                  <c:pt idx="8">
                    <c:v>7.2629195231669748</c:v>
                  </c:pt>
                  <c:pt idx="9">
                    <c:v>19.091883092036785</c:v>
                  </c:pt>
                  <c:pt idx="10">
                    <c:v>14.309088021254185</c:v>
                  </c:pt>
                  <c:pt idx="11">
                    <c:v>13.725736167263792</c:v>
                  </c:pt>
                  <c:pt idx="12">
                    <c:v>23.148074073955556</c:v>
                  </c:pt>
                  <c:pt idx="13">
                    <c:v>15.572411502397436</c:v>
                  </c:pt>
                  <c:pt idx="14">
                    <c:v>69.351760371793503</c:v>
                  </c:pt>
                  <c:pt idx="15">
                    <c:v>7.1763500472036617</c:v>
                  </c:pt>
                </c:numCache>
              </c:numRef>
            </c:plus>
            <c:minus>
              <c:numRef>
                <c:f>Averages!$I$44:$I$59</c:f>
                <c:numCache>
                  <c:formatCode>General</c:formatCode>
                  <c:ptCount val="16"/>
                  <c:pt idx="0">
                    <c:v>21.527114685128304</c:v>
                  </c:pt>
                  <c:pt idx="1">
                    <c:v>9.2421137553411814</c:v>
                  </c:pt>
                  <c:pt idx="2">
                    <c:v>11.090536506409418</c:v>
                  </c:pt>
                  <c:pt idx="3">
                    <c:v>20.237650555338682</c:v>
                  </c:pt>
                  <c:pt idx="4">
                    <c:v>14.44818327679989</c:v>
                  </c:pt>
                  <c:pt idx="5">
                    <c:v>17.058722109231979</c:v>
                  </c:pt>
                  <c:pt idx="6">
                    <c:v>14.812719759269958</c:v>
                  </c:pt>
                  <c:pt idx="7">
                    <c:v>16.464608508353102</c:v>
                  </c:pt>
                  <c:pt idx="8">
                    <c:v>7.2629195231669748</c:v>
                  </c:pt>
                  <c:pt idx="9">
                    <c:v>19.091883092036785</c:v>
                  </c:pt>
                  <c:pt idx="10">
                    <c:v>14.309088021254185</c:v>
                  </c:pt>
                  <c:pt idx="11">
                    <c:v>13.725736167263792</c:v>
                  </c:pt>
                  <c:pt idx="12">
                    <c:v>23.148074073955556</c:v>
                  </c:pt>
                  <c:pt idx="13">
                    <c:v>15.572411502397436</c:v>
                  </c:pt>
                  <c:pt idx="14">
                    <c:v>69.351760371793503</c:v>
                  </c:pt>
                  <c:pt idx="15">
                    <c:v>7.1763500472036617</c:v>
                  </c:pt>
                </c:numCache>
              </c:numRef>
            </c:minus>
            <c:spPr>
              <a:noFill/>
              <a:ln w="12700" cap="flat" cmpd="sng" algn="ctr">
                <a:solidFill>
                  <a:schemeClr val="bg1">
                    <a:lumMod val="65000"/>
                  </a:schemeClr>
                </a:solidFill>
                <a:round/>
              </a:ln>
              <a:effectLst/>
            </c:spPr>
          </c:errBars>
          <c:val>
            <c:numRef>
              <c:f>Averages!$I$5:$I$20</c:f>
              <c:numCache>
                <c:formatCode>General</c:formatCode>
                <c:ptCount val="16"/>
                <c:pt idx="0">
                  <c:v>892.5</c:v>
                </c:pt>
                <c:pt idx="1">
                  <c:v>773.5</c:v>
                </c:pt>
                <c:pt idx="2">
                  <c:v>759</c:v>
                </c:pt>
                <c:pt idx="3">
                  <c:v>735.25</c:v>
                </c:pt>
                <c:pt idx="4">
                  <c:v>760.5</c:v>
                </c:pt>
                <c:pt idx="5">
                  <c:v>848</c:v>
                </c:pt>
                <c:pt idx="6">
                  <c:v>507.5</c:v>
                </c:pt>
                <c:pt idx="7">
                  <c:v>751.5</c:v>
                </c:pt>
                <c:pt idx="8">
                  <c:v>620.5</c:v>
                </c:pt>
                <c:pt idx="9">
                  <c:v>1185</c:v>
                </c:pt>
                <c:pt idx="10">
                  <c:v>872.5</c:v>
                </c:pt>
                <c:pt idx="11">
                  <c:v>1369.25</c:v>
                </c:pt>
                <c:pt idx="12">
                  <c:v>1125</c:v>
                </c:pt>
                <c:pt idx="13">
                  <c:v>890</c:v>
                </c:pt>
                <c:pt idx="14">
                  <c:v>3637</c:v>
                </c:pt>
                <c:pt idx="15">
                  <c:v>912</c:v>
                </c:pt>
              </c:numCache>
            </c:numRef>
          </c:val>
          <c:extLst>
            <c:ext xmlns:c16="http://schemas.microsoft.com/office/drawing/2014/chart" uri="{C3380CC4-5D6E-409C-BE32-E72D297353CC}">
              <c16:uniqueId val="{00000006-B386-45C4-969F-5D39E2B0B3C0}"/>
            </c:ext>
          </c:extLst>
        </c:ser>
        <c:ser>
          <c:idx val="7"/>
          <c:order val="7"/>
          <c:tx>
            <c:strRef>
              <c:f>Averages!$J$4</c:f>
              <c:strCache>
                <c:ptCount val="1"/>
                <c:pt idx="0">
                  <c:v>DSRL7</c:v>
                </c:pt>
              </c:strCache>
            </c:strRef>
          </c:tx>
          <c:spPr>
            <a:solidFill>
              <a:schemeClr val="accent6">
                <a:shade val="95000"/>
              </a:schemeClr>
            </a:solidFill>
            <a:ln>
              <a:noFill/>
            </a:ln>
            <a:effectLst/>
          </c:spPr>
          <c:invertIfNegative val="0"/>
          <c:errBars>
            <c:errBarType val="both"/>
            <c:errValType val="cust"/>
            <c:noEndCap val="0"/>
            <c:plus>
              <c:numRef>
                <c:f>Averages!$J$44:$J$59</c:f>
                <c:numCache>
                  <c:formatCode>General</c:formatCode>
                  <c:ptCount val="16"/>
                  <c:pt idx="0">
                    <c:v>21.675639167815405</c:v>
                  </c:pt>
                  <c:pt idx="1">
                    <c:v>17.969302527736943</c:v>
                  </c:pt>
                  <c:pt idx="2">
                    <c:v>11.438239957848994</c:v>
                  </c:pt>
                  <c:pt idx="3">
                    <c:v>18.854707634964804</c:v>
                  </c:pt>
                  <c:pt idx="4">
                    <c:v>18.763883748662838</c:v>
                  </c:pt>
                  <c:pt idx="5">
                    <c:v>10.50793351076541</c:v>
                  </c:pt>
                  <c:pt idx="6">
                    <c:v>10.598742063723098</c:v>
                  </c:pt>
                  <c:pt idx="7">
                    <c:v>30.367197214538365</c:v>
                  </c:pt>
                  <c:pt idx="8">
                    <c:v>12.877629181387906</c:v>
                  </c:pt>
                  <c:pt idx="9">
                    <c:v>18.133762249829275</c:v>
                  </c:pt>
                  <c:pt idx="10">
                    <c:v>18.958287545732254</c:v>
                  </c:pt>
                  <c:pt idx="11">
                    <c:v>8.855318552523487</c:v>
                  </c:pt>
                  <c:pt idx="12">
                    <c:v>27.083205127901682</c:v>
                  </c:pt>
                  <c:pt idx="13">
                    <c:v>15.085174841545589</c:v>
                  </c:pt>
                  <c:pt idx="14">
                    <c:v>44.048032494842111</c:v>
                  </c:pt>
                  <c:pt idx="15">
                    <c:v>7.465197027987049</c:v>
                  </c:pt>
                </c:numCache>
              </c:numRef>
            </c:plus>
            <c:minus>
              <c:numRef>
                <c:f>Averages!$J$44:$J$59</c:f>
                <c:numCache>
                  <c:formatCode>General</c:formatCode>
                  <c:ptCount val="16"/>
                  <c:pt idx="0">
                    <c:v>21.675639167815405</c:v>
                  </c:pt>
                  <c:pt idx="1">
                    <c:v>17.969302527736943</c:v>
                  </c:pt>
                  <c:pt idx="2">
                    <c:v>11.438239957848994</c:v>
                  </c:pt>
                  <c:pt idx="3">
                    <c:v>18.854707634964804</c:v>
                  </c:pt>
                  <c:pt idx="4">
                    <c:v>18.763883748662838</c:v>
                  </c:pt>
                  <c:pt idx="5">
                    <c:v>10.50793351076541</c:v>
                  </c:pt>
                  <c:pt idx="6">
                    <c:v>10.598742063723098</c:v>
                  </c:pt>
                  <c:pt idx="7">
                    <c:v>30.367197214538365</c:v>
                  </c:pt>
                  <c:pt idx="8">
                    <c:v>12.877629181387906</c:v>
                  </c:pt>
                  <c:pt idx="9">
                    <c:v>18.133762249829275</c:v>
                  </c:pt>
                  <c:pt idx="10">
                    <c:v>18.958287545732254</c:v>
                  </c:pt>
                  <c:pt idx="11">
                    <c:v>8.855318552523487</c:v>
                  </c:pt>
                  <c:pt idx="12">
                    <c:v>27.083205127901682</c:v>
                  </c:pt>
                  <c:pt idx="13">
                    <c:v>15.085174841545589</c:v>
                  </c:pt>
                  <c:pt idx="14">
                    <c:v>44.048032494842111</c:v>
                  </c:pt>
                  <c:pt idx="15">
                    <c:v>7.465197027987049</c:v>
                  </c:pt>
                </c:numCache>
              </c:numRef>
            </c:minus>
            <c:spPr>
              <a:noFill/>
              <a:ln w="19050" cap="flat" cmpd="sng" algn="ctr">
                <a:solidFill>
                  <a:schemeClr val="bg1">
                    <a:lumMod val="65000"/>
                  </a:schemeClr>
                </a:solidFill>
                <a:round/>
              </a:ln>
              <a:effectLst/>
            </c:spPr>
          </c:errBars>
          <c:val>
            <c:numRef>
              <c:f>Averages!$J$5:$J$20</c:f>
              <c:numCache>
                <c:formatCode>General</c:formatCode>
                <c:ptCount val="16"/>
                <c:pt idx="0">
                  <c:v>970</c:v>
                </c:pt>
                <c:pt idx="1">
                  <c:v>794.75</c:v>
                </c:pt>
                <c:pt idx="2">
                  <c:v>747</c:v>
                </c:pt>
                <c:pt idx="3">
                  <c:v>733</c:v>
                </c:pt>
                <c:pt idx="4">
                  <c:v>829.5</c:v>
                </c:pt>
                <c:pt idx="5">
                  <c:v>875.5</c:v>
                </c:pt>
                <c:pt idx="6">
                  <c:v>552</c:v>
                </c:pt>
                <c:pt idx="7">
                  <c:v>831</c:v>
                </c:pt>
                <c:pt idx="8">
                  <c:v>568</c:v>
                </c:pt>
                <c:pt idx="9">
                  <c:v>1205</c:v>
                </c:pt>
                <c:pt idx="10">
                  <c:v>868.5</c:v>
                </c:pt>
                <c:pt idx="11">
                  <c:v>1396.5</c:v>
                </c:pt>
                <c:pt idx="12">
                  <c:v>1156</c:v>
                </c:pt>
                <c:pt idx="13">
                  <c:v>949.25</c:v>
                </c:pt>
                <c:pt idx="14">
                  <c:v>3060.75</c:v>
                </c:pt>
                <c:pt idx="15">
                  <c:v>919.75</c:v>
                </c:pt>
              </c:numCache>
            </c:numRef>
          </c:val>
          <c:extLst>
            <c:ext xmlns:c16="http://schemas.microsoft.com/office/drawing/2014/chart" uri="{C3380CC4-5D6E-409C-BE32-E72D297353CC}">
              <c16:uniqueId val="{00000007-B386-45C4-969F-5D39E2B0B3C0}"/>
            </c:ext>
          </c:extLst>
        </c:ser>
        <c:ser>
          <c:idx val="8"/>
          <c:order val="8"/>
          <c:tx>
            <c:strRef>
              <c:f>Averages!$K$4</c:f>
              <c:strCache>
                <c:ptCount val="1"/>
                <c:pt idx="0">
                  <c:v>DSRL8</c:v>
                </c:pt>
              </c:strCache>
            </c:strRef>
          </c:tx>
          <c:spPr>
            <a:solidFill>
              <a:schemeClr val="accent6">
                <a:tint val="96000"/>
              </a:schemeClr>
            </a:solidFill>
            <a:ln>
              <a:noFill/>
            </a:ln>
            <a:effectLst/>
          </c:spPr>
          <c:invertIfNegative val="0"/>
          <c:errBars>
            <c:errBarType val="both"/>
            <c:errValType val="cust"/>
            <c:noEndCap val="0"/>
            <c:plus>
              <c:numRef>
                <c:f>Averages!$K$44:$K$59</c:f>
                <c:numCache>
                  <c:formatCode>General</c:formatCode>
                  <c:ptCount val="16"/>
                  <c:pt idx="0">
                    <c:v>21.675639167815405</c:v>
                  </c:pt>
                  <c:pt idx="1">
                    <c:v>17.969302527736943</c:v>
                  </c:pt>
                  <c:pt idx="2">
                    <c:v>11.438239957848994</c:v>
                  </c:pt>
                  <c:pt idx="3">
                    <c:v>18.854707634964804</c:v>
                  </c:pt>
                  <c:pt idx="4">
                    <c:v>22.122763540450066</c:v>
                  </c:pt>
                  <c:pt idx="5">
                    <c:v>8.0932070281193234</c:v>
                  </c:pt>
                  <c:pt idx="6">
                    <c:v>10.598742063723098</c:v>
                  </c:pt>
                  <c:pt idx="7">
                    <c:v>32.317435954398775</c:v>
                  </c:pt>
                  <c:pt idx="8">
                    <c:v>12.877629181387906</c:v>
                  </c:pt>
                  <c:pt idx="9">
                    <c:v>18.133762249829275</c:v>
                  </c:pt>
                  <c:pt idx="10">
                    <c:v>18.958287545732254</c:v>
                  </c:pt>
                  <c:pt idx="11">
                    <c:v>8.855318552523487</c:v>
                  </c:pt>
                  <c:pt idx="12">
                    <c:v>27.083205127901682</c:v>
                  </c:pt>
                  <c:pt idx="13">
                    <c:v>15.085174841545589</c:v>
                  </c:pt>
                  <c:pt idx="14">
                    <c:v>44.048032494842111</c:v>
                  </c:pt>
                  <c:pt idx="15">
                    <c:v>8.3204066407037267</c:v>
                  </c:pt>
                </c:numCache>
              </c:numRef>
            </c:plus>
            <c:minus>
              <c:numRef>
                <c:f>Averages!$K$44:$K$59</c:f>
                <c:numCache>
                  <c:formatCode>General</c:formatCode>
                  <c:ptCount val="16"/>
                  <c:pt idx="0">
                    <c:v>21.675639167815405</c:v>
                  </c:pt>
                  <c:pt idx="1">
                    <c:v>17.969302527736943</c:v>
                  </c:pt>
                  <c:pt idx="2">
                    <c:v>11.438239957848994</c:v>
                  </c:pt>
                  <c:pt idx="3">
                    <c:v>18.854707634964804</c:v>
                  </c:pt>
                  <c:pt idx="4">
                    <c:v>22.122763540450066</c:v>
                  </c:pt>
                  <c:pt idx="5">
                    <c:v>8.0932070281193234</c:v>
                  </c:pt>
                  <c:pt idx="6">
                    <c:v>10.598742063723098</c:v>
                  </c:pt>
                  <c:pt idx="7">
                    <c:v>32.317435954398775</c:v>
                  </c:pt>
                  <c:pt idx="8">
                    <c:v>12.877629181387906</c:v>
                  </c:pt>
                  <c:pt idx="9">
                    <c:v>18.133762249829275</c:v>
                  </c:pt>
                  <c:pt idx="10">
                    <c:v>18.958287545732254</c:v>
                  </c:pt>
                  <c:pt idx="11">
                    <c:v>8.855318552523487</c:v>
                  </c:pt>
                  <c:pt idx="12">
                    <c:v>27.083205127901682</c:v>
                  </c:pt>
                  <c:pt idx="13">
                    <c:v>15.085174841545589</c:v>
                  </c:pt>
                  <c:pt idx="14">
                    <c:v>44.048032494842111</c:v>
                  </c:pt>
                  <c:pt idx="15">
                    <c:v>8.3204066407037267</c:v>
                  </c:pt>
                </c:numCache>
              </c:numRef>
            </c:minus>
            <c:spPr>
              <a:noFill/>
              <a:ln w="12700" cap="flat" cmpd="sng" algn="ctr">
                <a:solidFill>
                  <a:schemeClr val="bg1">
                    <a:lumMod val="65000"/>
                  </a:schemeClr>
                </a:solidFill>
                <a:round/>
              </a:ln>
              <a:effectLst/>
            </c:spPr>
          </c:errBars>
          <c:val>
            <c:numRef>
              <c:f>Averages!$K$5:$K$20</c:f>
              <c:numCache>
                <c:formatCode>General</c:formatCode>
                <c:ptCount val="16"/>
                <c:pt idx="0">
                  <c:v>970</c:v>
                </c:pt>
                <c:pt idx="1">
                  <c:v>794.75</c:v>
                </c:pt>
                <c:pt idx="2">
                  <c:v>747</c:v>
                </c:pt>
                <c:pt idx="3">
                  <c:v>733</c:v>
                </c:pt>
                <c:pt idx="4">
                  <c:v>825.5</c:v>
                </c:pt>
                <c:pt idx="5">
                  <c:v>872</c:v>
                </c:pt>
                <c:pt idx="6">
                  <c:v>552</c:v>
                </c:pt>
                <c:pt idx="7">
                  <c:v>826.5</c:v>
                </c:pt>
                <c:pt idx="8">
                  <c:v>568</c:v>
                </c:pt>
                <c:pt idx="9">
                  <c:v>1205</c:v>
                </c:pt>
                <c:pt idx="10">
                  <c:v>868.5</c:v>
                </c:pt>
                <c:pt idx="11">
                  <c:v>1396.5</c:v>
                </c:pt>
                <c:pt idx="12">
                  <c:v>1156</c:v>
                </c:pt>
                <c:pt idx="13">
                  <c:v>949.25</c:v>
                </c:pt>
                <c:pt idx="14">
                  <c:v>3060.75</c:v>
                </c:pt>
                <c:pt idx="15">
                  <c:v>915.25</c:v>
                </c:pt>
              </c:numCache>
            </c:numRef>
          </c:val>
          <c:extLst>
            <c:ext xmlns:c16="http://schemas.microsoft.com/office/drawing/2014/chart" uri="{C3380CC4-5D6E-409C-BE32-E72D297353CC}">
              <c16:uniqueId val="{00000008-B386-45C4-969F-5D39E2B0B3C0}"/>
            </c:ext>
          </c:extLst>
        </c:ser>
        <c:ser>
          <c:idx val="9"/>
          <c:order val="9"/>
          <c:tx>
            <c:strRef>
              <c:f>Averages!$L$4</c:f>
              <c:strCache>
                <c:ptCount val="1"/>
                <c:pt idx="0">
                  <c:v>DSRL9</c:v>
                </c:pt>
              </c:strCache>
            </c:strRef>
          </c:tx>
          <c:spPr>
            <a:solidFill>
              <a:schemeClr val="accent6">
                <a:tint val="88000"/>
              </a:schemeClr>
            </a:solidFill>
            <a:ln>
              <a:noFill/>
            </a:ln>
            <a:effectLst/>
          </c:spPr>
          <c:invertIfNegative val="0"/>
          <c:errBars>
            <c:errBarType val="both"/>
            <c:errValType val="cust"/>
            <c:noEndCap val="0"/>
            <c:plus>
              <c:numRef>
                <c:f>Averages!$L$44:$L$59</c:f>
                <c:numCache>
                  <c:formatCode>General</c:formatCode>
                  <c:ptCount val="16"/>
                  <c:pt idx="0">
                    <c:v>24.627220712049503</c:v>
                  </c:pt>
                  <c:pt idx="1">
                    <c:v>28.173199439656592</c:v>
                  </c:pt>
                  <c:pt idx="2">
                    <c:v>14.126659194586667</c:v>
                  </c:pt>
                  <c:pt idx="3">
                    <c:v>22.298635982200047</c:v>
                  </c:pt>
                  <c:pt idx="4">
                    <c:v>82.745090488801807</c:v>
                  </c:pt>
                  <c:pt idx="5">
                    <c:v>14.753530650887152</c:v>
                  </c:pt>
                  <c:pt idx="6">
                    <c:v>14.020074892809953</c:v>
                  </c:pt>
                  <c:pt idx="7">
                    <c:v>31.297963192514622</c:v>
                  </c:pt>
                  <c:pt idx="8">
                    <c:v>17.715341750396274</c:v>
                  </c:pt>
                  <c:pt idx="9">
                    <c:v>28.561337503695444</c:v>
                  </c:pt>
                  <c:pt idx="10">
                    <c:v>14.744349200060793</c:v>
                  </c:pt>
                  <c:pt idx="11">
                    <c:v>111.16766616242333</c:v>
                  </c:pt>
                  <c:pt idx="12">
                    <c:v>21.784455467144458</c:v>
                  </c:pt>
                  <c:pt idx="13">
                    <c:v>17.277152543170995</c:v>
                  </c:pt>
                  <c:pt idx="14">
                    <c:v>53.613586586486328</c:v>
                  </c:pt>
                  <c:pt idx="15">
                    <c:v>23.188988047490703</c:v>
                  </c:pt>
                </c:numCache>
              </c:numRef>
            </c:plus>
            <c:minus>
              <c:numRef>
                <c:f>Averages!$L$44:$L$59</c:f>
                <c:numCache>
                  <c:formatCode>General</c:formatCode>
                  <c:ptCount val="16"/>
                  <c:pt idx="0">
                    <c:v>24.627220712049503</c:v>
                  </c:pt>
                  <c:pt idx="1">
                    <c:v>28.173199439656592</c:v>
                  </c:pt>
                  <c:pt idx="2">
                    <c:v>14.126659194586667</c:v>
                  </c:pt>
                  <c:pt idx="3">
                    <c:v>22.298635982200047</c:v>
                  </c:pt>
                  <c:pt idx="4">
                    <c:v>82.745090488801807</c:v>
                  </c:pt>
                  <c:pt idx="5">
                    <c:v>14.753530650887152</c:v>
                  </c:pt>
                  <c:pt idx="6">
                    <c:v>14.020074892809953</c:v>
                  </c:pt>
                  <c:pt idx="7">
                    <c:v>31.297963192514622</c:v>
                  </c:pt>
                  <c:pt idx="8">
                    <c:v>17.715341750396274</c:v>
                  </c:pt>
                  <c:pt idx="9">
                    <c:v>28.561337503695444</c:v>
                  </c:pt>
                  <c:pt idx="10">
                    <c:v>14.744349200060793</c:v>
                  </c:pt>
                  <c:pt idx="11">
                    <c:v>111.16766616242333</c:v>
                  </c:pt>
                  <c:pt idx="12">
                    <c:v>21.784455467144458</c:v>
                  </c:pt>
                  <c:pt idx="13">
                    <c:v>17.277152543170995</c:v>
                  </c:pt>
                  <c:pt idx="14">
                    <c:v>53.613586586486328</c:v>
                  </c:pt>
                  <c:pt idx="15">
                    <c:v>23.188988047490703</c:v>
                  </c:pt>
                </c:numCache>
              </c:numRef>
            </c:minus>
            <c:spPr>
              <a:noFill/>
              <a:ln w="12700" cap="flat" cmpd="sng" algn="ctr">
                <a:solidFill>
                  <a:schemeClr val="bg1">
                    <a:lumMod val="65000"/>
                  </a:schemeClr>
                </a:solidFill>
                <a:round/>
              </a:ln>
              <a:effectLst/>
            </c:spPr>
          </c:errBars>
          <c:val>
            <c:numRef>
              <c:f>Averages!$L$5:$L$20</c:f>
              <c:numCache>
                <c:formatCode>General</c:formatCode>
                <c:ptCount val="16"/>
                <c:pt idx="0">
                  <c:v>1015</c:v>
                </c:pt>
                <c:pt idx="1">
                  <c:v>810.25</c:v>
                </c:pt>
                <c:pt idx="2">
                  <c:v>798.25</c:v>
                </c:pt>
                <c:pt idx="3">
                  <c:v>803.75</c:v>
                </c:pt>
                <c:pt idx="4">
                  <c:v>944.5</c:v>
                </c:pt>
                <c:pt idx="5">
                  <c:v>911</c:v>
                </c:pt>
                <c:pt idx="6">
                  <c:v>564.25</c:v>
                </c:pt>
                <c:pt idx="7">
                  <c:v>979.75</c:v>
                </c:pt>
                <c:pt idx="8">
                  <c:v>585</c:v>
                </c:pt>
                <c:pt idx="9">
                  <c:v>1216.5</c:v>
                </c:pt>
                <c:pt idx="10">
                  <c:v>918.25</c:v>
                </c:pt>
                <c:pt idx="11">
                  <c:v>2053.5</c:v>
                </c:pt>
                <c:pt idx="12">
                  <c:v>1224.75</c:v>
                </c:pt>
                <c:pt idx="13">
                  <c:v>992</c:v>
                </c:pt>
                <c:pt idx="14">
                  <c:v>3052.5</c:v>
                </c:pt>
                <c:pt idx="15">
                  <c:v>1026.75</c:v>
                </c:pt>
              </c:numCache>
            </c:numRef>
          </c:val>
          <c:extLst>
            <c:ext xmlns:c16="http://schemas.microsoft.com/office/drawing/2014/chart" uri="{C3380CC4-5D6E-409C-BE32-E72D297353CC}">
              <c16:uniqueId val="{00000009-B386-45C4-969F-5D39E2B0B3C0}"/>
            </c:ext>
          </c:extLst>
        </c:ser>
        <c:ser>
          <c:idx val="10"/>
          <c:order val="10"/>
          <c:tx>
            <c:strRef>
              <c:f>Averages!$M$4</c:f>
              <c:strCache>
                <c:ptCount val="1"/>
                <c:pt idx="0">
                  <c:v>DSRL10</c:v>
                </c:pt>
              </c:strCache>
            </c:strRef>
          </c:tx>
          <c:spPr>
            <a:solidFill>
              <a:schemeClr val="accent6">
                <a:tint val="80000"/>
              </a:schemeClr>
            </a:solidFill>
            <a:ln>
              <a:noFill/>
            </a:ln>
            <a:effectLst/>
          </c:spPr>
          <c:invertIfNegative val="0"/>
          <c:errBars>
            <c:errBarType val="both"/>
            <c:errValType val="cust"/>
            <c:noEndCap val="0"/>
            <c:plus>
              <c:numRef>
                <c:f>Averages!$M$44:$M$59</c:f>
                <c:numCache>
                  <c:formatCode>General</c:formatCode>
                  <c:ptCount val="16"/>
                  <c:pt idx="0">
                    <c:v>23.760523984121225</c:v>
                  </c:pt>
                  <c:pt idx="1">
                    <c:v>5.1214418542698175</c:v>
                  </c:pt>
                  <c:pt idx="2">
                    <c:v>10.820505225419621</c:v>
                  </c:pt>
                  <c:pt idx="3">
                    <c:v>29.956913503675018</c:v>
                  </c:pt>
                  <c:pt idx="4">
                    <c:v>14.770466027403018</c:v>
                  </c:pt>
                  <c:pt idx="5">
                    <c:v>15.932147794109033</c:v>
                  </c:pt>
                  <c:pt idx="6">
                    <c:v>15.814023312659348</c:v>
                  </c:pt>
                  <c:pt idx="7">
                    <c:v>68.926893638598472</c:v>
                  </c:pt>
                  <c:pt idx="8">
                    <c:v>10.184751674275946</c:v>
                  </c:pt>
                  <c:pt idx="9">
                    <c:v>16.418358626854268</c:v>
                  </c:pt>
                  <c:pt idx="10">
                    <c:v>18.82153022471871</c:v>
                  </c:pt>
                  <c:pt idx="11">
                    <c:v>40.475301110677364</c:v>
                  </c:pt>
                  <c:pt idx="12">
                    <c:v>7.856791117667993</c:v>
                  </c:pt>
                  <c:pt idx="13">
                    <c:v>15.665115171403412</c:v>
                  </c:pt>
                  <c:pt idx="14">
                    <c:v>117.48404146946937</c:v>
                  </c:pt>
                  <c:pt idx="15">
                    <c:v>19.670197423174653</c:v>
                  </c:pt>
                </c:numCache>
              </c:numRef>
            </c:plus>
            <c:minus>
              <c:numRef>
                <c:f>Averages!$M$44:$M$59</c:f>
                <c:numCache>
                  <c:formatCode>General</c:formatCode>
                  <c:ptCount val="16"/>
                  <c:pt idx="0">
                    <c:v>23.760523984121225</c:v>
                  </c:pt>
                  <c:pt idx="1">
                    <c:v>5.1214418542698175</c:v>
                  </c:pt>
                  <c:pt idx="2">
                    <c:v>10.820505225419621</c:v>
                  </c:pt>
                  <c:pt idx="3">
                    <c:v>29.956913503675018</c:v>
                  </c:pt>
                  <c:pt idx="4">
                    <c:v>14.770466027403018</c:v>
                  </c:pt>
                  <c:pt idx="5">
                    <c:v>15.932147794109033</c:v>
                  </c:pt>
                  <c:pt idx="6">
                    <c:v>15.814023312659348</c:v>
                  </c:pt>
                  <c:pt idx="7">
                    <c:v>68.926893638598472</c:v>
                  </c:pt>
                  <c:pt idx="8">
                    <c:v>10.184751674275946</c:v>
                  </c:pt>
                  <c:pt idx="9">
                    <c:v>16.418358626854268</c:v>
                  </c:pt>
                  <c:pt idx="10">
                    <c:v>18.82153022471871</c:v>
                  </c:pt>
                  <c:pt idx="11">
                    <c:v>40.475301110677364</c:v>
                  </c:pt>
                  <c:pt idx="12">
                    <c:v>7.856791117667993</c:v>
                  </c:pt>
                  <c:pt idx="13">
                    <c:v>15.665115171403412</c:v>
                  </c:pt>
                  <c:pt idx="14">
                    <c:v>117.48404146946937</c:v>
                  </c:pt>
                  <c:pt idx="15">
                    <c:v>19.670197423174653</c:v>
                  </c:pt>
                </c:numCache>
              </c:numRef>
            </c:minus>
            <c:spPr>
              <a:noFill/>
              <a:ln w="12700" cap="flat" cmpd="sng" algn="ctr">
                <a:solidFill>
                  <a:schemeClr val="bg1">
                    <a:lumMod val="65000"/>
                  </a:schemeClr>
                </a:solidFill>
                <a:round/>
              </a:ln>
              <a:effectLst/>
            </c:spPr>
          </c:errBars>
          <c:val>
            <c:numRef>
              <c:f>Averages!$M$5:$M$20</c:f>
              <c:numCache>
                <c:formatCode>General</c:formatCode>
                <c:ptCount val="16"/>
                <c:pt idx="0">
                  <c:v>1121.75</c:v>
                </c:pt>
                <c:pt idx="1">
                  <c:v>869.75</c:v>
                </c:pt>
                <c:pt idx="2">
                  <c:v>844.5</c:v>
                </c:pt>
                <c:pt idx="3">
                  <c:v>861.5</c:v>
                </c:pt>
                <c:pt idx="4">
                  <c:v>961</c:v>
                </c:pt>
                <c:pt idx="5">
                  <c:v>985</c:v>
                </c:pt>
                <c:pt idx="6">
                  <c:v>618.5</c:v>
                </c:pt>
                <c:pt idx="7">
                  <c:v>964.5</c:v>
                </c:pt>
                <c:pt idx="8">
                  <c:v>617.75</c:v>
                </c:pt>
                <c:pt idx="9">
                  <c:v>1254.75</c:v>
                </c:pt>
                <c:pt idx="10">
                  <c:v>997.5</c:v>
                </c:pt>
                <c:pt idx="11">
                  <c:v>1583.5</c:v>
                </c:pt>
                <c:pt idx="12">
                  <c:v>1352.75</c:v>
                </c:pt>
                <c:pt idx="13">
                  <c:v>1071.25</c:v>
                </c:pt>
                <c:pt idx="14">
                  <c:v>2806</c:v>
                </c:pt>
                <c:pt idx="15">
                  <c:v>1198.5</c:v>
                </c:pt>
              </c:numCache>
            </c:numRef>
          </c:val>
          <c:extLst>
            <c:ext xmlns:c16="http://schemas.microsoft.com/office/drawing/2014/chart" uri="{C3380CC4-5D6E-409C-BE32-E72D297353CC}">
              <c16:uniqueId val="{0000000A-B386-45C4-969F-5D39E2B0B3C0}"/>
            </c:ext>
          </c:extLst>
        </c:ser>
        <c:ser>
          <c:idx val="11"/>
          <c:order val="11"/>
          <c:tx>
            <c:strRef>
              <c:f>Averages!$N$4</c:f>
              <c:strCache>
                <c:ptCount val="1"/>
                <c:pt idx="0">
                  <c:v>DSRLB1</c:v>
                </c:pt>
              </c:strCache>
            </c:strRef>
          </c:tx>
          <c:spPr>
            <a:solidFill>
              <a:schemeClr val="accent6">
                <a:tint val="72000"/>
              </a:schemeClr>
            </a:solidFill>
            <a:ln>
              <a:noFill/>
            </a:ln>
            <a:effectLst/>
          </c:spPr>
          <c:invertIfNegative val="0"/>
          <c:errBars>
            <c:errBarType val="both"/>
            <c:errValType val="cust"/>
            <c:noEndCap val="0"/>
            <c:plus>
              <c:numRef>
                <c:f>Averages!$N$44:$N$59</c:f>
                <c:numCache>
                  <c:formatCode>General</c:formatCode>
                  <c:ptCount val="16"/>
                  <c:pt idx="0">
                    <c:v>13.75605927097825</c:v>
                  </c:pt>
                  <c:pt idx="1">
                    <c:v>14.510771860931451</c:v>
                  </c:pt>
                  <c:pt idx="2">
                    <c:v>18.772209069082233</c:v>
                  </c:pt>
                  <c:pt idx="3">
                    <c:v>7.760745239129208</c:v>
                  </c:pt>
                  <c:pt idx="4">
                    <c:v>27.064737205448715</c:v>
                  </c:pt>
                  <c:pt idx="5">
                    <c:v>20.1038968030247</c:v>
                  </c:pt>
                  <c:pt idx="6">
                    <c:v>9.3496880518371661</c:v>
                  </c:pt>
                  <c:pt idx="7">
                    <c:v>36.794474222814124</c:v>
                  </c:pt>
                  <c:pt idx="8">
                    <c:v>18.841443681416774</c:v>
                  </c:pt>
                  <c:pt idx="9">
                    <c:v>14.120758950330302</c:v>
                  </c:pt>
                  <c:pt idx="10">
                    <c:v>16.745646200331198</c:v>
                  </c:pt>
                  <c:pt idx="11">
                    <c:v>21.982474079745135</c:v>
                  </c:pt>
                  <c:pt idx="12">
                    <c:v>21.045585443666486</c:v>
                  </c:pt>
                  <c:pt idx="13">
                    <c:v>28.301943396169811</c:v>
                  </c:pt>
                  <c:pt idx="14">
                    <c:v>47.001773016202982</c:v>
                  </c:pt>
                  <c:pt idx="15">
                    <c:v>4.9560569003997523</c:v>
                  </c:pt>
                </c:numCache>
              </c:numRef>
            </c:plus>
            <c:minus>
              <c:numRef>
                <c:f>Averages!$N$44:$N$59</c:f>
                <c:numCache>
                  <c:formatCode>General</c:formatCode>
                  <c:ptCount val="16"/>
                  <c:pt idx="0">
                    <c:v>13.75605927097825</c:v>
                  </c:pt>
                  <c:pt idx="1">
                    <c:v>14.510771860931451</c:v>
                  </c:pt>
                  <c:pt idx="2">
                    <c:v>18.772209069082233</c:v>
                  </c:pt>
                  <c:pt idx="3">
                    <c:v>7.760745239129208</c:v>
                  </c:pt>
                  <c:pt idx="4">
                    <c:v>27.064737205448715</c:v>
                  </c:pt>
                  <c:pt idx="5">
                    <c:v>20.1038968030247</c:v>
                  </c:pt>
                  <c:pt idx="6">
                    <c:v>9.3496880518371661</c:v>
                  </c:pt>
                  <c:pt idx="7">
                    <c:v>36.794474222814124</c:v>
                  </c:pt>
                  <c:pt idx="8">
                    <c:v>18.841443681416774</c:v>
                  </c:pt>
                  <c:pt idx="9">
                    <c:v>14.120758950330302</c:v>
                  </c:pt>
                  <c:pt idx="10">
                    <c:v>16.745646200331198</c:v>
                  </c:pt>
                  <c:pt idx="11">
                    <c:v>21.982474079745135</c:v>
                  </c:pt>
                  <c:pt idx="12">
                    <c:v>21.045585443666486</c:v>
                  </c:pt>
                  <c:pt idx="13">
                    <c:v>28.301943396169811</c:v>
                  </c:pt>
                  <c:pt idx="14">
                    <c:v>47.001773016202982</c:v>
                  </c:pt>
                  <c:pt idx="15">
                    <c:v>4.9560569003997523</c:v>
                  </c:pt>
                </c:numCache>
              </c:numRef>
            </c:minus>
            <c:spPr>
              <a:noFill/>
              <a:ln w="12700" cap="flat" cmpd="sng" algn="ctr">
                <a:solidFill>
                  <a:schemeClr val="bg1">
                    <a:lumMod val="65000"/>
                  </a:schemeClr>
                </a:solidFill>
                <a:round/>
              </a:ln>
              <a:effectLst/>
            </c:spPr>
          </c:errBars>
          <c:val>
            <c:numRef>
              <c:f>Averages!$N$5:$N$20</c:f>
              <c:numCache>
                <c:formatCode>General</c:formatCode>
                <c:ptCount val="16"/>
                <c:pt idx="0">
                  <c:v>1026.25</c:v>
                </c:pt>
                <c:pt idx="1">
                  <c:v>862.75</c:v>
                </c:pt>
                <c:pt idx="2">
                  <c:v>882.75</c:v>
                </c:pt>
                <c:pt idx="3">
                  <c:v>831.75</c:v>
                </c:pt>
                <c:pt idx="4">
                  <c:v>888</c:v>
                </c:pt>
                <c:pt idx="5">
                  <c:v>923</c:v>
                </c:pt>
                <c:pt idx="6">
                  <c:v>568.5</c:v>
                </c:pt>
                <c:pt idx="7">
                  <c:v>1103</c:v>
                </c:pt>
                <c:pt idx="8">
                  <c:v>630</c:v>
                </c:pt>
                <c:pt idx="9">
                  <c:v>1193.75</c:v>
                </c:pt>
                <c:pt idx="10">
                  <c:v>939.5</c:v>
                </c:pt>
                <c:pt idx="11">
                  <c:v>1226.25</c:v>
                </c:pt>
                <c:pt idx="12">
                  <c:v>1289.5</c:v>
                </c:pt>
                <c:pt idx="13">
                  <c:v>1019</c:v>
                </c:pt>
                <c:pt idx="14">
                  <c:v>2558</c:v>
                </c:pt>
                <c:pt idx="15">
                  <c:v>961.25</c:v>
                </c:pt>
              </c:numCache>
            </c:numRef>
          </c:val>
          <c:extLst>
            <c:ext xmlns:c16="http://schemas.microsoft.com/office/drawing/2014/chart" uri="{C3380CC4-5D6E-409C-BE32-E72D297353CC}">
              <c16:uniqueId val="{0000000B-B386-45C4-969F-5D39E2B0B3C0}"/>
            </c:ext>
          </c:extLst>
        </c:ser>
        <c:ser>
          <c:idx val="12"/>
          <c:order val="12"/>
          <c:tx>
            <c:strRef>
              <c:f>Averages!$O$4</c:f>
              <c:strCache>
                <c:ptCount val="1"/>
                <c:pt idx="0">
                  <c:v>MALHAM</c:v>
                </c:pt>
              </c:strCache>
            </c:strRef>
          </c:tx>
          <c:spPr>
            <a:solidFill>
              <a:schemeClr val="accent6">
                <a:tint val="63000"/>
              </a:schemeClr>
            </a:solidFill>
            <a:ln>
              <a:noFill/>
            </a:ln>
            <a:effectLst/>
          </c:spPr>
          <c:invertIfNegative val="0"/>
          <c:errBars>
            <c:errBarType val="both"/>
            <c:errValType val="cust"/>
            <c:noEndCap val="0"/>
            <c:plus>
              <c:numRef>
                <c:f>Averages!$O$44:$O$59</c:f>
                <c:numCache>
                  <c:formatCode>General</c:formatCode>
                  <c:ptCount val="16"/>
                  <c:pt idx="0">
                    <c:v>28.962619586862882</c:v>
                  </c:pt>
                  <c:pt idx="1">
                    <c:v>21.10045418152573</c:v>
                  </c:pt>
                  <c:pt idx="2">
                    <c:v>8.7273516410573642</c:v>
                  </c:pt>
                  <c:pt idx="3">
                    <c:v>17.949001829256876</c:v>
                  </c:pt>
                  <c:pt idx="4">
                    <c:v>15.101738310538956</c:v>
                  </c:pt>
                  <c:pt idx="5">
                    <c:v>11.243516650348621</c:v>
                  </c:pt>
                  <c:pt idx="6">
                    <c:v>18.305281569354058</c:v>
                  </c:pt>
                  <c:pt idx="7">
                    <c:v>12.002603884157804</c:v>
                  </c:pt>
                  <c:pt idx="8">
                    <c:v>16.45891349188437</c:v>
                  </c:pt>
                  <c:pt idx="9">
                    <c:v>24.792471975716069</c:v>
                  </c:pt>
                  <c:pt idx="10">
                    <c:v>23.196174253527239</c:v>
                  </c:pt>
                  <c:pt idx="11">
                    <c:v>23.665639649077733</c:v>
                  </c:pt>
                  <c:pt idx="12">
                    <c:v>42.865098467945536</c:v>
                  </c:pt>
                  <c:pt idx="13">
                    <c:v>19.701945758393173</c:v>
                  </c:pt>
                  <c:pt idx="14">
                    <c:v>33.522380583723468</c:v>
                  </c:pt>
                  <c:pt idx="15">
                    <c:v>64.787312286691858</c:v>
                  </c:pt>
                </c:numCache>
              </c:numRef>
            </c:plus>
            <c:minus>
              <c:numRef>
                <c:f>Averages!$O$44:$O$59</c:f>
                <c:numCache>
                  <c:formatCode>General</c:formatCode>
                  <c:ptCount val="16"/>
                  <c:pt idx="0">
                    <c:v>28.962619586862882</c:v>
                  </c:pt>
                  <c:pt idx="1">
                    <c:v>21.10045418152573</c:v>
                  </c:pt>
                  <c:pt idx="2">
                    <c:v>8.7273516410573642</c:v>
                  </c:pt>
                  <c:pt idx="3">
                    <c:v>17.949001829256876</c:v>
                  </c:pt>
                  <c:pt idx="4">
                    <c:v>15.101738310538956</c:v>
                  </c:pt>
                  <c:pt idx="5">
                    <c:v>11.243516650348621</c:v>
                  </c:pt>
                  <c:pt idx="6">
                    <c:v>18.305281569354058</c:v>
                  </c:pt>
                  <c:pt idx="7">
                    <c:v>12.002603884157804</c:v>
                  </c:pt>
                  <c:pt idx="8">
                    <c:v>16.45891349188437</c:v>
                  </c:pt>
                  <c:pt idx="9">
                    <c:v>24.792471975716069</c:v>
                  </c:pt>
                  <c:pt idx="10">
                    <c:v>23.196174253527239</c:v>
                  </c:pt>
                  <c:pt idx="11">
                    <c:v>23.665639649077733</c:v>
                  </c:pt>
                  <c:pt idx="12">
                    <c:v>42.865098467945536</c:v>
                  </c:pt>
                  <c:pt idx="13">
                    <c:v>19.701945758393173</c:v>
                  </c:pt>
                  <c:pt idx="14">
                    <c:v>33.522380583723468</c:v>
                  </c:pt>
                  <c:pt idx="15">
                    <c:v>64.787312286691858</c:v>
                  </c:pt>
                </c:numCache>
              </c:numRef>
            </c:minus>
            <c:spPr>
              <a:noFill/>
              <a:ln w="12700" cap="flat" cmpd="sng" algn="ctr">
                <a:solidFill>
                  <a:schemeClr val="bg1">
                    <a:lumMod val="65000"/>
                  </a:schemeClr>
                </a:solidFill>
                <a:round/>
              </a:ln>
              <a:effectLst/>
            </c:spPr>
          </c:errBars>
          <c:val>
            <c:numRef>
              <c:f>Averages!$O$5:$O$20</c:f>
              <c:numCache>
                <c:formatCode>General</c:formatCode>
                <c:ptCount val="16"/>
                <c:pt idx="0">
                  <c:v>1200</c:v>
                </c:pt>
                <c:pt idx="1">
                  <c:v>1002.25</c:v>
                </c:pt>
                <c:pt idx="2">
                  <c:v>969</c:v>
                </c:pt>
                <c:pt idx="3">
                  <c:v>905</c:v>
                </c:pt>
                <c:pt idx="4">
                  <c:v>880.75</c:v>
                </c:pt>
                <c:pt idx="5">
                  <c:v>1002.5</c:v>
                </c:pt>
                <c:pt idx="6">
                  <c:v>568.5</c:v>
                </c:pt>
                <c:pt idx="7">
                  <c:v>803.75</c:v>
                </c:pt>
                <c:pt idx="8">
                  <c:v>555.25</c:v>
                </c:pt>
                <c:pt idx="9">
                  <c:v>1337</c:v>
                </c:pt>
                <c:pt idx="10">
                  <c:v>886.25</c:v>
                </c:pt>
                <c:pt idx="11">
                  <c:v>1288.25</c:v>
                </c:pt>
                <c:pt idx="12">
                  <c:v>883.5</c:v>
                </c:pt>
                <c:pt idx="13">
                  <c:v>744</c:v>
                </c:pt>
                <c:pt idx="14">
                  <c:v>2194.5</c:v>
                </c:pt>
                <c:pt idx="15">
                  <c:v>1047.25</c:v>
                </c:pt>
              </c:numCache>
            </c:numRef>
          </c:val>
          <c:extLst>
            <c:ext xmlns:c16="http://schemas.microsoft.com/office/drawing/2014/chart" uri="{C3380CC4-5D6E-409C-BE32-E72D297353CC}">
              <c16:uniqueId val="{0000000C-B386-45C4-969F-5D39E2B0B3C0}"/>
            </c:ext>
          </c:extLst>
        </c:ser>
        <c:ser>
          <c:idx val="13"/>
          <c:order val="13"/>
          <c:tx>
            <c:strRef>
              <c:f>Averages!$P$4</c:f>
              <c:strCache>
                <c:ptCount val="1"/>
                <c:pt idx="0">
                  <c:v>BIGGIN</c:v>
                </c:pt>
              </c:strCache>
            </c:strRef>
          </c:tx>
          <c:spPr>
            <a:solidFill>
              <a:schemeClr val="accent6">
                <a:tint val="55000"/>
              </a:schemeClr>
            </a:solidFill>
            <a:ln>
              <a:noFill/>
            </a:ln>
            <a:effectLst/>
          </c:spPr>
          <c:invertIfNegative val="0"/>
          <c:errBars>
            <c:errBarType val="both"/>
            <c:errValType val="cust"/>
            <c:noEndCap val="0"/>
            <c:plus>
              <c:numRef>
                <c:f>Averages!$P$44:$P$59</c:f>
                <c:numCache>
                  <c:formatCode>General</c:formatCode>
                  <c:ptCount val="16"/>
                  <c:pt idx="0">
                    <c:v>17.893201688537093</c:v>
                  </c:pt>
                  <c:pt idx="1">
                    <c:v>13.719663504134008</c:v>
                  </c:pt>
                  <c:pt idx="2">
                    <c:v>18.925291719460144</c:v>
                  </c:pt>
                  <c:pt idx="3">
                    <c:v>7.6648548583779457</c:v>
                  </c:pt>
                  <c:pt idx="4">
                    <c:v>6.587551391323891</c:v>
                  </c:pt>
                  <c:pt idx="5">
                    <c:v>7.5608641481425032</c:v>
                  </c:pt>
                  <c:pt idx="6">
                    <c:v>16.700174649785353</c:v>
                  </c:pt>
                  <c:pt idx="7">
                    <c:v>10.780963160435466</c:v>
                  </c:pt>
                  <c:pt idx="8">
                    <c:v>14.183323540928855</c:v>
                  </c:pt>
                  <c:pt idx="9">
                    <c:v>52.237239271104926</c:v>
                  </c:pt>
                  <c:pt idx="10">
                    <c:v>17.782833482509663</c:v>
                  </c:pt>
                  <c:pt idx="11">
                    <c:v>14.585952145814822</c:v>
                  </c:pt>
                  <c:pt idx="12">
                    <c:v>25.753236042615434</c:v>
                  </c:pt>
                  <c:pt idx="13">
                    <c:v>20.291623887703025</c:v>
                  </c:pt>
                  <c:pt idx="14">
                    <c:v>61.894231018192102</c:v>
                  </c:pt>
                  <c:pt idx="15">
                    <c:v>100.88473207907461</c:v>
                  </c:pt>
                </c:numCache>
              </c:numRef>
            </c:plus>
            <c:minus>
              <c:numRef>
                <c:f>Averages!$P$44:$P$59</c:f>
                <c:numCache>
                  <c:formatCode>General</c:formatCode>
                  <c:ptCount val="16"/>
                  <c:pt idx="0">
                    <c:v>17.893201688537093</c:v>
                  </c:pt>
                  <c:pt idx="1">
                    <c:v>13.719663504134008</c:v>
                  </c:pt>
                  <c:pt idx="2">
                    <c:v>18.925291719460144</c:v>
                  </c:pt>
                  <c:pt idx="3">
                    <c:v>7.6648548583779457</c:v>
                  </c:pt>
                  <c:pt idx="4">
                    <c:v>6.587551391323891</c:v>
                  </c:pt>
                  <c:pt idx="5">
                    <c:v>7.5608641481425032</c:v>
                  </c:pt>
                  <c:pt idx="6">
                    <c:v>16.700174649785353</c:v>
                  </c:pt>
                  <c:pt idx="7">
                    <c:v>10.780963160435466</c:v>
                  </c:pt>
                  <c:pt idx="8">
                    <c:v>14.183323540928855</c:v>
                  </c:pt>
                  <c:pt idx="9">
                    <c:v>52.237239271104926</c:v>
                  </c:pt>
                  <c:pt idx="10">
                    <c:v>17.782833482509663</c:v>
                  </c:pt>
                  <c:pt idx="11">
                    <c:v>14.585952145814822</c:v>
                  </c:pt>
                  <c:pt idx="12">
                    <c:v>25.753236042615434</c:v>
                  </c:pt>
                  <c:pt idx="13">
                    <c:v>20.291623887703025</c:v>
                  </c:pt>
                  <c:pt idx="14">
                    <c:v>61.894231018192102</c:v>
                  </c:pt>
                  <c:pt idx="15">
                    <c:v>100.88473207907461</c:v>
                  </c:pt>
                </c:numCache>
              </c:numRef>
            </c:minus>
            <c:spPr>
              <a:noFill/>
              <a:ln w="12700" cap="flat" cmpd="sng" algn="ctr">
                <a:solidFill>
                  <a:schemeClr val="bg1">
                    <a:lumMod val="65000"/>
                  </a:schemeClr>
                </a:solidFill>
                <a:round/>
              </a:ln>
              <a:effectLst/>
            </c:spPr>
          </c:errBars>
          <c:val>
            <c:numRef>
              <c:f>Averages!$P$5:$P$20</c:f>
              <c:numCache>
                <c:formatCode>General</c:formatCode>
                <c:ptCount val="16"/>
                <c:pt idx="0">
                  <c:v>1124</c:v>
                </c:pt>
                <c:pt idx="1">
                  <c:v>894.25</c:v>
                </c:pt>
                <c:pt idx="2">
                  <c:v>929</c:v>
                </c:pt>
                <c:pt idx="3">
                  <c:v>885.5</c:v>
                </c:pt>
                <c:pt idx="4">
                  <c:v>827.75</c:v>
                </c:pt>
                <c:pt idx="5">
                  <c:v>988</c:v>
                </c:pt>
                <c:pt idx="6">
                  <c:v>548.75</c:v>
                </c:pt>
                <c:pt idx="7">
                  <c:v>754.75</c:v>
                </c:pt>
                <c:pt idx="8">
                  <c:v>519</c:v>
                </c:pt>
                <c:pt idx="9">
                  <c:v>1492.25</c:v>
                </c:pt>
                <c:pt idx="10">
                  <c:v>833.25</c:v>
                </c:pt>
                <c:pt idx="11">
                  <c:v>1265.5</c:v>
                </c:pt>
                <c:pt idx="12">
                  <c:v>846.25</c:v>
                </c:pt>
                <c:pt idx="13">
                  <c:v>711.5</c:v>
                </c:pt>
                <c:pt idx="14">
                  <c:v>2450.25</c:v>
                </c:pt>
                <c:pt idx="15">
                  <c:v>1161.25</c:v>
                </c:pt>
              </c:numCache>
            </c:numRef>
          </c:val>
          <c:extLst>
            <c:ext xmlns:c16="http://schemas.microsoft.com/office/drawing/2014/chart" uri="{C3380CC4-5D6E-409C-BE32-E72D297353CC}">
              <c16:uniqueId val="{0000000D-B386-45C4-969F-5D39E2B0B3C0}"/>
            </c:ext>
          </c:extLst>
        </c:ser>
        <c:ser>
          <c:idx val="14"/>
          <c:order val="14"/>
          <c:tx>
            <c:strRef>
              <c:f>Averages!$Q$4</c:f>
              <c:strCache>
                <c:ptCount val="1"/>
                <c:pt idx="0">
                  <c:v>DSRLB2</c:v>
                </c:pt>
              </c:strCache>
            </c:strRef>
          </c:tx>
          <c:spPr>
            <a:solidFill>
              <a:schemeClr val="accent6">
                <a:tint val="47000"/>
              </a:schemeClr>
            </a:solidFill>
            <a:ln>
              <a:noFill/>
            </a:ln>
            <a:effectLst/>
          </c:spPr>
          <c:invertIfNegative val="0"/>
          <c:errBars>
            <c:errBarType val="both"/>
            <c:errValType val="cust"/>
            <c:noEndCap val="0"/>
            <c:plus>
              <c:numRef>
                <c:f>Averages!$Q$44:$Q$59</c:f>
                <c:numCache>
                  <c:formatCode>General</c:formatCode>
                  <c:ptCount val="16"/>
                  <c:pt idx="0">
                    <c:v>32.718496297965771</c:v>
                  </c:pt>
                  <c:pt idx="1">
                    <c:v>30.870698080866262</c:v>
                  </c:pt>
                  <c:pt idx="2">
                    <c:v>31.332890067786597</c:v>
                  </c:pt>
                  <c:pt idx="3">
                    <c:v>29.962476533157268</c:v>
                  </c:pt>
                  <c:pt idx="4">
                    <c:v>29.782545223670862</c:v>
                  </c:pt>
                  <c:pt idx="5">
                    <c:v>31.47220996371243</c:v>
                  </c:pt>
                  <c:pt idx="6">
                    <c:v>23.801260470823809</c:v>
                  </c:pt>
                  <c:pt idx="7">
                    <c:v>28.827070610799147</c:v>
                  </c:pt>
                  <c:pt idx="8">
                    <c:v>22.978250586152114</c:v>
                  </c:pt>
                  <c:pt idx="9">
                    <c:v>41.188590653237945</c:v>
                  </c:pt>
                  <c:pt idx="10">
                    <c:v>29.38962401937119</c:v>
                  </c:pt>
                  <c:pt idx="11">
                    <c:v>33.760183648789592</c:v>
                  </c:pt>
                  <c:pt idx="12">
                    <c:v>29.555033412263299</c:v>
                  </c:pt>
                  <c:pt idx="13">
                    <c:v>30.298514815086232</c:v>
                  </c:pt>
                  <c:pt idx="14">
                    <c:v>41.871828238088675</c:v>
                  </c:pt>
                  <c:pt idx="15">
                    <c:v>52.886671288709408</c:v>
                  </c:pt>
                </c:numCache>
              </c:numRef>
            </c:plus>
            <c:minus>
              <c:numRef>
                <c:f>Averages!$Q$44:$Q$59</c:f>
                <c:numCache>
                  <c:formatCode>General</c:formatCode>
                  <c:ptCount val="16"/>
                  <c:pt idx="0">
                    <c:v>32.718496297965771</c:v>
                  </c:pt>
                  <c:pt idx="1">
                    <c:v>30.870698080866262</c:v>
                  </c:pt>
                  <c:pt idx="2">
                    <c:v>31.332890067786597</c:v>
                  </c:pt>
                  <c:pt idx="3">
                    <c:v>29.962476533157268</c:v>
                  </c:pt>
                  <c:pt idx="4">
                    <c:v>29.782545223670862</c:v>
                  </c:pt>
                  <c:pt idx="5">
                    <c:v>31.47220996371243</c:v>
                  </c:pt>
                  <c:pt idx="6">
                    <c:v>23.801260470823809</c:v>
                  </c:pt>
                  <c:pt idx="7">
                    <c:v>28.827070610799147</c:v>
                  </c:pt>
                  <c:pt idx="8">
                    <c:v>22.978250586152114</c:v>
                  </c:pt>
                  <c:pt idx="9">
                    <c:v>41.188590653237945</c:v>
                  </c:pt>
                  <c:pt idx="10">
                    <c:v>29.38962401937119</c:v>
                  </c:pt>
                  <c:pt idx="11">
                    <c:v>33.760183648789592</c:v>
                  </c:pt>
                  <c:pt idx="12">
                    <c:v>29.555033412263299</c:v>
                  </c:pt>
                  <c:pt idx="13">
                    <c:v>30.298514815086232</c:v>
                  </c:pt>
                  <c:pt idx="14">
                    <c:v>41.871828238088675</c:v>
                  </c:pt>
                  <c:pt idx="15">
                    <c:v>52.886671288709408</c:v>
                  </c:pt>
                </c:numCache>
              </c:numRef>
            </c:minus>
            <c:spPr>
              <a:noFill/>
              <a:ln w="12700" cap="flat" cmpd="sng" algn="ctr">
                <a:solidFill>
                  <a:schemeClr val="bg1">
                    <a:lumMod val="65000"/>
                  </a:schemeClr>
                </a:solidFill>
                <a:round/>
              </a:ln>
              <a:effectLst/>
            </c:spPr>
          </c:errBars>
          <c:val>
            <c:numRef>
              <c:f>Averages!$Q$5:$Q$20</c:f>
              <c:numCache>
                <c:formatCode>General</c:formatCode>
                <c:ptCount val="16"/>
                <c:pt idx="0">
                  <c:v>1070.5</c:v>
                </c:pt>
                <c:pt idx="1">
                  <c:v>953</c:v>
                </c:pt>
                <c:pt idx="2">
                  <c:v>981.75</c:v>
                </c:pt>
                <c:pt idx="3">
                  <c:v>897.75</c:v>
                </c:pt>
                <c:pt idx="4">
                  <c:v>887</c:v>
                </c:pt>
                <c:pt idx="5">
                  <c:v>990.5</c:v>
                </c:pt>
                <c:pt idx="6">
                  <c:v>566.5</c:v>
                </c:pt>
                <c:pt idx="7">
                  <c:v>831</c:v>
                </c:pt>
                <c:pt idx="8">
                  <c:v>528</c:v>
                </c:pt>
                <c:pt idx="9">
                  <c:v>1696.5</c:v>
                </c:pt>
                <c:pt idx="10">
                  <c:v>863.75</c:v>
                </c:pt>
                <c:pt idx="11">
                  <c:v>1139.75</c:v>
                </c:pt>
                <c:pt idx="12">
                  <c:v>873.5</c:v>
                </c:pt>
                <c:pt idx="13">
                  <c:v>918</c:v>
                </c:pt>
                <c:pt idx="14">
                  <c:v>1753.25</c:v>
                </c:pt>
                <c:pt idx="15">
                  <c:v>2797</c:v>
                </c:pt>
              </c:numCache>
            </c:numRef>
          </c:val>
          <c:extLst>
            <c:ext xmlns:c16="http://schemas.microsoft.com/office/drawing/2014/chart" uri="{C3380CC4-5D6E-409C-BE32-E72D297353CC}">
              <c16:uniqueId val="{0000000E-B386-45C4-969F-5D39E2B0B3C0}"/>
            </c:ext>
          </c:extLst>
        </c:ser>
        <c:ser>
          <c:idx val="15"/>
          <c:order val="15"/>
          <c:tx>
            <c:strRef>
              <c:f>Averages!$R$4</c:f>
              <c:strCache>
                <c:ptCount val="1"/>
                <c:pt idx="0">
                  <c:v>DSRLB2SPIKE</c:v>
                </c:pt>
              </c:strCache>
            </c:strRef>
          </c:tx>
          <c:spPr>
            <a:solidFill>
              <a:schemeClr val="accent6">
                <a:tint val="39000"/>
              </a:schemeClr>
            </a:solidFill>
            <a:ln>
              <a:noFill/>
            </a:ln>
            <a:effectLst/>
          </c:spPr>
          <c:invertIfNegative val="0"/>
          <c:errBars>
            <c:errBarType val="both"/>
            <c:errValType val="cust"/>
            <c:noEndCap val="0"/>
            <c:plus>
              <c:numRef>
                <c:f>Averages!$R$44:$R$59</c:f>
                <c:numCache>
                  <c:formatCode>General</c:formatCode>
                  <c:ptCount val="16"/>
                  <c:pt idx="0">
                    <c:v>33.369147426927171</c:v>
                  </c:pt>
                  <c:pt idx="1">
                    <c:v>30.215889859476256</c:v>
                  </c:pt>
                  <c:pt idx="2">
                    <c:v>30.854497241083024</c:v>
                  </c:pt>
                  <c:pt idx="3">
                    <c:v>29.359836511806396</c:v>
                  </c:pt>
                  <c:pt idx="4">
                    <c:v>28.809720581775867</c:v>
                  </c:pt>
                  <c:pt idx="5">
                    <c:v>29.841246622753548</c:v>
                  </c:pt>
                  <c:pt idx="6">
                    <c:v>23.065125189341593</c:v>
                  </c:pt>
                  <c:pt idx="7">
                    <c:v>29.129023327259016</c:v>
                  </c:pt>
                  <c:pt idx="8">
                    <c:v>26.23451924468981</c:v>
                  </c:pt>
                  <c:pt idx="9">
                    <c:v>48.381298039635105</c:v>
                  </c:pt>
                  <c:pt idx="10">
                    <c:v>28.186876378910807</c:v>
                  </c:pt>
                  <c:pt idx="11">
                    <c:v>36.052045711720716</c:v>
                  </c:pt>
                  <c:pt idx="12">
                    <c:v>29.107559155655768</c:v>
                  </c:pt>
                  <c:pt idx="13">
                    <c:v>29.423629959608995</c:v>
                  </c:pt>
                  <c:pt idx="14">
                    <c:v>48.391631507937404</c:v>
                  </c:pt>
                  <c:pt idx="15">
                    <c:v>45.798471590217943</c:v>
                  </c:pt>
                </c:numCache>
              </c:numRef>
            </c:plus>
            <c:minus>
              <c:numRef>
                <c:f>Averages!$R$44:$R$59</c:f>
                <c:numCache>
                  <c:formatCode>General</c:formatCode>
                  <c:ptCount val="16"/>
                  <c:pt idx="0">
                    <c:v>33.369147426927171</c:v>
                  </c:pt>
                  <c:pt idx="1">
                    <c:v>30.215889859476256</c:v>
                  </c:pt>
                  <c:pt idx="2">
                    <c:v>30.854497241083024</c:v>
                  </c:pt>
                  <c:pt idx="3">
                    <c:v>29.359836511806396</c:v>
                  </c:pt>
                  <c:pt idx="4">
                    <c:v>28.809720581775867</c:v>
                  </c:pt>
                  <c:pt idx="5">
                    <c:v>29.841246622753548</c:v>
                  </c:pt>
                  <c:pt idx="6">
                    <c:v>23.065125189341593</c:v>
                  </c:pt>
                  <c:pt idx="7">
                    <c:v>29.129023327259016</c:v>
                  </c:pt>
                  <c:pt idx="8">
                    <c:v>26.23451924468981</c:v>
                  </c:pt>
                  <c:pt idx="9">
                    <c:v>48.381298039635105</c:v>
                  </c:pt>
                  <c:pt idx="10">
                    <c:v>28.186876378910807</c:v>
                  </c:pt>
                  <c:pt idx="11">
                    <c:v>36.052045711720716</c:v>
                  </c:pt>
                  <c:pt idx="12">
                    <c:v>29.107559155655768</c:v>
                  </c:pt>
                  <c:pt idx="13">
                    <c:v>29.423629959608995</c:v>
                  </c:pt>
                  <c:pt idx="14">
                    <c:v>48.391631507937404</c:v>
                  </c:pt>
                  <c:pt idx="15">
                    <c:v>45.798471590217943</c:v>
                  </c:pt>
                </c:numCache>
              </c:numRef>
            </c:minus>
            <c:spPr>
              <a:noFill/>
              <a:ln w="12700" cap="flat" cmpd="sng" algn="ctr">
                <a:solidFill>
                  <a:schemeClr val="bg1">
                    <a:lumMod val="65000"/>
                  </a:schemeClr>
                </a:solidFill>
                <a:round/>
              </a:ln>
              <a:effectLst/>
            </c:spPr>
          </c:errBars>
          <c:val>
            <c:numRef>
              <c:f>Averages!$R$5:$R$20</c:f>
              <c:numCache>
                <c:formatCode>General</c:formatCode>
                <c:ptCount val="16"/>
                <c:pt idx="0">
                  <c:v>1113.5</c:v>
                </c:pt>
                <c:pt idx="1">
                  <c:v>913</c:v>
                </c:pt>
                <c:pt idx="2">
                  <c:v>952</c:v>
                </c:pt>
                <c:pt idx="3">
                  <c:v>862</c:v>
                </c:pt>
                <c:pt idx="4">
                  <c:v>830</c:v>
                </c:pt>
                <c:pt idx="5">
                  <c:v>890.5</c:v>
                </c:pt>
                <c:pt idx="6">
                  <c:v>532</c:v>
                </c:pt>
                <c:pt idx="7">
                  <c:v>848.5</c:v>
                </c:pt>
                <c:pt idx="8">
                  <c:v>688.25</c:v>
                </c:pt>
                <c:pt idx="9">
                  <c:v>2340.75</c:v>
                </c:pt>
                <c:pt idx="10">
                  <c:v>794.5</c:v>
                </c:pt>
                <c:pt idx="11">
                  <c:v>1299.75</c:v>
                </c:pt>
                <c:pt idx="12">
                  <c:v>847.25</c:v>
                </c:pt>
                <c:pt idx="13">
                  <c:v>865.75</c:v>
                </c:pt>
                <c:pt idx="14">
                  <c:v>2341.75</c:v>
                </c:pt>
                <c:pt idx="15">
                  <c:v>2097.5</c:v>
                </c:pt>
              </c:numCache>
            </c:numRef>
          </c:val>
          <c:extLst>
            <c:ext xmlns:c16="http://schemas.microsoft.com/office/drawing/2014/chart" uri="{C3380CC4-5D6E-409C-BE32-E72D297353CC}">
              <c16:uniqueId val="{0000000F-B386-45C4-969F-5D39E2B0B3C0}"/>
            </c:ext>
          </c:extLst>
        </c:ser>
        <c:dLbls>
          <c:showLegendKey val="0"/>
          <c:showVal val="0"/>
          <c:showCatName val="0"/>
          <c:showSerName val="0"/>
          <c:showPercent val="0"/>
          <c:showBubbleSize val="0"/>
        </c:dLbls>
        <c:gapWidth val="219"/>
        <c:overlap val="-27"/>
        <c:axId val="811358248"/>
        <c:axId val="811357264"/>
      </c:barChart>
      <c:catAx>
        <c:axId val="8113582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Detector Number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1357264"/>
        <c:crosses val="autoZero"/>
        <c:auto val="1"/>
        <c:lblAlgn val="ctr"/>
        <c:lblOffset val="100"/>
        <c:noMultiLvlLbl val="0"/>
      </c:catAx>
      <c:valAx>
        <c:axId val="811357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Neutron Counts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1358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6043971412987"/>
          <c:y val="5.444770103853705E-2"/>
          <c:w val="0.80884008615264125"/>
          <c:h val="0.72464798956825205"/>
        </c:manualLayout>
      </c:layout>
      <c:barChart>
        <c:barDir val="col"/>
        <c:grouping val="clustered"/>
        <c:varyColors val="0"/>
        <c:ser>
          <c:idx val="0"/>
          <c:order val="0"/>
          <c:spPr>
            <a:solidFill>
              <a:schemeClr val="tx1"/>
            </a:solidFill>
            <a:ln>
              <a:noFill/>
            </a:ln>
            <a:effectLst/>
          </c:spPr>
          <c:invertIfNegative val="0"/>
          <c:dPt>
            <c:idx val="9"/>
            <c:invertIfNegative val="0"/>
            <c:bubble3D val="0"/>
            <c:spPr>
              <a:pattFill prst="wdDnDiag">
                <a:fgClr>
                  <a:srgbClr val="FF0000"/>
                </a:fgClr>
                <a:bgClr>
                  <a:schemeClr val="bg1"/>
                </a:bgClr>
              </a:pattFill>
              <a:ln>
                <a:solidFill>
                  <a:schemeClr val="tx1"/>
                </a:solidFill>
              </a:ln>
              <a:effectLst/>
            </c:spPr>
            <c:extLst>
              <c:ext xmlns:c16="http://schemas.microsoft.com/office/drawing/2014/chart" uri="{C3380CC4-5D6E-409C-BE32-E72D297353CC}">
                <c16:uniqueId val="{00000001-8D78-4A2E-B5FA-5BA4F3CF0A73}"/>
              </c:ext>
            </c:extLst>
          </c:dPt>
          <c:dPt>
            <c:idx val="11"/>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3-8D78-4A2E-B5FA-5BA4F3CF0A73}"/>
              </c:ext>
            </c:extLst>
          </c:dPt>
          <c:errBars>
            <c:errBarType val="both"/>
            <c:errValType val="cust"/>
            <c:noEndCap val="0"/>
            <c:plus>
              <c:numRef>
                <c:f>AMS!$G$67:$G$78</c:f>
                <c:numCache>
                  <c:formatCode>General</c:formatCode>
                  <c:ptCount val="12"/>
                  <c:pt idx="0">
                    <c:v>14373.714780600707</c:v>
                  </c:pt>
                  <c:pt idx="1">
                    <c:v>17670.29555226328</c:v>
                  </c:pt>
                  <c:pt idx="2">
                    <c:v>13420.283379679631</c:v>
                  </c:pt>
                  <c:pt idx="3">
                    <c:v>8699.493701815989</c:v>
                  </c:pt>
                  <c:pt idx="4">
                    <c:v>16821.221918630086</c:v>
                  </c:pt>
                  <c:pt idx="5">
                    <c:v>27301.098137995457</c:v>
                  </c:pt>
                  <c:pt idx="6">
                    <c:v>10243.883929659352</c:v>
                  </c:pt>
                  <c:pt idx="7">
                    <c:v>23098.267244050203</c:v>
                  </c:pt>
                  <c:pt idx="8">
                    <c:v>11620.558584367023</c:v>
                  </c:pt>
                  <c:pt idx="9">
                    <c:v>13439.045936612687</c:v>
                  </c:pt>
                  <c:pt idx="10">
                    <c:v>144.45160659586065</c:v>
                  </c:pt>
                  <c:pt idx="11">
                    <c:v>11030.706904538627</c:v>
                  </c:pt>
                </c:numCache>
              </c:numRef>
            </c:plus>
            <c:minus>
              <c:numRef>
                <c:f>AMS!$G$67:$G$78</c:f>
                <c:numCache>
                  <c:formatCode>General</c:formatCode>
                  <c:ptCount val="12"/>
                  <c:pt idx="0">
                    <c:v>14373.714780600707</c:v>
                  </c:pt>
                  <c:pt idx="1">
                    <c:v>17670.29555226328</c:v>
                  </c:pt>
                  <c:pt idx="2">
                    <c:v>13420.283379679631</c:v>
                  </c:pt>
                  <c:pt idx="3">
                    <c:v>8699.493701815989</c:v>
                  </c:pt>
                  <c:pt idx="4">
                    <c:v>16821.221918630086</c:v>
                  </c:pt>
                  <c:pt idx="5">
                    <c:v>27301.098137995457</c:v>
                  </c:pt>
                  <c:pt idx="6">
                    <c:v>10243.883929659352</c:v>
                  </c:pt>
                  <c:pt idx="7">
                    <c:v>23098.267244050203</c:v>
                  </c:pt>
                  <c:pt idx="8">
                    <c:v>11620.558584367023</c:v>
                  </c:pt>
                  <c:pt idx="9">
                    <c:v>13439.045936612687</c:v>
                  </c:pt>
                  <c:pt idx="10">
                    <c:v>144.45160659586065</c:v>
                  </c:pt>
                  <c:pt idx="11">
                    <c:v>11030.706904538627</c:v>
                  </c:pt>
                </c:numCache>
              </c:numRef>
            </c:minus>
            <c:spPr>
              <a:noFill/>
              <a:ln w="19050" cap="flat" cmpd="sng" algn="ctr">
                <a:solidFill>
                  <a:schemeClr val="bg1">
                    <a:lumMod val="65000"/>
                  </a:schemeClr>
                </a:solidFill>
                <a:round/>
              </a:ln>
              <a:effectLst/>
            </c:spPr>
          </c:errBars>
          <c:cat>
            <c:strRef>
              <c:f>AMS!$C$67:$C$78</c:f>
              <c:strCache>
                <c:ptCount val="12"/>
                <c:pt idx="0">
                  <c:v>DSRL1S</c:v>
                </c:pt>
                <c:pt idx="1">
                  <c:v>DSRL2S</c:v>
                </c:pt>
                <c:pt idx="2">
                  <c:v>DSRL3S</c:v>
                </c:pt>
                <c:pt idx="3">
                  <c:v>DSRL4S</c:v>
                </c:pt>
                <c:pt idx="4">
                  <c:v>DSRL5S</c:v>
                </c:pt>
                <c:pt idx="5">
                  <c:v>DSRL6S</c:v>
                </c:pt>
                <c:pt idx="6">
                  <c:v>DSRL8S</c:v>
                </c:pt>
                <c:pt idx="7">
                  <c:v>DSRL9S</c:v>
                </c:pt>
                <c:pt idx="8">
                  <c:v>DSRL10S</c:v>
                </c:pt>
                <c:pt idx="9">
                  <c:v>DSRLB1S</c:v>
                </c:pt>
                <c:pt idx="10">
                  <c:v>MalhamS</c:v>
                </c:pt>
                <c:pt idx="11">
                  <c:v>BigginS</c:v>
                </c:pt>
              </c:strCache>
            </c:strRef>
          </c:cat>
          <c:val>
            <c:numRef>
              <c:f>AMS!$F$67:$F$78</c:f>
              <c:numCache>
                <c:formatCode>General</c:formatCode>
                <c:ptCount val="12"/>
                <c:pt idx="0">
                  <c:v>88119.14727663825</c:v>
                </c:pt>
                <c:pt idx="1">
                  <c:v>76536.737287523036</c:v>
                </c:pt>
                <c:pt idx="2">
                  <c:v>90981.942143332344</c:v>
                </c:pt>
                <c:pt idx="3">
                  <c:v>73903.358639121085</c:v>
                </c:pt>
                <c:pt idx="4">
                  <c:v>67855.808560808116</c:v>
                </c:pt>
                <c:pt idx="5">
                  <c:v>142646.68207250981</c:v>
                </c:pt>
                <c:pt idx="6">
                  <c:v>39911.415485541474</c:v>
                </c:pt>
                <c:pt idx="7">
                  <c:v>105792.63097653938</c:v>
                </c:pt>
                <c:pt idx="8">
                  <c:v>63464.703022723297</c:v>
                </c:pt>
                <c:pt idx="9">
                  <c:v>89218.836506590844</c:v>
                </c:pt>
                <c:pt idx="10">
                  <c:v>365.02813834281994</c:v>
                </c:pt>
                <c:pt idx="11">
                  <c:v>63200.593606624832</c:v>
                </c:pt>
              </c:numCache>
            </c:numRef>
          </c:val>
          <c:extLst>
            <c:ext xmlns:c16="http://schemas.microsoft.com/office/drawing/2014/chart" uri="{C3380CC4-5D6E-409C-BE32-E72D297353CC}">
              <c16:uniqueId val="{00000004-8D78-4A2E-B5FA-5BA4F3CF0A73}"/>
            </c:ext>
          </c:extLst>
        </c:ser>
        <c:dLbls>
          <c:showLegendKey val="0"/>
          <c:showVal val="0"/>
          <c:showCatName val="0"/>
          <c:showSerName val="0"/>
          <c:showPercent val="0"/>
          <c:showBubbleSize val="0"/>
        </c:dLbls>
        <c:gapWidth val="219"/>
        <c:overlap val="-27"/>
        <c:axId val="819502680"/>
        <c:axId val="819514488"/>
      </c:barChart>
      <c:catAx>
        <c:axId val="81950268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Sample</a:t>
                </a:r>
              </a:p>
            </c:rich>
          </c:tx>
          <c:layout>
            <c:manualLayout>
              <c:xMode val="edge"/>
              <c:yMode val="edge"/>
              <c:x val="0.49238079615048119"/>
              <c:y val="0.9203470399533392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19514488"/>
        <c:crosses val="autoZero"/>
        <c:auto val="1"/>
        <c:lblAlgn val="ctr"/>
        <c:lblOffset val="100"/>
        <c:noMultiLvlLbl val="0"/>
      </c:catAx>
      <c:valAx>
        <c:axId val="819514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U-236 (</a:t>
                </a:r>
                <a:r>
                  <a:rPr lang="en-US" sz="1200" b="0" i="0" u="none" strike="noStrike" baseline="0">
                    <a:effectLst/>
                  </a:rPr>
                  <a:t>fg/g)</a:t>
                </a:r>
                <a:endParaRPr lang="en-US" sz="1200">
                  <a:solidFill>
                    <a:sysClr val="windowText" lastClr="000000"/>
                  </a:solidFill>
                </a:endParaRPr>
              </a:p>
            </c:rich>
          </c:tx>
          <c:layout>
            <c:manualLayout>
              <c:xMode val="edge"/>
              <c:yMode val="edge"/>
              <c:x val="1.9444444444444445E-2"/>
              <c:y val="0.3386340769903761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19502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73301501154164"/>
          <c:y val="0.11605200512726607"/>
          <c:w val="0.85864614380829518"/>
          <c:h val="0.6719188008475685"/>
        </c:manualLayout>
      </c:layout>
      <c:barChart>
        <c:barDir val="col"/>
        <c:grouping val="clustered"/>
        <c:varyColors val="0"/>
        <c:ser>
          <c:idx val="0"/>
          <c:order val="0"/>
          <c:tx>
            <c:strRef>
              <c:f>Means!$V$8</c:f>
              <c:strCache>
                <c:ptCount val="1"/>
                <c:pt idx="0">
                  <c:v>Sample</c:v>
                </c:pt>
              </c:strCache>
            </c:strRef>
          </c:tx>
          <c:spPr>
            <a:solidFill>
              <a:schemeClr val="tx1"/>
            </a:solidFill>
            <a:ln>
              <a:noFill/>
            </a:ln>
            <a:effectLst/>
          </c:spPr>
          <c:invertIfNegative val="0"/>
          <c:errBars>
            <c:errBarType val="both"/>
            <c:errValType val="cust"/>
            <c:noEndCap val="0"/>
            <c:plus>
              <c:numRef>
                <c:f>Means!$AE$8:$AH$8</c:f>
                <c:numCache>
                  <c:formatCode>General</c:formatCode>
                  <c:ptCount val="4"/>
                  <c:pt idx="0">
                    <c:v>81.949698320204917</c:v>
                  </c:pt>
                  <c:pt idx="1">
                    <c:v>52.271791013213125</c:v>
                  </c:pt>
                  <c:pt idx="2">
                    <c:v>36.475615160308962</c:v>
                  </c:pt>
                  <c:pt idx="3">
                    <c:v>28.068156448037058</c:v>
                  </c:pt>
                </c:numCache>
              </c:numRef>
            </c:plus>
            <c:minus>
              <c:numRef>
                <c:f>Means!$AE$8:$AH$8</c:f>
                <c:numCache>
                  <c:formatCode>General</c:formatCode>
                  <c:ptCount val="4"/>
                  <c:pt idx="0">
                    <c:v>81.949698320204917</c:v>
                  </c:pt>
                  <c:pt idx="1">
                    <c:v>52.271791013213125</c:v>
                  </c:pt>
                  <c:pt idx="2">
                    <c:v>36.475615160308962</c:v>
                  </c:pt>
                  <c:pt idx="3">
                    <c:v>28.068156448037058</c:v>
                  </c:pt>
                </c:numCache>
              </c:numRef>
            </c:minus>
            <c:spPr>
              <a:noFill/>
              <a:ln w="19050" cap="flat" cmpd="sng" algn="ctr">
                <a:solidFill>
                  <a:schemeClr val="bg1">
                    <a:lumMod val="65000"/>
                  </a:schemeClr>
                </a:solidFill>
                <a:round/>
              </a:ln>
              <a:effectLst/>
            </c:spPr>
          </c:errBars>
          <c:cat>
            <c:strRef>
              <c:f>Means!$X$7:$AA$7</c:f>
              <c:strCache>
                <c:ptCount val="4"/>
                <c:pt idx="0">
                  <c:v>DSRL10</c:v>
                </c:pt>
                <c:pt idx="1">
                  <c:v>DSRL9</c:v>
                </c:pt>
                <c:pt idx="2">
                  <c:v>DSRL8</c:v>
                </c:pt>
                <c:pt idx="3">
                  <c:v>DSRL7</c:v>
                </c:pt>
              </c:strCache>
            </c:strRef>
          </c:cat>
          <c:val>
            <c:numRef>
              <c:f>Means!$X$8:$AA$8</c:f>
              <c:numCache>
                <c:formatCode>General</c:formatCode>
                <c:ptCount val="4"/>
                <c:pt idx="0">
                  <c:v>1386.908077994429</c:v>
                </c:pt>
                <c:pt idx="1">
                  <c:v>1180.7799442896935</c:v>
                </c:pt>
                <c:pt idx="2">
                  <c:v>1346.1102040816327</c:v>
                </c:pt>
                <c:pt idx="3">
                  <c:v>1188.4526120496043</c:v>
                </c:pt>
              </c:numCache>
            </c:numRef>
          </c:val>
          <c:extLst>
            <c:ext xmlns:c16="http://schemas.microsoft.com/office/drawing/2014/chart" uri="{C3380CC4-5D6E-409C-BE32-E72D297353CC}">
              <c16:uniqueId val="{00000000-D0A6-410C-A713-63D540793287}"/>
            </c:ext>
          </c:extLst>
        </c:ser>
        <c:ser>
          <c:idx val="1"/>
          <c:order val="1"/>
          <c:tx>
            <c:strRef>
              <c:f>Means!$V$9</c:f>
              <c:strCache>
                <c:ptCount val="1"/>
                <c:pt idx="0">
                  <c:v>Background</c:v>
                </c:pt>
              </c:strCache>
            </c:strRef>
          </c:tx>
          <c:spPr>
            <a:pattFill prst="dkHorz">
              <a:fgClr>
                <a:srgbClr val="FF0000"/>
              </a:fgClr>
              <a:bgClr>
                <a:schemeClr val="bg1"/>
              </a:bgClr>
            </a:pattFill>
            <a:ln>
              <a:solidFill>
                <a:schemeClr val="tx1"/>
              </a:solidFill>
            </a:ln>
            <a:effectLst/>
          </c:spPr>
          <c:invertIfNegative val="0"/>
          <c:errBars>
            <c:errBarType val="both"/>
            <c:errValType val="cust"/>
            <c:noEndCap val="0"/>
            <c:plus>
              <c:numRef>
                <c:f>Means!$AE$9:$AH$9</c:f>
                <c:numCache>
                  <c:formatCode>General</c:formatCode>
                  <c:ptCount val="4"/>
                  <c:pt idx="0">
                    <c:v>100.40268920701277</c:v>
                  </c:pt>
                  <c:pt idx="1">
                    <c:v>14.479640879524602</c:v>
                  </c:pt>
                  <c:pt idx="2">
                    <c:v>37.932835380445795</c:v>
                  </c:pt>
                  <c:pt idx="3">
                    <c:v>39.122116507162538</c:v>
                  </c:pt>
                </c:numCache>
              </c:numRef>
            </c:plus>
            <c:minus>
              <c:numRef>
                <c:f>Means!$AE$9:$AH$9</c:f>
                <c:numCache>
                  <c:formatCode>General</c:formatCode>
                  <c:ptCount val="4"/>
                  <c:pt idx="0">
                    <c:v>100.40268920701277</c:v>
                  </c:pt>
                  <c:pt idx="1">
                    <c:v>14.479640879524602</c:v>
                  </c:pt>
                  <c:pt idx="2">
                    <c:v>37.932835380445795</c:v>
                  </c:pt>
                  <c:pt idx="3">
                    <c:v>39.122116507162538</c:v>
                  </c:pt>
                </c:numCache>
              </c:numRef>
            </c:minus>
            <c:spPr>
              <a:noFill/>
              <a:ln w="19050" cap="flat" cmpd="sng" algn="ctr">
                <a:solidFill>
                  <a:schemeClr val="bg1">
                    <a:lumMod val="65000"/>
                  </a:schemeClr>
                </a:solidFill>
                <a:round/>
              </a:ln>
              <a:effectLst/>
            </c:spPr>
          </c:errBars>
          <c:cat>
            <c:strRef>
              <c:f>Means!$X$7:$AA$7</c:f>
              <c:strCache>
                <c:ptCount val="4"/>
                <c:pt idx="0">
                  <c:v>DSRL10</c:v>
                </c:pt>
                <c:pt idx="1">
                  <c:v>DSRL9</c:v>
                </c:pt>
                <c:pt idx="2">
                  <c:v>DSRL8</c:v>
                </c:pt>
                <c:pt idx="3">
                  <c:v>DSRL7</c:v>
                </c:pt>
              </c:strCache>
            </c:strRef>
          </c:cat>
          <c:val>
            <c:numRef>
              <c:f>Means!$X$9:$AA$9</c:f>
              <c:numCache>
                <c:formatCode>General</c:formatCode>
                <c:ptCount val="4"/>
                <c:pt idx="0">
                  <c:v>1411</c:v>
                </c:pt>
                <c:pt idx="1">
                  <c:v>1303.4000000000001</c:v>
                </c:pt>
                <c:pt idx="2">
                  <c:v>1419</c:v>
                </c:pt>
                <c:pt idx="3">
                  <c:v>1211</c:v>
                </c:pt>
              </c:numCache>
            </c:numRef>
          </c:val>
          <c:extLst>
            <c:ext xmlns:c16="http://schemas.microsoft.com/office/drawing/2014/chart" uri="{C3380CC4-5D6E-409C-BE32-E72D297353CC}">
              <c16:uniqueId val="{00000001-D0A6-410C-A713-63D540793287}"/>
            </c:ext>
          </c:extLst>
        </c:ser>
        <c:dLbls>
          <c:showLegendKey val="0"/>
          <c:showVal val="0"/>
          <c:showCatName val="0"/>
          <c:showSerName val="0"/>
          <c:showPercent val="0"/>
          <c:showBubbleSize val="0"/>
        </c:dLbls>
        <c:gapWidth val="219"/>
        <c:overlap val="-27"/>
        <c:axId val="581534160"/>
        <c:axId val="581523664"/>
      </c:barChart>
      <c:catAx>
        <c:axId val="58153416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Sample</a:t>
                </a:r>
              </a:p>
            </c:rich>
          </c:tx>
          <c:layout>
            <c:manualLayout>
              <c:xMode val="edge"/>
              <c:yMode val="edge"/>
              <c:x val="0.47789591272842308"/>
              <c:y val="0.8862069771642916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81523664"/>
        <c:crosses val="autoZero"/>
        <c:auto val="1"/>
        <c:lblAlgn val="ctr"/>
        <c:lblOffset val="100"/>
        <c:noMultiLvlLbl val="0"/>
      </c:catAx>
      <c:valAx>
        <c:axId val="581523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sz="1200">
                    <a:solidFill>
                      <a:sysClr val="windowText" lastClr="000000"/>
                    </a:solidFill>
                  </a:rPr>
                  <a:t>Neutron Counts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81534160"/>
        <c:crosses val="autoZero"/>
        <c:crossBetween val="between"/>
      </c:valAx>
      <c:spPr>
        <a:noFill/>
        <a:ln w="19050">
          <a:noFill/>
        </a:ln>
        <a:effectLst/>
      </c:spPr>
    </c:plotArea>
    <c:legend>
      <c:legendPos val="b"/>
      <c:layout>
        <c:manualLayout>
          <c:xMode val="edge"/>
          <c:yMode val="edge"/>
          <c:x val="0.66439906876047283"/>
          <c:y val="0.89271191303516206"/>
          <c:w val="0.31565633520186709"/>
          <c:h val="9.109375498103222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71134308410874"/>
          <c:y val="4.5672668109468774E-2"/>
          <c:w val="0.83191462633756197"/>
          <c:h val="0.84887047013860106"/>
        </c:manualLayout>
      </c:layout>
      <c:barChart>
        <c:barDir val="col"/>
        <c:grouping val="clustered"/>
        <c:varyColors val="0"/>
        <c:ser>
          <c:idx val="0"/>
          <c:order val="0"/>
          <c:tx>
            <c:strRef>
              <c:f>Averages!$B$69</c:f>
              <c:strCache>
                <c:ptCount val="1"/>
                <c:pt idx="0">
                  <c:v>N/ kg</c:v>
                </c:pt>
              </c:strCache>
            </c:strRef>
          </c:tx>
          <c:spPr>
            <a:solidFill>
              <a:schemeClr val="tx1"/>
            </a:solidFill>
            <a:ln>
              <a:noFill/>
            </a:ln>
            <a:effectLst/>
          </c:spPr>
          <c:invertIfNegative val="0"/>
          <c:dPt>
            <c:idx val="10"/>
            <c:invertIfNegative val="0"/>
            <c:bubble3D val="0"/>
            <c:spPr>
              <a:pattFill prst="wdDnDiag">
                <a:fgClr>
                  <a:srgbClr val="FF0000"/>
                </a:fgClr>
                <a:bgClr>
                  <a:schemeClr val="bg1"/>
                </a:bgClr>
              </a:pattFill>
              <a:ln>
                <a:solidFill>
                  <a:schemeClr val="tx1"/>
                </a:solidFill>
              </a:ln>
              <a:effectLst/>
            </c:spPr>
            <c:extLst>
              <c:ext xmlns:c16="http://schemas.microsoft.com/office/drawing/2014/chart" uri="{C3380CC4-5D6E-409C-BE32-E72D297353CC}">
                <c16:uniqueId val="{00000001-4049-4479-8410-87A785998548}"/>
              </c:ext>
            </c:extLst>
          </c:dPt>
          <c:dPt>
            <c:idx val="11"/>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3-4049-4479-8410-87A785998548}"/>
              </c:ext>
            </c:extLst>
          </c:dPt>
          <c:dPt>
            <c:idx val="12"/>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5-4049-4479-8410-87A785998548}"/>
              </c:ext>
            </c:extLst>
          </c:dPt>
          <c:errBars>
            <c:errBarType val="both"/>
            <c:errValType val="cust"/>
            <c:noEndCap val="0"/>
            <c:plus>
              <c:numRef>
                <c:f>Averages!$D$70:$P$70</c:f>
                <c:numCache>
                  <c:formatCode>General</c:formatCode>
                  <c:ptCount val="13"/>
                  <c:pt idx="0">
                    <c:v>921.59896745169783</c:v>
                  </c:pt>
                  <c:pt idx="1">
                    <c:v>765.9979420621263</c:v>
                  </c:pt>
                  <c:pt idx="2">
                    <c:v>1238.1683423975421</c:v>
                  </c:pt>
                  <c:pt idx="3">
                    <c:v>914.86287451266674</c:v>
                  </c:pt>
                  <c:pt idx="4">
                    <c:v>1198.1896277595749</c:v>
                  </c:pt>
                  <c:pt idx="5">
                    <c:v>1007.3805826597634</c:v>
                  </c:pt>
                  <c:pt idx="6">
                    <c:v>972.74839741130234</c:v>
                  </c:pt>
                  <c:pt idx="7">
                    <c:v>761.58400258650533</c:v>
                  </c:pt>
                  <c:pt idx="8">
                    <c:v>1208.543150661061</c:v>
                  </c:pt>
                  <c:pt idx="9">
                    <c:v>1065.7118189222049</c:v>
                  </c:pt>
                  <c:pt idx="10">
                    <c:v>803.42281935870392</c:v>
                  </c:pt>
                  <c:pt idx="11">
                    <c:v>1397.2614824125044</c:v>
                  </c:pt>
                  <c:pt idx="12">
                    <c:v>1110.9961190888309</c:v>
                  </c:pt>
                </c:numCache>
              </c:numRef>
            </c:plus>
            <c:minus>
              <c:numRef>
                <c:f>Averages!$D$70:$P$70</c:f>
                <c:numCache>
                  <c:formatCode>General</c:formatCode>
                  <c:ptCount val="13"/>
                  <c:pt idx="0">
                    <c:v>921.59896745169783</c:v>
                  </c:pt>
                  <c:pt idx="1">
                    <c:v>765.9979420621263</c:v>
                  </c:pt>
                  <c:pt idx="2">
                    <c:v>1238.1683423975421</c:v>
                  </c:pt>
                  <c:pt idx="3">
                    <c:v>914.86287451266674</c:v>
                  </c:pt>
                  <c:pt idx="4">
                    <c:v>1198.1896277595749</c:v>
                  </c:pt>
                  <c:pt idx="5">
                    <c:v>1007.3805826597634</c:v>
                  </c:pt>
                  <c:pt idx="6">
                    <c:v>972.74839741130234</c:v>
                  </c:pt>
                  <c:pt idx="7">
                    <c:v>761.58400258650533</c:v>
                  </c:pt>
                  <c:pt idx="8">
                    <c:v>1208.543150661061</c:v>
                  </c:pt>
                  <c:pt idx="9">
                    <c:v>1065.7118189222049</c:v>
                  </c:pt>
                  <c:pt idx="10">
                    <c:v>803.42281935870392</c:v>
                  </c:pt>
                  <c:pt idx="11">
                    <c:v>1397.2614824125044</c:v>
                  </c:pt>
                  <c:pt idx="12">
                    <c:v>1110.9961190888309</c:v>
                  </c:pt>
                </c:numCache>
              </c:numRef>
            </c:minus>
            <c:spPr>
              <a:noFill/>
              <a:ln w="19050" cap="flat" cmpd="sng" algn="ctr">
                <a:solidFill>
                  <a:schemeClr val="bg1">
                    <a:lumMod val="65000"/>
                  </a:schemeClr>
                </a:solidFill>
                <a:round/>
              </a:ln>
              <a:effectLst/>
            </c:spPr>
          </c:errBars>
          <c:cat>
            <c:strRef>
              <c:f>Averages!$D$43:$P$43</c:f>
              <c:strCache>
                <c:ptCount val="13"/>
                <c:pt idx="0">
                  <c:v>DSRL1</c:v>
                </c:pt>
                <c:pt idx="1">
                  <c:v>DSRL2</c:v>
                </c:pt>
                <c:pt idx="2">
                  <c:v>DSRL3</c:v>
                </c:pt>
                <c:pt idx="3">
                  <c:v>DSRL4</c:v>
                </c:pt>
                <c:pt idx="4">
                  <c:v>DSRL5</c:v>
                </c:pt>
                <c:pt idx="5">
                  <c:v>DSRL6</c:v>
                </c:pt>
                <c:pt idx="6">
                  <c:v>DSRL7</c:v>
                </c:pt>
                <c:pt idx="7">
                  <c:v>DSRL8</c:v>
                </c:pt>
                <c:pt idx="8">
                  <c:v>DSRL9</c:v>
                </c:pt>
                <c:pt idx="9">
                  <c:v>DSRL10</c:v>
                </c:pt>
                <c:pt idx="10">
                  <c:v>DSRLB1</c:v>
                </c:pt>
                <c:pt idx="11">
                  <c:v>MALHAM</c:v>
                </c:pt>
                <c:pt idx="12">
                  <c:v>BIGGIN</c:v>
                </c:pt>
              </c:strCache>
            </c:strRef>
          </c:cat>
          <c:val>
            <c:numRef>
              <c:f>Averages!$D$69:$P$69</c:f>
              <c:numCache>
                <c:formatCode>General</c:formatCode>
                <c:ptCount val="13"/>
                <c:pt idx="0">
                  <c:v>-2889.7916666666715</c:v>
                </c:pt>
                <c:pt idx="1">
                  <c:v>-3524.5915705656275</c:v>
                </c:pt>
                <c:pt idx="2">
                  <c:v>-7267.0905483405531</c:v>
                </c:pt>
                <c:pt idx="3">
                  <c:v>4259.5263532763493</c:v>
                </c:pt>
                <c:pt idx="4">
                  <c:v>5060.0755235152719</c:v>
                </c:pt>
                <c:pt idx="5">
                  <c:v>2080.0033300033256</c:v>
                </c:pt>
                <c:pt idx="6">
                  <c:v>942.40073406739589</c:v>
                </c:pt>
                <c:pt idx="7">
                  <c:v>653.92615704627804</c:v>
                </c:pt>
                <c:pt idx="8">
                  <c:v>8985.8348402652155</c:v>
                </c:pt>
                <c:pt idx="9">
                  <c:v>9435.8947515354521</c:v>
                </c:pt>
                <c:pt idx="10">
                  <c:v>2994.1025126971358</c:v>
                </c:pt>
                <c:pt idx="11">
                  <c:v>-309.79085392284981</c:v>
                </c:pt>
                <c:pt idx="12">
                  <c:v>-428.2407407407452</c:v>
                </c:pt>
              </c:numCache>
            </c:numRef>
          </c:val>
          <c:extLst>
            <c:ext xmlns:c16="http://schemas.microsoft.com/office/drawing/2014/chart" uri="{C3380CC4-5D6E-409C-BE32-E72D297353CC}">
              <c16:uniqueId val="{00000006-4049-4479-8410-87A785998548}"/>
            </c:ext>
          </c:extLst>
        </c:ser>
        <c:dLbls>
          <c:showLegendKey val="0"/>
          <c:showVal val="0"/>
          <c:showCatName val="0"/>
          <c:showSerName val="0"/>
          <c:showPercent val="0"/>
          <c:showBubbleSize val="0"/>
        </c:dLbls>
        <c:gapWidth val="219"/>
        <c:overlap val="-27"/>
        <c:axId val="567306104"/>
        <c:axId val="342749072"/>
      </c:barChart>
      <c:catAx>
        <c:axId val="56730610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Sample</a:t>
                </a:r>
              </a:p>
            </c:rich>
          </c:tx>
          <c:layout>
            <c:manualLayout>
              <c:xMode val="edge"/>
              <c:yMode val="edge"/>
              <c:x val="0.49034556203125534"/>
              <c:y val="0.9383110468113493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bg1">
                    <a:lumMod val="50000"/>
                  </a:schemeClr>
                </a:solidFill>
                <a:latin typeface="+mn-lt"/>
                <a:ea typeface="+mn-ea"/>
                <a:cs typeface="+mn-cs"/>
              </a:defRPr>
            </a:pPr>
            <a:endParaRPr lang="en-US"/>
          </a:p>
        </c:txPr>
        <c:crossAx val="342749072"/>
        <c:crosses val="autoZero"/>
        <c:auto val="1"/>
        <c:lblAlgn val="ctr"/>
        <c:lblOffset val="100"/>
        <c:noMultiLvlLbl val="0"/>
      </c:catAx>
      <c:valAx>
        <c:axId val="342749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Neutron Count per detector / kg</a:t>
                </a:r>
              </a:p>
            </c:rich>
          </c:tx>
          <c:layout>
            <c:manualLayout>
              <c:xMode val="edge"/>
              <c:yMode val="edge"/>
              <c:x val="1.2578011728148425E-2"/>
              <c:y val="9.4774293564181655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67306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05922697509034"/>
          <c:y val="3.9897968295836167E-2"/>
          <c:w val="0.83197098146910675"/>
          <c:h val="0.85721328595564283"/>
        </c:manualLayout>
      </c:layout>
      <c:barChart>
        <c:barDir val="col"/>
        <c:grouping val="clustered"/>
        <c:varyColors val="0"/>
        <c:ser>
          <c:idx val="0"/>
          <c:order val="0"/>
          <c:spPr>
            <a:solidFill>
              <a:schemeClr val="tx1"/>
            </a:solidFill>
            <a:ln>
              <a:noFill/>
            </a:ln>
            <a:effectLst/>
          </c:spPr>
          <c:invertIfNegative val="0"/>
          <c:dPt>
            <c:idx val="10"/>
            <c:invertIfNegative val="0"/>
            <c:bubble3D val="0"/>
            <c:spPr>
              <a:pattFill prst="wdDnDiag">
                <a:fgClr>
                  <a:srgbClr val="FF0000"/>
                </a:fgClr>
                <a:bgClr>
                  <a:schemeClr val="bg1"/>
                </a:bgClr>
              </a:pattFill>
              <a:ln>
                <a:solidFill>
                  <a:schemeClr val="tx1"/>
                </a:solidFill>
              </a:ln>
              <a:effectLst/>
            </c:spPr>
            <c:extLst>
              <c:ext xmlns:c16="http://schemas.microsoft.com/office/drawing/2014/chart" uri="{C3380CC4-5D6E-409C-BE32-E72D297353CC}">
                <c16:uniqueId val="{00000001-C37E-4C3D-AC85-DE06EA62B578}"/>
              </c:ext>
            </c:extLst>
          </c:dPt>
          <c:dPt>
            <c:idx val="11"/>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3-C37E-4C3D-AC85-DE06EA62B578}"/>
              </c:ext>
            </c:extLst>
          </c:dPt>
          <c:dPt>
            <c:idx val="12"/>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5-C37E-4C3D-AC85-DE06EA62B578}"/>
              </c:ext>
            </c:extLst>
          </c:dPt>
          <c:errBars>
            <c:errBarType val="both"/>
            <c:errValType val="cust"/>
            <c:noEndCap val="0"/>
            <c:plus>
              <c:numRef>
                <c:f>Averages!$D$82:$P$82</c:f>
                <c:numCache>
                  <c:formatCode>General</c:formatCode>
                  <c:ptCount val="13"/>
                  <c:pt idx="0">
                    <c:v>22678.675855121404</c:v>
                  </c:pt>
                  <c:pt idx="1">
                    <c:v>18591.7051649348</c:v>
                  </c:pt>
                  <c:pt idx="2">
                    <c:v>24177.425316395784</c:v>
                  </c:pt>
                  <c:pt idx="3">
                    <c:v>19805.412273077585</c:v>
                  </c:pt>
                  <c:pt idx="4">
                    <c:v>23917.488554858854</c:v>
                  </c:pt>
                  <c:pt idx="5">
                    <c:v>22999.308035423153</c:v>
                  </c:pt>
                  <c:pt idx="6">
                    <c:v>22936.919982550848</c:v>
                  </c:pt>
                  <c:pt idx="7">
                    <c:v>17866.906542465305</c:v>
                  </c:pt>
                  <c:pt idx="8">
                    <c:v>21101.6323699026</c:v>
                  </c:pt>
                  <c:pt idx="9">
                    <c:v>19825.312005175561</c:v>
                  </c:pt>
                  <c:pt idx="10">
                    <c:v>18627.474075673956</c:v>
                  </c:pt>
                  <c:pt idx="11">
                    <c:v>29738.131970246635</c:v>
                  </c:pt>
                  <c:pt idx="12">
                    <c:v>20992.411115809024</c:v>
                  </c:pt>
                </c:numCache>
              </c:numRef>
            </c:plus>
            <c:minus>
              <c:numRef>
                <c:f>Averages!$D$82:$P$82</c:f>
                <c:numCache>
                  <c:formatCode>General</c:formatCode>
                  <c:ptCount val="13"/>
                  <c:pt idx="0">
                    <c:v>22678.675855121404</c:v>
                  </c:pt>
                  <c:pt idx="1">
                    <c:v>18591.7051649348</c:v>
                  </c:pt>
                  <c:pt idx="2">
                    <c:v>24177.425316395784</c:v>
                  </c:pt>
                  <c:pt idx="3">
                    <c:v>19805.412273077585</c:v>
                  </c:pt>
                  <c:pt idx="4">
                    <c:v>23917.488554858854</c:v>
                  </c:pt>
                  <c:pt idx="5">
                    <c:v>22999.308035423153</c:v>
                  </c:pt>
                  <c:pt idx="6">
                    <c:v>22936.919982550848</c:v>
                  </c:pt>
                  <c:pt idx="7">
                    <c:v>17866.906542465305</c:v>
                  </c:pt>
                  <c:pt idx="8">
                    <c:v>21101.6323699026</c:v>
                  </c:pt>
                  <c:pt idx="9">
                    <c:v>19825.312005175561</c:v>
                  </c:pt>
                  <c:pt idx="10">
                    <c:v>18627.474075673956</c:v>
                  </c:pt>
                  <c:pt idx="11">
                    <c:v>29738.131970246635</c:v>
                  </c:pt>
                  <c:pt idx="12">
                    <c:v>20992.411115809024</c:v>
                  </c:pt>
                </c:numCache>
              </c:numRef>
            </c:minus>
            <c:spPr>
              <a:noFill/>
              <a:ln w="19050" cap="flat" cmpd="sng" algn="ctr">
                <a:solidFill>
                  <a:schemeClr val="bg1">
                    <a:lumMod val="65000"/>
                  </a:schemeClr>
                </a:solidFill>
                <a:round/>
              </a:ln>
              <a:effectLst/>
            </c:spPr>
          </c:errBars>
          <c:cat>
            <c:strRef>
              <c:f>Averages!$D$74:$P$74</c:f>
              <c:strCache>
                <c:ptCount val="13"/>
                <c:pt idx="0">
                  <c:v>DSRL1</c:v>
                </c:pt>
                <c:pt idx="1">
                  <c:v>DSRL2</c:v>
                </c:pt>
                <c:pt idx="2">
                  <c:v>DSRL3</c:v>
                </c:pt>
                <c:pt idx="3">
                  <c:v>DSRL4</c:v>
                </c:pt>
                <c:pt idx="4">
                  <c:v>DSRL5</c:v>
                </c:pt>
                <c:pt idx="5">
                  <c:v>DSRL6</c:v>
                </c:pt>
                <c:pt idx="6">
                  <c:v>DSRL7</c:v>
                </c:pt>
                <c:pt idx="7">
                  <c:v>DSRL8</c:v>
                </c:pt>
                <c:pt idx="8">
                  <c:v>DSRL9</c:v>
                </c:pt>
                <c:pt idx="9">
                  <c:v>DSRL10</c:v>
                </c:pt>
                <c:pt idx="10">
                  <c:v>DSRLB1</c:v>
                </c:pt>
                <c:pt idx="11">
                  <c:v>MALHAM</c:v>
                </c:pt>
                <c:pt idx="12">
                  <c:v>BIGGIN</c:v>
                </c:pt>
              </c:strCache>
            </c:strRef>
          </c:cat>
          <c:val>
            <c:numRef>
              <c:f>Averages!$D$81:$P$81</c:f>
              <c:numCache>
                <c:formatCode>General</c:formatCode>
                <c:ptCount val="13"/>
                <c:pt idx="0">
                  <c:v>-104122.1875</c:v>
                </c:pt>
                <c:pt idx="1">
                  <c:v>-112690.09987644151</c:v>
                </c:pt>
                <c:pt idx="2">
                  <c:v>-222710.70075757575</c:v>
                </c:pt>
                <c:pt idx="3">
                  <c:v>39979.033119658125</c:v>
                </c:pt>
                <c:pt idx="4">
                  <c:v>64593.202883625134</c:v>
                </c:pt>
                <c:pt idx="5">
                  <c:v>572.55244755244757</c:v>
                </c:pt>
                <c:pt idx="6">
                  <c:v>-32632.945445445446</c:v>
                </c:pt>
                <c:pt idx="7">
                  <c:v>-27480.499219968799</c:v>
                </c:pt>
                <c:pt idx="8">
                  <c:v>88851.717902350807</c:v>
                </c:pt>
                <c:pt idx="9">
                  <c:v>169712.88735343385</c:v>
                </c:pt>
                <c:pt idx="10">
                  <c:v>51433.816158781068</c:v>
                </c:pt>
                <c:pt idx="11">
                  <c:v>-60396.415799739923</c:v>
                </c:pt>
                <c:pt idx="12">
                  <c:v>-44857.237144168961</c:v>
                </c:pt>
              </c:numCache>
            </c:numRef>
          </c:val>
          <c:extLst>
            <c:ext xmlns:c16="http://schemas.microsoft.com/office/drawing/2014/chart" uri="{C3380CC4-5D6E-409C-BE32-E72D297353CC}">
              <c16:uniqueId val="{00000006-C37E-4C3D-AC85-DE06EA62B578}"/>
            </c:ext>
          </c:extLst>
        </c:ser>
        <c:dLbls>
          <c:showLegendKey val="0"/>
          <c:showVal val="0"/>
          <c:showCatName val="0"/>
          <c:showSerName val="0"/>
          <c:showPercent val="0"/>
          <c:showBubbleSize val="0"/>
        </c:dLbls>
        <c:gapWidth val="219"/>
        <c:overlap val="-27"/>
        <c:axId val="562461336"/>
        <c:axId val="659209056"/>
      </c:barChart>
      <c:catAx>
        <c:axId val="56246133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Sample</a:t>
                </a:r>
              </a:p>
            </c:rich>
          </c:tx>
          <c:layout>
            <c:manualLayout>
              <c:xMode val="edge"/>
              <c:yMode val="edge"/>
              <c:x val="0.52080846582075335"/>
              <c:y val="0.9058322564243798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bg1">
                    <a:lumMod val="50000"/>
                  </a:schemeClr>
                </a:solidFill>
                <a:latin typeface="+mn-lt"/>
                <a:ea typeface="+mn-ea"/>
                <a:cs typeface="+mn-cs"/>
              </a:defRPr>
            </a:pPr>
            <a:endParaRPr lang="en-US"/>
          </a:p>
        </c:txPr>
        <c:crossAx val="659209056"/>
        <c:crosses val="autoZero"/>
        <c:auto val="1"/>
        <c:lblAlgn val="ctr"/>
        <c:lblOffset val="100"/>
        <c:noMultiLvlLbl val="0"/>
      </c:catAx>
      <c:valAx>
        <c:axId val="65920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sz="1200">
                    <a:solidFill>
                      <a:sysClr val="windowText" lastClr="000000"/>
                    </a:solidFill>
                  </a:rPr>
                  <a:t>Neutron Count per Array / kg</a:t>
                </a:r>
              </a:p>
            </c:rich>
          </c:tx>
          <c:layout>
            <c:manualLayout>
              <c:xMode val="edge"/>
              <c:yMode val="edge"/>
              <c:x val="1.2754928456898794E-2"/>
              <c:y val="0.1180199774841925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62461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30119462410429"/>
          <c:y val="4.7448519117370351E-2"/>
          <c:w val="0.79297166017332255"/>
          <c:h val="0.78421050953078009"/>
        </c:manualLayout>
      </c:layout>
      <c:scatterChart>
        <c:scatterStyle val="lineMarker"/>
        <c:varyColors val="0"/>
        <c:ser>
          <c:idx val="0"/>
          <c:order val="0"/>
          <c:tx>
            <c:strRef>
              <c:f>Spike!$AJ$65:$AJ$66</c:f>
              <c:strCache>
                <c:ptCount val="2"/>
                <c:pt idx="0">
                  <c:v>N Count</c:v>
                </c:pt>
                <c:pt idx="1">
                  <c:v>Spike</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errBars>
            <c:errDir val="y"/>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xVal>
            <c:numRef>
              <c:f>Spike!$AI$67:$AI$72</c:f>
              <c:numCache>
                <c:formatCode>General</c:formatCode>
                <c:ptCount val="6"/>
                <c:pt idx="0">
                  <c:v>4</c:v>
                </c:pt>
                <c:pt idx="1">
                  <c:v>8</c:v>
                </c:pt>
                <c:pt idx="2">
                  <c:v>12</c:v>
                </c:pt>
                <c:pt idx="3">
                  <c:v>16</c:v>
                </c:pt>
                <c:pt idx="4">
                  <c:v>20</c:v>
                </c:pt>
                <c:pt idx="5">
                  <c:v>24</c:v>
                </c:pt>
              </c:numCache>
            </c:numRef>
          </c:xVal>
          <c:yVal>
            <c:numRef>
              <c:f>Spike!$AJ$67:$AJ$72</c:f>
              <c:numCache>
                <c:formatCode>0.00E+00</c:formatCode>
                <c:ptCount val="6"/>
                <c:pt idx="0">
                  <c:v>174009.375</c:v>
                </c:pt>
                <c:pt idx="1">
                  <c:v>349631.25</c:v>
                </c:pt>
                <c:pt idx="2">
                  <c:v>524334.375</c:v>
                </c:pt>
                <c:pt idx="3">
                  <c:v>701128.125</c:v>
                </c:pt>
                <c:pt idx="4">
                  <c:v>881287.5</c:v>
                </c:pt>
                <c:pt idx="5">
                  <c:v>1063275</c:v>
                </c:pt>
              </c:numCache>
            </c:numRef>
          </c:yVal>
          <c:smooth val="0"/>
          <c:extLst>
            <c:ext xmlns:c16="http://schemas.microsoft.com/office/drawing/2014/chart" uri="{C3380CC4-5D6E-409C-BE32-E72D297353CC}">
              <c16:uniqueId val="{00000001-EF7C-4DFC-9EB6-93BF7DCA2C64}"/>
            </c:ext>
          </c:extLst>
        </c:ser>
        <c:ser>
          <c:idx val="1"/>
          <c:order val="1"/>
          <c:tx>
            <c:strRef>
              <c:f>Spike!$AL$66</c:f>
              <c:strCache>
                <c:ptCount val="1"/>
                <c:pt idx="0">
                  <c:v>BG</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errBars>
            <c:errDir val="y"/>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xVal>
            <c:numRef>
              <c:f>Spike!$AI$67:$AI$72</c:f>
              <c:numCache>
                <c:formatCode>General</c:formatCode>
                <c:ptCount val="6"/>
                <c:pt idx="0">
                  <c:v>4</c:v>
                </c:pt>
                <c:pt idx="1">
                  <c:v>8</c:v>
                </c:pt>
                <c:pt idx="2">
                  <c:v>12</c:v>
                </c:pt>
                <c:pt idx="3">
                  <c:v>16</c:v>
                </c:pt>
                <c:pt idx="4">
                  <c:v>20</c:v>
                </c:pt>
                <c:pt idx="5">
                  <c:v>24</c:v>
                </c:pt>
              </c:numCache>
            </c:numRef>
          </c:xVal>
          <c:yVal>
            <c:numRef>
              <c:f>Spike!$AL$67:$AL$72</c:f>
              <c:numCache>
                <c:formatCode>0.00E+00</c:formatCode>
                <c:ptCount val="6"/>
                <c:pt idx="0">
                  <c:v>168112.5</c:v>
                </c:pt>
                <c:pt idx="1">
                  <c:v>336881.25</c:v>
                </c:pt>
                <c:pt idx="2">
                  <c:v>500971.875</c:v>
                </c:pt>
                <c:pt idx="3">
                  <c:v>665540.625</c:v>
                </c:pt>
                <c:pt idx="4">
                  <c:v>828468.75</c:v>
                </c:pt>
                <c:pt idx="5">
                  <c:v>988565.625</c:v>
                </c:pt>
              </c:numCache>
            </c:numRef>
          </c:yVal>
          <c:smooth val="0"/>
          <c:extLst>
            <c:ext xmlns:c16="http://schemas.microsoft.com/office/drawing/2014/chart" uri="{C3380CC4-5D6E-409C-BE32-E72D297353CC}">
              <c16:uniqueId val="{00000003-EF7C-4DFC-9EB6-93BF7DCA2C64}"/>
            </c:ext>
          </c:extLst>
        </c:ser>
        <c:dLbls>
          <c:showLegendKey val="0"/>
          <c:showVal val="0"/>
          <c:showCatName val="0"/>
          <c:showSerName val="0"/>
          <c:showPercent val="0"/>
          <c:showBubbleSize val="0"/>
        </c:dLbls>
        <c:axId val="586051440"/>
        <c:axId val="586045208"/>
        <c:extLst>
          <c:ext xmlns:c15="http://schemas.microsoft.com/office/drawing/2012/chart" uri="{02D57815-91ED-43cb-92C2-25804820EDAC}">
            <c15:filteredScatterSeries>
              <c15:ser>
                <c:idx val="2"/>
                <c:order val="2"/>
                <c:tx>
                  <c:strRef>
                    <c:extLst>
                      <c:ext uri="{02D57815-91ED-43cb-92C2-25804820EDAC}">
                        <c15:formulaRef>
                          <c15:sqref>Spike!$AN$66</c15:sqref>
                        </c15:formulaRef>
                      </c:ext>
                    </c:extLst>
                    <c:strCache>
                      <c:ptCount val="1"/>
                      <c:pt idx="0">
                        <c:v>Diff</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poly"/>
                  <c:order val="2"/>
                  <c:dispRSqr val="0"/>
                  <c:dispEq val="0"/>
                </c:trendline>
                <c:errBars>
                  <c:errDir val="y"/>
                  <c:errBarType val="both"/>
                  <c:errValType val="cust"/>
                  <c:noEndCap val="0"/>
                  <c:plus>
                    <c:numRef>
                      <c:extLst>
                        <c:ext uri="{02D57815-91ED-43cb-92C2-25804820EDAC}">
                          <c15:formulaRef>
                            <c15:sqref>Spike!$AO$67:$AO$72</c15:sqref>
                          </c15:formulaRef>
                        </c:ext>
                      </c:extLst>
                      <c:numCache>
                        <c:formatCode>General</c:formatCode>
                        <c:ptCount val="6"/>
                        <c:pt idx="0">
                          <c:v>1790.9194784034819</c:v>
                        </c:pt>
                        <c:pt idx="1">
                          <c:v>2536.9380535401333</c:v>
                        </c:pt>
                        <c:pt idx="2">
                          <c:v>3100.3622520199151</c:v>
                        </c:pt>
                        <c:pt idx="3">
                          <c:v>3579.4579940613912</c:v>
                        </c:pt>
                        <c:pt idx="4">
                          <c:v>4003.618968352258</c:v>
                        </c:pt>
                        <c:pt idx="5">
                          <c:v>4385.8871234192748</c:v>
                        </c:pt>
                      </c:numCache>
                    </c:numRef>
                  </c:plus>
                  <c:minus>
                    <c:numRef>
                      <c:extLst>
                        <c:ext uri="{02D57815-91ED-43cb-92C2-25804820EDAC}">
                          <c15:formulaRef>
                            <c15:sqref>Spike!$AO$67:$AO$72</c15:sqref>
                          </c15:formulaRef>
                        </c:ext>
                      </c:extLst>
                      <c:numCache>
                        <c:formatCode>General</c:formatCode>
                        <c:ptCount val="6"/>
                        <c:pt idx="0">
                          <c:v>1790.9194784034819</c:v>
                        </c:pt>
                        <c:pt idx="1">
                          <c:v>2536.9380535401333</c:v>
                        </c:pt>
                        <c:pt idx="2">
                          <c:v>3100.3622520199151</c:v>
                        </c:pt>
                        <c:pt idx="3">
                          <c:v>3579.4579940613912</c:v>
                        </c:pt>
                        <c:pt idx="4">
                          <c:v>4003.618968352258</c:v>
                        </c:pt>
                        <c:pt idx="5">
                          <c:v>4385.8871234192748</c:v>
                        </c:pt>
                      </c:numCache>
                    </c:numRef>
                  </c:minus>
                  <c:spPr>
                    <a:noFill/>
                    <a:ln w="9525" cap="flat" cmpd="sng" algn="ctr">
                      <a:solidFill>
                        <a:schemeClr val="tx1">
                          <a:lumMod val="65000"/>
                          <a:lumOff val="35000"/>
                        </a:schemeClr>
                      </a:solidFill>
                      <a:round/>
                    </a:ln>
                    <a:effectLst/>
                  </c:spPr>
                </c:errBars>
                <c:xVal>
                  <c:numRef>
                    <c:extLst>
                      <c:ext uri="{02D57815-91ED-43cb-92C2-25804820EDAC}">
                        <c15:formulaRef>
                          <c15:sqref>Spike!$AI$67:$AI$72</c15:sqref>
                        </c15:formulaRef>
                      </c:ext>
                    </c:extLst>
                    <c:numCache>
                      <c:formatCode>General</c:formatCode>
                      <c:ptCount val="6"/>
                      <c:pt idx="0">
                        <c:v>4</c:v>
                      </c:pt>
                      <c:pt idx="1">
                        <c:v>8</c:v>
                      </c:pt>
                      <c:pt idx="2">
                        <c:v>12</c:v>
                      </c:pt>
                      <c:pt idx="3">
                        <c:v>16</c:v>
                      </c:pt>
                      <c:pt idx="4">
                        <c:v>20</c:v>
                      </c:pt>
                      <c:pt idx="5">
                        <c:v>24</c:v>
                      </c:pt>
                    </c:numCache>
                  </c:numRef>
                </c:xVal>
                <c:yVal>
                  <c:numRef>
                    <c:extLst>
                      <c:ext uri="{02D57815-91ED-43cb-92C2-25804820EDAC}">
                        <c15:formulaRef>
                          <c15:sqref>Spike!$AN$67:$AN$72</c15:sqref>
                        </c15:formulaRef>
                      </c:ext>
                    </c:extLst>
                    <c:numCache>
                      <c:formatCode>0.00E+00</c:formatCode>
                      <c:ptCount val="6"/>
                      <c:pt idx="0">
                        <c:v>5896.875</c:v>
                      </c:pt>
                      <c:pt idx="1">
                        <c:v>12750</c:v>
                      </c:pt>
                      <c:pt idx="2">
                        <c:v>23362.5</c:v>
                      </c:pt>
                      <c:pt idx="3">
                        <c:v>35587.5</c:v>
                      </c:pt>
                      <c:pt idx="4">
                        <c:v>52818.75</c:v>
                      </c:pt>
                      <c:pt idx="5">
                        <c:v>74709.375</c:v>
                      </c:pt>
                    </c:numCache>
                  </c:numRef>
                </c:yVal>
                <c:smooth val="0"/>
                <c:extLst>
                  <c:ext xmlns:c16="http://schemas.microsoft.com/office/drawing/2014/chart" uri="{C3380CC4-5D6E-409C-BE32-E72D297353CC}">
                    <c16:uniqueId val="{00000005-EF7C-4DFC-9EB6-93BF7DCA2C64}"/>
                  </c:ext>
                </c:extLst>
              </c15:ser>
            </c15:filteredScatterSeries>
          </c:ext>
        </c:extLst>
      </c:scatterChart>
      <c:valAx>
        <c:axId val="58605144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Time (hours)</a:t>
                </a:r>
              </a:p>
            </c:rich>
          </c:tx>
          <c:layout>
            <c:manualLayout>
              <c:xMode val="edge"/>
              <c:yMode val="edge"/>
              <c:x val="0.44971655095473617"/>
              <c:y val="0.9349280347176819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86045208"/>
        <c:crosses val="autoZero"/>
        <c:crossBetween val="midCat"/>
      </c:valAx>
      <c:valAx>
        <c:axId val="586045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Neutron Count</a:t>
                </a:r>
              </a:p>
            </c:rich>
          </c:tx>
          <c:layout>
            <c:manualLayout>
              <c:xMode val="edge"/>
              <c:yMode val="edge"/>
              <c:x val="1.0115833349326791E-2"/>
              <c:y val="0.2523183538874165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00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8605144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66831511477053"/>
          <c:y val="7.1912090988626401E-2"/>
          <c:w val="0.84777622209948067"/>
          <c:h val="0.70938904636920386"/>
        </c:manualLayout>
      </c:layout>
      <c:barChart>
        <c:barDir val="col"/>
        <c:grouping val="clustered"/>
        <c:varyColors val="0"/>
        <c:ser>
          <c:idx val="0"/>
          <c:order val="0"/>
          <c:tx>
            <c:strRef>
              <c:f>AMS!$C$15</c:f>
              <c:strCache>
                <c:ptCount val="1"/>
                <c:pt idx="0">
                  <c:v>fg/g Am-241</c:v>
                </c:pt>
              </c:strCache>
            </c:strRef>
          </c:tx>
          <c:spPr>
            <a:solidFill>
              <a:schemeClr val="tx1"/>
            </a:solidFill>
            <a:ln>
              <a:noFill/>
            </a:ln>
            <a:effectLst/>
          </c:spPr>
          <c:invertIfNegative val="0"/>
          <c:dPt>
            <c:idx val="10"/>
            <c:invertIfNegative val="0"/>
            <c:bubble3D val="0"/>
            <c:spPr>
              <a:pattFill prst="wdDnDiag">
                <a:fgClr>
                  <a:srgbClr val="FF0000"/>
                </a:fgClr>
                <a:bgClr>
                  <a:schemeClr val="bg1"/>
                </a:bgClr>
              </a:pattFill>
              <a:ln>
                <a:solidFill>
                  <a:schemeClr val="tx1"/>
                </a:solidFill>
              </a:ln>
              <a:effectLst/>
            </c:spPr>
            <c:extLst>
              <c:ext xmlns:c16="http://schemas.microsoft.com/office/drawing/2014/chart" uri="{C3380CC4-5D6E-409C-BE32-E72D297353CC}">
                <c16:uniqueId val="{00000001-8A75-4B8A-99D6-EDE4F9C2BA2E}"/>
              </c:ext>
            </c:extLst>
          </c:dPt>
          <c:dPt>
            <c:idx val="11"/>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3-8A75-4B8A-99D6-EDE4F9C2BA2E}"/>
              </c:ext>
            </c:extLst>
          </c:dPt>
          <c:dPt>
            <c:idx val="12"/>
            <c:invertIfNegative val="0"/>
            <c:bubble3D val="0"/>
            <c:spPr>
              <a:pattFill prst="pct50">
                <a:fgClr>
                  <a:schemeClr val="accent1"/>
                </a:fgClr>
                <a:bgClr>
                  <a:schemeClr val="bg1"/>
                </a:bgClr>
              </a:pattFill>
              <a:ln>
                <a:solidFill>
                  <a:schemeClr val="tx1"/>
                </a:solidFill>
              </a:ln>
              <a:effectLst/>
            </c:spPr>
            <c:extLst>
              <c:ext xmlns:c16="http://schemas.microsoft.com/office/drawing/2014/chart" uri="{C3380CC4-5D6E-409C-BE32-E72D297353CC}">
                <c16:uniqueId val="{00000005-8A75-4B8A-99D6-EDE4F9C2BA2E}"/>
              </c:ext>
            </c:extLst>
          </c:dPt>
          <c:dPt>
            <c:idx val="13"/>
            <c:invertIfNegative val="0"/>
            <c:bubble3D val="0"/>
            <c:spPr>
              <a:pattFill prst="wdDnDiag">
                <a:fgClr>
                  <a:srgbClr val="FF0000"/>
                </a:fgClr>
                <a:bgClr>
                  <a:schemeClr val="bg1"/>
                </a:bgClr>
              </a:pattFill>
              <a:ln>
                <a:solidFill>
                  <a:schemeClr val="tx1"/>
                </a:solidFill>
              </a:ln>
              <a:effectLst/>
            </c:spPr>
            <c:extLst>
              <c:ext xmlns:c16="http://schemas.microsoft.com/office/drawing/2014/chart" uri="{C3380CC4-5D6E-409C-BE32-E72D297353CC}">
                <c16:uniqueId val="{00000007-8A75-4B8A-99D6-EDE4F9C2BA2E}"/>
              </c:ext>
            </c:extLst>
          </c:dPt>
          <c:dPt>
            <c:idx val="14"/>
            <c:invertIfNegative val="0"/>
            <c:bubble3D val="0"/>
            <c:spPr>
              <a:pattFill prst="lgCheck">
                <a:fgClr>
                  <a:schemeClr val="tx1"/>
                </a:fgClr>
                <a:bgClr>
                  <a:schemeClr val="bg1"/>
                </a:bgClr>
              </a:pattFill>
              <a:ln>
                <a:solidFill>
                  <a:schemeClr val="tx1"/>
                </a:solidFill>
              </a:ln>
              <a:effectLst/>
            </c:spPr>
            <c:extLst>
              <c:ext xmlns:c16="http://schemas.microsoft.com/office/drawing/2014/chart" uri="{C3380CC4-5D6E-409C-BE32-E72D297353CC}">
                <c16:uniqueId val="{00000009-8A75-4B8A-99D6-EDE4F9C2BA2E}"/>
              </c:ext>
            </c:extLst>
          </c:dPt>
          <c:dPt>
            <c:idx val="15"/>
            <c:invertIfNegative val="0"/>
            <c:bubble3D val="0"/>
            <c:spPr>
              <a:pattFill prst="lgCheck">
                <a:fgClr>
                  <a:srgbClr val="FF0000"/>
                </a:fgClr>
                <a:bgClr>
                  <a:schemeClr val="bg1"/>
                </a:bgClr>
              </a:pattFill>
              <a:ln>
                <a:solidFill>
                  <a:schemeClr val="tx1"/>
                </a:solidFill>
              </a:ln>
              <a:effectLst/>
            </c:spPr>
            <c:extLst>
              <c:ext xmlns:c16="http://schemas.microsoft.com/office/drawing/2014/chart" uri="{C3380CC4-5D6E-409C-BE32-E72D297353CC}">
                <c16:uniqueId val="{0000000B-8A75-4B8A-99D6-EDE4F9C2BA2E}"/>
              </c:ext>
            </c:extLst>
          </c:dPt>
          <c:dPt>
            <c:idx val="16"/>
            <c:invertIfNegative val="0"/>
            <c:bubble3D val="0"/>
            <c:spPr>
              <a:pattFill prst="lgCheck">
                <a:fgClr>
                  <a:schemeClr val="accent1"/>
                </a:fgClr>
                <a:bgClr>
                  <a:schemeClr val="bg1"/>
                </a:bgClr>
              </a:pattFill>
              <a:ln>
                <a:solidFill>
                  <a:schemeClr val="tx1"/>
                </a:solidFill>
              </a:ln>
              <a:effectLst/>
            </c:spPr>
            <c:extLst>
              <c:ext xmlns:c16="http://schemas.microsoft.com/office/drawing/2014/chart" uri="{C3380CC4-5D6E-409C-BE32-E72D297353CC}">
                <c16:uniqueId val="{0000000D-8A75-4B8A-99D6-EDE4F9C2BA2E}"/>
              </c:ext>
            </c:extLst>
          </c:dPt>
          <c:errBars>
            <c:errBarType val="both"/>
            <c:errValType val="cust"/>
            <c:noEndCap val="0"/>
            <c:plus>
              <c:numRef>
                <c:f>(AMS!$D$16:$Q$16,AMS!$R$16:$T$16)</c:f>
                <c:numCache>
                  <c:formatCode>General</c:formatCode>
                  <c:ptCount val="17"/>
                  <c:pt idx="0">
                    <c:v>9.7829751548446406E-2</c:v>
                  </c:pt>
                  <c:pt idx="1">
                    <c:v>9.7524432106704431E-2</c:v>
                  </c:pt>
                  <c:pt idx="2">
                    <c:v>0.10236791967320669</c:v>
                  </c:pt>
                  <c:pt idx="3">
                    <c:v>0.10224791247418813</c:v>
                  </c:pt>
                  <c:pt idx="4">
                    <c:v>9.6997769097653883E-2</c:v>
                  </c:pt>
                  <c:pt idx="5">
                    <c:v>9.5396875239377052E-2</c:v>
                  </c:pt>
                  <c:pt idx="6">
                    <c:v>5.4351483489401921E-2</c:v>
                  </c:pt>
                  <c:pt idx="7">
                    <c:v>0.10190493984969362</c:v>
                  </c:pt>
                  <c:pt idx="8">
                    <c:v>0.10061605027303622</c:v>
                  </c:pt>
                  <c:pt idx="9">
                    <c:v>0.10815559179765218</c:v>
                  </c:pt>
                  <c:pt idx="10">
                    <c:v>8.5964795790661075E-2</c:v>
                  </c:pt>
                  <c:pt idx="11">
                    <c:v>0.14390345547728556</c:v>
                  </c:pt>
                  <c:pt idx="12">
                    <c:v>0.12182250068187647</c:v>
                  </c:pt>
                  <c:pt idx="13">
                    <c:v>8.2993169528274097E-2</c:v>
                  </c:pt>
                  <c:pt idx="14">
                    <c:v>0.30121499152613657</c:v>
                  </c:pt>
                  <c:pt idx="15">
                    <c:v>0.11948979999848901</c:v>
                  </c:pt>
                  <c:pt idx="16">
                    <c:v>0.18854422868570891</c:v>
                  </c:pt>
                </c:numCache>
              </c:numRef>
            </c:plus>
            <c:minus>
              <c:numRef>
                <c:f>(AMS!$D$16:$Q$16,AMS!$R$16:$T$16)</c:f>
                <c:numCache>
                  <c:formatCode>General</c:formatCode>
                  <c:ptCount val="17"/>
                  <c:pt idx="0">
                    <c:v>9.7829751548446406E-2</c:v>
                  </c:pt>
                  <c:pt idx="1">
                    <c:v>9.7524432106704431E-2</c:v>
                  </c:pt>
                  <c:pt idx="2">
                    <c:v>0.10236791967320669</c:v>
                  </c:pt>
                  <c:pt idx="3">
                    <c:v>0.10224791247418813</c:v>
                  </c:pt>
                  <c:pt idx="4">
                    <c:v>9.6997769097653883E-2</c:v>
                  </c:pt>
                  <c:pt idx="5">
                    <c:v>9.5396875239377052E-2</c:v>
                  </c:pt>
                  <c:pt idx="6">
                    <c:v>5.4351483489401921E-2</c:v>
                  </c:pt>
                  <c:pt idx="7">
                    <c:v>0.10190493984969362</c:v>
                  </c:pt>
                  <c:pt idx="8">
                    <c:v>0.10061605027303622</c:v>
                  </c:pt>
                  <c:pt idx="9">
                    <c:v>0.10815559179765218</c:v>
                  </c:pt>
                  <c:pt idx="10">
                    <c:v>8.5964795790661075E-2</c:v>
                  </c:pt>
                  <c:pt idx="11">
                    <c:v>0.14390345547728556</c:v>
                  </c:pt>
                  <c:pt idx="12">
                    <c:v>0.12182250068187647</c:v>
                  </c:pt>
                  <c:pt idx="13">
                    <c:v>8.2993169528274097E-2</c:v>
                  </c:pt>
                  <c:pt idx="14">
                    <c:v>0.30121499152613657</c:v>
                  </c:pt>
                  <c:pt idx="15">
                    <c:v>0.11948979999848901</c:v>
                  </c:pt>
                  <c:pt idx="16">
                    <c:v>0.18854422868570891</c:v>
                  </c:pt>
                </c:numCache>
              </c:numRef>
            </c:minus>
            <c:spPr>
              <a:noFill/>
              <a:ln w="19050" cap="flat" cmpd="sng" algn="ctr">
                <a:solidFill>
                  <a:schemeClr val="bg1">
                    <a:lumMod val="65000"/>
                  </a:schemeClr>
                </a:solidFill>
                <a:round/>
              </a:ln>
              <a:effectLst/>
            </c:spPr>
          </c:errBars>
          <c:cat>
            <c:strRef>
              <c:f>(AMS!$D$10:$Q$10,AMS!$R$10:$T$10)</c:f>
              <c:strCache>
                <c:ptCount val="17"/>
                <c:pt idx="0">
                  <c:v>DSRL1</c:v>
                </c:pt>
                <c:pt idx="1">
                  <c:v>DSRL2</c:v>
                </c:pt>
                <c:pt idx="2">
                  <c:v>DSRL3</c:v>
                </c:pt>
                <c:pt idx="3">
                  <c:v>DSRL4</c:v>
                </c:pt>
                <c:pt idx="4">
                  <c:v>DSRL5</c:v>
                </c:pt>
                <c:pt idx="5">
                  <c:v>DSRL6</c:v>
                </c:pt>
                <c:pt idx="6">
                  <c:v>DSRL7</c:v>
                </c:pt>
                <c:pt idx="7">
                  <c:v>DSRL8</c:v>
                </c:pt>
                <c:pt idx="8">
                  <c:v>DSRL9</c:v>
                </c:pt>
                <c:pt idx="9">
                  <c:v>DSRL10</c:v>
                </c:pt>
                <c:pt idx="10">
                  <c:v>DSRL B1A</c:v>
                </c:pt>
                <c:pt idx="11">
                  <c:v>Malham</c:v>
                </c:pt>
                <c:pt idx="12">
                  <c:v>Biggin</c:v>
                </c:pt>
                <c:pt idx="13">
                  <c:v>DSRL B2</c:v>
                </c:pt>
                <c:pt idx="14">
                  <c:v>Avg DSRL</c:v>
                </c:pt>
                <c:pt idx="15">
                  <c:v>Avg Off-site</c:v>
                </c:pt>
                <c:pt idx="16">
                  <c:v>Avg Other</c:v>
                </c:pt>
              </c:strCache>
            </c:strRef>
          </c:cat>
          <c:val>
            <c:numRef>
              <c:f>(AMS!$D$15:$Q$15,AMS!$R$15:$T$15)</c:f>
              <c:numCache>
                <c:formatCode>0.00</c:formatCode>
                <c:ptCount val="17"/>
                <c:pt idx="0">
                  <c:v>2.6642577689226568</c:v>
                </c:pt>
                <c:pt idx="1">
                  <c:v>2.8138572534703585</c:v>
                </c:pt>
                <c:pt idx="2">
                  <c:v>2.9163358127814698</c:v>
                </c:pt>
                <c:pt idx="3">
                  <c:v>2.800456713876375</c:v>
                </c:pt>
                <c:pt idx="4">
                  <c:v>2.8837478105365504</c:v>
                </c:pt>
                <c:pt idx="5">
                  <c:v>2.877195814907906</c:v>
                </c:pt>
                <c:pt idx="6">
                  <c:v>0.27296992112446106</c:v>
                </c:pt>
                <c:pt idx="7">
                  <c:v>3.0427258598917573</c:v>
                </c:pt>
                <c:pt idx="8">
                  <c:v>2.9599890793694246</c:v>
                </c:pt>
                <c:pt idx="9">
                  <c:v>3.5215091236413008</c:v>
                </c:pt>
                <c:pt idx="10">
                  <c:v>1.9142175165881461</c:v>
                </c:pt>
                <c:pt idx="11">
                  <c:v>3.7671965252208683</c:v>
                </c:pt>
                <c:pt idx="12">
                  <c:v>3.359579129473965</c:v>
                </c:pt>
                <c:pt idx="13">
                  <c:v>1.9478074413203512</c:v>
                </c:pt>
                <c:pt idx="14">
                  <c:v>2.9422305819330892</c:v>
                </c:pt>
                <c:pt idx="15">
                  <c:v>1.9310124789542487</c:v>
                </c:pt>
                <c:pt idx="16">
                  <c:v>3.5633878273474169</c:v>
                </c:pt>
              </c:numCache>
            </c:numRef>
          </c:val>
          <c:extLst>
            <c:ext xmlns:c16="http://schemas.microsoft.com/office/drawing/2014/chart" uri="{C3380CC4-5D6E-409C-BE32-E72D297353CC}">
              <c16:uniqueId val="{0000000E-8A75-4B8A-99D6-EDE4F9C2BA2E}"/>
            </c:ext>
          </c:extLst>
        </c:ser>
        <c:dLbls>
          <c:showLegendKey val="0"/>
          <c:showVal val="0"/>
          <c:showCatName val="0"/>
          <c:showSerName val="0"/>
          <c:showPercent val="0"/>
          <c:showBubbleSize val="0"/>
        </c:dLbls>
        <c:gapWidth val="219"/>
        <c:overlap val="-27"/>
        <c:axId val="737818344"/>
        <c:axId val="737812768"/>
        <c:extLst>
          <c:ext xmlns:c15="http://schemas.microsoft.com/office/drawing/2012/chart" uri="{02D57815-91ED-43cb-92C2-25804820EDAC}">
            <c15:filteredBarSeries>
              <c15:ser>
                <c:idx val="1"/>
                <c:order val="1"/>
                <c:tx>
                  <c:v>Average Am-241</c:v>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cat>
                  <c:strRef>
                    <c:extLst>
                      <c:ext uri="{02D57815-91ED-43cb-92C2-25804820EDAC}">
                        <c15:formulaRef>
                          <c15:sqref>(AMS!$D$10:$Q$10,AMS!$R$10:$T$10)</c15:sqref>
                        </c15:formulaRef>
                      </c:ext>
                    </c:extLst>
                    <c:strCache>
                      <c:ptCount val="17"/>
                      <c:pt idx="0">
                        <c:v>DSRL1</c:v>
                      </c:pt>
                      <c:pt idx="1">
                        <c:v>DSRL2</c:v>
                      </c:pt>
                      <c:pt idx="2">
                        <c:v>DSRL3</c:v>
                      </c:pt>
                      <c:pt idx="3">
                        <c:v>DSRL4</c:v>
                      </c:pt>
                      <c:pt idx="4">
                        <c:v>DSRL5</c:v>
                      </c:pt>
                      <c:pt idx="5">
                        <c:v>DSRL6</c:v>
                      </c:pt>
                      <c:pt idx="6">
                        <c:v>DSRL7</c:v>
                      </c:pt>
                      <c:pt idx="7">
                        <c:v>DSRL8</c:v>
                      </c:pt>
                      <c:pt idx="8">
                        <c:v>DSRL9</c:v>
                      </c:pt>
                      <c:pt idx="9">
                        <c:v>DSRL10</c:v>
                      </c:pt>
                      <c:pt idx="10">
                        <c:v>DSRL B1A</c:v>
                      </c:pt>
                      <c:pt idx="11">
                        <c:v>Malham</c:v>
                      </c:pt>
                      <c:pt idx="12">
                        <c:v>Biggin</c:v>
                      </c:pt>
                      <c:pt idx="13">
                        <c:v>DSRL B2</c:v>
                      </c:pt>
                      <c:pt idx="14">
                        <c:v>Avg DSRL</c:v>
                      </c:pt>
                      <c:pt idx="15">
                        <c:v>Avg Off-site</c:v>
                      </c:pt>
                      <c:pt idx="16">
                        <c:v>Avg Other</c:v>
                      </c:pt>
                    </c:strCache>
                  </c:strRef>
                </c:cat>
                <c:val>
                  <c:numRef>
                    <c:extLst>
                      <c:ext uri="{02D57815-91ED-43cb-92C2-25804820EDAC}">
                        <c15:formulaRef>
                          <c15:sqref>AMS!$S$6:$U$6</c15:sqref>
                        </c15:formulaRef>
                      </c:ext>
                    </c:extLst>
                    <c:numCache>
                      <c:formatCode>0.00E+00</c:formatCode>
                      <c:ptCount val="3"/>
                      <c:pt idx="0">
                        <c:v>8.1671277185917362E-4</c:v>
                      </c:pt>
                      <c:pt idx="1">
                        <c:v>5.8949646473384527E-4</c:v>
                      </c:pt>
                      <c:pt idx="2">
                        <c:v>1.0878254540511903E-3</c:v>
                      </c:pt>
                    </c:numCache>
                  </c:numRef>
                </c:val>
                <c:extLst>
                  <c:ext xmlns:c16="http://schemas.microsoft.com/office/drawing/2014/chart" uri="{C3380CC4-5D6E-409C-BE32-E72D297353CC}">
                    <c16:uniqueId val="{00000010-8A75-4B8A-99D6-EDE4F9C2BA2E}"/>
                  </c:ext>
                </c:extLst>
              </c15:ser>
            </c15:filteredBarSeries>
          </c:ext>
        </c:extLst>
      </c:barChart>
      <c:catAx>
        <c:axId val="73781834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Sample</a:t>
                </a:r>
              </a:p>
            </c:rich>
          </c:tx>
          <c:layout>
            <c:manualLayout>
              <c:xMode val="edge"/>
              <c:yMode val="edge"/>
              <c:x val="0.4658356775549875"/>
              <c:y val="0.930361224846894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737812768"/>
        <c:crosses val="autoZero"/>
        <c:auto val="1"/>
        <c:lblAlgn val="ctr"/>
        <c:lblOffset val="100"/>
        <c:noMultiLvlLbl val="0"/>
      </c:catAx>
      <c:valAx>
        <c:axId val="737812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sz="1200">
                    <a:solidFill>
                      <a:schemeClr val="tx1"/>
                    </a:solidFill>
                  </a:rPr>
                  <a:t>Am-241 (</a:t>
                </a:r>
                <a:r>
                  <a:rPr lang="en-US" sz="1200" b="0" i="0" u="none" strike="noStrike" baseline="0">
                    <a:effectLst/>
                  </a:rPr>
                  <a:t>fg/g )</a:t>
                </a:r>
                <a:endParaRPr lang="en-US" sz="1200">
                  <a:solidFill>
                    <a:schemeClr val="tx1"/>
                  </a:solidFill>
                </a:endParaRPr>
              </a:p>
            </c:rich>
          </c:tx>
          <c:layout>
            <c:manualLayout>
              <c:xMode val="edge"/>
              <c:yMode val="edge"/>
              <c:x val="1.3888888888888888E-2"/>
              <c:y val="0.3570742198891805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737818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0.15935</cdr:x>
      <cdr:y>0.48334</cdr:y>
    </cdr:from>
    <cdr:to>
      <cdr:x>0.97339</cdr:x>
      <cdr:y>0.57835</cdr:y>
    </cdr:to>
    <cdr:grpSp>
      <cdr:nvGrpSpPr>
        <cdr:cNvPr id="13" name="Group 12"/>
        <cdr:cNvGrpSpPr/>
      </cdr:nvGrpSpPr>
      <cdr:grpSpPr>
        <a:xfrm xmlns:a="http://schemas.openxmlformats.org/drawingml/2006/main">
          <a:off x="913837" y="1935126"/>
          <a:ext cx="4668256" cy="380409"/>
          <a:chOff x="913837" y="1935126"/>
          <a:chExt cx="4668256" cy="380409"/>
        </a:xfrm>
      </cdr:grpSpPr>
      <cdr:cxnSp macro="">
        <cdr:nvCxnSpPr>
          <cdr:cNvPr id="3" name="Straight Connector 2"/>
          <cdr:cNvCxnSpPr/>
        </cdr:nvCxnSpPr>
        <cdr:spPr>
          <a:xfrm xmlns:a="http://schemas.openxmlformats.org/drawingml/2006/main" flipV="1">
            <a:off x="913837" y="1935126"/>
            <a:ext cx="3338625" cy="1"/>
          </a:xfrm>
          <a:prstGeom xmlns:a="http://schemas.openxmlformats.org/drawingml/2006/main" prst="line">
            <a:avLst/>
          </a:prstGeom>
          <a:ln xmlns:a="http://schemas.openxmlformats.org/drawingml/2006/main" w="285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4859080" y="2315535"/>
            <a:ext cx="723013" cy="0"/>
          </a:xfrm>
          <a:prstGeom xmlns:a="http://schemas.openxmlformats.org/drawingml/2006/main" prst="line">
            <a:avLst/>
          </a:prstGeom>
          <a:ln xmlns:a="http://schemas.openxmlformats.org/drawingml/2006/main" w="28575">
            <a:solidFill>
              <a:schemeClr val="accent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xml><?xml version="1.0" encoding="utf-8"?>
<c:userShapes xmlns:c="http://schemas.openxmlformats.org/drawingml/2006/chart">
  <cdr:relSizeAnchor xmlns:cdr="http://schemas.openxmlformats.org/drawingml/2006/chartDrawing">
    <cdr:from>
      <cdr:x>0.14094</cdr:x>
      <cdr:y>0.43986</cdr:y>
    </cdr:from>
    <cdr:to>
      <cdr:x>0.96021</cdr:x>
      <cdr:y>0.53662</cdr:y>
    </cdr:to>
    <cdr:grpSp>
      <cdr:nvGrpSpPr>
        <cdr:cNvPr id="8" name="Group 7"/>
        <cdr:cNvGrpSpPr/>
      </cdr:nvGrpSpPr>
      <cdr:grpSpPr>
        <a:xfrm xmlns:a="http://schemas.openxmlformats.org/drawingml/2006/main">
          <a:off x="808073" y="1584251"/>
          <a:ext cx="4697228" cy="348510"/>
          <a:chOff x="808073" y="1584251"/>
          <a:chExt cx="4697228" cy="348510"/>
        </a:xfrm>
      </cdr:grpSpPr>
      <cdr:cxnSp macro="">
        <cdr:nvCxnSpPr>
          <cdr:cNvPr id="3" name="Straight Connector 2"/>
          <cdr:cNvCxnSpPr/>
        </cdr:nvCxnSpPr>
        <cdr:spPr>
          <a:xfrm xmlns:a="http://schemas.openxmlformats.org/drawingml/2006/main">
            <a:off x="808073" y="1584251"/>
            <a:ext cx="3402420" cy="0"/>
          </a:xfrm>
          <a:prstGeom xmlns:a="http://schemas.openxmlformats.org/drawingml/2006/main" prst="line">
            <a:avLst/>
          </a:prstGeom>
          <a:ln xmlns:a="http://schemas.openxmlformats.org/drawingml/2006/main" w="285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4816550" y="1932761"/>
            <a:ext cx="688751" cy="0"/>
          </a:xfrm>
          <a:prstGeom xmlns:a="http://schemas.openxmlformats.org/drawingml/2006/main" prst="line">
            <a:avLst/>
          </a:prstGeom>
          <a:ln xmlns:a="http://schemas.openxmlformats.org/drawingml/2006/main" w="28575">
            <a:solidFill>
              <a:schemeClr val="accent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062EC3F0A7C4788C46DFDD32ECF14" ma:contentTypeVersion="7" ma:contentTypeDescription="Create a new document." ma:contentTypeScope="" ma:versionID="2ab2c44f0c578f40cc6c52eca3314d63">
  <xsd:schema xmlns:xsd="http://www.w3.org/2001/XMLSchema" xmlns:xs="http://www.w3.org/2001/XMLSchema" xmlns:p="http://schemas.microsoft.com/office/2006/metadata/properties" xmlns:ns3="445c47d0-83c9-4a93-9aa7-571907bcfae0" xmlns:ns4="99eb01c8-7c25-4ef0-8b27-7bd7b63d9727" targetNamespace="http://schemas.microsoft.com/office/2006/metadata/properties" ma:root="true" ma:fieldsID="24b93a0b2045ff3dd4a5962b21aad58f" ns3:_="" ns4:_="">
    <xsd:import namespace="445c47d0-83c9-4a93-9aa7-571907bcfae0"/>
    <xsd:import namespace="99eb01c8-7c25-4ef0-8b27-7bd7b63d972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c47d0-83c9-4a93-9aa7-571907bcfa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eb01c8-7c25-4ef0-8b27-7bd7b63d97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zimbal-degering-2013-low-level-measuring-techniques-for-neutrons:-high-accuracy-neutron-source-strength-determination-and-fluence-rate-measurement-at-an-underground-laboratory</b:Tag>
    <b:SourceType>JournalArticle</b:SourceType>
    <b:Title>Low-level measuring techniques for neutrons: High accuracy neutron source strength determination and fluence rate measurement at an underground laboratory</b:Title>
    <b:Year>2013</b:Year>
    <b:Author>
      <b:Author>
        <b:NameList>
          <b:Person>
            <b:First>Andreas</b:First>
            <b:Last>Zimbal</b:Last>
          </b:Person>
          <b:Person>
            <b:First>Detlev</b:First>
            <b:Last>Degering</b:Last>
          </b:Person>
          <b:Person>
            <b:First>Marcel</b:First>
            <b:Last>Reginatto</b:Last>
          </b:Person>
          <b:Person>
            <b:First>Helmut</b:First>
            <b:Last>Schuhmacher</b:Last>
          </b:Person>
          <b:Person>
            <b:First>Burkhard</b:First>
            <b:Last>Wiegel</b:Last>
          </b:Person>
          <b:Person>
            <b:First>Kai</b:First>
            <b:Last>Zuber</b:Last>
          </b:Person>
        </b:NameList>
      </b:Author>
    </b:Author>
    <b:Pages>77</b:Pages>
    <b:Volume>1549</b:Volume>
    <b:StandardNumber>10.1063/1.4818078</b:StandardNumber>
    <b:RefOrder>1</b:RefOrder>
  </b:Source>
  <b:Source>
    <b:Tag>v-artamonova,-d-m-volobuev-2016-analysis-of-lower-atmosphere-pressure-field-response-for-short-time-cosmic-ray-variations-by-multifield-comparison-measure-method</b:Tag>
    <b:SourceType>JournalArticle</b:SourceType>
    <b:Title>Analysis of lower atmosphere pressure field response for short-time cosmic ray variations by Multifield Comparison Measure method</b:Title>
    <b:Year>2016</b:Year>
    <b:Author>
      <b:Author>
        <b:NameList>
          <b:Person>
            <b:First>N G Makarenko</b:First>
            <b:Last>V Artamonova, D M Volobuev</b:Last>
          </b:Person>
        </b:NameList>
      </b:Author>
    </b:Author>
    <b:JournalName>Journal of Physics</b:JournalName>
    <b:Volume>675</b:Volume>
    <b:StandardNumber>10.1088/1742-6596/675/3/032030</b:StandardNumber>
    <b:RefOrder>2</b:RefOrder>
  </b:Source>
  <b:Source>
    <b:Tag>tims-hancock-measurements-of-pu-and-ra-isotopes-in-soils-and-sediments-by-ams</b:Tag>
    <b:SourceType>JournalArticle</b:SourceType>
    <b:Title>Measurements of Pu and Ra isotopes in soils and sediments by AMS</b:Title>
    <b:Author>
      <b:Author>
        <b:NameList>
          <b:Person>
            <b:First>S G</b:First>
            <b:Last>Tims</b:Last>
          </b:Person>
          <b:Person>
            <b:First>G J</b:First>
            <b:Last>Hancock</b:Last>
          </b:Person>
          <b:Person>
            <b:First>L</b:First>
            <b:Last>Wacker</b:Last>
          </b:Person>
          <b:Person>
            <b:First>L K</b:First>
            <b:Last>Fifield</b:Last>
          </b:Person>
        </b:NameList>
      </b:Author>
    </b:Author>
    <b:StandardNumber>10.1016/j.nimb.2004.04.147</b:StandardNumber>
    <b:RefOrder>3</b:RefOrder>
  </b:Source>
  <b:Source>
    <b:Tag>synal-wacker-2010-ams-measurement-technique-after-30-years:-possibilities-and-limitations-of-low-energy-systems</b:Tag>
    <b:SourceType>JournalArticle</b:SourceType>
    <b:Title>AMS measurement technique after 30 years: Possibilities and limitations of low energy systems</b:Title>
    <b:Year>2010</b:Year>
    <b:Author>
      <b:Author>
        <b:NameList>
          <b:Person>
            <b:First>Hans-Arno</b:First>
            <b:Last>Synal</b:Last>
          </b:Person>
          <b:Person>
            <b:First>Lukas</b:First>
            <b:Last>Wacker</b:Last>
          </b:Person>
          <b:Person>
            <b:First>H.-A</b:First>
            <b:Last>Synal</b:Last>
          </b:Person>
        </b:NameList>
      </b:Author>
    </b:Author>
    <b:JournalName>Nuclear Inst. and Methods in Physics Research, B</b:JournalName>
    <b:Pages>701-707</b:Pages>
    <b:Volume>268</b:Volume>
    <b:StandardNumber>10.1016/j.nimb.2009.10.009</b:StandardNumber>
    <b:RefOrder>4</b:RefOrder>
  </b:Source>
  <b:Source>
    <b:Tag>steier-hrnecek-2013-ams-of-the-minor-plutonium-isotopes</b:Tag>
    <b:SourceType>JournalArticle</b:SourceType>
    <b:Title>AMS of the Minor Plutonium Isotopes</b:Title>
    <b:Year>2013</b:Year>
    <b:Author>
      <b:Author>
        <b:NameList>
          <b:Person>
            <b:First>P</b:First>
            <b:Last>Steier</b:Last>
          </b:Person>
          <b:Person>
            <b:First>E</b:First>
            <b:Last>Hrnecek</b:Last>
          </b:Person>
          <b:Person>
            <b:First>A</b:First>
            <b:Last>Priller</b:Last>
          </b:Person>
          <b:Person>
            <b:First>F</b:First>
            <b:Last>Quinto</b:Last>
          </b:Person>
          <b:Person>
            <b:First>M</b:First>
            <b:Last>Srncik</b:Last>
          </b:Person>
          <b:Person>
            <b:First>A</b:First>
            <b:Last>Wallner</b:Last>
          </b:Person>
          <b:Person>
            <b:First>G</b:First>
            <b:Last>Wallner</b:Last>
          </b:Person>
          <b:Person>
            <b:First>S</b:First>
            <b:Last>Winkler</b:Last>
          </b:Person>
        </b:NameList>
      </b:Author>
    </b:Author>
    <b:JournalName>Nuclear Inst. and Methods in Physics Research, B</b:JournalName>
    <b:Pages>160-164</b:Pages>
    <b:Volume>294</b:Volume>
    <b:StandardNumber>10.1016/j.nimb.2012.06.017</b:StandardNumber>
    <b:RefOrder>5</b:RefOrder>
  </b:Source>
  <b:Source>
    <b:Tag>srncik-tims-2014-first-measurements-of-236-u-concentrations-and-236-u/-239-pu-isotopic-ratios-in-a-southern-hemisphere-soil-far-from-nuclear-test-or-reactor-sites</b:Tag>
    <b:SourceType>JournalArticle</b:SourceType>
    <b:Title>First measurements of 236 U concentrations and 236 U/ 239 Pu isotopic ratios in a Southern Hemisphere soil far from nuclear test or reactor sites</b:Title>
    <b:Year>2014</b:Year>
    <b:Author>
      <b:Author>
        <b:NameList>
          <b:Person>
            <b:First>M</b:First>
            <b:Last>Srncik</b:Last>
          </b:Person>
          <b:Person>
            <b:First>S G</b:First>
            <b:Last>Tims</b:Last>
          </b:Person>
          <b:Person>
            <b:First>M</b:First>
            <b:Last>De Cesare</b:Last>
          </b:Person>
          <b:Person>
            <b:First>L K</b:First>
            <b:Last>Fifield</b:Last>
          </b:Person>
        </b:NameList>
      </b:Author>
    </b:Author>
    <b:JournalName>Journal of Environmental Radioactivity</b:JournalName>
    <b:Pages>108-114</b:Pages>
    <b:Volume>132</b:Volume>
    <b:StandardNumber>10.1016/j.jenvrad.2014.02.022</b:StandardNumber>
    <b:RefOrder>6</b:RefOrder>
  </b:Source>
  <b:Source>
    <b:Tag>srncik-hrnecek-2011-determination-of-u,-pu-and-am-isotopes-in-irish-sea-sediment-by-a-combination-of-ams-and-radiometric-methods</b:Tag>
    <b:SourceType>JournalArticle</b:SourceType>
    <b:Title>Determination of U, Pu and Am isotopes in Irish Sea sediment by a combination of AMS and radiometric methods</b:Title>
    <b:Year>2011</b:Year>
    <b:Author>
      <b:Author>
        <b:NameList>
          <b:Person>
            <b:First>M</b:First>
            <b:Last>Srncik</b:Last>
          </b:Person>
          <b:Person>
            <b:First>E</b:First>
            <b:Last>Hrnecek</b:Last>
          </b:Person>
          <b:Person>
            <b:First>P</b:First>
            <b:Last>Steier</b:Last>
          </b:Person>
          <b:Person>
            <b:First>G</b:First>
            <b:Last>Wallner</b:Last>
          </b:Person>
        </b:NameList>
      </b:Author>
    </b:Author>
    <b:StandardNumber>10.1016/j.jenvrad.2011.01.004</b:StandardNumber>
    <b:RefOrder>7</b:RefOrder>
  </b:Source>
  <b:Source>
    <b:Tag>simony-deyglun-2016-cross-talk-characterization-in-passive-neutron-coincidence-counting-of-radioactive-waste-drums-with-plastic-scintillators</b:Tag>
    <b:SourceType>JournalArticle</b:SourceType>
    <b:Title>Cross-Talk Characterization in Passive Neutron Coincidence Counting of Radioactive Waste Drums With Plastic Scintillators</b:Title>
    <b:Year>2016</b:Year>
    <b:Author>
      <b:Author>
        <b:NameList>
          <b:Person>
            <b:First>B.</b:First>
            <b:Last>Simony</b:Last>
          </b:Person>
          <b:Person>
            <b:First>C.</b:First>
            <b:Last>Deyglun</b:Last>
          </b:Person>
          <b:Person>
            <b:First>B.</b:First>
            <b:Last>Perot</b:Last>
          </b:Person>
          <b:Person>
            <b:First>C.</b:First>
            <b:Last>Carasco</b:Last>
          </b:Person>
          <b:Person>
            <b:First>N.</b:First>
            <b:Last>Saurel</b:Last>
          </b:Person>
          <b:Person>
            <b:First>S.</b:First>
            <b:Last>Colas</b:Last>
          </b:Person>
          <b:Person>
            <b:First>J.</b:First>
            <b:Last>Collot</b:Last>
          </b:Person>
        </b:NameList>
      </b:Author>
    </b:Author>
    <b:JournalName>IEEE Transactions on Nuclear Science</b:JournalName>
    <b:Pages>1513-1519</b:Pages>
    <b:Volume>63</b:Volume>
    <b:Issue>3</b:Issue>
    <b:StandardNumber>10.1109/TNS.2016.2542290</b:StandardNumber>
    <b:Month>6</b:Month>
    <b:RefOrder>8</b:RefOrder>
  </b:Source>
  <b:Source>
    <b:Tag>sarwar-astromskas-2018-an-event-triggered-coincidence-algorithm-for-fast-neutron-multiplicity-assay-corrected-for-cross-talk-and-photon-breakthrough</b:Tag>
    <b:SourceType>JournalArticle</b:SourceType>
    <b:Title>An event-triggered coincidence algorithm for fast-neutron multiplicity assay corrected for cross-talk and photon breakthrough</b:Title>
    <b:Year>2018</b:Year>
    <b:Author>
      <b:Author>
        <b:NameList>
          <b:Person>
            <b:First>R</b:First>
            <b:Last>Sarwar</b:Last>
          </b:Person>
          <b:Person>
            <b:First>V</b:First>
            <b:Last>Astromskas</b:Last>
          </b:Person>
          <b:Person>
            <b:First>C H</b:First>
            <b:Last>Zimmerman</b:Last>
          </b:Person>
          <b:Person>
            <b:First>G</b:First>
            <b:Last>Nutter</b:Last>
          </b:Person>
          <b:Person>
            <b:First>A T</b:First>
            <b:Last>Simone</b:Last>
          </b:Person>
          <b:Person>
            <b:First>S</b:First>
            <b:Last>Croft</b:Last>
          </b:Person>
          <b:Person>
            <b:First>M J</b:First>
            <b:Last>Joyce</b:Last>
          </b:Person>
        </b:NameList>
      </b:Author>
    </b:Author>
    <b:JournalName>Nuclear Inst. and Methods in Physics Research</b:JournalName>
    <b:Pages>152-161</b:Pages>
    <b:Volume>903</b:Volume>
    <b:StandardNumber>10.1016/j.nima.2018.06.056</b:StandardNumber>
    <b:RefOrder>9</b:RefOrder>
  </b:Source>
  <b:Source>
    <b:Tag>salmani-ghabeshi-chamizo-2018-presence-of-236-u-and-239,240-pu-in-soils-from-southern-hemisphere</b:Tag>
    <b:SourceType>JournalArticle</b:SourceType>
    <b:Title>Presence of 236 U and 239,240 Pu in soils from Southern Hemisphere</b:Title>
    <b:Year>2018</b:Year>
    <b:Author>
      <b:Author>
        <b:NameList>
          <b:Person>
            <b:First>S</b:First>
            <b:Last>Salmani-Ghabeshi</b:Last>
          </b:Person>
          <b:Person>
            <b:First>E</b:First>
            <b:Last>Chamizo</b:Last>
          </b:Person>
          <b:Person>
            <b:First>M</b:First>
            <b:Last>Christl</b:Last>
          </b:Person>
          <b:Person>
            <b:First>C</b:First>
            <b:Last>Miró</b:Last>
          </b:Person>
          <b:Person>
            <b:First>E</b:First>
            <b:Last>Pinilla-Gil</b:Last>
          </b:Person>
          <b:Person>
            <b:First>F</b:First>
            <b:Last>Cereceda-Balic</b:Last>
          </b:Person>
        </b:NameList>
      </b:Author>
    </b:Author>
    <b:JournalName>Journal of Environmental Radioactivity</b:JournalName>
    <b:Pages>478-484</b:Pages>
    <b:Volume>192</b:Volume>
    <b:StandardNumber>10.1016/j.jenvrad.2018.08.003</b:StandardNumber>
    <b:RefOrder>10</b:RefOrder>
  </b:Source>
  <b:Source>
    <b:Tag>sakaguchi-kawai-2009-first-results-on-236-u-levels-in-global-fallout</b:Tag>
    <b:SourceType>JournalArticle</b:SourceType>
    <b:Title>First results on 236 U levels in global fallout</b:Title>
    <b:Year>2009</b:Year>
    <b:Author>
      <b:Author>
        <b:NameList>
          <b:Person>
            <b:First>A</b:First>
            <b:Last>Sakaguchi</b:Last>
          </b:Person>
          <b:Person>
            <b:First>K</b:First>
            <b:Last>Kawai</b:Last>
          </b:Person>
          <b:Person>
            <b:First>P</b:First>
            <b:Last>Steier</b:Last>
          </b:Person>
          <b:Person>
            <b:First>F</b:First>
            <b:Last>Quinto</b:Last>
          </b:Person>
          <b:Person>
            <b:First>K</b:First>
            <b:Last>Mino</b:Last>
          </b:Person>
          <b:Person>
            <b:First>J</b:First>
            <b:Last>Tomita</b:Last>
          </b:Person>
          <b:Person>
            <b:First>M</b:First>
            <b:Last>Hoshi</b:Last>
          </b:Person>
          <b:Person>
            <b:First>N</b:First>
            <b:Last>Whitehead</b:Last>
          </b:Person>
          <b:Person>
            <b:First>M</b:First>
            <b:Last>Yamamoto</b:Last>
          </b:Person>
        </b:NameList>
      </b:Author>
    </b:Author>
    <b:JournalName>Science of the Total Environment, The</b:JournalName>
    <b:Pages>4238-4242</b:Pages>
    <b:Volume>407</b:Volume>
    <b:StandardNumber>10.1016/j.scitotenv.2009.01.058</b:StandardNumber>
    <b:RefOrder>11</b:RefOrder>
  </b:Source>
  <b:Source>
    <b:Tag>reilly,-d.,-ensslin,-n.,-smith,-h.-jr.,-kreiner-1991-passive-nondestructive-assay-of-nuclear-materials</b:Tag>
    <b:SourceType>Report</b:SourceType>
    <b:Title>Passive Nondestructive Assay of Nuclear Materials</b:Title>
    <b:Year>1991</b:Year>
    <b:Author>
      <b:Author>
        <b:NameList>
          <b:Person>
            <b:First>S.</b:First>
            <b:Last>Reilly, D., Ensslin, N., Smith, H. Jr., Kreiner</b:Last>
          </b:Person>
        </b:NameList>
      </b:Author>
    </b:Author>
    <b:StandardNumber>0160327245</b:StandardNumber>
    <b:RefOrder>12</b:RefOrder>
  </b:Source>
  <b:Source>
    <b:Tag>quinto-hrnecek-2013-determination-of-239pu,-240pu,-241pu-and-242pu-at-femtogram-and-attogram-levels-–-evidence-for-the-migration-of-fallout-plutonium-in-an-ombrotrophic-peat-bog-profile</b:Tag>
    <b:SourceType>JournalArticle</b:SourceType>
    <b:Title>Determination of 239Pu, 240Pu, 241Pu and 242Pu at femtogram and attogram levels – evidence for the migration of fallout plutonium in an ombrotrophic peat bog profile</b:Title>
    <b:Year>2013</b:Year>
    <b:Author>
      <b:Author>
        <b:NameList>
          <b:Person>
            <b:First>Francesca</b:First>
            <b:Last>Quinto</b:Last>
          </b:Person>
          <b:Person>
            <b:First>Erich</b:First>
            <b:Last>Hrnecek</b:Last>
          </b:Person>
          <b:Person>
            <b:First>Michael</b:First>
            <b:Last>Krachler</b:Last>
          </b:Person>
          <b:Person>
            <b:First>William</b:First>
            <b:Last>Shotyk</b:Last>
          </b:Person>
          <b:Person>
            <b:First>Peter</b:First>
            <b:Last>Steier</b:Last>
          </b:Person>
          <b:Person>
            <b:First>Stephan R.</b:First>
            <b:Last>Winkler</b:Last>
          </b:Person>
        </b:NameList>
      </b:Author>
    </b:Author>
    <b:JournalName>Environmental Science: Processes &amp; Impacts</b:JournalName>
    <b:Pages>839</b:Pages>
    <b:Volume>15</b:Volume>
    <b:Issue>4</b:Issue>
    <b:StandardNumber>10.1039/c3em30910j</b:StandardNumber>
    <b:Publisher>The Royal Society of Chemistry</b:Publisher>
    <b:Month>3</b:Month>
    <b:Day>27</b:Day>
    <b:RefOrder>13</b:RefOrder>
  </b:Source>
  <b:Source>
    <b:Tag>parker-beaumont-2018-passive,-non-intrusive-assay-of-depleted-uranium</b:Tag>
    <b:SourceType>JournalArticle</b:SourceType>
    <b:Title>Passive, non-intrusive assay of depleted uranium</b:Title>
    <b:Year>2018</b:Year>
    <b:Author>
      <b:Author>
        <b:NameList>
          <b:Person>
            <b:First>H M O</b:First>
            <b:Last>Parker</b:Last>
          </b:Person>
          <b:Person>
            <b:First>J S</b:First>
            <b:Last>Beaumont</b:Last>
          </b:Person>
          <b:Person>
            <b:First>M J</b:First>
            <b:Last>Joyce</b:Last>
          </b:Person>
        </b:NameList>
      </b:Author>
    </b:Author>
    <b:JournalName>Journal of Hazardous Materials</b:JournalName>
    <b:Pages>293-299</b:Pages>
    <b:Volume>364</b:Volume>
    <b:StandardNumber>10.1016/j.jhazmat.2018.08.018</b:StandardNumber>
    <b:RefOrder>14</b:RefOrder>
  </b:Source>
  <b:Source>
    <b:Tag>of-radiation-air-multi-agency-radiological-laboratory-analytical-protocols-manual,-19-measurement-uncertainty</b:Tag>
    <b:SourceType>Report</b:SourceType>
    <b:Title>Multi-Agency Radiological Laboratory Analytical Protocols Manual, 19 Measurement Uncertainty</b:Title>
    <b:Author>
      <b:Author>
        <b:NameList>
          <b:Person>
            <b:First>Office</b:First>
            <b:Last>of Radiation</b:Last>
          </b:Person>
          <b:Person>
            <b:First>Indoor</b:First>
            <b:Last>Air</b:Last>
          </b:Person>
        </b:NameList>
      </b:Author>
    </b:Author>
    <b:RefOrder>15</b:RefOrder>
  </b:Source>
  <b:Source>
    <b:Tag>muramatsu-hamilton-2001-measurement-of-240pu/239pu-isotopic-ratios-in-soils-from-the-marshall-islands-using-icp-ms</b:Tag>
    <b:SourceType>Report</b:SourceType>
    <b:Title>Measurement of 240Pu/239Pu isotopic ratios in soils from the Marshall Islands using ICP-MS</b:Title>
    <b:Year>2001</b:Year>
    <b:Author>
      <b:Author>
        <b:NameList>
          <b:Person>
            <b:First>Y</b:First>
            <b:Last>Muramatsu</b:Last>
          </b:Person>
          <b:Person>
            <b:First>T</b:First>
            <b:Last>Hamilton</b:Last>
          </b:Person>
          <b:Person>
            <b:First>S</b:First>
            <b:Last>Uchida</b:Last>
          </b:Person>
          <b:Person>
            <b:First>K</b:First>
            <b:Last>Tagami</b:Last>
          </b:Person>
          <b:Person>
            <b:First>S</b:First>
            <b:Last>Yoshida</b:Last>
          </b:Person>
          <b:Person>
            <b:First>W</b:First>
            <b:Last>Robison</b:Last>
          </b:Person>
        </b:NameList>
      </b:Author>
    </b:Author>
    <b:Pages>151159</b:Pages>
    <b:RefOrder>16</b:RefOrder>
  </b:Source>
  <b:Source>
    <b:Tag>mishra-acharya-determination-of-thorium-concentrations-in-soil-and-sand-samples-using-instrumental-neutron-activation-analysis</b:Tag>
    <b:SourceType>JournalArticle</b:SourceType>
    <b:Title>Determination of thorium concentrations in soil and sand samples using instrumental neutron activation analysis</b:Title>
    <b:Author>
      <b:Author>
        <b:NameList>
          <b:Person>
            <b:First>D G</b:First>
            <b:Last>Mishra</b:Last>
          </b:Person>
          <b:Person>
            <b:First>• R</b:First>
            <b:Last>Acharya</b:Last>
          </b:Person>
          <b:Person>
            <b:First>• K K</b:First>
            <b:Last>Swain</b:Last>
          </b:Person>
          <b:Person>
            <b:First>• R M</b:First>
            <b:Last>Joshi</b:Last>
          </b:Person>
          <b:Person>
            <b:First>• V M</b:First>
            <b:Last>Joshi</b:Last>
          </b:Person>
          <b:Person>
            <b:First>• P C</b:First>
            <b:Last>Verma</b:Last>
          </b:Person>
          <b:Person>
            <b:First>• A G</b:First>
            <b:Last>Hegde</b:Last>
          </b:Person>
          <b:Person>
            <b:First>• A V R</b:First>
            <b:Last>Reddy</b:Last>
          </b:Person>
        </b:NameList>
      </b:Author>
    </b:Author>
    <b:StandardNumber>10.1007/s10967-012-1781-3</b:StandardNumber>
    <b:RefOrder>17</b:RefOrder>
  </b:Source>
  <b:Source>
    <b:Tag>martin-knauer-production,-distribution-and-applications-of-californium-252-neutron-sources</b:Tag>
    <b:SourceType>Report</b:SourceType>
    <b:Title>Production, distribution and applications of californium-252 neutron sources</b:Title>
    <b:Author>
      <b:Author>
        <b:NameList>
          <b:Person>
            <b:First>R C</b:First>
            <b:Last>Martin</b:Last>
          </b:Person>
          <b:Person>
            <b:First>J B</b:First>
            <b:Last>Knauer</b:Last>
          </b:Person>
          <b:Person>
            <b:First>P A</b:First>
            <b:Last>Balo</b:Last>
          </b:Person>
        </b:NameList>
      </b:Author>
    </b:Author>
    <b:RefOrder>18</b:RefOrder>
  </b:Source>
  <b:Source>
    <b:Tag>krey-bogen-determination-of-acid-leachable-and-total-plutonium-in-large-soil-samples</b:Tag>
    <b:SourceType>Report</b:SourceType>
    <b:Title>Determination of Acid Leachable and Total Plutonium in Large Soil Samples</b:Title>
    <b:Author>
      <b:Author>
        <b:NameList>
          <b:Person>
            <b:First>P W</b:First>
            <b:Last>Krey</b:Last>
          </b:Person>
          <b:Person>
            <b:First>D C</b:First>
            <b:Last>Bogen</b:Last>
          </b:Person>
        </b:NameList>
      </b:Author>
    </b:Author>
    <b:Pages>7-335</b:Pages>
    <b:RefOrder>19</b:RefOrder>
  </b:Source>
  <b:Source>
    <b:Tag>ketterer-hafer-2004-rapid-dating-of-recent-sediments-in-loch-ness:-inductively-coupled-plasma-mass-spectrometric-measurements-of-global-fallout-plutonium</b:Tag>
    <b:SourceType>JournalArticle</b:SourceType>
    <b:Title>Rapid dating of recent sediments in Loch Ness: inductively coupled plasma mass spectrometric measurements of global fallout plutonium</b:Title>
    <b:Year>2004</b:Year>
    <b:Author>
      <b:Author>
        <b:NameList>
          <b:Person>
            <b:First>Michael E</b:First>
            <b:Last>Ketterer</b:Last>
          </b:Person>
          <b:Person>
            <b:First>Kevin M</b:First>
            <b:Last>Hafer</b:Last>
          </b:Person>
          <b:Person>
            <b:First>Vivienne J</b:First>
            <b:Last>Jones</b:Last>
          </b:Person>
          <b:Person>
            <b:First>Peter G</b:First>
            <b:Last>Appleby</b:Last>
          </b:Person>
        </b:NameList>
      </b:Author>
    </b:Author>
    <b:JournalName>Science of the Total Environment</b:JournalName>
    <b:Pages>221-229</b:Pages>
    <b:Volume>322</b:Volume>
    <b:StandardNumber>10.1016/j.scitotenv.2003.09.016</b:StandardNumber>
    <b:RefOrder>20</b:RefOrder>
  </b:Source>
  <b:Source>
    <b:Tag>kelley-bond-1999-global-distribution-of-pu-isotopes-and-237-np</b:Tag>
    <b:SourceType>Report</b:SourceType>
    <b:Title>Global distribution of Pu isotopes and 237 Np</b:Title>
    <b:Year>1999</b:Year>
    <b:Author>
      <b:Author>
        <b:NameList>
          <b:Person>
            <b:First>J M</b:First>
            <b:Last>Kelley</b:Last>
          </b:Person>
          <b:Person>
            <b:First>L A</b:First>
            <b:Last>Bond</b:Last>
          </b:Person>
          <b:Person>
            <b:First>T M</b:First>
            <b:Last>Beasley</b:Last>
          </b:Person>
        </b:NameList>
      </b:Author>
    </b:Author>
    <b:Pages>483500</b:Pages>
    <b:RefOrder>21</b:RefOrder>
  </b:Source>
  <b:Source>
    <b:Tag>helen-m.o.-parker-michael-d.-aspinall-2016-active-fast-neutron-singles-assay-of-235u-enrichment-in-small-samples-of-triuranium-octoxide</b:Tag>
    <b:SourceType>JournalArticle</b:SourceType>
    <b:Title>Active fast neutron singles assay of 235U enrichment in small samples of triuranium octoxide</b:Title>
    <b:Year>2016</b:Year>
    <b:Author>
      <b:Author>
        <b:NameList>
          <b:Person>
            <b:Last>Helen M.O. Parker</b:Last>
          </b:Person>
          <b:Person>
            <b:Last>Michael D. Aspinall</b:Last>
          </b:Person>
          <b:Person>
            <b:Last>Alex Couture</b:Last>
          </b:Person>
          <b:Person>
            <b:Last>Francis D. Cave</b:Last>
          </b:Person>
          <b:Person>
            <b:Last>Christopher Orr</b:Last>
          </b:Person>
          <b:Person>
            <b:Last>Bryan Swinson</b:Last>
          </b:Person>
          <b:Person>
            <b:Last>Malcolm J. Joyce</b:Last>
          </b:Person>
        </b:NameList>
      </b:Author>
    </b:Author>
    <b:JournalName>Progress in nuclear energy</b:JournalName>
    <b:Pages>59-66</b:Pages>
    <b:Volume>93</b:Volume>
    <b:RefOrder>22</b:RefOrder>
  </b:Source>
  <b:Source>
    <b:Tag>harley-1980-plutonium-in-the-environment---a-review.</b:Tag>
    <b:SourceType>JournalArticle</b:SourceType>
    <b:Title>Plutonium in the environment - A review.</b:Title>
    <b:Year>1980</b:Year>
    <b:Author>
      <b:Author>
        <b:NameList>
          <b:Person>
            <b:First>John H.</b:First>
            <b:Last>Harley</b:Last>
          </b:Person>
        </b:NameList>
      </b:Author>
    </b:Author>
    <b:JournalName>Journal of Radiation Research</b:JournalName>
    <b:Pages>83-104</b:Pages>
    <b:Volume>21</b:Volume>
    <b:Issue>1</b:Issue>
    <b:StandardNumber>10.1269/jrr.21.83</b:StandardNumber>
    <b:Publisher>Oxford University Press</b:Publisher>
    <b:Month>3</b:Month>
    <b:Day>1</b:Day>
    <b:RefOrder>23</b:RefOrder>
  </b:Source>
  <b:Source>
    <b:Tag>green-miller-determination-of-plutonium-240/239-ratios-in-lake-ontario-sediments-chalk-river-nuclear-laboratories,-atomic-energy-of</b:Tag>
    <b:SourceType>Report</b:SourceType>
    <b:Title>Determination of Plutonium 240/239 Ratios in Lake Ontario Sediments Chalk River Nuclear Laboratories, Atomic Energy of</b:Title>
    <b:Author>
      <b:Author>
        <b:NameList>
          <b:Person>
            <b:First>L W</b:First>
            <b:Last>Green</b:Last>
          </b:Person>
          <b:Person>
            <b:First>F C</b:First>
            <b:Last>Miller</b:Last>
          </b:Person>
          <b:Person>
            <b:First>J A</b:First>
            <b:Last>Sparling</b:Last>
          </b:Person>
          <b:Person>
            <b:First>S R</b:First>
            <b:Last>Joshi</b:Last>
          </b:Person>
        </b:NameList>
      </b:Author>
    </b:Author>
    <b:RefOrder>24</b:RefOrder>
  </b:Source>
  <b:Source>
    <b:Tag>galonsky-krusea-1997-neutron-cross-talk-in-a-multi-detector-system</b:Tag>
    <b:SourceType>Report</b:SourceType>
    <b:Title>Neutron cross-talk in a multi-detector system</b:Title>
    <b:Year>1997</b:Year>
    <b:Author>
      <b:Author>
        <b:NameList>
          <b:Person>
            <b:First>A</b:First>
            <b:Last>Galonsky</b:Last>
          </b:Person>
          <b:Person>
            <b:First>JJ</b:First>
            <b:Last>Krusea</b:Last>
          </b:Person>
          <b:Person>
            <b:First>PD</b:First>
            <b:Last>Zecher</b:Last>
          </b:Person>
          <b:Person>
            <b:First>F</b:First>
            <b:Last>DeBkb</b:Last>
          </b:Person>
          <b:Person>
            <b:First>A</b:First>
            <b:Last>HorvBthb</b:Last>
          </b:Person>
          <b:Person>
            <b:First>A</b:First>
            <b:Last>Kissb</b:Last>
          </b:Person>
          <b:Person>
            <b:First>K</b:First>
            <b:Last>Iekid</b:Last>
          </b:Person>
          <b:Person>
            <b:First>Y</b:First>
            <b:Last>Iwatad</b:Last>
          </b:Person>
        </b:NameList>
      </b:Author>
    </b:Author>
    <b:Pages>380-390</b:Pages>
    <b:RefOrder>25</b:RefOrder>
  </b:Source>
  <b:Source>
    <b:Tag>fifield-applications-of-accelerator-mass-spectrometry:-advances-and-innovation</b:Tag>
    <b:SourceType>JournalArticle</b:SourceType>
    <b:Title>Applications of accelerator mass spectrometry: advances and innovation</b:Title>
    <b:Author>
      <b:Author>
        <b:NameList>
          <b:Person>
            <b:First>L K</b:First>
            <b:Last>Fifield</b:Last>
          </b:Person>
        </b:NameList>
      </b:Author>
    </b:Author>
    <b:StandardNumber>10.1016/j.nimb.2004.04.077</b:StandardNumber>
    <b:RefOrder>26</b:RefOrder>
  </b:Source>
  <b:Source>
    <b:Tag>dolan-marcath-2014-active-interrogation-measurements-of-fast-neutrons-from-induced-fission-in-low-enriched-uranium</b:Tag>
    <b:SourceType>JournalArticle</b:SourceType>
    <b:Title>Active-interrogation measurements of fast neutrons from induced fission in low-enriched uranium</b:Title>
    <b:Year>2014</b:Year>
    <b:Author>
      <b:Author>
        <b:NameList>
          <b:Person>
            <b:First>J L</b:First>
            <b:Last>Dolan</b:Last>
          </b:Person>
          <b:Person>
            <b:First>M J</b:First>
            <b:Last>Marcath</b:Last>
          </b:Person>
          <b:Person>
            <b:First>M</b:First>
            <b:Last>Flaska</b:Last>
          </b:Person>
          <b:Person>
            <b:First>S A</b:First>
            <b:Last>Pozzi</b:Last>
          </b:Person>
          <b:Person>
            <b:First>D L</b:First>
            <b:Last>Chichester</b:Last>
          </b:Person>
          <b:Person>
            <b:First>A</b:First>
            <b:Last>Tomanin</b:Last>
          </b:Person>
          <b:Person>
            <b:First>P</b:First>
            <b:Last>Peerani</b:Last>
          </b:Person>
        </b:NameList>
      </b:Author>
    </b:Author>
    <b:StandardNumber>10.1016/j.nima.2013.11.052</b:StandardNumber>
    <b:RefOrder>27</b:RefOrder>
  </b:Source>
  <b:Source>
    <b:Tag>diamond-fields-1960-heavy-isotope-abundances-in-mike-thermonuclear-device</b:Tag>
    <b:SourceType>Report</b:SourceType>
    <b:Title>Heavy Isotope Abundances in Mike Thermonuclear Device</b:Title>
    <b:Year>1960</b:Year>
    <b:Author>
      <b:Author>
        <b:NameList>
          <b:Person>
            <b:First>H</b:First>
            <b:Last>Diamond</b:Last>
          </b:Person>
          <b:Person>
            <b:First>P R</b:First>
            <b:Last>Fields</b:Last>
          </b:Person>
          <b:Person>
            <b:First>C S</b:First>
            <b:Last>Stkvens</b:Last>
          </b:Person>
          <b:Person>
            <b:First>M H</b:First>
            <b:Last>Studier</b:Last>
          </b:Person>
          <b:Person>
            <b:First>M G</b:First>
            <b:Last>Inghram</b:Last>
          </b:Person>
          <b:Person>
            <b:First>D C</b:First>
            <b:Last>Hess</b:Last>
          </b:Person>
          <b:Person>
            <b:First>G L</b:First>
            <b:Last>Pvle$</b:Last>
          </b:Person>
          <b:Person>
            <b:First>J F</b:First>
            <b:Last>Mech</b:Last>
          </b:Person>
          <b:Person>
            <b:First>W M</b:First>
            <b:Last>Manning</b:Last>
          </b:Person>
          <b:Person>
            <b:First>A</b:First>
            <b:Last>Ghiqrso</b:Last>
          </b:Person>
          <b:Person>
            <b:First>S G</b:First>
            <b:Last>Thqmpson</b:Last>
          </b:Person>
          <b:Person>
            <b:First>G H</b:First>
            <b:Last>Higgins</b:Last>
          </b:Person>
          <b:Person>
            <b:First>G T</b:First>
            <b:Last>Seabqrg</b:Last>
          </b:Person>
          <b:Person>
            <b:First>C I</b:First>
            <b:Last>Browne</b:Last>
          </b:Person>
          <b:Person>
            <b:First>H L</b:First>
            <b:Last>Smithy</b:Last>
          </b:Person>
          <b:Person>
            <b:First>R W</b:First>
            <b:Last>Spence</b:Last>
          </b:Person>
        </b:NameList>
      </b:Author>
    </b:Author>
    <b:RefOrder>28</b:RefOrder>
  </b:Source>
  <b:Source>
    <b:Tag>de-mendonça-raulin-2013-analysis-of-atmospheric-pressure-and-temperature-effects-on-cosmic-ray-measurements</b:Tag>
    <b:SourceType>JournalArticle</b:SourceType>
    <b:Title>Analysis of atmospheric pressure and temperature effects on cosmic ray measurements</b:Title>
    <b:Year>2013</b:Year>
    <b:Author>
      <b:Author>
        <b:NameList>
          <b:Person>
            <b:First>R. R. S.</b:First>
            <b:Last>De Mendonça</b:Last>
          </b:Person>
          <b:Person>
            <b:First>J. -P.</b:First>
            <b:Last>Raulin</b:Last>
          </b:Person>
          <b:Person>
            <b:First>E.</b:First>
            <b:Last>Echer</b:Last>
          </b:Person>
          <b:Person>
            <b:First>V. S.</b:First>
            <b:Last>Makhmutov</b:Last>
          </b:Person>
          <b:Person>
            <b:First>G.</b:First>
            <b:Last>Fernandez</b:Last>
          </b:Person>
        </b:NameList>
      </b:Author>
    </b:Author>
    <b:JournalName>Journal of Geophysical Research: Space Physics</b:JournalName>
    <b:Pages>1403-1409</b:Pages>
    <b:Volume>118</b:Volume>
    <b:Issue>4</b:Issue>
    <b:StandardNumber>10.1029/2012JA018026</b:StandardNumber>
    <b:Publisher>John Wiley &amp; Sons, Ltd</b:Publisher>
    <b:Month>4</b:Month>
    <b:Day>1</b:Day>
    <b:RefOrder>29</b:RefOrder>
  </b:Source>
  <b:Source>
    <b:Tag>de-cesare-fifield-2013-actinides-ams-at-circe-and-236-u-and-pu-measurements-of-structural-and-environmental-samples-from-in-and-around-a-mothballed-nuclear-power-plant</b:Tag>
    <b:SourceType>JournalArticle</b:SourceType>
    <b:Title>Actinides AMS at CIRCE and 236 U and Pu measurements of structural and environmental samples from in and around a mothballed nuclear power plant</b:Title>
    <b:Year>2013</b:Year>
    <b:Author>
      <b:Author>
        <b:NameList>
          <b:Person>
            <b:First>M</b:First>
            <b:Last>De Cesare</b:Last>
          </b:Person>
          <b:Person>
            <b:First>L K</b:First>
            <b:Last>Fifield</b:Last>
          </b:Person>
          <b:Person>
            <b:First>C</b:First>
            <b:Last>Sabbarese</b:Last>
          </b:Person>
          <b:Person>
            <b:First>S G</b:First>
            <b:Last>Tims</b:Last>
          </b:Person>
          <b:Person>
            <b:First>N</b:First>
            <b:Last>De Cesare</b:Last>
          </b:Person>
          <b:Person>
            <b:First>A</b:First>
            <b:Last>D'onofrio</b:Last>
          </b:Person>
          <b:Person>
            <b:First>A</b:First>
            <b:Last>D'arco</b:Last>
          </b:Person>
          <b:Person>
            <b:First>A M</b:First>
            <b:Last>Esposito</b:Last>
          </b:Person>
          <b:Person>
            <b:First>A</b:First>
            <b:Last>Petraglia</b:Last>
          </b:Person>
          <b:Person>
            <b:First>V</b:First>
            <b:Last>Roca</b:Last>
          </b:Person>
          <b:Person>
            <b:First>F</b:First>
            <b:Last>Terrasi</b:Last>
          </b:Person>
        </b:NameList>
      </b:Author>
    </b:Author>
    <b:JournalName>Nuclear Inst. and Methods in Physics Research, B</b:JournalName>
    <b:Pages>152-159</b:Pages>
    <b:Volume>294</b:Volume>
    <b:StandardNumber>10.1016/j.nimb.2012.05.020</b:StandardNumber>
    <b:RefOrder>30</b:RefOrder>
  </b:Source>
  <b:Source>
    <b:Tag>day-cross-1981-241am-from-the-decay-of-241pu-in-the-irish-sea</b:Tag>
    <b:SourceType>JournalArticle</b:SourceType>
    <b:Title>241Am from the decay of 241Pu in the Irish Sea</b:Title>
    <b:Year>1981</b:Year>
    <b:Author>
      <b:Author>
        <b:NameList>
          <b:Person>
            <b:First>J. P.</b:First>
            <b:Last>Day</b:Last>
          </b:Person>
          <b:Person>
            <b:First>J. E.</b:First>
            <b:Last>Cross</b:Last>
          </b:Person>
        </b:NameList>
      </b:Author>
    </b:Author>
    <b:JournalName>Nature</b:JournalName>
    <b:Pages>43-45</b:Pages>
    <b:Volume>292</b:Volume>
    <b:Issue>5818</b:Issue>
    <b:StandardNumber>10.1038/292043a0</b:StandardNumber>
    <b:Publisher>Nature Publishing Group</b:Publisher>
    <b:Month>7</b:Month>
    <b:RefOrder>31</b:RefOrder>
  </b:Source>
  <b:Source>
    <b:Tag>curtis-fabryka-martin-1999-nature's-uncommon-elements:-plutonium-and-technetium</b:Tag>
    <b:SourceType>Report</b:SourceType>
    <b:Title>Nature's uncommon elements: Plutonium and technetium</b:Title>
    <b:Year>1999</b:Year>
    <b:Author>
      <b:Author>
        <b:NameList>
          <b:Person>
            <b:First>David</b:First>
            <b:Last>Curtis</b:Last>
          </b:Person>
          <b:Person>
            <b:First>June</b:First>
            <b:Last>Fabryka-Martin</b:Last>
          </b:Person>
          <b:Person>
            <b:First>Paul</b:First>
            <b:Last>Dixon</b:Last>
          </b:Person>
          <b:Person>
            <b:First>Jan</b:First>
            <b:Last>Cramer</b:Last>
          </b:Person>
        </b:NameList>
      </b:Author>
    </b:Author>
    <b:RefOrder>32</b:RefOrder>
  </b:Source>
  <b:Source>
    <b:Tag>chandra-davatz-2010-fast-neutron-detection-in-homeland-security-applications</b:Tag>
    <b:SourceType>ConferenceProceedings</b:SourceType>
    <b:Title>Fast neutron detection in homeland security applications</b:Title>
    <b:Year>2010</b:Year>
    <b:Author>
      <b:Author>
        <b:NameList>
          <b:Person>
            <b:First>R</b:First>
            <b:Last>Chandra</b:Last>
          </b:Person>
          <b:Person>
            <b:First>G</b:First>
            <b:Last>Davatz</b:Last>
          </b:Person>
          <b:Person>
            <b:First>U</b:First>
            <b:Last>Gendotti</b:Last>
          </b:Person>
          <b:Person>
            <b:First>A</b:First>
            <b:Last>Howard</b:Last>
          </b:Person>
        </b:NameList>
      </b:Author>
    </b:Author>
    <b:ConferenceName>IEEE Nuclear Science Symposuim &amp; Medical Imaging Conference</b:ConferenceName>
    <b:Pages>508-511</b:Pages>
    <b:StandardNumber>10.1109/NSSMIC.2010.5873813</b:StandardNumber>
    <b:Publisher>IEEE</b:Publisher>
    <b:RefOrder>33</b:RefOrder>
  </b:Source>
  <b:Source>
    <b:Tag>chamizo-christl-2015-measurement-of-236-u-on-the-1-mv-ams-system-at-the-centro-nacional-de-aceleradores-(cna)</b:Tag>
    <b:SourceType>JournalArticle</b:SourceType>
    <b:Title>Measurement of 236 U on the 1 MV AMS system at the Centro Nacional de Aceleradores (CNA)</b:Title>
    <b:Year>2015</b:Year>
    <b:Author>
      <b:Author>
        <b:NameList>
          <b:Person>
            <b:First>E</b:First>
            <b:Last>Chamizo</b:Last>
          </b:Person>
          <b:Person>
            <b:First>M</b:First>
            <b:Last>Christl</b:Last>
          </b:Person>
          <b:Person>
            <b:First>L K</b:First>
            <b:Last>Fifield</b:Last>
          </b:Person>
        </b:NameList>
      </b:Author>
    </b:Author>
    <b:StandardNumber>10.1016/j.nimb.2015.05.008</b:StandardNumber>
    <b:RefOrder>34</b:RefOrder>
  </b:Source>
  <b:Source>
    <b:Tag>cetnar-2006-general-solution-of-bateman-equations-for-nuclear-transmutations</b:Tag>
    <b:SourceType>JournalArticle</b:SourceType>
    <b:Title>General solution of Bateman equations for nuclear transmutations</b:Title>
    <b:Year>2006</b:Year>
    <b:Author>
      <b:Author>
        <b:NameList>
          <b:Person>
            <b:First>Jerzy</b:First>
            <b:Last>Cetnar</b:Last>
          </b:Person>
        </b:NameList>
      </b:Author>
    </b:Author>
    <b:StandardNumber>10.1016/j.anucene.2006.02.004</b:StandardNumber>
    <b:RefOrder>35</b:RefOrder>
  </b:Source>
  <b:Source>
    <b:Tag>beasley-kelley-1998-isotopic-pu,-u,-and-np-signatures-in-soils-from-semipalatinsk-21,-kazakh-republic-and-the-southern-urals,-russia</b:Tag>
    <b:SourceType>Report</b:SourceType>
    <b:Title>Isotopic Pu, U, and Np Signatures in Soils from Semipalatinsk-21, Kazakh Republic and the Southern Urals, Russia</b:Title>
    <b:Year>1998</b:Year>
    <b:Author>
      <b:Author>
        <b:NameList>
          <b:Person>
            <b:First>T M</b:First>
            <b:Last>Beasley</b:Last>
          </b:Person>
          <b:Person>
            <b:First>J M</b:First>
            <b:Last>Kelley</b:Last>
          </b:Person>
          <b:Person>
            <b:First>K A</b:First>
            <b:Last>Orlandini</b:Last>
          </b:Person>
          <b:Person>
            <b:First>A L A</b:First>
            <b:Last>Bond</b:Last>
          </b:Person>
          <b:Person>
            <b:First>@ A</b:First>
            <b:Last>Aarkrog</b:Last>
          </b:Person>
          <b:Person>
            <b:First>B A P</b:First>
            <b:Last>Trapeznikovc</b:Last>
          </b:Person>
          <b:Person>
            <b:First>V N</b:First>
            <b:Last>Pozolotinac</b:Last>
          </b:Person>
        </b:NameList>
      </b:Author>
    </b:Author>
    <b:Pages>215-230</b:Pages>
    <b:RefOrder>36</b:RefOrder>
  </b:Source>
  <b:Source>
    <b:Tag>beasley-ball-1981-hanford-derived-plutonium-in-columbia-river-sediments.</b:Tag>
    <b:SourceType>JournalArticle</b:SourceType>
    <b:Title>Hanford-derived plutonium in columbia river sediments.</b:Title>
    <b:Year>1981</b:Year>
    <b:Author>
      <b:Author>
        <b:NameList>
          <b:Person>
            <b:First>T M</b:First>
            <b:Last>Beasley</b:Last>
          </b:Person>
          <b:Person>
            <b:First>L A</b:First>
            <b:Last>Ball</b:Last>
          </b:Person>
          <b:Person>
            <b:First>J E</b:First>
            <b:Last>Andrews</b:Last>
          </b:Person>
          <b:Person>
            <b:First>J E</b:First>
            <b:Last>Halverson</b:Last>
          </b:Person>
        </b:NameList>
      </b:Author>
    </b:Author>
    <b:JournalName>Science (New York, N.Y.)</b:JournalName>
    <b:Pages>913-5</b:Pages>
    <b:Volume>214</b:Volume>
    <b:Issue>4523</b:Issue>
    <b:StandardNumber>10.1126/science.214.4523.913</b:StandardNumber>
    <b:Publisher>American Association for the Advancement of Science</b:Publisher>
    <b:Month>11</b:Month>
    <b:Day>20</b:Day>
    <b:RefOrder>37</b:RefOrder>
  </b:Source>
  <b:Source>
    <b:Tag>astromskas-joyce-2018-investigation-of-instabilities-of-photomultiplier-tubes-for-multi-element-detector-systems</b:Tag>
    <b:SourceType>JournalArticle</b:SourceType>
    <b:Title>Investigation of instabilities of photomultiplier tubes for multi-element detector systems</b:Title>
    <b:Year>2018</b:Year>
    <b:Author>
      <b:Author>
        <b:NameList>
          <b:Person>
            <b:First>V.</b:First>
            <b:Last>Astromskas</b:Last>
          </b:Person>
          <b:Person>
            <b:First>M.J.</b:First>
            <b:Last>Joyce</b:Last>
          </b:Person>
          <b:Person>
            <b:First>M.</b:First>
            <b:Last>Aspinall</b:Last>
          </b:Person>
        </b:NameList>
      </b:Author>
    </b:Author>
    <b:JournalName>Journal of Instrumentation</b:JournalName>
    <b:Pages>P10008-P10008</b:Pages>
    <b:Volume>13</b:Volume>
    <b:Issue>10</b:Issue>
    <b:StandardNumber>10.1088/1748-0221/13/10/P10008</b:StandardNumber>
    <b:Publisher>IOP Publishing</b:Publisher>
    <b:Month>10</b:Month>
    <b:Day>4</b:Day>
    <b:RefOrder>38</b:RefOrder>
  </b:Source>
  <b:Source>
    <b:Tag>armstrong-nuessle-2014-plutonium-isotopes-in-the-terrestrial-environment-at-the-savannah-river-site,-usa:-a-long-term-study</b:Tag>
    <b:SourceType>JournalArticle</b:SourceType>
    <b:Title>Plutonium Isotopes in the Terrestrial Environment at the Savannah River Site, USA: A Long-Term Study</b:Title>
    <b:Year>2014</b:Year>
    <b:Author>
      <b:Author>
        <b:NameList>
          <b:Person>
            <b:First>Christopher R</b:First>
            <b:Last>Armstrong</b:Last>
          </b:Person>
          <b:Person>
            <b:First>Patterson R</b:First>
            <b:Last>Nuessle</b:Last>
          </b:Person>
          <b:Person>
            <b:First>Heather A</b:First>
            <b:Last>Brant</b:Last>
          </b:Person>
          <b:Person>
            <b:First>Gregory</b:First>
            <b:Last>Hall</b:Last>
          </b:Person>
          <b:Person>
            <b:First>Justin E</b:First>
            <b:Last>Halverson</b:Last>
          </b:Person>
          <b:Person>
            <b:First>James R</b:First>
            <b:Last>Cadieux</b:Last>
          </b:Person>
        </b:NameList>
      </b:Author>
    </b:Author>
    <b:StandardNumber>10.1021/es504147d</b:StandardNumber>
    <b:RefOrder>39</b:RefOrder>
  </b:Source>
  <b:Source>
    <b:Tag>wordel-mouchel-1996-study-of-neutron-and-muon-background-in-low-level-germanium-gamma-ray-spectrometry</b:Tag>
    <b:SourceType>Report</b:SourceType>
    <b:Title>Study of neutron and muon background in low-level germanium gamma-ray spectrometry</b:Title>
    <b:Year>1996</b:Year>
    <b:Author>
      <b:Author>
        <b:NameList>
          <b:Person>
            <b:First>R</b:First>
            <b:Last>Wordel</b:Last>
          </b:Person>
          <b:Person>
            <b:First>D</b:First>
            <b:Last>Mouchel</b:Last>
          </b:Person>
          <b:Person>
            <b:First>T</b:First>
            <b:Last>Altzitzoglou</b:Last>
          </b:Person>
          <b:Person>
            <b:First>G</b:First>
            <b:Last>Heusserb</b:Last>
          </b:Person>
          <b:Person>
            <b:First>B Quintana</b:First>
            <b:Last>Ames'</b:Last>
          </b:Person>
          <b:Person>
            <b:First>I ?</b:First>
            <b:Last>Meynendonckxd</b:Last>
          </b:Person>
        </b:NameList>
      </b:Author>
    </b:Author>
    <b:Pages>557-562</b:Pages>
    <b:RefOrder>40</b:RefOrder>
  </b:Source>
  <b:Source>
    <b:Tag>srncik-hrnecek-2008-vertical-distribution-of-238pu,-239(40)pu,-241am,-90sr-and-137cs-in-austrian-soil-profiles</b:Tag>
    <b:SourceType>JournalArticle</b:SourceType>
    <b:Title>Vertical distribution of 238Pu, 239(40)Pu, 241Am, 90Sr and 137Cs in Austrian soil profiles</b:Title>
    <b:Year>2008</b:Year>
    <b:Author>
      <b:Author>
        <b:NameList>
          <b:Person>
            <b:First>M.</b:First>
            <b:Last>Srncik</b:Last>
          </b:Person>
          <b:Person>
            <b:First>Erich</b:First>
            <b:Last>Hrnecek</b:Last>
          </b:Person>
          <b:Person>
            <b:First>P.</b:First>
            <b:Last>Steier</b:Last>
          </b:Person>
          <b:Person>
            <b:First>A.</b:First>
            <b:Last>Wallner</b:Last>
          </b:Person>
          <b:Person>
            <b:First>Gabriele</b:First>
            <b:Last>Wallner</b:Last>
          </b:Person>
          <b:Person>
            <b:First>P.</b:First>
            <b:Last>Bossew</b:Last>
          </b:Person>
        </b:NameList>
      </b:Author>
    </b:Author>
    <b:JournalName>Radiochimica Acta</b:JournalName>
    <b:Pages>733-738</b:Pages>
    <b:Volume>96</b:Volume>
    <b:Issue>9-11</b:Issue>
    <b:StandardNumber>10.1524/ract.2008.1559</b:StandardNumber>
    <b:Publisher>Oldenbourg Wissenschaftsverlag GmbH</b:Publisher>
    <b:Month>1</b:Month>
    <b:RefOrder>41</b:RefOrder>
  </b:Source>
  <b:Source>
    <b:Tag>smedley-lapworth-2006-uranium-occurrence-and-behaviour-in-british-groundwater</b:Tag>
    <b:SourceType>Report</b:SourceType>
    <b:Title>Uranium occurrence and behaviour in British groundwater</b:Title>
    <b:Year>2006</b:Year>
    <b:Author>
      <b:Author>
        <b:NameList>
          <b:Person>
            <b:First>P L</b:First>
            <b:Last>Smedley</b:Last>
          </b:Person>
          <b:Person>
            <b:First>D</b:First>
            <b:Last>Lapworth</b:Last>
          </b:Person>
        </b:NameList>
      </b:Author>
    </b:Author>
    <b:RefOrder>42</b:RefOrder>
  </b:Source>
  <b:Source>
    <b:Tag>savary-pagel-1997-the-effects-of-water-radiolysis-on-local-redox-conditions-in-the-oklo,-gabon,-natural-fission-reactors-10-and-16</b:Tag>
    <b:SourceType>JournalArticle</b:SourceType>
    <b:Title>The effects of water radiolysis on local redox conditions in the Oklo, Gabon, natural fission reactors 10 and 16</b:Title>
    <b:Year>1997</b:Year>
    <b:Author>
      <b:Author>
        <b:NameList>
          <b:Person>
            <b:First>Véronique</b:First>
            <b:Last>Savary</b:Last>
          </b:Person>
          <b:Person>
            <b:First>Maurice</b:First>
            <b:Last>Pagel</b:Last>
          </b:Person>
        </b:NameList>
      </b:Author>
    </b:Author>
    <b:JournalName>Geochimica et Cosmochimica Acta</b:JournalName>
    <b:Pages>4479-4494</b:Pages>
    <b:Volume>61</b:Volume>
    <b:Issue>21</b:Issue>
    <b:StandardNumber>10.1016/S0016-7037(97)00261-5</b:StandardNumber>
    <b:Publisher>Pergamon</b:Publisher>
    <b:Month>11</b:Month>
    <b:Day>1</b:Day>
    <b:RefOrder>43</b:RefOrder>
  </b:Source>
  <b:Source>
    <b:Tag>read-bennett-1993-the-migration-of-uranium-into-peat-rich-soils-at-broubster,-caithness,-scotland,-u.k.</b:Tag>
    <b:SourceType>JournalArticle</b:SourceType>
    <b:Title>The migration of uranium into peat-rich soils at Broubster, Caithness, Scotland, U.K.</b:Title>
    <b:Year>1993</b:Year>
    <b:Author>
      <b:Author>
        <b:NameList>
          <b:Person>
            <b:First>D.</b:First>
            <b:Last>Read</b:Last>
          </b:Person>
          <b:Person>
            <b:First>D.G.</b:First>
            <b:Last>Bennett</b:Last>
          </b:Person>
          <b:Person>
            <b:First>P.J.</b:First>
            <b:Last>Hooker</b:Last>
          </b:Person>
          <b:Person>
            <b:First>M.</b:First>
            <b:Last>Ivanovich</b:Last>
          </b:Person>
          <b:Person>
            <b:First>G.</b:First>
            <b:Last>Longworth</b:Last>
          </b:Person>
          <b:Person>
            <b:First>A.E.</b:First>
            <b:Last>Milodowski</b:Last>
          </b:Person>
          <b:Person>
            <b:First>D.J.</b:First>
            <b:Last>Noy</b:Last>
          </b:Person>
        </b:NameList>
      </b:Author>
    </b:Author>
    <b:JournalName>Journal of Contaminant Hydrology</b:JournalName>
    <b:Pages>291-308</b:Pages>
    <b:Volume>13</b:Volume>
    <b:Issue>1-4</b:Issue>
    <b:StandardNumber>10.1016/0169-7722(93)90067-3</b:StandardNumber>
    <b:Publisher>Elsevier</b:Publisher>
    <b:Month>6</b:Month>
    <b:Day>1</b:Day>
    <b:RefOrder>44</b:RefOrder>
  </b:Source>
  <b:Source>
    <b:Tag>nuclear-decommissioning-authority-2006-sire-end-state-definition-process</b:Tag>
    <b:SourceType>Report</b:SourceType>
    <b:Title>Sire End State Definition Process</b:Title>
    <b:Year>2006</b:Year>
    <b:Author>
      <b:Author>
        <b:NameList>
          <b:Person>
            <b:Last>Nuclear Decommissioning Authority</b:Last>
          </b:Person>
        </b:NameList>
      </b:Author>
    </b:Author>
    <b:RefOrder>45</b:RefOrder>
  </b:Source>
  <b:Source>
    <b:Tag>nakae-chapline-2011-recent-developments-in-fast-neutron-detection-and-multiplicity-counting-with-liquid-scintillator-articles-you-may-be-interested-in</b:Tag>
    <b:SourceType>JournalArticle</b:SourceType>
    <b:Title>Recent Developments in Fast Neutron Detection and Multiplicity Counting with Liquid Scintillator ARTICLES YOU MAY BE INTERESTED IN</b:Title>
    <b:Year>2011</b:Year>
    <b:Author>
      <b:Author>
        <b:NameList>
          <b:Person>
            <b:First>L F</b:First>
            <b:Last>Nakae</b:Last>
          </b:Person>
          <b:Person>
            <b:First>G F</b:First>
            <b:Last>Chapline</b:Last>
          </b:Person>
          <b:Person>
            <b:First>A M</b:First>
            <b:Last>Glenn</b:Last>
          </b:Person>
          <b:Person>
            <b:First>P L</b:First>
            <b:Last>Kerr</b:Last>
          </b:Person>
          <b:Person>
            <b:First>K S</b:First>
            <b:Last>Kim</b:Last>
          </b:Person>
          <b:Person>
            <b:First>S A</b:First>
            <b:Last>Ouedraogo</b:Last>
          </b:Person>
          <b:Person>
            <b:First>M K</b:First>
            <b:Last>Prasad</b:Last>
          </b:Person>
          <b:Person>
            <b:First>S A</b:First>
            <b:Last>Sheets</b:Last>
          </b:Person>
          <b:Person>
            <b:First>N J</b:First>
            <b:Last>Snyderman</b:Last>
          </b:Person>
          <b:Person>
            <b:First>J M</b:First>
            <b:Last>Verbeke</b:Last>
          </b:Person>
          <b:Person>
            <b:First>R E</b:First>
            <b:Last>Wurtz</b:Last>
          </b:Person>
        </b:NameList>
      </b:Author>
    </b:Author>
    <b:Pages>240</b:Pages>
    <b:Volume>1412</b:Volume>
    <b:StandardNumber>10.1063/1.3665320</b:StandardNumber>
    <b:RefOrder>46</b:RefOrder>
  </b:Source>
  <b:Source>
    <b:Tag>lydia-svetlana-2011-the-relationship-of-mineral-and-geochemical-composition-to-artificial-radionuclide-partitioning-inyenisei-river-sediments-downstream-frommining-and-chemical-combine-rosatom</b:Tag>
    <b:SourceType>JournalArticle</b:SourceType>
    <b:Title>The relationship of mineral and geochemical composition to artificial radionuclide partitioning inYenisei river sediments downstream frommining-and-chemical combine rosatom</b:Title>
    <b:Year>2011</b:Year>
    <b:Author>
      <b:Author>
        <b:NameList>
          <b:Person>
            <b:First>Bondareva</b:First>
            <b:Last>Lydia</b:Last>
          </b:Person>
          <b:Person>
            <b:First>Artamonova</b:First>
            <b:Last>Svetlana</b:Last>
          </b:Person>
        </b:NameList>
      </b:Author>
    </b:Author>
    <b:JournalName>Natural Science</b:JournalName>
    <b:Pages>517-529</b:Pages>
    <b:Volume>03</b:Volume>
    <b:Issue>07</b:Issue>
    <b:StandardNumber>10.4236/ns.2011.37073</b:StandardNumber>
    <b:Publisher>Scientific Research Publishing</b:Publisher>
    <b:Month>7</b:Month>
    <b:Day>25</b:Day>
    <b:RefOrder>47</b:RefOrder>
  </b:Source>
  <b:Source>
    <b:Tag>levine-seaborg-vol-1951-the-occurrence-of-plutonium-in-nature</b:Tag>
    <b:SourceType>JournalArticle</b:SourceType>
    <b:Title>The Occurrence of Plutonium in Nature</b:Title>
    <b:Year>1951</b:Year>
    <b:Author>
      <b:Author>
        <b:NameList>
          <b:Person>
            <b:First>Charles A</b:First>
            <b:Last>Levine</b:Last>
          </b:Person>
          <b:Person>
            <b:First>Glenn T</b:First>
            <b:Last>Seaborg Vol</b:Last>
          </b:Person>
          <b:Person>
            <b:First>By A</b:First>
            <b:Last>Charles Levine</b:Last>
          </b:Person>
          <b:Person>
            <b:First>Glenn T</b:First>
            <b:Last>Seaborg</b:Last>
          </b:Person>
        </b:NameList>
      </b:Author>
    </b:Author>
    <b:JournalName>Journal of the American Chemical Society</b:JournalName>
    <b:Pages>3278-3283</b:Pages>
    <b:Volume>7</b:Volume>
    <b:Issue>73</b:Issue>
    <b:StandardNumber>10.1021/ja01151a085</b:StandardNumber>
    <b:RefOrder>48</b:RefOrder>
  </b:Source>
  <b:Source>
    <b:Tag>leng-henderson-2016-sorption-of-plutonium-on-geological-materials-associated-with-a-chinese-radioactive-waste-repository:-influence-of-ph</b:Tag>
    <b:SourceType>JournalArticle</b:SourceType>
    <b:Title>Sorption of plutonium on geological materials associated with a Chinese radioactive waste repository: influence of pH</b:Title>
    <b:Year>2016</b:Year>
    <b:Author>
      <b:Author>
        <b:NameList>
          <b:Person>
            <b:First>Yangchun</b:First>
            <b:Last>Leng</b:Last>
          </b:Person>
          <b:Person>
            <b:First>Mark Julian</b:First>
            <b:Last>Henderson</b:Last>
          </b:Person>
          <b:Person>
            <b:First>Jérémie</b:First>
            <b:Last>Courtois</b:Last>
          </b:Person>
          <b:Person>
            <b:First>Huailiang</b:First>
            <b:Last>Li</b:Last>
          </b:Person>
          <b:Person>
            <b:First>Kun</b:First>
            <b:Last>Xiong</b:Last>
          </b:Person>
          <b:Person>
            <b:First>Xianguo</b:First>
            <b:Last>Tuo</b:Last>
          </b:Person>
          <b:Person>
            <b:First>Minhao</b:First>
            <b:Last>Yan</b:Last>
          </b:Person>
        </b:NameList>
      </b:Author>
    </b:Author>
    <b:JournalName>Journal of Radioanalytical and Nuclear Chemistry</b:JournalName>
    <b:Pages>895-903</b:Pages>
    <b:Volume>308</b:Volume>
    <b:Issue>3</b:Issue>
    <b:StandardNumber>10.1007/s10967-015-4594-3</b:StandardNumber>
    <b:Publisher>Springer Netherlands</b:Publisher>
    <b:Month>6</b:Month>
    <b:Day>8</b:Day>
    <b:RefOrder>49</b:RefOrder>
  </b:Source>
  <b:Source>
    <b:Tag>koide-griffin-1975-records-of-plutonium-fallout-in-marine-and-terrestrial-samples</b:Tag>
    <b:SourceType>JournalArticle</b:SourceType>
    <b:Title>Records of plutonium fallout in marine and terrestrial samples</b:Title>
    <b:Year>1975</b:Year>
    <b:Author>
      <b:Author>
        <b:NameList>
          <b:Person>
            <b:First>M.</b:First>
            <b:Last>Koide</b:Last>
          </b:Person>
          <b:Person>
            <b:First>J. J.</b:First>
            <b:Last>Griffin</b:Last>
          </b:Person>
          <b:Person>
            <b:First>E. D.</b:First>
            <b:Last>Goldberg</b:Last>
          </b:Person>
        </b:NameList>
      </b:Author>
    </b:Author>
    <b:JournalName>Journal of Geophysical Research</b:JournalName>
    <b:Pages>4153-4162</b:Pages>
    <b:Volume>80</b:Volume>
    <b:Issue>30</b:Issue>
    <b:StandardNumber>10.1029/JC080i030p04153</b:StandardNumber>
    <b:Publisher>John Wiley &amp; Sons, Ltd</b:Publisher>
    <b:Month>10</b:Month>
    <b:Day>20</b:Day>
    <b:RefOrder>50</b:RefOrder>
  </b:Source>
  <b:Source>
    <b:Tag>ketterer-hafer-2004-resolving-chernobyl-vs.-global-fallout-contributions-in-soils-from-poland-using-plutonium-atom-ratios-measured-by-inductively-coupled-plasma-mass-spectrometry</b:Tag>
    <b:SourceType>JournalArticle</b:SourceType>
    <b:Title>Resolving Chernobyl vs. global fallout contributions in soils from Poland using Plutonium atom ratios measured by inductively coupled plasma mass spectrometry</b:Title>
    <b:Year>2004</b:Year>
    <b:Author>
      <b:Author>
        <b:NameList>
          <b:Person>
            <b:First>Michael E</b:First>
            <b:Last>Ketterer</b:Last>
          </b:Person>
          <b:Person>
            <b:First>Kevin M</b:First>
            <b:Last>Hafer</b:Last>
          </b:Person>
          <b:Person>
            <b:First>Jerzy W</b:First>
            <b:Last>Mietelski</b:Last>
          </b:Person>
        </b:NameList>
      </b:Author>
    </b:Author>
    <b:JournalName>Journal of Environmental Radioactivity</b:JournalName>
    <b:Pages>183-201</b:Pages>
    <b:Volume>73</b:Volume>
    <b:StandardNumber>10.1016/j.jenvrad.2003.09.001</b:StandardNumber>
    <b:RefOrder>51</b:RefOrder>
  </b:Source>
  <b:Source>
    <b:Tag>harry-bateman-1910-the-solution-of-a-system-of-differential-equations-occurring-in-the-theory-of-radioactive-transformations</b:Tag>
    <b:SourceType>Report</b:SourceType>
    <b:Title>The solution of a system of differential equations occurring in the theory of radioactive transformations</b:Title>
    <b:Year>1910</b:Year>
    <b:Author>
      <b:Author>
        <b:NameList>
          <b:Person>
            <b:Last>Harry Bateman</b:Last>
          </b:Person>
        </b:NameList>
      </b:Author>
    </b:Author>
    <b:RefOrder>52</b:RefOrder>
  </b:Source>
  <b:Source>
    <b:Tag>gamage-joyce-2014-sector-shaped-fast-organic-liquid-scintillation-detectors-based-neutron-coincidence-counter</b:Tag>
    <b:SourceType>JournalArticle</b:SourceType>
    <b:Title>Sector-shaped fast organic liquid scintillation detectors based neutron coincidence counter</b:Title>
    <b:Year>2014</b:Year>
    <b:Author>
      <b:Author>
        <b:NameList>
          <b:Person>
            <b:First>K.A.A.</b:First>
            <b:Last>Gamage</b:Last>
          </b:Person>
          <b:Person>
            <b:First>M.J.</b:First>
            <b:Last>Joyce</b:Last>
          </b:Person>
          <b:Person>
            <b:First>F.D.</b:First>
            <b:Last>Cave</b:Last>
          </b:Person>
        </b:NameList>
      </b:Author>
    </b:Author>
    <b:JournalName>Applied Radiation and Isotopes</b:JournalName>
    <b:Pages>1-5</b:Pages>
    <b:Volume>92</b:Volume>
    <b:StandardNumber>10.1016/J.APRADISO.2014.06.002</b:StandardNumber>
    <b:Publisher>Pergamon</b:Publisher>
    <b:Month>9</b:Month>
    <b:Day>1</b:Day>
    <b:RefOrder>53</b:RefOrder>
  </b:Source>
  <b:Source>
    <b:Tag>decommissioning-authority-strategy-effective-from-april-2016</b:Tag>
    <b:SourceType>Report</b:SourceType>
    <b:Title>Strategy Effective from April 2016</b:Title>
    <b:Author>
      <b:Author>
        <b:NameList>
          <b:Person>
            <b:First>Nuclear</b:First>
            <b:Last>Decommissioning Authority</b:Last>
          </b:Person>
        </b:NameList>
      </b:Author>
    </b:Author>
    <b:RefOrder>54</b:RefOrder>
  </b:Source>
  <b:Source>
    <b:Tag>christl-vockenhuber-2013-the-eth-zurich-ams-facilities:-performance-parameters-and-reference-materials</b:Tag>
    <b:SourceType>JournalArticle</b:SourceType>
    <b:Title>The ETH Zurich AMS facilities: Performance parameters and reference materials</b:Title>
    <b:Year>2013</b:Year>
    <b:Author>
      <b:Author>
        <b:NameList>
          <b:Person>
            <b:First>M.</b:First>
            <b:Last>Christl</b:Last>
          </b:Person>
          <b:Person>
            <b:First>C.</b:First>
            <b:Last>Vockenhuber</b:Last>
          </b:Person>
          <b:Person>
            <b:First>P.W.</b:First>
            <b:Last>Kubik</b:Last>
          </b:Person>
          <b:Person>
            <b:First>L.</b:First>
            <b:Last>Wacker</b:Last>
          </b:Person>
          <b:Person>
            <b:First>J.</b:First>
            <b:Last>Lachner</b:Last>
          </b:Person>
          <b:Person>
            <b:First>V.</b:First>
            <b:Last>Alfimov</b:Last>
          </b:Person>
          <b:Person>
            <b:First>H.-A.</b:First>
            <b:Last>Synal</b:Last>
          </b:Person>
        </b:NameList>
      </b:Author>
    </b:Author>
    <b:JournalName>Nuclear Instruments and Methods in Physics Research Section B: Beam Interactions with Materials and Atoms</b:JournalName>
    <b:Pages>29-38</b:Pages>
    <b:Volume>294</b:Volume>
    <b:StandardNumber>10.1016/J.NIMB.2012.03.004</b:StandardNumber>
    <b:Publisher>North-Holland</b:Publisher>
    <b:Month>1</b:Month>
    <b:Day>1</b:Day>
    <b:RefOrder>55</b:RefOrder>
  </b:Source>
  <b:Source>
    <b:Tag>buesseler-1997-the-isotopic-signature-of-fallout-plutonium-in-the-north-pacific</b:Tag>
    <b:SourceType>JournalArticle</b:SourceType>
    <b:Title>The isotopic signature of fallout plutonium in the North Pacific</b:Title>
    <b:Year>1997</b:Year>
    <b:Author>
      <b:Author>
        <b:NameList>
          <b:Person>
            <b:First>Ken O.</b:First>
            <b:Last>Buesseler</b:Last>
          </b:Person>
        </b:NameList>
      </b:Author>
    </b:Author>
    <b:JournalName>Journal of Environmental Radioactivity</b:JournalName>
    <b:Pages>69-83</b:Pages>
    <b:Volume>36</b:Volume>
    <b:Issue>1</b:Issue>
    <b:StandardNumber>10.1016/S0265-931X(96)00071-9</b:StandardNumber>
    <b:Publisher>Elsevier</b:Publisher>
    <b:Month>1</b:Month>
    <b:Day>1</b:Day>
    <b:RefOrder>56</b:RefOrder>
  </b:Source>
  <b:Source>
    <b:Tag>brian-martin-1982-the-global-health-effects-of-nuclear-war</b:Tag>
    <b:SourceType>InternetSite</b:SourceType>
    <b:Title>The global health effects of nuclear war</b:Title>
    <b:Year>1982</b:Year>
    <b:Author>
      <b:Author>
        <b:NameList>
          <b:Person>
            <b:Last>Brian Martin</b:Last>
          </b:Person>
        </b:NameList>
      </b:Author>
    </b:Author>
    <b:URL>https://www.uow.edu.au/~bmartin/pubs/82cab/</b:URL>
    <b:RefOrder>57</b:RefOrder>
  </b:Source>
  <b:Source>
    <b:Tag>aspinall-joyce-2016-real-time-capabilities-of-a-digital-analyzer-for-mixed-field-assay-using-scintillation-detectors</b:Tag>
    <b:SourceType>JournalArticle</b:SourceType>
    <b:Title>Real-Time Capabilities of a Digital Analyzer for Mixed-Field Assay using Scintillation Detectors</b:Title>
    <b:Year>2016</b:Year>
    <b:Author>
      <b:Author>
        <b:NameList>
          <b:Person>
            <b:First>Michael D</b:First>
            <b:Last>Aspinall</b:Last>
          </b:Person>
          <b:Person>
            <b:First>Malcolm J</b:First>
            <b:Last>Joyce</b:Last>
          </b:Person>
          <b:Person>
            <b:First>Anthony</b:First>
            <b:Last>Lavietes</b:Last>
          </b:Person>
          <b:Person>
            <b:First>Romano</b:First>
            <b:Last>Plenteda</b:Last>
          </b:Person>
          <b:Person>
            <b:First>Frank D</b:First>
            <b:Last>Cave</b:Last>
          </b:Person>
          <b:Person>
            <b:First>Helen M O</b:First>
            <b:Last>Parker</b:Last>
          </b:Person>
          <b:Person>
            <b:First>Ashley</b:First>
            <b:Last>Jones</b:Last>
          </b:Person>
          <b:Person>
            <b:First>Vytautas</b:First>
            <b:Last>Astromskas</b:Last>
          </b:Person>
        </b:NameList>
      </b:Author>
    </b:Author>
    <b:StandardNumber>10.1109/TNS.2017.2654512</b:StandardNumber>
    <b:RefOrder>58</b:RefOrder>
  </b:Source>
  <b:Source>
    <b:Tag>the-contaminated-land-(scotland)-regulations-2000</b:Tag>
    <b:SourceType>JournalArticle</b:SourceType>
    <b:Title>The Contaminated Land (Scotland) Regulations 2000</b:Title>
    <b:Author/>
    <b:Publisher>Queen's Printer for Scotland</b:Publisher>
    <b:RefOrder>59</b:RefOrder>
  </b:Source>
  <b:Source>
    <b:Tag>xu-qiao-2014-determination-of-plutonium-isotopes-(238pu,-239pu,-240pu,-241pu)-in-environmental-samples-using-radiochemical-separation-combined-with-radiometric-and-mass-spectrometric-measurements</b:Tag>
    <b:SourceType>JournalArticle</b:SourceType>
    <b:Title>Determination of plutonium isotopes (238Pu, 239Pu, 240Pu, 241Pu) in environmental samples using radiochemical separation combined with radiometric and mass spectrometric measurements</b:Title>
    <b:Year>2014</b:Year>
    <b:Author>
      <b:Author>
        <b:NameList>
          <b:Person>
            <b:First>Yihong</b:First>
            <b:Last>Xu</b:Last>
          </b:Person>
          <b:Person>
            <b:First>Jixin</b:First>
            <b:Last>Qiao</b:Last>
          </b:Person>
          <b:Person>
            <b:First>Xiaolin</b:First>
            <b:Last>Hou</b:Last>
          </b:Person>
          <b:Person>
            <b:First>Shaoming</b:First>
            <b:Last>Pan</b:Last>
          </b:Person>
          <b:Person>
            <b:First>Per</b:First>
            <b:Last>Roos</b:Last>
          </b:Person>
        </b:NameList>
      </b:Author>
    </b:Author>
    <b:JournalName>Talanta</b:JournalName>
    <b:Pages>590-595</b:Pages>
    <b:Volume>119</b:Volume>
    <b:StandardNumber>10.1016/J.TALANTA.2013.11.061</b:StandardNumber>
    <b:Publisher>Elsevier</b:Publisher>
    <b:Month>2</b:Month>
    <b:Day>15</b:Day>
    <b:RefOrder>60</b:RefOrder>
  </b:Source>
  <b:Source>
    <b:Tag>wielopolski-doron-2012-nuclear-spectroscopy-for-in-situ-soil-elemental-analysis:-monte-carlo-simulations</b:Tag>
    <b:SourceType>JournalArticle</b:SourceType>
    <b:Title>Nuclear spectroscopy for in situ soil elemental analysis: Monte Carlo simulations</b:Title>
    <b:Year>2012</b:Year>
    <b:Author>
      <b:Author>
        <b:NameList>
          <b:Person>
            <b:First>L.</b:First>
            <b:Last>Wielopolski</b:Last>
          </b:Person>
          <b:Person>
            <b:First>O.</b:First>
            <b:Last>Doron</b:Last>
          </b:Person>
        </b:NameList>
      </b:Author>
    </b:Author>
    <b:JournalName>Applied Radiation and Isotopes</b:JournalName>
    <b:Pages>1085-1088</b:Pages>
    <b:Volume>70</b:Volume>
    <b:Issue>7</b:Issue>
    <b:StandardNumber>10.1016/j.apradiso.2011.11.027</b:StandardNumber>
    <b:RefOrder>61</b:RefOrder>
  </b:Source>
  <b:Source>
    <b:Tag>warneke-2002-high-precision-isotope-ratio-measurements-of-uranium-and-plutonium-in-the-environment</b:Tag>
    <b:SourceType>JournalArticle</b:SourceType>
    <b:Title>High-precision isotope ratio measurements of uranium and plutonium in the environment</b:Title>
    <b:Year>2002</b:Year>
    <b:Author>
      <b:Author>
        <b:NameList>
          <b:Person>
            <b:Last>Warneke</b:Last>
          </b:Person>
        </b:NameList>
      </b:Author>
    </b:Author>
    <b:JournalName>PhD</b:JournalName>
    <b:RefOrder>62</b:RefOrder>
  </b:Source>
  <b:Source>
    <b:Tag>tims-froehlich-2016-236u-and-239,240pu-ratios-from-soils-around-an-australian-nuclear-weapons-test-site</b:Tag>
    <b:SourceType>JournalArticle</b:SourceType>
    <b:Title>236U and 239,240Pu ratios from soils around an Australian nuclear weapons test site</b:Title>
    <b:Year>2016</b:Year>
    <b:Author>
      <b:Author>
        <b:NameList>
          <b:Person>
            <b:First>S.G.</b:First>
            <b:Last>Tims</b:Last>
          </b:Person>
          <b:Person>
            <b:First>M.B.</b:First>
            <b:Last>Froehlich</b:Last>
          </b:Person>
          <b:Person>
            <b:First>L.K.</b:First>
            <b:Last>Fifield</b:Last>
          </b:Person>
          <b:Person>
            <b:First>A.</b:First>
            <b:Last>Wallner</b:Last>
          </b:Person>
          <b:Person>
            <b:First>M.</b:First>
            <b:Last>De Cesare</b:Last>
          </b:Person>
        </b:NameList>
      </b:Author>
    </b:Author>
    <b:JournalName>Journal of Environmental Radioactivity</b:JournalName>
    <b:Pages>563-567</b:Pages>
    <b:Volume>151</b:Volume>
    <b:StandardNumber>10.1016/J.JENVRAD.2015.06.020</b:StandardNumber>
    <b:Publisher>Elsevier</b:Publisher>
    <b:Month>1</b:Month>
    <b:Day>1</b:Day>
    <b:RefOrder>63</b:RefOrder>
  </b:Source>
  <b:Source>
    <b:Tag>thakur-khaing-2017-plutonium-in-the-atmosphere:-a-global-perspective</b:Tag>
    <b:SourceType>JournalArticle</b:SourceType>
    <b:Title>Plutonium in the atmosphere: A global perspective</b:Title>
    <b:Year>2017</b:Year>
    <b:Author>
      <b:Author>
        <b:NameList>
          <b:Person>
            <b:First>P.</b:First>
            <b:Last>Thakur</b:Last>
          </b:Person>
          <b:Person>
            <b:First>H.</b:First>
            <b:Last>Khaing</b:Last>
          </b:Person>
          <b:Person>
            <b:First>S.</b:First>
            <b:Last>Salminen-Paatero</b:Last>
          </b:Person>
        </b:NameList>
      </b:Author>
    </b:Author>
    <b:JournalName>Journal of Environmental Radioactivity</b:JournalName>
    <b:Pages>39-51</b:Pages>
    <b:Volume>175-176</b:Volume>
    <b:StandardNumber>10.1016/J.JENVRAD.2017.04.008</b:StandardNumber>
    <b:Publisher>Elsevier</b:Publisher>
    <b:Month>9</b:Month>
    <b:Day>1</b:Day>
    <b:RefOrder>64</b:RefOrder>
  </b:Source>
  <b:Source>
    <b:Tag>synal-2013-developments-in-accelerator-mass-spectrometry</b:Tag>
    <b:SourceType>JournalArticle</b:SourceType>
    <b:Title>Developments in accelerator mass spectrometry</b:Title>
    <b:Year>2013</b:Year>
    <b:Author>
      <b:Author>
        <b:NameList>
          <b:Person>
            <b:First>Hans-Arno</b:First>
            <b:Last>Synal</b:Last>
          </b:Person>
        </b:NameList>
      </b:Author>
    </b:Author>
    <b:JournalName>International Journal of Mass Spectrometry</b:JournalName>
    <b:Pages>192-202</b:Pages>
    <b:Volume>349-350</b:Volume>
    <b:StandardNumber>10.1016/J.IJMS.2013.05.008</b:StandardNumber>
    <b:Publisher>Elsevier</b:Publisher>
    <b:Month>9</b:Month>
    <b:Day>1</b:Day>
    <b:RefOrder>65</b:RefOrder>
  </b:Source>
  <b:Source>
    <b:Tag>steier-hrnecek-2013-ams-of-the-minor-plutonium-isotopes.</b:Tag>
    <b:SourceType>JournalArticle</b:SourceType>
    <b:Title>AMS of the Minor Plutonium Isotopes.</b:Title>
    <b:Year>2013</b:Year>
    <b:Author>
      <b:Author>
        <b:NameList>
          <b:Person>
            <b:First>P</b:First>
            <b:Last>Steier</b:Last>
          </b:Person>
          <b:Person>
            <b:First>E</b:First>
            <b:Last>Hrnecek</b:Last>
          </b:Person>
          <b:Person>
            <b:First>A</b:First>
            <b:Last>Priller</b:Last>
          </b:Person>
          <b:Person>
            <b:First>F</b:First>
            <b:Last>Quinto</b:Last>
          </b:Person>
          <b:Person>
            <b:First>M</b:First>
            <b:Last>Srncik</b:Last>
          </b:Person>
          <b:Person>
            <b:First>A</b:First>
            <b:Last>Wallner</b:Last>
          </b:Person>
          <b:Person>
            <b:First>G</b:First>
            <b:Last>Wallner</b:Last>
          </b:Person>
          <b:Person>
            <b:First>S</b:First>
            <b:Last>Winkler</b:Last>
          </b:Person>
        </b:NameList>
      </b:Author>
    </b:Author>
    <b:JournalName>Nuclear instruments &amp; methods in physics research. Section B, Beam interactions with materials and atoms</b:JournalName>
    <b:Pages>160-164</b:Pages>
    <b:Volume>294</b:Volume>
    <b:Issue>2-2</b:Issue>
    <b:StandardNumber>10.1016/j.nimb.2012.06.017</b:StandardNumber>
    <b:Publisher>Elsevier</b:Publisher>
    <b:Month>1</b:Month>
    <b:RefOrder>66</b:RefOrder>
  </b:Source>
  <b:Source>
    <b:Tag>smith-child-2016-measurement-of-fallout-radionuclides,-239,240pu-and-137cs,-in-soil-and-creek-sediment:-sydney-basin,-australia</b:Tag>
    <b:SourceType>JournalArticle</b:SourceType>
    <b:Title>Measurement of fallout radionuclides, 239,240Pu and 137Cs, in soil and creek sediment: Sydney Basin, Australia</b:Title>
    <b:Year>2016</b:Year>
    <b:Author>
      <b:Author>
        <b:NameList>
          <b:Person>
            <b:First>B.S.</b:First>
            <b:Last>Smith</b:Last>
          </b:Person>
          <b:Person>
            <b:First>D.P.</b:First>
            <b:Last>Child</b:Last>
          </b:Person>
          <b:Person>
            <b:First>D.</b:First>
            <b:Last>Fierro</b:Last>
          </b:Person>
          <b:Person>
            <b:First>J.J.</b:First>
            <b:Last>Harrison</b:Last>
          </b:Person>
          <b:Person>
            <b:First>H.</b:First>
            <b:Last>Heijnis</b:Last>
          </b:Person>
          <b:Person>
            <b:First>M.A.C.</b:First>
            <b:Last>Hotchkis</b:Last>
          </b:Person>
          <b:Person>
            <b:First>M.P.</b:First>
            <b:Last>Johansen</b:Last>
          </b:Person>
          <b:Person>
            <b:First>S.</b:First>
            <b:Last>Marx</b:Last>
          </b:Person>
          <b:Person>
            <b:First>T.E.</b:First>
            <b:Last>Payne</b:Last>
          </b:Person>
          <b:Person>
            <b:First>A.</b:First>
            <b:Last>Zawadzki</b:Last>
          </b:Person>
        </b:NameList>
      </b:Author>
    </b:Author>
    <b:JournalName>Journal of Environmental Radioactivity</b:JournalName>
    <b:Pages>579-586</b:Pages>
    <b:Volume>151</b:Volume>
    <b:StandardNumber>10.1016/J.JENVRAD.2015.06.015</b:StandardNumber>
    <b:Publisher>Elsevier</b:Publisher>
    <b:Month>1</b:Month>
    <b:Day>1</b:Day>
    <b:RefOrder>67</b:RefOrder>
  </b:Source>
  <b:Source>
    <b:Tag>shultis-faw-2005-radiation-shielding-technology.</b:Tag>
    <b:SourceType>JournalArticle</b:SourceType>
    <b:Title>Radiation shielding technology.</b:Title>
    <b:Year>2005</b:Year>
    <b:Author>
      <b:Author>
        <b:NameList>
          <b:Person>
            <b:First>J Kenneth</b:First>
            <b:Last>Shultis</b:Last>
          </b:Person>
          <b:Person>
            <b:First>Richard E</b:First>
            <b:Last>Faw</b:Last>
          </b:Person>
        </b:NameList>
      </b:Author>
    </b:Author>
    <b:JournalName>Health physics</b:JournalName>
    <b:Pages>587-612</b:Pages>
    <b:Volume>88</b:Volume>
    <b:Issue>0</b:Issue>
    <b:StandardNumber>10.1097/01.HP.0000148615.73825.b1</b:StandardNumber>
    <b:RefOrder>68</b:RefOrder>
  </b:Source>
  <b:Source>
    <b:Tag>shinonaga-steier-2014-airborne-plutonium-and-non-natural-uranium-from-the-fukushima-dnpp-found-at-120-km-distance-a-few-days-after-reactor-hydrogen-explosions</b:Tag>
    <b:SourceType>JournalArticle</b:SourceType>
    <b:Title>Airborne Plutonium and Non-Natural Uranium from the Fukushima DNPP Found at 120 km Distance a Few Days after Reactor Hydrogen Explosions</b:Title>
    <b:Year>2014</b:Year>
    <b:Author>
      <b:Author>
        <b:NameList>
          <b:Person>
            <b:First>Taeko</b:First>
            <b:Last>Shinonaga</b:Last>
          </b:Person>
          <b:Person>
            <b:First>Peter</b:First>
            <b:Last>Steier</b:Last>
          </b:Person>
          <b:Person>
            <b:First>Markus</b:First>
            <b:Last>Lagos</b:Last>
          </b:Person>
          <b:Person>
            <b:First>Takehisa</b:First>
            <b:Last>Ohkura</b:Last>
          </b:Person>
        </b:NameList>
      </b:Author>
    </b:Author>
    <b:JournalName>Environmental Science &amp; Technology</b:JournalName>
    <b:Pages>3808-3814</b:Pages>
    <b:Volume>48</b:Volume>
    <b:Issue>7</b:Issue>
    <b:StandardNumber>10.1021/es404961w</b:StandardNumber>
    <b:Publisher>American Chemical Society</b:Publisher>
    <b:Month>4</b:Month>
    <b:Day>13</b:Day>
    <b:RefOrder>69</b:RefOrder>
  </b:Source>
  <b:Source>
    <b:Tag>selman-al-dargazelli-ai-ali-1986-actinium-228-in-natural-background-gamma-radiation-spectrum</b:Tag>
    <b:SourceType>JournalArticle</b:SourceType>
    <b:Title>Actinium-228 in Natural Background Gamma Radiation Spectrum</b:Title>
    <b:Year>1986</b:Year>
    <b:Author>
      <b:Author>
        <b:NameList>
          <b:Person>
            <b:First>Shetha</b:First>
            <b:Last>Selman Al-DARGAZELLI</b:Last>
          </b:Person>
          <b:Person>
            <b:First>Salih</b:First>
            <b:Last>Ai-ali</b:Last>
          </b:Person>
        </b:NameList>
      </b:Author>
    </b:Author>
    <b:JournalName>Journal of Nuclear Science and Technology</b:JournalName>
    <b:Pages>740-744</b:Pages>
    <b:Volume>23</b:Volume>
    <b:Issue>8</b:Issue>
    <b:StandardNumber>10.1080/18811248.1986.9735047org/10.1080/18811248.1986.9735047</b:StandardNumber>
    <b:RefOrder>70</b:RefOrder>
  </b:Source>
  <b:Source>
    <b:Tag>scheib-appleton-2013-geological-controls-on-radon-potential-in-england</b:Tag>
    <b:SourceType>JournalArticle</b:SourceType>
    <b:Title>Geological controls on radon potential in England</b:Title>
    <b:Year>2013</b:Year>
    <b:Author>
      <b:Author>
        <b:NameList>
          <b:Person>
            <b:First>C.</b:First>
            <b:Last>Scheib</b:Last>
          </b:Person>
          <b:Person>
            <b:First>J. D.</b:First>
            <b:Last>Appleton</b:Last>
          </b:Person>
          <b:Person>
            <b:First>J. C H</b:First>
            <b:Last>Miles</b:Last>
          </b:Person>
          <b:Person>
            <b:First>E.</b:First>
            <b:Last>Hodgkinson</b:Last>
          </b:Person>
        </b:NameList>
      </b:Author>
    </b:Author>
    <b:JournalName>Proceedings of the Geologists' Association</b:JournalName>
    <b:Pages>910-928</b:Pages>
    <b:Volume>124</b:Volume>
    <b:Issue>6</b:Issue>
    <b:StandardNumber>10.1016/j.pgeola.2013.03.004</b:StandardNumber>
    <b:RefOrder>71</b:RefOrder>
  </b:Source>
  <b:Source>
    <b:Tag>sampson-1986-plutonium-isotopic-composition-by-gamma-ray-spectroscopy:-a-review</b:Tag>
    <b:SourceType>Report</b:SourceType>
    <b:Title>Plutonium Isotopic Composition by Gamma-Ray Spectroscopy: A Review</b:Title>
    <b:Year>1986</b:Year>
    <b:Author>
      <b:Author>
        <b:NameList>
          <b:Person>
            <b:First>T E</b:First>
            <b:Last>Sampson</b:Last>
          </b:Person>
        </b:NameList>
      </b:Author>
    </b:Author>
    <b:Institution>Los Alamos National Laboratory</b:Institution>
    <b:Pages>55</b:Pages>
    <b:City>Los Alamos</b:City>
    <b:RefOrder>72</b:RefOrder>
  </b:Source>
  <b:Source>
    <b:Tag>rostron-heathcote-2014-comparison-between-in-situ-and-ex-situ-gamma-measurements-on-land-areas-within-a-decommissioning-nuclear-site:-a-case-study-at-dounreay.</b:Tag>
    <b:SourceType>JournalArticle</b:SourceType>
    <b:Title>Comparison between in situ and ex situ gamma measurements on land areas within a decommissioning nuclear site: a case study at Dounreay.</b:Title>
    <b:Year>2014</b:Year>
    <b:Author>
      <b:Author>
        <b:NameList>
          <b:Person>
            <b:First>Peter D</b:First>
            <b:Last>Rostron</b:Last>
          </b:Person>
          <b:Person>
            <b:First>John a</b:First>
            <b:Last>Heathcote</b:Last>
          </b:Person>
          <b:Person>
            <b:First>Michael H</b:First>
            <b:Last>Ramsey</b:Last>
          </b:Person>
        </b:NameList>
      </b:Author>
    </b:Author>
    <b:JournalName>Journal of radiological protection : official journal of the Society for Radiological Protection</b:JournalName>
    <b:Pages>495-508</b:Pages>
    <b:Volume>34</b:Volume>
    <b:StandardNumber>10.1088/0952-4746/34/3/495</b:StandardNumber>
    <b:RefOrder>73</b:RefOrder>
  </b:Source>
  <b:Source>
    <b:Tag>quinto-golser-2015-accelerator-mass-spectrometry-of-actinides-in-ground--and-seawater:-an-innovative-method-allowing-for-the-simultaneous-analysis-of-u,-np,-pu,-am,-and-cm-isotopes-below-ppq-levels</b:Tag>
    <b:SourceType>JournalArticle</b:SourceType>
    <b:Title>Accelerator Mass Spectrometry of Actinides in Ground- and Seawater: An Innovative Method Allowing for the Simultaneous Analysis of U, Np, Pu, Am, and Cm Isotopes below ppq Levels</b:Title>
    <b:Year>2015</b:Year>
    <b:Author>
      <b:Author>
        <b:NameList>
          <b:Person>
            <b:First>Francesca</b:First>
            <b:Last>Quinto</b:Last>
          </b:Person>
          <b:Person>
            <b:First>Robin</b:First>
            <b:Last>Golser</b:Last>
          </b:Person>
          <b:Person>
            <b:First>Markus</b:First>
            <b:Last>Lagos</b:Last>
          </b:Person>
          <b:Person>
            <b:First>Markus</b:First>
            <b:Last>Plaschke</b:Last>
          </b:Person>
          <b:Person>
            <b:First>Thorsten</b:First>
            <b:Last>Schäfer</b:Last>
          </b:Person>
          <b:Person>
            <b:First>Peter</b:First>
            <b:Last>Steier</b:Last>
          </b:Person>
          <b:Person>
            <b:First>Horst</b:First>
            <b:Last>Geckeis</b:Last>
          </b:Person>
        </b:NameList>
      </b:Author>
    </b:Author>
    <b:JournalName>Analytical Chemistry</b:JournalName>
    <b:Pages>5766-5773</b:Pages>
    <b:Volume>87</b:Volume>
    <b:Issue>11</b:Issue>
    <b:StandardNumber>10.1021/acs.analchem.5b00980</b:StandardNumber>
    <b:Month>6</b:Month>
    <b:Day>2</b:Day>
    <b:RefOrder>74</b:RefOrder>
  </b:Source>
  <b:Source>
    <b:Tag>peurrung-2000-recent-developments-in-neutron-detection</b:Tag>
    <b:SourceType>JournalArticle</b:SourceType>
    <b:Title>Recent developments in neutron detection</b:Title>
    <b:Year>2000</b:Year>
    <b:Author>
      <b:Author>
        <b:NameList>
          <b:Person>
            <b:First>a.J</b:First>
            <b:Last>Peurrung</b:Last>
          </b:Person>
        </b:NameList>
      </b:Author>
    </b:Author>
    <b:JournalName>Nuclear Instruments and Methods in Physics Research Section A: Accelerators, Spectrometers, Detectors and Associated Equipment</b:JournalName>
    <b:Pages>400-415</b:Pages>
    <b:Volume>443</b:Volume>
    <b:Issue>September 1999</b:Issue>
    <b:StandardNumber>10.1016/S0168-9002(99)01165-1</b:StandardNumber>
    <b:RefOrder>75</b:RefOrder>
  </b:Source>
  <b:Source>
    <b:Tag>payne-harrison-2013-trench-'bathtubbing'-and-surface-plutonium-contamination-at-a-legacy-radioactive-waste-site</b:Tag>
    <b:SourceType>JournalArticle</b:SourceType>
    <b:Title>Trench 'Bathtubbing' and surface plutonium contamination at a legacy radioactive waste site</b:Title>
    <b:Year>2013</b:Year>
    <b:Author>
      <b:Author>
        <b:NameList>
          <b:Person>
            <b:First>Timothy E.</b:First>
            <b:Last>Payne</b:Last>
          </b:Person>
          <b:Person>
            <b:First>Jennifer J.</b:First>
            <b:Last>Harrison</b:Last>
          </b:Person>
          <b:Person>
            <b:First>Catherine E.</b:First>
            <b:Last>Hughes</b:Last>
          </b:Person>
          <b:Person>
            <b:First>Mathew P.</b:First>
            <b:Last>Johansen</b:Last>
          </b:Person>
          <b:Person>
            <b:First>Sangeeth</b:First>
            <b:Last>Thiruvoth</b:Last>
          </b:Person>
          <b:Person>
            <b:First>Kerry L.</b:First>
            <b:Last>Wilsher</b:Last>
          </b:Person>
          <b:Person>
            <b:First>Dioni I.</b:First>
            <b:Last>Cend??n</b:Last>
          </b:Person>
          <b:Person>
            <b:First>Stuart I.</b:First>
            <b:Last>Hankin</b:Last>
          </b:Person>
          <b:Person>
            <b:First>Brett</b:First>
            <b:Last>Rowling</b:Last>
          </b:Person>
          <b:Person>
            <b:First>Atun</b:First>
            <b:Last>Zawadzki</b:Last>
          </b:Person>
        </b:NameList>
      </b:Author>
    </b:Author>
    <b:JournalName>Environmental Science and Technology</b:JournalName>
    <b:Pages>13284-13293</b:Pages>
    <b:Volume>47</b:Volume>
    <b:Issue>23</b:Issue>
    <b:StandardNumber>10.1021/es403278r</b:StandardNumber>
    <b:RefOrder>76</b:RefOrder>
  </b:Source>
  <b:Source>
    <b:Tag>orzeł-komosa-2013-study-on-the-rate-of-plutonium-vertical-migration-in-various-soil-types-of-lublin-region-(eastern-poland)</b:Tag>
    <b:SourceType>JournalArticle</b:SourceType>
    <b:Title>Study on the rate of plutonium vertical migration in various soil types of Lublin region (Eastern Poland)</b:Title>
    <b:Year>2013</b:Year>
    <b:Author>
      <b:Author>
        <b:NameList>
          <b:Person>
            <b:First>Jolanta</b:First>
            <b:Last>Orzeł</b:Last>
          </b:Person>
          <b:Person>
            <b:First>Andrzej</b:First>
            <b:Last>Komosa</b:Last>
          </b:Person>
        </b:NameList>
      </b:Author>
    </b:Author>
    <b:JournalName>Journal of Radioanalytical and Nuclear Chemistry</b:JournalName>
    <b:Pages>643-649</b:Pages>
    <b:Volume>299</b:Volume>
    <b:Issue>1</b:Issue>
    <b:StandardNumber>10.1007/s10967-013-2774-6</b:StandardNumber>
    <b:RefOrder>77</b:RefOrder>
  </b:Source>
  <b:Source>
    <b:Tag>momeni-1981-analysis-of-the-gamma-spectra-of-the-uranium,-actinium-and-thorium-decay-series</b:Tag>
    <b:SourceType>Report</b:SourceType>
    <b:Title>Analysis of the Gamma Spectra of the Uranium, Actinium and Thorium Decay Series</b:Title>
    <b:Year>1981</b:Year>
    <b:Author>
      <b:Author>
        <b:NameList>
          <b:Person>
            <b:First>Michael H</b:First>
            <b:Last>Momeni</b:Last>
          </b:Person>
        </b:NameList>
      </b:Author>
    </b:Author>
    <b:Institution>Argonne National Laboratory</b:Institution>
    <b:Pages>101</b:Pages>
    <b:City>Argonne</b:City>
    <b:RefOrder>78</b:RefOrder>
  </b:Source>
  <b:Source>
    <b:Tag>ministers-2007-environmental-protection-the-radioactive-contaminated-land-(-scotland-)-regulations-2007</b:Tag>
    <b:SourceType>JournalArticle</b:SourceType>
    <b:Title>ENVIRONMENTAL PROTECTION The Radioactive Contaminated Land ( Scotland ) Regulations 2007</b:Title>
    <b:Year>2007</b:Year>
    <b:Author>
      <b:Author>
        <b:NameList>
          <b:Person>
            <b:First>The Scottish</b:First>
            <b:Last>Ministers</b:Last>
          </b:Person>
        </b:NameList>
      </b:Author>
    </b:Author>
    <b:Volume>1995</b:Volume>
    <b:Issue>179</b:Issue>
    <b:RefOrder>79</b:RefOrder>
  </b:Source>
  <b:Source>
    <b:Tag>miles-appleton-2007-indicative-atlas-of-radon-in-england-and-wales</b:Tag>
    <b:SourceType>JournalArticle</b:SourceType>
    <b:Title>Indicative Atlas of Radon in England and Wales</b:Title>
    <b:Year>2007</b:Year>
    <b:Author>
      <b:Author>
        <b:NameList>
          <b:Person>
            <b:First>J C H</b:First>
            <b:Last>Miles</b:Last>
          </b:Person>
          <b:Person>
            <b:First>J D</b:First>
            <b:Last>Appleton</b:Last>
          </b:Person>
          <b:Person>
            <b:First>D M</b:First>
            <b:Last>Rees</b:Last>
          </b:Person>
          <b:Person>
            <b:First>B M R</b:First>
            <b:Last>Green</b:Last>
          </b:Person>
          <b:Person>
            <b:First>K a M</b:First>
            <b:Last>Adlam</b:Last>
          </b:Person>
          <b:Person>
            <b:First>a H</b:First>
            <b:Last>Myers</b:Last>
          </b:Person>
        </b:NameList>
      </b:Author>
    </b:Author>
    <b:Issue>July 2011</b:Issue>
    <b:StandardNumber>9780859516082</b:StandardNumber>
    <b:RefOrder>80</b:RefOrder>
  </b:Source>
  <b:Source>
    <b:Tag>mietelski-dorda-1999-pu-241-in-samples-of-forest-soil-from-poland</b:Tag>
    <b:SourceType>JournalArticle</b:SourceType>
    <b:Title>Pu-241 in samples of forest soil from Poland</b:Title>
    <b:Year>1999</b:Year>
    <b:Author>
      <b:Author>
        <b:NameList>
          <b:Person>
            <b:First>Jerzy W.</b:First>
            <b:Last>Mietelski</b:Last>
          </b:Person>
          <b:Person>
            <b:First>Jerzy</b:First>
            <b:Last>Dorda</b:Last>
          </b:Person>
          <b:Person>
            <b:First>Bogdan</b:First>
            <b:Last>Was</b:Last>
          </b:Person>
        </b:NameList>
      </b:Author>
    </b:Author>
    <b:JournalName>Applied Radiation and Isotopes</b:JournalName>
    <b:Pages>435-447</b:Pages>
    <b:Volume>51</b:Volume>
    <b:Issue>4</b:Issue>
    <b:StandardNumber>10.1016/S0969-8043(99)00055-X</b:StandardNumber>
    <b:RefOrder>81</b:RefOrder>
  </b:Source>
  <b:Source>
    <b:Tag>mellor-heathcote-2013-finding-the-depth-of-radioactivity-in-construction-materials</b:Tag>
    <b:SourceType>JournalArticle</b:SourceType>
    <b:Title>Finding the depth of radioactivity in construction materials</b:Title>
    <b:Year>2013</b:Year>
    <b:Author>
      <b:Author>
        <b:NameList>
          <b:Person>
            <b:First>Matthew</b:First>
            <b:Last>Mellor</b:Last>
          </b:Person>
          <b:Person>
            <b:First>John a.</b:First>
            <b:Last>Heathcote</b:Last>
          </b:Person>
          <b:Person>
            <b:First>Jamie C.</b:First>
            <b:Last>Adams</b:Last>
          </b:Person>
          <b:Person>
            <b:First>Malcolm J.</b:First>
            <b:Last>Joyce</b:Last>
          </b:Person>
        </b:NameList>
      </b:Author>
    </b:Author>
    <b:JournalName>Proceedings of the ICE - Energy</b:JournalName>
    <b:Pages>67-73</b:Pages>
    <b:Volume>166</b:Volume>
    <b:Issue>2</b:Issue>
    <b:StandardNumber>10.1680/ener.12.00003</b:StandardNumber>
    <b:RefOrder>82</b:RefOrder>
  </b:Source>
  <b:Source>
    <b:Tag>lópez-lora-chamizo-2018-isolation-of-236u-and-239,240pu-from-seawater-samples-and-its-determination-by-accelerator-mass-spectrometry</b:Tag>
    <b:SourceType>JournalArticle</b:SourceType>
    <b:Title>Isolation of 236U and 239,240Pu from seawater samples and its determination by Accelerator Mass Spectrometry</b:Title>
    <b:Year>2018</b:Year>
    <b:Author>
      <b:Author>
        <b:NameList>
          <b:Person>
            <b:First>Mercedes</b:First>
            <b:Last>López-Lora</b:Last>
          </b:Person>
          <b:Person>
            <b:First>Elena</b:First>
            <b:Last>Chamizo</b:Last>
          </b:Person>
          <b:Person>
            <b:First>María</b:First>
            <b:Last>Villa-Alfageme</b:Last>
          </b:Person>
          <b:Person>
            <b:First>Santiago</b:First>
            <b:Last>Hurtado-Bermúdez</b:Last>
          </b:Person>
          <b:Person>
            <b:First>Núria</b:First>
            <b:Last>Casacuberta</b:Last>
          </b:Person>
          <b:Person>
            <b:First>Manuel</b:First>
            <b:Last>García-León</b:Last>
          </b:Person>
        </b:NameList>
      </b:Author>
    </b:Author>
    <b:JournalName>Talanta</b:JournalName>
    <b:Pages>202-210</b:Pages>
    <b:Volume>178</b:Volume>
    <b:StandardNumber>10.1016/J.TALANTA.2017.09.026</b:StandardNumber>
    <b:Publisher>Elsevier</b:Publisher>
    <b:Month>2</b:Month>
    <b:Day>1</b:Day>
    <b:RefOrder>83</b:RefOrder>
  </b:Source>
  <b:Source>
    <b:Tag>lansard-charmasson-2007-spatial-and-temporal-variations-of-plutonium-isotopes-(238pu-and-239,240pu)-in-sediments-off-the-rhone-river-mouth-(nw-mediterranean)</b:Tag>
    <b:SourceType>JournalArticle</b:SourceType>
    <b:Title>Spatial and temporal variations of plutonium isotopes (238Pu and 239,240Pu) in sediments off the Rhone River mouth (NW Mediterranean)</b:Title>
    <b:Year>2007</b:Year>
    <b:Author>
      <b:Author>
        <b:NameList>
          <b:Person>
            <b:First>B.</b:First>
            <b:Last>Lansard</b:Last>
          </b:Person>
          <b:Person>
            <b:First>S.</b:First>
            <b:Last>Charmasson</b:Last>
          </b:Person>
          <b:Person>
            <b:First>C.</b:First>
            <b:Last>Gasc??</b:Last>
          </b:Person>
          <b:Person>
            <b:First>M. P.</b:First>
            <b:Last>Ant??n</b:Last>
          </b:Person>
          <b:Person>
            <b:First>C.</b:First>
            <b:Last>Grenz</b:Last>
          </b:Person>
          <b:Person>
            <b:First>M.</b:First>
            <b:Last>Arnaud</b:Last>
          </b:Person>
        </b:NameList>
      </b:Author>
    </b:Author>
    <b:JournalName>Science of the Total Environment</b:JournalName>
    <b:Pages>215-227</b:Pages>
    <b:Volume>376</b:Volume>
    <b:Issue>1-3</b:Issue>
    <b:StandardNumber>10.1016/j.scitotenv.2007.01.069</b:StandardNumber>
    <b:RefOrder>84</b:RefOrder>
  </b:Source>
  <b:Source>
    <b:Tag>lamont-glover-1998-determination-of-plutonium-240/239-ratios-in-low-activity-samples-using-high-resolution-alpha-spectrometry</b:Tag>
    <b:SourceType>JournalArticle</b:SourceType>
    <b:Title>Determination of plutonium-240/239 ratios in low activity samples using high resolution alpha-spectrometry</b:Title>
    <b:Year>1998</b:Year>
    <b:Author>
      <b:Author>
        <b:NameList>
          <b:Person>
            <b:First>S P</b:First>
            <b:Last>Lamont</b:Last>
          </b:Person>
          <b:Person>
            <b:First>S E</b:First>
            <b:Last>Glover</b:Last>
          </b:Person>
          <b:Person>
            <b:First>R H</b:First>
            <b:Last>Filby</b:Last>
          </b:Person>
        </b:NameList>
      </b:Author>
    </b:Author>
    <b:JournalName>Journal of Radioanalytical and Nuclear Chemistry</b:JournalName>
    <b:Volume>234</b:Volume>
    <b:Issue>195</b:Issue>
    <b:RefOrder>85</b:RefOrder>
  </b:Source>
  <b:Source>
    <b:Tag>kaplan-demirkanli-2006-eleven-year-field-study-of-pu-migration-from-pu-iii,-iv,-and-vi-sources</b:Tag>
    <b:SourceType>JournalArticle</b:SourceType>
    <b:Title>Eleven-year field study of Pu migration from Pu III, IV, and VI sources</b:Title>
    <b:Year>2006</b:Year>
    <b:Author>
      <b:Author>
        <b:NameList>
          <b:Person>
            <b:First>Daniel I.</b:First>
            <b:Last>Kaplan</b:Last>
          </b:Person>
          <b:Person>
            <b:First>Deniz I.</b:First>
            <b:Last>Demirkanli</b:Last>
          </b:Person>
          <b:Person>
            <b:First>Leo</b:First>
            <b:Last>Gumapas</b:Last>
          </b:Person>
          <b:Person>
            <b:First>Brian A.</b:First>
            <b:Last>Powell</b:Last>
          </b:Person>
          <b:Person>
            <b:First>Robert A.</b:First>
            <b:Last>Fjeld</b:Last>
          </b:Person>
          <b:Person>
            <b:First>Fred J.</b:First>
            <b:Last>Molz</b:Last>
          </b:Person>
          <b:Person>
            <b:First>Steven M.</b:First>
            <b:Last>Serkiz</b:Last>
          </b:Person>
        </b:NameList>
      </b:Author>
    </b:Author>
    <b:JournalName>Environmental Science and Technology</b:JournalName>
    <b:Pages>443-448</b:Pages>
    <b:Volume>40</b:Volume>
    <b:Issue>2</b:Issue>
    <b:StandardNumber>10.1021/es050073o</b:StandardNumber>
    <b:RefOrder>86</b:RefOrder>
  </b:Source>
  <b:Source>
    <b:Tag>joyce-gamage-2014-real-time,-fast-neutron-coincidence-assay-of-plutonium-with-a-4-channel-multiplexed-analyzer-and-organic-scintillators</b:Tag>
    <b:SourceType>JournalArticle</b:SourceType>
    <b:Title>Real-time, fast neutron coincidence assay of plutonium with a 4-channel multiplexed analyzer and organic scintillators</b:Title>
    <b:Year>2014</b:Year>
    <b:Author>
      <b:Author>
        <b:NameList>
          <b:Person>
            <b:First>Malcolm J.</b:First>
            <b:Last>Joyce</b:Last>
          </b:Person>
          <b:Person>
            <b:First>Kelum A A</b:First>
            <b:Last>Gamage</b:Last>
          </b:Person>
          <b:Person>
            <b:First>M. D.</b:First>
            <b:Last>Aspinall</b:Last>
          </b:Person>
          <b:Person>
            <b:First>F. D.</b:First>
            <b:Last>Cave</b:Last>
          </b:Person>
          <b:Person>
            <b:First>A.</b:First>
            <b:Last>Lavietes</b:Last>
          </b:Person>
        </b:NameList>
      </b:Author>
    </b:Author>
    <b:JournalName>IEEE Transactions on Nuclear Science</b:JournalName>
    <b:Pages>1340-1348</b:Pages>
    <b:Volume>61</b:Volume>
    <b:Issue>3</b:Issue>
    <b:StandardNumber>10.1109/TNS.2014.2313574</b:StandardNumber>
    <b:RefOrder>87</b:RefOrder>
  </b:Source>
  <b:Source>
    <b:Tag>in-under-2006-study-of-plutonium-migration-and-/-or-accumulation-in-soil-under-field-and</b:Tag>
    <b:SourceType>JournalArticle</b:SourceType>
    <b:Title>STUDY OF PLUTONIUM MIGRATION AND / OR ACCUMULATION IN SOIL UNDER FIELD AND</b:Title>
    <b:Year>2006</b:Year>
    <b:Author>
      <b:Author>
        <b:NameList>
          <b:Person>
            <b:First>Accumulation</b:First>
            <b:Last>In</b:Last>
          </b:Person>
          <b:Person>
            <b:First>Soil</b:First>
            <b:Last>Under</b:Last>
          </b:Person>
        </b:NameList>
      </b:Author>
    </b:Author>
    <b:Pages>17-22</b:Pages>
    <b:Issue>April 2005</b:Issue>
    <b:RefOrder>88</b:RefOrder>
  </b:Source>
  <b:Source>
    <b:Tag>hinton-pinder-2001-a-review-of-plutonium-releases-from-the-savannah-river-site,-subsequent-behavior-within-terrestrial-and-aquatic-environments-and-resulting-dose-to-humans</b:Tag>
    <b:SourceType>JournalArticle</b:SourceType>
    <b:Title>A review of plutonium releases from the Savannah River Site, subsequent behavior within terrestrial and aquatic environments and resulting dose to humans</b:Title>
    <b:Year>2001</b:Year>
    <b:Author>
      <b:Author>
        <b:NameList>
          <b:Person>
            <b:First>T. G.</b:First>
            <b:Last>Hinton</b:Last>
          </b:Person>
          <b:Person>
            <b:First>J. E.</b:First>
            <b:Last>Pinder</b:Last>
          </b:Person>
        </b:NameList>
      </b:Author>
    </b:Author>
    <b:JournalName>Radioactivity in the Environment</b:JournalName>
    <b:Pages>413-435</b:Pages>
    <b:Volume>1</b:Volume>
    <b:Issue>C</b:Issue>
    <b:StandardNumber>10.1016/S1569-4860(01)80027-9</b:StandardNumber>
    <b:RefOrder>89</b:RefOrder>
  </b:Source>
  <b:Source>
    <b:Tag>harley-j.h.-1980-plutonium-in-the-environment---a-review</b:Tag>
    <b:SourceType>JournalArticle</b:SourceType>
    <b:Title>Plutonium in the environment - A review</b:Title>
    <b:Year>1980</b:Year>
    <b:Author>
      <b:Author>
        <b:NameList>
          <b:Person>
            <b:First>J H</b:First>
            <b:Last>Harley</b:Last>
          </b:Person>
          <b:Person>
            <b:First>Harley</b:First>
            <b:Last>J.H.</b:Last>
          </b:Person>
        </b:NameList>
      </b:Author>
    </b:Author>
    <b:JournalName>J. Radiat. Res.</b:JournalName>
    <b:Pages>83-104</b:Pages>
    <b:Volume>21</b:Volume>
    <b:Issue>1</b:Issue>
    <b:StandardNumber>10.1269/jrr.21.83</b:StandardNumber>
    <b:RefOrder>90</b:RefOrder>
  </b:Source>
  <b:Source>
    <b:Tag>green,-l.w.,-miller,-f.c.,-sparling,-j.a.,-joshi-1991-determination-of-plutonium-240/239-ratios-in-lake-ontario-sediments</b:Tag>
    <b:SourceType>Report</b:SourceType>
    <b:Title>Determination of Plutonium 240/239 Ratios in Lake Ontario Sediments</b:Title>
    <b:Year>1991</b:Year>
    <b:Author>
      <b:Author>
        <b:NameList>
          <b:Person>
            <b:First>S.R.</b:First>
            <b:Last>Green, L.W., Miller, F.C., Sparling, J.A., Joshi</b:Last>
          </b:Person>
        </b:NameList>
      </b:Author>
    </b:Author>
    <b:Institution>Government of Canada</b:Institution>
    <b:RefOrder>91</b:RefOrder>
  </b:Source>
  <b:Source>
    <b:Tag>fifield-2008-accelerator-mass-spectrometry-of-the-actinides</b:Tag>
    <b:SourceType>JournalArticle</b:SourceType>
    <b:Title>Accelerator mass spectrometry of the actinides</b:Title>
    <b:Year>2008</b:Year>
    <b:Author>
      <b:Author>
        <b:NameList>
          <b:Person>
            <b:First>L K</b:First>
            <b:Last>Fifield</b:Last>
          </b:Person>
        </b:NameList>
      </b:Author>
    </b:Author>
    <b:JournalName>Quaternary Geochronology</b:JournalName>
    <b:Pages>276-290</b:Pages>
    <b:Volume>3</b:Volume>
    <b:StandardNumber>10.1016/j.quageo.2007.10.003</b:StandardNumber>
    <b:RefOrder>92</b:RefOrder>
  </b:Source>
  <b:Source>
    <b:Tag>ensslin-1991-the-origin-of-neutron-radiation</b:Tag>
    <b:SourceType>JournalArticle</b:SourceType>
    <b:Title>The Origin of Neutron Radiation</b:Title>
    <b:Year>1991</b:Year>
    <b:Author>
      <b:Author>
        <b:NameList>
          <b:Person>
            <b:First>N</b:First>
            <b:Last>Ensslin</b:Last>
          </b:Person>
        </b:NameList>
      </b:Author>
    </b:Author>
    <b:JournalName>Passive Nondestructive Assay Nuclear Materials (NUREG/CR-5550)</b:JournalName>
    <b:Pages>337 - 356</b:Pages>
    <b:StandardNumber>0160327245</b:StandardNumber>
    <b:RefOrder>93</b:RefOrder>
  </b:Source>
  <b:Source>
    <b:Tag>ensslh-the-origin-of-neutron-radiation</b:Tag>
    <b:SourceType>JournalArticle</b:SourceType>
    <b:Title>The Origin of Neutron Radiation</b:Title>
    <b:Author>
      <b:Author>
        <b:NameList>
          <b:Person>
            <b:First>N</b:First>
            <b:Last>Ensslh</b:Last>
          </b:Person>
        </b:NameList>
      </b:Author>
    </b:Author>
    <b:RefOrder>94</b:RefOrder>
  </b:Source>
  <b:Source>
    <b:Tag>duffa-renaud-2005-238pu-and-239+240pu-inventory-and-distribution-through-the-lower-rhone-valley-terrestrial-environment-(southern-france)</b:Tag>
    <b:SourceType>JournalArticle</b:SourceType>
    <b:Title>238Pu and 239+240Pu inventory and distribution through the lower Rhone valley terrestrial environment (Southern France)</b:Title>
    <b:Year>2005</b:Year>
    <b:Author>
      <b:Author>
        <b:NameList>
          <b:Person>
            <b:First>C.</b:First>
            <b:Last>Duffa</b:Last>
          </b:Person>
          <b:Person>
            <b:First>P.</b:First>
            <b:Last>Renaud</b:Last>
          </b:Person>
        </b:NameList>
      </b:Author>
    </b:Author>
    <b:JournalName>Science of the Total Environment</b:JournalName>
    <b:Pages>164-172</b:Pages>
    <b:Volume>348</b:Volume>
    <b:Issue>1-3</b:Issue>
    <b:StandardNumber>10.1016/j.scitotenv.2004.12.064</b:StandardNumber>
    <b:RefOrder>95</b:RefOrder>
  </b:Source>
  <b:Source>
    <b:Tag>bgs-2010-mineral-profile:-uranium</b:Tag>
    <b:SourceType>JournalArticle</b:SourceType>
    <b:Title>Mineral Profile: Uranium</b:Title>
    <b:Year>2010</b:Year>
    <b:Author>
      <b:Author>
        <b:NameList>
          <b:Person>
            <b:Last>BGS</b:Last>
          </b:Person>
        </b:NameList>
      </b:Author>
    </b:Author>
    <b:Issue>March</b:Issue>
    <b:RefOrder>96</b:RefOrder>
  </b:Source>
  <b:Source>
    <b:Tag>abdel-aziz-gwaily-1995-ethylene-propylene-diene-rubber/low-density-polyethylene/boron-carbide-composites-as-neutron-shields</b:Tag>
    <b:SourceType>JournalArticle</b:SourceType>
    <b:Title>Ethylene-propylene diene rubber/low density polyethylene/boron carbide composites as neutron shields</b:Title>
    <b:Year>1995</b:Year>
    <b:Author>
      <b:Author>
        <b:NameList>
          <b:Person>
            <b:First>M. M.</b:First>
            <b:Last>Abdel-Aziz</b:Last>
          </b:Person>
          <b:Person>
            <b:First>S. E.</b:First>
            <b:Last>Gwaily</b:Last>
          </b:Person>
          <b:Person>
            <b:First>A. S.</b:First>
            <b:Last>Makarious</b:Last>
          </b:Person>
          <b:Person>
            <b:First>A.</b:First>
            <b:Last>El-Sayed Abdo</b:Last>
          </b:Person>
        </b:NameList>
      </b:Author>
    </b:Author>
    <b:JournalName>Polymer Degradation and Stability</b:JournalName>
    <b:Pages>235-240</b:Pages>
    <b:Volume>50</b:Volume>
    <b:Issue>2</b:Issue>
    <b:StandardNumber>10.1016/0141-3910(95)00177-8</b:StandardNumber>
    <b:RefOrder>97</b:RefOrder>
  </b:Source>
  <b:Source>
    <b:Tag>small-anode-germanium-(sage)-well-detector-features-&amp;amp;-benefits</b:Tag>
    <b:SourceType>JournalArticle</b:SourceType>
    <b:Title>Small Anode Germanium (SAGe) Well Detector Features &amp;amp; Benefits</b:Title>
    <b:Author/>
    <b:RefOrder>98</b:RefOrder>
  </b:Source>
  <b:Source>
    <b:Tag>broad-energy-germanium-detectors-(bege)-features-&amp;amp;-benefits</b:Tag>
    <b:SourceType>JournalArticle</b:SourceType>
    <b:Title>Broad Energy Germanium Detectors (BEGe) Features &amp;amp; Benefits</b:Title>
    <b:Author/>
    <b:RefOrder>99</b:RefOrder>
  </b:Source>
</b:Sources>
</file>

<file path=customXml/itemProps1.xml><?xml version="1.0" encoding="utf-8"?>
<ds:datastoreItem xmlns:ds="http://schemas.openxmlformats.org/officeDocument/2006/customXml" ds:itemID="{D05802A3-7356-4908-8F92-D9AB6F9DE732}">
  <ds:schemaRefs>
    <ds:schemaRef ds:uri="http://www.w3.org/XML/1998/namespace"/>
    <ds:schemaRef ds:uri="99eb01c8-7c25-4ef0-8b27-7bd7b63d9727"/>
    <ds:schemaRef ds:uri="http://purl.org/dc/terms/"/>
    <ds:schemaRef ds:uri="http://purl.org/dc/elements/1.1/"/>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445c47d0-83c9-4a93-9aa7-571907bcfae0"/>
  </ds:schemaRefs>
</ds:datastoreItem>
</file>

<file path=customXml/itemProps2.xml><?xml version="1.0" encoding="utf-8"?>
<ds:datastoreItem xmlns:ds="http://schemas.openxmlformats.org/officeDocument/2006/customXml" ds:itemID="{DBF20714-291A-45EB-BE4F-DA9C62F84E23}">
  <ds:schemaRefs>
    <ds:schemaRef ds:uri="http://schemas.microsoft.com/sharepoint/v3/contenttype/forms"/>
  </ds:schemaRefs>
</ds:datastoreItem>
</file>

<file path=customXml/itemProps3.xml><?xml version="1.0" encoding="utf-8"?>
<ds:datastoreItem xmlns:ds="http://schemas.openxmlformats.org/officeDocument/2006/customXml" ds:itemID="{17308DFC-E3FF-434C-8A5D-4985FF8F7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5c47d0-83c9-4a93-9aa7-571907bcfae0"/>
    <ds:schemaRef ds:uri="99eb01c8-7c25-4ef0-8b27-7bd7b63d9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DBB5F2-3D30-4AD0-8D3E-AC5343AED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141</Pages>
  <Words>70358</Words>
  <Characters>401041</Characters>
  <Application>Microsoft Office Word</Application>
  <DocSecurity>0</DocSecurity>
  <Lines>3342</Lines>
  <Paragraphs>940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dc:creator>
  <cp:keywords/>
  <dc:description/>
  <cp:lastModifiedBy>Tighe, Christopher</cp:lastModifiedBy>
  <cp:revision>3</cp:revision>
  <cp:lastPrinted>2020-02-02T19:42:00Z</cp:lastPrinted>
  <dcterms:created xsi:type="dcterms:W3CDTF">2020-02-24T11:05:00Z</dcterms:created>
  <dcterms:modified xsi:type="dcterms:W3CDTF">2020-03-13T09:55:00Z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0x010100912062EC3F0A7C4788C46DFDD32ECF14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753b25c7-f1bb-35e0-8712-4fb654a469a9</vt:lpwstr>
  </property>
  <property fmtid="{D5CDD505-2E9C-101B-9397-08002B2CF9AE}" pid="25" name="Mendeley Citation Style_1">
    <vt:lpwstr>http://www.zotero.org/styles/ieee</vt:lpwstr>
  </property>
</Properties>
</file>