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B9BA5" w14:textId="77777777" w:rsidR="00BA57C6" w:rsidRPr="00F0515A" w:rsidRDefault="002C1628" w:rsidP="00BA57C6">
      <w:pPr>
        <w:ind w:right="-3326"/>
        <w:rPr>
          <w:rFonts w:ascii="Avenir Light" w:hAnsi="Avenir Light"/>
          <w:color w:val="000000" w:themeColor="text1"/>
          <w:sz w:val="44"/>
          <w:szCs w:val="44"/>
        </w:rPr>
      </w:pPr>
      <w:bookmarkStart w:id="0" w:name="_Hlk96677685"/>
      <w:r>
        <w:rPr>
          <w:rFonts w:ascii="Avenir Light" w:hAnsi="Avenir Light"/>
          <w:color w:val="000000" w:themeColor="text1"/>
          <w:sz w:val="44"/>
          <w:szCs w:val="44"/>
        </w:rPr>
        <w:t>Misreported non-aqueous reference potentials: the battery research endemic</w:t>
      </w:r>
      <w:r w:rsidR="00165A9B">
        <w:rPr>
          <w:rFonts w:ascii="Avenir Light" w:hAnsi="Avenir Light"/>
          <w:color w:val="000000" w:themeColor="text1"/>
          <w:sz w:val="44"/>
          <w:szCs w:val="44"/>
        </w:rPr>
        <w:t>.</w:t>
      </w:r>
    </w:p>
    <w:bookmarkEnd w:id="0"/>
    <w:p w14:paraId="5E0EF7C2" w14:textId="77777777" w:rsidR="00BA57C6" w:rsidRDefault="00BA57C6" w:rsidP="00BA57C6">
      <w:pPr>
        <w:ind w:right="-3326"/>
        <w:rPr>
          <w:rFonts w:ascii="Avenir Light" w:hAnsi="Avenir Light"/>
          <w:color w:val="000000" w:themeColor="text1"/>
          <w:sz w:val="22"/>
          <w:szCs w:val="22"/>
        </w:rPr>
      </w:pPr>
    </w:p>
    <w:p w14:paraId="7F43C01D" w14:textId="5D7CF132" w:rsidR="00BA57C6" w:rsidRPr="006223C7" w:rsidRDefault="00165A9B" w:rsidP="00BA57C6">
      <w:pPr>
        <w:spacing w:after="60"/>
        <w:ind w:right="-3326"/>
        <w:rPr>
          <w:sz w:val="21"/>
          <w:szCs w:val="21"/>
        </w:rPr>
      </w:pPr>
      <w:r>
        <w:rPr>
          <w:rFonts w:ascii="Avenir Light" w:hAnsi="Avenir Light"/>
          <w:color w:val="000000" w:themeColor="text1"/>
          <w:sz w:val="20"/>
          <w:szCs w:val="20"/>
        </w:rPr>
        <w:t>Beth Murdock</w:t>
      </w:r>
      <w:r w:rsidR="00BA57C6" w:rsidRPr="006223C7">
        <w:rPr>
          <w:rFonts w:ascii="Avenir Light" w:hAnsi="Avenir Light"/>
          <w:color w:val="000000" w:themeColor="text1"/>
          <w:sz w:val="20"/>
          <w:szCs w:val="20"/>
        </w:rPr>
        <w:t>,</w:t>
      </w:r>
      <w:r w:rsidR="00BA57C6" w:rsidRPr="006223C7">
        <w:rPr>
          <w:rFonts w:ascii="Avenir Light" w:hAnsi="Avenir Light"/>
          <w:color w:val="000000" w:themeColor="text1"/>
          <w:sz w:val="20"/>
          <w:szCs w:val="20"/>
          <w:vertAlign w:val="superscript"/>
        </w:rPr>
        <w:t>1</w:t>
      </w:r>
      <w:r w:rsidR="005A0681">
        <w:rPr>
          <w:rFonts w:ascii="Avenir Light" w:hAnsi="Avenir Light"/>
          <w:color w:val="000000" w:themeColor="text1"/>
          <w:sz w:val="20"/>
          <w:szCs w:val="20"/>
          <w:vertAlign w:val="superscript"/>
        </w:rPr>
        <w:t>,2</w:t>
      </w:r>
      <w:r w:rsidR="00BA57C6" w:rsidRPr="006223C7">
        <w:rPr>
          <w:rFonts w:ascii="Avenir Light" w:hAnsi="Avenir Light"/>
          <w:color w:val="000000" w:themeColor="text1"/>
          <w:sz w:val="20"/>
          <w:szCs w:val="20"/>
        </w:rPr>
        <w:t xml:space="preserve"> </w:t>
      </w:r>
      <w:r>
        <w:rPr>
          <w:rFonts w:ascii="Avenir Light" w:hAnsi="Avenir Light"/>
          <w:color w:val="000000" w:themeColor="text1"/>
          <w:sz w:val="20"/>
          <w:szCs w:val="20"/>
        </w:rPr>
        <w:t xml:space="preserve">Craig </w:t>
      </w:r>
      <w:r w:rsidR="00CF005D">
        <w:rPr>
          <w:rFonts w:ascii="Avenir Light" w:hAnsi="Avenir Light"/>
          <w:color w:val="000000" w:themeColor="text1"/>
          <w:sz w:val="20"/>
          <w:szCs w:val="20"/>
        </w:rPr>
        <w:t xml:space="preserve">G. </w:t>
      </w:r>
      <w:r>
        <w:rPr>
          <w:rFonts w:ascii="Avenir Light" w:hAnsi="Avenir Light"/>
          <w:color w:val="000000" w:themeColor="text1"/>
          <w:sz w:val="20"/>
          <w:szCs w:val="20"/>
        </w:rPr>
        <w:t>Armstrong</w:t>
      </w:r>
      <w:r w:rsidR="00BA57C6" w:rsidRPr="006223C7">
        <w:rPr>
          <w:rFonts w:ascii="Avenir Light" w:hAnsi="Avenir Light"/>
          <w:color w:val="000000" w:themeColor="text1"/>
          <w:sz w:val="20"/>
          <w:szCs w:val="20"/>
        </w:rPr>
        <w:t>,</w:t>
      </w:r>
      <w:r>
        <w:rPr>
          <w:rFonts w:ascii="Avenir Light" w:hAnsi="Avenir Light"/>
          <w:color w:val="000000" w:themeColor="text1"/>
          <w:sz w:val="20"/>
          <w:szCs w:val="20"/>
          <w:vertAlign w:val="superscript"/>
        </w:rPr>
        <w:t>1</w:t>
      </w:r>
      <w:r w:rsidR="001330C2">
        <w:rPr>
          <w:rFonts w:ascii="Avenir Light" w:hAnsi="Avenir Light"/>
          <w:color w:val="000000" w:themeColor="text1"/>
          <w:sz w:val="20"/>
          <w:szCs w:val="20"/>
        </w:rPr>
        <w:t xml:space="preserve"> Daniel </w:t>
      </w:r>
      <w:r w:rsidR="001330C2" w:rsidRPr="5EE9DCCF">
        <w:rPr>
          <w:rFonts w:ascii="Avenir Light" w:hAnsi="Avenir Light"/>
          <w:color w:val="000000" w:themeColor="text1"/>
          <w:sz w:val="20"/>
          <w:szCs w:val="20"/>
        </w:rPr>
        <w:t>E.</w:t>
      </w:r>
      <w:r w:rsidR="008144AB" w:rsidRPr="5EE9DCCF">
        <w:rPr>
          <w:rFonts w:ascii="Avenir Light" w:hAnsi="Avenir Light"/>
          <w:color w:val="000000" w:themeColor="text1"/>
          <w:sz w:val="20"/>
          <w:szCs w:val="20"/>
        </w:rPr>
        <w:t xml:space="preserve"> </w:t>
      </w:r>
      <w:r w:rsidR="001330C2">
        <w:rPr>
          <w:rFonts w:ascii="Avenir Light" w:hAnsi="Avenir Light"/>
          <w:color w:val="000000" w:themeColor="text1"/>
          <w:sz w:val="20"/>
          <w:szCs w:val="20"/>
        </w:rPr>
        <w:t>Smith</w:t>
      </w:r>
      <w:r w:rsidR="001D406D">
        <w:rPr>
          <w:rFonts w:ascii="Avenir Light" w:hAnsi="Avenir Light"/>
          <w:color w:val="000000" w:themeColor="text1"/>
          <w:sz w:val="20"/>
          <w:szCs w:val="20"/>
        </w:rPr>
        <w:t>,</w:t>
      </w:r>
      <w:r w:rsidR="001D406D">
        <w:rPr>
          <w:rFonts w:ascii="Avenir Light" w:hAnsi="Avenir Light"/>
          <w:color w:val="000000" w:themeColor="text1"/>
          <w:sz w:val="20"/>
          <w:szCs w:val="20"/>
          <w:vertAlign w:val="superscript"/>
        </w:rPr>
        <w:t>1</w:t>
      </w:r>
      <w:r w:rsidR="001D406D">
        <w:rPr>
          <w:rFonts w:ascii="Avenir Light" w:hAnsi="Avenir Light"/>
          <w:color w:val="000000" w:themeColor="text1"/>
          <w:sz w:val="20"/>
          <w:szCs w:val="20"/>
        </w:rPr>
        <w:t xml:space="preserve"> Nuria Tapia-Ruiz</w:t>
      </w:r>
      <w:r w:rsidR="001D406D">
        <w:rPr>
          <w:rFonts w:ascii="Avenir Light" w:hAnsi="Avenir Light"/>
          <w:color w:val="000000" w:themeColor="text1"/>
          <w:sz w:val="20"/>
          <w:szCs w:val="20"/>
          <w:vertAlign w:val="superscript"/>
        </w:rPr>
        <w:t>1</w:t>
      </w:r>
      <w:r w:rsidR="005A0681">
        <w:rPr>
          <w:rFonts w:ascii="Avenir Light" w:hAnsi="Avenir Light"/>
          <w:color w:val="000000" w:themeColor="text1"/>
          <w:sz w:val="20"/>
          <w:szCs w:val="20"/>
          <w:vertAlign w:val="superscript"/>
        </w:rPr>
        <w:t>,2</w:t>
      </w:r>
      <w:r w:rsidR="00BA57C6" w:rsidRPr="006223C7">
        <w:rPr>
          <w:rFonts w:ascii="Avenir Light" w:hAnsi="Avenir Light"/>
          <w:color w:val="000000" w:themeColor="text1"/>
          <w:sz w:val="20"/>
          <w:szCs w:val="20"/>
        </w:rPr>
        <w:t xml:space="preserve"> and </w:t>
      </w:r>
      <w:r>
        <w:rPr>
          <w:rFonts w:ascii="Avenir Light" w:hAnsi="Avenir Light"/>
          <w:color w:val="000000" w:themeColor="text1"/>
          <w:sz w:val="20"/>
          <w:szCs w:val="20"/>
        </w:rPr>
        <w:t>Kathryn</w:t>
      </w:r>
      <w:r w:rsidR="00CF005D">
        <w:rPr>
          <w:rFonts w:ascii="Avenir Light" w:hAnsi="Avenir Light"/>
          <w:color w:val="000000" w:themeColor="text1"/>
          <w:sz w:val="20"/>
          <w:szCs w:val="20"/>
        </w:rPr>
        <w:t xml:space="preserve"> E.</w:t>
      </w:r>
      <w:r>
        <w:rPr>
          <w:rFonts w:ascii="Avenir Light" w:hAnsi="Avenir Light"/>
          <w:color w:val="000000" w:themeColor="text1"/>
          <w:sz w:val="20"/>
          <w:szCs w:val="20"/>
        </w:rPr>
        <w:t xml:space="preserve"> Toghill</w:t>
      </w:r>
      <w:r>
        <w:rPr>
          <w:rFonts w:ascii="Avenir Light" w:hAnsi="Avenir Light"/>
          <w:color w:val="000000" w:themeColor="text1"/>
          <w:sz w:val="20"/>
          <w:szCs w:val="20"/>
          <w:vertAlign w:val="superscript"/>
        </w:rPr>
        <w:t>1,</w:t>
      </w:r>
      <w:r w:rsidR="005A0681">
        <w:rPr>
          <w:rFonts w:ascii="Avenir Light" w:hAnsi="Avenir Light"/>
          <w:color w:val="000000" w:themeColor="text1"/>
          <w:sz w:val="20"/>
          <w:szCs w:val="20"/>
          <w:vertAlign w:val="superscript"/>
        </w:rPr>
        <w:t>3</w:t>
      </w:r>
      <w:r w:rsidR="00BA57C6" w:rsidRPr="006223C7">
        <w:rPr>
          <w:rFonts w:ascii="Avenir Light" w:hAnsi="Avenir Light"/>
          <w:color w:val="000000" w:themeColor="text1"/>
          <w:sz w:val="20"/>
          <w:szCs w:val="20"/>
        </w:rPr>
        <w:t>*</w:t>
      </w:r>
    </w:p>
    <w:p w14:paraId="652E154A" w14:textId="134B6735" w:rsidR="00165A9B" w:rsidRPr="00A11B8B" w:rsidRDefault="00BA57C6" w:rsidP="00A11B8B">
      <w:pPr>
        <w:spacing w:line="360" w:lineRule="auto"/>
        <w:rPr>
          <w:rFonts w:ascii="Avenir Light" w:hAnsi="Avenir Light" w:cs="Arial"/>
          <w:sz w:val="16"/>
          <w:szCs w:val="16"/>
        </w:rPr>
      </w:pPr>
      <w:r w:rsidRPr="00A11B8B">
        <w:rPr>
          <w:rFonts w:ascii="Avenir Light" w:hAnsi="Avenir Light"/>
          <w:color w:val="000000" w:themeColor="text1"/>
          <w:sz w:val="16"/>
          <w:szCs w:val="16"/>
          <w:vertAlign w:val="superscript"/>
        </w:rPr>
        <w:t>1</w:t>
      </w:r>
      <w:r w:rsidR="00165A9B" w:rsidRPr="00A11B8B">
        <w:rPr>
          <w:rFonts w:ascii="Avenir Light" w:hAnsi="Avenir Light" w:cs="Arial"/>
          <w:sz w:val="16"/>
          <w:szCs w:val="16"/>
        </w:rPr>
        <w:t>Department of Chemistry, Lancaster University, LA1 4YB, Lancaster</w:t>
      </w:r>
    </w:p>
    <w:p w14:paraId="4EC3096F" w14:textId="5BCE6541" w:rsidR="005A0681" w:rsidRPr="00A11B8B" w:rsidRDefault="005A0681" w:rsidP="00A11B8B">
      <w:pPr>
        <w:spacing w:line="360" w:lineRule="auto"/>
        <w:rPr>
          <w:rFonts w:ascii="Avenir Light" w:hAnsi="Avenir Light" w:cs="Arial"/>
          <w:sz w:val="16"/>
          <w:szCs w:val="16"/>
        </w:rPr>
      </w:pPr>
      <w:r w:rsidRPr="00A11B8B">
        <w:rPr>
          <w:rFonts w:ascii="Avenir Light" w:hAnsi="Avenir Light" w:cs="Arial"/>
          <w:sz w:val="16"/>
          <w:szCs w:val="16"/>
          <w:vertAlign w:val="superscript"/>
        </w:rPr>
        <w:t>2</w:t>
      </w:r>
      <w:r w:rsidRPr="00A11B8B">
        <w:rPr>
          <w:rFonts w:ascii="Avenir Light" w:eastAsia="Calibri" w:hAnsi="Avenir Light" w:cs="Arial"/>
          <w:sz w:val="16"/>
          <w:szCs w:val="16"/>
        </w:rPr>
        <w:t xml:space="preserve">The Faraday Institution, Quad One, Harwell Science and Innovation Campus, </w:t>
      </w:r>
      <w:proofErr w:type="spellStart"/>
      <w:r w:rsidRPr="00A11B8B">
        <w:rPr>
          <w:rFonts w:ascii="Avenir Light" w:eastAsia="Calibri" w:hAnsi="Avenir Light" w:cs="Arial"/>
          <w:sz w:val="16"/>
          <w:szCs w:val="16"/>
        </w:rPr>
        <w:t>Didcot</w:t>
      </w:r>
      <w:proofErr w:type="spellEnd"/>
      <w:r w:rsidRPr="00A11B8B">
        <w:rPr>
          <w:rFonts w:ascii="Avenir Light" w:eastAsia="Calibri" w:hAnsi="Avenir Light" w:cs="Arial"/>
          <w:sz w:val="16"/>
          <w:szCs w:val="16"/>
        </w:rPr>
        <w:t>, OX11 0RA, United Kingdom</w:t>
      </w:r>
    </w:p>
    <w:p w14:paraId="33F3A25B" w14:textId="1D3DF39E" w:rsidR="00BA57C6" w:rsidRPr="00A11B8B" w:rsidRDefault="00A11B8B" w:rsidP="00A11B8B">
      <w:pPr>
        <w:spacing w:after="60" w:line="360" w:lineRule="auto"/>
        <w:ind w:right="-3326"/>
        <w:rPr>
          <w:rFonts w:ascii="Avenir Light" w:hAnsi="Avenir Light"/>
          <w:color w:val="000000" w:themeColor="text1"/>
          <w:sz w:val="16"/>
          <w:szCs w:val="16"/>
        </w:rPr>
      </w:pPr>
      <w:r w:rsidRPr="00A11B8B">
        <w:rPr>
          <w:rFonts w:ascii="Avenir Light" w:hAnsi="Avenir Light"/>
          <w:color w:val="000000" w:themeColor="text1"/>
          <w:sz w:val="16"/>
          <w:szCs w:val="16"/>
          <w:vertAlign w:val="superscript"/>
        </w:rPr>
        <w:t>3</w:t>
      </w:r>
      <w:r w:rsidR="00BA57C6" w:rsidRPr="00A11B8B">
        <w:rPr>
          <w:rFonts w:ascii="Avenir Light" w:hAnsi="Avenir Light"/>
          <w:color w:val="000000" w:themeColor="text1"/>
          <w:sz w:val="16"/>
          <w:szCs w:val="16"/>
        </w:rPr>
        <w:t>Lead Contact</w:t>
      </w:r>
    </w:p>
    <w:p w14:paraId="69BE5FDA" w14:textId="375713B8" w:rsidR="00BA57C6" w:rsidRPr="00316CB0" w:rsidRDefault="00BA57C6" w:rsidP="00316CB0">
      <w:pPr>
        <w:spacing w:after="60"/>
        <w:ind w:right="-3326"/>
        <w:rPr>
          <w:rFonts w:ascii="Avenir Light" w:hAnsi="Avenir Light"/>
          <w:color w:val="000000" w:themeColor="text1"/>
          <w:sz w:val="16"/>
          <w:szCs w:val="16"/>
        </w:rPr>
      </w:pPr>
      <w:r w:rsidRPr="006223C7">
        <w:rPr>
          <w:rFonts w:ascii="Avenir Light" w:hAnsi="Avenir Light"/>
          <w:color w:val="000000" w:themeColor="text1"/>
          <w:sz w:val="16"/>
          <w:szCs w:val="16"/>
        </w:rPr>
        <w:t>*Correspondence:</w:t>
      </w:r>
      <w:r w:rsidRPr="006223C7">
        <w:rPr>
          <w:rFonts w:ascii="Avenir Light" w:hAnsi="Avenir Light"/>
          <w:color w:val="0086BF"/>
          <w:sz w:val="16"/>
          <w:szCs w:val="16"/>
        </w:rPr>
        <w:t xml:space="preserve"> </w:t>
      </w:r>
      <w:r w:rsidR="00FB0511">
        <w:rPr>
          <w:rFonts w:ascii="Avenir Light" w:hAnsi="Avenir Light"/>
          <w:color w:val="0086BF"/>
          <w:sz w:val="16"/>
          <w:szCs w:val="16"/>
        </w:rPr>
        <w:t>k.toghill@lancaster.ac.uk</w:t>
      </w:r>
    </w:p>
    <w:p w14:paraId="4770293A" w14:textId="6410FFB0" w:rsidR="00BA57C6" w:rsidRPr="00316CB0" w:rsidRDefault="00316CB0" w:rsidP="00316CB0">
      <w:pPr>
        <w:spacing w:before="240" w:after="60" w:line="276" w:lineRule="auto"/>
        <w:rPr>
          <w:rFonts w:ascii="Avenir LT Std 55 Roman" w:hAnsi="Avenir LT Std 55 Roman"/>
          <w:b/>
          <w:color w:val="0086BF"/>
          <w:sz w:val="17"/>
          <w:szCs w:val="17"/>
        </w:rPr>
      </w:pPr>
      <w:r w:rsidRPr="00316CB0">
        <w:rPr>
          <w:rFonts w:ascii="Avenir LT Std 55 Roman" w:hAnsi="Avenir LT Std 55 Roman"/>
          <w:b/>
          <w:color w:val="AB4C4C"/>
          <w:sz w:val="17"/>
          <w:szCs w:val="17"/>
        </w:rPr>
        <w:t xml:space="preserve">Energy Storage </w:t>
      </w:r>
      <w:r>
        <w:rPr>
          <w:rFonts w:ascii="Avenir LT Std 55 Roman" w:hAnsi="Avenir LT Std 55 Roman"/>
          <w:b/>
          <w:color w:val="AB4C4C"/>
          <w:sz w:val="17"/>
          <w:szCs w:val="17"/>
        </w:rPr>
        <w:t>i</w:t>
      </w:r>
      <w:r w:rsidRPr="00316CB0">
        <w:rPr>
          <w:rFonts w:ascii="Avenir LT Std 55 Roman" w:hAnsi="Avenir LT Std 55 Roman"/>
          <w:b/>
          <w:color w:val="AB4C4C"/>
          <w:sz w:val="17"/>
          <w:szCs w:val="17"/>
        </w:rPr>
        <w:t>n Non-Aqueous Systems</w:t>
      </w:r>
    </w:p>
    <w:p w14:paraId="34EA79A7" w14:textId="44BACB2B" w:rsidR="00165A9B" w:rsidRPr="00316CB0" w:rsidRDefault="00165A9B" w:rsidP="00316CB0">
      <w:pPr>
        <w:spacing w:line="276" w:lineRule="auto"/>
        <w:jc w:val="both"/>
        <w:rPr>
          <w:rFonts w:ascii="Avenir LT Std 55 Roman" w:eastAsia="Calibri" w:hAnsi="Avenir LT Std 55 Roman" w:cs="Calibri"/>
          <w:sz w:val="17"/>
          <w:szCs w:val="17"/>
        </w:rPr>
      </w:pPr>
      <w:r w:rsidRPr="00316CB0">
        <w:rPr>
          <w:rFonts w:ascii="Avenir LT Std 55 Roman" w:eastAsia="Calibri" w:hAnsi="Avenir LT Std 55 Roman" w:cs="Calibri"/>
          <w:sz w:val="17"/>
          <w:szCs w:val="17"/>
        </w:rPr>
        <w:t xml:space="preserve">Electrolytes are </w:t>
      </w:r>
      <w:r w:rsidR="00A269CC" w:rsidRPr="00316CB0">
        <w:rPr>
          <w:rFonts w:ascii="Avenir LT Std 55 Roman" w:eastAsia="Calibri" w:hAnsi="Avenir LT Std 55 Roman" w:cs="Calibri"/>
          <w:sz w:val="17"/>
          <w:szCs w:val="17"/>
        </w:rPr>
        <w:t>a</w:t>
      </w:r>
      <w:r w:rsidR="00835F1B" w:rsidRPr="00316CB0">
        <w:rPr>
          <w:rFonts w:ascii="Avenir LT Std 55 Roman" w:eastAsia="Calibri" w:hAnsi="Avenir LT Std 55 Roman" w:cs="Calibri"/>
          <w:sz w:val="17"/>
          <w:szCs w:val="17"/>
        </w:rPr>
        <w:t>n essential</w:t>
      </w:r>
      <w:r w:rsidRPr="00316CB0">
        <w:rPr>
          <w:rFonts w:ascii="Avenir LT Std 55 Roman" w:eastAsia="Calibri" w:hAnsi="Avenir LT Std 55 Roman" w:cs="Calibri"/>
          <w:sz w:val="17"/>
          <w:szCs w:val="17"/>
        </w:rPr>
        <w:t xml:space="preserve"> component </w:t>
      </w:r>
      <w:r w:rsidR="001330C2" w:rsidRPr="00316CB0">
        <w:rPr>
          <w:rFonts w:ascii="Avenir LT Std 55 Roman" w:eastAsia="Calibri" w:hAnsi="Avenir LT Std 55 Roman" w:cs="Calibri"/>
          <w:sz w:val="17"/>
          <w:szCs w:val="17"/>
        </w:rPr>
        <w:t>of</w:t>
      </w:r>
      <w:r w:rsidRPr="00316CB0">
        <w:rPr>
          <w:rFonts w:ascii="Avenir LT Std 55 Roman" w:eastAsia="Calibri" w:hAnsi="Avenir LT Std 55 Roman" w:cs="Calibri"/>
          <w:sz w:val="17"/>
          <w:szCs w:val="17"/>
        </w:rPr>
        <w:t xml:space="preserve"> electrochemical energy storage devices (ESD), which are </w:t>
      </w:r>
      <w:r w:rsidR="007F1588" w:rsidRPr="00316CB0">
        <w:rPr>
          <w:rFonts w:ascii="Avenir LT Std 55 Roman" w:eastAsia="Calibri" w:hAnsi="Avenir LT Std 55 Roman" w:cs="Calibri"/>
          <w:sz w:val="17"/>
          <w:szCs w:val="17"/>
        </w:rPr>
        <w:t>usually</w:t>
      </w:r>
      <w:r w:rsidR="0097701B" w:rsidRPr="00316CB0">
        <w:rPr>
          <w:rFonts w:ascii="Avenir LT Std 55 Roman" w:eastAsia="Calibri" w:hAnsi="Avenir LT Std 55 Roman" w:cs="Calibri"/>
          <w:sz w:val="17"/>
          <w:szCs w:val="17"/>
        </w:rPr>
        <w:t xml:space="preserve"> </w:t>
      </w:r>
      <w:r w:rsidRPr="00316CB0">
        <w:rPr>
          <w:rFonts w:ascii="Avenir LT Std 55 Roman" w:eastAsia="Calibri" w:hAnsi="Avenir LT Std 55 Roman" w:cs="Calibri"/>
          <w:sz w:val="17"/>
          <w:szCs w:val="17"/>
        </w:rPr>
        <w:t>composed of non-aqueous</w:t>
      </w:r>
      <w:r w:rsidR="003D2839" w:rsidRPr="00316CB0">
        <w:rPr>
          <w:rFonts w:ascii="Avenir LT Std 55 Roman" w:eastAsia="Calibri" w:hAnsi="Avenir LT Std 55 Roman" w:cs="Calibri"/>
          <w:sz w:val="17"/>
          <w:szCs w:val="17"/>
        </w:rPr>
        <w:t xml:space="preserve"> (NA)</w:t>
      </w:r>
      <w:r w:rsidRPr="00316CB0">
        <w:rPr>
          <w:rFonts w:ascii="Avenir LT Std 55 Roman" w:eastAsia="Calibri" w:hAnsi="Avenir LT Std 55 Roman" w:cs="Calibri"/>
          <w:sz w:val="17"/>
          <w:szCs w:val="17"/>
        </w:rPr>
        <w:t xml:space="preserve"> solvents. Much of current research into such devices surrounds </w:t>
      </w:r>
      <w:r w:rsidR="006E7840" w:rsidRPr="00316CB0">
        <w:rPr>
          <w:rFonts w:ascii="Avenir LT Std 55 Roman" w:eastAsia="Calibri" w:hAnsi="Avenir LT Std 55 Roman" w:cs="Calibri"/>
          <w:sz w:val="17"/>
          <w:szCs w:val="17"/>
        </w:rPr>
        <w:t>maximizing</w:t>
      </w:r>
      <w:r w:rsidRPr="00316CB0">
        <w:rPr>
          <w:rFonts w:ascii="Avenir LT Std 55 Roman" w:eastAsia="Calibri" w:hAnsi="Avenir LT Std 55 Roman" w:cs="Calibri"/>
          <w:sz w:val="17"/>
          <w:szCs w:val="17"/>
        </w:rPr>
        <w:t xml:space="preserve"> energy densities </w:t>
      </w:r>
      <w:r w:rsidR="00F80EE8" w:rsidRPr="00316CB0">
        <w:rPr>
          <w:rFonts w:ascii="Avenir LT Std 55 Roman" w:eastAsia="Calibri" w:hAnsi="Avenir LT Std 55 Roman" w:cs="Calibri"/>
          <w:sz w:val="17"/>
          <w:szCs w:val="17"/>
        </w:rPr>
        <w:t>by enhancing operating voltages</w:t>
      </w:r>
      <w:r w:rsidR="00DE1C55">
        <w:rPr>
          <w:rFonts w:ascii="Avenir LT Std 55 Roman" w:eastAsia="Calibri" w:hAnsi="Avenir LT Std 55 Roman" w:cs="Calibri"/>
          <w:sz w:val="17"/>
          <w:szCs w:val="17"/>
        </w:rPr>
        <w:t>,</w:t>
      </w:r>
      <w:r w:rsidR="00F80EE8" w:rsidRPr="00316CB0">
        <w:rPr>
          <w:rFonts w:ascii="Avenir LT Std 55 Roman" w:eastAsia="Calibri" w:hAnsi="Avenir LT Std 55 Roman" w:cs="Calibri"/>
          <w:sz w:val="17"/>
          <w:szCs w:val="17"/>
        </w:rPr>
        <w:t xml:space="preserve"> </w:t>
      </w:r>
      <w:r w:rsidRPr="00316CB0">
        <w:rPr>
          <w:rFonts w:ascii="Avenir LT Std 55 Roman" w:eastAsia="Calibri" w:hAnsi="Avenir LT Std 55 Roman" w:cs="Calibri"/>
          <w:sz w:val="17"/>
          <w:szCs w:val="17"/>
        </w:rPr>
        <w:t xml:space="preserve">to </w:t>
      </w:r>
      <w:r w:rsidR="00A269CC" w:rsidRPr="00316CB0">
        <w:rPr>
          <w:rFonts w:ascii="Avenir LT Std 55 Roman" w:eastAsia="Calibri" w:hAnsi="Avenir LT Std 55 Roman" w:cs="Calibri"/>
          <w:sz w:val="17"/>
          <w:szCs w:val="17"/>
        </w:rPr>
        <w:t>meet</w:t>
      </w:r>
      <w:r w:rsidRPr="00316CB0">
        <w:rPr>
          <w:rFonts w:ascii="Avenir LT Std 55 Roman" w:eastAsia="Calibri" w:hAnsi="Avenir LT Std 55 Roman" w:cs="Calibri"/>
          <w:sz w:val="17"/>
          <w:szCs w:val="17"/>
        </w:rPr>
        <w:t xml:space="preserve"> increasingly demanding applications. In lithium-ion batteries (LIBs), electrolyte reduction is well documented at the anode, contributing to the formation of the invaluable solid electrolyte interface (SEI) layer. At high positive voltages, however, electrolyte oxidation can often limit the device’s lifetime and electrochemical performance. Thus, evaluation of the electrochemical stability window (ESW) is important to ensure the use of sufficiently stable </w:t>
      </w:r>
      <w:r w:rsidR="00F80EE8" w:rsidRPr="00316CB0">
        <w:rPr>
          <w:rFonts w:ascii="Avenir LT Std 55 Roman" w:eastAsia="Calibri" w:hAnsi="Avenir LT Std 55 Roman" w:cs="Calibri"/>
          <w:sz w:val="17"/>
          <w:szCs w:val="17"/>
        </w:rPr>
        <w:t>electrol</w:t>
      </w:r>
      <w:r w:rsidR="00A963F5">
        <w:rPr>
          <w:rFonts w:ascii="Avenir LT Std 55 Roman" w:eastAsia="Calibri" w:hAnsi="Avenir LT Std 55 Roman" w:cs="Calibri"/>
          <w:sz w:val="17"/>
          <w:szCs w:val="17"/>
        </w:rPr>
        <w:t>yt</w:t>
      </w:r>
      <w:r w:rsidR="0058077F">
        <w:rPr>
          <w:rFonts w:ascii="Avenir LT Std 55 Roman" w:eastAsia="Calibri" w:hAnsi="Avenir LT Std 55 Roman" w:cs="Calibri"/>
          <w:sz w:val="17"/>
          <w:szCs w:val="17"/>
        </w:rPr>
        <w:t>ic</w:t>
      </w:r>
      <w:r w:rsidR="00F80EE8" w:rsidRPr="00316CB0">
        <w:rPr>
          <w:rFonts w:ascii="Avenir LT Std 55 Roman" w:eastAsia="Calibri" w:hAnsi="Avenir LT Std 55 Roman" w:cs="Calibri"/>
          <w:sz w:val="17"/>
          <w:szCs w:val="17"/>
        </w:rPr>
        <w:t xml:space="preserve"> </w:t>
      </w:r>
      <w:r w:rsidRPr="00316CB0">
        <w:rPr>
          <w:rFonts w:ascii="Avenir LT Std 55 Roman" w:eastAsia="Calibri" w:hAnsi="Avenir LT Std 55 Roman" w:cs="Calibri"/>
          <w:sz w:val="17"/>
          <w:szCs w:val="17"/>
        </w:rPr>
        <w:t xml:space="preserve">compositions. </w:t>
      </w:r>
      <w:r w:rsidR="00A269CC" w:rsidRPr="00316CB0">
        <w:rPr>
          <w:rFonts w:ascii="Avenir LT Std 55 Roman" w:eastAsia="Calibri" w:hAnsi="Avenir LT Std 55 Roman" w:cs="Calibri"/>
          <w:sz w:val="17"/>
          <w:szCs w:val="17"/>
        </w:rPr>
        <w:t>T</w:t>
      </w:r>
      <w:r w:rsidRPr="00316CB0">
        <w:rPr>
          <w:rFonts w:ascii="Avenir LT Std 55 Roman" w:eastAsia="Calibri" w:hAnsi="Avenir LT Std 55 Roman" w:cs="Calibri"/>
          <w:sz w:val="17"/>
          <w:szCs w:val="17"/>
        </w:rPr>
        <w:t xml:space="preserve">he rapidly emerging field of </w:t>
      </w:r>
      <w:r w:rsidR="007F1588" w:rsidRPr="00316CB0">
        <w:rPr>
          <w:rFonts w:ascii="Avenir LT Std 55 Roman" w:eastAsia="Calibri" w:hAnsi="Avenir LT Std 55 Roman" w:cs="Calibri"/>
          <w:sz w:val="17"/>
          <w:szCs w:val="17"/>
        </w:rPr>
        <w:t>NA</w:t>
      </w:r>
      <w:r w:rsidRPr="00316CB0">
        <w:rPr>
          <w:rFonts w:ascii="Avenir LT Std 55 Roman" w:eastAsia="Calibri" w:hAnsi="Avenir LT Std 55 Roman" w:cs="Calibri"/>
          <w:sz w:val="17"/>
          <w:szCs w:val="17"/>
        </w:rPr>
        <w:t xml:space="preserve"> redox flow batteries (NARFB) comprising redox organic molecules (ROMs</w:t>
      </w:r>
      <w:r w:rsidR="00A269CC" w:rsidRPr="00316CB0">
        <w:rPr>
          <w:rFonts w:ascii="Avenir LT Std 55 Roman" w:eastAsia="Calibri" w:hAnsi="Avenir LT Std 55 Roman" w:cs="Calibri"/>
          <w:sz w:val="17"/>
          <w:szCs w:val="17"/>
        </w:rPr>
        <w:t>) i</w:t>
      </w:r>
      <w:r w:rsidR="001330C2" w:rsidRPr="00316CB0">
        <w:rPr>
          <w:rFonts w:ascii="Avenir LT Std 55 Roman" w:eastAsia="Calibri" w:hAnsi="Avenir LT Std 55 Roman" w:cs="Calibri"/>
          <w:sz w:val="17"/>
          <w:szCs w:val="17"/>
        </w:rPr>
        <w:t>s</w:t>
      </w:r>
      <w:r w:rsidR="00A269CC" w:rsidRPr="00316CB0">
        <w:rPr>
          <w:rFonts w:ascii="Avenir LT Std 55 Roman" w:eastAsia="Calibri" w:hAnsi="Avenir LT Std 55 Roman" w:cs="Calibri"/>
          <w:sz w:val="17"/>
          <w:szCs w:val="17"/>
        </w:rPr>
        <w:t xml:space="preserve"> another energy storage space </w:t>
      </w:r>
      <w:r w:rsidR="00F80EE8" w:rsidRPr="00316CB0">
        <w:rPr>
          <w:rFonts w:ascii="Avenir LT Std 55 Roman" w:eastAsia="Calibri" w:hAnsi="Avenir LT Std 55 Roman" w:cs="Calibri"/>
          <w:sz w:val="17"/>
          <w:szCs w:val="17"/>
        </w:rPr>
        <w:t xml:space="preserve">that </w:t>
      </w:r>
      <w:r w:rsidR="00A269CC" w:rsidRPr="00316CB0">
        <w:rPr>
          <w:rFonts w:ascii="Avenir LT Std 55 Roman" w:eastAsia="Calibri" w:hAnsi="Avenir LT Std 55 Roman" w:cs="Calibri"/>
          <w:sz w:val="17"/>
          <w:szCs w:val="17"/>
        </w:rPr>
        <w:t xml:space="preserve">routinely </w:t>
      </w:r>
      <w:r w:rsidR="00F80EE8" w:rsidRPr="00316CB0">
        <w:rPr>
          <w:rFonts w:ascii="Avenir LT Std 55 Roman" w:eastAsia="Calibri" w:hAnsi="Avenir LT Std 55 Roman" w:cs="Calibri"/>
          <w:sz w:val="17"/>
          <w:szCs w:val="17"/>
        </w:rPr>
        <w:t>uses</w:t>
      </w:r>
      <w:r w:rsidR="00A269CC" w:rsidRPr="00316CB0">
        <w:rPr>
          <w:rFonts w:ascii="Avenir LT Std 55 Roman" w:eastAsia="Calibri" w:hAnsi="Avenir LT Std 55 Roman" w:cs="Calibri"/>
          <w:sz w:val="17"/>
          <w:szCs w:val="17"/>
        </w:rPr>
        <w:t xml:space="preserve"> organic solvents</w:t>
      </w:r>
      <w:r w:rsidRPr="00316CB0">
        <w:rPr>
          <w:rFonts w:ascii="Avenir LT Std 55 Roman" w:eastAsia="Calibri" w:hAnsi="Avenir LT Std 55 Roman" w:cs="Calibri"/>
          <w:sz w:val="17"/>
          <w:szCs w:val="17"/>
        </w:rPr>
        <w:t>. In t</w:t>
      </w:r>
      <w:r w:rsidR="007F1588" w:rsidRPr="00316CB0">
        <w:rPr>
          <w:rFonts w:ascii="Avenir LT Std 55 Roman" w:eastAsia="Calibri" w:hAnsi="Avenir LT Std 55 Roman" w:cs="Calibri"/>
          <w:sz w:val="17"/>
          <w:szCs w:val="17"/>
        </w:rPr>
        <w:t>his case</w:t>
      </w:r>
      <w:r w:rsidR="006540C3">
        <w:rPr>
          <w:rFonts w:ascii="Avenir LT Std 55 Roman" w:eastAsia="Calibri" w:hAnsi="Avenir LT Std 55 Roman" w:cs="Calibri"/>
          <w:sz w:val="17"/>
          <w:szCs w:val="17"/>
        </w:rPr>
        <w:t>,</w:t>
      </w:r>
      <w:r w:rsidRPr="00316CB0">
        <w:rPr>
          <w:rFonts w:ascii="Avenir LT Std 55 Roman" w:eastAsia="Calibri" w:hAnsi="Avenir LT Std 55 Roman" w:cs="Calibri"/>
          <w:sz w:val="17"/>
          <w:szCs w:val="17"/>
        </w:rPr>
        <w:t xml:space="preserve"> it is critical to establish the redox potential of the ROMs with respect to </w:t>
      </w:r>
      <w:r w:rsidR="00835F1B" w:rsidRPr="00316CB0">
        <w:rPr>
          <w:rFonts w:ascii="Avenir LT Std 55 Roman" w:eastAsia="Calibri" w:hAnsi="Avenir LT Std 55 Roman" w:cs="Calibri"/>
          <w:sz w:val="17"/>
          <w:szCs w:val="17"/>
        </w:rPr>
        <w:t xml:space="preserve">both </w:t>
      </w:r>
      <w:r w:rsidRPr="00316CB0">
        <w:rPr>
          <w:rFonts w:ascii="Avenir LT Std 55 Roman" w:eastAsia="Calibri" w:hAnsi="Avenir LT Std 55 Roman" w:cs="Calibri"/>
          <w:sz w:val="17"/>
          <w:szCs w:val="17"/>
        </w:rPr>
        <w:t>the electrolyte potential window and with respect to each half-</w:t>
      </w:r>
      <w:r w:rsidRPr="00316CB0">
        <w:rPr>
          <w:rStyle w:val="Emphasis"/>
          <w:rFonts w:ascii="Avenir LT Std 55 Roman" w:hAnsi="Avenir LT Std 55 Roman"/>
          <w:i w:val="0"/>
          <w:iCs w:val="0"/>
          <w:sz w:val="17"/>
          <w:szCs w:val="17"/>
        </w:rPr>
        <w:t>reaction</w:t>
      </w:r>
      <w:r w:rsidR="00292870" w:rsidRPr="00316CB0">
        <w:rPr>
          <w:rStyle w:val="Emphasis"/>
          <w:rFonts w:ascii="Avenir LT Std 55 Roman" w:hAnsi="Avenir LT Std 55 Roman"/>
          <w:i w:val="0"/>
          <w:iCs w:val="0"/>
          <w:sz w:val="17"/>
          <w:szCs w:val="17"/>
        </w:rPr>
        <w:t>, as their potential difference</w:t>
      </w:r>
      <w:r w:rsidR="00C3694B" w:rsidRPr="00316CB0">
        <w:rPr>
          <w:rStyle w:val="Emphasis"/>
          <w:rFonts w:ascii="Avenir LT Std 55 Roman" w:hAnsi="Avenir LT Std 55 Roman"/>
          <w:i w:val="0"/>
          <w:iCs w:val="0"/>
          <w:sz w:val="17"/>
          <w:szCs w:val="17"/>
        </w:rPr>
        <w:t xml:space="preserve"> governs the cell voltage and indicate</w:t>
      </w:r>
      <w:r w:rsidR="00BF0ABC">
        <w:rPr>
          <w:rStyle w:val="Emphasis"/>
          <w:rFonts w:ascii="Avenir LT Std 55 Roman" w:hAnsi="Avenir LT Std 55 Roman"/>
          <w:i w:val="0"/>
          <w:iCs w:val="0"/>
          <w:sz w:val="17"/>
          <w:szCs w:val="17"/>
        </w:rPr>
        <w:t>s</w:t>
      </w:r>
      <w:r w:rsidR="00C3694B" w:rsidRPr="00316CB0">
        <w:rPr>
          <w:rStyle w:val="Emphasis"/>
          <w:rFonts w:ascii="Avenir LT Std 55 Roman" w:hAnsi="Avenir LT Std 55 Roman"/>
          <w:i w:val="0"/>
          <w:iCs w:val="0"/>
          <w:sz w:val="17"/>
          <w:szCs w:val="17"/>
        </w:rPr>
        <w:t xml:space="preserve"> electrolyte stability</w:t>
      </w:r>
      <w:r w:rsidRPr="00316CB0">
        <w:rPr>
          <w:rFonts w:ascii="Avenir LT Std 55 Roman" w:eastAsia="Calibri" w:hAnsi="Avenir LT Std 55 Roman" w:cs="Calibri"/>
          <w:sz w:val="17"/>
          <w:szCs w:val="17"/>
        </w:rPr>
        <w:t>. Progress to expand the operational window of a ROM</w:t>
      </w:r>
      <w:r w:rsidR="00F80EE8" w:rsidRPr="00316CB0">
        <w:rPr>
          <w:rFonts w:ascii="Avenir LT Std 55 Roman" w:eastAsia="Calibri" w:hAnsi="Avenir LT Std 55 Roman" w:cs="Calibri"/>
          <w:sz w:val="17"/>
          <w:szCs w:val="17"/>
        </w:rPr>
        <w:t>-</w:t>
      </w:r>
      <w:r w:rsidRPr="00316CB0">
        <w:rPr>
          <w:rFonts w:ascii="Avenir LT Std 55 Roman" w:eastAsia="Calibri" w:hAnsi="Avenir LT Std 55 Roman" w:cs="Calibri"/>
          <w:sz w:val="17"/>
          <w:szCs w:val="17"/>
        </w:rPr>
        <w:t xml:space="preserve">based NARFB has been substantial in recent years but </w:t>
      </w:r>
      <w:r w:rsidR="00835F1B" w:rsidRPr="00316CB0">
        <w:rPr>
          <w:rFonts w:ascii="Avenir LT Std 55 Roman" w:eastAsia="Calibri" w:hAnsi="Avenir LT Std 55 Roman" w:cs="Calibri"/>
          <w:sz w:val="17"/>
          <w:szCs w:val="17"/>
        </w:rPr>
        <w:t>accurate assessment of scientific developments and meaningful comparison of published</w:t>
      </w:r>
      <w:r w:rsidRPr="00316CB0">
        <w:rPr>
          <w:rFonts w:ascii="Avenir LT Std 55 Roman" w:eastAsia="Calibri" w:hAnsi="Avenir LT Std 55 Roman" w:cs="Calibri"/>
          <w:sz w:val="17"/>
          <w:szCs w:val="17"/>
        </w:rPr>
        <w:t xml:space="preserve"> literature </w:t>
      </w:r>
      <w:r w:rsidR="48C48D9D" w:rsidRPr="00316CB0">
        <w:rPr>
          <w:rFonts w:ascii="Avenir LT Std 55 Roman" w:eastAsia="Calibri" w:hAnsi="Avenir LT Std 55 Roman" w:cs="Calibri"/>
          <w:sz w:val="17"/>
          <w:szCs w:val="17"/>
        </w:rPr>
        <w:t>in</w:t>
      </w:r>
      <w:r w:rsidRPr="00316CB0">
        <w:rPr>
          <w:rFonts w:ascii="Avenir LT Std 55 Roman" w:eastAsia="Calibri" w:hAnsi="Avenir LT Std 55 Roman" w:cs="Calibri"/>
          <w:sz w:val="17"/>
          <w:szCs w:val="17"/>
        </w:rPr>
        <w:t xml:space="preserve"> this field is a real challenge owing to the range of reference electrodes being </w:t>
      </w:r>
      <w:r w:rsidR="00835F1B" w:rsidRPr="00316CB0">
        <w:rPr>
          <w:rFonts w:ascii="Avenir LT Std 55 Roman" w:eastAsia="Calibri" w:hAnsi="Avenir LT Std 55 Roman" w:cs="Calibri"/>
          <w:sz w:val="17"/>
          <w:szCs w:val="17"/>
        </w:rPr>
        <w:t xml:space="preserve">used </w:t>
      </w:r>
      <w:r w:rsidRPr="00316CB0">
        <w:rPr>
          <w:rFonts w:ascii="Avenir LT Std 55 Roman" w:eastAsia="Calibri" w:hAnsi="Avenir LT Std 55 Roman" w:cs="Calibri"/>
          <w:sz w:val="17"/>
          <w:szCs w:val="17"/>
        </w:rPr>
        <w:t xml:space="preserve">and inconsistent experimental conditions. </w:t>
      </w:r>
    </w:p>
    <w:p w14:paraId="2249BE82" w14:textId="564CACA1" w:rsidR="000C3C1C" w:rsidRPr="00316CB0" w:rsidRDefault="00165A9B" w:rsidP="00316CB0">
      <w:pPr>
        <w:spacing w:line="276" w:lineRule="auto"/>
        <w:ind w:firstLine="426"/>
        <w:jc w:val="both"/>
        <w:rPr>
          <w:rFonts w:ascii="Avenir LT Std 55 Roman" w:eastAsia="Calibri" w:hAnsi="Avenir LT Std 55 Roman" w:cs="Calibri"/>
          <w:sz w:val="17"/>
          <w:szCs w:val="17"/>
        </w:rPr>
      </w:pPr>
      <w:r w:rsidRPr="00316CB0">
        <w:rPr>
          <w:rFonts w:ascii="Avenir LT Std 55 Roman" w:eastAsia="Calibri" w:hAnsi="Avenir LT Std 55 Roman" w:cs="Calibri"/>
          <w:sz w:val="17"/>
          <w:szCs w:val="17"/>
        </w:rPr>
        <w:t xml:space="preserve">While </w:t>
      </w:r>
      <w:r w:rsidR="000C3C1C" w:rsidRPr="00316CB0">
        <w:rPr>
          <w:rFonts w:ascii="Avenir LT Std 55 Roman" w:eastAsia="Calibri" w:hAnsi="Avenir LT Std 55 Roman" w:cs="Calibri"/>
          <w:sz w:val="17"/>
          <w:szCs w:val="17"/>
        </w:rPr>
        <w:t xml:space="preserve">traditionally </w:t>
      </w:r>
      <w:r w:rsidRPr="00316CB0">
        <w:rPr>
          <w:rFonts w:ascii="Avenir LT Std 55 Roman" w:eastAsia="Calibri" w:hAnsi="Avenir LT Std 55 Roman" w:cs="Calibri"/>
          <w:sz w:val="17"/>
          <w:szCs w:val="17"/>
        </w:rPr>
        <w:t xml:space="preserve">batteries operate as two-electrode devices, reliable voltammetric measurements require three </w:t>
      </w:r>
      <w:r w:rsidR="001330C2" w:rsidRPr="00316CB0">
        <w:rPr>
          <w:rFonts w:ascii="Avenir LT Std 55 Roman" w:eastAsia="Calibri" w:hAnsi="Avenir LT Std 55 Roman" w:cs="Calibri"/>
          <w:sz w:val="17"/>
          <w:szCs w:val="17"/>
        </w:rPr>
        <w:t>electrodes:</w:t>
      </w:r>
      <w:r w:rsidRPr="00316CB0">
        <w:rPr>
          <w:rFonts w:ascii="Avenir LT Std 55 Roman" w:eastAsia="Calibri" w:hAnsi="Avenir LT Std 55 Roman" w:cs="Calibri"/>
          <w:sz w:val="17"/>
          <w:szCs w:val="17"/>
        </w:rPr>
        <w:t xml:space="preserve"> a working electrode (WE), counter electrode (CE) and reference electrode (RE). </w:t>
      </w:r>
      <w:r w:rsidR="000C3C1C" w:rsidRPr="00316CB0">
        <w:rPr>
          <w:rFonts w:ascii="Avenir LT Std 55 Roman" w:eastAsia="Calibri" w:hAnsi="Avenir LT Std 55 Roman" w:cs="Calibri"/>
          <w:sz w:val="17"/>
          <w:szCs w:val="17"/>
        </w:rPr>
        <w:t xml:space="preserve">A reference electrode is an important diagnostic tool to decouple and characterize electrode behavior, which is especially </w:t>
      </w:r>
      <w:r w:rsidR="00BA3EF6" w:rsidRPr="00316CB0">
        <w:rPr>
          <w:rFonts w:ascii="Avenir LT Std 55 Roman" w:eastAsia="Calibri" w:hAnsi="Avenir LT Std 55 Roman" w:cs="Calibri"/>
          <w:sz w:val="17"/>
          <w:szCs w:val="17"/>
        </w:rPr>
        <w:t xml:space="preserve">critical </w:t>
      </w:r>
      <w:r w:rsidR="000C3C1C" w:rsidRPr="00316CB0">
        <w:rPr>
          <w:rFonts w:ascii="Avenir LT Std 55 Roman" w:eastAsia="Calibri" w:hAnsi="Avenir LT Std 55 Roman" w:cs="Calibri"/>
          <w:sz w:val="17"/>
          <w:szCs w:val="17"/>
        </w:rPr>
        <w:t>under fast charging conditions. T</w:t>
      </w:r>
      <w:r w:rsidRPr="00316CB0">
        <w:rPr>
          <w:rFonts w:ascii="Avenir LT Std 55 Roman" w:eastAsia="Calibri" w:hAnsi="Avenir LT Std 55 Roman" w:cs="Calibri"/>
          <w:sz w:val="17"/>
          <w:szCs w:val="17"/>
        </w:rPr>
        <w:t>he high energy and power requirements of electric vehicles that employ LIBs mean that degradation and safety monitoring is more important than ever. With increased charging rates</w:t>
      </w:r>
      <w:r w:rsidR="00F80EE8" w:rsidRPr="00316CB0">
        <w:rPr>
          <w:rFonts w:ascii="Avenir LT Std 55 Roman" w:eastAsia="Calibri" w:hAnsi="Avenir LT Std 55 Roman" w:cs="Calibri"/>
          <w:sz w:val="17"/>
          <w:szCs w:val="17"/>
        </w:rPr>
        <w:t>,</w:t>
      </w:r>
      <w:r w:rsidRPr="00316CB0">
        <w:rPr>
          <w:rFonts w:ascii="Avenir LT Std 55 Roman" w:eastAsia="Calibri" w:hAnsi="Avenir LT Std 55 Roman" w:cs="Calibri"/>
          <w:sz w:val="17"/>
          <w:szCs w:val="17"/>
        </w:rPr>
        <w:t xml:space="preserve"> lithium deposition at the anode becomes more favorable</w:t>
      </w:r>
      <w:r w:rsidR="00F80EE8" w:rsidRPr="00316CB0">
        <w:rPr>
          <w:rFonts w:ascii="Avenir LT Std 55 Roman" w:eastAsia="Calibri" w:hAnsi="Avenir LT Std 55 Roman" w:cs="Calibri"/>
          <w:sz w:val="17"/>
          <w:szCs w:val="17"/>
        </w:rPr>
        <w:t>,</w:t>
      </w:r>
      <w:r w:rsidRPr="00316CB0">
        <w:rPr>
          <w:rFonts w:ascii="Avenir LT Std 55 Roman" w:eastAsia="Calibri" w:hAnsi="Avenir LT Std 55 Roman" w:cs="Calibri"/>
          <w:sz w:val="17"/>
          <w:szCs w:val="17"/>
        </w:rPr>
        <w:t xml:space="preserve"> where subsequent </w:t>
      </w:r>
      <w:r w:rsidR="0005581C" w:rsidRPr="00316CB0">
        <w:rPr>
          <w:rFonts w:ascii="Avenir LT Std 55 Roman" w:eastAsia="Calibri" w:hAnsi="Avenir LT Std 55 Roman" w:cs="Calibri"/>
          <w:sz w:val="17"/>
          <w:szCs w:val="17"/>
        </w:rPr>
        <w:t xml:space="preserve">formation of </w:t>
      </w:r>
      <w:r w:rsidRPr="00316CB0">
        <w:rPr>
          <w:rFonts w:ascii="Avenir LT Std 55 Roman" w:eastAsia="Calibri" w:hAnsi="Avenir LT Std 55 Roman" w:cs="Calibri"/>
          <w:sz w:val="17"/>
          <w:szCs w:val="17"/>
        </w:rPr>
        <w:t>dendrite</w:t>
      </w:r>
      <w:r w:rsidR="0005581C" w:rsidRPr="00316CB0">
        <w:rPr>
          <w:rFonts w:ascii="Avenir LT Std 55 Roman" w:eastAsia="Calibri" w:hAnsi="Avenir LT Std 55 Roman" w:cs="Calibri"/>
          <w:sz w:val="17"/>
          <w:szCs w:val="17"/>
        </w:rPr>
        <w:t>s</w:t>
      </w:r>
      <w:r w:rsidRPr="00316CB0">
        <w:rPr>
          <w:rFonts w:ascii="Avenir LT Std 55 Roman" w:eastAsia="Calibri" w:hAnsi="Avenir LT Std 55 Roman" w:cs="Calibri"/>
          <w:sz w:val="17"/>
          <w:szCs w:val="17"/>
        </w:rPr>
        <w:t xml:space="preserve"> can lead to cell shorting (a significant safety concern</w:t>
      </w:r>
      <w:r w:rsidR="000C3C1C" w:rsidRPr="00316CB0">
        <w:rPr>
          <w:rFonts w:ascii="Avenir LT Std 55 Roman" w:eastAsia="Calibri" w:hAnsi="Avenir LT Std 55 Roman" w:cs="Calibri"/>
          <w:sz w:val="17"/>
          <w:szCs w:val="17"/>
        </w:rPr>
        <w:t>), and d</w:t>
      </w:r>
      <w:r w:rsidRPr="00316CB0">
        <w:rPr>
          <w:rFonts w:ascii="Avenir LT Std 55 Roman" w:eastAsia="Calibri" w:hAnsi="Avenir LT Std 55 Roman" w:cs="Calibri"/>
          <w:sz w:val="17"/>
          <w:szCs w:val="17"/>
        </w:rPr>
        <w:t xml:space="preserve">egradation at the cathode can lead to increased </w:t>
      </w:r>
      <w:r w:rsidR="00AA7E44" w:rsidRPr="00316CB0">
        <w:rPr>
          <w:rFonts w:ascii="Avenir LT Std 55 Roman" w:eastAsia="Calibri" w:hAnsi="Avenir LT Std 55 Roman" w:cs="Calibri"/>
          <w:sz w:val="17"/>
          <w:szCs w:val="17"/>
        </w:rPr>
        <w:t xml:space="preserve">cell </w:t>
      </w:r>
      <w:r w:rsidRPr="00316CB0">
        <w:rPr>
          <w:rFonts w:ascii="Avenir LT Std 55 Roman" w:eastAsia="Calibri" w:hAnsi="Avenir LT Std 55 Roman" w:cs="Calibri"/>
          <w:sz w:val="17"/>
          <w:szCs w:val="17"/>
        </w:rPr>
        <w:t xml:space="preserve">impedance. </w:t>
      </w:r>
    </w:p>
    <w:p w14:paraId="021E359B" w14:textId="30D65399" w:rsidR="00165A9B" w:rsidRDefault="00165A9B" w:rsidP="00316CB0">
      <w:pPr>
        <w:spacing w:line="276" w:lineRule="auto"/>
        <w:ind w:firstLine="426"/>
        <w:jc w:val="both"/>
        <w:rPr>
          <w:rFonts w:ascii="Avenir LT Std 55 Roman" w:eastAsia="Calibri" w:hAnsi="Avenir LT Std 55 Roman" w:cs="Calibri"/>
          <w:sz w:val="17"/>
          <w:szCs w:val="17"/>
        </w:rPr>
      </w:pPr>
      <w:r w:rsidRPr="00316CB0">
        <w:rPr>
          <w:rFonts w:ascii="Avenir LT Std 55 Roman" w:eastAsia="Calibri" w:hAnsi="Avenir LT Std 55 Roman" w:cs="Calibri"/>
          <w:sz w:val="17"/>
          <w:szCs w:val="17"/>
        </w:rPr>
        <w:t xml:space="preserve">Good reference electrodes should be non-polarizable and provide reliable and reproducible potentials. This is achieved through fast electrode kinetics, high surface area and </w:t>
      </w:r>
      <w:r w:rsidR="00A269CC" w:rsidRPr="00316CB0">
        <w:rPr>
          <w:rFonts w:ascii="Avenir LT Std 55 Roman" w:eastAsia="Calibri" w:hAnsi="Avenir LT Std 55 Roman" w:cs="Calibri"/>
          <w:sz w:val="17"/>
          <w:szCs w:val="17"/>
        </w:rPr>
        <w:t>stable</w:t>
      </w:r>
      <w:r w:rsidRPr="00316CB0">
        <w:rPr>
          <w:rFonts w:ascii="Avenir LT Std 55 Roman" w:eastAsia="Calibri" w:hAnsi="Avenir LT Std 55 Roman" w:cs="Calibri"/>
          <w:sz w:val="17"/>
          <w:szCs w:val="17"/>
        </w:rPr>
        <w:t xml:space="preserve"> conditions and composition.</w:t>
      </w:r>
      <w:r w:rsidRPr="00316CB0">
        <w:rPr>
          <w:rFonts w:ascii="Avenir LT Std 55 Roman" w:eastAsia="Calibri" w:hAnsi="Avenir LT Std 55 Roman" w:cs="Calibri"/>
          <w:sz w:val="17"/>
          <w:szCs w:val="17"/>
        </w:rPr>
        <w:fldChar w:fldCharType="begin" w:fldLock="1"/>
      </w:r>
      <w:r w:rsidRPr="00316CB0">
        <w:rPr>
          <w:rFonts w:ascii="Avenir LT Std 55 Roman" w:eastAsia="Calibri" w:hAnsi="Avenir LT Std 55 Roman" w:cs="Calibri"/>
          <w:sz w:val="17"/>
          <w:szCs w:val="17"/>
        </w:rPr>
        <w:instrText>ADDIN CSL_CITATION {"citationItems":[{"id":"ITEM-1","itemData":{"ISBN":"3-527-60065-5","abstract":"This chapter contains sections titled: * Basic Experimental Techniques in Non-Aqueous Solutions Experimental Apparatus for Non-Aqueous SystemsSolvents and Supporting Electrolytes * Polarography and Voltammetry of Inorganic Species Polarographic Reductions of Metal IonsPolarography and Voltammetry of Metal ComplexesPolarography and Voltammetry of AnionsElectrode Reactions of Dissolved Oxygen, Dissolved Hydrogen, Carbon Dioxide, and Solvated Electrons * Polarography and Voltammetry of Organic Compounds Reduction of Organic CompoundsOxidation of Organic Compounds * Cyclic Voltammetry for Electrochemical Studies in Non-Aqueous Solutions Digital Simulation in Cyclic VoltammetryUltramicroelectrodes in Cyclic VoltammetryLow Temperature Electrochemistry and Cyclic Voltammetry","author":[{"dropping-particle":"","family":"Izutsu","given":"Kosuke","non-dropping-particle":"","parse-names":false,"suffix":""}],"container-title":"Electrochemistry in Nonaqueous Solutions","id":"ITEM-1","issued":{"date-parts":[["2002"]]},"title":"Polarography and Voltammetry in Nonaqueous Solutions","type":"book","volume":"5"},"uris":["http://www.mendeley.com/documents/?uuid=8f6ed7b4-a59b-48c8-88de-2f3123fa58a0"]}],"mendeley":{"formattedCitation":"&lt;sup&gt;1&lt;/sup&gt;","plainTextFormattedCitation":"1","previouslyFormattedCitation":"&lt;sup&gt;1&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00EF18B6" w:rsidRPr="00316CB0">
        <w:rPr>
          <w:rFonts w:ascii="Avenir LT Std 55 Roman" w:eastAsia="Calibri" w:hAnsi="Avenir LT Std 55 Roman" w:cs="Calibri"/>
          <w:noProof/>
          <w:sz w:val="17"/>
          <w:szCs w:val="17"/>
          <w:vertAlign w:val="superscript"/>
        </w:rPr>
        <w:t>1</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Whil</w:t>
      </w:r>
      <w:r w:rsidR="0054560A">
        <w:rPr>
          <w:rFonts w:ascii="Avenir LT Std 55 Roman" w:eastAsia="Calibri" w:hAnsi="Avenir LT Std 55 Roman" w:cs="Calibri"/>
          <w:sz w:val="17"/>
          <w:szCs w:val="17"/>
        </w:rPr>
        <w:t>e</w:t>
      </w:r>
      <w:r w:rsidRPr="00316CB0">
        <w:rPr>
          <w:rFonts w:ascii="Avenir LT Std 55 Roman" w:eastAsia="Calibri" w:hAnsi="Avenir LT Std 55 Roman" w:cs="Calibri"/>
          <w:sz w:val="17"/>
          <w:szCs w:val="17"/>
        </w:rPr>
        <w:t xml:space="preserve"> robust reference electrodes for use in aqueous systems are well established (</w:t>
      </w:r>
      <w:r w:rsidRPr="00A57549">
        <w:rPr>
          <w:rFonts w:ascii="Avenir LT Std 55 Roman" w:eastAsia="Calibri" w:hAnsi="Avenir LT Std 55 Roman" w:cs="Calibri"/>
          <w:i/>
          <w:iCs/>
          <w:sz w:val="17"/>
          <w:szCs w:val="17"/>
        </w:rPr>
        <w:t>e.g.</w:t>
      </w:r>
      <w:r w:rsidR="00A57549">
        <w:rPr>
          <w:rFonts w:ascii="Avenir LT Std 55 Roman" w:eastAsia="Calibri" w:hAnsi="Avenir LT Std 55 Roman" w:cs="Calibri"/>
          <w:i/>
          <w:iCs/>
          <w:sz w:val="17"/>
          <w:szCs w:val="17"/>
        </w:rPr>
        <w:t>,</w:t>
      </w:r>
      <w:r w:rsidRPr="00316CB0">
        <w:rPr>
          <w:rFonts w:ascii="Avenir LT Std 55 Roman" w:eastAsia="Calibri" w:hAnsi="Avenir LT Std 55 Roman" w:cs="Calibri"/>
          <w:sz w:val="17"/>
          <w:szCs w:val="17"/>
        </w:rPr>
        <w:t xml:space="preserve"> Ag/AgCl), they are unsuitable for use in </w:t>
      </w:r>
      <w:r w:rsidR="007F1588" w:rsidRPr="00316CB0">
        <w:rPr>
          <w:rFonts w:ascii="Avenir LT Std 55 Roman" w:eastAsia="Calibri" w:hAnsi="Avenir LT Std 55 Roman" w:cs="Calibri"/>
          <w:sz w:val="17"/>
          <w:szCs w:val="17"/>
        </w:rPr>
        <w:t>NA</w:t>
      </w:r>
      <w:r w:rsidRPr="00316CB0">
        <w:rPr>
          <w:rFonts w:ascii="Avenir LT Std 55 Roman" w:eastAsia="Calibri" w:hAnsi="Avenir LT Std 55 Roman" w:cs="Calibri"/>
          <w:sz w:val="17"/>
          <w:szCs w:val="17"/>
        </w:rPr>
        <w:t xml:space="preserve"> systems because of high liquid junction potentials between the internal and external solutions</w:t>
      </w:r>
      <w:r w:rsidR="00AA7E44" w:rsidRPr="00316CB0">
        <w:rPr>
          <w:rFonts w:ascii="Avenir LT Std 55 Roman" w:eastAsia="Calibri" w:hAnsi="Avenir LT Std 55 Roman" w:cs="Calibri"/>
          <w:sz w:val="17"/>
          <w:szCs w:val="17"/>
        </w:rPr>
        <w:t>,</w:t>
      </w:r>
      <w:r w:rsidRPr="00316CB0">
        <w:rPr>
          <w:rFonts w:ascii="Avenir LT Std 55 Roman" w:eastAsia="Calibri" w:hAnsi="Avenir LT Std 55 Roman" w:cs="Calibri"/>
          <w:sz w:val="17"/>
          <w:szCs w:val="17"/>
        </w:rPr>
        <w:t xml:space="preserve"> resulting in large potential drifts, contamination of the external electrolyte, and frit pore plugging due to the insolubility of aqueous salts (</w:t>
      </w:r>
      <w:r w:rsidRPr="009958AA">
        <w:rPr>
          <w:rFonts w:ascii="Avenir LT Std 55 Roman" w:eastAsia="Calibri" w:hAnsi="Avenir LT Std 55 Roman" w:cs="Calibri"/>
          <w:i/>
          <w:iCs/>
          <w:sz w:val="17"/>
          <w:szCs w:val="17"/>
        </w:rPr>
        <w:t>e.g.</w:t>
      </w:r>
      <w:r w:rsidR="009958AA" w:rsidRPr="009958AA">
        <w:rPr>
          <w:rFonts w:ascii="Avenir LT Std 55 Roman" w:eastAsia="Calibri" w:hAnsi="Avenir LT Std 55 Roman" w:cs="Calibri"/>
          <w:i/>
          <w:iCs/>
          <w:sz w:val="17"/>
          <w:szCs w:val="17"/>
        </w:rPr>
        <w:t>,</w:t>
      </w:r>
      <w:r w:rsidRPr="00316CB0">
        <w:rPr>
          <w:rFonts w:ascii="Avenir LT Std 55 Roman" w:eastAsia="Calibri" w:hAnsi="Avenir LT Std 55 Roman" w:cs="Calibri"/>
          <w:sz w:val="17"/>
          <w:szCs w:val="17"/>
        </w:rPr>
        <w:t xml:space="preserve"> </w:t>
      </w:r>
      <w:proofErr w:type="spellStart"/>
      <w:r w:rsidRPr="00316CB0">
        <w:rPr>
          <w:rFonts w:ascii="Avenir LT Std 55 Roman" w:eastAsia="Calibri" w:hAnsi="Avenir LT Std 55 Roman" w:cs="Calibri"/>
          <w:sz w:val="17"/>
          <w:szCs w:val="17"/>
        </w:rPr>
        <w:t>KCl</w:t>
      </w:r>
      <w:proofErr w:type="spellEnd"/>
      <w:r w:rsidRPr="00316CB0">
        <w:rPr>
          <w:rFonts w:ascii="Avenir LT Std 55 Roman" w:eastAsia="Calibri" w:hAnsi="Avenir LT Std 55 Roman" w:cs="Calibri"/>
          <w:sz w:val="17"/>
          <w:szCs w:val="17"/>
        </w:rPr>
        <w:t>) in organic solvents.</w:t>
      </w:r>
      <w:r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10.1002/anie.201606472","ISSN":"15213773","author":[{"dropping-particle":"","family":"Pavlinshchuk","given":"Vitaly","non-dropping-particle":"","parse-names":false,"suffix":""},{"dropping-particle":"","family":"Addison","given":"Anthony","non-dropping-particle":"","parse-names":false,"suffix":""}],"container-title":"Inorganica Chimica Acta","id":"ITEM-1","issued":{"date-parts":[["1999"]]},"page":"97-102","title":"Conversion constants for redox potentials measured versus different reference electrodes in acetonitrile solutions at 25°C","type":"article-journal","volume":"298"},"uris":["http://www.mendeley.com/documents/?uuid=1482295d-469b-4e1d-a033-95acecffc4f6"]}],"mendeley":{"formattedCitation":"&lt;sup&gt;2&lt;/sup&gt;","plainTextFormattedCitation":"2","previouslyFormattedCitation":"&lt;sup&gt;2&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Pr="00316CB0">
        <w:rPr>
          <w:rFonts w:ascii="Avenir LT Std 55 Roman" w:eastAsia="Calibri" w:hAnsi="Avenir LT Std 55 Roman" w:cs="Calibri"/>
          <w:noProof/>
          <w:sz w:val="17"/>
          <w:szCs w:val="17"/>
          <w:vertAlign w:val="superscript"/>
        </w:rPr>
        <w:t>2</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Thus, bespoke reference electrodes are required for </w:t>
      </w:r>
      <w:r w:rsidR="007F1588" w:rsidRPr="00316CB0">
        <w:rPr>
          <w:rFonts w:ascii="Avenir LT Std 55 Roman" w:eastAsia="Calibri" w:hAnsi="Avenir LT Std 55 Roman" w:cs="Calibri"/>
          <w:sz w:val="17"/>
          <w:szCs w:val="17"/>
        </w:rPr>
        <w:t>NA</w:t>
      </w:r>
      <w:r w:rsidRPr="00316CB0">
        <w:rPr>
          <w:rFonts w:ascii="Avenir LT Std 55 Roman" w:eastAsia="Calibri" w:hAnsi="Avenir LT Std 55 Roman" w:cs="Calibri"/>
          <w:sz w:val="17"/>
          <w:szCs w:val="17"/>
        </w:rPr>
        <w:t xml:space="preserve"> applications.</w:t>
      </w:r>
    </w:p>
    <w:p w14:paraId="47B5D116" w14:textId="77777777" w:rsidR="009958AA" w:rsidRDefault="009958AA" w:rsidP="00316CB0">
      <w:pPr>
        <w:spacing w:line="276" w:lineRule="auto"/>
        <w:ind w:firstLine="426"/>
        <w:jc w:val="both"/>
        <w:rPr>
          <w:rFonts w:ascii="Avenir LT Std 55 Roman" w:eastAsia="Calibri" w:hAnsi="Avenir LT Std 55 Roman" w:cs="Calibri"/>
          <w:sz w:val="17"/>
          <w:szCs w:val="17"/>
        </w:rPr>
      </w:pPr>
    </w:p>
    <w:p w14:paraId="4E795CD5" w14:textId="77777777" w:rsidR="009958AA" w:rsidRPr="00316CB0" w:rsidRDefault="009958AA" w:rsidP="00316CB0">
      <w:pPr>
        <w:spacing w:line="276" w:lineRule="auto"/>
        <w:ind w:firstLine="426"/>
        <w:jc w:val="both"/>
        <w:rPr>
          <w:rFonts w:ascii="Avenir LT Std 55 Roman" w:eastAsia="Calibri" w:hAnsi="Avenir LT Std 55 Roman" w:cs="Calibri"/>
          <w:sz w:val="17"/>
          <w:szCs w:val="17"/>
        </w:rPr>
      </w:pPr>
    </w:p>
    <w:p w14:paraId="5BFB2D82" w14:textId="77777777" w:rsidR="00BA57C6" w:rsidRPr="00316CB0" w:rsidRDefault="00BA57C6" w:rsidP="00316CB0">
      <w:pPr>
        <w:spacing w:line="276" w:lineRule="auto"/>
        <w:rPr>
          <w:rFonts w:ascii="Avenir LT Std 55 Roman" w:hAnsi="Avenir LT Std 55 Roman"/>
          <w:color w:val="1F736E"/>
          <w:sz w:val="17"/>
          <w:szCs w:val="17"/>
        </w:rPr>
      </w:pPr>
    </w:p>
    <w:p w14:paraId="4E0DC8E4" w14:textId="2D3134F4" w:rsidR="00BA57C6" w:rsidRPr="00316CB0" w:rsidRDefault="00316CB0" w:rsidP="00316CB0">
      <w:pPr>
        <w:spacing w:after="60" w:line="276" w:lineRule="auto"/>
        <w:rPr>
          <w:rFonts w:ascii="Avenir LT Std 55 Roman" w:hAnsi="Avenir LT Std 55 Roman"/>
          <w:b/>
          <w:color w:val="AB4C4C"/>
          <w:sz w:val="17"/>
          <w:szCs w:val="17"/>
        </w:rPr>
      </w:pPr>
      <w:r w:rsidRPr="00316CB0">
        <w:rPr>
          <w:rFonts w:ascii="Avenir LT Std 55 Roman" w:hAnsi="Avenir LT Std 55 Roman"/>
          <w:b/>
          <w:color w:val="AB4C4C"/>
          <w:sz w:val="17"/>
          <w:szCs w:val="17"/>
        </w:rPr>
        <w:lastRenderedPageBreak/>
        <w:t xml:space="preserve">The Problematic Silver Reference </w:t>
      </w:r>
    </w:p>
    <w:p w14:paraId="7699B4ED" w14:textId="0F5A31C4" w:rsidR="00351686" w:rsidRPr="00316CB0" w:rsidRDefault="00E6029D" w:rsidP="00316CB0">
      <w:pPr>
        <w:spacing w:line="276" w:lineRule="auto"/>
        <w:jc w:val="both"/>
        <w:rPr>
          <w:rFonts w:ascii="Avenir LT Std 55 Roman" w:eastAsia="Calibri" w:hAnsi="Avenir LT Std 55 Roman" w:cs="Calibri"/>
          <w:sz w:val="17"/>
          <w:szCs w:val="17"/>
        </w:rPr>
      </w:pPr>
      <w:r w:rsidRPr="00316CB0">
        <w:rPr>
          <w:rFonts w:ascii="Avenir LT Std 55 Roman" w:eastAsia="Calibri" w:hAnsi="Avenir LT Std 55 Roman" w:cs="Calibri"/>
          <w:sz w:val="17"/>
          <w:szCs w:val="17"/>
        </w:rPr>
        <w:t xml:space="preserve">The </w:t>
      </w:r>
      <w:r w:rsidR="00C76886">
        <w:rPr>
          <w:rFonts w:ascii="Avenir LT Std 55 Roman" w:eastAsia="Calibri" w:hAnsi="Avenir LT Std 55 Roman" w:cs="Calibri"/>
          <w:sz w:val="17"/>
          <w:szCs w:val="17"/>
        </w:rPr>
        <w:t>Ag/AgCl</w:t>
      </w:r>
      <w:r w:rsidRPr="00316CB0">
        <w:rPr>
          <w:rFonts w:ascii="Avenir LT Std 55 Roman" w:eastAsia="Calibri" w:hAnsi="Avenir LT Std 55 Roman" w:cs="Calibri"/>
          <w:sz w:val="17"/>
          <w:szCs w:val="17"/>
        </w:rPr>
        <w:t xml:space="preserve"> </w:t>
      </w:r>
      <w:r w:rsidR="00C3694B" w:rsidRPr="00316CB0">
        <w:rPr>
          <w:rFonts w:ascii="Avenir LT Std 55 Roman" w:eastAsia="Calibri" w:hAnsi="Avenir LT Std 55 Roman" w:cs="Calibri"/>
          <w:sz w:val="17"/>
          <w:szCs w:val="17"/>
        </w:rPr>
        <w:t>RE</w:t>
      </w:r>
      <w:r w:rsidRPr="00316CB0">
        <w:rPr>
          <w:rFonts w:ascii="Avenir LT Std 55 Roman" w:eastAsia="Calibri" w:hAnsi="Avenir LT Std 55 Roman" w:cs="Calibri"/>
          <w:sz w:val="17"/>
          <w:szCs w:val="17"/>
        </w:rPr>
        <w:t xml:space="preserve"> maintains a stable </w:t>
      </w:r>
      <w:r w:rsidR="0005581C" w:rsidRPr="00316CB0">
        <w:rPr>
          <w:rFonts w:ascii="Avenir LT Std 55 Roman" w:eastAsia="Calibri" w:hAnsi="Avenir LT Std 55 Roman" w:cs="Calibri"/>
          <w:sz w:val="17"/>
          <w:szCs w:val="17"/>
        </w:rPr>
        <w:t xml:space="preserve">electrode </w:t>
      </w:r>
      <w:r w:rsidRPr="00316CB0">
        <w:rPr>
          <w:rFonts w:ascii="Avenir LT Std 55 Roman" w:eastAsia="Calibri" w:hAnsi="Avenir LT Std 55 Roman" w:cs="Calibri"/>
          <w:sz w:val="17"/>
          <w:szCs w:val="17"/>
        </w:rPr>
        <w:t xml:space="preserve">potential by establishing a stable equilibrium with the chloride ions in </w:t>
      </w:r>
      <w:r w:rsidR="00351686" w:rsidRPr="00316CB0">
        <w:rPr>
          <w:rFonts w:ascii="Avenir LT Std 55 Roman" w:eastAsia="Calibri" w:hAnsi="Avenir LT Std 55 Roman" w:cs="Calibri"/>
          <w:sz w:val="17"/>
          <w:szCs w:val="17"/>
        </w:rPr>
        <w:t xml:space="preserve">the </w:t>
      </w:r>
      <w:r w:rsidR="00A07BE6" w:rsidRPr="00316CB0">
        <w:rPr>
          <w:rFonts w:ascii="Avenir LT Std 55 Roman" w:eastAsia="Calibri" w:hAnsi="Avenir LT Std 55 Roman" w:cs="Calibri"/>
          <w:sz w:val="17"/>
          <w:szCs w:val="17"/>
        </w:rPr>
        <w:t xml:space="preserve">aqueous </w:t>
      </w:r>
      <w:r w:rsidR="00351686" w:rsidRPr="00316CB0">
        <w:rPr>
          <w:rFonts w:ascii="Avenir LT Std 55 Roman" w:eastAsia="Calibri" w:hAnsi="Avenir LT Std 55 Roman" w:cs="Calibri"/>
          <w:sz w:val="17"/>
          <w:szCs w:val="17"/>
        </w:rPr>
        <w:t>RE electrolyte</w:t>
      </w:r>
      <w:r w:rsidR="00AA7E44" w:rsidRPr="00316CB0">
        <w:rPr>
          <w:rFonts w:ascii="Avenir LT Std 55 Roman" w:eastAsia="Calibri" w:hAnsi="Avenir LT Std 55 Roman" w:cs="Calibri"/>
          <w:sz w:val="17"/>
          <w:szCs w:val="17"/>
        </w:rPr>
        <w:t>,</w:t>
      </w:r>
      <w:r w:rsidR="00351686" w:rsidRPr="00316CB0">
        <w:rPr>
          <w:rFonts w:ascii="Avenir LT Std 55 Roman" w:eastAsia="Calibri" w:hAnsi="Avenir LT Std 55 Roman" w:cs="Calibri"/>
          <w:sz w:val="17"/>
          <w:szCs w:val="17"/>
        </w:rPr>
        <w:t xml:space="preserve"> </w:t>
      </w:r>
      <w:r w:rsidR="000153D9">
        <w:rPr>
          <w:rFonts w:ascii="Avenir LT Std 55 Roman" w:eastAsia="Calibri" w:hAnsi="Avenir LT Std 55 Roman" w:cs="Calibri"/>
          <w:sz w:val="17"/>
          <w:szCs w:val="17"/>
        </w:rPr>
        <w:t>i</w:t>
      </w:r>
      <w:r w:rsidR="00C3694B" w:rsidRPr="00316CB0">
        <w:rPr>
          <w:rFonts w:ascii="Avenir LT Std 55 Roman" w:eastAsia="Calibri" w:hAnsi="Avenir LT Std 55 Roman" w:cs="Calibri"/>
          <w:sz w:val="17"/>
          <w:szCs w:val="17"/>
        </w:rPr>
        <w:t>n accordance with</w:t>
      </w:r>
      <w:r w:rsidR="00351686" w:rsidRPr="00316CB0">
        <w:rPr>
          <w:rFonts w:ascii="Avenir LT Std 55 Roman" w:eastAsia="Calibri" w:hAnsi="Avenir LT Std 55 Roman" w:cs="Calibri"/>
          <w:sz w:val="17"/>
          <w:szCs w:val="17"/>
        </w:rPr>
        <w:t xml:space="preserve"> the Nernst equation</w:t>
      </w:r>
      <w:r w:rsidR="00C06ADC" w:rsidRPr="00316CB0">
        <w:rPr>
          <w:rFonts w:ascii="Avenir LT Std 55 Roman" w:eastAsia="Calibri" w:hAnsi="Avenir LT Std 55 Roman" w:cs="Calibri"/>
          <w:sz w:val="17"/>
          <w:szCs w:val="17"/>
        </w:rPr>
        <w:t>.</w:t>
      </w:r>
      <w:r w:rsidR="003F658E" w:rsidRPr="00316CB0">
        <w:rPr>
          <w:rFonts w:ascii="Avenir LT Std 55 Roman" w:eastAsia="Calibri" w:hAnsi="Avenir LT Std 55 Roman" w:cs="Calibri"/>
          <w:sz w:val="17"/>
          <w:szCs w:val="17"/>
        </w:rPr>
        <w:t xml:space="preserve"> </w:t>
      </w:r>
      <w:r w:rsidR="00351686" w:rsidRPr="00316CB0">
        <w:rPr>
          <w:rFonts w:ascii="Avenir LT Std 55 Roman" w:eastAsia="Calibri" w:hAnsi="Avenir LT Std 55 Roman" w:cs="Calibri"/>
          <w:sz w:val="17"/>
          <w:szCs w:val="17"/>
        </w:rPr>
        <w:t xml:space="preserve">Correspondingly, the RE potential relative to the </w:t>
      </w:r>
      <w:r w:rsidR="00C2382F" w:rsidRPr="00316CB0">
        <w:rPr>
          <w:rFonts w:ascii="Avenir LT Std 55 Roman" w:eastAsia="Calibri" w:hAnsi="Avenir LT Std 55 Roman" w:cs="Calibri"/>
          <w:sz w:val="17"/>
          <w:szCs w:val="17"/>
        </w:rPr>
        <w:t>standard hydrogen electrode</w:t>
      </w:r>
      <w:r w:rsidR="00351686" w:rsidRPr="00316CB0">
        <w:rPr>
          <w:rFonts w:ascii="Avenir LT Std 55 Roman" w:eastAsia="Calibri" w:hAnsi="Avenir LT Std 55 Roman" w:cs="Calibri"/>
          <w:sz w:val="17"/>
          <w:szCs w:val="17"/>
        </w:rPr>
        <w:t xml:space="preserve"> is dependent on the activity of the chloride ions, </w:t>
      </w:r>
      <w:r w:rsidR="00C2382F" w:rsidRPr="00316CB0">
        <w:rPr>
          <w:rFonts w:ascii="Avenir LT Std 55 Roman" w:eastAsia="Calibri" w:hAnsi="Avenir LT Std 55 Roman" w:cs="Calibri"/>
          <w:sz w:val="17"/>
          <w:szCs w:val="17"/>
        </w:rPr>
        <w:t>a detail</w:t>
      </w:r>
      <w:r w:rsidR="00351686" w:rsidRPr="00316CB0">
        <w:rPr>
          <w:rFonts w:ascii="Avenir LT Std 55 Roman" w:eastAsia="Calibri" w:hAnsi="Avenir LT Std 55 Roman" w:cs="Calibri"/>
          <w:sz w:val="17"/>
          <w:szCs w:val="17"/>
        </w:rPr>
        <w:t xml:space="preserve"> often </w:t>
      </w:r>
      <w:r w:rsidR="00C2382F" w:rsidRPr="00316CB0">
        <w:rPr>
          <w:rFonts w:ascii="Avenir LT Std 55 Roman" w:eastAsia="Calibri" w:hAnsi="Avenir LT Std 55 Roman" w:cs="Calibri"/>
          <w:sz w:val="17"/>
          <w:szCs w:val="17"/>
        </w:rPr>
        <w:t>underreported</w:t>
      </w:r>
      <w:r w:rsidR="00AA7E44" w:rsidRPr="00316CB0">
        <w:rPr>
          <w:rFonts w:ascii="Avenir LT Std 55 Roman" w:eastAsia="Calibri" w:hAnsi="Avenir LT Std 55 Roman" w:cs="Calibri"/>
          <w:sz w:val="17"/>
          <w:szCs w:val="17"/>
        </w:rPr>
        <w:t>,</w:t>
      </w:r>
      <w:r w:rsidR="00351686" w:rsidRPr="00316CB0">
        <w:rPr>
          <w:rFonts w:ascii="Avenir LT Std 55 Roman" w:eastAsia="Calibri" w:hAnsi="Avenir LT Std 55 Roman" w:cs="Calibri"/>
          <w:sz w:val="17"/>
          <w:szCs w:val="17"/>
        </w:rPr>
        <w:t xml:space="preserve"> </w:t>
      </w:r>
      <w:r w:rsidR="00055ECC" w:rsidRPr="00316CB0">
        <w:rPr>
          <w:rFonts w:ascii="Avenir LT Std 55 Roman" w:eastAsia="Calibri" w:hAnsi="Avenir LT Std 55 Roman" w:cs="Calibri"/>
          <w:sz w:val="17"/>
          <w:szCs w:val="17"/>
        </w:rPr>
        <w:t xml:space="preserve">even </w:t>
      </w:r>
      <w:r w:rsidR="00351686" w:rsidRPr="00316CB0">
        <w:rPr>
          <w:rFonts w:ascii="Avenir LT Std 55 Roman" w:eastAsia="Calibri" w:hAnsi="Avenir LT Std 55 Roman" w:cs="Calibri"/>
          <w:sz w:val="17"/>
          <w:szCs w:val="17"/>
        </w:rPr>
        <w:t xml:space="preserve">in aqueous </w:t>
      </w:r>
      <w:r w:rsidR="0005581C" w:rsidRPr="00316CB0">
        <w:rPr>
          <w:rFonts w:ascii="Avenir LT Std 55 Roman" w:eastAsia="Calibri" w:hAnsi="Avenir LT Std 55 Roman" w:cs="Calibri"/>
          <w:sz w:val="17"/>
          <w:szCs w:val="17"/>
        </w:rPr>
        <w:t>three</w:t>
      </w:r>
      <w:r w:rsidR="00351686" w:rsidRPr="00316CB0">
        <w:rPr>
          <w:rFonts w:ascii="Avenir LT Std 55 Roman" w:eastAsia="Calibri" w:hAnsi="Avenir LT Std 55 Roman" w:cs="Calibri"/>
          <w:sz w:val="17"/>
          <w:szCs w:val="17"/>
        </w:rPr>
        <w:t>-electrode chemistry.</w:t>
      </w:r>
      <w:r w:rsidRPr="00316CB0">
        <w:rPr>
          <w:rFonts w:ascii="Avenir LT Std 55 Roman" w:eastAsia="Calibri" w:hAnsi="Avenir LT Std 55 Roman" w:cs="Calibri"/>
          <w:sz w:val="17"/>
          <w:szCs w:val="17"/>
        </w:rPr>
        <w:t xml:space="preserve"> </w:t>
      </w:r>
      <w:r w:rsidR="00AA7E44" w:rsidRPr="00316CB0">
        <w:rPr>
          <w:rFonts w:ascii="Avenir LT Std 55 Roman" w:eastAsia="Calibri" w:hAnsi="Avenir LT Std 55 Roman" w:cs="Calibri"/>
          <w:sz w:val="17"/>
          <w:szCs w:val="17"/>
        </w:rPr>
        <w:t>A well-known and stable</w:t>
      </w:r>
      <w:r w:rsidR="00C2382F" w:rsidRPr="00316CB0">
        <w:rPr>
          <w:rFonts w:ascii="Avenir LT Std 55 Roman" w:eastAsia="Calibri" w:hAnsi="Avenir LT Std 55 Roman" w:cs="Calibri"/>
          <w:sz w:val="17"/>
          <w:szCs w:val="17"/>
        </w:rPr>
        <w:t xml:space="preserve"> chloride concentration is critical to the potential</w:t>
      </w:r>
      <w:r w:rsidR="00A44142">
        <w:rPr>
          <w:rFonts w:ascii="Avenir LT Std 55 Roman" w:eastAsia="Calibri" w:hAnsi="Avenir LT Std 55 Roman" w:cs="Calibri"/>
          <w:sz w:val="17"/>
          <w:szCs w:val="17"/>
        </w:rPr>
        <w:t>-</w:t>
      </w:r>
      <w:r w:rsidR="0005581C" w:rsidRPr="00316CB0">
        <w:rPr>
          <w:rFonts w:ascii="Avenir LT Std 55 Roman" w:eastAsia="Calibri" w:hAnsi="Avenir LT Std 55 Roman" w:cs="Calibri"/>
          <w:sz w:val="17"/>
          <w:szCs w:val="17"/>
        </w:rPr>
        <w:t xml:space="preserve">determining </w:t>
      </w:r>
      <w:r w:rsidR="00C2382F" w:rsidRPr="00316CB0">
        <w:rPr>
          <w:rFonts w:ascii="Avenir LT Std 55 Roman" w:eastAsia="Calibri" w:hAnsi="Avenir LT Std 55 Roman" w:cs="Calibri"/>
          <w:sz w:val="17"/>
          <w:szCs w:val="17"/>
        </w:rPr>
        <w:t>equilibrium.</w:t>
      </w:r>
      <w:r w:rsidR="00D40DE9" w:rsidRPr="00316CB0">
        <w:rPr>
          <w:rFonts w:ascii="Avenir LT Std 55 Roman" w:eastAsia="Calibri" w:hAnsi="Avenir LT Std 55 Roman" w:cs="Calibri"/>
          <w:sz w:val="17"/>
          <w:szCs w:val="17"/>
        </w:rPr>
        <w:t xml:space="preserve"> </w:t>
      </w:r>
      <w:r w:rsidR="002312D7" w:rsidRPr="00316CB0">
        <w:rPr>
          <w:rFonts w:ascii="Avenir LT Std 55 Roman" w:eastAsia="Calibri" w:hAnsi="Avenir LT Std 55 Roman" w:cs="Calibri"/>
          <w:sz w:val="17"/>
          <w:szCs w:val="17"/>
        </w:rPr>
        <w:t xml:space="preserve">In NA media </w:t>
      </w:r>
      <w:r w:rsidR="00C3694B" w:rsidRPr="00316CB0">
        <w:rPr>
          <w:rFonts w:ascii="Avenir LT Std 55 Roman" w:eastAsia="Calibri" w:hAnsi="Avenir LT Std 55 Roman" w:cs="Calibri"/>
          <w:sz w:val="17"/>
          <w:szCs w:val="17"/>
        </w:rPr>
        <w:t xml:space="preserve">solid </w:t>
      </w:r>
      <w:r w:rsidR="002312D7" w:rsidRPr="00316CB0">
        <w:rPr>
          <w:rFonts w:ascii="Avenir LT Std 55 Roman" w:eastAsia="Calibri" w:hAnsi="Avenir LT Std 55 Roman" w:cs="Calibri"/>
          <w:sz w:val="17"/>
          <w:szCs w:val="17"/>
        </w:rPr>
        <w:t>AgCl is unstable as the presence of excess chloride ions rapidly forms the soluble AgCl</w:t>
      </w:r>
      <w:r w:rsidR="002312D7" w:rsidRPr="00316CB0">
        <w:rPr>
          <w:rFonts w:ascii="Avenir LT Std 55 Roman" w:eastAsia="Calibri" w:hAnsi="Avenir LT Std 55 Roman" w:cs="Calibri"/>
          <w:sz w:val="17"/>
          <w:szCs w:val="17"/>
          <w:vertAlign w:val="subscript"/>
        </w:rPr>
        <w:t>2</w:t>
      </w:r>
      <w:r w:rsidR="0054560A">
        <w:rPr>
          <w:rFonts w:ascii="Calibri" w:eastAsia="Calibri" w:hAnsi="Calibri" w:cs="Calibri"/>
          <w:sz w:val="17"/>
          <w:szCs w:val="17"/>
          <w:vertAlign w:val="superscript"/>
        </w:rPr>
        <w:t>−</w:t>
      </w:r>
      <w:r w:rsidR="002312D7" w:rsidRPr="0054560A">
        <w:rPr>
          <w:rFonts w:ascii="Avenir LT Std 55 Roman" w:eastAsia="Calibri" w:hAnsi="Avenir LT Std 55 Roman" w:cs="Calibri"/>
          <w:sz w:val="17"/>
          <w:szCs w:val="17"/>
        </w:rPr>
        <w:t xml:space="preserve"> </w:t>
      </w:r>
      <w:r w:rsidR="002312D7" w:rsidRPr="00316CB0">
        <w:rPr>
          <w:rFonts w:ascii="Avenir LT Std 55 Roman" w:eastAsia="Calibri" w:hAnsi="Avenir LT Std 55 Roman" w:cs="Calibri"/>
          <w:sz w:val="17"/>
          <w:szCs w:val="17"/>
        </w:rPr>
        <w:t>species.</w:t>
      </w:r>
      <w:r w:rsidR="006E7840"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{"citationItems":[{"id":"ITEM-1","itemData":{"DOI":"10.1039/c003332d","ISSN":"14639076","abstract":"Electrochemical behavior of Pt and Au electrodes in acetonitrile solutions at different concentration ratios of Cl− and Ag+ ions was studied by cyclic voltammetry and electrochemical quartz crystal microbalance (EQCM). The composition of the mixed silver chloride solutions, i.e. the amount of each component of the system (solid AgCl and solute species: Ag+, Cl−, AgCl2−), is governed by the solubility product of AgCl and the stability constant of AgCl2−complex and depends strongly on the ratio of the total concentrations of chloride and silver ions. In this work we analyze in detail the influence of the Cl−/Ag+ concentration ratio on the value of equilibrium electrode potential and the shape of cyclic voltammograms. We explain the complicated shapes of the experimental curves observed at different concentration ranges, propose the mechanisms of the processes occurring at the electrode and substantiate them by EQCM data. © the Owner Societies.","author":[{"dropping-particle":"","family":"Skompska","given":"Magdalena","non-dropping-particle":"","parse-names":false,"suffix":""},{"dropping-particle":"","family":"Vorotyntsev","given":"Mikhail A.","non-dropping-particle":"","parse-names":false,"suffix":""},{"dropping-particle":"","family":"Rajchowska","given":"Aleksandra","non-dropping-particle":"","parse-names":false,"suffix":""},{"dropping-particle":"V.","family":"Levin","given":"Oleg","non-dropping-particle":"","parse-names":false,"suffix":""}],"container-title":"Physical Chemistry Chemical Physics","id":"ITEM-1","issue":"35","issued":{"date-parts":[["2010"]]},"page":"10525-10535","title":"Mixed solutions of silver cation and chloride anion in acetonitrile: Voltammetric and EQCM study","type":"article-journal","volume":"12"},"uris":["http://www.mendeley.com/documents/?uuid=a30eb165-d78c-4078-8aa0-ffbdc941d10c"]}],"mendeley":{"formattedCitation":"&lt;sup&gt;3&lt;/sup&gt;","plainTextFormattedCitation":"3","previouslyFormattedCitation":"&lt;sup&gt;3&lt;/sup&gt;"},"properties":{"noteIndex":0},"schema":"https://github.com/citation-style-language/schema/raw/master/csl-citation.json"}</w:instrText>
      </w:r>
      <w:r w:rsidR="006E7840"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3</w:t>
      </w:r>
      <w:r w:rsidR="006E7840" w:rsidRPr="00316CB0">
        <w:rPr>
          <w:rFonts w:ascii="Avenir LT Std 55 Roman" w:eastAsia="Calibri" w:hAnsi="Avenir LT Std 55 Roman" w:cs="Calibri"/>
          <w:sz w:val="17"/>
          <w:szCs w:val="17"/>
        </w:rPr>
        <w:fldChar w:fldCharType="end"/>
      </w:r>
      <w:r w:rsidR="002312D7" w:rsidRPr="00316CB0">
        <w:rPr>
          <w:rFonts w:ascii="Avenir LT Std 55 Roman" w:eastAsia="Calibri" w:hAnsi="Avenir LT Std 55 Roman" w:cs="Calibri"/>
          <w:sz w:val="17"/>
          <w:szCs w:val="17"/>
        </w:rPr>
        <w:t xml:space="preserve"> </w:t>
      </w:r>
      <w:r w:rsidR="00351686" w:rsidRPr="00316CB0">
        <w:rPr>
          <w:rFonts w:ascii="Avenir LT Std 55 Roman" w:eastAsia="Calibri" w:hAnsi="Avenir LT Std 55 Roman" w:cs="Calibri"/>
          <w:sz w:val="17"/>
          <w:szCs w:val="17"/>
        </w:rPr>
        <w:t>Ideally</w:t>
      </w:r>
      <w:r w:rsidR="00AA7E44" w:rsidRPr="00316CB0">
        <w:rPr>
          <w:rFonts w:ascii="Avenir LT Std 55 Roman" w:eastAsia="Calibri" w:hAnsi="Avenir LT Std 55 Roman" w:cs="Calibri"/>
          <w:sz w:val="17"/>
          <w:szCs w:val="17"/>
        </w:rPr>
        <w:t>,</w:t>
      </w:r>
      <w:r w:rsidR="00351686" w:rsidRPr="00316CB0">
        <w:rPr>
          <w:rFonts w:ascii="Avenir LT Std 55 Roman" w:eastAsia="Calibri" w:hAnsi="Avenir LT Std 55 Roman" w:cs="Calibri"/>
          <w:sz w:val="17"/>
          <w:szCs w:val="17"/>
        </w:rPr>
        <w:t xml:space="preserve"> one would implement a silver RE coated with a silver salt containing the anion that corresponds to the supporting electrolyte</w:t>
      </w:r>
      <w:r w:rsidR="00463A13" w:rsidRPr="00316CB0">
        <w:rPr>
          <w:rFonts w:ascii="Avenir LT Std 55 Roman" w:eastAsia="Calibri" w:hAnsi="Avenir LT Std 55 Roman" w:cs="Calibri"/>
          <w:sz w:val="17"/>
          <w:szCs w:val="17"/>
        </w:rPr>
        <w:t xml:space="preserve"> (</w:t>
      </w:r>
      <w:r w:rsidR="00463A13" w:rsidRPr="00E50883">
        <w:rPr>
          <w:rFonts w:ascii="Avenir LT Std 55 Roman" w:eastAsia="Calibri" w:hAnsi="Avenir LT Std 55 Roman" w:cs="Calibri"/>
          <w:i/>
          <w:sz w:val="17"/>
          <w:szCs w:val="17"/>
        </w:rPr>
        <w:t>e.g.</w:t>
      </w:r>
      <w:r w:rsidR="00E50883">
        <w:rPr>
          <w:rFonts w:ascii="Avenir LT Std 55 Roman" w:eastAsia="Calibri" w:hAnsi="Avenir LT Std 55 Roman" w:cs="Calibri"/>
          <w:iCs/>
          <w:sz w:val="17"/>
          <w:szCs w:val="17"/>
        </w:rPr>
        <w:t>,</w:t>
      </w:r>
      <w:r w:rsidR="00463A13" w:rsidRPr="00EE132B">
        <w:rPr>
          <w:rFonts w:ascii="Avenir LT Std 55 Roman" w:eastAsia="Calibri" w:hAnsi="Avenir LT Std 55 Roman" w:cs="Calibri"/>
          <w:iCs/>
          <w:sz w:val="17"/>
          <w:szCs w:val="17"/>
        </w:rPr>
        <w:t xml:space="preserve"> </w:t>
      </w:r>
      <w:r w:rsidR="00463A13" w:rsidRPr="00316CB0">
        <w:rPr>
          <w:rFonts w:ascii="Avenir LT Std 55 Roman" w:eastAsia="Calibri" w:hAnsi="Avenir LT Std 55 Roman" w:cs="Calibri"/>
          <w:sz w:val="17"/>
          <w:szCs w:val="17"/>
        </w:rPr>
        <w:t>PF</w:t>
      </w:r>
      <w:r w:rsidR="00463A13" w:rsidRPr="00316CB0">
        <w:rPr>
          <w:rFonts w:ascii="Avenir LT Std 55 Roman" w:eastAsia="Calibri" w:hAnsi="Avenir LT Std 55 Roman" w:cs="Calibri"/>
          <w:sz w:val="17"/>
          <w:szCs w:val="17"/>
          <w:vertAlign w:val="subscript"/>
        </w:rPr>
        <w:t>6</w:t>
      </w:r>
      <w:r w:rsidR="0054560A">
        <w:rPr>
          <w:rFonts w:ascii="Calibri" w:eastAsia="Calibri" w:hAnsi="Calibri" w:cs="Calibri"/>
          <w:sz w:val="17"/>
          <w:szCs w:val="17"/>
          <w:vertAlign w:val="superscript"/>
        </w:rPr>
        <w:t>−</w:t>
      </w:r>
      <w:r w:rsidR="00463A13" w:rsidRPr="00316CB0">
        <w:rPr>
          <w:rFonts w:ascii="Avenir LT Std 55 Roman" w:eastAsia="Calibri" w:hAnsi="Avenir LT Std 55 Roman" w:cs="Calibri"/>
          <w:sz w:val="17"/>
          <w:szCs w:val="17"/>
        </w:rPr>
        <w:t>)</w:t>
      </w:r>
      <w:r w:rsidR="00351686" w:rsidRPr="00316CB0">
        <w:rPr>
          <w:rFonts w:ascii="Avenir LT Std 55 Roman" w:eastAsia="Calibri" w:hAnsi="Avenir LT Std 55 Roman" w:cs="Calibri"/>
          <w:sz w:val="17"/>
          <w:szCs w:val="17"/>
        </w:rPr>
        <w:t xml:space="preserve">. Unfortunately, </w:t>
      </w:r>
      <w:r w:rsidR="00463A13" w:rsidRPr="00316CB0">
        <w:rPr>
          <w:rFonts w:ascii="Avenir LT Std 55 Roman" w:eastAsia="Calibri" w:hAnsi="Avenir LT Std 55 Roman" w:cs="Calibri"/>
          <w:sz w:val="17"/>
          <w:szCs w:val="17"/>
        </w:rPr>
        <w:t xml:space="preserve">these </w:t>
      </w:r>
      <w:r w:rsidR="00351686" w:rsidRPr="00316CB0">
        <w:rPr>
          <w:rFonts w:ascii="Avenir LT Std 55 Roman" w:eastAsia="Calibri" w:hAnsi="Avenir LT Std 55 Roman" w:cs="Calibri"/>
          <w:sz w:val="17"/>
          <w:szCs w:val="17"/>
        </w:rPr>
        <w:t xml:space="preserve">silver salts are </w:t>
      </w:r>
      <w:r w:rsidR="00463A13" w:rsidRPr="00316CB0">
        <w:rPr>
          <w:rFonts w:ascii="Avenir LT Std 55 Roman" w:eastAsia="Calibri" w:hAnsi="Avenir LT Std 55 Roman" w:cs="Calibri"/>
          <w:sz w:val="17"/>
          <w:szCs w:val="17"/>
        </w:rPr>
        <w:t>also</w:t>
      </w:r>
      <w:r w:rsidR="00351686" w:rsidRPr="00316CB0">
        <w:rPr>
          <w:rFonts w:ascii="Avenir LT Std 55 Roman" w:eastAsia="Calibri" w:hAnsi="Avenir LT Std 55 Roman" w:cs="Calibri"/>
          <w:sz w:val="17"/>
          <w:szCs w:val="17"/>
        </w:rPr>
        <w:t xml:space="preserve"> soluble in </w:t>
      </w:r>
      <w:r w:rsidR="007F1588" w:rsidRPr="00316CB0">
        <w:rPr>
          <w:rFonts w:ascii="Avenir LT Std 55 Roman" w:eastAsia="Calibri" w:hAnsi="Avenir LT Std 55 Roman" w:cs="Calibri"/>
          <w:sz w:val="17"/>
          <w:szCs w:val="17"/>
        </w:rPr>
        <w:t>NA</w:t>
      </w:r>
      <w:r w:rsidR="00351686" w:rsidRPr="00316CB0">
        <w:rPr>
          <w:rFonts w:ascii="Avenir LT Std 55 Roman" w:eastAsia="Calibri" w:hAnsi="Avenir LT Std 55 Roman" w:cs="Calibri"/>
          <w:sz w:val="17"/>
          <w:szCs w:val="17"/>
        </w:rPr>
        <w:t xml:space="preserve"> </w:t>
      </w:r>
      <w:r w:rsidR="00C2382F" w:rsidRPr="00316CB0">
        <w:rPr>
          <w:rFonts w:ascii="Avenir LT Std 55 Roman" w:eastAsia="Calibri" w:hAnsi="Avenir LT Std 55 Roman" w:cs="Calibri"/>
          <w:sz w:val="17"/>
          <w:szCs w:val="17"/>
        </w:rPr>
        <w:t>solvents</w:t>
      </w:r>
      <w:r w:rsidR="00351686" w:rsidRPr="00316CB0">
        <w:rPr>
          <w:rFonts w:ascii="Avenir LT Std 55 Roman" w:eastAsia="Calibri" w:hAnsi="Avenir LT Std 55 Roman" w:cs="Calibri"/>
          <w:sz w:val="17"/>
          <w:szCs w:val="17"/>
        </w:rPr>
        <w:t>, such that modifying the surface with PF</w:t>
      </w:r>
      <w:r w:rsidR="00351686" w:rsidRPr="00316CB0">
        <w:rPr>
          <w:rFonts w:ascii="Avenir LT Std 55 Roman" w:eastAsia="Calibri" w:hAnsi="Avenir LT Std 55 Roman" w:cs="Calibri"/>
          <w:sz w:val="17"/>
          <w:szCs w:val="17"/>
          <w:vertAlign w:val="subscript"/>
        </w:rPr>
        <w:t>6</w:t>
      </w:r>
      <w:r w:rsidR="0054560A">
        <w:rPr>
          <w:rFonts w:ascii="Calibri" w:eastAsia="Calibri" w:hAnsi="Calibri" w:cs="Calibri"/>
          <w:sz w:val="17"/>
          <w:szCs w:val="17"/>
          <w:vertAlign w:val="superscript"/>
        </w:rPr>
        <w:t>−</w:t>
      </w:r>
      <w:r w:rsidR="00351686" w:rsidRPr="00316CB0">
        <w:rPr>
          <w:rFonts w:ascii="Avenir LT Std 55 Roman" w:eastAsia="Calibri" w:hAnsi="Avenir LT Std 55 Roman" w:cs="Calibri"/>
          <w:sz w:val="17"/>
          <w:szCs w:val="17"/>
        </w:rPr>
        <w:t xml:space="preserve"> or BF</w:t>
      </w:r>
      <w:r w:rsidR="00351686" w:rsidRPr="00316CB0">
        <w:rPr>
          <w:rFonts w:ascii="Avenir LT Std 55 Roman" w:eastAsia="Calibri" w:hAnsi="Avenir LT Std 55 Roman" w:cs="Calibri"/>
          <w:sz w:val="17"/>
          <w:szCs w:val="17"/>
          <w:vertAlign w:val="subscript"/>
        </w:rPr>
        <w:t>4</w:t>
      </w:r>
      <w:r w:rsidR="0054560A">
        <w:rPr>
          <w:rFonts w:ascii="Calibri" w:eastAsia="Calibri" w:hAnsi="Calibri" w:cs="Calibri"/>
          <w:sz w:val="17"/>
          <w:szCs w:val="17"/>
          <w:vertAlign w:val="superscript"/>
        </w:rPr>
        <w:t>−</w:t>
      </w:r>
      <w:r w:rsidR="00351686" w:rsidRPr="00316CB0">
        <w:rPr>
          <w:rFonts w:ascii="Avenir LT Std 55 Roman" w:eastAsia="Calibri" w:hAnsi="Avenir LT Std 55 Roman" w:cs="Calibri"/>
          <w:sz w:val="17"/>
          <w:szCs w:val="17"/>
        </w:rPr>
        <w:t xml:space="preserve"> anions akin to the AgCl surface of aqueous systems renders an electrode surface that continually erodes </w:t>
      </w:r>
      <w:r w:rsidR="0005581C" w:rsidRPr="00316CB0">
        <w:rPr>
          <w:rFonts w:ascii="Avenir LT Std 55 Roman" w:eastAsia="Calibri" w:hAnsi="Avenir LT Std 55 Roman" w:cs="Calibri"/>
          <w:sz w:val="17"/>
          <w:szCs w:val="17"/>
        </w:rPr>
        <w:t>upon</w:t>
      </w:r>
      <w:r w:rsidR="00351686" w:rsidRPr="00316CB0">
        <w:rPr>
          <w:rFonts w:ascii="Avenir LT Std 55 Roman" w:eastAsia="Calibri" w:hAnsi="Avenir LT Std 55 Roman" w:cs="Calibri"/>
          <w:sz w:val="17"/>
          <w:szCs w:val="17"/>
        </w:rPr>
        <w:t xml:space="preserve"> prolonged solvent exposure, causing</w:t>
      </w:r>
      <w:r w:rsidR="00463A13" w:rsidRPr="00316CB0">
        <w:rPr>
          <w:rFonts w:ascii="Avenir LT Std 55 Roman" w:eastAsia="Calibri" w:hAnsi="Avenir LT Std 55 Roman" w:cs="Calibri"/>
          <w:sz w:val="17"/>
          <w:szCs w:val="17"/>
        </w:rPr>
        <w:t xml:space="preserve"> potential </w:t>
      </w:r>
      <w:r w:rsidR="00351686" w:rsidRPr="00316CB0">
        <w:rPr>
          <w:rFonts w:ascii="Avenir LT Std 55 Roman" w:eastAsia="Calibri" w:hAnsi="Avenir LT Std 55 Roman" w:cs="Calibri"/>
          <w:sz w:val="17"/>
          <w:szCs w:val="17"/>
        </w:rPr>
        <w:t>drift</w:t>
      </w:r>
      <w:r w:rsidR="00710DCE">
        <w:rPr>
          <w:rFonts w:ascii="Avenir LT Std 55 Roman" w:eastAsia="Calibri" w:hAnsi="Avenir LT Std 55 Roman" w:cs="Calibri"/>
          <w:sz w:val="17"/>
          <w:szCs w:val="17"/>
        </w:rPr>
        <w:t>.</w:t>
      </w:r>
      <w:r w:rsidR="00351686" w:rsidRPr="00316CB0">
        <w:rPr>
          <w:rFonts w:ascii="Avenir LT Std 55 Roman" w:eastAsia="Calibri" w:hAnsi="Avenir LT Std 55 Roman" w:cs="Calibri"/>
          <w:sz w:val="17"/>
          <w:szCs w:val="17"/>
        </w:rPr>
        <w:t xml:space="preserve"> </w:t>
      </w:r>
      <w:r w:rsidR="00BA3EF6" w:rsidRPr="00316CB0">
        <w:rPr>
          <w:rFonts w:ascii="Avenir LT Std 55 Roman" w:eastAsia="Calibri" w:hAnsi="Avenir LT Std 55 Roman" w:cs="Calibri"/>
          <w:sz w:val="17"/>
          <w:szCs w:val="17"/>
        </w:rPr>
        <w:t>One possible alternative is an Ag</w:t>
      </w:r>
      <w:r w:rsidR="00BA3EF6" w:rsidRPr="00316CB0">
        <w:rPr>
          <w:rFonts w:ascii="Avenir LT Std 55 Roman" w:eastAsia="Calibri" w:hAnsi="Avenir LT Std 55 Roman" w:cs="Calibri"/>
          <w:sz w:val="17"/>
          <w:szCs w:val="17"/>
          <w:vertAlign w:val="subscript"/>
        </w:rPr>
        <w:t>2</w:t>
      </w:r>
      <w:r w:rsidR="00BA3EF6" w:rsidRPr="00316CB0">
        <w:rPr>
          <w:rFonts w:ascii="Avenir LT Std 55 Roman" w:eastAsia="Calibri" w:hAnsi="Avenir LT Std 55 Roman" w:cs="Calibri"/>
          <w:sz w:val="17"/>
          <w:szCs w:val="17"/>
        </w:rPr>
        <w:t>S coated silver wire</w:t>
      </w:r>
      <w:r w:rsidR="00351686" w:rsidRPr="00316CB0">
        <w:rPr>
          <w:rFonts w:ascii="Avenir LT Std 55 Roman" w:eastAsia="Calibri" w:hAnsi="Avenir LT Std 55 Roman" w:cs="Calibri"/>
          <w:sz w:val="17"/>
          <w:szCs w:val="17"/>
        </w:rPr>
        <w:t>,</w:t>
      </w:r>
      <w:r w:rsidR="00055ECC" w:rsidRPr="00316CB0">
        <w:rPr>
          <w:rFonts w:ascii="Avenir LT Std 55 Roman" w:eastAsia="Calibri" w:hAnsi="Avenir LT Std 55 Roman" w:cs="Calibri"/>
          <w:sz w:val="17"/>
          <w:szCs w:val="17"/>
        </w:rPr>
        <w:t xml:space="preserve"> </w:t>
      </w:r>
      <w:r w:rsidR="00BA3EF6" w:rsidRPr="00316CB0">
        <w:rPr>
          <w:rFonts w:ascii="Avenir LT Std 55 Roman" w:eastAsia="Calibri" w:hAnsi="Avenir LT Std 55 Roman" w:cs="Calibri"/>
          <w:sz w:val="17"/>
          <w:szCs w:val="17"/>
        </w:rPr>
        <w:t>which</w:t>
      </w:r>
      <w:r w:rsidR="00055ECC" w:rsidRPr="00316CB0">
        <w:rPr>
          <w:rFonts w:ascii="Avenir LT Std 55 Roman" w:eastAsia="Calibri" w:hAnsi="Avenir LT Std 55 Roman" w:cs="Calibri"/>
          <w:sz w:val="17"/>
          <w:szCs w:val="17"/>
        </w:rPr>
        <w:t xml:space="preserve"> was recently reported</w:t>
      </w:r>
      <w:r w:rsidR="00351686" w:rsidRPr="00316CB0">
        <w:rPr>
          <w:rFonts w:ascii="Avenir LT Std 55 Roman" w:eastAsia="Calibri" w:hAnsi="Avenir LT Std 55 Roman" w:cs="Calibri"/>
          <w:sz w:val="17"/>
          <w:szCs w:val="17"/>
        </w:rPr>
        <w:t xml:space="preserve"> </w:t>
      </w:r>
      <w:r w:rsidR="00BA3EF6" w:rsidRPr="00316CB0">
        <w:rPr>
          <w:rFonts w:ascii="Avenir LT Std 55 Roman" w:eastAsia="Calibri" w:hAnsi="Avenir LT Std 55 Roman" w:cs="Calibri"/>
          <w:sz w:val="17"/>
          <w:szCs w:val="17"/>
        </w:rPr>
        <w:t>to</w:t>
      </w:r>
      <w:r w:rsidR="00055ECC" w:rsidRPr="00316CB0">
        <w:rPr>
          <w:rFonts w:ascii="Avenir LT Std 55 Roman" w:eastAsia="Calibri" w:hAnsi="Avenir LT Std 55 Roman" w:cs="Calibri"/>
          <w:sz w:val="17"/>
          <w:szCs w:val="17"/>
        </w:rPr>
        <w:t xml:space="preserve"> show</w:t>
      </w:r>
      <w:r w:rsidR="0005581C" w:rsidRPr="00316CB0">
        <w:rPr>
          <w:rFonts w:ascii="Avenir LT Std 55 Roman" w:eastAsia="Calibri" w:hAnsi="Avenir LT Std 55 Roman" w:cs="Calibri"/>
          <w:sz w:val="17"/>
          <w:szCs w:val="17"/>
        </w:rPr>
        <w:t xml:space="preserve"> </w:t>
      </w:r>
      <w:r w:rsidR="00351686" w:rsidRPr="00316CB0">
        <w:rPr>
          <w:rFonts w:ascii="Avenir LT Std 55 Roman" w:eastAsia="Calibri" w:hAnsi="Avenir LT Std 55 Roman" w:cs="Calibri"/>
          <w:sz w:val="17"/>
          <w:szCs w:val="17"/>
        </w:rPr>
        <w:t xml:space="preserve">no </w:t>
      </w:r>
      <w:r w:rsidR="00707DCD" w:rsidRPr="00316CB0">
        <w:rPr>
          <w:rFonts w:ascii="Avenir LT Std 55 Roman" w:eastAsia="Calibri" w:hAnsi="Avenir LT Std 55 Roman" w:cs="Calibri"/>
          <w:sz w:val="17"/>
          <w:szCs w:val="17"/>
        </w:rPr>
        <w:t xml:space="preserve">variation </w:t>
      </w:r>
      <w:r w:rsidR="00351686" w:rsidRPr="00316CB0">
        <w:rPr>
          <w:rFonts w:ascii="Avenir LT Std 55 Roman" w:eastAsia="Calibri" w:hAnsi="Avenir LT Std 55 Roman" w:cs="Calibri"/>
          <w:sz w:val="17"/>
          <w:szCs w:val="17"/>
        </w:rPr>
        <w:t xml:space="preserve">in </w:t>
      </w:r>
      <w:r w:rsidR="00CD59D7">
        <w:rPr>
          <w:rFonts w:ascii="Avenir LT Std 55 Roman" w:eastAsia="Calibri" w:hAnsi="Avenir LT Std 55 Roman" w:cs="Calibri"/>
          <w:sz w:val="17"/>
          <w:szCs w:val="17"/>
        </w:rPr>
        <w:t>RE</w:t>
      </w:r>
      <w:r w:rsidR="0005581C" w:rsidRPr="00316CB0">
        <w:rPr>
          <w:rFonts w:ascii="Avenir LT Std 55 Roman" w:eastAsia="Calibri" w:hAnsi="Avenir LT Std 55 Roman" w:cs="Calibri"/>
          <w:sz w:val="17"/>
          <w:szCs w:val="17"/>
        </w:rPr>
        <w:t xml:space="preserve"> </w:t>
      </w:r>
      <w:r w:rsidR="00351686" w:rsidRPr="00316CB0">
        <w:rPr>
          <w:rFonts w:ascii="Avenir LT Std 55 Roman" w:eastAsia="Calibri" w:hAnsi="Avenir LT Std 55 Roman" w:cs="Calibri"/>
          <w:sz w:val="17"/>
          <w:szCs w:val="17"/>
        </w:rPr>
        <w:t>potential and stability when testing both LiPF</w:t>
      </w:r>
      <w:r w:rsidR="00351686" w:rsidRPr="00316CB0">
        <w:rPr>
          <w:rFonts w:ascii="Avenir LT Std 55 Roman" w:eastAsia="Calibri" w:hAnsi="Avenir LT Std 55 Roman" w:cs="Calibri"/>
          <w:sz w:val="17"/>
          <w:szCs w:val="17"/>
          <w:vertAlign w:val="subscript"/>
        </w:rPr>
        <w:t>6</w:t>
      </w:r>
      <w:r w:rsidR="00351686" w:rsidRPr="00316CB0">
        <w:rPr>
          <w:rFonts w:ascii="Avenir LT Std 55 Roman" w:eastAsia="Calibri" w:hAnsi="Avenir LT Std 55 Roman" w:cs="Calibri"/>
          <w:sz w:val="17"/>
          <w:szCs w:val="17"/>
          <w:vertAlign w:val="superscript"/>
        </w:rPr>
        <w:t xml:space="preserve"> </w:t>
      </w:r>
      <w:r w:rsidR="00351686" w:rsidRPr="00316CB0">
        <w:rPr>
          <w:rFonts w:ascii="Avenir LT Std 55 Roman" w:eastAsia="Calibri" w:hAnsi="Avenir LT Std 55 Roman" w:cs="Calibri"/>
          <w:sz w:val="17"/>
          <w:szCs w:val="17"/>
        </w:rPr>
        <w:t>and</w:t>
      </w:r>
      <w:r w:rsidR="00351686" w:rsidRPr="00316CB0">
        <w:rPr>
          <w:rFonts w:ascii="Avenir LT Std 55 Roman" w:eastAsia="Calibri" w:hAnsi="Avenir LT Std 55 Roman" w:cs="Calibri"/>
          <w:sz w:val="17"/>
          <w:szCs w:val="17"/>
          <w:vertAlign w:val="subscript"/>
        </w:rPr>
        <w:t xml:space="preserve"> </w:t>
      </w:r>
      <w:r w:rsidR="00351686" w:rsidRPr="00316CB0">
        <w:rPr>
          <w:rFonts w:ascii="Avenir LT Std 55 Roman" w:eastAsia="Calibri" w:hAnsi="Avenir LT Std 55 Roman" w:cs="Calibri"/>
          <w:sz w:val="17"/>
          <w:szCs w:val="17"/>
        </w:rPr>
        <w:t>LiTFSI</w:t>
      </w:r>
      <w:r w:rsidR="00351686" w:rsidRPr="00316CB0">
        <w:rPr>
          <w:rFonts w:ascii="Avenir LT Std 55 Roman" w:eastAsia="Calibri" w:hAnsi="Avenir LT Std 55 Roman" w:cs="Calibri"/>
          <w:sz w:val="17"/>
          <w:szCs w:val="17"/>
          <w:vertAlign w:val="subscript"/>
        </w:rPr>
        <w:t xml:space="preserve"> </w:t>
      </w:r>
      <w:r w:rsidR="00351686" w:rsidRPr="00316CB0">
        <w:rPr>
          <w:rFonts w:ascii="Avenir LT Std 55 Roman" w:eastAsia="Calibri" w:hAnsi="Avenir LT Std 55 Roman" w:cs="Calibri"/>
          <w:sz w:val="17"/>
          <w:szCs w:val="17"/>
        </w:rPr>
        <w:t>based electrolytes (</w:t>
      </w:r>
      <w:r w:rsidR="00316CB0">
        <w:rPr>
          <w:rFonts w:ascii="Avenir LT Std 55 Roman" w:eastAsia="Calibri" w:hAnsi="Avenir LT Std 55 Roman" w:cs="Calibri"/>
          <w:color w:val="4BACC6" w:themeColor="accent5"/>
          <w:sz w:val="17"/>
          <w:szCs w:val="17"/>
        </w:rPr>
        <w:t>Figure</w:t>
      </w:r>
      <w:r w:rsidR="00351686" w:rsidRPr="00316CB0">
        <w:rPr>
          <w:rFonts w:ascii="Avenir LT Std 55 Roman" w:eastAsia="Calibri" w:hAnsi="Avenir LT Std 55 Roman" w:cs="Calibri"/>
          <w:color w:val="4BACC6" w:themeColor="accent5"/>
          <w:sz w:val="17"/>
          <w:szCs w:val="17"/>
        </w:rPr>
        <w:t xml:space="preserve"> 1</w:t>
      </w:r>
      <w:r w:rsidR="00351686" w:rsidRPr="00316CB0">
        <w:rPr>
          <w:rFonts w:ascii="Avenir LT Std 55 Roman" w:eastAsia="Calibri" w:hAnsi="Avenir LT Std 55 Roman" w:cs="Calibri"/>
          <w:sz w:val="17"/>
          <w:szCs w:val="17"/>
        </w:rPr>
        <w:t>)</w:t>
      </w:r>
      <w:r w:rsidR="003F658E" w:rsidRPr="00316CB0">
        <w:rPr>
          <w:rFonts w:ascii="Avenir LT Std 55 Roman" w:eastAsia="Calibri" w:hAnsi="Avenir LT Std 55 Roman" w:cs="Calibri"/>
          <w:sz w:val="17"/>
          <w:szCs w:val="17"/>
        </w:rPr>
        <w:t xml:space="preserve"> and </w:t>
      </w:r>
      <w:r w:rsidR="00351686" w:rsidRPr="00316CB0">
        <w:rPr>
          <w:rFonts w:ascii="Avenir LT Std 55 Roman" w:eastAsia="Calibri" w:hAnsi="Avenir LT Std 55 Roman" w:cs="Calibri"/>
          <w:sz w:val="17"/>
          <w:szCs w:val="17"/>
        </w:rPr>
        <w:t>a series of ionic liquids.</w:t>
      </w:r>
      <w:r w:rsidR="00351686"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{"citationItems":[{"id":"ITEM-1","itemData":{"DOI":"10.1021/acs.chemmater.9b02776","ISSN":"15205002","abstract":"While less mature than the Li-ion battery, technologies based on Na, K, Mg, and Ca are attracting more and more attention from the battery community. New material (cathode, anode, or electrolyte) testing for these post-Li systems commonly involves the use of an electrochemical setup called a half-cell in which metal counter and reference electrodes are used. Here we first describe the different issues that become critical when moving away from Li with respect to the cell hardware (cell design, current collector, separator, insulator) and the nature of the counter and reference electrodes. Workarounds are given, and a versatile setup is proposed to run reliable electrochemical tests for post-Li battery materials in general, in a broad range of electrolyte compositions. ©","author":[{"dropping-particle":"","family":"Dugas","given":"Romain","non-dropping-particle":"","parse-names":false,"suffix":""},{"dropping-particle":"","family":"Forero-Saboya","given":"Juan D.","non-dropping-particle":"","parse-names":false,"suffix":""},{"dropping-particle":"","family":"Ponrouch","given":"Alexandre","non-dropping-particle":"","parse-names":false,"suffix":""}],"container-title":"Chemistry of Materials","id":"ITEM-1","issued":{"date-parts":[["2019"]]},"page":"8613-8628","title":"Methods and Protocols for Reliable Electrochemical Testing in Post-Li Batteries (Na, K, Mg, and Ca)","type":"article-journal","volume":"31"},"uris":["http://www.mendeley.com/documents/?uuid=269f0c9e-ec51-44ff-9720-3b2ea5b88141"]},{"id":"ITEM-2","itemData":{"DOI":"10.1016/j.elecom.2018.02.005","ISSN":"13882481","abstract":"We report on a reference electrode designed for use in ionic liquids, based on a silver wire coated with silver sulfide. The reference electrode potential is determined by the concentrations of Ag+ and S2−, which are established by the solubility of the Ag2S coating on the Ag wire. While potential shifts of &gt;100 mV during an experiment have been reported when using silver or platinum wire quasi-reference electrodes, the reference electrode reported here provides a stable potential over several months of experimental use. Additionally, our reference electrode can be prepared and used in a normal air atmosphere, and does not need to be assembled and used in a glovebox, or protected from light. The reference electrode has been characterized by voltammetry measurements of ferrocene and cobaltocenium hexafluorophosphate, and was found to slowly drift to more positive potentials at a rate of &lt;1 mV/day for five of the six ionic liquids investigated.","author":[{"dropping-particle":"","family":"Horwood","given":"Corie","non-dropping-particle":"","parse-names":false,"suffix":""},{"dropping-particle":"","family":"Stadermann","given":"Michael","non-dropping-particle":"","parse-names":false,"suffix":""}],"container-title":"Electrochemistry Communications","id":"ITEM-2","issue":"December 2017","issued":{"date-parts":[["2018"]]},"page":"105-108","publisher":"Elsevier","title":"Evaluation of a Ag/Ag2S reference electrode with long-term stability for electrochemistry in ionic liquids","type":"article-journal","volume":"88"},"uris":["http://www.mendeley.com/documents/?uuid=f50f8559-af9b-4631-94be-664dea1902f1"]}],"mendeley":{"formattedCitation":"&lt;sup&gt;4,5&lt;/sup&gt;","plainTextFormattedCitation":"4,5","previouslyFormattedCitation":"&lt;sup&gt;4,5&lt;/sup&gt;"},"properties":{"noteIndex":0},"schema":"https://github.com/citation-style-language/schema/raw/master/csl-citation.json"}</w:instrText>
      </w:r>
      <w:r w:rsidR="00351686"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4,5</w:t>
      </w:r>
      <w:r w:rsidR="00351686" w:rsidRPr="00316CB0">
        <w:rPr>
          <w:rFonts w:ascii="Avenir LT Std 55 Roman" w:eastAsia="Calibri" w:hAnsi="Avenir LT Std 55 Roman" w:cs="Calibri"/>
          <w:sz w:val="17"/>
          <w:szCs w:val="17"/>
        </w:rPr>
        <w:fldChar w:fldCharType="end"/>
      </w:r>
      <w:r w:rsidR="00351686" w:rsidRPr="00316CB0">
        <w:rPr>
          <w:rFonts w:ascii="Avenir LT Std 55 Roman" w:eastAsia="Calibri" w:hAnsi="Avenir LT Std 55 Roman" w:cs="Calibri"/>
          <w:sz w:val="17"/>
          <w:szCs w:val="17"/>
        </w:rPr>
        <w:t xml:space="preserve"> </w:t>
      </w:r>
      <w:r w:rsidR="00BA3EF6" w:rsidRPr="00316CB0">
        <w:rPr>
          <w:rFonts w:ascii="Avenir LT Std 55 Roman" w:eastAsia="Calibri" w:hAnsi="Avenir LT Std 55 Roman" w:cs="Calibri"/>
          <w:sz w:val="17"/>
          <w:szCs w:val="17"/>
        </w:rPr>
        <w:t>Unlike the aforementioned silver salts</w:t>
      </w:r>
      <w:r w:rsidR="0005581C" w:rsidRPr="00316CB0">
        <w:rPr>
          <w:rFonts w:ascii="Avenir LT Std 55 Roman" w:eastAsia="Calibri" w:hAnsi="Avenir LT Std 55 Roman" w:cs="Calibri"/>
          <w:sz w:val="17"/>
          <w:szCs w:val="17"/>
        </w:rPr>
        <w:t>,</w:t>
      </w:r>
      <w:r w:rsidR="00BA3EF6" w:rsidRPr="00316CB0">
        <w:rPr>
          <w:rFonts w:ascii="Avenir LT Std 55 Roman" w:eastAsia="Calibri" w:hAnsi="Avenir LT Std 55 Roman" w:cs="Calibri"/>
          <w:sz w:val="17"/>
          <w:szCs w:val="17"/>
        </w:rPr>
        <w:t xml:space="preserve"> Ag</w:t>
      </w:r>
      <w:r w:rsidR="00BA3EF6" w:rsidRPr="00316CB0">
        <w:rPr>
          <w:rFonts w:ascii="Avenir LT Std 55 Roman" w:eastAsia="Calibri" w:hAnsi="Avenir LT Std 55 Roman" w:cs="Calibri"/>
          <w:sz w:val="17"/>
          <w:szCs w:val="17"/>
          <w:vertAlign w:val="subscript"/>
        </w:rPr>
        <w:t>2</w:t>
      </w:r>
      <w:r w:rsidR="00BA3EF6" w:rsidRPr="00316CB0">
        <w:rPr>
          <w:rFonts w:ascii="Avenir LT Std 55 Roman" w:eastAsia="Calibri" w:hAnsi="Avenir LT Std 55 Roman" w:cs="Calibri"/>
          <w:sz w:val="17"/>
          <w:szCs w:val="17"/>
        </w:rPr>
        <w:t>S is insoluble in most solvents.</w:t>
      </w:r>
      <w:r w:rsidR="0005581C" w:rsidRPr="00316CB0">
        <w:rPr>
          <w:rFonts w:ascii="Avenir LT Std 55 Roman" w:eastAsia="Calibri" w:hAnsi="Avenir LT Std 55 Roman" w:cs="Calibri"/>
          <w:sz w:val="17"/>
          <w:szCs w:val="17"/>
        </w:rPr>
        <w:t xml:space="preserve"> </w:t>
      </w:r>
      <w:r w:rsidR="00351686" w:rsidRPr="00316CB0">
        <w:rPr>
          <w:rFonts w:ascii="Avenir LT Std 55 Roman" w:eastAsia="Calibri" w:hAnsi="Avenir LT Std 55 Roman" w:cs="Calibri"/>
          <w:sz w:val="17"/>
          <w:szCs w:val="17"/>
        </w:rPr>
        <w:t>Thus, Ag/Ag</w:t>
      </w:r>
      <w:r w:rsidR="00351686" w:rsidRPr="00316CB0">
        <w:rPr>
          <w:rFonts w:ascii="Avenir LT Std 55 Roman" w:eastAsia="Calibri" w:hAnsi="Avenir LT Std 55 Roman" w:cs="Calibri"/>
          <w:sz w:val="17"/>
          <w:szCs w:val="17"/>
          <w:vertAlign w:val="subscript"/>
        </w:rPr>
        <w:t>2</w:t>
      </w:r>
      <w:r w:rsidR="00351686" w:rsidRPr="00316CB0">
        <w:rPr>
          <w:rFonts w:ascii="Avenir LT Std 55 Roman" w:eastAsia="Calibri" w:hAnsi="Avenir LT Std 55 Roman" w:cs="Calibri"/>
          <w:sz w:val="17"/>
          <w:szCs w:val="17"/>
        </w:rPr>
        <w:t xml:space="preserve">S is perhaps an understudied but more versatile </w:t>
      </w:r>
      <w:r w:rsidR="007F1588" w:rsidRPr="00316CB0">
        <w:rPr>
          <w:rFonts w:ascii="Avenir LT Std 55 Roman" w:eastAsia="Calibri" w:hAnsi="Avenir LT Std 55 Roman" w:cs="Calibri"/>
          <w:sz w:val="17"/>
          <w:szCs w:val="17"/>
        </w:rPr>
        <w:t>NA</w:t>
      </w:r>
      <w:r w:rsidR="00351686" w:rsidRPr="00316CB0">
        <w:rPr>
          <w:rFonts w:ascii="Avenir LT Std 55 Roman" w:eastAsia="Calibri" w:hAnsi="Avenir LT Std 55 Roman" w:cs="Calibri"/>
          <w:sz w:val="17"/>
          <w:szCs w:val="17"/>
        </w:rPr>
        <w:t xml:space="preserve"> </w:t>
      </w:r>
      <w:r w:rsidR="00750F24">
        <w:rPr>
          <w:rFonts w:ascii="Avenir LT Std 55 Roman" w:eastAsia="Calibri" w:hAnsi="Avenir LT Std 55 Roman" w:cs="Calibri"/>
          <w:sz w:val="17"/>
          <w:szCs w:val="17"/>
        </w:rPr>
        <w:t>RE</w:t>
      </w:r>
      <w:r w:rsidR="00351686" w:rsidRPr="00316CB0">
        <w:rPr>
          <w:rFonts w:ascii="Avenir LT Std 55 Roman" w:eastAsia="Calibri" w:hAnsi="Avenir LT Std 55 Roman" w:cs="Calibri"/>
          <w:sz w:val="17"/>
          <w:szCs w:val="17"/>
        </w:rPr>
        <w:t>, allowing helpful comparison across battery research</w:t>
      </w:r>
      <w:r w:rsidR="00BF67D1" w:rsidRPr="00316CB0">
        <w:rPr>
          <w:rFonts w:ascii="Avenir LT Std 55 Roman" w:eastAsia="Calibri" w:hAnsi="Avenir LT Std 55 Roman" w:cs="Calibri"/>
          <w:sz w:val="17"/>
          <w:szCs w:val="17"/>
        </w:rPr>
        <w:t>.</w:t>
      </w:r>
      <w:r w:rsidR="00351686" w:rsidRPr="00316CB0">
        <w:rPr>
          <w:rFonts w:ascii="Avenir LT Std 55 Roman" w:eastAsia="Calibri" w:hAnsi="Avenir LT Std 55 Roman" w:cs="Calibri"/>
          <w:sz w:val="17"/>
          <w:szCs w:val="17"/>
        </w:rPr>
        <w:t xml:space="preserve"> </w:t>
      </w:r>
      <w:r w:rsidR="002B1A13" w:rsidRPr="00316CB0">
        <w:rPr>
          <w:rFonts w:ascii="Avenir LT Std 55 Roman" w:eastAsia="Calibri" w:hAnsi="Avenir LT Std 55 Roman" w:cs="Calibri"/>
          <w:sz w:val="17"/>
          <w:szCs w:val="17"/>
        </w:rPr>
        <w:t>However,</w:t>
      </w:r>
      <w:r w:rsidR="00351686" w:rsidRPr="00316CB0">
        <w:rPr>
          <w:rFonts w:ascii="Avenir LT Std 55 Roman" w:eastAsia="Calibri" w:hAnsi="Avenir LT Std 55 Roman" w:cs="Calibri"/>
          <w:sz w:val="17"/>
          <w:szCs w:val="17"/>
        </w:rPr>
        <w:t xml:space="preserve"> </w:t>
      </w:r>
      <w:r w:rsidR="0005581C" w:rsidRPr="00316CB0">
        <w:rPr>
          <w:rFonts w:ascii="Avenir LT Std 55 Roman" w:eastAsia="Calibri" w:hAnsi="Avenir LT Std 55 Roman" w:cs="Calibri"/>
          <w:sz w:val="17"/>
          <w:szCs w:val="17"/>
        </w:rPr>
        <w:t>the nature of the potential</w:t>
      </w:r>
      <w:r w:rsidR="00BB0BA9">
        <w:rPr>
          <w:rFonts w:ascii="Avenir LT Std 55 Roman" w:eastAsia="Calibri" w:hAnsi="Avenir LT Std 55 Roman" w:cs="Calibri"/>
          <w:sz w:val="17"/>
          <w:szCs w:val="17"/>
        </w:rPr>
        <w:t>-</w:t>
      </w:r>
      <w:r w:rsidR="0005581C" w:rsidRPr="00316CB0">
        <w:rPr>
          <w:rFonts w:ascii="Avenir LT Std 55 Roman" w:eastAsia="Calibri" w:hAnsi="Avenir LT Std 55 Roman" w:cs="Calibri"/>
          <w:sz w:val="17"/>
          <w:szCs w:val="17"/>
        </w:rPr>
        <w:t>determining equilibrium</w:t>
      </w:r>
      <w:r w:rsidR="00351686" w:rsidRPr="00316CB0">
        <w:rPr>
          <w:rFonts w:ascii="Avenir LT Std 55 Roman" w:eastAsia="Calibri" w:hAnsi="Avenir LT Std 55 Roman" w:cs="Calibri"/>
          <w:sz w:val="17"/>
          <w:szCs w:val="17"/>
        </w:rPr>
        <w:t xml:space="preserve"> is unclear given that sulfide ions are not</w:t>
      </w:r>
      <w:r w:rsidR="00055ECC" w:rsidRPr="00316CB0">
        <w:rPr>
          <w:rFonts w:ascii="Avenir LT Std 55 Roman" w:eastAsia="Calibri" w:hAnsi="Avenir LT Std 55 Roman" w:cs="Calibri"/>
          <w:sz w:val="17"/>
          <w:szCs w:val="17"/>
        </w:rPr>
        <w:t xml:space="preserve"> necessarily</w:t>
      </w:r>
      <w:r w:rsidR="00351686" w:rsidRPr="00316CB0">
        <w:rPr>
          <w:rFonts w:ascii="Avenir LT Std 55 Roman" w:eastAsia="Calibri" w:hAnsi="Avenir LT Std 55 Roman" w:cs="Calibri"/>
          <w:sz w:val="17"/>
          <w:szCs w:val="17"/>
        </w:rPr>
        <w:t xml:space="preserve"> present. </w:t>
      </w:r>
      <w:r w:rsidR="0005581C" w:rsidRPr="00316CB0">
        <w:rPr>
          <w:rFonts w:ascii="Avenir LT Std 55 Roman" w:eastAsia="Calibri" w:hAnsi="Avenir LT Std 55 Roman" w:cs="Calibri"/>
          <w:sz w:val="17"/>
          <w:szCs w:val="17"/>
        </w:rPr>
        <w:t xml:space="preserve">A notable </w:t>
      </w:r>
      <w:r w:rsidR="00FF4418" w:rsidRPr="00316CB0">
        <w:rPr>
          <w:rFonts w:ascii="Avenir LT Std 55 Roman" w:eastAsia="Calibri" w:hAnsi="Avenir LT Std 55 Roman" w:cs="Calibri"/>
          <w:sz w:val="17"/>
          <w:szCs w:val="17"/>
        </w:rPr>
        <w:t>commercial venture has been the Ag/AgCl leakless electrode</w:t>
      </w:r>
      <w:r w:rsidR="0082265A" w:rsidRPr="00316CB0">
        <w:rPr>
          <w:rFonts w:ascii="Avenir LT Std 55 Roman" w:eastAsia="Calibri" w:hAnsi="Avenir LT Std 55 Roman" w:cs="Calibri"/>
          <w:sz w:val="17"/>
          <w:szCs w:val="17"/>
        </w:rPr>
        <w:t xml:space="preserve"> (</w:t>
      </w:r>
      <w:r w:rsidR="0082265A" w:rsidRPr="008E031D">
        <w:rPr>
          <w:rFonts w:ascii="Avenir LT Std 55 Roman" w:eastAsia="Calibri" w:hAnsi="Avenir LT Std 55 Roman" w:cs="Calibri"/>
          <w:i/>
          <w:sz w:val="17"/>
          <w:szCs w:val="17"/>
        </w:rPr>
        <w:t>e.g.</w:t>
      </w:r>
      <w:r w:rsidR="008E031D">
        <w:rPr>
          <w:rFonts w:ascii="Avenir LT Std 55 Roman" w:eastAsia="Calibri" w:hAnsi="Avenir LT Std 55 Roman" w:cs="Calibri"/>
          <w:i/>
          <w:sz w:val="17"/>
          <w:szCs w:val="17"/>
        </w:rPr>
        <w:t>,</w:t>
      </w:r>
      <w:r w:rsidR="0082265A" w:rsidRPr="00660F55">
        <w:rPr>
          <w:rFonts w:ascii="Avenir LT Std 55 Roman" w:eastAsia="Calibri" w:hAnsi="Avenir LT Std 55 Roman" w:cs="Calibri"/>
          <w:iCs/>
          <w:sz w:val="17"/>
          <w:szCs w:val="17"/>
        </w:rPr>
        <w:t xml:space="preserve"> </w:t>
      </w:r>
      <w:proofErr w:type="spellStart"/>
      <w:r w:rsidR="0082265A" w:rsidRPr="00316CB0">
        <w:rPr>
          <w:rFonts w:ascii="Avenir LT Std 55 Roman" w:eastAsia="Calibri" w:hAnsi="Avenir LT Std 55 Roman" w:cs="Calibri"/>
          <w:sz w:val="17"/>
          <w:szCs w:val="17"/>
        </w:rPr>
        <w:t>eDAQ</w:t>
      </w:r>
      <w:proofErr w:type="spellEnd"/>
      <w:r w:rsidR="0082265A" w:rsidRPr="00316CB0">
        <w:rPr>
          <w:rFonts w:ascii="Avenir LT Std 55 Roman" w:eastAsia="Calibri" w:hAnsi="Avenir LT Std 55 Roman" w:cs="Calibri"/>
          <w:sz w:val="17"/>
          <w:szCs w:val="17"/>
        </w:rPr>
        <w:t>)</w:t>
      </w:r>
      <w:r w:rsidR="00F7290E" w:rsidRPr="00316CB0">
        <w:rPr>
          <w:rFonts w:ascii="Avenir LT Std 55 Roman" w:eastAsia="Calibri" w:hAnsi="Avenir LT Std 55 Roman" w:cs="Calibri"/>
          <w:sz w:val="17"/>
          <w:szCs w:val="17"/>
        </w:rPr>
        <w:t>. Manufacturers claim that the leakless Ag/AgCl RE is tolerant to and stable in a wide range of NA solvents. Yet</w:t>
      </w:r>
      <w:r w:rsidR="002727ED" w:rsidRPr="00316CB0">
        <w:rPr>
          <w:rFonts w:ascii="Avenir LT Std 55 Roman" w:eastAsia="Calibri" w:hAnsi="Avenir LT Std 55 Roman" w:cs="Calibri"/>
          <w:sz w:val="17"/>
          <w:szCs w:val="17"/>
        </w:rPr>
        <w:t>,</w:t>
      </w:r>
      <w:r w:rsidR="00F7290E" w:rsidRPr="00316CB0">
        <w:rPr>
          <w:rFonts w:ascii="Avenir LT Std 55 Roman" w:eastAsia="Calibri" w:hAnsi="Avenir LT Std 55 Roman" w:cs="Calibri"/>
          <w:sz w:val="17"/>
          <w:szCs w:val="17"/>
        </w:rPr>
        <w:t xml:space="preserve"> their application is not </w:t>
      </w:r>
      <w:r w:rsidR="00CC0D7E" w:rsidRPr="00316CB0">
        <w:rPr>
          <w:rFonts w:ascii="Avenir LT Std 55 Roman" w:eastAsia="Calibri" w:hAnsi="Avenir LT Std 55 Roman" w:cs="Calibri"/>
          <w:sz w:val="17"/>
          <w:szCs w:val="17"/>
        </w:rPr>
        <w:t xml:space="preserve">seen </w:t>
      </w:r>
      <w:r w:rsidR="00F7290E" w:rsidRPr="00316CB0">
        <w:rPr>
          <w:rFonts w:ascii="Avenir LT Std 55 Roman" w:eastAsia="Calibri" w:hAnsi="Avenir LT Std 55 Roman" w:cs="Calibri"/>
          <w:sz w:val="17"/>
          <w:szCs w:val="17"/>
        </w:rPr>
        <w:t>in the literature, and again, the</w:t>
      </w:r>
      <w:r w:rsidR="002B1A13" w:rsidRPr="00316CB0">
        <w:rPr>
          <w:rFonts w:ascii="Avenir LT Std 55 Roman" w:eastAsia="Calibri" w:hAnsi="Avenir LT Std 55 Roman" w:cs="Calibri"/>
          <w:sz w:val="17"/>
          <w:szCs w:val="17"/>
        </w:rPr>
        <w:t>re is a lack of understanding as to how the</w:t>
      </w:r>
      <w:r w:rsidR="0005581C" w:rsidRPr="00316CB0">
        <w:rPr>
          <w:rFonts w:ascii="Avenir LT Std 55 Roman" w:eastAsia="Calibri" w:hAnsi="Avenir LT Std 55 Roman" w:cs="Calibri"/>
          <w:sz w:val="17"/>
          <w:szCs w:val="17"/>
        </w:rPr>
        <w:t>se</w:t>
      </w:r>
      <w:r w:rsidR="002B1A13" w:rsidRPr="00316CB0">
        <w:rPr>
          <w:rFonts w:ascii="Avenir LT Std 55 Roman" w:eastAsia="Calibri" w:hAnsi="Avenir LT Std 55 Roman" w:cs="Calibri"/>
          <w:sz w:val="17"/>
          <w:szCs w:val="17"/>
        </w:rPr>
        <w:t xml:space="preserve"> </w:t>
      </w:r>
      <w:r w:rsidR="00083794">
        <w:rPr>
          <w:rFonts w:ascii="Avenir LT Std 55 Roman" w:eastAsia="Calibri" w:hAnsi="Avenir LT Std 55 Roman" w:cs="Calibri"/>
          <w:sz w:val="17"/>
          <w:szCs w:val="17"/>
        </w:rPr>
        <w:t>REs</w:t>
      </w:r>
      <w:r w:rsidR="002B1A13" w:rsidRPr="00316CB0">
        <w:rPr>
          <w:rFonts w:ascii="Avenir LT Std 55 Roman" w:eastAsia="Calibri" w:hAnsi="Avenir LT Std 55 Roman" w:cs="Calibri"/>
          <w:sz w:val="17"/>
          <w:szCs w:val="17"/>
        </w:rPr>
        <w:t xml:space="preserve"> </w:t>
      </w:r>
      <w:proofErr w:type="gramStart"/>
      <w:r w:rsidR="002B1A13" w:rsidRPr="00316CB0">
        <w:rPr>
          <w:rFonts w:ascii="Avenir LT Std 55 Roman" w:eastAsia="Calibri" w:hAnsi="Avenir LT Std 55 Roman" w:cs="Calibri"/>
          <w:sz w:val="17"/>
          <w:szCs w:val="17"/>
        </w:rPr>
        <w:t>form</w:t>
      </w:r>
      <w:proofErr w:type="gramEnd"/>
      <w:r w:rsidR="002B1A13" w:rsidRPr="00316CB0">
        <w:rPr>
          <w:rFonts w:ascii="Avenir LT Std 55 Roman" w:eastAsia="Calibri" w:hAnsi="Avenir LT Std 55 Roman" w:cs="Calibri"/>
          <w:sz w:val="17"/>
          <w:szCs w:val="17"/>
        </w:rPr>
        <w:t xml:space="preserve"> their half-cell potentials</w:t>
      </w:r>
      <w:r w:rsidR="00F7290E" w:rsidRPr="00316CB0">
        <w:rPr>
          <w:rFonts w:ascii="Avenir LT Std 55 Roman" w:eastAsia="Calibri" w:hAnsi="Avenir LT Std 55 Roman" w:cs="Calibri"/>
          <w:sz w:val="17"/>
          <w:szCs w:val="17"/>
        </w:rPr>
        <w:t xml:space="preserve">. </w:t>
      </w:r>
    </w:p>
    <w:p w14:paraId="4DF64C3B" w14:textId="78083917" w:rsidR="00A07BE6" w:rsidRPr="00316CB0" w:rsidRDefault="002312D7" w:rsidP="00083794">
      <w:pPr>
        <w:spacing w:line="276" w:lineRule="auto"/>
        <w:ind w:firstLine="284"/>
        <w:jc w:val="both"/>
        <w:rPr>
          <w:rFonts w:ascii="Avenir LT Std 55 Roman" w:eastAsia="Calibri" w:hAnsi="Avenir LT Std 55 Roman" w:cs="Calibri"/>
          <w:sz w:val="17"/>
          <w:szCs w:val="17"/>
        </w:rPr>
      </w:pPr>
      <w:r w:rsidRPr="00316CB0">
        <w:rPr>
          <w:rFonts w:ascii="Avenir LT Std 55 Roman" w:eastAsia="Calibri" w:hAnsi="Avenir LT Std 55 Roman" w:cs="Calibri"/>
          <w:sz w:val="17"/>
          <w:szCs w:val="17"/>
        </w:rPr>
        <w:t>Instead, c</w:t>
      </w:r>
      <w:r w:rsidR="6724677A" w:rsidRPr="00316CB0">
        <w:rPr>
          <w:rFonts w:ascii="Avenir LT Std 55 Roman" w:eastAsia="Calibri" w:hAnsi="Avenir LT Std 55 Roman" w:cs="Calibri"/>
          <w:sz w:val="17"/>
          <w:szCs w:val="17"/>
        </w:rPr>
        <w:t xml:space="preserve">ommonplace </w:t>
      </w:r>
      <w:r w:rsidR="6861B98A" w:rsidRPr="00316CB0">
        <w:rPr>
          <w:rFonts w:ascii="Avenir LT Std 55 Roman" w:eastAsia="Calibri" w:hAnsi="Avenir LT Std 55 Roman" w:cs="Calibri"/>
          <w:sz w:val="17"/>
          <w:szCs w:val="17"/>
        </w:rPr>
        <w:t>NA</w:t>
      </w:r>
      <w:r w:rsidR="6724677A" w:rsidRPr="00316CB0">
        <w:rPr>
          <w:rFonts w:ascii="Avenir LT Std 55 Roman" w:eastAsia="Calibri" w:hAnsi="Avenir LT Std 55 Roman" w:cs="Calibri"/>
          <w:sz w:val="17"/>
          <w:szCs w:val="17"/>
        </w:rPr>
        <w:t xml:space="preserve"> </w:t>
      </w:r>
      <w:r w:rsidR="00083794">
        <w:rPr>
          <w:rFonts w:ascii="Avenir LT Std 55 Roman" w:eastAsia="Calibri" w:hAnsi="Avenir LT Std 55 Roman" w:cs="Calibri"/>
          <w:sz w:val="17"/>
          <w:szCs w:val="17"/>
        </w:rPr>
        <w:t>REs</w:t>
      </w:r>
      <w:r w:rsidR="6724677A" w:rsidRPr="00316CB0">
        <w:rPr>
          <w:rFonts w:ascii="Avenir LT Std 55 Roman" w:eastAsia="Calibri" w:hAnsi="Avenir LT Std 55 Roman" w:cs="Calibri"/>
          <w:sz w:val="17"/>
          <w:szCs w:val="17"/>
        </w:rPr>
        <w:t xml:space="preserve"> are based on the Ag/Ag</w:t>
      </w:r>
      <w:r w:rsidR="3882936D" w:rsidRPr="00316CB0">
        <w:rPr>
          <w:rFonts w:ascii="Avenir LT Std 55 Roman" w:eastAsia="Calibri" w:hAnsi="Avenir LT Std 55 Roman" w:cs="Calibri"/>
          <w:sz w:val="17"/>
          <w:szCs w:val="17"/>
          <w:vertAlign w:val="superscript"/>
        </w:rPr>
        <w:t>+</w:t>
      </w:r>
      <w:r w:rsidR="6724677A" w:rsidRPr="00316CB0">
        <w:rPr>
          <w:rFonts w:ascii="Avenir LT Std 55 Roman" w:eastAsia="Calibri" w:hAnsi="Avenir LT Std 55 Roman" w:cs="Calibri"/>
          <w:sz w:val="17"/>
          <w:szCs w:val="17"/>
        </w:rPr>
        <w:t xml:space="preserve"> redox pair. Various Ag/AgNO</w:t>
      </w:r>
      <w:r w:rsidR="6724677A" w:rsidRPr="00316CB0">
        <w:rPr>
          <w:rFonts w:ascii="Avenir LT Std 55 Roman" w:eastAsia="Calibri" w:hAnsi="Avenir LT Std 55 Roman" w:cs="Calibri"/>
          <w:sz w:val="17"/>
          <w:szCs w:val="17"/>
          <w:vertAlign w:val="subscript"/>
        </w:rPr>
        <w:t>3</w:t>
      </w:r>
      <w:r w:rsidR="6724677A" w:rsidRPr="00316CB0">
        <w:rPr>
          <w:rFonts w:ascii="Avenir LT Std 55 Roman" w:eastAsia="Calibri" w:hAnsi="Avenir LT Std 55 Roman" w:cs="Calibri"/>
          <w:sz w:val="17"/>
          <w:szCs w:val="17"/>
        </w:rPr>
        <w:t xml:space="preserve"> or Ag/AgClO</w:t>
      </w:r>
      <w:r w:rsidR="6724677A" w:rsidRPr="00316CB0">
        <w:rPr>
          <w:rFonts w:ascii="Avenir LT Std 55 Roman" w:eastAsia="Calibri" w:hAnsi="Avenir LT Std 55 Roman" w:cs="Calibri"/>
          <w:sz w:val="17"/>
          <w:szCs w:val="17"/>
          <w:vertAlign w:val="subscript"/>
        </w:rPr>
        <w:t>4</w:t>
      </w:r>
      <w:r w:rsidR="6724677A" w:rsidRPr="00316CB0">
        <w:rPr>
          <w:rFonts w:ascii="Avenir LT Std 55 Roman" w:eastAsia="Calibri" w:hAnsi="Avenir LT Std 55 Roman" w:cs="Calibri"/>
          <w:sz w:val="17"/>
          <w:szCs w:val="17"/>
        </w:rPr>
        <w:t xml:space="preserve"> con</w:t>
      </w:r>
      <w:r w:rsidR="009B796A">
        <w:rPr>
          <w:rFonts w:ascii="Avenir LT Std 55 Roman" w:eastAsia="Calibri" w:hAnsi="Avenir LT Std 55 Roman" w:cs="Calibri"/>
          <w:sz w:val="17"/>
          <w:szCs w:val="17"/>
        </w:rPr>
        <w:t>fig</w:t>
      </w:r>
      <w:r w:rsidR="6724677A" w:rsidRPr="00316CB0">
        <w:rPr>
          <w:rFonts w:ascii="Avenir LT Std 55 Roman" w:eastAsia="Calibri" w:hAnsi="Avenir LT Std 55 Roman" w:cs="Calibri"/>
          <w:sz w:val="17"/>
          <w:szCs w:val="17"/>
        </w:rPr>
        <w:t>urations are reported with varying concentrations of AgNO</w:t>
      </w:r>
      <w:r w:rsidR="6724677A" w:rsidRPr="00316CB0">
        <w:rPr>
          <w:rFonts w:ascii="Avenir LT Std 55 Roman" w:eastAsia="Calibri" w:hAnsi="Avenir LT Std 55 Roman" w:cs="Calibri"/>
          <w:sz w:val="17"/>
          <w:szCs w:val="17"/>
          <w:vertAlign w:val="subscript"/>
        </w:rPr>
        <w:t>3</w:t>
      </w:r>
      <w:r w:rsidR="6724677A" w:rsidRPr="00316CB0">
        <w:rPr>
          <w:rFonts w:ascii="Avenir LT Std 55 Roman" w:eastAsia="Calibri" w:hAnsi="Avenir LT Std 55 Roman" w:cs="Calibri"/>
          <w:sz w:val="17"/>
          <w:szCs w:val="17"/>
        </w:rPr>
        <w:t>/AgClO</w:t>
      </w:r>
      <w:r w:rsidR="6724677A" w:rsidRPr="00316CB0">
        <w:rPr>
          <w:rFonts w:ascii="Avenir LT Std 55 Roman" w:eastAsia="Calibri" w:hAnsi="Avenir LT Std 55 Roman" w:cs="Calibri"/>
          <w:sz w:val="17"/>
          <w:szCs w:val="17"/>
          <w:vertAlign w:val="subscript"/>
        </w:rPr>
        <w:t>4</w:t>
      </w:r>
      <w:r w:rsidR="6724677A" w:rsidRPr="00316CB0">
        <w:rPr>
          <w:rFonts w:ascii="Avenir LT Std 55 Roman" w:eastAsia="Calibri" w:hAnsi="Avenir LT Std 55 Roman" w:cs="Calibri"/>
          <w:sz w:val="17"/>
          <w:szCs w:val="17"/>
        </w:rPr>
        <w:t xml:space="preserve"> and </w:t>
      </w:r>
      <w:r w:rsidR="00C3694B" w:rsidRPr="00316CB0">
        <w:rPr>
          <w:rFonts w:ascii="Avenir LT Std 55 Roman" w:eastAsia="Calibri" w:hAnsi="Avenir LT Std 55 Roman" w:cs="Calibri"/>
          <w:sz w:val="17"/>
          <w:szCs w:val="17"/>
        </w:rPr>
        <w:t xml:space="preserve">tetraalkylammonium </w:t>
      </w:r>
      <w:r w:rsidR="6724677A" w:rsidRPr="00316CB0">
        <w:rPr>
          <w:rFonts w:ascii="Avenir LT Std 55 Roman" w:eastAsia="Calibri" w:hAnsi="Avenir LT Std 55 Roman" w:cs="Calibri"/>
          <w:color w:val="000000" w:themeColor="text1"/>
          <w:sz w:val="17"/>
          <w:szCs w:val="17"/>
        </w:rPr>
        <w:t>salt</w:t>
      </w:r>
      <w:r w:rsidR="00C3694B" w:rsidRPr="00316CB0">
        <w:rPr>
          <w:rFonts w:ascii="Avenir LT Std 55 Roman" w:eastAsia="Calibri" w:hAnsi="Avenir LT Std 55 Roman" w:cs="Calibri"/>
          <w:color w:val="000000" w:themeColor="text1"/>
          <w:sz w:val="17"/>
          <w:szCs w:val="17"/>
        </w:rPr>
        <w:t>s</w:t>
      </w:r>
      <w:r w:rsidR="6724677A" w:rsidRPr="00316CB0">
        <w:rPr>
          <w:rFonts w:ascii="Avenir LT Std 55 Roman" w:eastAsia="Calibri" w:hAnsi="Avenir LT Std 55 Roman" w:cs="Calibri"/>
          <w:color w:val="000000" w:themeColor="text1"/>
          <w:sz w:val="17"/>
          <w:szCs w:val="17"/>
        </w:rPr>
        <w:t xml:space="preserve"> </w:t>
      </w:r>
      <w:r w:rsidR="00C3694B" w:rsidRPr="00316CB0">
        <w:rPr>
          <w:rFonts w:ascii="Avenir LT Std 55 Roman" w:eastAsia="Calibri" w:hAnsi="Avenir LT Std 55 Roman" w:cs="Calibri"/>
          <w:color w:val="000000" w:themeColor="text1"/>
          <w:sz w:val="17"/>
          <w:szCs w:val="17"/>
        </w:rPr>
        <w:t xml:space="preserve">of </w:t>
      </w:r>
      <w:r w:rsidR="6724677A" w:rsidRPr="00083794">
        <w:rPr>
          <w:rFonts w:ascii="Avenir LT Std 55 Roman" w:eastAsia="Calibri" w:hAnsi="Avenir LT Std 55 Roman" w:cs="Calibri"/>
          <w:i/>
          <w:color w:val="000000" w:themeColor="text1"/>
          <w:sz w:val="17"/>
          <w:szCs w:val="17"/>
        </w:rPr>
        <w:t>e.g.,</w:t>
      </w:r>
      <w:r w:rsidR="6724677A" w:rsidRPr="00316CB0">
        <w:rPr>
          <w:rFonts w:ascii="Avenir LT Std 55 Roman" w:eastAsia="Calibri" w:hAnsi="Avenir LT Std 55 Roman" w:cs="Calibri"/>
          <w:color w:val="000000" w:themeColor="text1"/>
          <w:sz w:val="17"/>
          <w:szCs w:val="17"/>
        </w:rPr>
        <w:t xml:space="preserve"> </w:t>
      </w:r>
      <w:r w:rsidR="2E964A16" w:rsidRPr="00316CB0">
        <w:rPr>
          <w:rFonts w:ascii="Avenir LT Std 55 Roman" w:eastAsia="Calibri" w:hAnsi="Avenir LT Std 55 Roman" w:cs="Calibri"/>
          <w:color w:val="000000" w:themeColor="text1"/>
          <w:sz w:val="17"/>
          <w:szCs w:val="17"/>
        </w:rPr>
        <w:t>perchlorate</w:t>
      </w:r>
      <w:r w:rsidR="00A651D8">
        <w:rPr>
          <w:rFonts w:ascii="Avenir LT Std 55 Roman" w:eastAsia="Calibri" w:hAnsi="Avenir LT Std 55 Roman" w:cs="Calibri"/>
          <w:color w:val="000000" w:themeColor="text1"/>
          <w:sz w:val="17"/>
          <w:szCs w:val="17"/>
        </w:rPr>
        <w:t xml:space="preserve"> or</w:t>
      </w:r>
      <w:r w:rsidR="6724677A" w:rsidRPr="00316CB0">
        <w:rPr>
          <w:rFonts w:ascii="Avenir LT Std 55 Roman" w:eastAsia="Calibri" w:hAnsi="Avenir LT Std 55 Roman" w:cs="Calibri"/>
          <w:color w:val="000000" w:themeColor="text1"/>
          <w:sz w:val="17"/>
          <w:szCs w:val="17"/>
        </w:rPr>
        <w:t xml:space="preserve"> </w:t>
      </w:r>
      <w:r w:rsidR="2E964A16" w:rsidRPr="00316CB0">
        <w:rPr>
          <w:rFonts w:ascii="Avenir LT Std 55 Roman" w:eastAsia="Calibri" w:hAnsi="Avenir LT Std 55 Roman" w:cs="Calibri"/>
          <w:color w:val="000000" w:themeColor="text1"/>
          <w:sz w:val="17"/>
          <w:szCs w:val="17"/>
        </w:rPr>
        <w:t>hexafluorophosphate</w:t>
      </w:r>
      <w:r w:rsidR="6724677A" w:rsidRPr="00316CB0">
        <w:rPr>
          <w:rFonts w:ascii="Avenir LT Std 55 Roman" w:eastAsia="Calibri" w:hAnsi="Avenir LT Std 55 Roman" w:cs="Calibri"/>
          <w:color w:val="000000" w:themeColor="text1"/>
          <w:sz w:val="17"/>
          <w:szCs w:val="17"/>
        </w:rPr>
        <w:t xml:space="preserve"> in organic solvents such as acetonitrile, </w:t>
      </w:r>
      <w:proofErr w:type="spellStart"/>
      <w:r w:rsidR="6724677A" w:rsidRPr="00316CB0">
        <w:rPr>
          <w:rFonts w:ascii="Avenir LT Std 55 Roman" w:eastAsia="Calibri" w:hAnsi="Avenir LT Std 55 Roman" w:cs="Calibri"/>
          <w:color w:val="000000" w:themeColor="text1"/>
          <w:sz w:val="17"/>
          <w:szCs w:val="17"/>
        </w:rPr>
        <w:t>dimethylsulfoxide</w:t>
      </w:r>
      <w:proofErr w:type="spellEnd"/>
      <w:r w:rsidR="6724677A" w:rsidRPr="00316CB0">
        <w:rPr>
          <w:rFonts w:ascii="Avenir LT Std 55 Roman" w:eastAsia="Calibri" w:hAnsi="Avenir LT Std 55 Roman" w:cs="Calibri"/>
          <w:color w:val="000000" w:themeColor="text1"/>
          <w:sz w:val="17"/>
          <w:szCs w:val="17"/>
        </w:rPr>
        <w:t>, methanol, ethanol, and tetrahydrofuran</w:t>
      </w:r>
      <w:r w:rsidR="6724677A" w:rsidRPr="00316CB0">
        <w:rPr>
          <w:rFonts w:ascii="Avenir LT Std 55 Roman" w:eastAsia="Calibri" w:hAnsi="Avenir LT Std 55 Roman" w:cs="Calibri"/>
          <w:sz w:val="17"/>
          <w:szCs w:val="17"/>
        </w:rPr>
        <w:t>. These REs display acceptable stability for short-term use. However, their potentials are very sensitive to electrode/electrolyte composition</w:t>
      </w:r>
      <w:r w:rsidR="688F08DA" w:rsidRPr="00316CB0">
        <w:rPr>
          <w:rFonts w:ascii="Avenir LT Std 55 Roman" w:eastAsia="Calibri" w:hAnsi="Avenir LT Std 55 Roman" w:cs="Calibri"/>
          <w:sz w:val="17"/>
          <w:szCs w:val="17"/>
        </w:rPr>
        <w:t xml:space="preserve"> and the preparation of the silver wire</w:t>
      </w:r>
      <w:r w:rsidR="6724677A" w:rsidRPr="00316CB0">
        <w:rPr>
          <w:rFonts w:ascii="Avenir LT Std 55 Roman" w:eastAsia="Calibri" w:hAnsi="Avenir LT Std 55 Roman" w:cs="Calibri"/>
          <w:sz w:val="17"/>
          <w:szCs w:val="17"/>
        </w:rPr>
        <w:t>.</w:t>
      </w:r>
      <w:r w:rsidR="003F658E" w:rsidRPr="00316CB0">
        <w:rPr>
          <w:rFonts w:ascii="Avenir LT Std 55 Roman" w:eastAsia="Calibri" w:hAnsi="Avenir LT Std 55 Roman" w:cs="Calibri"/>
          <w:sz w:val="17"/>
          <w:szCs w:val="17"/>
        </w:rPr>
        <w:t xml:space="preserve"> </w:t>
      </w:r>
      <w:r w:rsidR="6724677A" w:rsidRPr="00316CB0">
        <w:rPr>
          <w:rFonts w:ascii="Avenir LT Std 55 Roman" w:eastAsia="Calibri" w:hAnsi="Avenir LT Std 55 Roman" w:cs="Calibri"/>
          <w:sz w:val="17"/>
          <w:szCs w:val="17"/>
        </w:rPr>
        <w:t>They must be carefully stored between experiments and regularly renewed and recalibrated to avoid</w:t>
      </w:r>
      <w:r w:rsidR="1B28F0A4" w:rsidRPr="00316CB0">
        <w:rPr>
          <w:rFonts w:ascii="Avenir LT Std 55 Roman" w:eastAsia="Calibri" w:hAnsi="Avenir LT Std 55 Roman" w:cs="Calibri"/>
          <w:sz w:val="17"/>
          <w:szCs w:val="17"/>
        </w:rPr>
        <w:t xml:space="preserve"> the</w:t>
      </w:r>
      <w:r w:rsidR="6724677A" w:rsidRPr="00316CB0">
        <w:rPr>
          <w:rFonts w:ascii="Avenir LT Std 55 Roman" w:eastAsia="Calibri" w:hAnsi="Avenir LT Std 55 Roman" w:cs="Calibri"/>
          <w:sz w:val="17"/>
          <w:szCs w:val="17"/>
        </w:rPr>
        <w:t xml:space="preserve"> potential drifting with time, limiting their suitability for </w:t>
      </w:r>
      <w:r w:rsidR="692513EE" w:rsidRPr="00316CB0">
        <w:rPr>
          <w:rFonts w:ascii="Avenir LT Std 55 Roman" w:eastAsia="Calibri" w:hAnsi="Avenir LT Std 55 Roman" w:cs="Calibri"/>
          <w:sz w:val="17"/>
          <w:szCs w:val="17"/>
        </w:rPr>
        <w:t xml:space="preserve">long-term </w:t>
      </w:r>
      <w:r w:rsidR="1E6A2D13" w:rsidRPr="00316CB0">
        <w:rPr>
          <w:rFonts w:ascii="Avenir LT Std 55 Roman" w:eastAsia="Calibri" w:hAnsi="Avenir LT Std 55 Roman" w:cs="Calibri"/>
          <w:sz w:val="17"/>
          <w:szCs w:val="17"/>
        </w:rPr>
        <w:t>use</w:t>
      </w:r>
      <w:r w:rsidR="00A42C0B" w:rsidRPr="00316CB0">
        <w:rPr>
          <w:rFonts w:ascii="Avenir LT Std 55 Roman" w:eastAsia="Calibri" w:hAnsi="Avenir LT Std 55 Roman" w:cs="Calibri"/>
          <w:sz w:val="17"/>
          <w:szCs w:val="17"/>
        </w:rPr>
        <w:t xml:space="preserve"> </w:t>
      </w:r>
      <w:r w:rsidR="00B9209A">
        <w:rPr>
          <w:rFonts w:ascii="Avenir LT Std 55 Roman" w:eastAsia="Calibri" w:hAnsi="Avenir LT Std 55 Roman" w:cs="Calibri"/>
          <w:sz w:val="17"/>
          <w:szCs w:val="17"/>
        </w:rPr>
        <w:t>(</w:t>
      </w:r>
      <w:proofErr w:type="gramStart"/>
      <w:r w:rsidR="00B9209A" w:rsidRPr="00B9209A">
        <w:rPr>
          <w:rFonts w:ascii="Avenir LT Std 55 Roman" w:eastAsia="Calibri" w:hAnsi="Avenir LT Std 55 Roman" w:cs="Calibri"/>
          <w:i/>
          <w:iCs/>
          <w:sz w:val="17"/>
          <w:szCs w:val="17"/>
        </w:rPr>
        <w:t>i.e.</w:t>
      </w:r>
      <w:proofErr w:type="gramEnd"/>
      <w:r w:rsidR="00B9209A">
        <w:rPr>
          <w:rFonts w:ascii="Avenir LT Std 55 Roman" w:eastAsia="Calibri" w:hAnsi="Avenir LT Std 55 Roman" w:cs="Calibri"/>
          <w:sz w:val="17"/>
          <w:szCs w:val="17"/>
        </w:rPr>
        <w:t xml:space="preserve"> </w:t>
      </w:r>
      <w:r w:rsidR="00C87E65">
        <w:rPr>
          <w:rFonts w:ascii="Avenir LT Std 55 Roman" w:eastAsia="Calibri" w:hAnsi="Avenir LT Std 55 Roman" w:cs="Calibri"/>
          <w:sz w:val="17"/>
          <w:szCs w:val="17"/>
        </w:rPr>
        <w:t xml:space="preserve">over 8 </w:t>
      </w:r>
      <w:r w:rsidR="00A42C0B" w:rsidRPr="00316CB0">
        <w:rPr>
          <w:rFonts w:ascii="Avenir LT Std 55 Roman" w:eastAsia="Calibri" w:hAnsi="Avenir LT Std 55 Roman" w:cs="Calibri"/>
          <w:sz w:val="17"/>
          <w:szCs w:val="17"/>
        </w:rPr>
        <w:t xml:space="preserve">hours). </w:t>
      </w:r>
      <w:r w:rsidR="79F53041" w:rsidRPr="00316CB0">
        <w:rPr>
          <w:rFonts w:ascii="Avenir LT Std 55 Roman" w:eastAsia="Calibri" w:hAnsi="Avenir LT Std 55 Roman" w:cs="Calibri"/>
          <w:sz w:val="17"/>
          <w:szCs w:val="17"/>
        </w:rPr>
        <w:t xml:space="preserve"> Lee and Tang evaluated potential </w:t>
      </w:r>
      <w:r w:rsidR="688F08DA" w:rsidRPr="00316CB0">
        <w:rPr>
          <w:rFonts w:ascii="Avenir LT Std 55 Roman" w:eastAsia="Calibri" w:hAnsi="Avenir LT Std 55 Roman" w:cs="Calibri"/>
          <w:sz w:val="17"/>
          <w:szCs w:val="17"/>
        </w:rPr>
        <w:t>REs</w:t>
      </w:r>
      <w:r w:rsidR="63881C7B" w:rsidRPr="00316CB0">
        <w:rPr>
          <w:rFonts w:ascii="Avenir LT Std 55 Roman" w:eastAsia="Calibri" w:hAnsi="Avenir LT Std 55 Roman" w:cs="Calibri"/>
          <w:sz w:val="17"/>
          <w:szCs w:val="17"/>
        </w:rPr>
        <w:t xml:space="preserve"> </w:t>
      </w:r>
      <w:r w:rsidR="79F53041" w:rsidRPr="00316CB0">
        <w:rPr>
          <w:rFonts w:ascii="Avenir LT Std 55 Roman" w:eastAsia="Calibri" w:hAnsi="Avenir LT Std 55 Roman" w:cs="Calibri"/>
          <w:sz w:val="17"/>
          <w:szCs w:val="17"/>
        </w:rPr>
        <w:t>for sodium ion batteries and found a well-maintained</w:t>
      </w:r>
      <w:r w:rsidR="12B72BB0" w:rsidRPr="00316CB0">
        <w:rPr>
          <w:rFonts w:ascii="Avenir LT Std 55 Roman" w:eastAsia="Calibri" w:hAnsi="Avenir LT Std 55 Roman" w:cs="Calibri"/>
          <w:sz w:val="17"/>
          <w:szCs w:val="17"/>
        </w:rPr>
        <w:t xml:space="preserve"> commercial </w:t>
      </w:r>
      <w:r w:rsidR="79F53041" w:rsidRPr="00316CB0">
        <w:rPr>
          <w:rFonts w:ascii="Avenir LT Std 55 Roman" w:eastAsia="Calibri" w:hAnsi="Avenir LT Std 55 Roman" w:cs="Calibri"/>
          <w:sz w:val="17"/>
          <w:szCs w:val="17"/>
        </w:rPr>
        <w:t>Ag/Ag</w:t>
      </w:r>
      <w:r w:rsidR="79F53041" w:rsidRPr="00316CB0">
        <w:rPr>
          <w:rFonts w:ascii="Avenir LT Std 55 Roman" w:eastAsia="Calibri" w:hAnsi="Avenir LT Std 55 Roman" w:cs="Calibri"/>
          <w:sz w:val="17"/>
          <w:szCs w:val="17"/>
          <w:vertAlign w:val="superscript"/>
        </w:rPr>
        <w:t>+</w:t>
      </w:r>
      <w:r w:rsidR="79F53041" w:rsidRPr="00316CB0">
        <w:rPr>
          <w:rFonts w:ascii="Avenir LT Std 55 Roman" w:eastAsia="Calibri" w:hAnsi="Avenir LT Std 55 Roman" w:cs="Calibri"/>
          <w:sz w:val="17"/>
          <w:szCs w:val="17"/>
        </w:rPr>
        <w:t xml:space="preserve"> RE</w:t>
      </w:r>
      <w:r w:rsidR="39EFA1A0" w:rsidRPr="00316CB0">
        <w:rPr>
          <w:rFonts w:ascii="Avenir LT Std 55 Roman" w:eastAsia="Calibri" w:hAnsi="Avenir LT Std 55 Roman" w:cs="Calibri"/>
          <w:sz w:val="17"/>
          <w:szCs w:val="17"/>
        </w:rPr>
        <w:t xml:space="preserve"> containing AgNO</w:t>
      </w:r>
      <w:r w:rsidR="39EFA1A0" w:rsidRPr="00316CB0">
        <w:rPr>
          <w:rFonts w:ascii="Avenir LT Std 55 Roman" w:eastAsia="Calibri" w:hAnsi="Avenir LT Std 55 Roman" w:cs="Calibri"/>
          <w:sz w:val="17"/>
          <w:szCs w:val="17"/>
          <w:vertAlign w:val="subscript"/>
        </w:rPr>
        <w:t>3</w:t>
      </w:r>
      <w:r w:rsidR="79F53041" w:rsidRPr="00316CB0">
        <w:rPr>
          <w:rFonts w:ascii="Avenir LT Std 55 Roman" w:eastAsia="Calibri" w:hAnsi="Avenir LT Std 55 Roman" w:cs="Calibri"/>
          <w:sz w:val="17"/>
          <w:szCs w:val="17"/>
        </w:rPr>
        <w:t xml:space="preserve"> </w:t>
      </w:r>
      <w:r w:rsidR="3C6397E0" w:rsidRPr="00316CB0">
        <w:rPr>
          <w:rFonts w:ascii="Avenir LT Std 55 Roman" w:eastAsia="Calibri" w:hAnsi="Avenir LT Std 55 Roman" w:cs="Calibri"/>
          <w:sz w:val="17"/>
          <w:szCs w:val="17"/>
        </w:rPr>
        <w:t xml:space="preserve">that </w:t>
      </w:r>
      <w:r w:rsidR="79F53041" w:rsidRPr="00316CB0">
        <w:rPr>
          <w:rFonts w:ascii="Avenir LT Std 55 Roman" w:eastAsia="Calibri" w:hAnsi="Avenir LT Std 55 Roman" w:cs="Calibri"/>
          <w:sz w:val="17"/>
          <w:szCs w:val="17"/>
        </w:rPr>
        <w:t>experienced a drift of 0.21</w:t>
      </w:r>
      <w:r w:rsidR="005F347C">
        <w:rPr>
          <w:rFonts w:ascii="Avenir LT Std 55 Roman" w:eastAsia="Calibri" w:hAnsi="Avenir LT Std 55 Roman" w:cs="Calibri"/>
          <w:sz w:val="17"/>
          <w:szCs w:val="17"/>
        </w:rPr>
        <w:t> </w:t>
      </w:r>
      <w:r w:rsidR="79F53041" w:rsidRPr="00316CB0">
        <w:rPr>
          <w:rFonts w:ascii="Avenir LT Std 55 Roman" w:eastAsia="Calibri" w:hAnsi="Avenir LT Std 55 Roman" w:cs="Calibri"/>
          <w:sz w:val="17"/>
          <w:szCs w:val="17"/>
        </w:rPr>
        <w:t>mV</w:t>
      </w:r>
      <w:r w:rsidR="005F347C">
        <w:rPr>
          <w:rFonts w:ascii="Avenir LT Std 55 Roman" w:eastAsia="Calibri" w:hAnsi="Avenir LT Std 55 Roman" w:cs="Calibri"/>
          <w:sz w:val="17"/>
          <w:szCs w:val="17"/>
        </w:rPr>
        <w:t> </w:t>
      </w:r>
      <w:r w:rsidR="79F53041" w:rsidRPr="00316CB0">
        <w:rPr>
          <w:rFonts w:ascii="Avenir LT Std 55 Roman" w:eastAsia="Calibri" w:hAnsi="Avenir LT Std 55 Roman" w:cs="Calibri"/>
          <w:sz w:val="17"/>
          <w:szCs w:val="17"/>
        </w:rPr>
        <w:t>hr</w:t>
      </w:r>
      <w:r w:rsidR="0054560A">
        <w:rPr>
          <w:rFonts w:ascii="Calibri" w:eastAsia="Calibri" w:hAnsi="Calibri" w:cs="Calibri"/>
          <w:sz w:val="17"/>
          <w:szCs w:val="17"/>
          <w:vertAlign w:val="superscript"/>
        </w:rPr>
        <w:t>−</w:t>
      </w:r>
      <w:r w:rsidR="4980A87B" w:rsidRPr="00316CB0">
        <w:rPr>
          <w:rFonts w:ascii="Avenir LT Std 55 Roman" w:eastAsia="Calibri" w:hAnsi="Avenir LT Std 55 Roman" w:cs="Calibri"/>
          <w:sz w:val="17"/>
          <w:szCs w:val="17"/>
          <w:vertAlign w:val="superscript"/>
        </w:rPr>
        <w:t>1</w:t>
      </w:r>
      <w:r w:rsidR="79F53041" w:rsidRPr="00316CB0">
        <w:rPr>
          <w:rFonts w:ascii="Avenir LT Std 55 Roman" w:eastAsia="Calibri" w:hAnsi="Avenir LT Std 55 Roman" w:cs="Calibri"/>
          <w:sz w:val="17"/>
          <w:szCs w:val="17"/>
        </w:rPr>
        <w:t xml:space="preserve"> in </w:t>
      </w:r>
      <w:r w:rsidR="688F08DA" w:rsidRPr="00316CB0">
        <w:rPr>
          <w:rFonts w:ascii="Avenir LT Std 55 Roman" w:eastAsia="Calibri" w:hAnsi="Avenir LT Std 55 Roman" w:cs="Calibri"/>
          <w:sz w:val="17"/>
          <w:szCs w:val="17"/>
        </w:rPr>
        <w:t>acetonitrile</w:t>
      </w:r>
      <w:r w:rsidR="00710DCE">
        <w:rPr>
          <w:rFonts w:ascii="Avenir LT Std 55 Roman" w:eastAsia="Calibri" w:hAnsi="Avenir LT Std 55 Roman" w:cs="Calibri"/>
          <w:sz w:val="17"/>
          <w:szCs w:val="17"/>
        </w:rPr>
        <w:t>.</w:t>
      </w:r>
      <w:r w:rsidR="00165A9B"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{"citationItems":[{"id":"ITEM-1","itemData":{"DOI":"10.1149/2.0401914jes","ISSN":"0013-4651","abstract":"Abstract While the use of silicon-based electrodes can increase the capacity of Li-ion batteries considerably, their application is associated with significant capacity losses. In this work, the influences of solid electrolyte interphase (SEI) formation, volume expansion, and lithium trapping are evaluated for two different electrochemical cycling schemes using lithium-metal half-cells containing silicon nanoparticle?based composite electrodes. Lithium trapping, caused by incomplete delithiation, is demonstrated to be the main reason for the capacity loss while SEI formation and dissolution affect the accumulated capacity loss due to a decreased coulombic efficiency. The capacity losses can be explained by the increasing lithium concentration in the electrode causing a decreasing lithiation potential and the lithiation cut-off limit being reached faster. A lithium-to-silicon atomic ratio of 3.28 is found for a silicon electrode after 650 cycles using 1200 mAhg?1 capacity limited cycling. The results further show that the lithiation step is the capacity-limiting step and that the capacity losses can be minimized by increasing the efficiency of the delithiation step via the inclusion of constant voltage delithiation steps. Lithium trapping due to incomplete delithiation consequently constitutes a very important capacity loss phenomenon for silicon composite electrodes.","author":[{"dropping-particle":"","family":"Lee","given":"Sophia E.","non-dropping-particle":"","parse-names":false,"suffix":""},{"dropping-particle":"","family":"Tang","given":"Maureen H.","non-dropping-particle":"","parse-names":false,"suffix":""}],"container-title":"Journal of The Electrochemical Society","id":"ITEM-1","issue":"14","issued":{"date-parts":[["2019"]]},"page":"A3260-A3264","title":"Reliable Reference Electrodes for Nonaqueous Sodium-Ion Batteries","type":"article-journal","volume":"166"},"uris":["http://www.mendeley.com/documents/?uuid=e5b2e780-4a01-47b8-b93d-09826b5f52f4"]}],"mendeley":{"formattedCitation":"&lt;sup&gt;6&lt;/sup&gt;","plainTextFormattedCitation":"6","previouslyFormattedCitation":"&lt;sup&gt;6&lt;/sup&gt;"},"properties":{"noteIndex":0},"schema":"https://github.com/citation-style-language/schema/raw/master/csl-citation.json"}</w:instrText>
      </w:r>
      <w:r w:rsidR="00165A9B"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6</w:t>
      </w:r>
      <w:r w:rsidR="00165A9B"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w:t>
      </w:r>
    </w:p>
    <w:p w14:paraId="173AF821" w14:textId="0D8C0AEC" w:rsidR="00A07BE6" w:rsidRPr="00316CB0" w:rsidRDefault="12DB91E7" w:rsidP="00316CB0">
      <w:pPr>
        <w:spacing w:line="276" w:lineRule="auto"/>
        <w:ind w:firstLine="284"/>
        <w:jc w:val="both"/>
        <w:rPr>
          <w:rFonts w:ascii="Avenir LT Std 55 Roman" w:eastAsia="Calibri" w:hAnsi="Avenir LT Std 55 Roman" w:cs="Calibri"/>
          <w:sz w:val="17"/>
          <w:szCs w:val="17"/>
        </w:rPr>
      </w:pPr>
      <w:r w:rsidRPr="78D2D651">
        <w:rPr>
          <w:rFonts w:ascii="Avenir LT Std 55 Roman" w:eastAsia="Calibri" w:hAnsi="Avenir LT Std 55 Roman" w:cs="Calibri"/>
          <w:sz w:val="17"/>
          <w:szCs w:val="17"/>
        </w:rPr>
        <w:t>A</w:t>
      </w:r>
      <w:r w:rsidR="48007568" w:rsidRPr="78D2D651">
        <w:rPr>
          <w:rFonts w:ascii="Avenir LT Std 55 Roman" w:eastAsia="Calibri" w:hAnsi="Avenir LT Std 55 Roman" w:cs="Calibri"/>
          <w:sz w:val="17"/>
          <w:szCs w:val="17"/>
        </w:rPr>
        <w:t xml:space="preserve"> fritted </w:t>
      </w:r>
      <w:r w:rsidR="2038FC1C" w:rsidRPr="78D2D651">
        <w:rPr>
          <w:rFonts w:ascii="Avenir LT Std 55 Roman" w:eastAsia="Calibri" w:hAnsi="Avenir LT Std 55 Roman" w:cs="Calibri"/>
          <w:sz w:val="17"/>
          <w:szCs w:val="17"/>
        </w:rPr>
        <w:t>NA</w:t>
      </w:r>
      <w:r w:rsidR="48007568" w:rsidRPr="78D2D651">
        <w:rPr>
          <w:rFonts w:ascii="Avenir LT Std 55 Roman" w:eastAsia="Calibri" w:hAnsi="Avenir LT Std 55 Roman" w:cs="Calibri"/>
          <w:sz w:val="17"/>
          <w:szCs w:val="17"/>
        </w:rPr>
        <w:t xml:space="preserve"> </w:t>
      </w:r>
      <w:r w:rsidR="00695ECF">
        <w:rPr>
          <w:rFonts w:ascii="Avenir LT Std 55 Roman" w:eastAsia="Calibri" w:hAnsi="Avenir LT Std 55 Roman" w:cs="Calibri"/>
          <w:sz w:val="17"/>
          <w:szCs w:val="17"/>
        </w:rPr>
        <w:t>RE</w:t>
      </w:r>
      <w:r w:rsidRPr="78D2D651">
        <w:rPr>
          <w:rFonts w:ascii="Avenir LT Std 55 Roman" w:eastAsia="Calibri" w:hAnsi="Avenir LT Std 55 Roman" w:cs="Calibri"/>
          <w:sz w:val="17"/>
          <w:szCs w:val="17"/>
        </w:rPr>
        <w:t>, however,</w:t>
      </w:r>
      <w:r w:rsidR="48007568" w:rsidRPr="78D2D651">
        <w:rPr>
          <w:rFonts w:ascii="Avenir LT Std 55 Roman" w:eastAsia="Calibri" w:hAnsi="Avenir LT Std 55 Roman" w:cs="Calibri"/>
          <w:sz w:val="17"/>
          <w:szCs w:val="17"/>
        </w:rPr>
        <w:t xml:space="preserve"> is not always a suitable RE for a battery </w:t>
      </w:r>
      <w:r w:rsidR="66B6BE8C" w:rsidRPr="78D2D651">
        <w:rPr>
          <w:rFonts w:ascii="Avenir LT Std 55 Roman" w:eastAsia="Calibri" w:hAnsi="Avenir LT Std 55 Roman" w:cs="Calibri"/>
          <w:sz w:val="17"/>
          <w:szCs w:val="17"/>
        </w:rPr>
        <w:t>experiment</w:t>
      </w:r>
      <w:r w:rsidR="70AF8C4F" w:rsidRPr="78D2D651">
        <w:rPr>
          <w:rFonts w:ascii="Avenir LT Std 55 Roman" w:eastAsia="Calibri" w:hAnsi="Avenir LT Std 55 Roman" w:cs="Calibri"/>
          <w:sz w:val="17"/>
          <w:szCs w:val="17"/>
        </w:rPr>
        <w:t xml:space="preserve">, due to the added </w:t>
      </w:r>
      <w:r w:rsidR="61DA59FA" w:rsidRPr="78D2D651">
        <w:rPr>
          <w:rFonts w:ascii="Avenir LT Std 55 Roman" w:eastAsia="Calibri" w:hAnsi="Avenir LT Std 55 Roman" w:cs="Calibri"/>
          <w:sz w:val="17"/>
          <w:szCs w:val="17"/>
        </w:rPr>
        <w:t>impedance</w:t>
      </w:r>
      <w:r w:rsidR="70AF8C4F" w:rsidRPr="78D2D651">
        <w:rPr>
          <w:rFonts w:ascii="Avenir LT Std 55 Roman" w:eastAsia="Calibri" w:hAnsi="Avenir LT Std 55 Roman" w:cs="Calibri"/>
          <w:sz w:val="17"/>
          <w:szCs w:val="17"/>
        </w:rPr>
        <w:t xml:space="preserve"> of the frit, the challenge of inserting such a design into the battery cell, </w:t>
      </w:r>
      <w:r w:rsidR="61DA59FA" w:rsidRPr="78D2D651">
        <w:rPr>
          <w:rFonts w:ascii="Avenir LT Std 55 Roman" w:eastAsia="Calibri" w:hAnsi="Avenir LT Std 55 Roman" w:cs="Calibri"/>
          <w:sz w:val="17"/>
          <w:szCs w:val="17"/>
        </w:rPr>
        <w:t xml:space="preserve">and </w:t>
      </w:r>
      <w:r w:rsidR="5EA8075D" w:rsidRPr="78D2D651">
        <w:rPr>
          <w:rFonts w:ascii="Avenir LT Std 55 Roman" w:eastAsia="Calibri" w:hAnsi="Avenir LT Std 55 Roman" w:cs="Calibri"/>
          <w:sz w:val="17"/>
          <w:szCs w:val="17"/>
        </w:rPr>
        <w:t>the</w:t>
      </w:r>
      <w:r w:rsidR="70AF8C4F" w:rsidRPr="78D2D651">
        <w:rPr>
          <w:rFonts w:ascii="Avenir LT Std 55 Roman" w:eastAsia="Calibri" w:hAnsi="Avenir LT Std 55 Roman" w:cs="Calibri"/>
          <w:sz w:val="17"/>
          <w:szCs w:val="17"/>
        </w:rPr>
        <w:t xml:space="preserve"> problematic diffusion of </w:t>
      </w:r>
      <w:r w:rsidR="5EA8075D" w:rsidRPr="78D2D651">
        <w:rPr>
          <w:rFonts w:ascii="Avenir LT Std 55 Roman" w:eastAsia="Calibri" w:hAnsi="Avenir LT Std 55 Roman" w:cs="Calibri"/>
          <w:sz w:val="17"/>
          <w:szCs w:val="17"/>
        </w:rPr>
        <w:t>Ag</w:t>
      </w:r>
      <w:r w:rsidR="5EA8075D" w:rsidRPr="78D2D651">
        <w:rPr>
          <w:rFonts w:ascii="Avenir LT Std 55 Roman" w:eastAsia="Calibri" w:hAnsi="Avenir LT Std 55 Roman" w:cs="Calibri"/>
          <w:sz w:val="17"/>
          <w:szCs w:val="17"/>
          <w:vertAlign w:val="superscript"/>
        </w:rPr>
        <w:t>+</w:t>
      </w:r>
      <w:r w:rsidR="5EA8075D" w:rsidRPr="78D2D651">
        <w:rPr>
          <w:rFonts w:ascii="Avenir LT Std 55 Roman" w:eastAsia="Calibri" w:hAnsi="Avenir LT Std 55 Roman" w:cs="Calibri"/>
          <w:sz w:val="17"/>
          <w:szCs w:val="17"/>
        </w:rPr>
        <w:t xml:space="preserve"> and NO</w:t>
      </w:r>
      <w:r w:rsidR="5EA8075D" w:rsidRPr="78D2D651">
        <w:rPr>
          <w:rFonts w:ascii="Avenir LT Std 55 Roman" w:eastAsia="Calibri" w:hAnsi="Avenir LT Std 55 Roman" w:cs="Calibri"/>
          <w:sz w:val="17"/>
          <w:szCs w:val="17"/>
          <w:vertAlign w:val="subscript"/>
        </w:rPr>
        <w:t>3</w:t>
      </w:r>
      <w:r w:rsidR="03C3D9E3" w:rsidRPr="78D2D651">
        <w:rPr>
          <w:rFonts w:ascii="Calibri" w:eastAsia="Calibri" w:hAnsi="Calibri" w:cs="Calibri"/>
          <w:sz w:val="17"/>
          <w:szCs w:val="17"/>
          <w:vertAlign w:val="superscript"/>
        </w:rPr>
        <w:t>−</w:t>
      </w:r>
      <w:r w:rsidR="5EA8075D" w:rsidRPr="78D2D651">
        <w:rPr>
          <w:rFonts w:ascii="Avenir LT Std 55 Roman" w:eastAsia="Calibri" w:hAnsi="Avenir LT Std 55 Roman" w:cs="Calibri"/>
          <w:sz w:val="17"/>
          <w:szCs w:val="17"/>
        </w:rPr>
        <w:t xml:space="preserve"> </w:t>
      </w:r>
      <w:r w:rsidR="70AF8C4F" w:rsidRPr="78D2D651">
        <w:rPr>
          <w:rFonts w:ascii="Avenir LT Std 55 Roman" w:eastAsia="Calibri" w:hAnsi="Avenir LT Std 55 Roman" w:cs="Calibri"/>
          <w:sz w:val="17"/>
          <w:szCs w:val="17"/>
        </w:rPr>
        <w:t>ions through the frit into the test solution</w:t>
      </w:r>
      <w:r w:rsidR="5EA8075D" w:rsidRPr="78D2D651">
        <w:rPr>
          <w:rFonts w:ascii="Avenir LT Std 55 Roman" w:eastAsia="Calibri" w:hAnsi="Avenir LT Std 55 Roman" w:cs="Calibri"/>
          <w:sz w:val="17"/>
          <w:szCs w:val="17"/>
        </w:rPr>
        <w:t xml:space="preserve"> and their corresponding</w:t>
      </w:r>
      <w:r w:rsidR="61DA59FA" w:rsidRPr="78D2D651">
        <w:rPr>
          <w:rFonts w:ascii="Avenir LT Std 55 Roman" w:eastAsia="Calibri" w:hAnsi="Avenir LT Std 55 Roman" w:cs="Calibri"/>
          <w:sz w:val="17"/>
          <w:szCs w:val="17"/>
        </w:rPr>
        <w:t xml:space="preserve"> electro and</w:t>
      </w:r>
      <w:r w:rsidR="5EA8075D" w:rsidRPr="78D2D651">
        <w:rPr>
          <w:rFonts w:ascii="Avenir LT Std 55 Roman" w:eastAsia="Calibri" w:hAnsi="Avenir LT Std 55 Roman" w:cs="Calibri"/>
          <w:sz w:val="17"/>
          <w:szCs w:val="17"/>
        </w:rPr>
        <w:t xml:space="preserve"> photoactivity</w:t>
      </w:r>
      <w:r w:rsidR="48007568" w:rsidRPr="78D2D651">
        <w:rPr>
          <w:rFonts w:ascii="Avenir LT Std 55 Roman" w:eastAsia="Calibri" w:hAnsi="Avenir LT Std 55 Roman" w:cs="Calibri"/>
          <w:sz w:val="17"/>
          <w:szCs w:val="17"/>
        </w:rPr>
        <w:t>.</w:t>
      </w:r>
      <w:r w:rsidR="5EA8075D" w:rsidRPr="78D2D651">
        <w:rPr>
          <w:rFonts w:ascii="Avenir LT Std 55 Roman" w:eastAsia="Calibri" w:hAnsi="Avenir LT Std 55 Roman" w:cs="Calibri"/>
          <w:sz w:val="17"/>
          <w:szCs w:val="17"/>
        </w:rPr>
        <w:t xml:space="preserve"> This frequently forces researchers to employ a silver wire quasi-reference electrode (QRE), typically immersed directly in the electrolyte under investigation. The exact composition of QREs, however, is unknown and can vary significantly between electrodes. Consequently, potential drifting</w:t>
      </w:r>
      <w:r w:rsidR="61DA59FA" w:rsidRPr="78D2D651">
        <w:rPr>
          <w:rFonts w:ascii="Avenir LT Std 55 Roman" w:eastAsia="Calibri" w:hAnsi="Avenir LT Std 55 Roman" w:cs="Calibri"/>
          <w:sz w:val="17"/>
          <w:szCs w:val="17"/>
        </w:rPr>
        <w:t xml:space="preserve"> between scans and</w:t>
      </w:r>
      <w:r w:rsidR="5EA8075D" w:rsidRPr="78D2D651">
        <w:rPr>
          <w:rFonts w:ascii="Avenir LT Std 55 Roman" w:eastAsia="Calibri" w:hAnsi="Avenir LT Std 55 Roman" w:cs="Calibri"/>
          <w:sz w:val="17"/>
          <w:szCs w:val="17"/>
        </w:rPr>
        <w:t xml:space="preserve"> with time is all but expected due to differing surface layers (</w:t>
      </w:r>
      <w:r w:rsidR="5EA8075D" w:rsidRPr="000145A2">
        <w:rPr>
          <w:rFonts w:ascii="Avenir LT Std 55 Roman" w:eastAsia="Calibri" w:hAnsi="Avenir LT Std 55 Roman" w:cs="Calibri"/>
          <w:i/>
          <w:sz w:val="17"/>
          <w:szCs w:val="17"/>
        </w:rPr>
        <w:t>e.g.</w:t>
      </w:r>
      <w:r w:rsidR="000145A2" w:rsidRPr="000145A2">
        <w:rPr>
          <w:rFonts w:ascii="Avenir LT Std 55 Roman" w:eastAsia="Calibri" w:hAnsi="Avenir LT Std 55 Roman" w:cs="Calibri"/>
          <w:i/>
          <w:sz w:val="17"/>
          <w:szCs w:val="17"/>
        </w:rPr>
        <w:t>,</w:t>
      </w:r>
      <w:r w:rsidR="5EA8075D" w:rsidRPr="00660F55">
        <w:rPr>
          <w:rFonts w:ascii="Avenir LT Std 55 Roman" w:eastAsia="Calibri" w:hAnsi="Avenir LT Std 55 Roman" w:cs="Calibri"/>
          <w:iCs/>
          <w:sz w:val="17"/>
          <w:szCs w:val="17"/>
        </w:rPr>
        <w:t xml:space="preserve"> </w:t>
      </w:r>
      <w:r w:rsidR="5EA8075D" w:rsidRPr="78D2D651">
        <w:rPr>
          <w:rFonts w:ascii="Avenir LT Std 55 Roman" w:eastAsia="Calibri" w:hAnsi="Avenir LT Std 55 Roman" w:cs="Calibri"/>
          <w:sz w:val="17"/>
          <w:szCs w:val="17"/>
        </w:rPr>
        <w:t>Ag</w:t>
      </w:r>
      <w:r w:rsidR="5EA8075D" w:rsidRPr="78D2D651">
        <w:rPr>
          <w:rFonts w:ascii="Avenir LT Std 55 Roman" w:eastAsia="Calibri" w:hAnsi="Avenir LT Std 55 Roman" w:cs="Calibri"/>
          <w:sz w:val="17"/>
          <w:szCs w:val="17"/>
          <w:vertAlign w:val="subscript"/>
        </w:rPr>
        <w:t>2</w:t>
      </w:r>
      <w:r w:rsidR="5EA8075D" w:rsidRPr="78D2D651">
        <w:rPr>
          <w:rFonts w:ascii="Avenir LT Std 55 Roman" w:eastAsia="Calibri" w:hAnsi="Avenir LT Std 55 Roman" w:cs="Calibri"/>
          <w:sz w:val="17"/>
          <w:szCs w:val="17"/>
        </w:rPr>
        <w:t xml:space="preserve">O) and electrolyte composition.  </w:t>
      </w:r>
      <w:r w:rsidR="61DA59FA" w:rsidRPr="78D2D651">
        <w:rPr>
          <w:rFonts w:ascii="Avenir LT Std 55 Roman" w:eastAsia="Calibri" w:hAnsi="Avenir LT Std 55 Roman" w:cs="Calibri"/>
          <w:sz w:val="17"/>
          <w:szCs w:val="17"/>
        </w:rPr>
        <w:t>T</w:t>
      </w:r>
      <w:r w:rsidR="5EA8075D" w:rsidRPr="78D2D651">
        <w:rPr>
          <w:rFonts w:ascii="Avenir LT Std 55 Roman" w:eastAsia="Calibri" w:hAnsi="Avenir LT Std 55 Roman" w:cs="Calibri"/>
          <w:sz w:val="17"/>
          <w:szCs w:val="17"/>
        </w:rPr>
        <w:t>he QRE potential is easily influenced by trace impurities (</w:t>
      </w:r>
      <w:r w:rsidR="5EA8075D" w:rsidRPr="00092BAE">
        <w:rPr>
          <w:rFonts w:ascii="Avenir LT Std 55 Roman" w:eastAsia="Calibri" w:hAnsi="Avenir LT Std 55 Roman" w:cs="Calibri"/>
          <w:i/>
          <w:sz w:val="17"/>
          <w:szCs w:val="17"/>
        </w:rPr>
        <w:t>e.g.</w:t>
      </w:r>
      <w:r w:rsidR="00092BAE">
        <w:rPr>
          <w:rFonts w:ascii="Avenir LT Std 55 Roman" w:eastAsia="Calibri" w:hAnsi="Avenir LT Std 55 Roman" w:cs="Calibri"/>
          <w:i/>
          <w:sz w:val="17"/>
          <w:szCs w:val="17"/>
        </w:rPr>
        <w:t>,</w:t>
      </w:r>
      <w:r w:rsidR="5EA8075D" w:rsidRPr="00ED2E4D">
        <w:rPr>
          <w:rFonts w:ascii="Avenir LT Std 55 Roman" w:eastAsia="Calibri" w:hAnsi="Avenir LT Std 55 Roman" w:cs="Calibri"/>
          <w:iCs/>
          <w:sz w:val="17"/>
          <w:szCs w:val="17"/>
        </w:rPr>
        <w:t xml:space="preserve"> </w:t>
      </w:r>
      <w:r w:rsidR="5EA8075D" w:rsidRPr="78D2D651">
        <w:rPr>
          <w:rFonts w:ascii="Avenir LT Std 55 Roman" w:eastAsia="Calibri" w:hAnsi="Avenir LT Std 55 Roman" w:cs="Calibri"/>
          <w:sz w:val="17"/>
          <w:szCs w:val="17"/>
        </w:rPr>
        <w:t>water</w:t>
      </w:r>
      <w:r w:rsidR="61DA59FA" w:rsidRPr="78D2D651">
        <w:rPr>
          <w:rFonts w:ascii="Avenir LT Std 55 Roman" w:eastAsia="Calibri" w:hAnsi="Avenir LT Std 55 Roman" w:cs="Calibri"/>
          <w:sz w:val="17"/>
          <w:szCs w:val="17"/>
        </w:rPr>
        <w:t xml:space="preserve"> and oxygen</w:t>
      </w:r>
      <w:r w:rsidR="5EA8075D" w:rsidRPr="78D2D651">
        <w:rPr>
          <w:rFonts w:ascii="Avenir LT Std 55 Roman" w:eastAsia="Calibri" w:hAnsi="Avenir LT Std 55 Roman" w:cs="Calibri"/>
          <w:sz w:val="17"/>
          <w:szCs w:val="17"/>
        </w:rPr>
        <w:t>).</w:t>
      </w:r>
      <w:r w:rsidR="2E964A16" w:rsidRPr="78D2D651">
        <w:rPr>
          <w:rFonts w:ascii="Avenir LT Std 55 Roman" w:eastAsia="Calibri" w:hAnsi="Avenir LT Std 55 Roman" w:cs="Calibri"/>
          <w:sz w:val="17"/>
          <w:szCs w:val="17"/>
        </w:rPr>
        <w:fldChar w:fldCharType="begin" w:fldLock="1"/>
      </w:r>
      <w:r w:rsidR="2E964A16" w:rsidRPr="78D2D651">
        <w:rPr>
          <w:rFonts w:ascii="Avenir LT Std 55 Roman" w:eastAsia="Calibri" w:hAnsi="Avenir LT Std 55 Roman" w:cs="Calibri"/>
          <w:sz w:val="17"/>
          <w:szCs w:val="17"/>
        </w:rPr>
        <w:instrText>ADDIN CSL_CITATION {"citationItems":[{"id":"ITEM-1","itemData":{"ISBN":"3-527-60065-5","abstract":"This chapter contains sections titled: * Basic Experimental Techniques in Non-Aqueous Solutions Experimental Apparatus for Non-Aqueous SystemsSolvents and Supporting Electrolytes * Polarography and Voltammetry of Inorganic Species Polarographic Reductions of Metal IonsPolarography and Voltammetry of Metal ComplexesPolarography and Voltammetry of AnionsElectrode Reactions of Dissolved Oxygen, Dissolved Hydrogen, Carbon Dioxide, and Solvated Electrons * Polarography and Voltammetry of Organic Compounds Reduction of Organic CompoundsOxidation of Organic Compounds * Cyclic Voltammetry for Electrochemical Studies in Non-Aqueous Solutions Digital Simulation in Cyclic VoltammetryUltramicroelectrodes in Cyclic VoltammetryLow Temperature Electrochemistry and Cyclic Voltammetry","author":[{"dropping-particle":"","family":"Izutsu","given":"Kosuke","non-dropping-particle":"","parse-names":false,"suffix":""}],"container-title":"Electrochemistry in Nonaqueous Solutions","id":"ITEM-1","issued":{"date-parts":[["2002"]]},"title":"Polarography and Voltammetry in Nonaqueous Solutions","type":"book","volume":"5"},"uris":["http://www.mendeley.com/documents/?uuid=8f6ed7b4-a59b-48c8-88de-2f3123fa58a0"]}],"mendeley":{"formattedCitation":"&lt;sup&gt;1&lt;/sup&gt;","plainTextFormattedCitation":"1","previouslyFormattedCitation":"&lt;sup&gt;1&lt;/sup&gt;"},"properties":{"noteIndex":0},"schema":"https://github.com/citation-style-language/schema/raw/master/csl-citation.json"}</w:instrText>
      </w:r>
      <w:r w:rsidR="2E964A16" w:rsidRPr="78D2D651">
        <w:rPr>
          <w:rFonts w:ascii="Avenir LT Std 55 Roman" w:eastAsia="Calibri" w:hAnsi="Avenir LT Std 55 Roman" w:cs="Calibri"/>
          <w:sz w:val="17"/>
          <w:szCs w:val="17"/>
        </w:rPr>
        <w:fldChar w:fldCharType="separate"/>
      </w:r>
      <w:r w:rsidR="5EA8075D" w:rsidRPr="78D2D651">
        <w:rPr>
          <w:rFonts w:ascii="Avenir LT Std 55 Roman" w:eastAsia="Calibri" w:hAnsi="Avenir LT Std 55 Roman" w:cs="Calibri"/>
          <w:noProof/>
          <w:sz w:val="17"/>
          <w:szCs w:val="17"/>
          <w:vertAlign w:val="superscript"/>
        </w:rPr>
        <w:t>1</w:t>
      </w:r>
      <w:r w:rsidR="2E964A16" w:rsidRPr="78D2D651">
        <w:rPr>
          <w:rFonts w:ascii="Avenir LT Std 55 Roman" w:eastAsia="Calibri" w:hAnsi="Avenir LT Std 55 Roman" w:cs="Calibri"/>
          <w:sz w:val="17"/>
          <w:szCs w:val="17"/>
        </w:rPr>
        <w:fldChar w:fldCharType="end"/>
      </w:r>
      <w:r w:rsidR="5EA8075D" w:rsidRPr="78D2D651">
        <w:rPr>
          <w:rFonts w:ascii="Avenir LT Std 55 Roman" w:eastAsia="Calibri" w:hAnsi="Avenir LT Std 55 Roman" w:cs="Calibri"/>
          <w:sz w:val="17"/>
          <w:szCs w:val="17"/>
        </w:rPr>
        <w:t xml:space="preserve"> Isolation of the QRE in a self-contained fritted capillary filled with the test solution can improve short term stability. However, long term stability is still limited (</w:t>
      </w:r>
      <w:r w:rsidR="5EA8075D" w:rsidRPr="00D1102E">
        <w:rPr>
          <w:rFonts w:ascii="Avenir LT Std 55 Roman" w:eastAsia="Calibri" w:hAnsi="Avenir LT Std 55 Roman" w:cs="Calibri"/>
          <w:i/>
          <w:sz w:val="17"/>
          <w:szCs w:val="17"/>
        </w:rPr>
        <w:t>ca</w:t>
      </w:r>
      <w:r w:rsidR="5EA8075D" w:rsidRPr="00ED2E4D">
        <w:rPr>
          <w:rFonts w:ascii="Avenir LT Std 55 Roman" w:eastAsia="Calibri" w:hAnsi="Avenir LT Std 55 Roman" w:cs="Calibri"/>
          <w:iCs/>
          <w:sz w:val="17"/>
          <w:szCs w:val="17"/>
        </w:rPr>
        <w:t xml:space="preserve">. </w:t>
      </w:r>
      <w:r w:rsidR="5EA8075D" w:rsidRPr="78D2D651">
        <w:rPr>
          <w:rFonts w:ascii="Avenir LT Std 55 Roman" w:eastAsia="Calibri" w:hAnsi="Avenir LT Std 55 Roman" w:cs="Calibri"/>
          <w:sz w:val="17"/>
          <w:szCs w:val="17"/>
        </w:rPr>
        <w:t>24 mV shift over 12</w:t>
      </w:r>
      <w:r w:rsidR="61DA59FA" w:rsidRPr="78D2D651">
        <w:rPr>
          <w:rFonts w:ascii="Avenir LT Std 55 Roman" w:eastAsia="Calibri" w:hAnsi="Avenir LT Std 55 Roman" w:cs="Calibri"/>
          <w:sz w:val="17"/>
          <w:szCs w:val="17"/>
        </w:rPr>
        <w:t xml:space="preserve"> </w:t>
      </w:r>
      <w:r w:rsidR="5EA8075D" w:rsidRPr="78D2D651">
        <w:rPr>
          <w:rFonts w:ascii="Avenir LT Std 55 Roman" w:eastAsia="Calibri" w:hAnsi="Avenir LT Std 55 Roman" w:cs="Calibri"/>
          <w:sz w:val="17"/>
          <w:szCs w:val="17"/>
        </w:rPr>
        <w:t>h in 0.1 M TBAPF</w:t>
      </w:r>
      <w:r w:rsidR="5EA8075D" w:rsidRPr="78D2D651">
        <w:rPr>
          <w:rFonts w:ascii="Avenir LT Std 55 Roman" w:eastAsia="Calibri" w:hAnsi="Avenir LT Std 55 Roman" w:cs="Calibri"/>
          <w:sz w:val="17"/>
          <w:szCs w:val="17"/>
          <w:vertAlign w:val="subscript"/>
        </w:rPr>
        <w:t>6</w:t>
      </w:r>
      <w:r w:rsidR="5EA8075D" w:rsidRPr="78D2D651">
        <w:rPr>
          <w:rFonts w:ascii="Avenir LT Std 55 Roman" w:eastAsia="Calibri" w:hAnsi="Avenir LT Std 55 Roman" w:cs="Calibri"/>
          <w:sz w:val="17"/>
          <w:szCs w:val="17"/>
        </w:rPr>
        <w:t>/</w:t>
      </w:r>
      <w:proofErr w:type="spellStart"/>
      <w:r w:rsidR="5EA8075D" w:rsidRPr="78D2D651">
        <w:rPr>
          <w:rFonts w:ascii="Avenir LT Std 55 Roman" w:eastAsia="Calibri" w:hAnsi="Avenir LT Std 55 Roman" w:cs="Calibri"/>
          <w:sz w:val="17"/>
          <w:szCs w:val="17"/>
        </w:rPr>
        <w:t>MeCN</w:t>
      </w:r>
      <w:proofErr w:type="spellEnd"/>
      <w:r w:rsidR="00B9209A">
        <w:rPr>
          <w:rFonts w:ascii="Avenir LT Std 55 Roman" w:eastAsia="Calibri" w:hAnsi="Avenir LT Std 55 Roman" w:cs="Calibri"/>
          <w:sz w:val="17"/>
          <w:szCs w:val="17"/>
        </w:rPr>
        <w:t>.</w:t>
      </w:r>
    </w:p>
    <w:p w14:paraId="6D2F4E35" w14:textId="5AA1F97D" w:rsidR="00A07BE6" w:rsidRPr="00316CB0" w:rsidRDefault="00A07BE6" w:rsidP="00316CB0">
      <w:pPr>
        <w:spacing w:line="276" w:lineRule="auto"/>
        <w:jc w:val="both"/>
        <w:rPr>
          <w:rFonts w:ascii="Avenir LT Std 55 Roman" w:eastAsia="Calibri" w:hAnsi="Avenir LT Std 55 Roman" w:cs="Calibri"/>
          <w:sz w:val="17"/>
          <w:szCs w:val="17"/>
        </w:rPr>
      </w:pPr>
    </w:p>
    <w:p w14:paraId="419EE3AF" w14:textId="4F616AC4" w:rsidR="00EF18B6" w:rsidRPr="00316CB0" w:rsidRDefault="00EF18B6" w:rsidP="00316CB0">
      <w:pPr>
        <w:spacing w:line="276" w:lineRule="auto"/>
        <w:jc w:val="both"/>
        <w:rPr>
          <w:rFonts w:ascii="Avenir LT Std 55 Roman" w:eastAsia="Calibri" w:hAnsi="Avenir LT Std 55 Roman" w:cs="Calibri"/>
          <w:sz w:val="17"/>
          <w:szCs w:val="17"/>
        </w:rPr>
      </w:pPr>
    </w:p>
    <w:p w14:paraId="07918133" w14:textId="154AA759" w:rsidR="001D406D" w:rsidRPr="00316CB0" w:rsidRDefault="00316CB0" w:rsidP="00316CB0">
      <w:pPr>
        <w:spacing w:after="60" w:line="276" w:lineRule="auto"/>
        <w:rPr>
          <w:rFonts w:ascii="Avenir LT Std 55 Roman" w:hAnsi="Avenir LT Std 55 Roman"/>
          <w:b/>
          <w:color w:val="AB4C4C"/>
          <w:sz w:val="17"/>
          <w:szCs w:val="17"/>
        </w:rPr>
      </w:pPr>
      <w:r w:rsidRPr="00316CB0">
        <w:rPr>
          <w:rFonts w:ascii="Avenir LT Std 55 Roman" w:hAnsi="Avenir LT Std 55 Roman"/>
          <w:b/>
          <w:color w:val="AB4C4C"/>
          <w:sz w:val="17"/>
          <w:szCs w:val="17"/>
        </w:rPr>
        <w:t>Internal Standards</w:t>
      </w:r>
    </w:p>
    <w:p w14:paraId="20DA954F" w14:textId="5E8B01AB" w:rsidR="00BC4A71" w:rsidRPr="00316CB0" w:rsidRDefault="00BC4A71" w:rsidP="00316CB0">
      <w:pPr>
        <w:spacing w:line="276" w:lineRule="auto"/>
        <w:jc w:val="both"/>
        <w:rPr>
          <w:rFonts w:ascii="Avenir LT Std 55 Roman" w:eastAsia="Calibri" w:hAnsi="Avenir LT Std 55 Roman" w:cs="Calibri"/>
          <w:sz w:val="17"/>
          <w:szCs w:val="17"/>
        </w:rPr>
      </w:pPr>
      <w:r w:rsidRPr="00316CB0">
        <w:rPr>
          <w:rFonts w:ascii="Avenir LT Std 55 Roman" w:eastAsia="Calibri" w:hAnsi="Avenir LT Std 55 Roman" w:cs="Calibri"/>
          <w:sz w:val="17"/>
          <w:szCs w:val="17"/>
        </w:rPr>
        <w:t>As silver reference potentials can vary significantly</w:t>
      </w:r>
      <w:r w:rsidR="005F675C">
        <w:rPr>
          <w:rFonts w:ascii="Avenir LT Std 55 Roman" w:eastAsia="Calibri" w:hAnsi="Avenir LT Std 55 Roman" w:cs="Calibri"/>
          <w:sz w:val="17"/>
          <w:szCs w:val="17"/>
        </w:rPr>
        <w:t>,</w:t>
      </w:r>
      <w:r w:rsidRPr="00316CB0">
        <w:rPr>
          <w:rFonts w:ascii="Avenir LT Std 55 Roman" w:eastAsia="Calibri" w:hAnsi="Avenir LT Std 55 Roman" w:cs="Calibri"/>
          <w:sz w:val="17"/>
          <w:szCs w:val="17"/>
        </w:rPr>
        <w:t xml:space="preserve"> directly reporting potentials </w:t>
      </w:r>
      <w:r w:rsidR="00BC4D95" w:rsidRPr="00FF45A5">
        <w:rPr>
          <w:rFonts w:ascii="Avenir LT Std 55 Roman" w:eastAsia="Calibri" w:hAnsi="Avenir LT Std 55 Roman" w:cs="Calibri"/>
          <w:i/>
          <w:iCs/>
          <w:sz w:val="17"/>
          <w:szCs w:val="17"/>
        </w:rPr>
        <w:t>vs</w:t>
      </w:r>
      <w:r w:rsidRPr="00316CB0">
        <w:rPr>
          <w:rFonts w:ascii="Avenir LT Std 55 Roman" w:eastAsia="Calibri" w:hAnsi="Avenir LT Std 55 Roman" w:cs="Calibri"/>
          <w:sz w:val="17"/>
          <w:szCs w:val="17"/>
        </w:rPr>
        <w:t xml:space="preserve"> the Ag/Ag</w:t>
      </w:r>
      <w:r w:rsidRPr="00316CB0">
        <w:rPr>
          <w:rFonts w:ascii="Avenir LT Std 55 Roman" w:eastAsia="Calibri" w:hAnsi="Avenir LT Std 55 Roman" w:cs="Calibri"/>
          <w:sz w:val="17"/>
          <w:szCs w:val="17"/>
          <w:vertAlign w:val="superscript"/>
        </w:rPr>
        <w:t>+</w:t>
      </w:r>
      <w:r w:rsidRPr="00316CB0">
        <w:rPr>
          <w:rFonts w:ascii="Avenir LT Std 55 Roman" w:eastAsia="Calibri" w:hAnsi="Avenir LT Std 55 Roman" w:cs="Calibri"/>
          <w:sz w:val="17"/>
          <w:szCs w:val="17"/>
        </w:rPr>
        <w:t xml:space="preserve"> pair is unwise; instead, a more robust standard should be reported against</w:t>
      </w:r>
      <w:r w:rsidR="00FF45A5">
        <w:rPr>
          <w:rFonts w:ascii="Avenir LT Std 55 Roman" w:eastAsia="Calibri" w:hAnsi="Avenir LT Std 55 Roman" w:cs="Calibri"/>
          <w:sz w:val="17"/>
          <w:szCs w:val="17"/>
        </w:rPr>
        <w:t xml:space="preserve"> such as</w:t>
      </w:r>
      <w:r w:rsidRPr="00316CB0">
        <w:rPr>
          <w:rFonts w:ascii="Avenir LT Std 55 Roman" w:eastAsia="Calibri" w:hAnsi="Avenir LT Std 55 Roman" w:cs="Calibri"/>
          <w:sz w:val="17"/>
          <w:szCs w:val="17"/>
        </w:rPr>
        <w:t xml:space="preserve"> an internal redox reference system (IRRS). In essence, an IRRS is an electrolyte independent redox system that provides a known reference point from which to calibrate measured potentials. To encourage standardization, IUPAC recommended the adoption of the ferrocene/ferrocenium </w:t>
      </w:r>
      <w:r w:rsidRPr="00316CB0">
        <w:rPr>
          <w:rFonts w:ascii="Avenir LT Std 55 Roman" w:eastAsia="Calibri" w:hAnsi="Avenir LT Std 55 Roman" w:cs="Calibri"/>
          <w:sz w:val="17"/>
          <w:szCs w:val="17"/>
        </w:rPr>
        <w:lastRenderedPageBreak/>
        <w:t>(Fc/Fc</w:t>
      </w:r>
      <w:r w:rsidRPr="00316CB0">
        <w:rPr>
          <w:rFonts w:ascii="Avenir LT Std 55 Roman" w:eastAsia="Calibri" w:hAnsi="Avenir LT Std 55 Roman" w:cs="Calibri"/>
          <w:sz w:val="17"/>
          <w:szCs w:val="17"/>
          <w:vertAlign w:val="superscript"/>
        </w:rPr>
        <w:t>+</w:t>
      </w:r>
      <w:r w:rsidRPr="00316CB0">
        <w:rPr>
          <w:rFonts w:ascii="Avenir LT Std 55 Roman" w:eastAsia="Calibri" w:hAnsi="Avenir LT Std 55 Roman" w:cs="Calibri"/>
          <w:sz w:val="17"/>
          <w:szCs w:val="17"/>
        </w:rPr>
        <w:t>) and bis (biphenyl)chromium(I)/(0) redox couples.</w:t>
      </w:r>
      <w:r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10.1016/0013-4686(80)87041-1","ISSN":"00134686","author":[{"dropping-particle":"","family":"Gritnzer","given":"G","non-dropping-particle":"","parse-names":false,"suffix":""},{"dropping-particle":"","family":"Kuta","given":"J","non-dropping-particle":"","parse-names":false,"suffix":""}],"container-title":"Electrochimica Acta","id":"ITEM-1","issue":"6","issued":{"date-parts":[["1984"]]},"page":"896-873","title":"IUPAC Commission on electrochemistry","type":"article-journal","volume":"29"},"uris":["http://www.mendeley.com/documents/?uuid=0ed24573-be0f-45f0-8d3a-dc6c18feabaf"]}],"mendeley":{"formattedCitation":"&lt;sup&gt;7&lt;/sup&gt;","plainTextFormattedCitation":"7","previouslyFormattedCitation":"&lt;sup&gt;7&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7</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Most commonly, Fc is the IRRS of choice throughout NA literature. This creates further pitfalls however, as care should be taken when converting measured potentials between different reference scales since variations in concentration, salt and solvent can significantly alter the reference potential, as detailed in a critical study by </w:t>
      </w:r>
      <w:proofErr w:type="spellStart"/>
      <w:r w:rsidRPr="00316CB0">
        <w:rPr>
          <w:rFonts w:ascii="Avenir LT Std 55 Roman" w:eastAsia="Calibri" w:hAnsi="Avenir LT Std 55 Roman" w:cs="Calibri"/>
          <w:sz w:val="17"/>
          <w:szCs w:val="17"/>
        </w:rPr>
        <w:t>Pavlishchuk</w:t>
      </w:r>
      <w:proofErr w:type="spellEnd"/>
      <w:r w:rsidRPr="00316CB0">
        <w:rPr>
          <w:rFonts w:ascii="Avenir LT Std 55 Roman" w:eastAsia="Calibri" w:hAnsi="Avenir LT Std 55 Roman" w:cs="Calibri"/>
          <w:sz w:val="17"/>
          <w:szCs w:val="17"/>
        </w:rPr>
        <w:t xml:space="preserve"> and Addison (essential reading for anyone embarking on NA electrochemistry).</w:t>
      </w:r>
      <w:r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10.1002/anie.201606472","ISSN":"15213773","author":[{"dropping-particle":"","family":"Pavlinshchuk","given":"Vitaly","non-dropping-particle":"","parse-names":false,"suffix":""},{"dropping-particle":"","family":"Addison","given":"Anthony","non-dropping-particle":"","parse-names":false,"suffix":""}],"container-title":"Inorganica Chimica Acta","id":"ITEM-1","issued":{"date-parts":[["1999"]]},"page":"97-102","title":"Conversion constants for redox potentials measured versus different reference electrodes in acetonitrile solutions at 25°C","type":"article-journal","volume":"298"},"uris":["http://www.mendeley.com/documents/?uuid=1482295d-469b-4e1d-a033-95acecffc4f6"]}],"mendeley":{"formattedCitation":"&lt;sup&gt;2&lt;/sup&gt;","plainTextFormattedCitation":"2","previouslyFormattedCitation":"&lt;sup&gt;2&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2</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w:t>
      </w:r>
    </w:p>
    <w:p w14:paraId="74164615" w14:textId="2125F3D9" w:rsidR="00165A9B" w:rsidRPr="00316CB0" w:rsidRDefault="00165A9B" w:rsidP="00443CDD">
      <w:pPr>
        <w:spacing w:line="276" w:lineRule="auto"/>
        <w:ind w:firstLine="426"/>
        <w:jc w:val="both"/>
        <w:rPr>
          <w:rFonts w:ascii="Avenir LT Std 55 Roman" w:eastAsia="Calibri" w:hAnsi="Avenir LT Std 55 Roman" w:cs="Calibri"/>
          <w:sz w:val="17"/>
          <w:szCs w:val="17"/>
        </w:rPr>
      </w:pPr>
      <w:r w:rsidRPr="00316CB0">
        <w:rPr>
          <w:rFonts w:ascii="Avenir LT Std 55 Roman" w:eastAsia="Calibri" w:hAnsi="Avenir LT Std 55 Roman" w:cs="Calibri"/>
          <w:sz w:val="17"/>
          <w:szCs w:val="17"/>
        </w:rPr>
        <w:t>Such IRRSs are typically added to the test solution at the end of the experiment, disregarding any potential drifting that may occur during a series of measurements. Thus, frequent calibration or incorporation of the standard into the solution throughout the experiment is recommended. Unfortunately, the standard may interfere with redox processes under investigation, so the choice of standard should be carefully considered.</w:t>
      </w:r>
      <w:r w:rsidR="00AE102F" w:rsidRPr="00316CB0">
        <w:rPr>
          <w:rFonts w:ascii="Avenir LT Std 55 Roman" w:eastAsia="Calibri" w:hAnsi="Avenir LT Std 55 Roman" w:cs="Calibri"/>
          <w:sz w:val="17"/>
          <w:szCs w:val="17"/>
        </w:rPr>
        <w:t xml:space="preserve"> Fc is found to irreversibly </w:t>
      </w:r>
      <w:r w:rsidR="006E7840" w:rsidRPr="00316CB0">
        <w:rPr>
          <w:rFonts w:ascii="Avenir LT Std 55 Roman" w:eastAsia="Calibri" w:hAnsi="Avenir LT Std 55 Roman" w:cs="Calibri"/>
          <w:sz w:val="17"/>
          <w:szCs w:val="17"/>
        </w:rPr>
        <w:t>oxidize</w:t>
      </w:r>
      <w:r w:rsidR="00AE102F" w:rsidRPr="00316CB0">
        <w:rPr>
          <w:rFonts w:ascii="Avenir LT Std 55 Roman" w:eastAsia="Calibri" w:hAnsi="Avenir LT Std 55 Roman" w:cs="Calibri"/>
          <w:sz w:val="17"/>
          <w:szCs w:val="17"/>
        </w:rPr>
        <w:t xml:space="preserve"> at potentials similar to those of the cathode oxidation window for lithium batteries.</w:t>
      </w:r>
      <w:r w:rsidR="00EF18B6"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{"citationItems":[{"id":"ITEM-1","itemData":{"DOI":"10.1016/j.jelechem.2020.114241","ISSN":"15726657","abstract":"The simple ferrocene/ferrocenium ion (Fc/FcBF4) redox couple was examined as a model chemistry for non-aqueous redox flow battery research. Its properties were fully characterised using voltammetry, flow-cell battery cycling, and UV–vis spectroscopy to validate flow-cell performance. Fc demonstrates facile kinetics and high stability of its oxidation states, making the Fc/FcBF4 redox couple a useful low-cost model chemistry, despite its limited 0.16 M solubility in acetonitrile. By use of ‘single redox couple cycling’, in which only the Fc/FcBF4 redox couple is battery cycled, the high capacity retention of Fc at 10 mM concentration was demonstrated; 80% capacity retention after 200 cycles (7.8 days). The mechanism for the capacity loss was investigated and diagnosed to occur via FcBF4 decomposition in the electrolyte, which proceeds irrespective of battery cycling.","author":[{"dropping-particle":"","family":"Armstrong","given":"Craig G.","non-dropping-particle":"","parse-names":false,"suffix":""},{"dropping-particle":"","family":"Hogue","given":"Ross W.","non-dropping-particle":"","parse-names":false,"suffix":""},{"dropping-particle":"","family":"Toghill","given":"Kathryn E.","non-dropping-particle":"","parse-names":false,"suffix":""}],"container-title":"Journal of Electroanalytical Chemistry","id":"ITEM-1","issued":{"date-parts":[["2020"]]},"page":"114241","publisher":"Elsevier B.V.","title":"Characterisation of the ferrocene/ferrocenium ion redox couple as a model chemistry for non-aqueous redox flow battery research","type":"article-journal","volume":"872"},"uris":["http://www.mendeley.com/documents/?uuid=c283fca7-0301-4dd4-b8d6-c1042faaf37d"]}],"mendeley":{"formattedCitation":"&lt;sup&gt;8&lt;/sup&gt;","plainTextFormattedCitation":"8","previouslyFormattedCitation":"&lt;sup&gt;8&lt;/sup&gt;"},"properties":{"noteIndex":0},"schema":"https://github.com/citation-style-language/schema/raw/master/csl-citation.json"}</w:instrText>
      </w:r>
      <w:r w:rsidR="00EF18B6"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8</w:t>
      </w:r>
      <w:r w:rsidR="00EF18B6"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A further problem to acknowledge is the apparent solvation effect on the standard (</w:t>
      </w:r>
      <w:r w:rsidR="00110C30" w:rsidRPr="00316CB0">
        <w:rPr>
          <w:rFonts w:ascii="Avenir LT Std 55 Roman" w:eastAsia="Calibri" w:hAnsi="Avenir LT Std 55 Roman" w:cs="Calibri"/>
          <w:sz w:val="17"/>
          <w:szCs w:val="17"/>
        </w:rPr>
        <w:t xml:space="preserve">Fc </w:t>
      </w:r>
      <w:r w:rsidRPr="00316CB0">
        <w:rPr>
          <w:rFonts w:ascii="Avenir LT Std 55 Roman" w:eastAsia="Calibri" w:hAnsi="Avenir LT Std 55 Roman" w:cs="Calibri"/>
          <w:sz w:val="17"/>
          <w:szCs w:val="17"/>
        </w:rPr>
        <w:t>and cobaltocene in particular), making their</w:t>
      </w:r>
      <w:r w:rsidR="00FD0C5F" w:rsidRPr="00316CB0">
        <w:rPr>
          <w:rFonts w:ascii="Avenir LT Std 55 Roman" w:eastAsia="Calibri" w:hAnsi="Avenir LT Std 55 Roman" w:cs="Calibri"/>
          <w:sz w:val="17"/>
          <w:szCs w:val="17"/>
        </w:rPr>
        <w:t xml:space="preserve"> redox</w:t>
      </w:r>
      <w:r w:rsidRPr="00316CB0">
        <w:rPr>
          <w:rFonts w:ascii="Avenir LT Std 55 Roman" w:eastAsia="Calibri" w:hAnsi="Avenir LT Std 55 Roman" w:cs="Calibri"/>
          <w:sz w:val="17"/>
          <w:szCs w:val="17"/>
        </w:rPr>
        <w:t xml:space="preserve"> potential</w:t>
      </w:r>
      <w:r w:rsidR="00FD0C5F" w:rsidRPr="00316CB0">
        <w:rPr>
          <w:rFonts w:ascii="Avenir LT Std 55 Roman" w:eastAsia="Calibri" w:hAnsi="Avenir LT Std 55 Roman" w:cs="Calibri"/>
          <w:sz w:val="17"/>
          <w:szCs w:val="17"/>
        </w:rPr>
        <w:t>s</w:t>
      </w:r>
      <w:r w:rsidRPr="00316CB0">
        <w:rPr>
          <w:rFonts w:ascii="Avenir LT Std 55 Roman" w:eastAsia="Calibri" w:hAnsi="Avenir LT Std 55 Roman" w:cs="Calibri"/>
          <w:sz w:val="17"/>
          <w:szCs w:val="17"/>
        </w:rPr>
        <w:t xml:space="preserve"> solvent dependent.</w:t>
      </w:r>
      <w:r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{"citationItems":[{"id":"ITEM-1","itemData":{"DOI":"10.1016/j.electacta.2012.01.115","ISSN":"00134686","abstract":"The study of ionic liquids in electrochemistry is currently a highly active area of research. Examples are the use of ionic liquids in the development of energy storage devices, in electrodeposition, and electroanalytical studies, both in academia and for industrial applications. However, very little information and understanding is available regarding the effect of poorly chosen reference electrodes on reported electrochemical data. In this review, the latest understanding and practical approaches to the application of reference electrodes and internal reference redox couples in ionic liquids are featured and critically discussed. Problems observed during the application of these systems are discussed based on experimental examples. Implications of non-additivity of Faradaic current in the use of internal reference scales in ionic liquids are also presented. © 2012 Elsevier Ltd.","author":[{"dropping-particle":"","family":"Torriero","given":"Angel A.J.","non-dropping-particle":"","parse-names":false,"suffix":""},{"dropping-particle":"","family":"Sunarso","given":"Jaka","non-dropping-particle":"","parse-names":false,"suffix":""},{"dropping-particle":"","family":"Howlett","given":"Patrick C.","non-dropping-particle":"","parse-names":false,"suffix":""}],"container-title":"Electrochimica Acta","id":"ITEM-1","issued":{"date-parts":[["2012"]]},"page":"60-68","publisher":"Elsevier Ltd","title":"Critical evaluation of reference systems for voltammetric measurements in ionic liquids","type":"article-journal","volume":"82"},"uris":["http://www.mendeley.com/documents/?uuid=1b4a89a6-d55c-4db2-82d9-e7815164ef24"]}],"mendeley":{"formattedCitation":"&lt;sup&gt;9&lt;/sup&gt;","plainTextFormattedCitation":"9","previouslyFormattedCitation":"&lt;sup&gt;9&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9</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Unlike the two aforementioned IRRSs, the metal </w:t>
      </w:r>
      <w:r w:rsidR="006E7840" w:rsidRPr="00316CB0">
        <w:rPr>
          <w:rFonts w:ascii="Avenir LT Std 55 Roman" w:eastAsia="Calibri" w:hAnsi="Avenir LT Std 55 Roman" w:cs="Calibri"/>
          <w:sz w:val="17"/>
          <w:szCs w:val="17"/>
        </w:rPr>
        <w:t>center</w:t>
      </w:r>
      <w:r w:rsidRPr="00316CB0">
        <w:rPr>
          <w:rFonts w:ascii="Avenir LT Std 55 Roman" w:eastAsia="Calibri" w:hAnsi="Avenir LT Std 55 Roman" w:cs="Calibri"/>
          <w:sz w:val="17"/>
          <w:szCs w:val="17"/>
        </w:rPr>
        <w:t xml:space="preserve"> in </w:t>
      </w:r>
      <w:proofErr w:type="spellStart"/>
      <w:r w:rsidRPr="00316CB0">
        <w:rPr>
          <w:rFonts w:ascii="Avenir LT Std 55 Roman" w:eastAsia="Calibri" w:hAnsi="Avenir LT Std 55 Roman" w:cs="Calibri"/>
          <w:sz w:val="17"/>
          <w:szCs w:val="17"/>
        </w:rPr>
        <w:t>decamethylferrocene</w:t>
      </w:r>
      <w:proofErr w:type="spellEnd"/>
      <w:r w:rsidRPr="00316CB0">
        <w:rPr>
          <w:rFonts w:ascii="Avenir LT Std 55 Roman" w:eastAsia="Calibri" w:hAnsi="Avenir LT Std 55 Roman" w:cs="Calibri"/>
          <w:sz w:val="17"/>
          <w:szCs w:val="17"/>
        </w:rPr>
        <w:t xml:space="preserve"> (</w:t>
      </w:r>
      <w:proofErr w:type="spellStart"/>
      <w:r w:rsidRPr="00316CB0">
        <w:rPr>
          <w:rFonts w:ascii="Avenir LT Std 55 Roman" w:eastAsia="Calibri" w:hAnsi="Avenir LT Std 55 Roman" w:cs="Calibri"/>
          <w:sz w:val="17"/>
          <w:szCs w:val="17"/>
        </w:rPr>
        <w:t>DmFc</w:t>
      </w:r>
      <w:proofErr w:type="spellEnd"/>
      <w:r w:rsidRPr="00316CB0">
        <w:rPr>
          <w:rFonts w:ascii="Avenir LT Std 55 Roman" w:eastAsia="Calibri" w:hAnsi="Avenir LT Std 55 Roman" w:cs="Calibri"/>
          <w:sz w:val="17"/>
          <w:szCs w:val="17"/>
        </w:rPr>
        <w:t>) is protected by methyl substituents, resulting in weaker solvation interactions, providing a stable reference potential and avoiding unwanted interactions with the study solution.</w:t>
      </w:r>
      <w:r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{"citationItems":[{"id":"ITEM-1","itemData":{"DOI":"10.1021/jp991381+","ISSN":"15206106","abstract":"The solvent dependence of the formal redox potentials of the ferrocenium/ferrocene (Fc+/0) and 1,2,3,4,5-pentamethylferrocenium/1,2,3,4,5-pentamethylferrocene (Me5Fc+/0) couples versus the decamethylferrocenium/ decamethylferrocene (Me10Fc+/0) couple indicates that the latter is a superior redox standard for studying solvent effects on the thermodynamics of electron transfer. The couples were studied in 29 solvents and the differences in formal redox potentials between the MenFc+/0 (n = 5, 10) and Fc+/0 couples are surprisingly solvent dependent. In the case of the Fc+/0 couple versus the MC10Fc+/0 couple, the potential difference ranges from +583 mV in 2,2,2-trifluoroethanol to +293 mV in water. The positive shifts for the Me5Fc+/0 couple versus the Me10Fc+/0 couple were about half of these values. The Me10Fc+/0 redox couple can also be used in easily oxidized solvents, such as N-methylaniline and N,N-dimethylaniline, or in conjunction with a Hg working electrode. Statistical multiparameter analysis of the differences in potential versus empirical solvent parameters indicate that the redox potential of the Fc+/0 couple is more solvent dependent than that of the Me5Fc+/0 couple. The latter, in turn, is notably more solvent dependent than that of the Me10Fc+/0 couple. These results contradict the widely used \"ferrocene assumption\" mat the redox potential of the Fc+/0 couple is not very solvent dependent. The data show that the Me10Fc+/0 couple is better suited than the Fc+/0 couple as a redox standard for studies of the thermodynamics of solvation of other redox couples. The data also enable previous measurements using the Fc+/0 couple to be corrected to values referenced against the Me10Fc+/0 couple.","author":[{"dropping-particle":"","family":"Noviandri","given":"Indra","non-dropping-particle":"","parse-names":false,"suffix":""},{"dropping-particle":"","family":"Brown","given":"Kylie N.","non-dropping-particle":"","parse-names":false,"suffix":""},{"dropping-particle":"","family":"Fleming","given":"Douglas S.","non-dropping-particle":"","parse-names":false,"suffix":""},{"dropping-particle":"","family":"Gulyas","given":"Peter T.","non-dropping-particle":"","parse-names":false,"suffix":""},{"dropping-particle":"","family":"Lay","given":"Peter A.","non-dropping-particle":"","parse-names":false,"suffix":""},{"dropping-particle":"","family":"Masters","given":"Anthony F.","non-dropping-particle":"","parse-names":false,"suffix":""},{"dropping-particle":"","family":"Phillips","given":"Leonidas","non-dropping-particle":"","parse-names":false,"suffix":""}],"container-title":"Journal of Physical Chemistry B","id":"ITEM-1","issue":"32","issued":{"date-parts":[["1999"]]},"page":"6713-6722","title":"The Decamethylferrocenium/Decamethylferrocene Redox Couple: A Superior Redox Standard to the Ferrocenium/Ferrocene Redox Couple for Studying Solvent Effects on the Thermodynamics of Electron Transfer","type":"article-journal","volume":"103"},"uris":["http://www.mendeley.com/documents/?uuid=e34b4bc5-5410-4aa4-a553-61b20d094826"]}],"mendeley":{"formattedCitation":"&lt;sup&gt;10&lt;/sup&gt;","plainTextFormattedCitation":"10","previouslyFormattedCitation":"&lt;sup&gt;10&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10</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Whil</w:t>
      </w:r>
      <w:r w:rsidR="00FD0C5F" w:rsidRPr="00316CB0">
        <w:rPr>
          <w:rFonts w:ascii="Avenir LT Std 55 Roman" w:eastAsia="Calibri" w:hAnsi="Avenir LT Std 55 Roman" w:cs="Calibri"/>
          <w:sz w:val="17"/>
          <w:szCs w:val="17"/>
        </w:rPr>
        <w:t>e</w:t>
      </w:r>
      <w:r w:rsidRPr="00316CB0">
        <w:rPr>
          <w:rFonts w:ascii="Avenir LT Std 55 Roman" w:eastAsia="Calibri" w:hAnsi="Avenir LT Std 55 Roman" w:cs="Calibri"/>
          <w:sz w:val="17"/>
          <w:szCs w:val="17"/>
        </w:rPr>
        <w:t xml:space="preserve"> this makes </w:t>
      </w:r>
      <w:proofErr w:type="spellStart"/>
      <w:r w:rsidRPr="00316CB0">
        <w:rPr>
          <w:rFonts w:ascii="Avenir LT Std 55 Roman" w:eastAsia="Calibri" w:hAnsi="Avenir LT Std 55 Roman" w:cs="Calibri"/>
          <w:sz w:val="17"/>
          <w:szCs w:val="17"/>
        </w:rPr>
        <w:t>DmFc</w:t>
      </w:r>
      <w:proofErr w:type="spellEnd"/>
      <w:r w:rsidRPr="00316CB0">
        <w:rPr>
          <w:rFonts w:ascii="Avenir LT Std 55 Roman" w:eastAsia="Calibri" w:hAnsi="Avenir LT Std 55 Roman" w:cs="Calibri"/>
          <w:sz w:val="17"/>
          <w:szCs w:val="17"/>
        </w:rPr>
        <w:t xml:space="preserve"> a preferable candidate, its practicality as a </w:t>
      </w:r>
      <w:r w:rsidR="00FD0C5F" w:rsidRPr="00316CB0">
        <w:rPr>
          <w:rFonts w:ascii="Avenir LT Std 55 Roman" w:eastAsia="Calibri" w:hAnsi="Avenir LT Std 55 Roman" w:cs="Calibri"/>
          <w:sz w:val="17"/>
          <w:szCs w:val="17"/>
        </w:rPr>
        <w:t xml:space="preserve">widely-used </w:t>
      </w:r>
      <w:r w:rsidRPr="00316CB0">
        <w:rPr>
          <w:rFonts w:ascii="Avenir LT Std 55 Roman" w:eastAsia="Calibri" w:hAnsi="Avenir LT Std 55 Roman" w:cs="Calibri"/>
          <w:sz w:val="17"/>
          <w:szCs w:val="17"/>
        </w:rPr>
        <w:t>standard i</w:t>
      </w:r>
      <w:r w:rsidR="00FD0C5F" w:rsidRPr="00316CB0">
        <w:rPr>
          <w:rFonts w:ascii="Avenir LT Std 55 Roman" w:eastAsia="Calibri" w:hAnsi="Avenir LT Std 55 Roman" w:cs="Calibri"/>
          <w:sz w:val="17"/>
          <w:szCs w:val="17"/>
        </w:rPr>
        <w:t>s</w:t>
      </w:r>
      <w:r w:rsidRPr="00316CB0">
        <w:rPr>
          <w:rFonts w:ascii="Avenir LT Std 55 Roman" w:eastAsia="Calibri" w:hAnsi="Avenir LT Std 55 Roman" w:cs="Calibri"/>
          <w:sz w:val="17"/>
          <w:szCs w:val="17"/>
        </w:rPr>
        <w:t xml:space="preserve"> limited by its high cost (£527/5</w:t>
      </w:r>
      <w:r w:rsidR="00BB4240">
        <w:rPr>
          <w:rFonts w:ascii="Avenir LT Std 55 Roman" w:eastAsia="Calibri" w:hAnsi="Avenir LT Std 55 Roman" w:cs="Calibri"/>
          <w:sz w:val="17"/>
          <w:szCs w:val="17"/>
        </w:rPr>
        <w:t xml:space="preserve"> </w:t>
      </w:r>
      <w:r w:rsidRPr="00316CB0">
        <w:rPr>
          <w:rFonts w:ascii="Avenir LT Std 55 Roman" w:eastAsia="Calibri" w:hAnsi="Avenir LT Std 55 Roman" w:cs="Calibri"/>
          <w:sz w:val="17"/>
          <w:szCs w:val="17"/>
        </w:rPr>
        <w:t>g</w:t>
      </w:r>
      <w:r w:rsidR="00C52425" w:rsidRPr="00316CB0">
        <w:rPr>
          <w:rFonts w:ascii="Avenir LT Std 55 Roman" w:eastAsia="Calibri" w:hAnsi="Avenir LT Std 55 Roman" w:cs="Calibri"/>
          <w:sz w:val="17"/>
          <w:szCs w:val="17"/>
        </w:rPr>
        <w:t xml:space="preserve"> </w:t>
      </w:r>
      <w:proofErr w:type="spellStart"/>
      <w:r w:rsidRPr="00316CB0">
        <w:rPr>
          <w:rFonts w:ascii="Avenir LT Std 55 Roman" w:eastAsia="Calibri" w:hAnsi="Avenir LT Std 55 Roman" w:cs="Calibri"/>
          <w:sz w:val="17"/>
          <w:szCs w:val="17"/>
        </w:rPr>
        <w:t>DmFc</w:t>
      </w:r>
      <w:proofErr w:type="spellEnd"/>
      <w:r w:rsidRPr="00316CB0">
        <w:rPr>
          <w:rFonts w:ascii="Avenir LT Std 55 Roman" w:eastAsia="Calibri" w:hAnsi="Avenir LT Std 55 Roman" w:cs="Calibri"/>
          <w:sz w:val="17"/>
          <w:szCs w:val="17"/>
        </w:rPr>
        <w:t xml:space="preserve"> </w:t>
      </w:r>
      <w:r w:rsidR="00BC4D95" w:rsidRPr="00BC4D95">
        <w:rPr>
          <w:rFonts w:ascii="Avenir LT Std 55 Roman" w:eastAsia="Calibri" w:hAnsi="Avenir LT Std 55 Roman" w:cs="Calibri"/>
          <w:sz w:val="17"/>
          <w:szCs w:val="17"/>
        </w:rPr>
        <w:t>vs</w:t>
      </w:r>
      <w:r w:rsidRPr="00316CB0">
        <w:rPr>
          <w:rFonts w:ascii="Avenir LT Std 55 Roman" w:eastAsia="Calibri" w:hAnsi="Avenir LT Std 55 Roman" w:cs="Calibri"/>
          <w:sz w:val="17"/>
          <w:szCs w:val="17"/>
        </w:rPr>
        <w:t xml:space="preserve"> £12.70/5</w:t>
      </w:r>
      <w:r w:rsidR="00BB4240">
        <w:rPr>
          <w:rFonts w:ascii="Avenir LT Std 55 Roman" w:eastAsia="Calibri" w:hAnsi="Avenir LT Std 55 Roman" w:cs="Calibri"/>
          <w:sz w:val="17"/>
          <w:szCs w:val="17"/>
        </w:rPr>
        <w:t xml:space="preserve"> </w:t>
      </w:r>
      <w:r w:rsidRPr="00316CB0">
        <w:rPr>
          <w:rFonts w:ascii="Avenir LT Std 55 Roman" w:eastAsia="Calibri" w:hAnsi="Avenir LT Std 55 Roman" w:cs="Calibri"/>
          <w:sz w:val="17"/>
          <w:szCs w:val="17"/>
        </w:rPr>
        <w:t>g</w:t>
      </w:r>
      <w:r w:rsidR="006350AF" w:rsidRPr="00316CB0">
        <w:rPr>
          <w:rFonts w:ascii="Avenir LT Std 55 Roman" w:eastAsia="Calibri" w:hAnsi="Avenir LT Std 55 Roman" w:cs="Calibri"/>
          <w:sz w:val="17"/>
          <w:szCs w:val="17"/>
        </w:rPr>
        <w:t xml:space="preserve"> </w:t>
      </w:r>
      <w:r w:rsidRPr="00316CB0">
        <w:rPr>
          <w:rFonts w:ascii="Avenir LT Std 55 Roman" w:eastAsia="Calibri" w:hAnsi="Avenir LT Std 55 Roman" w:cs="Calibri"/>
          <w:sz w:val="17"/>
          <w:szCs w:val="17"/>
        </w:rPr>
        <w:t>Fc. Sigma Aldrich, November 2021).</w:t>
      </w:r>
    </w:p>
    <w:p w14:paraId="6E31FA00" w14:textId="48DF6882" w:rsidR="00165A9B" w:rsidRPr="00316CB0" w:rsidRDefault="00165A9B" w:rsidP="00316CB0">
      <w:pPr>
        <w:spacing w:line="276" w:lineRule="auto"/>
        <w:rPr>
          <w:rFonts w:ascii="Avenir LT Std 55 Roman" w:hAnsi="Avenir LT Std 55 Roman"/>
          <w:b/>
          <w:color w:val="AB4C4C"/>
          <w:sz w:val="17"/>
          <w:szCs w:val="17"/>
        </w:rPr>
      </w:pPr>
    </w:p>
    <w:p w14:paraId="0E50D74D" w14:textId="77777777" w:rsidR="00165A9B" w:rsidRPr="00316CB0" w:rsidRDefault="00165A9B" w:rsidP="00316CB0">
      <w:pPr>
        <w:spacing w:line="276" w:lineRule="auto"/>
        <w:rPr>
          <w:rFonts w:ascii="Avenir LT Std 55 Roman" w:hAnsi="Avenir LT Std 55 Roman"/>
          <w:color w:val="1F736E"/>
          <w:sz w:val="17"/>
          <w:szCs w:val="17"/>
        </w:rPr>
      </w:pPr>
    </w:p>
    <w:p w14:paraId="4E605DD8" w14:textId="0E60D746" w:rsidR="00BA57C6" w:rsidRPr="00316CB0" w:rsidRDefault="00316CB0" w:rsidP="00316CB0">
      <w:pPr>
        <w:spacing w:after="60" w:line="276" w:lineRule="auto"/>
        <w:rPr>
          <w:rFonts w:ascii="Avenir LT Std 55 Roman" w:hAnsi="Avenir LT Std 55 Roman"/>
          <w:b/>
          <w:color w:val="AB4C4C"/>
          <w:sz w:val="17"/>
          <w:szCs w:val="17"/>
        </w:rPr>
      </w:pPr>
      <w:r w:rsidRPr="00316CB0">
        <w:rPr>
          <w:rFonts w:ascii="Avenir LT Std 55 Roman" w:hAnsi="Avenir LT Std 55 Roman"/>
          <w:b/>
          <w:color w:val="AB4C4C"/>
          <w:sz w:val="17"/>
          <w:szCs w:val="17"/>
        </w:rPr>
        <w:t xml:space="preserve">The Misused Lithium Reference </w:t>
      </w:r>
    </w:p>
    <w:p w14:paraId="19FA3502" w14:textId="090886AD" w:rsidR="008753E8" w:rsidRPr="00316CB0" w:rsidRDefault="00165A9B" w:rsidP="00316CB0">
      <w:pPr>
        <w:spacing w:line="276" w:lineRule="auto"/>
        <w:jc w:val="both"/>
        <w:rPr>
          <w:rFonts w:ascii="Avenir LT Std 55 Roman" w:eastAsia="Calibri" w:hAnsi="Avenir LT Std 55 Roman" w:cs="Calibri"/>
          <w:sz w:val="17"/>
          <w:szCs w:val="17"/>
        </w:rPr>
      </w:pPr>
      <w:r w:rsidRPr="59E9F7B1">
        <w:rPr>
          <w:rFonts w:ascii="Avenir LT Std 55 Roman" w:eastAsia="Calibri" w:hAnsi="Avenir LT Std 55 Roman" w:cs="Calibri"/>
          <w:sz w:val="17"/>
          <w:szCs w:val="17"/>
        </w:rPr>
        <w:t xml:space="preserve">In the case of LIBs, ESW measurements are dominated by three-electrode </w:t>
      </w:r>
      <w:r w:rsidR="00F76A9B" w:rsidRPr="59E9F7B1">
        <w:rPr>
          <w:rFonts w:ascii="Avenir LT Std 55 Roman" w:eastAsia="Calibri" w:hAnsi="Avenir LT Std 55 Roman" w:cs="Calibri"/>
          <w:sz w:val="17"/>
          <w:szCs w:val="17"/>
        </w:rPr>
        <w:t>cells</w:t>
      </w:r>
      <w:r w:rsidRPr="59E9F7B1">
        <w:rPr>
          <w:rFonts w:ascii="Avenir LT Std 55 Roman" w:eastAsia="Calibri" w:hAnsi="Avenir LT Std 55 Roman" w:cs="Calibri"/>
          <w:sz w:val="17"/>
          <w:szCs w:val="17"/>
        </w:rPr>
        <w:t xml:space="preserve"> consisting of a platinum WE and lithium CE and QRE. Measured potentials are then reported </w:t>
      </w:r>
      <w:r w:rsidR="00BC4D95" w:rsidRPr="00024F8F">
        <w:rPr>
          <w:rFonts w:ascii="Avenir LT Std 55 Roman" w:eastAsia="Calibri" w:hAnsi="Avenir LT Std 55 Roman" w:cs="Calibri"/>
          <w:i/>
          <w:iCs/>
          <w:sz w:val="17"/>
          <w:szCs w:val="17"/>
        </w:rPr>
        <w:t>vs</w:t>
      </w:r>
      <w:r w:rsidRPr="59E9F7B1">
        <w:rPr>
          <w:rFonts w:ascii="Avenir LT Std 55 Roman" w:eastAsia="Calibri" w:hAnsi="Avenir LT Std 55 Roman" w:cs="Calibri"/>
          <w:sz w:val="17"/>
          <w:szCs w:val="17"/>
        </w:rPr>
        <w:t xml:space="preserve"> Li/Li</w:t>
      </w:r>
      <w:r w:rsidR="00CF09EC">
        <w:rPr>
          <w:rFonts w:ascii="Avenir LT Std 55 Roman" w:eastAsia="Calibri" w:hAnsi="Avenir LT Std 55 Roman" w:cs="Calibri"/>
          <w:sz w:val="17"/>
          <w:szCs w:val="17"/>
          <w:vertAlign w:val="superscript"/>
        </w:rPr>
        <w:t>+</w:t>
      </w:r>
      <w:r w:rsidRPr="59E9F7B1">
        <w:rPr>
          <w:rFonts w:ascii="Avenir LT Std 55 Roman" w:eastAsia="Calibri" w:hAnsi="Avenir LT Std 55 Roman" w:cs="Calibri"/>
          <w:sz w:val="17"/>
          <w:szCs w:val="17"/>
        </w:rPr>
        <w:t>. Whil</w:t>
      </w:r>
      <w:r w:rsidR="00FD0C5F" w:rsidRPr="59E9F7B1">
        <w:rPr>
          <w:rFonts w:ascii="Avenir LT Std 55 Roman" w:eastAsia="Calibri" w:hAnsi="Avenir LT Std 55 Roman" w:cs="Calibri"/>
          <w:sz w:val="17"/>
          <w:szCs w:val="17"/>
        </w:rPr>
        <w:t>e</w:t>
      </w:r>
      <w:r w:rsidRPr="59E9F7B1">
        <w:rPr>
          <w:rFonts w:ascii="Avenir LT Std 55 Roman" w:eastAsia="Calibri" w:hAnsi="Avenir LT Std 55 Roman" w:cs="Calibri"/>
          <w:sz w:val="17"/>
          <w:szCs w:val="17"/>
        </w:rPr>
        <w:t xml:space="preserve"> this approach may mitigate issues </w:t>
      </w:r>
      <w:r w:rsidR="00FD0C5F" w:rsidRPr="59E9F7B1">
        <w:rPr>
          <w:rFonts w:ascii="Avenir LT Std 55 Roman" w:eastAsia="Calibri" w:hAnsi="Avenir LT Std 55 Roman" w:cs="Calibri"/>
          <w:sz w:val="17"/>
          <w:szCs w:val="17"/>
        </w:rPr>
        <w:t xml:space="preserve">in reference </w:t>
      </w:r>
      <w:r w:rsidRPr="59E9F7B1">
        <w:rPr>
          <w:rFonts w:ascii="Avenir LT Std 55 Roman" w:eastAsia="Calibri" w:hAnsi="Avenir LT Std 55 Roman" w:cs="Calibri"/>
          <w:sz w:val="17"/>
          <w:szCs w:val="17"/>
        </w:rPr>
        <w:t>potential conversions, the initial potential and potential drift when using a Li QRE is highly dependent on electrolyte composition and Li</w:t>
      </w:r>
      <w:r w:rsidRPr="59E9F7B1">
        <w:rPr>
          <w:rFonts w:ascii="Avenir LT Std 55 Roman" w:eastAsia="Calibri" w:hAnsi="Avenir LT Std 55 Roman" w:cs="Calibri"/>
          <w:sz w:val="17"/>
          <w:szCs w:val="17"/>
          <w:vertAlign w:val="superscript"/>
        </w:rPr>
        <w:t>+</w:t>
      </w:r>
      <w:r w:rsidRPr="59E9F7B1">
        <w:rPr>
          <w:rFonts w:ascii="Avenir LT Std 55 Roman" w:eastAsia="Calibri" w:hAnsi="Avenir LT Std 55 Roman" w:cs="Calibri"/>
          <w:sz w:val="17"/>
          <w:szCs w:val="17"/>
        </w:rPr>
        <w:t xml:space="preserve"> concentration, due to differences in the degree of </w:t>
      </w:r>
      <w:r w:rsidR="00756E91" w:rsidRPr="59E9F7B1">
        <w:rPr>
          <w:rFonts w:ascii="Avenir LT Std 55 Roman" w:eastAsia="Calibri" w:hAnsi="Avenir LT Std 55 Roman" w:cs="Calibri"/>
          <w:sz w:val="17"/>
          <w:szCs w:val="17"/>
        </w:rPr>
        <w:t xml:space="preserve">adsorbed </w:t>
      </w:r>
      <w:r w:rsidRPr="59E9F7B1">
        <w:rPr>
          <w:rFonts w:ascii="Avenir LT Std 55 Roman" w:eastAsia="Calibri" w:hAnsi="Avenir LT Std 55 Roman" w:cs="Calibri"/>
          <w:sz w:val="17"/>
          <w:szCs w:val="17"/>
        </w:rPr>
        <w:t>species (</w:t>
      </w:r>
      <w:r w:rsidR="00316CB0" w:rsidRPr="59E9F7B1">
        <w:rPr>
          <w:rFonts w:ascii="Avenir LT Std 55 Roman" w:eastAsia="Calibri" w:hAnsi="Avenir LT Std 55 Roman" w:cs="Calibri"/>
          <w:b/>
          <w:bCs/>
          <w:color w:val="4BACC6" w:themeColor="accent5"/>
          <w:sz w:val="17"/>
          <w:szCs w:val="17"/>
        </w:rPr>
        <w:t>Figure</w:t>
      </w:r>
      <w:r w:rsidRPr="59E9F7B1">
        <w:rPr>
          <w:rFonts w:ascii="Avenir LT Std 55 Roman" w:eastAsia="Calibri" w:hAnsi="Avenir LT Std 55 Roman" w:cs="Calibri"/>
          <w:b/>
          <w:bCs/>
          <w:color w:val="4BACC6" w:themeColor="accent5"/>
          <w:sz w:val="17"/>
          <w:szCs w:val="17"/>
        </w:rPr>
        <w:t xml:space="preserve"> </w:t>
      </w:r>
      <w:r w:rsidR="009B796A" w:rsidRPr="59E9F7B1">
        <w:rPr>
          <w:rFonts w:ascii="Avenir LT Std 55 Roman" w:eastAsia="Calibri" w:hAnsi="Avenir LT Std 55 Roman" w:cs="Calibri"/>
          <w:b/>
          <w:bCs/>
          <w:color w:val="4BACC6" w:themeColor="accent5"/>
          <w:sz w:val="17"/>
          <w:szCs w:val="17"/>
        </w:rPr>
        <w:t>2</w:t>
      </w:r>
      <w:r w:rsidRPr="59E9F7B1">
        <w:rPr>
          <w:rFonts w:ascii="Avenir LT Std 55 Roman" w:eastAsia="Calibri" w:hAnsi="Avenir LT Std 55 Roman" w:cs="Calibri"/>
          <w:sz w:val="17"/>
          <w:szCs w:val="17"/>
        </w:rPr>
        <w:t>). SEI layers that form at the Li QRE differ with electrolyte composition, altering the nature of the QRE. Thus, the potential is better considered as measured against Li/SEI rather than Li metal.</w:t>
      </w:r>
      <w:r w:rsidRPr="59E9F7B1">
        <w:rPr>
          <w:rFonts w:ascii="Avenir LT Std 55 Roman" w:eastAsia="Calibri" w:hAnsi="Avenir LT Std 55 Roman" w:cs="Calibri"/>
          <w:sz w:val="17"/>
          <w:szCs w:val="17"/>
        </w:rPr>
        <w:fldChar w:fldCharType="begin" w:fldLock="1"/>
      </w:r>
      <w:r w:rsidRPr="59E9F7B1">
        <w:rPr>
          <w:rFonts w:ascii="Avenir LT Std 55 Roman" w:eastAsia="Calibri" w:hAnsi="Avenir LT Std 55 Roman" w:cs="Calibri"/>
          <w:sz w:val="17"/>
          <w:szCs w:val="17"/>
        </w:rPr>
        <w:instrText>ADDIN CSL_CITATION {"citationItems":[{"id":"ITEM-1","itemData":{"DOI":"10.1016/j.electacta.2012.01.115","ISSN":"00134686","abstract":"The study of ionic liquids in electrochemistry is currently a highly active area of research. Examples are the use of ionic liquids in the development of energy storage devices, in electrodeposition, and electroanalytical studies, both in academia and for industrial applications. However, very little information and understanding is available regarding the effect of poorly chosen reference electrodes on reported electrochemical data. In this review, the latest understanding and practical approaches to the application of reference electrodes and internal reference redox couples in ionic liquids are featured and critically discussed. Problems observed during the application of these systems are discussed based on experimental examples. Implications of non-additivity of Faradaic current in the use of internal reference scales in ionic liquids are also presented. © 2012 Elsevier Ltd.","author":[{"dropping-particle":"","family":"Torriero","given":"Angel A.J.","non-dropping-particle":"","parse-names":false,"suffix":""},{"dropping-particle":"","family":"Sunarso","given":"Jaka","non-dropping-particle":"","parse-names":false,"suffix":""},{"dropping-particle":"","family":"Howlett","given":"Patrick C.","non-dropping-particle":"","parse-names":false,"suffix":""}],"container-title":"Electrochimica Acta","id":"ITEM-1","issued":{"date-parts":[["2012"]]},"page":"60-68","publisher":"Elsevier Ltd","title":"Critical evaluation of reference systems for voltammetric measurements in ionic liquids","type":"article-journal","volume":"82"},"uris":["http://www.mendeley.com/documents/?uuid=1b4a89a6-d55c-4db2-82d9-e7815164ef24"]}],"mendeley":{"formattedCitation":"&lt;sup&gt;9&lt;/sup&gt;","plainTextFormattedCitation":"9","previouslyFormattedCitation":"&lt;sup&gt;9&lt;/sup&gt;"},"properties":{"noteIndex":0},"schema":"https://github.com/citation-style-language/schema/raw/master/csl-citation.json"}</w:instrText>
      </w:r>
      <w:r w:rsidRPr="59E9F7B1">
        <w:rPr>
          <w:rFonts w:ascii="Avenir LT Std 55 Roman" w:eastAsia="Calibri" w:hAnsi="Avenir LT Std 55 Roman" w:cs="Calibri"/>
          <w:sz w:val="17"/>
          <w:szCs w:val="17"/>
        </w:rPr>
        <w:fldChar w:fldCharType="separate"/>
      </w:r>
      <w:r w:rsidR="006E7840" w:rsidRPr="59E9F7B1">
        <w:rPr>
          <w:rFonts w:ascii="Avenir LT Std 55 Roman" w:eastAsia="Calibri" w:hAnsi="Avenir LT Std 55 Roman" w:cs="Calibri"/>
          <w:noProof/>
          <w:sz w:val="17"/>
          <w:szCs w:val="17"/>
          <w:vertAlign w:val="superscript"/>
        </w:rPr>
        <w:t>9</w:t>
      </w:r>
      <w:r w:rsidRPr="59E9F7B1">
        <w:rPr>
          <w:rFonts w:ascii="Avenir LT Std 55 Roman" w:eastAsia="Calibri" w:hAnsi="Avenir LT Std 55 Roman" w:cs="Calibri"/>
          <w:sz w:val="17"/>
          <w:szCs w:val="17"/>
        </w:rPr>
        <w:fldChar w:fldCharType="end"/>
      </w:r>
      <w:r w:rsidRPr="59E9F7B1">
        <w:rPr>
          <w:rFonts w:ascii="Avenir LT Std 55 Roman" w:eastAsia="Calibri" w:hAnsi="Avenir LT Std 55 Roman" w:cs="Calibri"/>
          <w:sz w:val="17"/>
          <w:szCs w:val="17"/>
        </w:rPr>
        <w:t xml:space="preserve"> As the exact composition and potential of such references cannot be defined with confidence, direct comparisons of ESWs measured in different electrolytes are inaccurate and significant conclusions from such comparisons should not be made. Furthermore, contaminants can be produced during these reactions, potentially interfering with measurements. Variations in mechanical treatment and cleaning of Li also have considerable influence on the</w:t>
      </w:r>
      <w:r w:rsidR="00FD0C5F" w:rsidRPr="59E9F7B1">
        <w:rPr>
          <w:rFonts w:ascii="Avenir LT Std 55 Roman" w:eastAsia="Calibri" w:hAnsi="Avenir LT Std 55 Roman" w:cs="Calibri"/>
          <w:sz w:val="17"/>
          <w:szCs w:val="17"/>
        </w:rPr>
        <w:t xml:space="preserve"> reference</w:t>
      </w:r>
      <w:r w:rsidRPr="59E9F7B1">
        <w:rPr>
          <w:rFonts w:ascii="Avenir LT Std 55 Roman" w:eastAsia="Calibri" w:hAnsi="Avenir LT Std 55 Roman" w:cs="Calibri"/>
          <w:sz w:val="17"/>
          <w:szCs w:val="17"/>
        </w:rPr>
        <w:t xml:space="preserve"> potentials, yet these procedures are often omitted from experimental details. </w:t>
      </w:r>
    </w:p>
    <w:p w14:paraId="51E8A75D" w14:textId="4C4A20FC" w:rsidR="00F76A9B" w:rsidRPr="00316CB0" w:rsidRDefault="00165A9B" w:rsidP="00713A8F">
      <w:pPr>
        <w:spacing w:line="276" w:lineRule="auto"/>
        <w:ind w:firstLine="284"/>
        <w:jc w:val="both"/>
        <w:rPr>
          <w:rFonts w:ascii="Avenir LT Std 55 Roman" w:eastAsia="Calibri" w:hAnsi="Avenir LT Std 55 Roman" w:cs="Calibri"/>
          <w:sz w:val="17"/>
          <w:szCs w:val="17"/>
        </w:rPr>
      </w:pPr>
      <w:r w:rsidRPr="59E9F7B1">
        <w:rPr>
          <w:rFonts w:ascii="Avenir LT Std 55 Roman" w:eastAsia="Calibri" w:hAnsi="Avenir LT Std 55 Roman" w:cs="Calibri"/>
          <w:sz w:val="17"/>
          <w:szCs w:val="17"/>
        </w:rPr>
        <w:t>As alternatives, lithium alloys (</w:t>
      </w:r>
      <w:r w:rsidRPr="00B87083">
        <w:rPr>
          <w:rFonts w:ascii="Avenir LT Std 55 Roman" w:eastAsia="Calibri" w:hAnsi="Avenir LT Std 55 Roman" w:cs="Calibri"/>
          <w:i/>
          <w:iCs/>
          <w:sz w:val="17"/>
          <w:szCs w:val="17"/>
        </w:rPr>
        <w:t>e.g.</w:t>
      </w:r>
      <w:r w:rsidR="4C9B9130" w:rsidRPr="00B87083">
        <w:rPr>
          <w:rFonts w:ascii="Avenir LT Std 55 Roman" w:eastAsia="Calibri" w:hAnsi="Avenir LT Std 55 Roman" w:cs="Calibri"/>
          <w:i/>
          <w:iCs/>
          <w:sz w:val="17"/>
          <w:szCs w:val="17"/>
        </w:rPr>
        <w:t>,</w:t>
      </w:r>
      <w:r w:rsidRPr="59E9F7B1">
        <w:rPr>
          <w:rFonts w:ascii="Avenir LT Std 55 Roman" w:eastAsia="Calibri" w:hAnsi="Avenir LT Std 55 Roman" w:cs="Calibri"/>
          <w:sz w:val="17"/>
          <w:szCs w:val="17"/>
        </w:rPr>
        <w:t xml:space="preserve"> </w:t>
      </w:r>
      <w:proofErr w:type="spellStart"/>
      <w:r w:rsidRPr="59E9F7B1">
        <w:rPr>
          <w:rFonts w:ascii="Avenir LT Std 55 Roman" w:eastAsia="Calibri" w:hAnsi="Avenir LT Std 55 Roman" w:cs="Calibri"/>
          <w:sz w:val="17"/>
          <w:szCs w:val="17"/>
        </w:rPr>
        <w:t>Li</w:t>
      </w:r>
      <w:r w:rsidRPr="59E9F7B1">
        <w:rPr>
          <w:rFonts w:ascii="Avenir LT Std 55 Roman" w:eastAsia="Calibri" w:hAnsi="Avenir LT Std 55 Roman" w:cs="Calibri"/>
          <w:sz w:val="17"/>
          <w:szCs w:val="17"/>
          <w:vertAlign w:val="subscript"/>
        </w:rPr>
        <w:t>y</w:t>
      </w:r>
      <w:r w:rsidRPr="59E9F7B1">
        <w:rPr>
          <w:rFonts w:ascii="Avenir LT Std 55 Roman" w:eastAsia="Calibri" w:hAnsi="Avenir LT Std 55 Roman" w:cs="Calibri"/>
          <w:sz w:val="17"/>
          <w:szCs w:val="17"/>
        </w:rPr>
        <w:t>Sn</w:t>
      </w:r>
      <w:proofErr w:type="spellEnd"/>
      <w:r w:rsidRPr="59E9F7B1">
        <w:rPr>
          <w:rFonts w:ascii="Avenir LT Std 55 Roman" w:eastAsia="Calibri" w:hAnsi="Avenir LT Std 55 Roman" w:cs="Calibri"/>
          <w:sz w:val="17"/>
          <w:szCs w:val="17"/>
        </w:rPr>
        <w:t>) provide stable potentials over several weeks, after which they require additional lithiation.</w:t>
      </w:r>
      <w:r w:rsidRPr="59E9F7B1">
        <w:rPr>
          <w:rFonts w:ascii="Avenir LT Std 55 Roman" w:eastAsia="Calibri" w:hAnsi="Avenir LT Std 55 Roman" w:cs="Calibri"/>
          <w:sz w:val="17"/>
          <w:szCs w:val="17"/>
        </w:rPr>
        <w:fldChar w:fldCharType="begin" w:fldLock="1"/>
      </w:r>
      <w:r w:rsidRPr="59E9F7B1">
        <w:rPr>
          <w:rFonts w:ascii="Avenir LT Std 55 Roman" w:eastAsia="Calibri" w:hAnsi="Avenir LT Std 55 Roman" w:cs="Calibri"/>
          <w:sz w:val="17"/>
          <w:szCs w:val="17"/>
        </w:rPr>
        <w:instrText>ADDIN CSL_CITATION {"citationItems":[{"id":"ITEM-1","itemData":{"DOI":"10.1021/acs.chemmater.9b02776","ISSN":"15205002","abstract":"While less mature than the Li-ion battery, technologies based on Na, K, Mg, and Ca are attracting more and more attention from the battery community. New material (cathode, anode, or electrolyte) testing for these post-Li systems commonly involves the use of an electrochemical setup called a half-cell in which metal counter and reference electrodes are used. Here we first describe the different issues that become critical when moving away from Li with respect to the cell hardware (cell design, current collector, separator, insulator) and the nature of the counter and reference electrodes. Workarounds are given, and a versatile setup is proposed to run reliable electrochemical tests for post-Li battery materials in general, in a broad range of electrolyte compositions. ©","author":[{"dropping-particle":"","family":"Dugas","given":"Romain","non-dropping-particle":"","parse-names":false,"suffix":""},{"dropping-particle":"","family":"Forero-Saboya","given":"Juan D.","non-dropping-particle":"","parse-names":false,"suffix":""},{"dropping-particle":"","family":"Ponrouch","given":"Alexandre","non-dropping-particle":"","parse-names":false,"suffix":""}],"container-title":"Chemistry of Materials","id":"ITEM-1","issued":{"date-parts":[["2019"]]},"page":"8613-8628","title":"Methods and Protocols for Reliable Electrochemical Testing in Post-Li Batteries (Na, K, Mg, and Ca)","type":"article-journal","volume":"31"},"uris":["http://www.mendeley.com/documents/?uuid=269f0c9e-ec51-44ff-9720-3b2ea5b88141"]}],"mendeley":{"formattedCitation":"&lt;sup&gt;4&lt;/sup&gt;","plainTextFormattedCitation":"4","previouslyFormattedCitation":"&lt;sup&gt;4&lt;/sup&gt;"},"properties":{"noteIndex":0},"schema":"https://github.com/citation-style-language/schema/raw/master/csl-citation.json"}</w:instrText>
      </w:r>
      <w:r w:rsidRPr="59E9F7B1">
        <w:rPr>
          <w:rFonts w:ascii="Avenir LT Std 55 Roman" w:eastAsia="Calibri" w:hAnsi="Avenir LT Std 55 Roman" w:cs="Calibri"/>
          <w:sz w:val="17"/>
          <w:szCs w:val="17"/>
        </w:rPr>
        <w:fldChar w:fldCharType="separate"/>
      </w:r>
      <w:r w:rsidR="006E7840" w:rsidRPr="59E9F7B1">
        <w:rPr>
          <w:rFonts w:ascii="Avenir LT Std 55 Roman" w:eastAsia="Calibri" w:hAnsi="Avenir LT Std 55 Roman" w:cs="Calibri"/>
          <w:noProof/>
          <w:sz w:val="17"/>
          <w:szCs w:val="17"/>
          <w:vertAlign w:val="superscript"/>
        </w:rPr>
        <w:t>4</w:t>
      </w:r>
      <w:r w:rsidRPr="59E9F7B1">
        <w:rPr>
          <w:rFonts w:ascii="Avenir LT Std 55 Roman" w:eastAsia="Calibri" w:hAnsi="Avenir LT Std 55 Roman" w:cs="Calibri"/>
          <w:sz w:val="17"/>
          <w:szCs w:val="17"/>
        </w:rPr>
        <w:fldChar w:fldCharType="end"/>
      </w:r>
      <w:r w:rsidRPr="59E9F7B1">
        <w:rPr>
          <w:rFonts w:ascii="Avenir LT Std 55 Roman" w:eastAsia="Calibri" w:hAnsi="Avenir LT Std 55 Roman" w:cs="Calibri"/>
          <w:sz w:val="17"/>
          <w:szCs w:val="17"/>
        </w:rPr>
        <w:t xml:space="preserve"> </w:t>
      </w:r>
      <w:r w:rsidR="00BA3EF6" w:rsidRPr="59E9F7B1">
        <w:rPr>
          <w:rFonts w:ascii="Avenir LT Std 55 Roman" w:eastAsia="Calibri" w:hAnsi="Avenir LT Std 55 Roman" w:cs="Calibri"/>
          <w:sz w:val="17"/>
          <w:szCs w:val="17"/>
        </w:rPr>
        <w:t>Some i</w:t>
      </w:r>
      <w:r w:rsidRPr="59E9F7B1">
        <w:rPr>
          <w:rFonts w:ascii="Avenir LT Std 55 Roman" w:eastAsia="Calibri" w:hAnsi="Avenir LT Std 55 Roman" w:cs="Calibri"/>
          <w:sz w:val="17"/>
          <w:szCs w:val="17"/>
        </w:rPr>
        <w:t>nsertion materials (</w:t>
      </w:r>
      <w:r w:rsidRPr="00F76866">
        <w:rPr>
          <w:rFonts w:ascii="Avenir LT Std 55 Roman" w:eastAsia="Calibri" w:hAnsi="Avenir LT Std 55 Roman" w:cs="Calibri"/>
          <w:i/>
          <w:sz w:val="17"/>
          <w:szCs w:val="17"/>
        </w:rPr>
        <w:t>e.g.</w:t>
      </w:r>
      <w:r w:rsidR="00F76866">
        <w:rPr>
          <w:rFonts w:ascii="Avenir LT Std 55 Roman" w:eastAsia="Calibri" w:hAnsi="Avenir LT Std 55 Roman" w:cs="Calibri"/>
          <w:i/>
          <w:sz w:val="17"/>
          <w:szCs w:val="17"/>
        </w:rPr>
        <w:t>,</w:t>
      </w:r>
      <w:r w:rsidRPr="59E9F7B1">
        <w:rPr>
          <w:rFonts w:ascii="Avenir LT Std 55 Roman" w:eastAsia="Calibri" w:hAnsi="Avenir LT Std 55 Roman" w:cs="Calibri"/>
          <w:sz w:val="17"/>
          <w:szCs w:val="17"/>
        </w:rPr>
        <w:t xml:space="preserve"> lithium titanate</w:t>
      </w:r>
      <w:r w:rsidR="000715E2" w:rsidRPr="59E9F7B1">
        <w:rPr>
          <w:rFonts w:ascii="Avenir LT Std 55 Roman" w:eastAsia="Calibri" w:hAnsi="Avenir LT Std 55 Roman" w:cs="Calibri"/>
          <w:sz w:val="17"/>
          <w:szCs w:val="17"/>
        </w:rPr>
        <w:t xml:space="preserve"> (LTO)</w:t>
      </w:r>
      <w:r w:rsidRPr="59E9F7B1">
        <w:rPr>
          <w:rFonts w:ascii="Avenir LT Std 55 Roman" w:eastAsia="Calibri" w:hAnsi="Avenir LT Std 55 Roman" w:cs="Calibri"/>
          <w:sz w:val="17"/>
          <w:szCs w:val="17"/>
        </w:rPr>
        <w:t xml:space="preserve"> and lithium iron phosphate</w:t>
      </w:r>
      <w:r w:rsidR="000715E2" w:rsidRPr="59E9F7B1">
        <w:rPr>
          <w:rFonts w:ascii="Avenir LT Std 55 Roman" w:eastAsia="Calibri" w:hAnsi="Avenir LT Std 55 Roman" w:cs="Calibri"/>
          <w:sz w:val="17"/>
          <w:szCs w:val="17"/>
        </w:rPr>
        <w:t xml:space="preserve"> (LFP)</w:t>
      </w:r>
      <w:r w:rsidRPr="59E9F7B1">
        <w:rPr>
          <w:rFonts w:ascii="Avenir LT Std 55 Roman" w:eastAsia="Calibri" w:hAnsi="Avenir LT Std 55 Roman" w:cs="Calibri"/>
          <w:sz w:val="17"/>
          <w:szCs w:val="17"/>
        </w:rPr>
        <w:t xml:space="preserve">), on the other hand, offer further improvements to stability as they </w:t>
      </w:r>
      <w:r w:rsidR="00BA3EF6" w:rsidRPr="59E9F7B1">
        <w:rPr>
          <w:rFonts w:ascii="Avenir LT Std 55 Roman" w:eastAsia="Calibri" w:hAnsi="Avenir LT Std 55 Roman" w:cs="Calibri"/>
          <w:sz w:val="17"/>
          <w:szCs w:val="17"/>
        </w:rPr>
        <w:t xml:space="preserve">show a </w:t>
      </w:r>
      <w:r w:rsidR="005A0681" w:rsidRPr="59E9F7B1">
        <w:rPr>
          <w:rFonts w:ascii="Avenir LT Std 55 Roman" w:eastAsia="Calibri" w:hAnsi="Avenir LT Std 55 Roman" w:cs="Calibri"/>
          <w:sz w:val="17"/>
          <w:szCs w:val="17"/>
        </w:rPr>
        <w:t>long plateau at a specific voltage which is</w:t>
      </w:r>
      <w:r w:rsidRPr="59E9F7B1">
        <w:rPr>
          <w:rFonts w:ascii="Avenir LT Std 55 Roman" w:eastAsia="Calibri" w:hAnsi="Avenir LT Std 55 Roman" w:cs="Calibri"/>
          <w:sz w:val="17"/>
          <w:szCs w:val="17"/>
        </w:rPr>
        <w:t xml:space="preserve"> not affected by minor changes in composition. Such REs, however, are complex to prepare</w:t>
      </w:r>
      <w:r w:rsidR="0097701B" w:rsidRPr="59E9F7B1">
        <w:rPr>
          <w:rFonts w:ascii="Avenir LT Std 55 Roman" w:eastAsia="Calibri" w:hAnsi="Avenir LT Std 55 Roman" w:cs="Calibri"/>
          <w:sz w:val="17"/>
          <w:szCs w:val="17"/>
        </w:rPr>
        <w:t xml:space="preserve"> as they require the construction of a preparation cell to </w:t>
      </w:r>
      <w:proofErr w:type="spellStart"/>
      <w:r w:rsidR="0097701B" w:rsidRPr="59E9F7B1">
        <w:rPr>
          <w:rFonts w:ascii="Avenir LT Std 55 Roman" w:eastAsia="Calibri" w:hAnsi="Avenir LT Std 55 Roman" w:cs="Calibri"/>
          <w:sz w:val="17"/>
          <w:szCs w:val="17"/>
        </w:rPr>
        <w:t>lithiate</w:t>
      </w:r>
      <w:proofErr w:type="spellEnd"/>
      <w:r w:rsidR="0097701B" w:rsidRPr="59E9F7B1">
        <w:rPr>
          <w:rFonts w:ascii="Avenir LT Std 55 Roman" w:eastAsia="Calibri" w:hAnsi="Avenir LT Std 55 Roman" w:cs="Calibri"/>
          <w:sz w:val="17"/>
          <w:szCs w:val="17"/>
        </w:rPr>
        <w:t xml:space="preserve"> the </w:t>
      </w:r>
      <w:r w:rsidR="00542C3E">
        <w:rPr>
          <w:rFonts w:ascii="Avenir LT Std 55 Roman" w:eastAsia="Calibri" w:hAnsi="Avenir LT Std 55 Roman" w:cs="Calibri"/>
          <w:sz w:val="17"/>
          <w:szCs w:val="17"/>
        </w:rPr>
        <w:t xml:space="preserve">insertion </w:t>
      </w:r>
      <w:r w:rsidR="00BE4BA2">
        <w:rPr>
          <w:rFonts w:ascii="Avenir LT Std 55 Roman" w:eastAsia="Calibri" w:hAnsi="Avenir LT Std 55 Roman" w:cs="Calibri"/>
          <w:sz w:val="17"/>
          <w:szCs w:val="17"/>
        </w:rPr>
        <w:t>material</w:t>
      </w:r>
      <w:r w:rsidR="008753E8" w:rsidRPr="59E9F7B1">
        <w:rPr>
          <w:rFonts w:ascii="Avenir LT Std 55 Roman" w:eastAsia="Calibri" w:hAnsi="Avenir LT Std 55 Roman" w:cs="Calibri"/>
          <w:sz w:val="17"/>
          <w:szCs w:val="17"/>
        </w:rPr>
        <w:t xml:space="preserve"> </w:t>
      </w:r>
      <w:r w:rsidR="00B61907" w:rsidRPr="59E9F7B1">
        <w:rPr>
          <w:rFonts w:ascii="Avenir LT Std 55 Roman" w:eastAsia="Calibri" w:hAnsi="Avenir LT Std 55 Roman" w:cs="Calibri"/>
          <w:sz w:val="17"/>
          <w:szCs w:val="17"/>
        </w:rPr>
        <w:t>which is then extracted and placed into the working cell</w:t>
      </w:r>
      <w:r w:rsidRPr="59E9F7B1">
        <w:rPr>
          <w:rFonts w:ascii="Avenir LT Std 55 Roman" w:eastAsia="Calibri" w:hAnsi="Avenir LT Std 55 Roman" w:cs="Calibri"/>
          <w:sz w:val="17"/>
          <w:szCs w:val="17"/>
        </w:rPr>
        <w:t>.</w:t>
      </w:r>
      <w:r w:rsidRPr="59E9F7B1">
        <w:rPr>
          <w:rFonts w:ascii="Avenir LT Std 55 Roman" w:eastAsia="Calibri" w:hAnsi="Avenir LT Std 55 Roman" w:cs="Calibri"/>
          <w:sz w:val="17"/>
          <w:szCs w:val="17"/>
        </w:rPr>
        <w:fldChar w:fldCharType="begin" w:fldLock="1"/>
      </w:r>
      <w:r w:rsidRPr="59E9F7B1">
        <w:rPr>
          <w:rFonts w:ascii="Avenir LT Std 55 Roman" w:eastAsia="Calibri" w:hAnsi="Avenir LT Std 55 Roman" w:cs="Calibri"/>
          <w:sz w:val="17"/>
          <w:szCs w:val="17"/>
        </w:rPr>
        <w:instrText>ADDIN CSL_CITATION {"citationItems":[{"id":"ITEM-1","itemData":{"DOI":"10.3791/57735","ISSN":"1940087X","PMID":"29889204","abstract":"As lithium-ion batteries find use in high energy and power applications, such as in electric and hybrid-electric vehicles, monitoring the degradation and subsequent safety issues becomes increasingly important. In a Li-ion cell setup, the voltage measurement across the positive and negative terminals inherently includes the effect of the cathode and anode which are coupled and sum to the total cell performance. Accordingly, the ability to monitor the degradation aspects associated with a specific electrode is extremely difficult because the electrodes are fundamentally coupled. A three-electrode setup can overcome this problem. By introducing a third (reference) electrode, the influence of each electrode can be decoupled, and the electrochemical properties can be measured independently. The reference electrode (RE) must have a stable potential that can then be calibrated against a known reference, for example, lithium metal. The three-electrode cell can be used to run electrochemical tests such as cycling, cyclic voltammetry, and electrochemical impedance spectroscopy (EIS). Three-electrode cell EIS measurements can elucidate the contribution of individual electrode impedance to the full cell. In addition, monitoring the anode potential allows the detection of electrodeposition due to lithium plating, which can cause safety concerns. This is especially important for the fast charging of Li-ion batteries in electric vehicles. In order to monitor and characterize the safety and degradation aspects of an electrochemical cell, a three-electrode setup can prove invaluable. This paper aims to provide a guide to constructing a three-electrode coin cell setup using the 2032-coin cell architecture, which is easy to produce, reliable, and cost-effective.","author":[{"dropping-particle":"","family":"Minter","given":"Robert D.","non-dropping-particle":"","parse-names":false,"suffix":""},{"dropping-particle":"","family":"Juarez-Robles","given":"Daniel","non-dropping-particle":"","parse-names":false,"suffix":""},{"dropping-particle":"","family":"Fear","given":"Conner","non-dropping-particle":"","parse-names":false,"suffix":""},{"dropping-particle":"","family":"Barsukov","given":"Yevgen","non-dropping-particle":"","parse-names":false,"suffix":""},{"dropping-particle":"","family":"Mukherjee","given":"Partha P.","non-dropping-particle":"","parse-names":false,"suffix":""}],"container-title":"Journal of Visualized Experiments","id":"ITEM-1","issue":"e57735","issued":{"date-parts":[["2018"]]},"page":"1-11","title":"Three-electrode coin cell preparation and electrodeposition analytics for Lithium-ion batteries","type":"article-journal","volume":"135"},"uris":["http://www.mendeley.com/documents/?uuid=1f19af31-4d70-4c09-bf1e-2f517d34c0be"]}],"mendeley":{"formattedCitation":"&lt;sup&gt;12&lt;/sup&gt;","plainTextFormattedCitation":"12","previouslyFormattedCitation":"&lt;sup&gt;12&lt;/sup&gt;"},"properties":{"noteIndex":0},"schema":"https://github.com/citation-style-language/schema/raw/master/csl-citation.json"}</w:instrText>
      </w:r>
      <w:r w:rsidRPr="59E9F7B1">
        <w:rPr>
          <w:rFonts w:ascii="Avenir LT Std 55 Roman" w:eastAsia="Calibri" w:hAnsi="Avenir LT Std 55 Roman" w:cs="Calibri"/>
          <w:sz w:val="17"/>
          <w:szCs w:val="17"/>
        </w:rPr>
        <w:fldChar w:fldCharType="separate"/>
      </w:r>
      <w:r w:rsidR="006E7840" w:rsidRPr="59E9F7B1">
        <w:rPr>
          <w:rFonts w:ascii="Avenir LT Std 55 Roman" w:eastAsia="Calibri" w:hAnsi="Avenir LT Std 55 Roman" w:cs="Calibri"/>
          <w:noProof/>
          <w:sz w:val="17"/>
          <w:szCs w:val="17"/>
          <w:vertAlign w:val="superscript"/>
        </w:rPr>
        <w:t>12</w:t>
      </w:r>
      <w:r w:rsidRPr="59E9F7B1">
        <w:rPr>
          <w:rFonts w:ascii="Avenir LT Std 55 Roman" w:eastAsia="Calibri" w:hAnsi="Avenir LT Std 55 Roman" w:cs="Calibri"/>
          <w:sz w:val="17"/>
          <w:szCs w:val="17"/>
        </w:rPr>
        <w:fldChar w:fldCharType="end"/>
      </w:r>
      <w:r w:rsidRPr="59E9F7B1">
        <w:rPr>
          <w:rFonts w:ascii="Avenir LT Std 55 Roman" w:eastAsia="Calibri" w:hAnsi="Avenir LT Std 55 Roman" w:cs="Calibri"/>
          <w:sz w:val="17"/>
          <w:szCs w:val="17"/>
        </w:rPr>
        <w:t xml:space="preserve"> In the case of post</w:t>
      </w:r>
      <w:r w:rsidR="00756E91" w:rsidRPr="59E9F7B1">
        <w:rPr>
          <w:rFonts w:ascii="Avenir LT Std 55 Roman" w:eastAsia="Calibri" w:hAnsi="Avenir LT Std 55 Roman" w:cs="Calibri"/>
          <w:sz w:val="17"/>
          <w:szCs w:val="17"/>
        </w:rPr>
        <w:t>-</w:t>
      </w:r>
      <w:r w:rsidRPr="59E9F7B1">
        <w:rPr>
          <w:rFonts w:ascii="Avenir LT Std 55 Roman" w:eastAsia="Calibri" w:hAnsi="Avenir LT Std 55 Roman" w:cs="Calibri"/>
          <w:sz w:val="17"/>
          <w:szCs w:val="17"/>
        </w:rPr>
        <w:t xml:space="preserve">Li batteries (such as Na, K, Mg and Ca), where corresponding metal </w:t>
      </w:r>
      <w:r w:rsidR="00542C3E">
        <w:rPr>
          <w:rFonts w:ascii="Avenir LT Std 55 Roman" w:eastAsia="Calibri" w:hAnsi="Avenir LT Std 55 Roman" w:cs="Calibri"/>
          <w:sz w:val="17"/>
          <w:szCs w:val="17"/>
        </w:rPr>
        <w:t>REs</w:t>
      </w:r>
      <w:r w:rsidRPr="59E9F7B1">
        <w:rPr>
          <w:rFonts w:ascii="Avenir LT Std 55 Roman" w:eastAsia="Calibri" w:hAnsi="Avenir LT Std 55 Roman" w:cs="Calibri"/>
          <w:sz w:val="17"/>
          <w:szCs w:val="17"/>
        </w:rPr>
        <w:t xml:space="preserve"> are used, more significant potential drifts are observed yet analogous alloys and insertion materials </w:t>
      </w:r>
      <w:r w:rsidR="0071286D">
        <w:rPr>
          <w:rFonts w:ascii="Avenir LT Std 55 Roman" w:eastAsia="Calibri" w:hAnsi="Avenir LT Std 55 Roman" w:cs="Calibri"/>
          <w:sz w:val="17"/>
          <w:szCs w:val="17"/>
        </w:rPr>
        <w:t>have been</w:t>
      </w:r>
      <w:r w:rsidRPr="59E9F7B1">
        <w:rPr>
          <w:rFonts w:ascii="Avenir LT Std 55 Roman" w:eastAsia="Calibri" w:hAnsi="Avenir LT Std 55 Roman" w:cs="Calibri"/>
          <w:sz w:val="17"/>
          <w:szCs w:val="17"/>
        </w:rPr>
        <w:t xml:space="preserve"> barely explored.</w:t>
      </w:r>
      <w:r w:rsidRPr="59E9F7B1">
        <w:rPr>
          <w:rFonts w:ascii="Avenir LT Std 55 Roman" w:eastAsia="Calibri" w:hAnsi="Avenir LT Std 55 Roman" w:cs="Calibri"/>
          <w:sz w:val="17"/>
          <w:szCs w:val="17"/>
        </w:rPr>
        <w:fldChar w:fldCharType="begin" w:fldLock="1"/>
      </w:r>
      <w:r w:rsidRPr="59E9F7B1">
        <w:rPr>
          <w:rFonts w:ascii="Avenir LT Std 55 Roman" w:eastAsia="Calibri" w:hAnsi="Avenir LT Std 55 Roman" w:cs="Calibri"/>
          <w:sz w:val="17"/>
          <w:szCs w:val="17"/>
        </w:rPr>
        <w:instrText>ADDIN CSL_CITATION {"citationItems":[{"id":"ITEM-1","itemData":{"DOI":"10.1021/acs.chemmater.9b02776","ISSN":"15205002","abstract":"While less mature than the Li-ion battery, technologies based on Na, K, Mg, and Ca are attracting more and more attention from the battery community. New material (cathode, anode, or electrolyte) testing for these post-Li systems commonly involves the use of an electrochemical setup called a half-cell in which metal counter and reference electrodes are used. Here we first describe the different issues that become critical when moving away from Li with respect to the cell hardware (cell design, current collector, separator, insulator) and the nature of the counter and reference electrodes. Workarounds are given, and a versatile setup is proposed to run reliable electrochemical tests for post-Li battery materials in general, in a broad range of electrolyte compositions. ©","author":[{"dropping-particle":"","family":"Dugas","given":"Romain","non-dropping-particle":"","parse-names":false,"suffix":""},{"dropping-particle":"","family":"Forero-Saboya","given":"Juan D.","non-dropping-particle":"","parse-names":false,"suffix":""},{"dropping-particle":"","family":"Ponrouch","given":"Alexandre","non-dropping-particle":"","parse-names":false,"suffix":""}],"container-title":"Chemistry of Materials","id":"ITEM-1","issued":{"date-parts":[["2019"]]},"page":"8613-8628","title":"Methods and Protocols for Reliable Electrochemical Testing in Post-Li Batteries (Na, K, Mg, and Ca)","type":"article-journal","volume":"31"},"uris":["http://www.mendeley.com/documents/?uuid=269f0c9e-ec51-44ff-9720-3b2ea5b88141"]}],"mendeley":{"formattedCitation":"&lt;sup&gt;4&lt;/sup&gt;","plainTextFormattedCitation":"4","previouslyFormattedCitation":"&lt;sup&gt;4&lt;/sup&gt;"},"properties":{"noteIndex":0},"schema":"https://github.com/citation-style-language/schema/raw/master/csl-citation.json"}</w:instrText>
      </w:r>
      <w:r w:rsidRPr="59E9F7B1">
        <w:rPr>
          <w:rFonts w:ascii="Avenir LT Std 55 Roman" w:eastAsia="Calibri" w:hAnsi="Avenir LT Std 55 Roman" w:cs="Calibri"/>
          <w:sz w:val="17"/>
          <w:szCs w:val="17"/>
        </w:rPr>
        <w:fldChar w:fldCharType="separate"/>
      </w:r>
      <w:r w:rsidR="006E7840" w:rsidRPr="59E9F7B1">
        <w:rPr>
          <w:rFonts w:ascii="Avenir LT Std 55 Roman" w:eastAsia="Calibri" w:hAnsi="Avenir LT Std 55 Roman" w:cs="Calibri"/>
          <w:noProof/>
          <w:sz w:val="17"/>
          <w:szCs w:val="17"/>
          <w:vertAlign w:val="superscript"/>
        </w:rPr>
        <w:t>4</w:t>
      </w:r>
      <w:r w:rsidRPr="59E9F7B1">
        <w:rPr>
          <w:rFonts w:ascii="Avenir LT Std 55 Roman" w:eastAsia="Calibri" w:hAnsi="Avenir LT Std 55 Roman" w:cs="Calibri"/>
          <w:sz w:val="17"/>
          <w:szCs w:val="17"/>
        </w:rPr>
        <w:fldChar w:fldCharType="end"/>
      </w:r>
    </w:p>
    <w:p w14:paraId="4161AE4B" w14:textId="4866193B" w:rsidR="00165A9B" w:rsidRPr="00316CB0" w:rsidRDefault="00165A9B" w:rsidP="0071286D">
      <w:pPr>
        <w:spacing w:line="276" w:lineRule="auto"/>
        <w:ind w:firstLine="284"/>
        <w:jc w:val="both"/>
        <w:rPr>
          <w:rFonts w:ascii="Avenir LT Std 55 Roman" w:eastAsia="Calibri" w:hAnsi="Avenir LT Std 55 Roman" w:cs="Calibri"/>
          <w:sz w:val="17"/>
          <w:szCs w:val="17"/>
        </w:rPr>
      </w:pPr>
      <w:r w:rsidRPr="59E9F7B1">
        <w:rPr>
          <w:rFonts w:ascii="Avenir LT Std 55 Roman" w:eastAsia="Calibri" w:hAnsi="Avenir LT Std 55 Roman" w:cs="Calibri"/>
          <w:sz w:val="17"/>
          <w:szCs w:val="17"/>
        </w:rPr>
        <w:t>LIB research has resulted in a problematic legacy in terms o</w:t>
      </w:r>
      <w:r w:rsidR="00FD0C5F" w:rsidRPr="59E9F7B1">
        <w:rPr>
          <w:rFonts w:ascii="Avenir LT Std 55 Roman" w:eastAsia="Calibri" w:hAnsi="Avenir LT Std 55 Roman" w:cs="Calibri"/>
          <w:sz w:val="17"/>
          <w:szCs w:val="17"/>
        </w:rPr>
        <w:t>f</w:t>
      </w:r>
      <w:r w:rsidRPr="59E9F7B1">
        <w:rPr>
          <w:rFonts w:ascii="Avenir LT Std 55 Roman" w:eastAsia="Calibri" w:hAnsi="Avenir LT Std 55 Roman" w:cs="Calibri"/>
          <w:sz w:val="17"/>
          <w:szCs w:val="17"/>
        </w:rPr>
        <w:t xml:space="preserve"> referencing other </w:t>
      </w:r>
      <w:r w:rsidR="007F1588" w:rsidRPr="59E9F7B1">
        <w:rPr>
          <w:rFonts w:ascii="Avenir LT Std 55 Roman" w:eastAsia="Calibri" w:hAnsi="Avenir LT Std 55 Roman" w:cs="Calibri"/>
          <w:sz w:val="17"/>
          <w:szCs w:val="17"/>
        </w:rPr>
        <w:t>NA</w:t>
      </w:r>
      <w:r w:rsidRPr="59E9F7B1">
        <w:rPr>
          <w:rFonts w:ascii="Avenir LT Std 55 Roman" w:eastAsia="Calibri" w:hAnsi="Avenir LT Std 55 Roman" w:cs="Calibri"/>
          <w:sz w:val="17"/>
          <w:szCs w:val="17"/>
        </w:rPr>
        <w:t xml:space="preserve"> electrochemical systems under development. Frequently</w:t>
      </w:r>
      <w:r w:rsidR="00385595" w:rsidRPr="59E9F7B1">
        <w:rPr>
          <w:rFonts w:ascii="Avenir LT Std 55 Roman" w:eastAsia="Calibri" w:hAnsi="Avenir LT Std 55 Roman" w:cs="Calibri"/>
          <w:sz w:val="17"/>
          <w:szCs w:val="17"/>
        </w:rPr>
        <w:t>,</w:t>
      </w:r>
      <w:r w:rsidRPr="59E9F7B1">
        <w:rPr>
          <w:rFonts w:ascii="Avenir LT Std 55 Roman" w:eastAsia="Calibri" w:hAnsi="Avenir LT Std 55 Roman" w:cs="Calibri"/>
          <w:sz w:val="17"/>
          <w:szCs w:val="17"/>
        </w:rPr>
        <w:t xml:space="preserve"> the Li/Li</w:t>
      </w:r>
      <w:r w:rsidR="00CF09EC">
        <w:rPr>
          <w:rFonts w:ascii="Avenir LT Std 55 Roman" w:eastAsia="Calibri" w:hAnsi="Avenir LT Std 55 Roman" w:cs="Calibri"/>
          <w:sz w:val="17"/>
          <w:szCs w:val="17"/>
          <w:vertAlign w:val="superscript"/>
        </w:rPr>
        <w:t>+</w:t>
      </w:r>
      <w:r w:rsidRPr="59E9F7B1">
        <w:rPr>
          <w:rFonts w:ascii="Avenir LT Std 55 Roman" w:eastAsia="Calibri" w:hAnsi="Avenir LT Std 55 Roman" w:cs="Calibri"/>
          <w:sz w:val="17"/>
          <w:szCs w:val="17"/>
        </w:rPr>
        <w:t xml:space="preserve"> reference potential is </w:t>
      </w:r>
      <w:r w:rsidR="003D2839" w:rsidRPr="59E9F7B1">
        <w:rPr>
          <w:rFonts w:ascii="Avenir LT Std 55 Roman" w:eastAsia="Calibri" w:hAnsi="Avenir LT Std 55 Roman" w:cs="Calibri"/>
          <w:sz w:val="17"/>
          <w:szCs w:val="17"/>
        </w:rPr>
        <w:t xml:space="preserve">used to correct the potential when </w:t>
      </w:r>
      <w:r w:rsidRPr="59E9F7B1">
        <w:rPr>
          <w:rFonts w:ascii="Avenir LT Std 55 Roman" w:eastAsia="Calibri" w:hAnsi="Avenir LT Std 55 Roman" w:cs="Calibri"/>
          <w:sz w:val="17"/>
          <w:szCs w:val="17"/>
        </w:rPr>
        <w:t xml:space="preserve">an alternative QRE has been used, or where it has no bearing on the study being undertaken. This has unfortunately spilt over into the NARFB field and as a result, comparing ROM redox potentials from one study to the next is a real challenge due to inconsistency in referencing. Much of the early work </w:t>
      </w:r>
      <w:r w:rsidR="00FD0C5F" w:rsidRPr="59E9F7B1">
        <w:rPr>
          <w:rFonts w:ascii="Avenir LT Std 55 Roman" w:eastAsia="Calibri" w:hAnsi="Avenir LT Std 55 Roman" w:cs="Calibri"/>
          <w:sz w:val="17"/>
          <w:szCs w:val="17"/>
        </w:rPr>
        <w:t>in</w:t>
      </w:r>
      <w:r w:rsidRPr="59E9F7B1">
        <w:rPr>
          <w:rFonts w:ascii="Avenir LT Std 55 Roman" w:eastAsia="Calibri" w:hAnsi="Avenir LT Std 55 Roman" w:cs="Calibri"/>
          <w:sz w:val="17"/>
          <w:szCs w:val="17"/>
        </w:rPr>
        <w:t xml:space="preserve"> this field evaluates ROMs </w:t>
      </w:r>
      <w:r w:rsidR="00BC4D95" w:rsidRPr="59E9F7B1">
        <w:rPr>
          <w:rFonts w:ascii="Avenir LT Std 55 Roman" w:eastAsia="Calibri" w:hAnsi="Avenir LT Std 55 Roman" w:cs="Calibri"/>
          <w:sz w:val="17"/>
          <w:szCs w:val="17"/>
        </w:rPr>
        <w:t>vs</w:t>
      </w:r>
      <w:r w:rsidRPr="59E9F7B1">
        <w:rPr>
          <w:rFonts w:ascii="Avenir LT Std 55 Roman" w:eastAsia="Calibri" w:hAnsi="Avenir LT Std 55 Roman" w:cs="Calibri"/>
          <w:sz w:val="17"/>
          <w:szCs w:val="17"/>
        </w:rPr>
        <w:t xml:space="preserve"> Li, but the composition of the electrolytes was ever-changing. Other works have then directly compared the redox potentials of </w:t>
      </w:r>
      <w:r w:rsidR="006E7840" w:rsidRPr="59E9F7B1">
        <w:rPr>
          <w:rFonts w:ascii="Avenir LT Std 55 Roman" w:eastAsia="Calibri" w:hAnsi="Avenir LT Std 55 Roman" w:cs="Calibri"/>
          <w:sz w:val="17"/>
          <w:szCs w:val="17"/>
        </w:rPr>
        <w:t>derivatized</w:t>
      </w:r>
      <w:r w:rsidRPr="59E9F7B1">
        <w:rPr>
          <w:rFonts w:ascii="Avenir LT Std 55 Roman" w:eastAsia="Calibri" w:hAnsi="Avenir LT Std 55 Roman" w:cs="Calibri"/>
          <w:sz w:val="17"/>
          <w:szCs w:val="17"/>
        </w:rPr>
        <w:t xml:space="preserve"> ROMs such as TEMPO to systems employing QREs.</w:t>
      </w:r>
      <w:r w:rsidRPr="59E9F7B1">
        <w:rPr>
          <w:rFonts w:ascii="Avenir LT Std 55 Roman" w:eastAsia="Calibri" w:hAnsi="Avenir LT Std 55 Roman" w:cs="Calibri"/>
          <w:sz w:val="17"/>
          <w:szCs w:val="17"/>
        </w:rPr>
        <w:fldChar w:fldCharType="begin" w:fldLock="1"/>
      </w:r>
      <w:r w:rsidRPr="59E9F7B1">
        <w:rPr>
          <w:rFonts w:ascii="Avenir LT Std 55 Roman" w:eastAsia="Calibri" w:hAnsi="Avenir LT Std 55 Roman" w:cs="Calibri"/>
          <w:sz w:val="17"/>
          <w:szCs w:val="17"/>
        </w:rPr>
        <w:instrText>ADDIN CSL_CITATION {"citationItems":[{"id":"ITEM-1","itemData":{"DOI":"10.1016/j.jpowsour.2016.06.125","ISSN":"03787753","abstract":"Nonaqueous redox flow batteries (NAqRFBs) that utilize redox active organic molecules are an emerging energy storage concept with the possibility of meeting grid storage requirements. Sporadic and uneven advances in molecular discovery and development, however, have stymied efforts to quantify the performance characteristics of nonaqueous redox electrolytes and flow cells. A need exists for archetypal redox couples, with well-defined electrochemical properties, high solubility in relevant electrolytes, and broad availability, to serve as probe molecules. This work investigates the 4-acetamido-2,2,6,6-tetramethylpiperidine-1-oxyl (AcNH-TEMPO) redox pair for such an application. We report the physicochemical and electrochemical properties of the reduced and oxidized compounds at dilute concentrations for electroanalysis, as well as moderate-to-high concentrations for RFB applications. Changes in conductivity, viscosity, and UV–vis absorbance as a function of state-of-charge are quantified. Cyclic voltammetry investigates the redox potential, reversibility, and diffusion coefficients of dilute solutions, while symmetric flow cell cycling determines the stability of the AcNH-TEMPO redox pair over long experiment times. Finally, single electrolyte flow cell studies demonstrate the utility of this redox couple as a platform chemistry for benchmarking NAqRFB performance.","author":[{"dropping-particle":"","family":"Milshtein","given":"Jarrod D.","non-dropping-particle":"","parse-names":false,"suffix":""},{"dropping-particle":"","family":"Barton","given":"John L.","non-dropping-particle":"","parse-names":false,"suffix":""},{"dropping-particle":"","family":"Darling","given":"Robert M.","non-dropping-particle":"","parse-names":false,"suffix":""},{"dropping-particle":"","family":"Brushett","given":"Fikile R.","non-dropping-particle":"","parse-names":false,"suffix":""}],"container-title":"Journal of Power Sources","id":"ITEM-1","issued":{"date-parts":[["2016"]]},"page":"151-159","publisher":"Elsevier B.V","title":"4-Acetamido-2,2,6,6-Tetramethylpiperidine-1-Oxyl As a Model Organic Redox Active Compound for Nonaqueous Flow Batteries","type":"article-journal","volume":"327"},"uris":["http://www.mendeley.com/documents/?uuid=14574597-88f5-4a5f-827b-da1d48e90df7"]}],"mendeley":{"formattedCitation":"&lt;sup&gt;13&lt;/sup&gt;","plainTextFormattedCitation":"13","previouslyFormattedCitation":"&lt;sup&gt;13&lt;/sup&gt;"},"properties":{"noteIndex":0},"schema":"https://github.com/citation-style-language/schema/raw/master/csl-citation.json"}</w:instrText>
      </w:r>
      <w:r w:rsidRPr="59E9F7B1">
        <w:rPr>
          <w:rFonts w:ascii="Avenir LT Std 55 Roman" w:eastAsia="Calibri" w:hAnsi="Avenir LT Std 55 Roman" w:cs="Calibri"/>
          <w:sz w:val="17"/>
          <w:szCs w:val="17"/>
        </w:rPr>
        <w:fldChar w:fldCharType="separate"/>
      </w:r>
      <w:r w:rsidR="006E7840" w:rsidRPr="59E9F7B1">
        <w:rPr>
          <w:rFonts w:ascii="Avenir LT Std 55 Roman" w:eastAsia="Calibri" w:hAnsi="Avenir LT Std 55 Roman" w:cs="Calibri"/>
          <w:noProof/>
          <w:sz w:val="17"/>
          <w:szCs w:val="17"/>
          <w:vertAlign w:val="superscript"/>
        </w:rPr>
        <w:t>13</w:t>
      </w:r>
      <w:r w:rsidRPr="59E9F7B1">
        <w:rPr>
          <w:rFonts w:ascii="Avenir LT Std 55 Roman" w:eastAsia="Calibri" w:hAnsi="Avenir LT Std 55 Roman" w:cs="Calibri"/>
          <w:sz w:val="17"/>
          <w:szCs w:val="17"/>
        </w:rPr>
        <w:fldChar w:fldCharType="end"/>
      </w:r>
      <w:r w:rsidRPr="59E9F7B1">
        <w:rPr>
          <w:rFonts w:ascii="Avenir LT Std 55 Roman" w:eastAsia="Calibri" w:hAnsi="Avenir LT Std 55 Roman" w:cs="Calibri"/>
          <w:sz w:val="17"/>
          <w:szCs w:val="17"/>
        </w:rPr>
        <w:t xml:space="preserve"> The persistence in trying to relate all battery research to lithium systems is resulting </w:t>
      </w:r>
      <w:r w:rsidRPr="59E9F7B1">
        <w:rPr>
          <w:rFonts w:ascii="Avenir LT Std 55 Roman" w:eastAsia="Calibri" w:hAnsi="Avenir LT Std 55 Roman" w:cs="Calibri"/>
          <w:sz w:val="17"/>
          <w:szCs w:val="17"/>
        </w:rPr>
        <w:lastRenderedPageBreak/>
        <w:t xml:space="preserve">in none of the systems being relatable or reliable. Recently, </w:t>
      </w:r>
      <w:r w:rsidR="006E7840" w:rsidRPr="59E9F7B1">
        <w:rPr>
          <w:rFonts w:ascii="Avenir LT Std 55 Roman" w:eastAsia="Calibri" w:hAnsi="Avenir LT Std 55 Roman" w:cs="Calibri"/>
          <w:sz w:val="17"/>
          <w:szCs w:val="17"/>
        </w:rPr>
        <w:t>standardization</w:t>
      </w:r>
      <w:r w:rsidRPr="59E9F7B1">
        <w:rPr>
          <w:rFonts w:ascii="Avenir LT Std 55 Roman" w:eastAsia="Calibri" w:hAnsi="Avenir LT Std 55 Roman" w:cs="Calibri"/>
          <w:sz w:val="17"/>
          <w:szCs w:val="17"/>
        </w:rPr>
        <w:t xml:space="preserve"> has been attempted within NARFB research, with recommendations to use the ferrocene couple routinely</w:t>
      </w:r>
      <w:r w:rsidR="008753E8" w:rsidRPr="59E9F7B1">
        <w:rPr>
          <w:rFonts w:ascii="Avenir LT Std 55 Roman" w:eastAsia="Calibri" w:hAnsi="Avenir LT Std 55 Roman" w:cs="Calibri"/>
          <w:sz w:val="17"/>
          <w:szCs w:val="17"/>
        </w:rPr>
        <w:t>, but none regarding the actual RE to be used</w:t>
      </w:r>
      <w:r w:rsidRPr="59E9F7B1">
        <w:rPr>
          <w:rFonts w:ascii="Avenir LT Std 55 Roman" w:eastAsia="Calibri" w:hAnsi="Avenir LT Std 55 Roman" w:cs="Calibri"/>
          <w:sz w:val="17"/>
          <w:szCs w:val="17"/>
        </w:rPr>
        <w:t>.</w:t>
      </w:r>
      <w:r w:rsidRPr="59E9F7B1">
        <w:rPr>
          <w:rFonts w:ascii="Avenir LT Std 55 Roman" w:eastAsia="Calibri" w:hAnsi="Avenir LT Std 55 Roman" w:cs="Calibri"/>
          <w:sz w:val="17"/>
          <w:szCs w:val="17"/>
        </w:rPr>
        <w:fldChar w:fldCharType="begin" w:fldLock="1"/>
      </w:r>
      <w:r w:rsidRPr="59E9F7B1">
        <w:rPr>
          <w:rFonts w:ascii="Avenir LT Std 55 Roman" w:eastAsia="Calibri" w:hAnsi="Avenir LT Std 55 Roman" w:cs="Calibri"/>
          <w:sz w:val="17"/>
          <w:szCs w:val="17"/>
        </w:rPr>
        <w:instrText>ADDIN CSL_CITATION {"citationItems":[{"id":"ITEM-1","itemData":{"DOI":"10.1021/acsenergylett.1c01675","ISSN":"2380-8195","author":[{"dropping-particle":"","family":"Li","given":"Min","non-dropping-particle":"","parse-names":false,"suffix":""},{"dropping-particle":"","family":"Odom","given":"Susan A.","non-dropping-particle":"","parse-names":false,"suffix":""},{"dropping-particle":"","family":"Pancoast","given":"Adam R.","non-dropping-particle":"","parse-names":false,"suffix":""},{"dropping-particle":"","family":"Robertson","given":"Lily A.","non-dropping-particle":"","parse-names":false,"suffix":""},{"dropping-particle":"","family":"Vaid","given":"Thomas P.","non-dropping-particle":"","parse-names":false,"suffix":""},{"dropping-particle":"","family":"Agarwal","given":"Garvit","non-dropping-particle":"","parse-names":false,"suffix":""},{"dropping-particle":"","family":"Doan","given":"Hieu A.","non-dropping-particle":"","parse-names":false,"suffix":""},{"dropping-particle":"","family":"Wang","given":"Yilin","non-dropping-particle":"","parse-names":false,"suffix":""},{"dropping-particle":"","family":"Suduwella","given":"T. Malsha","non-dropping-particle":"","parse-names":false,"suffix":""},{"dropping-particle":"","family":"Bheemireddy","given":"Sambasiva R.","non-dropping-particle":"","parse-names":false,"suffix":""},{"dropping-particle":"","family":"Ewoldt","given":"Randy H.","non-dropping-particle":"","parse-names":false,"suffix":""},{"dropping-particle":"","family":"Assary","given":"Rajeev S.","non-dropping-particle":"","parse-names":false,"suffix":""},{"dropping-particle":"","family":"Zhang","given":"Lu","non-dropping-particle":"","parse-names":false,"suffix":""},{"dropping-particle":"","family":"Sigman","given":"Matthew S.","non-dropping-particle":"","parse-names":false,"suffix":""},{"dropping-particle":"","family":"Minteer","given":"Shelley D.","non-dropping-particle":"","parse-names":false,"suffix":""}],"container-title":"ACS Energy Letters","id":"ITEM-1","issued":{"date-parts":[["2021"]]},"page":"3932-3943","title":"Experimental Protocols for Studying Organic Non-aqueous Redox Flow Batteries","type":"article-journal","volume":"6"},"uris":["http://www.mendeley.com/documents/?uuid=7d7695a2-4924-49d7-a965-a329edb1ba07"]}],"mendeley":{"formattedCitation":"&lt;sup&gt;14&lt;/sup&gt;","plainTextFormattedCitation":"14","previouslyFormattedCitation":"&lt;sup&gt;14&lt;/sup&gt;"},"properties":{"noteIndex":0},"schema":"https://github.com/citation-style-language/schema/raw/master/csl-citation.json"}</w:instrText>
      </w:r>
      <w:r w:rsidRPr="59E9F7B1">
        <w:rPr>
          <w:rFonts w:ascii="Avenir LT Std 55 Roman" w:eastAsia="Calibri" w:hAnsi="Avenir LT Std 55 Roman" w:cs="Calibri"/>
          <w:sz w:val="17"/>
          <w:szCs w:val="17"/>
        </w:rPr>
        <w:fldChar w:fldCharType="separate"/>
      </w:r>
      <w:r w:rsidR="006E7840" w:rsidRPr="59E9F7B1">
        <w:rPr>
          <w:rFonts w:ascii="Avenir LT Std 55 Roman" w:eastAsia="Calibri" w:hAnsi="Avenir LT Std 55 Roman" w:cs="Calibri"/>
          <w:noProof/>
          <w:sz w:val="17"/>
          <w:szCs w:val="17"/>
          <w:vertAlign w:val="superscript"/>
        </w:rPr>
        <w:t>14</w:t>
      </w:r>
      <w:r w:rsidRPr="59E9F7B1">
        <w:rPr>
          <w:rFonts w:ascii="Avenir LT Std 55 Roman" w:eastAsia="Calibri" w:hAnsi="Avenir LT Std 55 Roman" w:cs="Calibri"/>
          <w:sz w:val="17"/>
          <w:szCs w:val="17"/>
        </w:rPr>
        <w:fldChar w:fldCharType="end"/>
      </w:r>
      <w:r w:rsidRPr="59E9F7B1">
        <w:rPr>
          <w:rFonts w:ascii="Avenir LT Std 55 Roman" w:eastAsia="Calibri" w:hAnsi="Avenir LT Std 55 Roman" w:cs="Calibri"/>
          <w:sz w:val="17"/>
          <w:szCs w:val="17"/>
        </w:rPr>
        <w:t xml:space="preserve"> </w:t>
      </w:r>
    </w:p>
    <w:p w14:paraId="5B685C72" w14:textId="77777777" w:rsidR="00BA57C6" w:rsidRPr="00316CB0" w:rsidRDefault="00BA57C6" w:rsidP="00316CB0">
      <w:pPr>
        <w:spacing w:line="276" w:lineRule="auto"/>
        <w:rPr>
          <w:rFonts w:ascii="Avenir LT Std 55 Roman" w:hAnsi="Avenir LT Std 55 Roman"/>
          <w:color w:val="1F736E"/>
          <w:sz w:val="17"/>
          <w:szCs w:val="17"/>
        </w:rPr>
      </w:pPr>
    </w:p>
    <w:p w14:paraId="4DAF5C27" w14:textId="35D8EB82" w:rsidR="00EF18B6" w:rsidRPr="00316CB0" w:rsidRDefault="00316CB0" w:rsidP="00316CB0">
      <w:pPr>
        <w:spacing w:after="60" w:line="276" w:lineRule="auto"/>
        <w:rPr>
          <w:rFonts w:ascii="Avenir LT Std 55 Roman" w:hAnsi="Avenir LT Std 55 Roman"/>
          <w:b/>
          <w:color w:val="AB4C4C"/>
          <w:sz w:val="17"/>
          <w:szCs w:val="17"/>
        </w:rPr>
      </w:pPr>
      <w:r w:rsidRPr="00316CB0">
        <w:rPr>
          <w:rFonts w:ascii="Avenir LT Std 55 Roman" w:hAnsi="Avenir LT Std 55 Roman"/>
          <w:b/>
          <w:color w:val="AB4C4C"/>
          <w:sz w:val="17"/>
          <w:szCs w:val="17"/>
        </w:rPr>
        <w:t xml:space="preserve">Electrochemical Set-Ups </w:t>
      </w:r>
    </w:p>
    <w:p w14:paraId="75F1AC0D" w14:textId="4E823148" w:rsidR="005C6BF9" w:rsidRPr="00316CB0" w:rsidRDefault="71BDFECB" w:rsidP="00316CB0">
      <w:pPr>
        <w:spacing w:line="276" w:lineRule="auto"/>
        <w:jc w:val="both"/>
        <w:rPr>
          <w:rFonts w:ascii="Avenir LT Std 55 Roman" w:eastAsia="Calibri" w:hAnsi="Avenir LT Std 55 Roman" w:cs="Calibri"/>
          <w:sz w:val="17"/>
          <w:szCs w:val="17"/>
        </w:rPr>
      </w:pPr>
      <w:r w:rsidRPr="59E9F7B1">
        <w:rPr>
          <w:rFonts w:ascii="Avenir LT Std 55 Roman" w:eastAsia="Calibri" w:hAnsi="Avenir LT Std 55 Roman" w:cs="Calibri"/>
          <w:color w:val="000000" w:themeColor="text1"/>
          <w:sz w:val="17"/>
          <w:szCs w:val="17"/>
        </w:rPr>
        <w:t xml:space="preserve">Two-electrode cells are routinely used in LIB research due to the assumption that the electrochemical response of the CE is </w:t>
      </w:r>
      <w:r w:rsidRPr="59E9F7B1">
        <w:rPr>
          <w:rFonts w:ascii="Avenir LT Std 55 Roman" w:eastAsia="Calibri" w:hAnsi="Avenir LT Std 55 Roman" w:cs="Calibri"/>
          <w:i/>
          <w:iCs/>
          <w:color w:val="000000" w:themeColor="text1"/>
          <w:sz w:val="17"/>
          <w:szCs w:val="17"/>
        </w:rPr>
        <w:t>‘negligible’</w:t>
      </w:r>
      <w:r w:rsidRPr="59E9F7B1">
        <w:rPr>
          <w:rFonts w:ascii="Avenir LT Std 55 Roman" w:eastAsia="Calibri" w:hAnsi="Avenir LT Std 55 Roman" w:cs="Calibri"/>
          <w:color w:val="000000" w:themeColor="text1"/>
          <w:sz w:val="17"/>
          <w:szCs w:val="17"/>
        </w:rPr>
        <w:t>, having minimal effect on the working potential. However, best practice would be to use a three-electrode cell to account for failure of this assumption.</w:t>
      </w:r>
      <w:r w:rsidRPr="59E9F7B1">
        <w:rPr>
          <w:rFonts w:ascii="Avenir LT Std 55 Roman" w:eastAsia="Calibri" w:hAnsi="Avenir LT Std 55 Roman" w:cs="Calibri"/>
          <w:sz w:val="17"/>
          <w:szCs w:val="17"/>
        </w:rPr>
        <w:t xml:space="preserve"> For example, this assumption is invalid in post-Li systems and so the use of </w:t>
      </w:r>
      <w:r w:rsidRPr="59E9F7B1">
        <w:rPr>
          <w:rFonts w:ascii="Avenir LT Std 55 Roman" w:eastAsia="Calibri" w:hAnsi="Avenir LT Std 55 Roman" w:cs="Calibri"/>
          <w:color w:val="000000" w:themeColor="text1"/>
          <w:sz w:val="17"/>
          <w:szCs w:val="17"/>
        </w:rPr>
        <w:t xml:space="preserve">a </w:t>
      </w:r>
      <w:r w:rsidR="00B107F9">
        <w:rPr>
          <w:rFonts w:ascii="Avenir LT Std 55 Roman" w:eastAsia="Calibri" w:hAnsi="Avenir LT Std 55 Roman" w:cs="Calibri"/>
          <w:color w:val="000000" w:themeColor="text1"/>
          <w:sz w:val="17"/>
          <w:szCs w:val="17"/>
        </w:rPr>
        <w:t>RE</w:t>
      </w:r>
      <w:r w:rsidRPr="59E9F7B1">
        <w:rPr>
          <w:rFonts w:ascii="Avenir LT Std 55 Roman" w:eastAsia="Calibri" w:hAnsi="Avenir LT Std 55 Roman" w:cs="Calibri"/>
          <w:color w:val="000000" w:themeColor="text1"/>
          <w:sz w:val="17"/>
          <w:szCs w:val="17"/>
        </w:rPr>
        <w:t xml:space="preserve"> is mandatory.</w:t>
      </w:r>
      <w:r w:rsidRPr="59E9F7B1">
        <w:rPr>
          <w:rFonts w:ascii="Avenir LT Std 55 Roman" w:eastAsia="Calibri" w:hAnsi="Avenir LT Std 55 Roman" w:cs="Calibri"/>
          <w:color w:val="000000" w:themeColor="text1"/>
          <w:sz w:val="17"/>
          <w:szCs w:val="17"/>
        </w:rPr>
        <w:fldChar w:fldCharType="begin" w:fldLock="1"/>
      </w:r>
      <w:r w:rsidRPr="59E9F7B1">
        <w:rPr>
          <w:rFonts w:ascii="Avenir LT Std 55 Roman" w:eastAsia="Calibri" w:hAnsi="Avenir LT Std 55 Roman" w:cs="Calibri"/>
          <w:color w:val="000000" w:themeColor="text1"/>
          <w:sz w:val="17"/>
          <w:szCs w:val="17"/>
        </w:rPr>
        <w:instrText>ADDIN CSL_CITATION {"citationItems":[{"id":"ITEM-1","itemData":{"DOI":"10.1021/acs.chemmater.9b02776","ISSN":"15205002","abstract":"While less mature than the Li-ion battery, technologies based on Na, K, Mg, and Ca are attracting more and more attention from the battery community. New material (cathode, anode, or electrolyte) testing for these post-Li systems commonly involves the use of an electrochemical setup called a half-cell in which metal counter and reference electrodes are used. Here we first describe the different issues that become critical when moving away from Li with respect to the cell hardware (cell design, current collector, separator, insulator) and the nature of the counter and reference electrodes. Workarounds are given, and a versatile setup is proposed to run reliable electrochemical tests for post-Li battery materials in general, in a broad range of electrolyte compositions. ©","author":[{"dropping-particle":"","family":"Dugas","given":"Romain","non-dropping-particle":"","parse-names":false,"suffix":""},{"dropping-particle":"","family":"Forero-Saboya","given":"Juan D.","non-dropping-particle":"","parse-names":false,"suffix":""},{"dropping-particle":"","family":"Ponrouch","given":"Alexandre","non-dropping-particle":"","parse-names":false,"suffix":""}],"container-title":"Chemistry of Materials","id":"ITEM-1","issued":{"date-parts":[["2019"]]},"page":"8613-8628","title":"Methods and Protocols for Reliable Electrochemical Testing in Post-Li Batteries (Na, K, Mg, and Ca)","type":"article-journal","volume":"31"},"uris":["http://www.mendeley.com/documents/?uuid=269f0c9e-ec51-44ff-9720-3b2ea5b88141"]}],"mendeley":{"formattedCitation":"&lt;sup&gt;4&lt;/sup&gt;","plainTextFormattedCitation":"4","previouslyFormattedCitation":"&lt;sup&gt;4&lt;/sup&gt;"},"properties":{"noteIndex":0},"schema":"https://github.com/citation-style-language/schema/raw/master/csl-citation.json"}</w:instrText>
      </w:r>
      <w:r w:rsidRPr="59E9F7B1">
        <w:rPr>
          <w:rFonts w:ascii="Avenir LT Std 55 Roman" w:eastAsia="Calibri" w:hAnsi="Avenir LT Std 55 Roman" w:cs="Calibri"/>
          <w:color w:val="000000" w:themeColor="text1"/>
          <w:sz w:val="17"/>
          <w:szCs w:val="17"/>
        </w:rPr>
        <w:fldChar w:fldCharType="separate"/>
      </w:r>
      <w:r w:rsidR="006E7840" w:rsidRPr="59E9F7B1">
        <w:rPr>
          <w:rFonts w:ascii="Avenir LT Std 55 Roman" w:eastAsia="Calibri" w:hAnsi="Avenir LT Std 55 Roman" w:cs="Calibri"/>
          <w:noProof/>
          <w:color w:val="000000" w:themeColor="text1"/>
          <w:sz w:val="17"/>
          <w:szCs w:val="17"/>
          <w:vertAlign w:val="superscript"/>
        </w:rPr>
        <w:t>4</w:t>
      </w:r>
      <w:r w:rsidRPr="59E9F7B1">
        <w:rPr>
          <w:rFonts w:ascii="Avenir LT Std 55 Roman" w:eastAsia="Calibri" w:hAnsi="Avenir LT Std 55 Roman" w:cs="Calibri"/>
          <w:color w:val="000000" w:themeColor="text1"/>
          <w:sz w:val="17"/>
          <w:szCs w:val="17"/>
        </w:rPr>
        <w:fldChar w:fldCharType="end"/>
      </w:r>
      <w:r w:rsidRPr="59E9F7B1">
        <w:rPr>
          <w:rFonts w:ascii="Avenir LT Std 55 Roman" w:eastAsia="Calibri" w:hAnsi="Avenir LT Std 55 Roman" w:cs="Calibri"/>
          <w:sz w:val="17"/>
          <w:szCs w:val="17"/>
        </w:rPr>
        <w:t xml:space="preserve"> Within battery research</w:t>
      </w:r>
      <w:r w:rsidR="003D2839" w:rsidRPr="59E9F7B1">
        <w:rPr>
          <w:rFonts w:ascii="Avenir LT Std 55 Roman" w:eastAsia="Calibri" w:hAnsi="Avenir LT Std 55 Roman" w:cs="Calibri"/>
          <w:sz w:val="17"/>
          <w:szCs w:val="17"/>
        </w:rPr>
        <w:t>,</w:t>
      </w:r>
      <w:r w:rsidRPr="59E9F7B1">
        <w:rPr>
          <w:rFonts w:ascii="Avenir LT Std 55 Roman" w:eastAsia="Calibri" w:hAnsi="Avenir LT Std 55 Roman" w:cs="Calibri"/>
          <w:sz w:val="17"/>
          <w:szCs w:val="17"/>
        </w:rPr>
        <w:t xml:space="preserve"> several three-electrode </w:t>
      </w:r>
      <w:r w:rsidR="00BC4A71" w:rsidRPr="59E9F7B1">
        <w:rPr>
          <w:rFonts w:ascii="Avenir LT Std 55 Roman" w:eastAsia="Calibri" w:hAnsi="Avenir LT Std 55 Roman" w:cs="Calibri"/>
          <w:sz w:val="17"/>
          <w:szCs w:val="17"/>
        </w:rPr>
        <w:t>cells</w:t>
      </w:r>
      <w:r w:rsidRPr="59E9F7B1">
        <w:rPr>
          <w:rFonts w:ascii="Avenir LT Std 55 Roman" w:eastAsia="Calibri" w:hAnsi="Avenir LT Std 55 Roman" w:cs="Calibri"/>
          <w:sz w:val="17"/>
          <w:szCs w:val="17"/>
        </w:rPr>
        <w:t xml:space="preserve"> are employed including beaker cells, Swagelok cells</w:t>
      </w:r>
      <w:r w:rsidR="005C6BF9" w:rsidRPr="59E9F7B1">
        <w:rPr>
          <w:rFonts w:ascii="Avenir LT Std 55 Roman" w:eastAsia="Calibri" w:hAnsi="Avenir LT Std 55 Roman" w:cs="Calibri"/>
          <w:sz w:val="17"/>
          <w:szCs w:val="17"/>
        </w:rPr>
        <w:t xml:space="preserve">, </w:t>
      </w:r>
      <w:r w:rsidRPr="59E9F7B1">
        <w:rPr>
          <w:rFonts w:ascii="Avenir LT Std 55 Roman" w:eastAsia="Calibri" w:hAnsi="Avenir LT Std 55 Roman" w:cs="Calibri"/>
          <w:sz w:val="17"/>
          <w:szCs w:val="17"/>
        </w:rPr>
        <w:t>coin-cells (</w:t>
      </w:r>
      <w:r w:rsidR="00316CB0" w:rsidRPr="59E9F7B1">
        <w:rPr>
          <w:rFonts w:ascii="Avenir LT Std 55 Roman" w:eastAsia="Calibri" w:hAnsi="Avenir LT Std 55 Roman" w:cs="Calibri"/>
          <w:color w:val="4BACC6" w:themeColor="accent5"/>
          <w:sz w:val="17"/>
          <w:szCs w:val="17"/>
        </w:rPr>
        <w:t>Figure</w:t>
      </w:r>
      <w:r w:rsidRPr="59E9F7B1">
        <w:rPr>
          <w:rFonts w:ascii="Avenir LT Std 55 Roman" w:eastAsia="Calibri" w:hAnsi="Avenir LT Std 55 Roman" w:cs="Calibri"/>
          <w:color w:val="4BACC6" w:themeColor="accent5"/>
          <w:sz w:val="17"/>
          <w:szCs w:val="17"/>
        </w:rPr>
        <w:t xml:space="preserve"> </w:t>
      </w:r>
      <w:r w:rsidR="00BC4A71" w:rsidRPr="59E9F7B1">
        <w:rPr>
          <w:rFonts w:ascii="Avenir LT Std 55 Roman" w:eastAsia="Calibri" w:hAnsi="Avenir LT Std 55 Roman" w:cs="Calibri"/>
          <w:color w:val="4BACC6" w:themeColor="accent5"/>
          <w:sz w:val="17"/>
          <w:szCs w:val="17"/>
        </w:rPr>
        <w:t>3</w:t>
      </w:r>
      <w:r w:rsidRPr="59E9F7B1">
        <w:rPr>
          <w:rFonts w:ascii="Avenir LT Std 55 Roman" w:eastAsia="Calibri" w:hAnsi="Avenir LT Std 55 Roman" w:cs="Calibri"/>
          <w:sz w:val="17"/>
          <w:szCs w:val="17"/>
        </w:rPr>
        <w:t>)</w:t>
      </w:r>
      <w:r w:rsidR="00BC4A71" w:rsidRPr="59E9F7B1">
        <w:rPr>
          <w:rFonts w:ascii="Avenir LT Std 55 Roman" w:eastAsia="Calibri" w:hAnsi="Avenir LT Std 55 Roman" w:cs="Calibri"/>
          <w:sz w:val="17"/>
          <w:szCs w:val="17"/>
        </w:rPr>
        <w:t xml:space="preserve"> and the commercial El-cell (</w:t>
      </w:r>
      <w:r w:rsidR="00BC4A71" w:rsidRPr="59E9F7B1">
        <w:rPr>
          <w:rFonts w:ascii="Avenir LT Std 55 Roman" w:eastAsia="Calibri" w:hAnsi="Avenir LT Std 55 Roman" w:cs="Calibri"/>
          <w:color w:val="4BACC6" w:themeColor="accent5"/>
          <w:sz w:val="17"/>
          <w:szCs w:val="17"/>
        </w:rPr>
        <w:t>www.el-cell.com</w:t>
      </w:r>
      <w:r w:rsidR="00BC4A71" w:rsidRPr="59E9F7B1">
        <w:rPr>
          <w:rFonts w:ascii="Avenir LT Std 55 Roman" w:eastAsia="Calibri" w:hAnsi="Avenir LT Std 55 Roman" w:cs="Calibri"/>
          <w:sz w:val="17"/>
          <w:szCs w:val="17"/>
        </w:rPr>
        <w:t>)</w:t>
      </w:r>
      <w:r w:rsidR="54961044" w:rsidRPr="59E9F7B1">
        <w:rPr>
          <w:rFonts w:ascii="Avenir LT Std 55 Roman" w:eastAsia="Calibri" w:hAnsi="Avenir LT Std 55 Roman" w:cs="Calibri"/>
          <w:sz w:val="17"/>
          <w:szCs w:val="17"/>
        </w:rPr>
        <w:t xml:space="preserve">, the design of which is </w:t>
      </w:r>
      <w:r w:rsidR="342513D4" w:rsidRPr="59E9F7B1">
        <w:rPr>
          <w:rFonts w:ascii="Avenir LT Std 55 Roman" w:eastAsia="Calibri" w:hAnsi="Avenir LT Std 55 Roman" w:cs="Calibri"/>
          <w:sz w:val="17"/>
          <w:szCs w:val="17"/>
        </w:rPr>
        <w:t>of critical importance in NA media</w:t>
      </w:r>
      <w:r w:rsidR="1C3E02CE" w:rsidRPr="59E9F7B1">
        <w:rPr>
          <w:rFonts w:ascii="Avenir LT Std 55 Roman" w:eastAsia="Calibri" w:hAnsi="Avenir LT Std 55 Roman" w:cs="Calibri"/>
          <w:sz w:val="17"/>
          <w:szCs w:val="17"/>
        </w:rPr>
        <w:t xml:space="preserve"> to limit uncompensated resistance</w:t>
      </w:r>
      <w:r w:rsidR="28B57EB1" w:rsidRPr="59E9F7B1">
        <w:rPr>
          <w:rFonts w:ascii="Avenir LT Std 55 Roman" w:eastAsia="Calibri" w:hAnsi="Avenir LT Std 55 Roman" w:cs="Calibri"/>
          <w:sz w:val="17"/>
          <w:szCs w:val="17"/>
        </w:rPr>
        <w:t xml:space="preserve"> and further misreporting of </w:t>
      </w:r>
      <w:r w:rsidR="005F2222">
        <w:rPr>
          <w:rFonts w:ascii="Avenir LT Std 55 Roman" w:eastAsia="Calibri" w:hAnsi="Avenir LT Std 55 Roman" w:cs="Calibri"/>
          <w:sz w:val="17"/>
          <w:szCs w:val="17"/>
        </w:rPr>
        <w:t>WE</w:t>
      </w:r>
      <w:r w:rsidR="28B57EB1" w:rsidRPr="59E9F7B1">
        <w:rPr>
          <w:rFonts w:ascii="Avenir LT Std 55 Roman" w:eastAsia="Calibri" w:hAnsi="Avenir LT Std 55 Roman" w:cs="Calibri"/>
          <w:sz w:val="17"/>
          <w:szCs w:val="17"/>
        </w:rPr>
        <w:t xml:space="preserve"> </w:t>
      </w:r>
      <w:r w:rsidR="00FD0C5F" w:rsidRPr="59E9F7B1">
        <w:rPr>
          <w:rFonts w:ascii="Avenir LT Std 55 Roman" w:eastAsia="Calibri" w:hAnsi="Avenir LT Std 55 Roman" w:cs="Calibri"/>
          <w:sz w:val="17"/>
          <w:szCs w:val="17"/>
        </w:rPr>
        <w:t>potentials</w:t>
      </w:r>
      <w:r w:rsidRPr="59E9F7B1">
        <w:rPr>
          <w:rFonts w:ascii="Avenir LT Std 55 Roman" w:eastAsia="Calibri" w:hAnsi="Avenir LT Std 55 Roman" w:cs="Calibri"/>
          <w:sz w:val="17"/>
          <w:szCs w:val="17"/>
        </w:rPr>
        <w:t>. A more detailed comparison is outlined by Dugas et al.</w:t>
      </w:r>
      <w:r w:rsidRPr="59E9F7B1">
        <w:rPr>
          <w:rFonts w:ascii="Avenir LT Std 55 Roman" w:eastAsia="Calibri" w:hAnsi="Avenir LT Std 55 Roman" w:cs="Calibri"/>
          <w:sz w:val="17"/>
          <w:szCs w:val="17"/>
        </w:rPr>
        <w:fldChar w:fldCharType="begin" w:fldLock="1"/>
      </w:r>
      <w:r w:rsidRPr="59E9F7B1">
        <w:rPr>
          <w:rFonts w:ascii="Avenir LT Std 55 Roman" w:eastAsia="Calibri" w:hAnsi="Avenir LT Std 55 Roman" w:cs="Calibri"/>
          <w:sz w:val="17"/>
          <w:szCs w:val="17"/>
        </w:rPr>
        <w:instrText>ADDIN CSL_CITATION {"citationItems":[{"id":"ITEM-1","itemData":{"DOI":"10.1021/acs.chemmater.9b02776","ISSN":"15205002","abstract":"While less mature than the Li-ion battery, technologies based on Na, K, Mg, and Ca are attracting more and more attention from the battery community. New material (cathode, anode, or electrolyte) testing for these post-Li systems commonly involves the use of an electrochemical setup called a half-cell in which metal counter and reference electrodes are used. Here we first describe the different issues that become critical when moving away from Li with respect to the cell hardware (cell design, current collector, separator, insulator) and the nature of the counter and reference electrodes. Workarounds are given, and a versatile setup is proposed to run reliable electrochemical tests for post-Li battery materials in general, in a broad range of electrolyte compositions. ©","author":[{"dropping-particle":"","family":"Dugas","given":"Romain","non-dropping-particle":"","parse-names":false,"suffix":""},{"dropping-particle":"","family":"Forero-Saboya","given":"Juan D.","non-dropping-particle":"","parse-names":false,"suffix":""},{"dropping-particle":"","family":"Ponrouch","given":"Alexandre","non-dropping-particle":"","parse-names":false,"suffix":""}],"container-title":"Chemistry of Materials","id":"ITEM-1","issued":{"date-parts":[["2019"]]},"page":"8613-8628","title":"Methods and Protocols for Reliable Electrochemical Testing in Post-Li Batteries (Na, K, Mg, and Ca)","type":"article-journal","volume":"31"},"uris":["http://www.mendeley.com/documents/?uuid=269f0c9e-ec51-44ff-9720-3b2ea5b88141"]}],"mendeley":{"formattedCitation":"&lt;sup&gt;4&lt;/sup&gt;","plainTextFormattedCitation":"4","previouslyFormattedCitation":"&lt;sup&gt;4&lt;/sup&gt;"},"properties":{"noteIndex":0},"schema":"https://github.com/citation-style-language/schema/raw/master/csl-citation.json"}</w:instrText>
      </w:r>
      <w:r w:rsidRPr="59E9F7B1">
        <w:rPr>
          <w:rFonts w:ascii="Avenir LT Std 55 Roman" w:eastAsia="Calibri" w:hAnsi="Avenir LT Std 55 Roman" w:cs="Calibri"/>
          <w:sz w:val="17"/>
          <w:szCs w:val="17"/>
        </w:rPr>
        <w:fldChar w:fldCharType="separate"/>
      </w:r>
      <w:r w:rsidR="006E7840" w:rsidRPr="59E9F7B1">
        <w:rPr>
          <w:rFonts w:ascii="Avenir LT Std 55 Roman" w:eastAsia="Calibri" w:hAnsi="Avenir LT Std 55 Roman" w:cs="Calibri"/>
          <w:noProof/>
          <w:sz w:val="17"/>
          <w:szCs w:val="17"/>
          <w:vertAlign w:val="superscript"/>
        </w:rPr>
        <w:t>4</w:t>
      </w:r>
      <w:r w:rsidRPr="59E9F7B1">
        <w:rPr>
          <w:rFonts w:ascii="Avenir LT Std 55 Roman" w:eastAsia="Calibri" w:hAnsi="Avenir LT Std 55 Roman" w:cs="Calibri"/>
          <w:sz w:val="17"/>
          <w:szCs w:val="17"/>
        </w:rPr>
        <w:fldChar w:fldCharType="end"/>
      </w:r>
      <w:r w:rsidRPr="59E9F7B1">
        <w:rPr>
          <w:rFonts w:ascii="Avenir LT Std 55 Roman" w:eastAsia="Calibri" w:hAnsi="Avenir LT Std 55 Roman" w:cs="Calibri"/>
          <w:sz w:val="17"/>
          <w:szCs w:val="17"/>
        </w:rPr>
        <w:t xml:space="preserve">, but in brief, the use of beaker cells limits airtightness, and thus practicality for long-term measurements, </w:t>
      </w:r>
      <w:r w:rsidR="00E01FFB" w:rsidRPr="59E9F7B1">
        <w:rPr>
          <w:rFonts w:ascii="Avenir LT Std 55 Roman" w:eastAsia="Calibri" w:hAnsi="Avenir LT Std 55 Roman" w:cs="Calibri"/>
          <w:sz w:val="17"/>
          <w:szCs w:val="17"/>
        </w:rPr>
        <w:t xml:space="preserve">as well as providing an unrealistic comparison to Li- and post-Li batteries due to the large excess of electrolyte. They do, however, </w:t>
      </w:r>
      <w:r w:rsidRPr="59E9F7B1">
        <w:rPr>
          <w:rFonts w:ascii="Avenir LT Std 55 Roman" w:eastAsia="Calibri" w:hAnsi="Avenir LT Std 55 Roman" w:cs="Calibri"/>
          <w:sz w:val="17"/>
          <w:szCs w:val="17"/>
        </w:rPr>
        <w:t>allow the use of large</w:t>
      </w:r>
      <w:r w:rsidR="08B73BE4" w:rsidRPr="59E9F7B1">
        <w:rPr>
          <w:rFonts w:ascii="Avenir LT Std 55 Roman" w:eastAsia="Calibri" w:hAnsi="Avenir LT Std 55 Roman" w:cs="Calibri"/>
          <w:sz w:val="17"/>
          <w:szCs w:val="17"/>
        </w:rPr>
        <w:t>,</w:t>
      </w:r>
      <w:r w:rsidRPr="59E9F7B1">
        <w:rPr>
          <w:rFonts w:ascii="Avenir LT Std 55 Roman" w:eastAsia="Calibri" w:hAnsi="Avenir LT Std 55 Roman" w:cs="Calibri"/>
          <w:sz w:val="17"/>
          <w:szCs w:val="17"/>
        </w:rPr>
        <w:t xml:space="preserve"> </w:t>
      </w:r>
      <w:r w:rsidR="00C113FC" w:rsidRPr="59E9F7B1">
        <w:rPr>
          <w:rFonts w:ascii="Avenir LT Std 55 Roman" w:eastAsia="Calibri" w:hAnsi="Avenir LT Std 55 Roman" w:cs="Calibri"/>
          <w:sz w:val="17"/>
          <w:szCs w:val="17"/>
        </w:rPr>
        <w:t>fritted</w:t>
      </w:r>
      <w:r w:rsidRPr="59E9F7B1">
        <w:rPr>
          <w:rFonts w:ascii="Avenir LT Std 55 Roman" w:eastAsia="Calibri" w:hAnsi="Avenir LT Std 55 Roman" w:cs="Calibri"/>
          <w:sz w:val="17"/>
          <w:szCs w:val="17"/>
        </w:rPr>
        <w:t xml:space="preserve"> </w:t>
      </w:r>
      <w:proofErr w:type="spellStart"/>
      <w:r w:rsidRPr="59E9F7B1">
        <w:rPr>
          <w:rFonts w:ascii="Avenir LT Std 55 Roman" w:eastAsia="Calibri" w:hAnsi="Avenir LT Std 55 Roman" w:cs="Calibri"/>
          <w:sz w:val="17"/>
          <w:szCs w:val="17"/>
        </w:rPr>
        <w:t>REs.</w:t>
      </w:r>
      <w:proofErr w:type="spellEnd"/>
      <w:r w:rsidRPr="59E9F7B1">
        <w:rPr>
          <w:rFonts w:ascii="Avenir LT Std 55 Roman" w:eastAsia="Calibri" w:hAnsi="Avenir LT Std 55 Roman" w:cs="Calibri"/>
          <w:sz w:val="17"/>
          <w:szCs w:val="17"/>
        </w:rPr>
        <w:t xml:space="preserve"> In stark contrast, the coin-cell</w:t>
      </w:r>
      <w:r w:rsidR="00E01FFB" w:rsidRPr="59E9F7B1">
        <w:rPr>
          <w:rFonts w:ascii="Avenir LT Std 55 Roman" w:eastAsia="Calibri" w:hAnsi="Avenir LT Std 55 Roman" w:cs="Calibri"/>
          <w:sz w:val="17"/>
          <w:szCs w:val="17"/>
        </w:rPr>
        <w:t>, El-</w:t>
      </w:r>
      <w:proofErr w:type="gramStart"/>
      <w:r w:rsidR="00E01FFB" w:rsidRPr="59E9F7B1">
        <w:rPr>
          <w:rFonts w:ascii="Avenir LT Std 55 Roman" w:eastAsia="Calibri" w:hAnsi="Avenir LT Std 55 Roman" w:cs="Calibri"/>
          <w:sz w:val="17"/>
          <w:szCs w:val="17"/>
        </w:rPr>
        <w:t>Cell</w:t>
      </w:r>
      <w:proofErr w:type="gramEnd"/>
      <w:r w:rsidR="00C113FC" w:rsidRPr="59E9F7B1">
        <w:rPr>
          <w:rFonts w:ascii="Avenir LT Std 55 Roman" w:eastAsia="Calibri" w:hAnsi="Avenir LT Std 55 Roman" w:cs="Calibri"/>
          <w:sz w:val="17"/>
          <w:szCs w:val="17"/>
        </w:rPr>
        <w:t xml:space="preserve"> </w:t>
      </w:r>
      <w:r w:rsidR="000715E2" w:rsidRPr="59E9F7B1">
        <w:rPr>
          <w:rFonts w:ascii="Avenir LT Std 55 Roman" w:eastAsia="Calibri" w:hAnsi="Avenir LT Std 55 Roman" w:cs="Calibri"/>
          <w:sz w:val="17"/>
          <w:szCs w:val="17"/>
        </w:rPr>
        <w:t xml:space="preserve">and </w:t>
      </w:r>
      <w:r w:rsidRPr="59E9F7B1">
        <w:rPr>
          <w:rFonts w:ascii="Avenir LT Std 55 Roman" w:eastAsia="Calibri" w:hAnsi="Avenir LT Std 55 Roman" w:cs="Calibri"/>
          <w:sz w:val="17"/>
          <w:szCs w:val="17"/>
        </w:rPr>
        <w:t xml:space="preserve">Swagelok-cell offer a sealed testing system but are limited to thin wire QREs. The small </w:t>
      </w:r>
      <w:r w:rsidR="003D2839" w:rsidRPr="59E9F7B1">
        <w:rPr>
          <w:rFonts w:ascii="Avenir LT Std 55 Roman" w:eastAsia="Calibri" w:hAnsi="Avenir LT Std 55 Roman" w:cs="Calibri"/>
          <w:sz w:val="17"/>
          <w:szCs w:val="17"/>
        </w:rPr>
        <w:t xml:space="preserve">electrolyte </w:t>
      </w:r>
      <w:r w:rsidRPr="59E9F7B1">
        <w:rPr>
          <w:rFonts w:ascii="Avenir LT Std 55 Roman" w:eastAsia="Calibri" w:hAnsi="Avenir LT Std 55 Roman" w:cs="Calibri"/>
          <w:sz w:val="17"/>
          <w:szCs w:val="17"/>
        </w:rPr>
        <w:t xml:space="preserve">volumes used may lead to more significant interference from an IRRS, limiting their implementation in such set-ups. The discovery of more reliable and stable REs is therefore of utmost importance. </w:t>
      </w:r>
    </w:p>
    <w:p w14:paraId="5B6F1CBB" w14:textId="287E8A51" w:rsidR="000765D1" w:rsidRDefault="005C6BF9" w:rsidP="003C494F">
      <w:pPr>
        <w:spacing w:line="276" w:lineRule="auto"/>
        <w:ind w:firstLine="426"/>
        <w:jc w:val="both"/>
        <w:rPr>
          <w:rFonts w:ascii="Avenir LT Std 55 Roman" w:eastAsia="Calibri" w:hAnsi="Avenir LT Std 55 Roman" w:cs="Calibri"/>
          <w:sz w:val="17"/>
          <w:szCs w:val="17"/>
        </w:rPr>
      </w:pPr>
      <w:r w:rsidRPr="59E9F7B1">
        <w:rPr>
          <w:rFonts w:ascii="Avenir LT Std 55 Roman" w:eastAsia="Calibri" w:hAnsi="Avenir LT Std 55 Roman" w:cs="Calibri"/>
          <w:sz w:val="17"/>
          <w:szCs w:val="17"/>
        </w:rPr>
        <w:t>When considering sealed systems, the d</w:t>
      </w:r>
      <w:r w:rsidR="71BDFECB" w:rsidRPr="59E9F7B1">
        <w:rPr>
          <w:rFonts w:ascii="Avenir LT Std 55 Roman" w:eastAsia="Calibri" w:hAnsi="Avenir LT Std 55 Roman" w:cs="Calibri"/>
          <w:sz w:val="17"/>
          <w:szCs w:val="17"/>
        </w:rPr>
        <w:t xml:space="preserve">ifferences </w:t>
      </w:r>
      <w:r w:rsidR="00E773B2" w:rsidRPr="59E9F7B1">
        <w:rPr>
          <w:rFonts w:ascii="Avenir LT Std 55 Roman" w:eastAsia="Calibri" w:hAnsi="Avenir LT Std 55 Roman" w:cs="Calibri"/>
          <w:sz w:val="17"/>
          <w:szCs w:val="17"/>
        </w:rPr>
        <w:t xml:space="preserve">in </w:t>
      </w:r>
      <w:r w:rsidR="71BDFECB" w:rsidRPr="59E9F7B1">
        <w:rPr>
          <w:rFonts w:ascii="Avenir LT Std 55 Roman" w:eastAsia="Calibri" w:hAnsi="Avenir LT Std 55 Roman" w:cs="Calibri"/>
          <w:sz w:val="17"/>
          <w:szCs w:val="17"/>
        </w:rPr>
        <w:t xml:space="preserve">electrochemical </w:t>
      </w:r>
      <w:r w:rsidR="00C113FC" w:rsidRPr="59E9F7B1">
        <w:rPr>
          <w:rFonts w:ascii="Avenir LT Std 55 Roman" w:eastAsia="Calibri" w:hAnsi="Avenir LT Std 55 Roman" w:cs="Calibri"/>
          <w:sz w:val="17"/>
          <w:szCs w:val="17"/>
        </w:rPr>
        <w:t>arrangement</w:t>
      </w:r>
      <w:r w:rsidR="71BDFECB" w:rsidRPr="59E9F7B1">
        <w:rPr>
          <w:rFonts w:ascii="Avenir LT Std 55 Roman" w:eastAsia="Calibri" w:hAnsi="Avenir LT Std 55 Roman" w:cs="Calibri"/>
          <w:sz w:val="17"/>
          <w:szCs w:val="17"/>
        </w:rPr>
        <w:t xml:space="preserve"> </w:t>
      </w:r>
      <w:r w:rsidR="00AC5017" w:rsidRPr="59E9F7B1">
        <w:rPr>
          <w:rFonts w:ascii="Avenir LT Std 55 Roman" w:eastAsia="Calibri" w:hAnsi="Avenir LT Std 55 Roman" w:cs="Calibri"/>
          <w:sz w:val="17"/>
          <w:szCs w:val="17"/>
        </w:rPr>
        <w:t xml:space="preserve">can </w:t>
      </w:r>
      <w:r w:rsidR="71BDFECB" w:rsidRPr="59E9F7B1">
        <w:rPr>
          <w:rFonts w:ascii="Avenir LT Std 55 Roman" w:eastAsia="Calibri" w:hAnsi="Avenir LT Std 55 Roman" w:cs="Calibri"/>
          <w:sz w:val="17"/>
          <w:szCs w:val="17"/>
        </w:rPr>
        <w:t>also influence data outputs, which are often incomparable.</w:t>
      </w:r>
      <w:r w:rsidRPr="59E9F7B1">
        <w:rPr>
          <w:rFonts w:ascii="Avenir LT Std 55 Roman" w:eastAsia="Calibri" w:hAnsi="Avenir LT Std 55 Roman" w:cs="Calibri"/>
          <w:sz w:val="17"/>
          <w:szCs w:val="17"/>
        </w:rPr>
        <w:t xml:space="preserve"> In the case of the El-cell – a premium</w:t>
      </w:r>
      <w:r w:rsidR="00AC5017" w:rsidRPr="59E9F7B1">
        <w:rPr>
          <w:rFonts w:ascii="Avenir LT Std 55 Roman" w:eastAsia="Calibri" w:hAnsi="Avenir LT Std 55 Roman" w:cs="Calibri"/>
          <w:sz w:val="17"/>
          <w:szCs w:val="17"/>
        </w:rPr>
        <w:t xml:space="preserve"> commercial cell that offers a range of </w:t>
      </w:r>
      <w:r w:rsidR="00C113FC" w:rsidRPr="59E9F7B1">
        <w:rPr>
          <w:rFonts w:ascii="Avenir LT Std 55 Roman" w:eastAsia="Calibri" w:hAnsi="Avenir LT Std 55 Roman" w:cs="Calibri"/>
          <w:sz w:val="17"/>
          <w:szCs w:val="17"/>
        </w:rPr>
        <w:t>single-use REs</w:t>
      </w:r>
      <w:r w:rsidR="00AC5017" w:rsidRPr="59E9F7B1">
        <w:rPr>
          <w:rFonts w:ascii="Avenir LT Std 55 Roman" w:eastAsia="Calibri" w:hAnsi="Avenir LT Std 55 Roman" w:cs="Calibri"/>
          <w:sz w:val="17"/>
          <w:szCs w:val="17"/>
        </w:rPr>
        <w:t xml:space="preserve"> including various metals (</w:t>
      </w:r>
      <w:proofErr w:type="gramStart"/>
      <w:r w:rsidR="00AC5017" w:rsidRPr="00B2106C">
        <w:rPr>
          <w:rFonts w:ascii="Avenir LT Std 55 Roman" w:eastAsia="Calibri" w:hAnsi="Avenir LT Std 55 Roman" w:cs="Calibri"/>
          <w:i/>
          <w:iCs/>
          <w:sz w:val="17"/>
          <w:szCs w:val="17"/>
        </w:rPr>
        <w:t>e.g.</w:t>
      </w:r>
      <w:proofErr w:type="gramEnd"/>
      <w:r w:rsidR="00AC5017" w:rsidRPr="59E9F7B1">
        <w:rPr>
          <w:rFonts w:ascii="Avenir LT Std 55 Roman" w:eastAsia="Calibri" w:hAnsi="Avenir LT Std 55 Roman" w:cs="Calibri"/>
          <w:sz w:val="17"/>
          <w:szCs w:val="17"/>
        </w:rPr>
        <w:t xml:space="preserve"> Li, Na, Mg) a</w:t>
      </w:r>
      <w:r w:rsidR="00FD11F1">
        <w:rPr>
          <w:rFonts w:ascii="Avenir LT Std 55 Roman" w:eastAsia="Calibri" w:hAnsi="Avenir LT Std 55 Roman" w:cs="Calibri"/>
          <w:sz w:val="17"/>
          <w:szCs w:val="17"/>
        </w:rPr>
        <w:t>s</w:t>
      </w:r>
      <w:r w:rsidR="00AC5017" w:rsidRPr="59E9F7B1">
        <w:rPr>
          <w:rFonts w:ascii="Avenir LT Std 55 Roman" w:eastAsia="Calibri" w:hAnsi="Avenir LT Std 55 Roman" w:cs="Calibri"/>
          <w:sz w:val="17"/>
          <w:szCs w:val="17"/>
        </w:rPr>
        <w:t xml:space="preserve"> well as LTO and LFP – the high long-term data quality and consistency is at </w:t>
      </w:r>
      <w:r w:rsidR="00C113FC" w:rsidRPr="59E9F7B1">
        <w:rPr>
          <w:rFonts w:ascii="Avenir LT Std 55 Roman" w:eastAsia="Calibri" w:hAnsi="Avenir LT Std 55 Roman" w:cs="Calibri"/>
          <w:sz w:val="17"/>
          <w:szCs w:val="17"/>
        </w:rPr>
        <w:t>a</w:t>
      </w:r>
      <w:r w:rsidR="00AC5017" w:rsidRPr="59E9F7B1">
        <w:rPr>
          <w:rFonts w:ascii="Avenir LT Std 55 Roman" w:eastAsia="Calibri" w:hAnsi="Avenir LT Std 55 Roman" w:cs="Calibri"/>
          <w:sz w:val="17"/>
          <w:szCs w:val="17"/>
        </w:rPr>
        <w:t xml:space="preserve"> high cost </w:t>
      </w:r>
      <w:r w:rsidR="00C113FC" w:rsidRPr="59E9F7B1">
        <w:rPr>
          <w:rFonts w:ascii="Avenir LT Std 55 Roman" w:eastAsia="Calibri" w:hAnsi="Avenir LT Std 55 Roman" w:cs="Calibri"/>
          <w:sz w:val="17"/>
          <w:szCs w:val="17"/>
        </w:rPr>
        <w:t>with</w:t>
      </w:r>
      <w:r w:rsidR="00AC5017" w:rsidRPr="59E9F7B1">
        <w:rPr>
          <w:rFonts w:ascii="Avenir LT Std 55 Roman" w:eastAsia="Calibri" w:hAnsi="Avenir LT Std 55 Roman" w:cs="Calibri"/>
          <w:sz w:val="17"/>
          <w:szCs w:val="17"/>
        </w:rPr>
        <w:t xml:space="preserve"> limited comparability to literature. This issue extends to Swagelok-type cells. Homemade three</w:t>
      </w:r>
      <w:r w:rsidR="00FD11F1">
        <w:rPr>
          <w:rFonts w:ascii="Avenir LT Std 55 Roman" w:eastAsia="Calibri" w:hAnsi="Avenir LT Std 55 Roman" w:cs="Calibri"/>
          <w:sz w:val="17"/>
          <w:szCs w:val="17"/>
        </w:rPr>
        <w:t>-</w:t>
      </w:r>
      <w:r w:rsidR="00AC5017" w:rsidRPr="59E9F7B1">
        <w:rPr>
          <w:rFonts w:ascii="Avenir LT Std 55 Roman" w:eastAsia="Calibri" w:hAnsi="Avenir LT Std 55 Roman" w:cs="Calibri"/>
          <w:sz w:val="17"/>
          <w:szCs w:val="17"/>
        </w:rPr>
        <w:t>electrode coin cells, whilst cheap and comparable, limit consistency.</w:t>
      </w:r>
      <w:r w:rsidR="71BDFECB" w:rsidRPr="59E9F7B1">
        <w:rPr>
          <w:rFonts w:ascii="Avenir LT Std 55 Roman" w:eastAsia="Calibri" w:hAnsi="Avenir LT Std 55 Roman" w:cs="Calibri"/>
          <w:sz w:val="17"/>
          <w:szCs w:val="17"/>
        </w:rPr>
        <w:t xml:space="preserve"> A three-electrode coin-cell that mimics the standard C2032 two</w:t>
      </w:r>
      <w:r w:rsidR="003D2839" w:rsidRPr="59E9F7B1">
        <w:rPr>
          <w:rFonts w:ascii="Avenir LT Std 55 Roman" w:eastAsia="Calibri" w:hAnsi="Avenir LT Std 55 Roman" w:cs="Calibri"/>
          <w:sz w:val="17"/>
          <w:szCs w:val="17"/>
        </w:rPr>
        <w:t>-</w:t>
      </w:r>
      <w:r w:rsidR="71BDFECB" w:rsidRPr="59E9F7B1">
        <w:rPr>
          <w:rFonts w:ascii="Avenir LT Std 55 Roman" w:eastAsia="Calibri" w:hAnsi="Avenir LT Std 55 Roman" w:cs="Calibri"/>
          <w:sz w:val="17"/>
          <w:szCs w:val="17"/>
        </w:rPr>
        <w:t xml:space="preserve">electrode coin-cell, developed </w:t>
      </w:r>
      <w:r w:rsidRPr="59E9F7B1">
        <w:rPr>
          <w:rFonts w:ascii="Avenir LT Std 55 Roman" w:eastAsia="Calibri" w:hAnsi="Avenir LT Std 55 Roman" w:cs="Calibri"/>
          <w:sz w:val="17"/>
          <w:szCs w:val="17"/>
        </w:rPr>
        <w:t xml:space="preserve">and patented </w:t>
      </w:r>
      <w:r w:rsidR="71BDFECB" w:rsidRPr="59E9F7B1">
        <w:rPr>
          <w:rFonts w:ascii="Avenir LT Std 55 Roman" w:eastAsia="Calibri" w:hAnsi="Avenir LT Std 55 Roman" w:cs="Calibri"/>
          <w:sz w:val="17"/>
          <w:szCs w:val="17"/>
        </w:rPr>
        <w:t xml:space="preserve">by General Motors, has </w:t>
      </w:r>
      <w:r w:rsidRPr="59E9F7B1">
        <w:rPr>
          <w:rFonts w:ascii="Avenir LT Std 55 Roman" w:eastAsia="Calibri" w:hAnsi="Avenir LT Std 55 Roman" w:cs="Calibri"/>
          <w:sz w:val="17"/>
          <w:szCs w:val="17"/>
        </w:rPr>
        <w:t>been</w:t>
      </w:r>
      <w:r w:rsidR="71BDFECB" w:rsidRPr="59E9F7B1">
        <w:rPr>
          <w:rFonts w:ascii="Avenir LT Std 55 Roman" w:eastAsia="Calibri" w:hAnsi="Avenir LT Std 55 Roman" w:cs="Calibri"/>
          <w:sz w:val="17"/>
          <w:szCs w:val="17"/>
        </w:rPr>
        <w:t xml:space="preserve"> </w:t>
      </w:r>
      <w:r w:rsidR="006E7840" w:rsidRPr="59E9F7B1">
        <w:rPr>
          <w:rFonts w:ascii="Avenir LT Std 55 Roman" w:eastAsia="Calibri" w:hAnsi="Avenir LT Std 55 Roman" w:cs="Calibri"/>
          <w:sz w:val="17"/>
          <w:szCs w:val="17"/>
        </w:rPr>
        <w:t>commercialized</w:t>
      </w:r>
      <w:r w:rsidR="71BDFECB" w:rsidRPr="59E9F7B1">
        <w:rPr>
          <w:rFonts w:ascii="Avenir LT Std 55 Roman" w:eastAsia="Calibri" w:hAnsi="Avenir LT Std 55 Roman" w:cs="Calibri"/>
          <w:sz w:val="17"/>
          <w:szCs w:val="17"/>
        </w:rPr>
        <w:t xml:space="preserve"> by </w:t>
      </w:r>
      <w:proofErr w:type="spellStart"/>
      <w:r w:rsidR="71BDFECB" w:rsidRPr="59E9F7B1">
        <w:rPr>
          <w:rFonts w:ascii="Avenir LT Std 55 Roman" w:eastAsia="Calibri" w:hAnsi="Avenir LT Std 55 Roman" w:cs="Calibri"/>
          <w:sz w:val="17"/>
          <w:szCs w:val="17"/>
        </w:rPr>
        <w:t>Arbin</w:t>
      </w:r>
      <w:proofErr w:type="spellEnd"/>
      <w:r w:rsidR="71BDFECB" w:rsidRPr="59E9F7B1">
        <w:rPr>
          <w:rFonts w:ascii="Avenir LT Std 55 Roman" w:eastAsia="Calibri" w:hAnsi="Avenir LT Std 55 Roman" w:cs="Calibri"/>
          <w:sz w:val="17"/>
          <w:szCs w:val="17"/>
        </w:rPr>
        <w:t xml:space="preserve"> Instruments</w:t>
      </w:r>
      <w:r w:rsidRPr="59E9F7B1">
        <w:rPr>
          <w:rFonts w:ascii="Avenir LT Std 55 Roman" w:eastAsia="Calibri" w:hAnsi="Avenir LT Std 55 Roman" w:cs="Calibri"/>
          <w:sz w:val="17"/>
          <w:szCs w:val="17"/>
        </w:rPr>
        <w:t>, in which the use of a Li, LTO of LFP reference electrode is recommended</w:t>
      </w:r>
      <w:r w:rsidR="71BDFECB" w:rsidRPr="59E9F7B1">
        <w:rPr>
          <w:rFonts w:ascii="Avenir LT Std 55 Roman" w:eastAsia="Calibri" w:hAnsi="Avenir LT Std 55 Roman" w:cs="Calibri"/>
          <w:sz w:val="17"/>
          <w:szCs w:val="17"/>
        </w:rPr>
        <w:t>.</w:t>
      </w:r>
      <w:r w:rsidRPr="59E9F7B1">
        <w:rPr>
          <w:rFonts w:ascii="Avenir LT Std 55 Roman" w:eastAsia="Calibri" w:hAnsi="Avenir LT Std 55 Roman" w:cs="Calibri"/>
          <w:sz w:val="17"/>
          <w:szCs w:val="17"/>
        </w:rPr>
        <w:fldChar w:fldCharType="begin" w:fldLock="1"/>
      </w:r>
      <w:r w:rsidRPr="59E9F7B1">
        <w:rPr>
          <w:rFonts w:ascii="Avenir LT Std 55 Roman" w:eastAsia="Calibri" w:hAnsi="Avenir LT Std 55 Roman" w:cs="Calibri"/>
          <w:sz w:val="17"/>
          <w:szCs w:val="17"/>
        </w:rPr>
        <w:instrText>ADDIN CSL_CITATION {"citationItems":[{"id":"ITEM-1","itemData":{"author":[{"dropping-particle":"","family":"Yang","given":"Li","non-dropping-particle":"","parse-names":false,"suffix":""},{"dropping-particle":"","family":"Cai","given":"Mei","non-dropping-particle":"","parse-names":false,"suffix":""},{"dropping-particle":"","family":"Ruthkosky","given":"Martin S.","non-dropping-particle":"","parse-names":false,"suffix":""},{"dropping-particle":"","family":"Dai","given":"Fang","non-dropping-particle":"","parse-names":false,"suffix":""}],"id":"ITEM-1","issued":{"date-parts":[["2019"]]},"number":"US010446884B2","publisher-place":"US","title":"United States Patent: Three Electrode Test Cell","type":"patent","volume":"2"},"uris":["http://www.mendeley.com/documents/?uuid=2a7bee91-6c78-4796-9bf6-b48a0ee1eb61"]}],"mendeley":{"formattedCitation":"&lt;sup&gt;15&lt;/sup&gt;","plainTextFormattedCitation":"15","previouslyFormattedCitation":"&lt;sup&gt;15&lt;/sup&gt;"},"properties":{"noteIndex":0},"schema":"https://github.com/citation-style-language/schema/raw/master/csl-citation.json"}</w:instrText>
      </w:r>
      <w:r w:rsidRPr="59E9F7B1">
        <w:rPr>
          <w:rFonts w:ascii="Avenir LT Std 55 Roman" w:eastAsia="Calibri" w:hAnsi="Avenir LT Std 55 Roman" w:cs="Calibri"/>
          <w:sz w:val="17"/>
          <w:szCs w:val="17"/>
        </w:rPr>
        <w:fldChar w:fldCharType="separate"/>
      </w:r>
      <w:r w:rsidR="006E7840" w:rsidRPr="59E9F7B1">
        <w:rPr>
          <w:rFonts w:ascii="Avenir LT Std 55 Roman" w:eastAsia="Calibri" w:hAnsi="Avenir LT Std 55 Roman" w:cs="Calibri"/>
          <w:noProof/>
          <w:sz w:val="17"/>
          <w:szCs w:val="17"/>
          <w:vertAlign w:val="superscript"/>
        </w:rPr>
        <w:t>15</w:t>
      </w:r>
      <w:r w:rsidRPr="59E9F7B1">
        <w:rPr>
          <w:rFonts w:ascii="Avenir LT Std 55 Roman" w:eastAsia="Calibri" w:hAnsi="Avenir LT Std 55 Roman" w:cs="Calibri"/>
          <w:sz w:val="17"/>
          <w:szCs w:val="17"/>
        </w:rPr>
        <w:fldChar w:fldCharType="end"/>
      </w:r>
      <w:r w:rsidRPr="59E9F7B1">
        <w:rPr>
          <w:rFonts w:ascii="Avenir LT Std 55 Roman" w:eastAsia="Calibri" w:hAnsi="Avenir LT Std 55 Roman" w:cs="Calibri"/>
          <w:sz w:val="17"/>
          <w:szCs w:val="17"/>
        </w:rPr>
        <w:t xml:space="preserve"> </w:t>
      </w:r>
      <w:r w:rsidR="71BDFECB" w:rsidRPr="59E9F7B1">
        <w:rPr>
          <w:rFonts w:ascii="Avenir LT Std 55 Roman" w:eastAsia="Calibri" w:hAnsi="Avenir LT Std 55 Roman" w:cs="Calibri"/>
          <w:sz w:val="17"/>
          <w:szCs w:val="17"/>
        </w:rPr>
        <w:t xml:space="preserve">Such a consistent, affordable, and comparable set-up may be the answer to </w:t>
      </w:r>
      <w:r w:rsidR="00C113FC" w:rsidRPr="59E9F7B1">
        <w:rPr>
          <w:rFonts w:ascii="Avenir LT Std 55 Roman" w:eastAsia="Calibri" w:hAnsi="Avenir LT Std 55 Roman" w:cs="Calibri"/>
          <w:sz w:val="17"/>
          <w:szCs w:val="17"/>
        </w:rPr>
        <w:t>standardization</w:t>
      </w:r>
      <w:r w:rsidR="71BDFECB" w:rsidRPr="59E9F7B1">
        <w:rPr>
          <w:rFonts w:ascii="Avenir LT Std 55 Roman" w:eastAsia="Calibri" w:hAnsi="Avenir LT Std 55 Roman" w:cs="Calibri"/>
          <w:sz w:val="17"/>
          <w:szCs w:val="17"/>
        </w:rPr>
        <w:t xml:space="preserve"> across Li and post-Li battery testing. </w:t>
      </w:r>
    </w:p>
    <w:p w14:paraId="612C5ECA" w14:textId="77777777" w:rsidR="00316CB0" w:rsidRPr="00316CB0" w:rsidRDefault="00316CB0" w:rsidP="003C494F">
      <w:pPr>
        <w:spacing w:line="276" w:lineRule="auto"/>
        <w:ind w:firstLine="426"/>
        <w:jc w:val="both"/>
        <w:rPr>
          <w:rFonts w:ascii="Avenir LT Std 55 Roman" w:eastAsia="Calibri" w:hAnsi="Avenir LT Std 55 Roman" w:cs="Calibri"/>
          <w:sz w:val="17"/>
          <w:szCs w:val="17"/>
        </w:rPr>
      </w:pPr>
      <w:r w:rsidRPr="00316CB0">
        <w:rPr>
          <w:rFonts w:ascii="Avenir LT Std 55 Roman" w:eastAsia="Calibri" w:hAnsi="Avenir LT Std 55 Roman" w:cs="Calibri"/>
          <w:sz w:val="17"/>
          <w:szCs w:val="17"/>
        </w:rPr>
        <w:t>Further errors beyond RE type and electrochemical set-up exist in the form of measurement artefacts, causing RE potentials to deviate from true values. In the case of LIBs, such deviation, caused by inhomogeneous lithiation currents due to RE blocking effects, has been shown to result in the failure of predicting Li plating.</w:t>
      </w:r>
      <w:r w:rsidRPr="00316CB0">
        <w:rPr>
          <w:rFonts w:ascii="Avenir LT Std 55 Roman" w:eastAsia="Calibri" w:hAnsi="Avenir LT Std 55 Roman" w:cs="Calibri"/>
          <w:sz w:val="17"/>
          <w:szCs w:val="17"/>
        </w:rPr>
        <w:fldChar w:fldCharType="begin" w:fldLock="1"/>
      </w:r>
      <w:r w:rsidRPr="00316CB0">
        <w:rPr>
          <w:rFonts w:ascii="Avenir LT Std 55 Roman" w:eastAsia="Calibri" w:hAnsi="Avenir LT Std 55 Roman" w:cs="Calibri"/>
          <w:sz w:val="17"/>
          <w:szCs w:val="17"/>
        </w:rPr>
        <w:instrText>ADDIN CSL_CITATION {"citationItems":[{"id":"ITEM-1","itemData":{"DOI":"10.1016/j.jpowsour.2020.228933","ISSN":"03787753","abstract":"Reference electrodes (REs) implanted in lithium-ion batteries are essential indicators in the fields of health monitoring and safety management. The non-destructive charging profiles, for example, are usually determined by electrode potential measurements performed with the RE. However, errors in RE potential measurements, resulting in seriously flawed conclusions, are seldom discussed in real lithium-ion batteries. This study investigates the reliability of anode potentials measured with a Li/Cu RE implanted in commercial cells. Artefacts are advanced in RE measurements based on the inconsistency of measured anode potentials and lithium plating behaviors, and further validated by the excess anode overpotential while charging to high state of charge at high rates. Furthermore, artefact phenomenon is reflected in the electrochemical model highlighting the RE blocking of the Li-ion flow. Inhomogeneous lithium intercalation currents at the anode-separator interface are revealed to bring out the excess anode overpotential in RE measurements. Finally, the impact of critical parameters on potential artefacts is examined, and proper RE sizes and battery operating conditions are proposed to ensure the reliability of potential measurements. This work emphasizes the existence of artefacts in RE potential measurements, and provides a useful guide on eliminating errors and improving accuracy of RE in real lithium-ion batteries.","author":[{"dropping-particle":"","family":"Li","given":"Yalun","non-dropping-particle":"","parse-names":false,"suffix":""},{"dropping-particle":"","family":"Han","given":"Xuebing","non-dropping-particle":"","parse-names":false,"suffix":""},{"dropping-particle":"","family":"Feng","given":"Xuning","non-dropping-particle":"","parse-names":false,"suffix":""},{"dropping-particle":"","family":"Chu","given":"Zhengyu","non-dropping-particle":"","parse-names":false,"suffix":""},{"dropping-particle":"","family":"Gao","given":"Xinlei","non-dropping-particle":"","parse-names":false,"suffix":""},{"dropping-particle":"","family":"Li","given":"Ruihe","non-dropping-particle":"","parse-names":false,"suffix":""},{"dropping-particle":"","family":"Du","given":"Jiuyu","non-dropping-particle":"","parse-names":false,"suffix":""},{"dropping-particle":"","family":"Lu","given":"Languang","non-dropping-particle":"","parse-names":false,"suffix":""},{"dropping-particle":"","family":"Ouyang","given":"Minggao","non-dropping-particle":"","parse-names":false,"suffix":""}],"container-title":"Journal of Power Sources","id":"ITEM-1","issue":"May 2020","issued":{"date-parts":[["2021"]]},"page":"228933","publisher":"Elsevier B.V.","title":"Errors in the reference electrode measurements in real lithium-ion batteries","type":"article-journal","volume":"481"},"uris":["http://www.mendeley.com/documents/?uuid=0b5a7b4a-3a01-4f73-9e78-54f73193632c"]}],"mendeley":{"formattedCitation":"&lt;sup&gt;16&lt;/sup&gt;","plainTextFormattedCitation":"16","previouslyFormattedCitation":"&lt;sup&gt;16&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Pr="00316CB0">
        <w:rPr>
          <w:rFonts w:ascii="Avenir LT Std 55 Roman" w:eastAsia="Calibri" w:hAnsi="Avenir LT Std 55 Roman" w:cs="Calibri"/>
          <w:noProof/>
          <w:sz w:val="17"/>
          <w:szCs w:val="17"/>
          <w:vertAlign w:val="superscript"/>
        </w:rPr>
        <w:t>16</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Such effects could be minimized by reducing the width of the RE or increasing electrolyte diffusion.</w:t>
      </w:r>
      <w:r w:rsidRPr="00316CB0">
        <w:rPr>
          <w:rFonts w:ascii="Avenir LT Std 55 Roman" w:eastAsia="Calibri" w:hAnsi="Avenir LT Std 55 Roman" w:cs="Calibri"/>
          <w:sz w:val="17"/>
          <w:szCs w:val="17"/>
        </w:rPr>
        <w:fldChar w:fldCharType="begin" w:fldLock="1"/>
      </w:r>
      <w:r w:rsidRPr="00316CB0">
        <w:rPr>
          <w:rFonts w:ascii="Avenir LT Std 55 Roman" w:eastAsia="Calibri" w:hAnsi="Avenir LT Std 55 Roman" w:cs="Calibri"/>
          <w:sz w:val="17"/>
          <w:szCs w:val="17"/>
        </w:rPr>
        <w:instrText>ADDIN CSL_CITATION {"citationItems":[{"id":"ITEM-1","itemData":{"DOI":"10.1016/j.jpowsour.2020.228933","ISSN":"03787753","abstract":"Reference electrodes (REs) implanted in lithium-ion batteries are essential indicators in the fields of health monitoring and safety management. The non-destructive charging profiles, for example, are usually determined by electrode potential measurements performed with the RE. However, errors in RE potential measurements, resulting in seriously flawed conclusions, are seldom discussed in real lithium-ion batteries. This study investigates the reliability of anode potentials measured with a Li/Cu RE implanted in commercial cells. Artefacts are advanced in RE measurements based on the inconsistency of measured anode potentials and lithium plating behaviors, and further validated by the excess anode overpotential while charging to high state of charge at high rates. Furthermore, artefact phenomenon is reflected in the electrochemical model highlighting the RE blocking of the Li-ion flow. Inhomogeneous lithium intercalation currents at the anode-separator interface are revealed to bring out the excess anode overpotential in RE measurements. Finally, the impact of critical parameters on potential artefacts is examined, and proper RE sizes and battery operating conditions are proposed to ensure the reliability of potential measurements. This work emphasizes the existence of artefacts in RE potential measurements, and provides a useful guide on eliminating errors and improving accuracy of RE in real lithium-ion batteries.","author":[{"dropping-particle":"","family":"Li","given":"Yalun","non-dropping-particle":"","parse-names":false,"suffix":""},{"dropping-particle":"","family":"Han","given":"Xuebing","non-dropping-particle":"","parse-names":false,"suffix":""},{"dropping-particle":"","family":"Feng","given":"Xuning","non-dropping-particle":"","parse-names":false,"suffix":""},{"dropping-particle":"","family":"Chu","given":"Zhengyu","non-dropping-particle":"","parse-names":false,"suffix":""},{"dropping-particle":"","family":"Gao","given":"Xinlei","non-dropping-particle":"","parse-names":false,"suffix":""},{"dropping-particle":"","family":"Li","given":"Ruihe","non-dropping-particle":"","parse-names":false,"suffix":""},{"dropping-particle":"","family":"Du","given":"Jiuyu","non-dropping-particle":"","parse-names":false,"suffix":""},{"dropping-particle":"","family":"Lu","given":"Languang","non-dropping-particle":"","parse-names":false,"suffix":""},{"dropping-particle":"","family":"Ouyang","given":"Minggao","non-dropping-particle":"","parse-names":false,"suffix":""}],"container-title":"Journal of Power Sources","id":"ITEM-1","issue":"May 2020","issued":{"date-parts":[["2021"]]},"page":"228933","publisher":"Elsevier B.V.","title":"Errors in the reference electrode measurements in real lithium-ion batteries","type":"article-journal","volume":"481"},"uris":["http://www.mendeley.com/documents/?uuid=0b5a7b4a-3a01-4f73-9e78-54f73193632c"]}],"mendeley":{"formattedCitation":"&lt;sup&gt;16&lt;/sup&gt;","plainTextFormattedCitation":"16","previouslyFormattedCitation":"&lt;sup&gt;16&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Pr="00316CB0">
        <w:rPr>
          <w:rFonts w:ascii="Avenir LT Std 55 Roman" w:eastAsia="Calibri" w:hAnsi="Avenir LT Std 55 Roman" w:cs="Calibri"/>
          <w:noProof/>
          <w:sz w:val="17"/>
          <w:szCs w:val="17"/>
          <w:vertAlign w:val="superscript"/>
        </w:rPr>
        <w:t>16</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We reiterate the conclusions of Li </w:t>
      </w:r>
      <w:r w:rsidRPr="00321DD4">
        <w:rPr>
          <w:rFonts w:ascii="Avenir LT Std 55 Roman" w:eastAsia="Calibri" w:hAnsi="Avenir LT Std 55 Roman" w:cs="Calibri"/>
          <w:i/>
          <w:iCs/>
          <w:sz w:val="17"/>
          <w:szCs w:val="17"/>
        </w:rPr>
        <w:t>et al.</w:t>
      </w:r>
      <w:r w:rsidRPr="00316CB0">
        <w:rPr>
          <w:rFonts w:ascii="Avenir LT Std 55 Roman" w:eastAsia="Calibri" w:hAnsi="Avenir LT Std 55 Roman" w:cs="Calibri"/>
          <w:sz w:val="17"/>
          <w:szCs w:val="17"/>
        </w:rPr>
        <w:t xml:space="preserve"> and encourage that sufficient attention be paid to possible errors in RE potentials, from RE materials and preparation to cell-set-up and RE geometry. </w:t>
      </w:r>
    </w:p>
    <w:p w14:paraId="7068082D" w14:textId="620EA4AD" w:rsidR="00316CB0" w:rsidRPr="00316CB0" w:rsidRDefault="00316CB0" w:rsidP="00316CB0">
      <w:pPr>
        <w:spacing w:line="276" w:lineRule="auto"/>
        <w:jc w:val="both"/>
        <w:rPr>
          <w:rFonts w:ascii="Avenir LT Std 55 Roman" w:eastAsia="Calibri" w:hAnsi="Avenir LT Std 55 Roman" w:cs="Calibri"/>
          <w:sz w:val="17"/>
          <w:szCs w:val="17"/>
        </w:rPr>
      </w:pPr>
    </w:p>
    <w:p w14:paraId="68E070C9" w14:textId="7270BE8B" w:rsidR="00165A9B" w:rsidRPr="00A27DFE" w:rsidRDefault="00316CB0" w:rsidP="00A27DFE">
      <w:pPr>
        <w:spacing w:after="60" w:line="276" w:lineRule="auto"/>
        <w:rPr>
          <w:rFonts w:ascii="Avenir LT Std 55 Roman" w:hAnsi="Avenir LT Std 55 Roman"/>
          <w:b/>
          <w:bCs/>
          <w:color w:val="AB4C4C"/>
          <w:sz w:val="17"/>
          <w:szCs w:val="17"/>
        </w:rPr>
      </w:pPr>
      <w:r w:rsidRPr="00316CB0">
        <w:rPr>
          <w:rFonts w:ascii="Avenir LT Std 55 Roman" w:hAnsi="Avenir LT Std 55 Roman"/>
          <w:b/>
          <w:bCs/>
          <w:color w:val="AB4C4C"/>
          <w:sz w:val="17"/>
          <w:szCs w:val="17"/>
        </w:rPr>
        <w:t>Recommendations For Reference Electrode Best Practice</w:t>
      </w:r>
    </w:p>
    <w:p w14:paraId="0553B992" w14:textId="5DF5DE92" w:rsidR="00165A9B" w:rsidRPr="00316CB0" w:rsidRDefault="005A5E02" w:rsidP="00316CB0">
      <w:pPr>
        <w:spacing w:line="276" w:lineRule="auto"/>
        <w:jc w:val="both"/>
        <w:rPr>
          <w:rFonts w:ascii="Avenir LT Std 55 Roman" w:eastAsia="Calibri" w:hAnsi="Avenir LT Std 55 Roman" w:cs="Calibri"/>
          <w:color w:val="000000" w:themeColor="text1"/>
          <w:sz w:val="17"/>
          <w:szCs w:val="17"/>
        </w:rPr>
      </w:pPr>
      <w:r>
        <w:rPr>
          <w:rFonts w:ascii="Avenir LT Std 55 Roman" w:eastAsia="Calibri" w:hAnsi="Avenir LT Std 55 Roman" w:cs="Calibri"/>
          <w:color w:val="000000" w:themeColor="text1"/>
          <w:sz w:val="17"/>
          <w:szCs w:val="17"/>
        </w:rPr>
        <w:t xml:space="preserve">It is not possible to indicate a specific RE for NA chemistry, and a summary of the </w:t>
      </w:r>
      <w:r w:rsidR="00935553">
        <w:rPr>
          <w:rFonts w:ascii="Avenir LT Std 55 Roman" w:eastAsia="Calibri" w:hAnsi="Avenir LT Std 55 Roman" w:cs="Calibri"/>
          <w:color w:val="000000" w:themeColor="text1"/>
          <w:sz w:val="17"/>
          <w:szCs w:val="17"/>
        </w:rPr>
        <w:t>options</w:t>
      </w:r>
      <w:r>
        <w:rPr>
          <w:rFonts w:ascii="Avenir LT Std 55 Roman" w:eastAsia="Calibri" w:hAnsi="Avenir LT Std 55 Roman" w:cs="Calibri"/>
          <w:color w:val="000000" w:themeColor="text1"/>
          <w:sz w:val="17"/>
          <w:szCs w:val="17"/>
        </w:rPr>
        <w:t xml:space="preserve"> discussed above</w:t>
      </w:r>
      <w:r w:rsidR="00935553">
        <w:rPr>
          <w:rFonts w:ascii="Avenir LT Std 55 Roman" w:eastAsia="Calibri" w:hAnsi="Avenir LT Std 55 Roman" w:cs="Calibri"/>
          <w:color w:val="000000" w:themeColor="text1"/>
          <w:sz w:val="17"/>
          <w:szCs w:val="17"/>
        </w:rPr>
        <w:t xml:space="preserve"> is given in the SI </w:t>
      </w:r>
      <w:r w:rsidR="00D56F73">
        <w:rPr>
          <w:rFonts w:ascii="Avenir LT Std 55 Roman" w:eastAsia="Calibri" w:hAnsi="Avenir LT Std 55 Roman" w:cs="Calibri"/>
          <w:color w:val="000000" w:themeColor="text1"/>
          <w:sz w:val="17"/>
          <w:szCs w:val="17"/>
        </w:rPr>
        <w:t>(</w:t>
      </w:r>
      <w:r w:rsidR="00D56F73" w:rsidRPr="008826A4">
        <w:rPr>
          <w:rFonts w:ascii="Avenir LT Std 55 Roman" w:eastAsia="Calibri" w:hAnsi="Avenir LT Std 55 Roman" w:cs="Calibri"/>
          <w:color w:val="4BACC6" w:themeColor="accent5"/>
          <w:sz w:val="17"/>
          <w:szCs w:val="17"/>
        </w:rPr>
        <w:t>Table S1</w:t>
      </w:r>
      <w:r w:rsidR="00D56F73">
        <w:rPr>
          <w:rFonts w:ascii="Avenir LT Std 55 Roman" w:eastAsia="Calibri" w:hAnsi="Avenir LT Std 55 Roman" w:cs="Calibri"/>
          <w:color w:val="000000" w:themeColor="text1"/>
          <w:sz w:val="17"/>
          <w:szCs w:val="17"/>
        </w:rPr>
        <w:t xml:space="preserve">) </w:t>
      </w:r>
      <w:r w:rsidR="00935553">
        <w:rPr>
          <w:rFonts w:ascii="Avenir LT Std 55 Roman" w:eastAsia="Calibri" w:hAnsi="Avenir LT Std 55 Roman" w:cs="Calibri"/>
          <w:color w:val="000000" w:themeColor="text1"/>
          <w:sz w:val="17"/>
          <w:szCs w:val="17"/>
        </w:rPr>
        <w:t>along with a crude assessment of their stre</w:t>
      </w:r>
      <w:r w:rsidR="00D56F73">
        <w:rPr>
          <w:rFonts w:ascii="Avenir LT Std 55 Roman" w:eastAsia="Calibri" w:hAnsi="Avenir LT Std 55 Roman" w:cs="Calibri"/>
          <w:color w:val="000000" w:themeColor="text1"/>
          <w:sz w:val="17"/>
          <w:szCs w:val="17"/>
        </w:rPr>
        <w:t>ng</w:t>
      </w:r>
      <w:r w:rsidR="00935553">
        <w:rPr>
          <w:rFonts w:ascii="Avenir LT Std 55 Roman" w:eastAsia="Calibri" w:hAnsi="Avenir LT Std 55 Roman" w:cs="Calibri"/>
          <w:color w:val="000000" w:themeColor="text1"/>
          <w:sz w:val="17"/>
          <w:szCs w:val="17"/>
        </w:rPr>
        <w:t>ths and weaknesses.</w:t>
      </w:r>
      <w:r>
        <w:rPr>
          <w:rFonts w:ascii="Avenir LT Std 55 Roman" w:eastAsia="Calibri" w:hAnsi="Avenir LT Std 55 Roman" w:cs="Calibri"/>
          <w:color w:val="000000" w:themeColor="text1"/>
          <w:sz w:val="17"/>
          <w:szCs w:val="17"/>
        </w:rPr>
        <w:t xml:space="preserve"> </w:t>
      </w:r>
      <w:r w:rsidR="45587AA8" w:rsidRPr="00316CB0">
        <w:rPr>
          <w:rFonts w:ascii="Avenir LT Std 55 Roman" w:eastAsia="Calibri" w:hAnsi="Avenir LT Std 55 Roman" w:cs="Calibri"/>
          <w:color w:val="000000" w:themeColor="text1"/>
          <w:sz w:val="17"/>
          <w:szCs w:val="17"/>
        </w:rPr>
        <w:t>Whil</w:t>
      </w:r>
      <w:r w:rsidR="00FD0C5F" w:rsidRPr="00316CB0">
        <w:rPr>
          <w:rFonts w:ascii="Avenir LT Std 55 Roman" w:eastAsia="Calibri" w:hAnsi="Avenir LT Std 55 Roman" w:cs="Calibri"/>
          <w:color w:val="000000" w:themeColor="text1"/>
          <w:sz w:val="17"/>
          <w:szCs w:val="17"/>
        </w:rPr>
        <w:t>e</w:t>
      </w:r>
      <w:r w:rsidR="45587AA8" w:rsidRPr="00316CB0">
        <w:rPr>
          <w:rFonts w:ascii="Avenir LT Std 55 Roman" w:eastAsia="Calibri" w:hAnsi="Avenir LT Std 55 Roman" w:cs="Calibri"/>
          <w:color w:val="000000" w:themeColor="text1"/>
          <w:sz w:val="17"/>
          <w:szCs w:val="17"/>
        </w:rPr>
        <w:t xml:space="preserve"> establishing </w:t>
      </w:r>
      <w:proofErr w:type="spellStart"/>
      <w:r w:rsidR="45587AA8" w:rsidRPr="00316CB0">
        <w:rPr>
          <w:rFonts w:ascii="Avenir LT Std 55 Roman" w:eastAsia="Calibri" w:hAnsi="Avenir LT Std 55 Roman" w:cs="Calibri"/>
          <w:color w:val="000000" w:themeColor="text1"/>
          <w:sz w:val="17"/>
          <w:szCs w:val="17"/>
        </w:rPr>
        <w:t>standardised</w:t>
      </w:r>
      <w:proofErr w:type="spellEnd"/>
      <w:r w:rsidR="45587AA8" w:rsidRPr="00316CB0">
        <w:rPr>
          <w:rFonts w:ascii="Avenir LT Std 55 Roman" w:eastAsia="Calibri" w:hAnsi="Avenir LT Std 55 Roman" w:cs="Calibri"/>
          <w:color w:val="000000" w:themeColor="text1"/>
          <w:sz w:val="17"/>
          <w:szCs w:val="17"/>
        </w:rPr>
        <w:t xml:space="preserve"> </w:t>
      </w:r>
      <w:r w:rsidR="007F1588" w:rsidRPr="00316CB0">
        <w:rPr>
          <w:rFonts w:ascii="Avenir LT Std 55 Roman" w:eastAsia="Calibri" w:hAnsi="Avenir LT Std 55 Roman" w:cs="Calibri"/>
          <w:color w:val="000000" w:themeColor="text1"/>
          <w:sz w:val="17"/>
          <w:szCs w:val="17"/>
        </w:rPr>
        <w:t>NA</w:t>
      </w:r>
      <w:r w:rsidR="45587AA8" w:rsidRPr="00316CB0">
        <w:rPr>
          <w:rFonts w:ascii="Avenir LT Std 55 Roman" w:eastAsia="Calibri" w:hAnsi="Avenir LT Std 55 Roman" w:cs="Calibri"/>
          <w:color w:val="000000" w:themeColor="text1"/>
          <w:sz w:val="17"/>
          <w:szCs w:val="17"/>
        </w:rPr>
        <w:t xml:space="preserve"> </w:t>
      </w:r>
      <w:r w:rsidR="00C113FC" w:rsidRPr="00316CB0">
        <w:rPr>
          <w:rFonts w:ascii="Avenir LT Std 55 Roman" w:eastAsia="Calibri" w:hAnsi="Avenir LT Std 55 Roman" w:cs="Calibri"/>
          <w:color w:val="000000" w:themeColor="text1"/>
          <w:sz w:val="17"/>
          <w:szCs w:val="17"/>
        </w:rPr>
        <w:t>REs</w:t>
      </w:r>
      <w:r w:rsidR="45587AA8" w:rsidRPr="00316CB0">
        <w:rPr>
          <w:rFonts w:ascii="Avenir LT Std 55 Roman" w:eastAsia="Calibri" w:hAnsi="Avenir LT Std 55 Roman" w:cs="Calibri"/>
          <w:color w:val="000000" w:themeColor="text1"/>
          <w:sz w:val="17"/>
          <w:szCs w:val="17"/>
        </w:rPr>
        <w:t xml:space="preserve"> is a complex and challenging issue, it is evident that more consistency and care is required in the literature when reporting on electrochemical systems in which redox potentials and/or potential windows are critical to the development being described. For the lithium-air battery, such an approach to referencing was outlined by </w:t>
      </w:r>
      <w:proofErr w:type="spellStart"/>
      <w:r w:rsidR="45587AA8" w:rsidRPr="00316CB0">
        <w:rPr>
          <w:rFonts w:ascii="Avenir LT Std 55 Roman" w:eastAsia="Calibri" w:hAnsi="Avenir LT Std 55 Roman" w:cs="Calibri"/>
          <w:color w:val="000000" w:themeColor="text1"/>
          <w:sz w:val="17"/>
          <w:szCs w:val="17"/>
        </w:rPr>
        <w:t>Mozhzhukhina</w:t>
      </w:r>
      <w:proofErr w:type="spellEnd"/>
      <w:r w:rsidR="45587AA8" w:rsidRPr="00316CB0">
        <w:rPr>
          <w:rFonts w:ascii="Avenir LT Std 55 Roman" w:eastAsia="Calibri" w:hAnsi="Avenir LT Std 55 Roman" w:cs="Calibri"/>
          <w:color w:val="000000" w:themeColor="text1"/>
          <w:sz w:val="17"/>
          <w:szCs w:val="17"/>
        </w:rPr>
        <w:t xml:space="preserve"> </w:t>
      </w:r>
      <w:r w:rsidR="519A6C92" w:rsidRPr="00316CB0">
        <w:rPr>
          <w:rFonts w:ascii="Avenir LT Std 55 Roman" w:eastAsia="Calibri" w:hAnsi="Avenir LT Std 55 Roman" w:cs="Calibri"/>
          <w:color w:val="000000" w:themeColor="text1"/>
          <w:sz w:val="17"/>
          <w:szCs w:val="17"/>
        </w:rPr>
        <w:t>&amp; Calvo</w:t>
      </w:r>
      <w:r w:rsidR="45587AA8" w:rsidRPr="00316CB0">
        <w:rPr>
          <w:rFonts w:ascii="Avenir LT Std 55 Roman" w:eastAsia="Calibri" w:hAnsi="Avenir LT Std 55 Roman" w:cs="Calibri"/>
          <w:color w:val="000000" w:themeColor="text1"/>
          <w:sz w:val="17"/>
          <w:szCs w:val="17"/>
        </w:rPr>
        <w:t>.</w:t>
      </w:r>
      <w:r w:rsidR="45587AA8" w:rsidRPr="00316CB0">
        <w:rPr>
          <w:rFonts w:ascii="Avenir LT Std 55 Roman" w:eastAsia="Calibri" w:hAnsi="Avenir LT Std 55 Roman" w:cs="Calibri"/>
          <w:color w:val="000000" w:themeColor="text1"/>
          <w:sz w:val="17"/>
          <w:szCs w:val="17"/>
        </w:rPr>
        <w:fldChar w:fldCharType="begin" w:fldLock="1"/>
      </w:r>
      <w:r w:rsidR="006E7840" w:rsidRPr="00316CB0">
        <w:rPr>
          <w:rFonts w:ascii="Avenir LT Std 55 Roman" w:eastAsia="Calibri" w:hAnsi="Avenir LT Std 55 Roman" w:cs="Calibri"/>
          <w:color w:val="000000" w:themeColor="text1"/>
          <w:sz w:val="17"/>
          <w:szCs w:val="17"/>
        </w:rPr>
        <w:instrText>ADDIN CSL_CITATION {"citationItems":[{"id":"ITEM-1","itemData":{"DOI":"10.1149/2.0341712jes","ISSN":"0013-4651","abstract":"© The Author(s) 2017. Published by ECS. All rights reserved. The challenges facing metal-air batteries have prompted fundamental studies of non-aqueous electrochemistry. However it appears that contributors in the field are not aware that the potentials of Li/Li+, Na/Na+, K/K+, and Mg/Mg2+electrodes depend on the nature of solvent due to the cation solvation. Therefore, it is imperative to define a clear potential scale that can be correlated in different solvents. Here we report on the strong effect of the solvent on the Li/Li+redox potential and discuss the use of the ferrocene/ferrocenium couple as internal or external standard for the measurements in non-aqueous solvents in lithium-ion and lithium-02battery systems.","author":[{"dropping-particle":"","family":"Mozhzhukhina","given":"Nataliia","non-dropping-particle":"","parse-names":false,"suffix":""},{"dropping-particle":"","family":"Calvo","given":"Ernesto J.","non-dropping-particle":"","parse-names":false,"suffix":""}],"container-title":"Journal of The Electrochemical Society","id":"ITEM-1","issue":"12","issued":{"date-parts":[["2017"]]},"page":"A2295-A2297","title":"Perspective—The Correct Assessment of Standard Potentials of Reference Electrodes in Non-Aqueous Solution","type":"article-journal","volume":"164"},"uris":["http://www.mendeley.com/documents/?uuid=76a9632f-ae8b-40c4-88c3-37015fd964fa"]}],"mendeley":{"formattedCitation":"&lt;sup&gt;11&lt;/sup&gt;","plainTextFormattedCitation":"11","previouslyFormattedCitation":"&lt;sup&gt;11&lt;/sup&gt;"},"properties":{"noteIndex":0},"schema":"https://github.com/citation-style-language/schema/raw/master/csl-citation.json"}</w:instrText>
      </w:r>
      <w:r w:rsidR="45587AA8" w:rsidRPr="00316CB0">
        <w:rPr>
          <w:rFonts w:ascii="Avenir LT Std 55 Roman" w:eastAsia="Calibri" w:hAnsi="Avenir LT Std 55 Roman" w:cs="Calibri"/>
          <w:color w:val="000000" w:themeColor="text1"/>
          <w:sz w:val="17"/>
          <w:szCs w:val="17"/>
        </w:rPr>
        <w:fldChar w:fldCharType="separate"/>
      </w:r>
      <w:r w:rsidR="006E7840" w:rsidRPr="00316CB0">
        <w:rPr>
          <w:rFonts w:ascii="Avenir LT Std 55 Roman" w:eastAsia="Calibri" w:hAnsi="Avenir LT Std 55 Roman" w:cs="Calibri"/>
          <w:noProof/>
          <w:color w:val="000000" w:themeColor="text1"/>
          <w:sz w:val="17"/>
          <w:szCs w:val="17"/>
          <w:vertAlign w:val="superscript"/>
        </w:rPr>
        <w:t>11</w:t>
      </w:r>
      <w:r w:rsidR="45587AA8" w:rsidRPr="00316CB0">
        <w:rPr>
          <w:rFonts w:ascii="Avenir LT Std 55 Roman" w:eastAsia="Calibri" w:hAnsi="Avenir LT Std 55 Roman" w:cs="Calibri"/>
          <w:color w:val="000000" w:themeColor="text1"/>
          <w:sz w:val="17"/>
          <w:szCs w:val="17"/>
        </w:rPr>
        <w:fldChar w:fldCharType="end"/>
      </w:r>
      <w:r w:rsidR="45587AA8" w:rsidRPr="00316CB0">
        <w:rPr>
          <w:rFonts w:ascii="Avenir LT Std 55 Roman" w:eastAsia="Calibri" w:hAnsi="Avenir LT Std 55 Roman" w:cs="Calibri"/>
          <w:color w:val="000000" w:themeColor="text1"/>
          <w:sz w:val="17"/>
          <w:szCs w:val="17"/>
        </w:rPr>
        <w:t xml:space="preserve"> But this advice extends to all </w:t>
      </w:r>
      <w:r w:rsidR="007F1588" w:rsidRPr="00316CB0">
        <w:rPr>
          <w:rFonts w:ascii="Avenir LT Std 55 Roman" w:eastAsia="Calibri" w:hAnsi="Avenir LT Std 55 Roman" w:cs="Calibri"/>
          <w:color w:val="000000" w:themeColor="text1"/>
          <w:sz w:val="17"/>
          <w:szCs w:val="17"/>
        </w:rPr>
        <w:t>NA</w:t>
      </w:r>
      <w:r w:rsidR="45587AA8" w:rsidRPr="00316CB0">
        <w:rPr>
          <w:rFonts w:ascii="Avenir LT Std 55 Roman" w:eastAsia="Calibri" w:hAnsi="Avenir LT Std 55 Roman" w:cs="Calibri"/>
          <w:color w:val="000000" w:themeColor="text1"/>
          <w:sz w:val="17"/>
          <w:szCs w:val="17"/>
        </w:rPr>
        <w:t xml:space="preserve"> systems. Whil</w:t>
      </w:r>
      <w:r w:rsidR="00FD0C5F" w:rsidRPr="00316CB0">
        <w:rPr>
          <w:rFonts w:ascii="Avenir LT Std 55 Roman" w:eastAsia="Calibri" w:hAnsi="Avenir LT Std 55 Roman" w:cs="Calibri"/>
          <w:color w:val="000000" w:themeColor="text1"/>
          <w:sz w:val="17"/>
          <w:szCs w:val="17"/>
        </w:rPr>
        <w:t>e</w:t>
      </w:r>
      <w:r w:rsidR="45587AA8" w:rsidRPr="00316CB0">
        <w:rPr>
          <w:rFonts w:ascii="Avenir LT Std 55 Roman" w:eastAsia="Calibri" w:hAnsi="Avenir LT Std 55 Roman" w:cs="Calibri"/>
          <w:color w:val="000000" w:themeColor="text1"/>
          <w:sz w:val="17"/>
          <w:szCs w:val="17"/>
        </w:rPr>
        <w:t xml:space="preserve"> there is general agreement across the field that an ideal </w:t>
      </w:r>
      <w:r w:rsidR="00C113FC" w:rsidRPr="00316CB0">
        <w:rPr>
          <w:rFonts w:ascii="Avenir LT Std 55 Roman" w:eastAsia="Calibri" w:hAnsi="Avenir LT Std 55 Roman" w:cs="Calibri"/>
          <w:color w:val="000000" w:themeColor="text1"/>
          <w:sz w:val="17"/>
          <w:szCs w:val="17"/>
        </w:rPr>
        <w:t>RE</w:t>
      </w:r>
      <w:r w:rsidR="45587AA8" w:rsidRPr="00316CB0">
        <w:rPr>
          <w:rFonts w:ascii="Avenir LT Std 55 Roman" w:eastAsia="Calibri" w:hAnsi="Avenir LT Std 55 Roman" w:cs="Calibri"/>
          <w:color w:val="000000" w:themeColor="text1"/>
          <w:sz w:val="17"/>
          <w:szCs w:val="17"/>
        </w:rPr>
        <w:t xml:space="preserve"> is yet to be identified, being aware of sources of errors that can lead to misreporting is vital for progress. T</w:t>
      </w:r>
      <w:r w:rsidR="00EF18B6" w:rsidRPr="00316CB0">
        <w:rPr>
          <w:rFonts w:ascii="Avenir LT Std 55 Roman" w:eastAsia="Calibri" w:hAnsi="Avenir LT Std 55 Roman" w:cs="Calibri"/>
          <w:color w:val="000000" w:themeColor="text1"/>
          <w:sz w:val="17"/>
          <w:szCs w:val="17"/>
        </w:rPr>
        <w:t>h</w:t>
      </w:r>
      <w:r w:rsidR="45587AA8" w:rsidRPr="00316CB0">
        <w:rPr>
          <w:rFonts w:ascii="Avenir LT Std 55 Roman" w:eastAsia="Calibri" w:hAnsi="Avenir LT Std 55 Roman" w:cs="Calibri"/>
          <w:color w:val="000000" w:themeColor="text1"/>
          <w:sz w:val="17"/>
          <w:szCs w:val="17"/>
        </w:rPr>
        <w:t xml:space="preserve">rough a compilation of important literature, this commentary aims to highlight the considerations that must be given sufficient attention when embarking on </w:t>
      </w:r>
      <w:r w:rsidR="007F1588" w:rsidRPr="00316CB0">
        <w:rPr>
          <w:rFonts w:ascii="Avenir LT Std 55 Roman" w:eastAsia="Calibri" w:hAnsi="Avenir LT Std 55 Roman" w:cs="Calibri"/>
          <w:color w:val="000000" w:themeColor="text1"/>
          <w:sz w:val="17"/>
          <w:szCs w:val="17"/>
        </w:rPr>
        <w:t>NA</w:t>
      </w:r>
      <w:r w:rsidR="45587AA8" w:rsidRPr="00316CB0">
        <w:rPr>
          <w:rFonts w:ascii="Avenir LT Std 55 Roman" w:eastAsia="Calibri" w:hAnsi="Avenir LT Std 55 Roman" w:cs="Calibri"/>
          <w:color w:val="000000" w:themeColor="text1"/>
          <w:sz w:val="17"/>
          <w:szCs w:val="17"/>
        </w:rPr>
        <w:t xml:space="preserve"> electrochemical research. As such:  </w:t>
      </w:r>
    </w:p>
    <w:p w14:paraId="7802D4C0" w14:textId="77777777" w:rsidR="55C0D629" w:rsidRPr="00316CB0" w:rsidRDefault="55C0D629" w:rsidP="00316CB0">
      <w:pPr>
        <w:spacing w:line="276" w:lineRule="auto"/>
        <w:jc w:val="both"/>
        <w:rPr>
          <w:rFonts w:ascii="Avenir LT Std 55 Roman" w:eastAsia="Calibri" w:hAnsi="Avenir LT Std 55 Roman" w:cs="Calibri"/>
          <w:color w:val="000000" w:themeColor="text1"/>
          <w:sz w:val="17"/>
          <w:szCs w:val="17"/>
        </w:rPr>
      </w:pPr>
    </w:p>
    <w:p w14:paraId="1FA8CB3A" w14:textId="5289A4AC" w:rsidR="00165A9B" w:rsidRPr="00316CB0" w:rsidRDefault="00165A9B" w:rsidP="00316CB0">
      <w:pPr>
        <w:pStyle w:val="ListParagraph"/>
        <w:numPr>
          <w:ilvl w:val="0"/>
          <w:numId w:val="3"/>
        </w:numPr>
        <w:spacing w:after="160" w:line="276" w:lineRule="auto"/>
        <w:jc w:val="both"/>
        <w:rPr>
          <w:rFonts w:ascii="Avenir LT Std 55 Roman" w:hAnsi="Avenir LT Std 55 Roman"/>
          <w:sz w:val="17"/>
          <w:szCs w:val="17"/>
        </w:rPr>
      </w:pPr>
      <w:r w:rsidRPr="00316CB0">
        <w:rPr>
          <w:rFonts w:ascii="Avenir LT Std 55 Roman" w:eastAsia="Calibri" w:hAnsi="Avenir LT Std 55 Roman" w:cs="Calibri"/>
          <w:sz w:val="17"/>
          <w:szCs w:val="17"/>
        </w:rPr>
        <w:lastRenderedPageBreak/>
        <w:t xml:space="preserve">Three-electrode </w:t>
      </w:r>
      <w:r w:rsidR="00E773B2" w:rsidRPr="00316CB0">
        <w:rPr>
          <w:rFonts w:ascii="Avenir LT Std 55 Roman" w:eastAsia="Calibri" w:hAnsi="Avenir LT Std 55 Roman" w:cs="Calibri"/>
          <w:sz w:val="17"/>
          <w:szCs w:val="17"/>
        </w:rPr>
        <w:t>cells</w:t>
      </w:r>
      <w:r w:rsidRPr="00316CB0">
        <w:rPr>
          <w:rFonts w:ascii="Avenir LT Std 55 Roman" w:eastAsia="Calibri" w:hAnsi="Avenir LT Std 55 Roman" w:cs="Calibri"/>
          <w:sz w:val="17"/>
          <w:szCs w:val="17"/>
        </w:rPr>
        <w:t xml:space="preserve"> should be employed when studying </w:t>
      </w:r>
      <w:r w:rsidR="007F1588" w:rsidRPr="00316CB0">
        <w:rPr>
          <w:rFonts w:ascii="Avenir LT Std 55 Roman" w:eastAsia="Calibri" w:hAnsi="Avenir LT Std 55 Roman" w:cs="Calibri"/>
          <w:sz w:val="17"/>
          <w:szCs w:val="17"/>
        </w:rPr>
        <w:t>NA</w:t>
      </w:r>
      <w:r w:rsidRPr="00316CB0">
        <w:rPr>
          <w:rFonts w:ascii="Avenir LT Std 55 Roman" w:eastAsia="Calibri" w:hAnsi="Avenir LT Std 55 Roman" w:cs="Calibri"/>
          <w:sz w:val="17"/>
          <w:szCs w:val="17"/>
        </w:rPr>
        <w:t xml:space="preserve"> electrolytes. In the case of three-electrode coin-cells and Swagelok cells, we recommended </w:t>
      </w:r>
      <w:r w:rsidR="00C113FC" w:rsidRPr="00316CB0">
        <w:rPr>
          <w:rFonts w:ascii="Avenir LT Std 55 Roman" w:eastAsia="Calibri" w:hAnsi="Avenir LT Std 55 Roman" w:cs="Calibri"/>
          <w:sz w:val="17"/>
          <w:szCs w:val="17"/>
        </w:rPr>
        <w:t xml:space="preserve">the </w:t>
      </w:r>
      <w:r w:rsidRPr="00316CB0">
        <w:rPr>
          <w:rFonts w:ascii="Avenir LT Std 55 Roman" w:eastAsia="Calibri" w:hAnsi="Avenir LT Std 55 Roman" w:cs="Calibri"/>
          <w:sz w:val="17"/>
          <w:szCs w:val="17"/>
        </w:rPr>
        <w:t>procedures outlined by Minter et al</w:t>
      </w:r>
      <w:r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{"citationItems":[{"id":"ITEM-1","itemData":{"DOI":"10.3791/57735","ISSN":"1940087X","PMID":"29889204","abstract":"As lithium-ion batteries find use in high energy and power applications, such as in electric and hybrid-electric vehicles, monitoring the degradation and subsequent safety issues becomes increasingly important. In a Li-ion cell setup, the voltage measurement across the positive and negative terminals inherently includes the effect of the cathode and anode which are coupled and sum to the total cell performance. Accordingly, the ability to monitor the degradation aspects associated with a specific electrode is extremely difficult because the electrodes are fundamentally coupled. A three-electrode setup can overcome this problem. By introducing a third (reference) electrode, the influence of each electrode can be decoupled, and the electrochemical properties can be measured independently. The reference electrode (RE) must have a stable potential that can then be calibrated against a known reference, for example, lithium metal. The three-electrode cell can be used to run electrochemical tests such as cycling, cyclic voltammetry, and electrochemical impedance spectroscopy (EIS). Three-electrode cell EIS measurements can elucidate the contribution of individual electrode impedance to the full cell. In addition, monitoring the anode potential allows the detection of electrodeposition due to lithium plating, which can cause safety concerns. This is especially important for the fast charging of Li-ion batteries in electric vehicles. In order to monitor and characterize the safety and degradation aspects of an electrochemical cell, a three-electrode setup can prove invaluable. This paper aims to provide a guide to constructing a three-electrode coin cell setup using the 2032-coin cell architecture, which is easy to produce, reliable, and cost-effective.","author":[{"dropping-particle":"","family":"Minter","given":"Robert D.","non-dropping-particle":"","parse-names":false,"suffix":""},{"dropping-particle":"","family":"Juarez-Robles","given":"Daniel","non-dropping-particle":"","parse-names":false,"suffix":""},{"dropping-particle":"","family":"Fear","given":"Conner","non-dropping-particle":"","parse-names":false,"suffix":""},{"dropping-particle":"","family":"Barsukov","given":"Yevgen","non-dropping-particle":"","parse-names":false,"suffix":""},{"dropping-particle":"","family":"Mukherjee","given":"Partha P.","non-dropping-particle":"","parse-names":false,"suffix":""}],"container-title":"Journal of Visualized Experiments","id":"ITEM-1","issue":"e57735","issued":{"date-parts":[["2018"]]},"page":"1-11","title":"Three-electrode coin cell preparation and electrodeposition analytics for Lithium-ion batteries","type":"article-journal","volume":"135"},"uris":["http://www.mendeley.com/documents/?uuid=1f19af31-4d70-4c09-bf1e-2f517d34c0be"]}],"mendeley":{"formattedCitation":"&lt;sup&gt;12&lt;/sup&gt;","plainTextFormattedCitation":"12","previouslyFormattedCitation":"&lt;sup&gt;12&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12</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xml:space="preserve"> and </w:t>
      </w:r>
      <w:proofErr w:type="spellStart"/>
      <w:r w:rsidRPr="00316CB0">
        <w:rPr>
          <w:rFonts w:ascii="Avenir LT Std 55 Roman" w:eastAsia="Calibri" w:hAnsi="Avenir LT Std 55 Roman" w:cs="Calibri"/>
          <w:sz w:val="17"/>
          <w:szCs w:val="17"/>
        </w:rPr>
        <w:t>Solchenbach</w:t>
      </w:r>
      <w:proofErr w:type="spellEnd"/>
      <w:r w:rsidRPr="00316CB0">
        <w:rPr>
          <w:rFonts w:ascii="Avenir LT Std 55 Roman" w:eastAsia="Calibri" w:hAnsi="Avenir LT Std 55 Roman" w:cs="Calibri"/>
          <w:sz w:val="17"/>
          <w:szCs w:val="17"/>
        </w:rPr>
        <w:t xml:space="preserve"> et al</w:t>
      </w:r>
      <w:r w:rsidRPr="00316CB0">
        <w:rPr>
          <w:rFonts w:ascii="Avenir LT Std 55 Roman" w:eastAsia="Calibri" w:hAnsi="Avenir LT Std 55 Roman" w:cs="Calibri"/>
          <w:sz w:val="17"/>
          <w:szCs w:val="17"/>
        </w:rPr>
        <w:fldChar w:fldCharType="begin" w:fldLock="1"/>
      </w:r>
      <w:r w:rsidR="006E7840" w:rsidRPr="00316CB0">
        <w:rPr>
          <w:rFonts w:ascii="Avenir LT Std 55 Roman" w:eastAsia="Calibri" w:hAnsi="Avenir LT Std 55 Roman" w:cs="Calibri"/>
          <w:sz w:val="17"/>
          <w:szCs w:val="17"/>
        </w:rPr>
        <w:instrText>ADDIN CSL_CITATION {"citationItems":[{"id":"ITEM-1","itemData":{"DOI":"10.1149/2.0581610jes","ISSN":"0013-4651","abstract":"Impedance measurements of lithium-ion batteries are a powerful tool to investigate the electrolyte/electrode interface. To separate the contributions of anode and cathode to the full-cell impedance, a reference electrode is required. However, if the reference electrode is placed inappropriately, the impedance response can easily be biased and lead to erroneous conclusions. In this study, we present a novel micro-reference electrode for Swagelok-type T-cells which is suitable for long-term impedance and reference potential measurements. The reference electrode consists of a thin insulated gold wire, which is placed centrally between cathode and anode and is in-situ electrochemically alloyed with lithium. The resulting lithium-gold alloy reference electrode shows remarkable stability (&gt;500 h) even during cycling or at elevated temperatures (40 • C). The accuracy of impedance measurements with this novel reference electrode is carefully validated. Further, we investigate the effect of different vinylene carbonate (VC) contents in the electrolyte on the charge transfer resistance of LFP/graphite full cells and demonstrate that the ratio of VC to active material, rather than the VC concentration, determines the impedance of the anode SEI.","author":[{"dropping-particle":"","family":"Solchenbach","given":"Sophie","non-dropping-particle":"","parse-names":false,"suffix":""},{"dropping-particle":"","family":"Pritzl","given":"Daniel","non-dropping-particle":"","parse-names":false,"suffix":""},{"dropping-particle":"","family":"Kong","given":"Edmund Jia Yi","non-dropping-particle":"","parse-names":false,"suffix":""},{"dropping-particle":"","family":"Landesfeind","given":"Johannes","non-dropping-particle":"","parse-names":false,"suffix":""},{"dropping-particle":"","family":"Gasteiger","given":"Hubert A.","non-dropping-particle":"","parse-names":false,"suffix":""}],"container-title":"Journal of The Electrochemical Society","id":"ITEM-1","issue":"10","issued":{"date-parts":[["2016"]]},"page":"A2265-A2272","title":"A Gold Micro-Reference Electrode for Impedance and Potential Measurements in Lithium Ion Batteries","type":"article-journal","volume":"163"},"uris":["http://www.mendeley.com/documents/?uuid=30c83349-98be-44f8-a117-a05bd8fa3377"]}],"mendeley":{"formattedCitation":"&lt;sup&gt;17&lt;/sup&gt;","plainTextFormattedCitation":"17","previouslyFormattedCitation":"&lt;sup&gt;17&lt;/sup&gt;"},"properties":{"noteIndex":0},"schema":"https://github.com/citation-style-language/schema/raw/master/csl-citation.json"}</w:instrText>
      </w:r>
      <w:r w:rsidRPr="00316CB0">
        <w:rPr>
          <w:rFonts w:ascii="Avenir LT Std 55 Roman" w:eastAsia="Calibri" w:hAnsi="Avenir LT Std 55 Roman" w:cs="Calibri"/>
          <w:sz w:val="17"/>
          <w:szCs w:val="17"/>
        </w:rPr>
        <w:fldChar w:fldCharType="separate"/>
      </w:r>
      <w:r w:rsidR="006E7840" w:rsidRPr="00316CB0">
        <w:rPr>
          <w:rFonts w:ascii="Avenir LT Std 55 Roman" w:eastAsia="Calibri" w:hAnsi="Avenir LT Std 55 Roman" w:cs="Calibri"/>
          <w:noProof/>
          <w:sz w:val="17"/>
          <w:szCs w:val="17"/>
          <w:vertAlign w:val="superscript"/>
        </w:rPr>
        <w:t>17</w:t>
      </w:r>
      <w:r w:rsidRPr="00316CB0">
        <w:rPr>
          <w:rFonts w:ascii="Avenir LT Std 55 Roman" w:eastAsia="Calibri" w:hAnsi="Avenir LT Std 55 Roman" w:cs="Calibri"/>
          <w:sz w:val="17"/>
          <w:szCs w:val="17"/>
        </w:rPr>
        <w:fldChar w:fldCharType="end"/>
      </w:r>
      <w:r w:rsidRPr="00316CB0">
        <w:rPr>
          <w:rFonts w:ascii="Avenir LT Std 55 Roman" w:eastAsia="Calibri" w:hAnsi="Avenir LT Std 55 Roman" w:cs="Calibri"/>
          <w:sz w:val="17"/>
          <w:szCs w:val="17"/>
        </w:rPr>
        <w:t>, respectively.</w:t>
      </w:r>
    </w:p>
    <w:p w14:paraId="2989451E" w14:textId="1094A508" w:rsidR="00165A9B" w:rsidRPr="00316CB0" w:rsidRDefault="45587AA8" w:rsidP="00316CB0">
      <w:pPr>
        <w:pStyle w:val="ListParagraph"/>
        <w:numPr>
          <w:ilvl w:val="0"/>
          <w:numId w:val="3"/>
        </w:numPr>
        <w:spacing w:after="160" w:line="276" w:lineRule="auto"/>
        <w:jc w:val="both"/>
        <w:rPr>
          <w:rFonts w:ascii="Avenir LT Std 55 Roman" w:hAnsi="Avenir LT Std 55 Roman"/>
          <w:sz w:val="17"/>
          <w:szCs w:val="17"/>
        </w:rPr>
      </w:pPr>
      <w:r w:rsidRPr="00316CB0">
        <w:rPr>
          <w:rFonts w:ascii="Avenir LT Std 55 Roman" w:eastAsia="Calibri" w:hAnsi="Avenir LT Std 55 Roman" w:cs="Calibri"/>
          <w:sz w:val="17"/>
          <w:szCs w:val="17"/>
        </w:rPr>
        <w:t xml:space="preserve">In beaker cells, </w:t>
      </w:r>
      <w:r w:rsidR="07998E38" w:rsidRPr="00316CB0">
        <w:rPr>
          <w:rFonts w:ascii="Avenir LT Std 55 Roman" w:eastAsia="Calibri" w:hAnsi="Avenir LT Std 55 Roman" w:cs="Calibri"/>
          <w:sz w:val="17"/>
          <w:szCs w:val="17"/>
        </w:rPr>
        <w:t xml:space="preserve">an </w:t>
      </w:r>
      <w:r w:rsidRPr="00316CB0">
        <w:rPr>
          <w:rFonts w:ascii="Avenir LT Std 55 Roman" w:eastAsia="Calibri" w:hAnsi="Avenir LT Std 55 Roman" w:cs="Calibri"/>
          <w:sz w:val="17"/>
          <w:szCs w:val="17"/>
        </w:rPr>
        <w:t>Ag wire should be employed</w:t>
      </w:r>
      <w:r w:rsidR="07998E38" w:rsidRPr="00316CB0">
        <w:rPr>
          <w:rFonts w:ascii="Avenir LT Std 55 Roman" w:eastAsia="Calibri" w:hAnsi="Avenir LT Std 55 Roman" w:cs="Calibri"/>
          <w:sz w:val="17"/>
          <w:szCs w:val="17"/>
        </w:rPr>
        <w:t xml:space="preserve"> in a self-contained fritted cell</w:t>
      </w:r>
      <w:r w:rsidRPr="00316CB0">
        <w:rPr>
          <w:rFonts w:ascii="Avenir LT Std 55 Roman" w:eastAsia="Calibri" w:hAnsi="Avenir LT Std 55 Roman" w:cs="Calibri"/>
          <w:sz w:val="17"/>
          <w:szCs w:val="17"/>
        </w:rPr>
        <w:t xml:space="preserve"> and referenced against an IRRS. </w:t>
      </w:r>
      <w:r w:rsidR="00C113FC" w:rsidRPr="00316CB0">
        <w:rPr>
          <w:rFonts w:ascii="Avenir LT Std 55 Roman" w:eastAsia="Calibri" w:hAnsi="Avenir LT Std 55 Roman" w:cs="Calibri"/>
          <w:sz w:val="17"/>
          <w:szCs w:val="17"/>
        </w:rPr>
        <w:t xml:space="preserve">IRRS stability with cycling and time should be ascertained. </w:t>
      </w:r>
    </w:p>
    <w:p w14:paraId="122D4999" w14:textId="793BF7F1" w:rsidR="00165A9B" w:rsidRPr="00316CB0" w:rsidRDefault="00165A9B" w:rsidP="00316CB0">
      <w:pPr>
        <w:pStyle w:val="ListParagraph"/>
        <w:numPr>
          <w:ilvl w:val="0"/>
          <w:numId w:val="3"/>
        </w:numPr>
        <w:spacing w:after="160" w:line="276" w:lineRule="auto"/>
        <w:jc w:val="both"/>
        <w:rPr>
          <w:rFonts w:ascii="Avenir LT Std 55 Roman" w:hAnsi="Avenir LT Std 55 Roman"/>
          <w:sz w:val="17"/>
          <w:szCs w:val="17"/>
        </w:rPr>
      </w:pPr>
      <w:r w:rsidRPr="00316CB0">
        <w:rPr>
          <w:rFonts w:ascii="Avenir LT Std 55 Roman" w:eastAsia="Calibri" w:hAnsi="Avenir LT Std 55 Roman" w:cs="Calibri"/>
          <w:sz w:val="17"/>
          <w:szCs w:val="17"/>
        </w:rPr>
        <w:t>Ideally, IRRSs should be present throughout the experiment and selected so as not to interfere with the electrochemical measurements, which may require the use of alternatives to Fc</w:t>
      </w:r>
      <w:r w:rsidR="000C13D1" w:rsidRPr="00316CB0">
        <w:rPr>
          <w:rFonts w:ascii="Avenir LT Std 55 Roman" w:eastAsia="Calibri" w:hAnsi="Avenir LT Std 55 Roman" w:cs="Calibri"/>
          <w:sz w:val="17"/>
          <w:szCs w:val="17"/>
        </w:rPr>
        <w:t>,</w:t>
      </w:r>
      <w:r w:rsidRPr="00316CB0">
        <w:rPr>
          <w:rFonts w:ascii="Avenir LT Std 55 Roman" w:eastAsia="Calibri" w:hAnsi="Avenir LT Std 55 Roman" w:cs="Calibri"/>
          <w:sz w:val="17"/>
          <w:szCs w:val="17"/>
        </w:rPr>
        <w:t xml:space="preserve"> such as </w:t>
      </w:r>
      <w:proofErr w:type="spellStart"/>
      <w:r w:rsidRPr="00316CB0">
        <w:rPr>
          <w:rFonts w:ascii="Avenir LT Std 55 Roman" w:eastAsia="Calibri" w:hAnsi="Avenir LT Std 55 Roman" w:cs="Calibri"/>
          <w:sz w:val="17"/>
          <w:szCs w:val="17"/>
        </w:rPr>
        <w:t>DmFc</w:t>
      </w:r>
      <w:proofErr w:type="spellEnd"/>
      <w:r w:rsidR="00AC5017" w:rsidRPr="00316CB0">
        <w:rPr>
          <w:rFonts w:ascii="Avenir LT Std 55 Roman" w:eastAsia="Calibri" w:hAnsi="Avenir LT Std 55 Roman" w:cs="Calibri"/>
          <w:sz w:val="17"/>
          <w:szCs w:val="17"/>
        </w:rPr>
        <w:t xml:space="preserve"> which are stable </w:t>
      </w:r>
      <w:r w:rsidR="00C668F7" w:rsidRPr="00316CB0">
        <w:rPr>
          <w:rFonts w:ascii="Avenir LT Std 55 Roman" w:eastAsia="Calibri" w:hAnsi="Avenir LT Std 55 Roman" w:cs="Calibri"/>
          <w:sz w:val="17"/>
          <w:szCs w:val="17"/>
        </w:rPr>
        <w:t>in a wider</w:t>
      </w:r>
      <w:r w:rsidR="00AC5017" w:rsidRPr="00316CB0">
        <w:rPr>
          <w:rFonts w:ascii="Avenir LT Std 55 Roman" w:eastAsia="Calibri" w:hAnsi="Avenir LT Std 55 Roman" w:cs="Calibri"/>
          <w:sz w:val="17"/>
          <w:szCs w:val="17"/>
        </w:rPr>
        <w:t xml:space="preserve"> potential window and unaffected by solvation effects</w:t>
      </w:r>
      <w:r w:rsidRPr="00316CB0">
        <w:rPr>
          <w:rFonts w:ascii="Avenir LT Std 55 Roman" w:eastAsia="Calibri" w:hAnsi="Avenir LT Std 55 Roman" w:cs="Calibri"/>
          <w:sz w:val="17"/>
          <w:szCs w:val="17"/>
        </w:rPr>
        <w:t xml:space="preserve">. </w:t>
      </w:r>
    </w:p>
    <w:p w14:paraId="6E6D20CF" w14:textId="51CAB0E8" w:rsidR="00165A9B" w:rsidRPr="00316CB0" w:rsidRDefault="45587AA8" w:rsidP="00316CB0">
      <w:pPr>
        <w:pStyle w:val="ListParagraph"/>
        <w:numPr>
          <w:ilvl w:val="0"/>
          <w:numId w:val="3"/>
        </w:numPr>
        <w:spacing w:after="160" w:line="276" w:lineRule="auto"/>
        <w:jc w:val="both"/>
        <w:rPr>
          <w:rFonts w:ascii="Avenir LT Std 55 Roman" w:hAnsi="Avenir LT Std 55 Roman"/>
          <w:sz w:val="17"/>
          <w:szCs w:val="17"/>
        </w:rPr>
      </w:pPr>
      <w:r w:rsidRPr="00316CB0">
        <w:rPr>
          <w:rFonts w:ascii="Avenir LT Std 55 Roman" w:eastAsia="Calibri" w:hAnsi="Avenir LT Std 55 Roman" w:cs="Calibri"/>
          <w:sz w:val="17"/>
          <w:szCs w:val="17"/>
        </w:rPr>
        <w:t xml:space="preserve">In the case that such an IRRS is not feasible, the potential of the QRE should be measured </w:t>
      </w:r>
      <w:r w:rsidR="00BC4D95" w:rsidRPr="00BC4D95">
        <w:rPr>
          <w:rFonts w:ascii="Avenir LT Std 55 Roman" w:eastAsia="Calibri" w:hAnsi="Avenir LT Std 55 Roman" w:cs="Calibri"/>
          <w:sz w:val="17"/>
          <w:szCs w:val="17"/>
        </w:rPr>
        <w:t>vs</w:t>
      </w:r>
      <w:r w:rsidRPr="00316CB0">
        <w:rPr>
          <w:rFonts w:ascii="Avenir LT Std 55 Roman" w:eastAsia="Calibri" w:hAnsi="Avenir LT Std 55 Roman" w:cs="Calibri"/>
          <w:sz w:val="17"/>
          <w:szCs w:val="17"/>
        </w:rPr>
        <w:t xml:space="preserve"> an IRRS in an equivalent test solution, both before and after the experiment.  </w:t>
      </w:r>
    </w:p>
    <w:p w14:paraId="21EE1015" w14:textId="77777777" w:rsidR="00E315FF" w:rsidRPr="00316CB0" w:rsidRDefault="55C0D629" w:rsidP="00316CB0">
      <w:pPr>
        <w:pStyle w:val="ListParagraph"/>
        <w:numPr>
          <w:ilvl w:val="0"/>
          <w:numId w:val="3"/>
        </w:numPr>
        <w:spacing w:after="160" w:line="276" w:lineRule="auto"/>
        <w:jc w:val="both"/>
        <w:rPr>
          <w:rFonts w:ascii="Avenir LT Std 55 Roman" w:hAnsi="Avenir LT Std 55 Roman"/>
          <w:color w:val="000000" w:themeColor="text1"/>
          <w:sz w:val="17"/>
          <w:szCs w:val="17"/>
        </w:rPr>
      </w:pPr>
      <w:r w:rsidRPr="00316CB0">
        <w:rPr>
          <w:rFonts w:ascii="Avenir LT Std 55 Roman" w:eastAsia="Calibri" w:hAnsi="Avenir LT Std 55 Roman" w:cs="Calibri"/>
          <w:sz w:val="17"/>
          <w:szCs w:val="17"/>
        </w:rPr>
        <w:t>Details of data calibration should be reported alongside IRRS measurements.</w:t>
      </w:r>
      <w:r w:rsidR="00E315FF" w:rsidRPr="00316CB0">
        <w:rPr>
          <w:rFonts w:ascii="Avenir LT Std 55 Roman" w:eastAsia="Calibri" w:hAnsi="Avenir LT Std 55 Roman" w:cs="Calibri"/>
          <w:sz w:val="17"/>
          <w:szCs w:val="17"/>
        </w:rPr>
        <w:t xml:space="preserve"> </w:t>
      </w:r>
      <w:r w:rsidR="00E315FF" w:rsidRPr="00316CB0">
        <w:rPr>
          <w:rFonts w:ascii="Avenir LT Std 55 Roman" w:eastAsia="Calibri" w:hAnsi="Avenir LT Std 55 Roman" w:cs="Calibri"/>
          <w:color w:val="000000" w:themeColor="text1"/>
          <w:sz w:val="17"/>
          <w:szCs w:val="17"/>
        </w:rPr>
        <w:t xml:space="preserve">The stability of a given RE should be evaluated using time dependent IRRS potential measurements prior to undertaking electrochemical testing. Such data should be supplied in the SI.  </w:t>
      </w:r>
    </w:p>
    <w:p w14:paraId="6B90A82C" w14:textId="3845142D" w:rsidR="00165A9B" w:rsidRPr="00316CB0" w:rsidRDefault="00E315FF" w:rsidP="00316CB0">
      <w:pPr>
        <w:pStyle w:val="ListParagraph"/>
        <w:numPr>
          <w:ilvl w:val="0"/>
          <w:numId w:val="3"/>
        </w:numPr>
        <w:spacing w:after="160" w:line="276" w:lineRule="auto"/>
        <w:jc w:val="both"/>
        <w:rPr>
          <w:rFonts w:ascii="Avenir LT Std 55 Roman" w:hAnsi="Avenir LT Std 55 Roman"/>
          <w:sz w:val="17"/>
          <w:szCs w:val="17"/>
        </w:rPr>
      </w:pPr>
      <w:r w:rsidRPr="00316CB0">
        <w:rPr>
          <w:rFonts w:ascii="Avenir LT Std 55 Roman" w:eastAsia="Calibri" w:hAnsi="Avenir LT Std 55 Roman" w:cs="Calibri"/>
          <w:color w:val="000000" w:themeColor="text1"/>
          <w:sz w:val="17"/>
          <w:szCs w:val="17"/>
        </w:rPr>
        <w:t xml:space="preserve">When setting out to fully evaluate novel RE/QREs, it would be beneficial to perform such measurements in a range of electrolyte compositions </w:t>
      </w:r>
      <w:r w:rsidR="00BC4D95" w:rsidRPr="00BC4D95">
        <w:rPr>
          <w:rFonts w:ascii="Avenir LT Std 55 Roman" w:eastAsia="Calibri" w:hAnsi="Avenir LT Std 55 Roman" w:cs="Calibri"/>
          <w:color w:val="000000" w:themeColor="text1"/>
          <w:sz w:val="17"/>
          <w:szCs w:val="17"/>
        </w:rPr>
        <w:t>vs</w:t>
      </w:r>
      <w:r w:rsidRPr="00316CB0">
        <w:rPr>
          <w:rFonts w:ascii="Avenir LT Std 55 Roman" w:eastAsia="Calibri" w:hAnsi="Avenir LT Std 55 Roman" w:cs="Calibri"/>
          <w:color w:val="000000" w:themeColor="text1"/>
          <w:sz w:val="17"/>
          <w:szCs w:val="17"/>
        </w:rPr>
        <w:t xml:space="preserve"> a sufficiently stable IRRS to determine its versatility. </w:t>
      </w:r>
    </w:p>
    <w:p w14:paraId="27908D4E" w14:textId="20E768CE" w:rsidR="00165A9B" w:rsidRPr="00316CB0" w:rsidRDefault="6FCC4991" w:rsidP="00316CB0">
      <w:pPr>
        <w:pStyle w:val="ListParagraph"/>
        <w:numPr>
          <w:ilvl w:val="0"/>
          <w:numId w:val="3"/>
        </w:numPr>
        <w:spacing w:after="160" w:line="276" w:lineRule="auto"/>
        <w:jc w:val="both"/>
        <w:rPr>
          <w:rFonts w:ascii="Avenir LT Std 55 Roman" w:hAnsi="Avenir LT Std 55 Roman"/>
          <w:color w:val="000000" w:themeColor="text1"/>
          <w:sz w:val="17"/>
          <w:szCs w:val="17"/>
        </w:rPr>
      </w:pPr>
      <w:r w:rsidRPr="00316CB0">
        <w:rPr>
          <w:rFonts w:ascii="Avenir LT Std 55 Roman" w:eastAsia="Calibri" w:hAnsi="Avenir LT Std 55 Roman" w:cs="Calibri"/>
          <w:color w:val="000000" w:themeColor="text1"/>
          <w:sz w:val="17"/>
          <w:szCs w:val="17"/>
        </w:rPr>
        <w:t>Above all, p</w:t>
      </w:r>
      <w:r w:rsidR="45587AA8" w:rsidRPr="00316CB0">
        <w:rPr>
          <w:rFonts w:ascii="Avenir LT Std 55 Roman" w:eastAsia="Calibri" w:hAnsi="Avenir LT Std 55 Roman" w:cs="Calibri"/>
          <w:color w:val="000000" w:themeColor="text1"/>
          <w:sz w:val="17"/>
          <w:szCs w:val="17"/>
        </w:rPr>
        <w:t xml:space="preserve">rocedures for RE preparation and voltage determination should be </w:t>
      </w:r>
      <w:r w:rsidR="45587AA8" w:rsidRPr="00316CB0">
        <w:rPr>
          <w:rFonts w:ascii="Avenir LT Std 55 Roman" w:eastAsia="Calibri" w:hAnsi="Avenir LT Std 55 Roman" w:cs="Calibri"/>
          <w:i/>
          <w:iCs/>
          <w:color w:val="000000" w:themeColor="text1"/>
          <w:sz w:val="17"/>
          <w:szCs w:val="17"/>
        </w:rPr>
        <w:t>explicitly</w:t>
      </w:r>
      <w:r w:rsidR="45587AA8" w:rsidRPr="00316CB0">
        <w:rPr>
          <w:rFonts w:ascii="Avenir LT Std 55 Roman" w:eastAsia="Calibri" w:hAnsi="Avenir LT Std 55 Roman" w:cs="Calibri"/>
          <w:color w:val="000000" w:themeColor="text1"/>
          <w:sz w:val="17"/>
          <w:szCs w:val="17"/>
        </w:rPr>
        <w:t xml:space="preserve"> reported. This includes the nature, </w:t>
      </w:r>
      <w:r w:rsidR="45587AA8" w:rsidRPr="00316CB0">
        <w:rPr>
          <w:rFonts w:ascii="Avenir LT Std 55 Roman" w:eastAsia="Calibri" w:hAnsi="Avenir LT Std 55 Roman" w:cs="Calibri"/>
          <w:sz w:val="17"/>
          <w:szCs w:val="17"/>
        </w:rPr>
        <w:t xml:space="preserve">purity, </w:t>
      </w:r>
      <w:r w:rsidR="6E1CB7B2" w:rsidRPr="00316CB0">
        <w:rPr>
          <w:rFonts w:ascii="Avenir LT Std 55 Roman" w:eastAsia="Calibri" w:hAnsi="Avenir LT Std 55 Roman" w:cs="Calibri"/>
          <w:sz w:val="17"/>
          <w:szCs w:val="17"/>
        </w:rPr>
        <w:t xml:space="preserve">enclosure, </w:t>
      </w:r>
      <w:r w:rsidR="45587AA8" w:rsidRPr="00316CB0">
        <w:rPr>
          <w:rFonts w:ascii="Avenir LT Std 55 Roman" w:eastAsia="Calibri" w:hAnsi="Avenir LT Std 55 Roman" w:cs="Calibri"/>
          <w:sz w:val="17"/>
          <w:szCs w:val="17"/>
        </w:rPr>
        <w:t>and supplier of the</w:t>
      </w:r>
      <w:r w:rsidR="6E1CB7B2" w:rsidRPr="00316CB0">
        <w:rPr>
          <w:rFonts w:ascii="Avenir LT Std 55 Roman" w:eastAsia="Calibri" w:hAnsi="Avenir LT Std 55 Roman" w:cs="Calibri"/>
          <w:sz w:val="17"/>
          <w:szCs w:val="17"/>
        </w:rPr>
        <w:t xml:space="preserve"> </w:t>
      </w:r>
      <w:r w:rsidR="00E773B2" w:rsidRPr="00316CB0">
        <w:rPr>
          <w:rFonts w:ascii="Avenir LT Std 55 Roman" w:eastAsia="Calibri" w:hAnsi="Avenir LT Std 55 Roman" w:cs="Calibri"/>
          <w:sz w:val="17"/>
          <w:szCs w:val="17"/>
        </w:rPr>
        <w:t>(</w:t>
      </w:r>
      <w:r w:rsidR="6E1CB7B2" w:rsidRPr="00316CB0">
        <w:rPr>
          <w:rFonts w:ascii="Avenir LT Std 55 Roman" w:eastAsia="Calibri" w:hAnsi="Avenir LT Std 55 Roman" w:cs="Calibri"/>
          <w:sz w:val="17"/>
          <w:szCs w:val="17"/>
        </w:rPr>
        <w:t>Q</w:t>
      </w:r>
      <w:r w:rsidR="00E773B2" w:rsidRPr="00316CB0">
        <w:rPr>
          <w:rFonts w:ascii="Avenir LT Std 55 Roman" w:eastAsia="Calibri" w:hAnsi="Avenir LT Std 55 Roman" w:cs="Calibri"/>
          <w:sz w:val="17"/>
          <w:szCs w:val="17"/>
        </w:rPr>
        <w:t>)</w:t>
      </w:r>
      <w:r w:rsidR="6E1CB7B2" w:rsidRPr="00316CB0">
        <w:rPr>
          <w:rFonts w:ascii="Avenir LT Std 55 Roman" w:eastAsia="Calibri" w:hAnsi="Avenir LT Std 55 Roman" w:cs="Calibri"/>
          <w:sz w:val="17"/>
          <w:szCs w:val="17"/>
        </w:rPr>
        <w:t>RE</w:t>
      </w:r>
      <w:r w:rsidR="45587AA8" w:rsidRPr="00316CB0">
        <w:rPr>
          <w:rFonts w:ascii="Avenir LT Std 55 Roman" w:eastAsia="Calibri" w:hAnsi="Avenir LT Std 55 Roman" w:cs="Calibri"/>
          <w:sz w:val="17"/>
          <w:szCs w:val="17"/>
        </w:rPr>
        <w:t xml:space="preserve">. Also, experimental conditions, the concentration of supporting electrolyte and IRRS, the scan rates, </w:t>
      </w:r>
      <w:r w:rsidR="45587AA8" w:rsidRPr="00316CB0">
        <w:rPr>
          <w:rFonts w:ascii="Avenir LT Std 55 Roman" w:eastAsia="Calibri" w:hAnsi="Avenir LT Std 55 Roman" w:cs="Calibri"/>
          <w:color w:val="000000" w:themeColor="text1"/>
          <w:sz w:val="17"/>
          <w:szCs w:val="17"/>
        </w:rPr>
        <w:t xml:space="preserve">and the application of any resistance compensation.  </w:t>
      </w:r>
    </w:p>
    <w:p w14:paraId="6F89C3C6" w14:textId="73C8AED9" w:rsidR="55C0D629" w:rsidRPr="00316CB0" w:rsidRDefault="55C0D629" w:rsidP="00316CB0">
      <w:pPr>
        <w:pStyle w:val="ListParagraph"/>
        <w:numPr>
          <w:ilvl w:val="0"/>
          <w:numId w:val="3"/>
        </w:numPr>
        <w:spacing w:after="160" w:line="276" w:lineRule="auto"/>
        <w:jc w:val="both"/>
        <w:rPr>
          <w:rFonts w:ascii="Avenir LT Std 55 Roman" w:hAnsi="Avenir LT Std 55 Roman"/>
          <w:color w:val="000000" w:themeColor="text1"/>
          <w:sz w:val="17"/>
          <w:szCs w:val="17"/>
        </w:rPr>
      </w:pPr>
      <w:r w:rsidRPr="00316CB0">
        <w:rPr>
          <w:rFonts w:ascii="Avenir LT Std 55 Roman" w:eastAsia="Calibri" w:hAnsi="Avenir LT Std 55 Roman" w:cs="Calibri"/>
          <w:color w:val="000000" w:themeColor="text1"/>
          <w:sz w:val="17"/>
          <w:szCs w:val="17"/>
        </w:rPr>
        <w:t>Due to solvent specificity of many NA REs, reported potentials should include the solution of study (</w:t>
      </w:r>
      <w:proofErr w:type="gramStart"/>
      <w:r w:rsidRPr="003D285A">
        <w:rPr>
          <w:rFonts w:ascii="Avenir LT Std 55 Roman" w:eastAsia="Calibri" w:hAnsi="Avenir LT Std 55 Roman" w:cs="Calibri"/>
          <w:i/>
          <w:color w:val="000000" w:themeColor="text1"/>
          <w:sz w:val="17"/>
          <w:szCs w:val="17"/>
        </w:rPr>
        <w:t>e.g.</w:t>
      </w:r>
      <w:proofErr w:type="gramEnd"/>
      <w:r w:rsidRPr="003D285A">
        <w:rPr>
          <w:rFonts w:ascii="Avenir LT Std 55 Roman" w:eastAsia="Calibri" w:hAnsi="Avenir LT Std 55 Roman" w:cs="Calibri"/>
          <w:i/>
          <w:color w:val="000000" w:themeColor="text1"/>
          <w:sz w:val="17"/>
          <w:szCs w:val="17"/>
        </w:rPr>
        <w:t xml:space="preserve"> </w:t>
      </w:r>
      <w:r w:rsidR="00BC4D95" w:rsidRPr="003D285A">
        <w:rPr>
          <w:rFonts w:ascii="Avenir LT Std 55 Roman" w:eastAsia="Calibri" w:hAnsi="Avenir LT Std 55 Roman" w:cs="Calibri"/>
          <w:i/>
          <w:color w:val="000000" w:themeColor="text1"/>
          <w:sz w:val="17"/>
          <w:szCs w:val="17"/>
        </w:rPr>
        <w:t>vs</w:t>
      </w:r>
      <w:r w:rsidRPr="00316CB0">
        <w:rPr>
          <w:rFonts w:ascii="Avenir LT Std 55 Roman" w:eastAsia="Calibri" w:hAnsi="Avenir LT Std 55 Roman" w:cs="Calibri"/>
          <w:color w:val="000000" w:themeColor="text1"/>
          <w:sz w:val="17"/>
          <w:szCs w:val="17"/>
        </w:rPr>
        <w:t xml:space="preserve"> Li</w:t>
      </w:r>
      <w:r w:rsidR="00E315FF" w:rsidRPr="00316CB0">
        <w:rPr>
          <w:rFonts w:ascii="Avenir LT Std 55 Roman" w:eastAsia="Calibri" w:hAnsi="Avenir LT Std 55 Roman" w:cs="Calibri"/>
          <w:color w:val="000000" w:themeColor="text1"/>
          <w:sz w:val="17"/>
          <w:szCs w:val="17"/>
          <w:vertAlign w:val="superscript"/>
        </w:rPr>
        <w:t>+</w:t>
      </w:r>
      <w:r w:rsidRPr="00316CB0">
        <w:rPr>
          <w:rFonts w:ascii="Avenir LT Std 55 Roman" w:eastAsia="Calibri" w:hAnsi="Avenir LT Std 55 Roman" w:cs="Calibri"/>
          <w:color w:val="000000" w:themeColor="text1"/>
          <w:sz w:val="17"/>
          <w:szCs w:val="17"/>
        </w:rPr>
        <w:t>/Li in 0.1</w:t>
      </w:r>
      <w:r w:rsidR="00E315FF" w:rsidRPr="00316CB0">
        <w:rPr>
          <w:rFonts w:ascii="Avenir LT Std 55 Roman" w:eastAsia="Calibri" w:hAnsi="Avenir LT Std 55 Roman" w:cs="Calibri"/>
          <w:color w:val="000000" w:themeColor="text1"/>
          <w:sz w:val="17"/>
          <w:szCs w:val="17"/>
        </w:rPr>
        <w:t xml:space="preserve"> </w:t>
      </w:r>
      <w:r w:rsidRPr="00316CB0">
        <w:rPr>
          <w:rFonts w:ascii="Avenir LT Std 55 Roman" w:eastAsia="Calibri" w:hAnsi="Avenir LT Std 55 Roman" w:cs="Calibri"/>
          <w:color w:val="000000" w:themeColor="text1"/>
          <w:sz w:val="17"/>
          <w:szCs w:val="17"/>
        </w:rPr>
        <w:t>M TBAPF</w:t>
      </w:r>
      <w:r w:rsidRPr="00316CB0">
        <w:rPr>
          <w:rFonts w:ascii="Avenir LT Std 55 Roman" w:eastAsia="Calibri" w:hAnsi="Avenir LT Std 55 Roman" w:cs="Calibri"/>
          <w:color w:val="000000" w:themeColor="text1"/>
          <w:sz w:val="17"/>
          <w:szCs w:val="17"/>
          <w:vertAlign w:val="subscript"/>
        </w:rPr>
        <w:t>6</w:t>
      </w:r>
      <w:r w:rsidRPr="00316CB0">
        <w:rPr>
          <w:rFonts w:ascii="Avenir LT Std 55 Roman" w:eastAsia="Calibri" w:hAnsi="Avenir LT Std 55 Roman" w:cs="Calibri"/>
          <w:color w:val="000000" w:themeColor="text1"/>
          <w:sz w:val="17"/>
          <w:szCs w:val="17"/>
        </w:rPr>
        <w:t xml:space="preserve"> in MeCN</w:t>
      </w:r>
      <w:r w:rsidR="00E315FF" w:rsidRPr="00316CB0">
        <w:rPr>
          <w:rFonts w:ascii="Avenir LT Std 55 Roman" w:eastAsia="Calibri" w:hAnsi="Avenir LT Std 55 Roman" w:cs="Calibri"/>
          <w:color w:val="000000" w:themeColor="text1"/>
          <w:sz w:val="17"/>
          <w:szCs w:val="17"/>
        </w:rPr>
        <w:t>)</w:t>
      </w:r>
      <w:r w:rsidR="00EF18B6" w:rsidRPr="00316CB0">
        <w:rPr>
          <w:rFonts w:ascii="Avenir LT Std 55 Roman" w:eastAsia="Calibri" w:hAnsi="Avenir LT Std 55 Roman" w:cs="Calibri"/>
          <w:color w:val="000000" w:themeColor="text1"/>
          <w:sz w:val="17"/>
          <w:szCs w:val="17"/>
        </w:rPr>
        <w:t>.</w:t>
      </w:r>
    </w:p>
    <w:p w14:paraId="132865FD" w14:textId="77777777" w:rsidR="00165A9B" w:rsidRPr="00316CB0" w:rsidRDefault="00165A9B" w:rsidP="00316CB0">
      <w:pPr>
        <w:pStyle w:val="ListParagraph"/>
        <w:numPr>
          <w:ilvl w:val="0"/>
          <w:numId w:val="3"/>
        </w:numPr>
        <w:spacing w:after="160" w:line="276" w:lineRule="auto"/>
        <w:jc w:val="both"/>
        <w:rPr>
          <w:rFonts w:ascii="Avenir LT Std 55 Roman" w:hAnsi="Avenir LT Std 55 Roman"/>
          <w:color w:val="000000" w:themeColor="text1"/>
          <w:sz w:val="17"/>
          <w:szCs w:val="17"/>
        </w:rPr>
      </w:pPr>
      <w:r w:rsidRPr="00316CB0">
        <w:rPr>
          <w:rFonts w:ascii="Avenir LT Std 55 Roman" w:eastAsia="Calibri" w:hAnsi="Avenir LT Std 55 Roman" w:cs="Calibri"/>
          <w:color w:val="000000" w:themeColor="text1"/>
          <w:sz w:val="17"/>
          <w:szCs w:val="17"/>
        </w:rPr>
        <w:t xml:space="preserve">Conversion between reference potentials should be done with </w:t>
      </w:r>
      <w:r w:rsidRPr="00316CB0">
        <w:rPr>
          <w:rFonts w:ascii="Avenir LT Std 55 Roman" w:eastAsia="Calibri" w:hAnsi="Avenir LT Std 55 Roman" w:cs="Calibri"/>
          <w:sz w:val="17"/>
          <w:szCs w:val="17"/>
        </w:rPr>
        <w:t xml:space="preserve">care and should be sufficiently reported alongside raw data to aid with reliable comparisons. </w:t>
      </w:r>
      <w:r w:rsidRPr="00316CB0">
        <w:rPr>
          <w:rFonts w:ascii="Avenir LT Std 55 Roman" w:eastAsia="Calibri" w:hAnsi="Avenir LT Std 55 Roman" w:cs="Calibri"/>
          <w:color w:val="000000" w:themeColor="text1"/>
          <w:sz w:val="17"/>
          <w:szCs w:val="17"/>
        </w:rPr>
        <w:t xml:space="preserve"> </w:t>
      </w:r>
    </w:p>
    <w:p w14:paraId="0FDD537C" w14:textId="3264DCE6" w:rsidR="00165A9B" w:rsidRPr="00316CB0" w:rsidRDefault="00165A9B" w:rsidP="00316CB0">
      <w:pPr>
        <w:pStyle w:val="ListParagraph"/>
        <w:numPr>
          <w:ilvl w:val="0"/>
          <w:numId w:val="3"/>
        </w:numPr>
        <w:spacing w:after="160" w:line="276" w:lineRule="auto"/>
        <w:jc w:val="both"/>
        <w:rPr>
          <w:rFonts w:ascii="Avenir LT Std 55 Roman" w:hAnsi="Avenir LT Std 55 Roman"/>
          <w:color w:val="000000" w:themeColor="text1"/>
          <w:sz w:val="17"/>
          <w:szCs w:val="17"/>
        </w:rPr>
      </w:pPr>
      <w:r w:rsidRPr="14307220">
        <w:rPr>
          <w:rFonts w:ascii="Avenir LT Std 55 Roman" w:eastAsia="Calibri" w:hAnsi="Avenir LT Std 55 Roman" w:cs="Calibri"/>
          <w:color w:val="000000" w:themeColor="text1"/>
          <w:sz w:val="17"/>
          <w:szCs w:val="17"/>
        </w:rPr>
        <w:t xml:space="preserve">Li QREs should be avoided and replaced with more stable alternatives, such as lithium titanate in the case of LIBs. In post-Li batteries, research should endeavor to evaluate analogous materials for implementation as </w:t>
      </w:r>
      <w:proofErr w:type="spellStart"/>
      <w:r w:rsidRPr="14307220">
        <w:rPr>
          <w:rFonts w:ascii="Avenir LT Std 55 Roman" w:eastAsia="Calibri" w:hAnsi="Avenir LT Std 55 Roman" w:cs="Calibri"/>
          <w:color w:val="000000" w:themeColor="text1"/>
          <w:sz w:val="17"/>
          <w:szCs w:val="17"/>
        </w:rPr>
        <w:t>REs.</w:t>
      </w:r>
      <w:proofErr w:type="spellEnd"/>
    </w:p>
    <w:p w14:paraId="6307502B" w14:textId="280A0E8F" w:rsidR="00601E08" w:rsidRPr="00316CB0" w:rsidRDefault="45587AA8" w:rsidP="00316CB0">
      <w:pPr>
        <w:spacing w:line="276" w:lineRule="auto"/>
        <w:jc w:val="both"/>
        <w:rPr>
          <w:rFonts w:ascii="Avenir LT Std 55 Roman" w:eastAsia="Calibri" w:hAnsi="Avenir LT Std 55 Roman" w:cs="Calibri"/>
          <w:sz w:val="17"/>
          <w:szCs w:val="17"/>
        </w:rPr>
      </w:pPr>
      <w:r w:rsidRPr="00316CB0">
        <w:rPr>
          <w:rFonts w:ascii="Avenir LT Std 55 Roman" w:eastAsia="Calibri" w:hAnsi="Avenir LT Std 55 Roman" w:cs="Calibri"/>
          <w:color w:val="000000" w:themeColor="text1"/>
          <w:sz w:val="17"/>
          <w:szCs w:val="17"/>
        </w:rPr>
        <w:t>While somew</w:t>
      </w:r>
      <w:r w:rsidRPr="00316CB0">
        <w:rPr>
          <w:rFonts w:ascii="Avenir LT Std 55 Roman" w:eastAsia="Calibri" w:hAnsi="Avenir LT Std 55 Roman" w:cs="Calibri"/>
          <w:sz w:val="17"/>
          <w:szCs w:val="17"/>
        </w:rPr>
        <w:t xml:space="preserve">hat obvious, the above suggestions are scarcely observed in the literature, and this becomes problematic when trying to ascertain if advances are being made. </w:t>
      </w:r>
      <w:r w:rsidR="79DCB0BC" w:rsidRPr="00316CB0">
        <w:rPr>
          <w:rFonts w:ascii="Avenir LT Std 55 Roman" w:eastAsia="Calibri" w:hAnsi="Avenir LT Std 55 Roman" w:cs="Calibri"/>
          <w:sz w:val="17"/>
          <w:szCs w:val="17"/>
        </w:rPr>
        <w:t xml:space="preserve">Electrochemistry in </w:t>
      </w:r>
      <w:r w:rsidR="007F1588" w:rsidRPr="00316CB0">
        <w:rPr>
          <w:rFonts w:ascii="Avenir LT Std 55 Roman" w:eastAsia="Calibri" w:hAnsi="Avenir LT Std 55 Roman" w:cs="Calibri"/>
          <w:sz w:val="17"/>
          <w:szCs w:val="17"/>
        </w:rPr>
        <w:t>NA</w:t>
      </w:r>
      <w:r w:rsidR="79DCB0BC" w:rsidRPr="00316CB0">
        <w:rPr>
          <w:rFonts w:ascii="Avenir LT Std 55 Roman" w:eastAsia="Calibri" w:hAnsi="Avenir LT Std 55 Roman" w:cs="Calibri"/>
          <w:sz w:val="17"/>
          <w:szCs w:val="17"/>
        </w:rPr>
        <w:t xml:space="preserve"> media is challenging, </w:t>
      </w:r>
      <w:r w:rsidR="00E315FF" w:rsidRPr="00316CB0">
        <w:rPr>
          <w:rFonts w:ascii="Avenir LT Std 55 Roman" w:eastAsia="Calibri" w:hAnsi="Avenir LT Std 55 Roman" w:cs="Calibri"/>
          <w:sz w:val="17"/>
          <w:szCs w:val="17"/>
        </w:rPr>
        <w:t>but NA batteries are ubiquitous in society and so</w:t>
      </w:r>
      <w:r w:rsidR="79DCB0BC" w:rsidRPr="00316CB0">
        <w:rPr>
          <w:rFonts w:ascii="Avenir LT Std 55 Roman" w:eastAsia="Calibri" w:hAnsi="Avenir LT Std 55 Roman" w:cs="Calibri"/>
          <w:sz w:val="17"/>
          <w:szCs w:val="17"/>
        </w:rPr>
        <w:t xml:space="preserve"> w</w:t>
      </w:r>
      <w:r w:rsidRPr="00316CB0">
        <w:rPr>
          <w:rFonts w:ascii="Avenir LT Std 55 Roman" w:eastAsia="Calibri" w:hAnsi="Avenir LT Std 55 Roman" w:cs="Calibri"/>
          <w:sz w:val="17"/>
          <w:szCs w:val="17"/>
        </w:rPr>
        <w:t xml:space="preserve">e implore researchers to adopt the highest possible standards in their work, and peer-reviewers to demand as such from inadequate contributions during publication. Joule’s ‘Battery Checklist’ is an important guideline that outlines protocols for reporting battery assembly and electrochemical results. Further guidelines to this existing document regarding the reporting </w:t>
      </w:r>
      <w:r w:rsidR="008760CE">
        <w:rPr>
          <w:rFonts w:ascii="Avenir LT Std 55 Roman" w:eastAsia="Calibri" w:hAnsi="Avenir LT Std 55 Roman" w:cs="Calibri"/>
          <w:sz w:val="17"/>
          <w:szCs w:val="17"/>
        </w:rPr>
        <w:t xml:space="preserve">of </w:t>
      </w:r>
      <w:r w:rsidR="00E315FF" w:rsidRPr="00316CB0">
        <w:rPr>
          <w:rFonts w:ascii="Avenir LT Std 55 Roman" w:eastAsia="Calibri" w:hAnsi="Avenir LT Std 55 Roman" w:cs="Calibri"/>
          <w:sz w:val="17"/>
          <w:szCs w:val="17"/>
        </w:rPr>
        <w:t>REs</w:t>
      </w:r>
      <w:r w:rsidRPr="00316CB0">
        <w:rPr>
          <w:rFonts w:ascii="Avenir LT Std 55 Roman" w:eastAsia="Calibri" w:hAnsi="Avenir LT Std 55 Roman" w:cs="Calibri"/>
          <w:sz w:val="17"/>
          <w:szCs w:val="17"/>
        </w:rPr>
        <w:t xml:space="preserve">, </w:t>
      </w:r>
      <w:r w:rsidR="00250326" w:rsidRPr="00316CB0">
        <w:rPr>
          <w:rFonts w:ascii="Avenir LT Std 55 Roman" w:eastAsia="Calibri" w:hAnsi="Avenir LT Std 55 Roman" w:cs="Calibri"/>
          <w:sz w:val="17"/>
          <w:szCs w:val="17"/>
        </w:rPr>
        <w:t>experimental arrangement</w:t>
      </w:r>
      <w:r w:rsidRPr="00316CB0">
        <w:rPr>
          <w:rFonts w:ascii="Avenir LT Std 55 Roman" w:eastAsia="Calibri" w:hAnsi="Avenir LT Std 55 Roman" w:cs="Calibri"/>
          <w:sz w:val="17"/>
          <w:szCs w:val="17"/>
        </w:rPr>
        <w:t xml:space="preserve"> and protocols would prove invaluable to encourage transparency and comparability in results. Beyond </w:t>
      </w:r>
      <w:r w:rsidR="00250326" w:rsidRPr="00316CB0">
        <w:rPr>
          <w:rFonts w:ascii="Avenir LT Std 55 Roman" w:eastAsia="Calibri" w:hAnsi="Avenir LT Std 55 Roman" w:cs="Calibri"/>
          <w:sz w:val="17"/>
          <w:szCs w:val="17"/>
        </w:rPr>
        <w:t>the</w:t>
      </w:r>
      <w:r w:rsidRPr="00316CB0">
        <w:rPr>
          <w:rFonts w:ascii="Avenir LT Std 55 Roman" w:eastAsia="Calibri" w:hAnsi="Avenir LT Std 55 Roman" w:cs="Calibri"/>
          <w:sz w:val="17"/>
          <w:szCs w:val="17"/>
        </w:rPr>
        <w:t xml:space="preserve"> requirements for publication in Joule, such a meticulous approach to data reporting should be adopted across the field. This would require combined efforts and advocacy from PIs, journal editors and funding agencies to bear noteworthy influence on the widespread community.</w:t>
      </w:r>
    </w:p>
    <w:p w14:paraId="2A9B6953" w14:textId="77777777" w:rsidR="00601E08" w:rsidRPr="00316CB0" w:rsidRDefault="00601E08" w:rsidP="00316CB0">
      <w:pPr>
        <w:spacing w:line="276" w:lineRule="auto"/>
        <w:rPr>
          <w:rFonts w:ascii="Avenir LT Std 55 Roman" w:eastAsia="Calibri" w:hAnsi="Avenir LT Std 55 Roman" w:cs="Calibri"/>
          <w:sz w:val="17"/>
          <w:szCs w:val="17"/>
        </w:rPr>
      </w:pPr>
    </w:p>
    <w:p w14:paraId="2724579E" w14:textId="77777777" w:rsidR="6915E5E3" w:rsidRPr="00316CB0" w:rsidRDefault="6915E5E3" w:rsidP="00316CB0">
      <w:pPr>
        <w:spacing w:line="276" w:lineRule="auto"/>
        <w:rPr>
          <w:rFonts w:ascii="Avenir LT Std 55 Roman" w:eastAsia="Vavenir black" w:hAnsi="Avenir LT Std 55 Roman" w:cs="Vavenir black"/>
          <w:b/>
          <w:bCs/>
          <w:color w:val="AB4C4C"/>
          <w:sz w:val="17"/>
          <w:szCs w:val="17"/>
        </w:rPr>
      </w:pPr>
      <w:r w:rsidRPr="00316CB0">
        <w:rPr>
          <w:rFonts w:ascii="Avenir LT Std 55 Roman" w:eastAsia="Vavenir black" w:hAnsi="Avenir LT Std 55 Roman" w:cs="Vavenir black"/>
          <w:b/>
          <w:bCs/>
          <w:color w:val="AB4C4C"/>
          <w:sz w:val="17"/>
          <w:szCs w:val="17"/>
        </w:rPr>
        <w:t>ACKNOWLEDGEMENTS</w:t>
      </w:r>
    </w:p>
    <w:p w14:paraId="3842004C" w14:textId="1D6D82AE" w:rsidR="00250326" w:rsidRPr="00316CB0" w:rsidRDefault="6915E5E3" w:rsidP="00316CB0">
      <w:pPr>
        <w:pStyle w:val="P1"/>
        <w:spacing w:line="276" w:lineRule="auto"/>
        <w:rPr>
          <w:rFonts w:ascii="Avenir LT Std 55 Roman" w:hAnsi="Avenir LT Std 55 Roman"/>
          <w:szCs w:val="17"/>
          <w:lang w:val="en-GB"/>
        </w:rPr>
      </w:pPr>
      <w:r w:rsidRPr="00316CB0">
        <w:rPr>
          <w:rFonts w:ascii="Avenir LT Std 55 Roman" w:eastAsia="Avenir" w:hAnsi="Avenir LT Std 55 Roman" w:cs="Avenir"/>
          <w:szCs w:val="17"/>
        </w:rPr>
        <w:t xml:space="preserve">K.T </w:t>
      </w:r>
      <w:r w:rsidR="007C01F0">
        <w:rPr>
          <w:rFonts w:ascii="Avenir LT Std 55 Roman" w:eastAsia="Avenir" w:hAnsi="Avenir LT Std 55 Roman" w:cs="Avenir"/>
          <w:szCs w:val="17"/>
        </w:rPr>
        <w:t xml:space="preserve">&amp; N.T. </w:t>
      </w:r>
      <w:r w:rsidRPr="00316CB0">
        <w:rPr>
          <w:rFonts w:ascii="Avenir LT Std 55 Roman" w:eastAsia="Avenir" w:hAnsi="Avenir LT Std 55 Roman" w:cs="Avenir"/>
          <w:szCs w:val="17"/>
        </w:rPr>
        <w:t xml:space="preserve">gratefully acknowledge the support of the Leverhulme Doctoral Scholarships </w:t>
      </w:r>
      <w:proofErr w:type="spellStart"/>
      <w:r w:rsidRPr="00316CB0">
        <w:rPr>
          <w:rFonts w:ascii="Avenir LT Std 55 Roman" w:eastAsia="Avenir" w:hAnsi="Avenir LT Std 55 Roman" w:cs="Avenir"/>
          <w:szCs w:val="17"/>
        </w:rPr>
        <w:t>Programme</w:t>
      </w:r>
      <w:proofErr w:type="spellEnd"/>
      <w:r w:rsidRPr="00316CB0">
        <w:rPr>
          <w:rFonts w:ascii="Avenir LT Std 55 Roman" w:eastAsia="Avenir" w:hAnsi="Avenir LT Std 55 Roman" w:cs="Avenir"/>
          <w:szCs w:val="17"/>
        </w:rPr>
        <w:t xml:space="preserve"> in ‘Material Social Futures’ (grant number DS-2017-036) for the provision of a PhD studentship to B.M</w:t>
      </w:r>
      <w:r w:rsidR="00250326" w:rsidRPr="00316CB0">
        <w:rPr>
          <w:rFonts w:ascii="Avenir LT Std 55 Roman" w:eastAsia="Avenir" w:hAnsi="Avenir LT Std 55 Roman" w:cs="Avenir"/>
          <w:szCs w:val="17"/>
        </w:rPr>
        <w:t>.</w:t>
      </w:r>
      <w:r w:rsidR="005A0681" w:rsidRPr="00316CB0">
        <w:rPr>
          <w:rFonts w:ascii="Avenir LT Std 55 Roman" w:eastAsia="Times New Roman" w:hAnsi="Avenir LT Std 55 Roman" w:cs="Arial"/>
          <w:szCs w:val="17"/>
        </w:rPr>
        <w:t xml:space="preserve"> This work is supported by the ISCF (Industry Strategy Fund) Faraday Challenge project </w:t>
      </w:r>
      <w:proofErr w:type="spellStart"/>
      <w:r w:rsidR="005A0681" w:rsidRPr="00316CB0">
        <w:rPr>
          <w:rFonts w:ascii="Avenir LT Std 55 Roman" w:eastAsia="Times New Roman" w:hAnsi="Avenir LT Std 55 Roman" w:cs="Arial"/>
          <w:szCs w:val="17"/>
        </w:rPr>
        <w:t>FutureCat</w:t>
      </w:r>
      <w:proofErr w:type="spellEnd"/>
      <w:r w:rsidR="005A0681" w:rsidRPr="00316CB0">
        <w:rPr>
          <w:rFonts w:ascii="Avenir LT Std 55 Roman" w:eastAsia="Times New Roman" w:hAnsi="Avenir LT Std 55 Roman" w:cs="Arial"/>
          <w:szCs w:val="17"/>
        </w:rPr>
        <w:t xml:space="preserve"> (grant number FIRG017</w:t>
      </w:r>
      <w:r w:rsidR="006E7840" w:rsidRPr="00316CB0">
        <w:rPr>
          <w:rFonts w:ascii="Avenir LT Std 55 Roman" w:eastAsia="Times New Roman" w:hAnsi="Avenir LT Std 55 Roman" w:cs="Arial"/>
          <w:szCs w:val="17"/>
        </w:rPr>
        <w:t>) and</w:t>
      </w:r>
      <w:r w:rsidR="005A0681" w:rsidRPr="00316CB0">
        <w:rPr>
          <w:rFonts w:ascii="Avenir LT Std 55 Roman" w:hAnsi="Avenir LT Std 55 Roman"/>
          <w:szCs w:val="17"/>
          <w:lang w:val="en-GB"/>
        </w:rPr>
        <w:t xml:space="preserve"> </w:t>
      </w:r>
      <w:r w:rsidR="00250326" w:rsidRPr="00316CB0">
        <w:rPr>
          <w:rFonts w:ascii="Avenir LT Std 55 Roman" w:hAnsi="Avenir LT Std 55 Roman"/>
          <w:szCs w:val="17"/>
          <w:lang w:val="en-GB"/>
        </w:rPr>
        <w:t>is part of a project that has received funding from the European Research Council (ERC) under the European Union’s Horizon 2020 research and innovation programme (Grant agreement No. 805344). The authors declare no conflicts of interest.</w:t>
      </w:r>
    </w:p>
    <w:p w14:paraId="57122A6A" w14:textId="77777777" w:rsidR="6915E5E3" w:rsidRPr="00316CB0" w:rsidRDefault="6915E5E3" w:rsidP="00316CB0">
      <w:pPr>
        <w:spacing w:line="276" w:lineRule="auto"/>
        <w:rPr>
          <w:rFonts w:ascii="Avenir LT Std 55 Roman" w:eastAsia="Avenir" w:hAnsi="Avenir LT Std 55 Roman" w:cs="Avenir"/>
          <w:sz w:val="17"/>
          <w:szCs w:val="17"/>
        </w:rPr>
      </w:pPr>
    </w:p>
    <w:p w14:paraId="5874A2F0" w14:textId="77777777" w:rsidR="00BA57C6" w:rsidRPr="00316CB0" w:rsidRDefault="00BA57C6" w:rsidP="00316CB0">
      <w:pPr>
        <w:spacing w:after="60" w:line="276" w:lineRule="auto"/>
        <w:rPr>
          <w:rFonts w:ascii="Avenir LT Std 55 Roman" w:hAnsi="Avenir LT Std 55 Roman"/>
          <w:b/>
          <w:color w:val="AB4C4C"/>
          <w:sz w:val="17"/>
          <w:szCs w:val="17"/>
        </w:rPr>
      </w:pPr>
      <w:r w:rsidRPr="00316CB0">
        <w:rPr>
          <w:rFonts w:ascii="Avenir LT Std 55 Roman" w:hAnsi="Avenir LT Std 55 Roman"/>
          <w:b/>
          <w:color w:val="AB4C4C"/>
          <w:sz w:val="17"/>
          <w:szCs w:val="17"/>
        </w:rPr>
        <w:t>AUTHOR CONTRIBUTIONS</w:t>
      </w:r>
    </w:p>
    <w:p w14:paraId="0D9BB36C" w14:textId="6DAE5632" w:rsidR="001773CF" w:rsidRPr="00316CB0" w:rsidRDefault="001773CF" w:rsidP="00316CB0">
      <w:pPr>
        <w:spacing w:line="276" w:lineRule="auto"/>
        <w:jc w:val="both"/>
        <w:rPr>
          <w:rFonts w:ascii="Avenir LT Std 55 Roman" w:hAnsi="Avenir LT Std 55 Roman"/>
          <w:sz w:val="17"/>
          <w:szCs w:val="17"/>
        </w:rPr>
      </w:pPr>
      <w:r w:rsidRPr="00316CB0">
        <w:rPr>
          <w:rFonts w:ascii="Avenir LT Std 55 Roman" w:hAnsi="Avenir LT Std 55 Roman"/>
          <w:sz w:val="17"/>
          <w:szCs w:val="17"/>
        </w:rPr>
        <w:t>B.M and K.T conceived the manuscript outline</w:t>
      </w:r>
      <w:r w:rsidR="00860AB2" w:rsidRPr="00316CB0">
        <w:rPr>
          <w:rFonts w:ascii="Avenir LT Std 55 Roman" w:hAnsi="Avenir LT Std 55 Roman"/>
          <w:sz w:val="17"/>
          <w:szCs w:val="17"/>
        </w:rPr>
        <w:t xml:space="preserve">. C.A made significant contributions to </w:t>
      </w:r>
      <w:r w:rsidR="009B796A">
        <w:rPr>
          <w:rFonts w:ascii="Avenir LT Std 55 Roman" w:hAnsi="Avenir LT Std 55 Roman"/>
          <w:sz w:val="17"/>
          <w:szCs w:val="17"/>
        </w:rPr>
        <w:t>f</w:t>
      </w:r>
      <w:r w:rsidR="00316CB0">
        <w:rPr>
          <w:rFonts w:ascii="Avenir LT Std 55 Roman" w:hAnsi="Avenir LT Std 55 Roman"/>
          <w:sz w:val="17"/>
          <w:szCs w:val="17"/>
        </w:rPr>
        <w:t>igur</w:t>
      </w:r>
      <w:r w:rsidR="009B796A">
        <w:rPr>
          <w:rFonts w:ascii="Avenir LT Std 55 Roman" w:hAnsi="Avenir LT Std 55 Roman"/>
          <w:sz w:val="17"/>
          <w:szCs w:val="17"/>
        </w:rPr>
        <w:t>e</w:t>
      </w:r>
      <w:r w:rsidR="00860AB2" w:rsidRPr="00316CB0">
        <w:rPr>
          <w:rFonts w:ascii="Avenir LT Std 55 Roman" w:hAnsi="Avenir LT Std 55 Roman"/>
          <w:sz w:val="17"/>
          <w:szCs w:val="17"/>
        </w:rPr>
        <w:t xml:space="preserve"> drawing and editing of the manuscript. </w:t>
      </w:r>
      <w:r w:rsidR="00250326" w:rsidRPr="00316CB0">
        <w:rPr>
          <w:rFonts w:ascii="Avenir LT Std 55 Roman" w:hAnsi="Avenir LT Std 55 Roman"/>
          <w:sz w:val="17"/>
          <w:szCs w:val="17"/>
        </w:rPr>
        <w:t>D.S. and N.T contributed to the final editing of the manuscript.</w:t>
      </w:r>
    </w:p>
    <w:p w14:paraId="293EEEBB" w14:textId="77777777" w:rsidR="00BA57C6" w:rsidRPr="00316CB0" w:rsidRDefault="00BA57C6" w:rsidP="00316CB0">
      <w:pPr>
        <w:spacing w:line="276" w:lineRule="auto"/>
        <w:rPr>
          <w:rFonts w:ascii="Avenir LT Std 55 Roman" w:hAnsi="Avenir LT Std 55 Roman"/>
          <w:color w:val="1F736E"/>
          <w:sz w:val="17"/>
          <w:szCs w:val="17"/>
        </w:rPr>
      </w:pPr>
    </w:p>
    <w:p w14:paraId="6E59541F" w14:textId="77777777" w:rsidR="00BA57C6" w:rsidRPr="00316CB0" w:rsidRDefault="00BA57C6" w:rsidP="00316CB0">
      <w:pPr>
        <w:spacing w:after="60" w:line="276" w:lineRule="auto"/>
        <w:rPr>
          <w:rFonts w:ascii="Avenir LT Std 55 Roman" w:hAnsi="Avenir LT Std 55 Roman"/>
          <w:b/>
          <w:color w:val="AB4C4C"/>
          <w:sz w:val="17"/>
          <w:szCs w:val="17"/>
        </w:rPr>
      </w:pPr>
      <w:r w:rsidRPr="00316CB0">
        <w:rPr>
          <w:rFonts w:ascii="Avenir LT Std 55 Roman" w:hAnsi="Avenir LT Std 55 Roman"/>
          <w:b/>
          <w:color w:val="AB4C4C"/>
          <w:sz w:val="17"/>
          <w:szCs w:val="17"/>
        </w:rPr>
        <w:t>DECLARATION OF INTERESTS</w:t>
      </w:r>
    </w:p>
    <w:p w14:paraId="73FD2172" w14:textId="77777777" w:rsidR="00BA57C6" w:rsidRPr="00316CB0" w:rsidRDefault="00BA57C6" w:rsidP="00316CB0">
      <w:pPr>
        <w:spacing w:line="276" w:lineRule="auto"/>
        <w:jc w:val="both"/>
        <w:rPr>
          <w:rFonts w:ascii="Avenir LT Std 55 Roman" w:hAnsi="Avenir LT Std 55 Roman"/>
          <w:sz w:val="17"/>
          <w:szCs w:val="17"/>
        </w:rPr>
      </w:pPr>
      <w:r w:rsidRPr="00316CB0">
        <w:rPr>
          <w:rFonts w:ascii="Avenir LT Std 55 Roman" w:hAnsi="Avenir LT Std 55 Roman"/>
          <w:sz w:val="17"/>
          <w:szCs w:val="17"/>
        </w:rPr>
        <w:t>The authors declare no competing interests</w:t>
      </w:r>
    </w:p>
    <w:p w14:paraId="50F8F9BD" w14:textId="77777777" w:rsidR="00BA57C6" w:rsidRPr="00316CB0" w:rsidRDefault="00BA57C6" w:rsidP="00BA57C6">
      <w:pPr>
        <w:spacing w:after="60"/>
        <w:rPr>
          <w:rFonts w:ascii="Avenir LT Std 55 Roman" w:hAnsi="Avenir LT Std 55 Roman"/>
          <w:b/>
          <w:color w:val="AB4C4C"/>
          <w:sz w:val="17"/>
          <w:szCs w:val="17"/>
        </w:rPr>
      </w:pPr>
    </w:p>
    <w:p w14:paraId="7A91B414" w14:textId="77777777" w:rsidR="00BA57C6" w:rsidRPr="00316CB0" w:rsidRDefault="00BA57C6" w:rsidP="00BA57C6">
      <w:pPr>
        <w:spacing w:after="60"/>
        <w:rPr>
          <w:rFonts w:ascii="Avenir LT Std 55 Roman" w:hAnsi="Avenir LT Std 55 Roman"/>
          <w:b/>
          <w:color w:val="AB4C4C"/>
          <w:sz w:val="17"/>
          <w:szCs w:val="17"/>
        </w:rPr>
      </w:pPr>
      <w:r w:rsidRPr="00316CB0">
        <w:rPr>
          <w:rFonts w:ascii="Avenir LT Std 55 Roman" w:hAnsi="Avenir LT Std 55 Roman"/>
          <w:b/>
          <w:color w:val="AB4C4C"/>
          <w:sz w:val="17"/>
          <w:szCs w:val="17"/>
        </w:rPr>
        <w:t>REFERENCES</w:t>
      </w:r>
    </w:p>
    <w:p w14:paraId="42B65D19" w14:textId="77777777" w:rsidR="00BA57C6" w:rsidRPr="00316CB0" w:rsidRDefault="00BA57C6" w:rsidP="00900132">
      <w:pPr>
        <w:rPr>
          <w:rFonts w:ascii="Avenir LT Std 55 Roman" w:hAnsi="Avenir LT Std 55 Roman"/>
          <w:sz w:val="17"/>
          <w:szCs w:val="17"/>
        </w:rPr>
      </w:pPr>
    </w:p>
    <w:p w14:paraId="19E6D4EF" w14:textId="337F97B5" w:rsidR="006E7840" w:rsidRPr="00316CB0" w:rsidRDefault="00860AB2"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b/>
          <w:color w:val="AB4C4C"/>
          <w:sz w:val="17"/>
          <w:szCs w:val="17"/>
        </w:rPr>
        <w:fldChar w:fldCharType="begin" w:fldLock="1"/>
      </w:r>
      <w:r w:rsidRPr="00316CB0">
        <w:rPr>
          <w:rFonts w:ascii="Avenir LT Std 55 Roman" w:hAnsi="Avenir LT Std 55 Roman"/>
          <w:b/>
          <w:color w:val="AB4C4C"/>
          <w:sz w:val="17"/>
          <w:szCs w:val="17"/>
        </w:rPr>
        <w:instrText xml:space="preserve">ADDIN Mendeley Bibliography CSL_BIBLIOGRAPHY </w:instrText>
      </w:r>
      <w:r w:rsidRPr="00316CB0">
        <w:rPr>
          <w:rFonts w:ascii="Avenir LT Std 55 Roman" w:hAnsi="Avenir LT Std 55 Roman"/>
          <w:b/>
          <w:color w:val="AB4C4C"/>
          <w:sz w:val="17"/>
          <w:szCs w:val="17"/>
        </w:rPr>
        <w:fldChar w:fldCharType="separate"/>
      </w:r>
      <w:r w:rsidR="006E7840" w:rsidRPr="00316CB0">
        <w:rPr>
          <w:rFonts w:ascii="Avenir LT Std 55 Roman" w:hAnsi="Avenir LT Std 55 Roman" w:cs="Times New Roman"/>
          <w:noProof/>
          <w:sz w:val="16"/>
        </w:rPr>
        <w:t>1.</w:t>
      </w:r>
      <w:r w:rsidR="006E7840" w:rsidRPr="00316CB0">
        <w:rPr>
          <w:rFonts w:ascii="Avenir LT Std 55 Roman" w:hAnsi="Avenir LT Std 55 Roman" w:cs="Times New Roman"/>
          <w:noProof/>
          <w:sz w:val="16"/>
        </w:rPr>
        <w:tab/>
        <w:t>Izutsu, K. (2002). Polarography and Voltammetry in Nonaqueous Solutions.</w:t>
      </w:r>
    </w:p>
    <w:p w14:paraId="4783A706" w14:textId="5DDDEFAF"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2.</w:t>
      </w:r>
      <w:r w:rsidRPr="00316CB0">
        <w:rPr>
          <w:rFonts w:ascii="Avenir LT Std 55 Roman" w:hAnsi="Avenir LT Std 55 Roman" w:cs="Times New Roman"/>
          <w:noProof/>
          <w:sz w:val="16"/>
        </w:rPr>
        <w:tab/>
        <w:t xml:space="preserve">Pavlinshchuk, V., and Addison, A. (1999). Conversion constants for redox potentials measured versus different reference electrodes in acetonitrile solutions at 25°C. Inorganica Chim. Acta </w:t>
      </w:r>
      <w:r w:rsidRPr="00316CB0">
        <w:rPr>
          <w:rFonts w:ascii="Avenir LT Std 55 Roman" w:hAnsi="Avenir LT Std 55 Roman" w:cs="Times New Roman"/>
          <w:i/>
          <w:iCs/>
          <w:noProof/>
          <w:sz w:val="16"/>
        </w:rPr>
        <w:t>298</w:t>
      </w:r>
      <w:r w:rsidRPr="00316CB0">
        <w:rPr>
          <w:rFonts w:ascii="Avenir LT Std 55 Roman" w:hAnsi="Avenir LT Std 55 Roman" w:cs="Times New Roman"/>
          <w:noProof/>
          <w:sz w:val="16"/>
        </w:rPr>
        <w:t>, 97–102.</w:t>
      </w:r>
    </w:p>
    <w:p w14:paraId="20AB65A0"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3.</w:t>
      </w:r>
      <w:r w:rsidRPr="00316CB0">
        <w:rPr>
          <w:rFonts w:ascii="Avenir LT Std 55 Roman" w:hAnsi="Avenir LT Std 55 Roman" w:cs="Times New Roman"/>
          <w:noProof/>
          <w:sz w:val="16"/>
        </w:rPr>
        <w:tab/>
        <w:t xml:space="preserve">Skompska, M., Vorotyntsev, M.A., Rajchowska, A., and Levin, O. V. (2010). Mixed solutions of silver cation and chloride anion in acetonitrile: Voltammetric and EQCM study. Phys. Chem. Chem. Phys. </w:t>
      </w:r>
      <w:r w:rsidRPr="00316CB0">
        <w:rPr>
          <w:rFonts w:ascii="Avenir LT Std 55 Roman" w:hAnsi="Avenir LT Std 55 Roman" w:cs="Times New Roman"/>
          <w:i/>
          <w:iCs/>
          <w:noProof/>
          <w:sz w:val="16"/>
        </w:rPr>
        <w:t>12</w:t>
      </w:r>
      <w:r w:rsidRPr="00316CB0">
        <w:rPr>
          <w:rFonts w:ascii="Avenir LT Std 55 Roman" w:hAnsi="Avenir LT Std 55 Roman" w:cs="Times New Roman"/>
          <w:noProof/>
          <w:sz w:val="16"/>
        </w:rPr>
        <w:t>, 10525–10535.</w:t>
      </w:r>
    </w:p>
    <w:p w14:paraId="6A6679CC"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4.</w:t>
      </w:r>
      <w:r w:rsidRPr="00316CB0">
        <w:rPr>
          <w:rFonts w:ascii="Avenir LT Std 55 Roman" w:hAnsi="Avenir LT Std 55 Roman" w:cs="Times New Roman"/>
          <w:noProof/>
          <w:sz w:val="16"/>
        </w:rPr>
        <w:tab/>
        <w:t xml:space="preserve">Dugas, R., Forero-Saboya, J.D., and Ponrouch, A. (2019). Methods and Protocols for Reliable Electrochemical Testing in Post-Li Batteries (Na, K, Mg, and Ca). Chem. Mater. </w:t>
      </w:r>
      <w:r w:rsidRPr="00316CB0">
        <w:rPr>
          <w:rFonts w:ascii="Avenir LT Std 55 Roman" w:hAnsi="Avenir LT Std 55 Roman" w:cs="Times New Roman"/>
          <w:i/>
          <w:iCs/>
          <w:noProof/>
          <w:sz w:val="16"/>
        </w:rPr>
        <w:t>31</w:t>
      </w:r>
      <w:r w:rsidRPr="00316CB0">
        <w:rPr>
          <w:rFonts w:ascii="Avenir LT Std 55 Roman" w:hAnsi="Avenir LT Std 55 Roman" w:cs="Times New Roman"/>
          <w:noProof/>
          <w:sz w:val="16"/>
        </w:rPr>
        <w:t>, 8613–8628.</w:t>
      </w:r>
    </w:p>
    <w:p w14:paraId="785B7CAB"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5.</w:t>
      </w:r>
      <w:r w:rsidRPr="00316CB0">
        <w:rPr>
          <w:rFonts w:ascii="Avenir LT Std 55 Roman" w:hAnsi="Avenir LT Std 55 Roman" w:cs="Times New Roman"/>
          <w:noProof/>
          <w:sz w:val="16"/>
        </w:rPr>
        <w:tab/>
        <w:t>Horwood, C., and Stadermann, M. (2018). Evaluation of a Ag/Ag</w:t>
      </w:r>
      <w:r w:rsidRPr="008B20AD">
        <w:rPr>
          <w:rFonts w:ascii="Avenir LT Std 55 Roman" w:hAnsi="Avenir LT Std 55 Roman" w:cs="Times New Roman"/>
          <w:sz w:val="16"/>
          <w:vertAlign w:val="subscript"/>
        </w:rPr>
        <w:t>2</w:t>
      </w:r>
      <w:r w:rsidRPr="00316CB0">
        <w:rPr>
          <w:rFonts w:ascii="Avenir LT Std 55 Roman" w:hAnsi="Avenir LT Std 55 Roman" w:cs="Times New Roman"/>
          <w:noProof/>
          <w:sz w:val="16"/>
        </w:rPr>
        <w:t xml:space="preserve">S reference electrode with long-term stability for electrochemistry in ionic liquids. Electrochem. commun. </w:t>
      </w:r>
      <w:r w:rsidRPr="00316CB0">
        <w:rPr>
          <w:rFonts w:ascii="Avenir LT Std 55 Roman" w:hAnsi="Avenir LT Std 55 Roman" w:cs="Times New Roman"/>
          <w:i/>
          <w:iCs/>
          <w:noProof/>
          <w:sz w:val="16"/>
        </w:rPr>
        <w:t>88</w:t>
      </w:r>
      <w:r w:rsidRPr="00316CB0">
        <w:rPr>
          <w:rFonts w:ascii="Avenir LT Std 55 Roman" w:hAnsi="Avenir LT Std 55 Roman" w:cs="Times New Roman"/>
          <w:noProof/>
          <w:sz w:val="16"/>
        </w:rPr>
        <w:t>, 105–108.</w:t>
      </w:r>
    </w:p>
    <w:p w14:paraId="68CAAC19"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6.</w:t>
      </w:r>
      <w:r w:rsidRPr="00316CB0">
        <w:rPr>
          <w:rFonts w:ascii="Avenir LT Std 55 Roman" w:hAnsi="Avenir LT Std 55 Roman" w:cs="Times New Roman"/>
          <w:noProof/>
          <w:sz w:val="16"/>
        </w:rPr>
        <w:tab/>
        <w:t xml:space="preserve">Lee, S.E., and Tang, M.H. (2019). Reliable Reference Electrodes for Nonaqueous Sodium-Ion Batteries. J. Electrochem. Soc. </w:t>
      </w:r>
      <w:r w:rsidRPr="00316CB0">
        <w:rPr>
          <w:rFonts w:ascii="Avenir LT Std 55 Roman" w:hAnsi="Avenir LT Std 55 Roman" w:cs="Times New Roman"/>
          <w:i/>
          <w:iCs/>
          <w:noProof/>
          <w:sz w:val="16"/>
        </w:rPr>
        <w:t>166</w:t>
      </w:r>
      <w:r w:rsidRPr="00316CB0">
        <w:rPr>
          <w:rFonts w:ascii="Avenir LT Std 55 Roman" w:hAnsi="Avenir LT Std 55 Roman" w:cs="Times New Roman"/>
          <w:noProof/>
          <w:sz w:val="16"/>
        </w:rPr>
        <w:t>, A3260–A3264.</w:t>
      </w:r>
    </w:p>
    <w:p w14:paraId="42391E36"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7.</w:t>
      </w:r>
      <w:r w:rsidRPr="00316CB0">
        <w:rPr>
          <w:rFonts w:ascii="Avenir LT Std 55 Roman" w:hAnsi="Avenir LT Std 55 Roman" w:cs="Times New Roman"/>
          <w:noProof/>
          <w:sz w:val="16"/>
        </w:rPr>
        <w:tab/>
        <w:t xml:space="preserve">Gritnzer, G., and Kuta, J. (1984). IUPAC Commission on electrochemistry. Electrochim. Acta </w:t>
      </w:r>
      <w:r w:rsidRPr="00316CB0">
        <w:rPr>
          <w:rFonts w:ascii="Avenir LT Std 55 Roman" w:hAnsi="Avenir LT Std 55 Roman" w:cs="Times New Roman"/>
          <w:i/>
          <w:iCs/>
          <w:noProof/>
          <w:sz w:val="16"/>
        </w:rPr>
        <w:t>29</w:t>
      </w:r>
      <w:r w:rsidRPr="00316CB0">
        <w:rPr>
          <w:rFonts w:ascii="Avenir LT Std 55 Roman" w:hAnsi="Avenir LT Std 55 Roman" w:cs="Times New Roman"/>
          <w:noProof/>
          <w:sz w:val="16"/>
        </w:rPr>
        <w:t>, 896–873.</w:t>
      </w:r>
    </w:p>
    <w:p w14:paraId="2448E35F"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8.</w:t>
      </w:r>
      <w:r w:rsidRPr="00316CB0">
        <w:rPr>
          <w:rFonts w:ascii="Avenir LT Std 55 Roman" w:hAnsi="Avenir LT Std 55 Roman" w:cs="Times New Roman"/>
          <w:noProof/>
          <w:sz w:val="16"/>
        </w:rPr>
        <w:tab/>
        <w:t xml:space="preserve">Armstrong, C.G., Hogue, R.W., and Toghill, K.E. (2020). Characterisation of the ferrocene/ferrocenium ion redox couple as a model chemistry for non-aqueous redox flow battery research. J. Electroanal. Chem. </w:t>
      </w:r>
      <w:r w:rsidRPr="00316CB0">
        <w:rPr>
          <w:rFonts w:ascii="Avenir LT Std 55 Roman" w:hAnsi="Avenir LT Std 55 Roman" w:cs="Times New Roman"/>
          <w:i/>
          <w:iCs/>
          <w:noProof/>
          <w:sz w:val="16"/>
        </w:rPr>
        <w:t>872</w:t>
      </w:r>
      <w:r w:rsidRPr="00316CB0">
        <w:rPr>
          <w:rFonts w:ascii="Avenir LT Std 55 Roman" w:hAnsi="Avenir LT Std 55 Roman" w:cs="Times New Roman"/>
          <w:noProof/>
          <w:sz w:val="16"/>
        </w:rPr>
        <w:t>, 114241.</w:t>
      </w:r>
    </w:p>
    <w:p w14:paraId="1B47809E"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9.</w:t>
      </w:r>
      <w:r w:rsidRPr="00316CB0">
        <w:rPr>
          <w:rFonts w:ascii="Avenir LT Std 55 Roman" w:hAnsi="Avenir LT Std 55 Roman" w:cs="Times New Roman"/>
          <w:noProof/>
          <w:sz w:val="16"/>
        </w:rPr>
        <w:tab/>
        <w:t xml:space="preserve">Torriero, A.A.J., Sunarso, J., and Howlett, P.C. (2012). Critical evaluation of reference systems for voltammetric measurements in ionic liquids. Electrochim. Acta </w:t>
      </w:r>
      <w:r w:rsidRPr="00316CB0">
        <w:rPr>
          <w:rFonts w:ascii="Avenir LT Std 55 Roman" w:hAnsi="Avenir LT Std 55 Roman" w:cs="Times New Roman"/>
          <w:i/>
          <w:iCs/>
          <w:noProof/>
          <w:sz w:val="16"/>
        </w:rPr>
        <w:t>82</w:t>
      </w:r>
      <w:r w:rsidRPr="00316CB0">
        <w:rPr>
          <w:rFonts w:ascii="Avenir LT Std 55 Roman" w:hAnsi="Avenir LT Std 55 Roman" w:cs="Times New Roman"/>
          <w:noProof/>
          <w:sz w:val="16"/>
        </w:rPr>
        <w:t>, 60–68.</w:t>
      </w:r>
    </w:p>
    <w:p w14:paraId="211DDD5B"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10.</w:t>
      </w:r>
      <w:r w:rsidRPr="00316CB0">
        <w:rPr>
          <w:rFonts w:ascii="Avenir LT Std 55 Roman" w:hAnsi="Avenir LT Std 55 Roman" w:cs="Times New Roman"/>
          <w:noProof/>
          <w:sz w:val="16"/>
        </w:rPr>
        <w:tab/>
        <w:t xml:space="preserve">Noviandri, I., Brown, K.N., Fleming, D.S., Gulyas, P.T., Lay, P.A., Masters, A.F., and Phillips, L. (1999). The Decamethylferrocenium/Decamethylferrocene Redox Couple: A Superior Redox Standard to the Ferrocenium/Ferrocene Redox Couple for Studying Solvent Effects on the Thermodynamics of Electron Transfer. J. Phys. Chem. B </w:t>
      </w:r>
      <w:r w:rsidRPr="00316CB0">
        <w:rPr>
          <w:rFonts w:ascii="Avenir LT Std 55 Roman" w:hAnsi="Avenir LT Std 55 Roman" w:cs="Times New Roman"/>
          <w:i/>
          <w:iCs/>
          <w:noProof/>
          <w:sz w:val="16"/>
        </w:rPr>
        <w:t>103</w:t>
      </w:r>
      <w:r w:rsidRPr="00316CB0">
        <w:rPr>
          <w:rFonts w:ascii="Avenir LT Std 55 Roman" w:hAnsi="Avenir LT Std 55 Roman" w:cs="Times New Roman"/>
          <w:noProof/>
          <w:sz w:val="16"/>
        </w:rPr>
        <w:t>, 6713–6722.</w:t>
      </w:r>
    </w:p>
    <w:p w14:paraId="11C1A921"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11.</w:t>
      </w:r>
      <w:r w:rsidRPr="00316CB0">
        <w:rPr>
          <w:rFonts w:ascii="Avenir LT Std 55 Roman" w:hAnsi="Avenir LT Std 55 Roman" w:cs="Times New Roman"/>
          <w:noProof/>
          <w:sz w:val="16"/>
        </w:rPr>
        <w:tab/>
        <w:t xml:space="preserve">Mozhzhukhina, N., and Calvo, E.J. (2017). Perspective—The Correct Assessment of Standard Potentials of Reference Electrodes in Non-Aqueous Solution. J. Electrochem. Soc. </w:t>
      </w:r>
      <w:r w:rsidRPr="00316CB0">
        <w:rPr>
          <w:rFonts w:ascii="Avenir LT Std 55 Roman" w:hAnsi="Avenir LT Std 55 Roman" w:cs="Times New Roman"/>
          <w:i/>
          <w:iCs/>
          <w:noProof/>
          <w:sz w:val="16"/>
        </w:rPr>
        <w:t>164</w:t>
      </w:r>
      <w:r w:rsidRPr="00316CB0">
        <w:rPr>
          <w:rFonts w:ascii="Avenir LT Std 55 Roman" w:hAnsi="Avenir LT Std 55 Roman" w:cs="Times New Roman"/>
          <w:noProof/>
          <w:sz w:val="16"/>
        </w:rPr>
        <w:t>, A2295–A2297.</w:t>
      </w:r>
    </w:p>
    <w:p w14:paraId="4D820BE3"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12.</w:t>
      </w:r>
      <w:r w:rsidRPr="00316CB0">
        <w:rPr>
          <w:rFonts w:ascii="Avenir LT Std 55 Roman" w:hAnsi="Avenir LT Std 55 Roman" w:cs="Times New Roman"/>
          <w:noProof/>
          <w:sz w:val="16"/>
        </w:rPr>
        <w:tab/>
        <w:t xml:space="preserve">Minter, R.D., Juarez-Robles, D., Fear, C., Barsukov, Y., and Mukherjee, P.P. (2018). Three-electrode coin cell preparation and electrodeposition analytics for Lithium-ion batteries. J. Vis. Exp. </w:t>
      </w:r>
      <w:r w:rsidRPr="00316CB0">
        <w:rPr>
          <w:rFonts w:ascii="Avenir LT Std 55 Roman" w:hAnsi="Avenir LT Std 55 Roman" w:cs="Times New Roman"/>
          <w:i/>
          <w:iCs/>
          <w:noProof/>
          <w:sz w:val="16"/>
        </w:rPr>
        <w:t>135</w:t>
      </w:r>
      <w:r w:rsidRPr="00316CB0">
        <w:rPr>
          <w:rFonts w:ascii="Avenir LT Std 55 Roman" w:hAnsi="Avenir LT Std 55 Roman" w:cs="Times New Roman"/>
          <w:noProof/>
          <w:sz w:val="16"/>
        </w:rPr>
        <w:t>, 1–11.</w:t>
      </w:r>
    </w:p>
    <w:p w14:paraId="110EE673"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13.</w:t>
      </w:r>
      <w:r w:rsidRPr="00316CB0">
        <w:rPr>
          <w:rFonts w:ascii="Avenir LT Std 55 Roman" w:hAnsi="Avenir LT Std 55 Roman" w:cs="Times New Roman"/>
          <w:noProof/>
          <w:sz w:val="16"/>
        </w:rPr>
        <w:tab/>
        <w:t xml:space="preserve">Milshtein, J.D., Barton, J.L., Darling, R.M., and Brushett, F.R. (2016). 4-Acetamido-2,2,6,6-Tetramethylpiperidine-1-Oxyl As a Model Organic Redox Active Compound for Nonaqueous Flow Batteries. J. Power Sources </w:t>
      </w:r>
      <w:r w:rsidRPr="00316CB0">
        <w:rPr>
          <w:rFonts w:ascii="Avenir LT Std 55 Roman" w:hAnsi="Avenir LT Std 55 Roman" w:cs="Times New Roman"/>
          <w:i/>
          <w:iCs/>
          <w:noProof/>
          <w:sz w:val="16"/>
        </w:rPr>
        <w:t>327</w:t>
      </w:r>
      <w:r w:rsidRPr="00316CB0">
        <w:rPr>
          <w:rFonts w:ascii="Avenir LT Std 55 Roman" w:hAnsi="Avenir LT Std 55 Roman" w:cs="Times New Roman"/>
          <w:noProof/>
          <w:sz w:val="16"/>
        </w:rPr>
        <w:t>, 151–159.</w:t>
      </w:r>
    </w:p>
    <w:p w14:paraId="03AB7B3C"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14.</w:t>
      </w:r>
      <w:r w:rsidRPr="00316CB0">
        <w:rPr>
          <w:rFonts w:ascii="Avenir LT Std 55 Roman" w:hAnsi="Avenir LT Std 55 Roman" w:cs="Times New Roman"/>
          <w:noProof/>
          <w:sz w:val="16"/>
        </w:rPr>
        <w:tab/>
        <w:t xml:space="preserve">Li, M., Odom, S.A., Pancoast, A.R., Robertson, L.A., Vaid, T.P., Agarwal, G., Doan, H.A., Wang, Y., Suduwella, T.M., Bheemireddy, S.R., et al. (2021). Experimental Protocols for Studying Organic Non-aqueous Redox Flow Batteries. ACS Energy Lett. </w:t>
      </w:r>
      <w:r w:rsidRPr="00316CB0">
        <w:rPr>
          <w:rFonts w:ascii="Avenir LT Std 55 Roman" w:hAnsi="Avenir LT Std 55 Roman" w:cs="Times New Roman"/>
          <w:i/>
          <w:iCs/>
          <w:noProof/>
          <w:sz w:val="16"/>
        </w:rPr>
        <w:t>6</w:t>
      </w:r>
      <w:r w:rsidRPr="00316CB0">
        <w:rPr>
          <w:rFonts w:ascii="Avenir LT Std 55 Roman" w:hAnsi="Avenir LT Std 55 Roman" w:cs="Times New Roman"/>
          <w:noProof/>
          <w:sz w:val="16"/>
        </w:rPr>
        <w:t>, 3932–3943.</w:t>
      </w:r>
    </w:p>
    <w:p w14:paraId="64A35BC6"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cs="Times New Roman"/>
          <w:noProof/>
          <w:sz w:val="16"/>
        </w:rPr>
      </w:pPr>
      <w:r w:rsidRPr="00316CB0">
        <w:rPr>
          <w:rFonts w:ascii="Avenir LT Std 55 Roman" w:hAnsi="Avenir LT Std 55 Roman" w:cs="Times New Roman"/>
          <w:noProof/>
          <w:sz w:val="16"/>
        </w:rPr>
        <w:t>15.</w:t>
      </w:r>
      <w:r w:rsidRPr="00316CB0">
        <w:rPr>
          <w:rFonts w:ascii="Avenir LT Std 55 Roman" w:hAnsi="Avenir LT Std 55 Roman" w:cs="Times New Roman"/>
          <w:noProof/>
          <w:sz w:val="16"/>
        </w:rPr>
        <w:tab/>
        <w:t xml:space="preserve">Yang, L., Cai, M., Ruthkosky, M.S., and Dai, F. (2019). United States Patent: Three Electrode Test Cell. </w:t>
      </w:r>
      <w:r w:rsidRPr="00316CB0">
        <w:rPr>
          <w:rFonts w:ascii="Avenir LT Std 55 Roman" w:hAnsi="Avenir LT Std 55 Roman" w:cs="Times New Roman"/>
          <w:i/>
          <w:iCs/>
          <w:noProof/>
          <w:sz w:val="16"/>
        </w:rPr>
        <w:t>2</w:t>
      </w:r>
      <w:r w:rsidRPr="00316CB0">
        <w:rPr>
          <w:rFonts w:ascii="Avenir LT Std 55 Roman" w:hAnsi="Avenir LT Std 55 Roman" w:cs="Times New Roman"/>
          <w:noProof/>
          <w:sz w:val="16"/>
        </w:rPr>
        <w:t>.</w:t>
      </w:r>
    </w:p>
    <w:p w14:paraId="6A04B6DC" w14:textId="77777777" w:rsidR="006E7840" w:rsidRPr="003C494F" w:rsidRDefault="006E7840" w:rsidP="006E7840">
      <w:pPr>
        <w:widowControl w:val="0"/>
        <w:autoSpaceDE w:val="0"/>
        <w:autoSpaceDN w:val="0"/>
        <w:adjustRightInd w:val="0"/>
        <w:spacing w:after="60"/>
        <w:ind w:left="640" w:hanging="640"/>
        <w:rPr>
          <w:rFonts w:ascii="Avenir LT Std 55 Roman" w:hAnsi="Avenir LT Std 55 Roman" w:cs="Times New Roman"/>
          <w:noProof/>
          <w:sz w:val="16"/>
          <w:lang w:val="de-DE"/>
        </w:rPr>
      </w:pPr>
      <w:r w:rsidRPr="00316CB0">
        <w:rPr>
          <w:rFonts w:ascii="Avenir LT Std 55 Roman" w:hAnsi="Avenir LT Std 55 Roman" w:cs="Times New Roman"/>
          <w:noProof/>
          <w:sz w:val="16"/>
        </w:rPr>
        <w:t>16.</w:t>
      </w:r>
      <w:r w:rsidRPr="00316CB0">
        <w:rPr>
          <w:rFonts w:ascii="Avenir LT Std 55 Roman" w:hAnsi="Avenir LT Std 55 Roman" w:cs="Times New Roman"/>
          <w:noProof/>
          <w:sz w:val="16"/>
        </w:rPr>
        <w:tab/>
        <w:t xml:space="preserve">Li, Y., Han, X., Feng, X., Chu, Z., Gao, X., Li, R., Du, J., Lu, L., and Ouyang, M. (2021). Errors in the reference electrode measurements in real lithium-ion batteries. </w:t>
      </w:r>
      <w:r w:rsidRPr="003C494F">
        <w:rPr>
          <w:rFonts w:ascii="Avenir LT Std 55 Roman" w:hAnsi="Avenir LT Std 55 Roman" w:cs="Times New Roman"/>
          <w:noProof/>
          <w:sz w:val="16"/>
          <w:lang w:val="de-DE"/>
        </w:rPr>
        <w:t xml:space="preserve">J. Power Sources </w:t>
      </w:r>
      <w:r w:rsidRPr="003C494F">
        <w:rPr>
          <w:rFonts w:ascii="Avenir LT Std 55 Roman" w:hAnsi="Avenir LT Std 55 Roman" w:cs="Times New Roman"/>
          <w:i/>
          <w:iCs/>
          <w:noProof/>
          <w:sz w:val="16"/>
          <w:lang w:val="de-DE"/>
        </w:rPr>
        <w:t>481</w:t>
      </w:r>
      <w:r w:rsidRPr="003C494F">
        <w:rPr>
          <w:rFonts w:ascii="Avenir LT Std 55 Roman" w:hAnsi="Avenir LT Std 55 Roman" w:cs="Times New Roman"/>
          <w:noProof/>
          <w:sz w:val="16"/>
          <w:lang w:val="de-DE"/>
        </w:rPr>
        <w:t>, 228933.</w:t>
      </w:r>
    </w:p>
    <w:p w14:paraId="51E80065" w14:textId="77777777" w:rsidR="006E7840" w:rsidRPr="00316CB0" w:rsidRDefault="006E7840" w:rsidP="006E7840">
      <w:pPr>
        <w:widowControl w:val="0"/>
        <w:autoSpaceDE w:val="0"/>
        <w:autoSpaceDN w:val="0"/>
        <w:adjustRightInd w:val="0"/>
        <w:spacing w:after="60"/>
        <w:ind w:left="640" w:hanging="640"/>
        <w:rPr>
          <w:rFonts w:ascii="Avenir LT Std 55 Roman" w:hAnsi="Avenir LT Std 55 Roman"/>
          <w:noProof/>
          <w:sz w:val="16"/>
        </w:rPr>
      </w:pPr>
      <w:r w:rsidRPr="003C494F">
        <w:rPr>
          <w:rFonts w:ascii="Avenir LT Std 55 Roman" w:hAnsi="Avenir LT Std 55 Roman" w:cs="Times New Roman"/>
          <w:noProof/>
          <w:sz w:val="16"/>
          <w:lang w:val="de-DE"/>
        </w:rPr>
        <w:t>17.</w:t>
      </w:r>
      <w:r w:rsidRPr="003C494F">
        <w:rPr>
          <w:rFonts w:ascii="Avenir LT Std 55 Roman" w:hAnsi="Avenir LT Std 55 Roman" w:cs="Times New Roman"/>
          <w:noProof/>
          <w:sz w:val="16"/>
          <w:lang w:val="de-DE"/>
        </w:rPr>
        <w:tab/>
        <w:t xml:space="preserve">Solchenbach, S., Pritzl, D., Kong, E.J.Y., Landesfeind, J., and Gasteiger, H.A. (2016). </w:t>
      </w:r>
      <w:r w:rsidRPr="00316CB0">
        <w:rPr>
          <w:rFonts w:ascii="Avenir LT Std 55 Roman" w:hAnsi="Avenir LT Std 55 Roman" w:cs="Times New Roman"/>
          <w:noProof/>
          <w:sz w:val="16"/>
        </w:rPr>
        <w:t xml:space="preserve">A Gold Micro-Reference Electrode for Impedance and Potential Measurements in Lithium </w:t>
      </w:r>
      <w:r w:rsidRPr="00316CB0">
        <w:rPr>
          <w:rFonts w:ascii="Avenir LT Std 55 Roman" w:hAnsi="Avenir LT Std 55 Roman" w:cs="Times New Roman"/>
          <w:noProof/>
          <w:sz w:val="16"/>
        </w:rPr>
        <w:lastRenderedPageBreak/>
        <w:t xml:space="preserve">Ion Batteries. J. Electrochem. Soc. </w:t>
      </w:r>
      <w:r w:rsidRPr="00316CB0">
        <w:rPr>
          <w:rFonts w:ascii="Avenir LT Std 55 Roman" w:hAnsi="Avenir LT Std 55 Roman" w:cs="Times New Roman"/>
          <w:i/>
          <w:iCs/>
          <w:noProof/>
          <w:sz w:val="16"/>
        </w:rPr>
        <w:t>163</w:t>
      </w:r>
      <w:r w:rsidRPr="00316CB0">
        <w:rPr>
          <w:rFonts w:ascii="Avenir LT Std 55 Roman" w:hAnsi="Avenir LT Std 55 Roman" w:cs="Times New Roman"/>
          <w:noProof/>
          <w:sz w:val="16"/>
        </w:rPr>
        <w:t>, A2265–A2272.</w:t>
      </w:r>
    </w:p>
    <w:p w14:paraId="4F4E81F7" w14:textId="77777777" w:rsidR="00860AB2" w:rsidRPr="00316CB0" w:rsidRDefault="00860AB2" w:rsidP="00860AB2">
      <w:pPr>
        <w:rPr>
          <w:rFonts w:ascii="Avenir LT Std 55 Roman" w:hAnsi="Avenir LT Std 55 Roman"/>
          <w:sz w:val="17"/>
          <w:szCs w:val="17"/>
        </w:rPr>
        <w:sectPr w:rsidR="00860AB2" w:rsidRPr="00316CB0" w:rsidSect="00D74D14">
          <w:headerReference w:type="default" r:id="rId11"/>
          <w:pgSz w:w="12024" w:h="15638"/>
          <w:pgMar w:top="1526" w:right="4507" w:bottom="1080" w:left="1123" w:header="720" w:footer="720" w:gutter="0"/>
          <w:cols w:space="720"/>
          <w:docGrid w:linePitch="360"/>
        </w:sectPr>
      </w:pPr>
      <w:r w:rsidRPr="00316CB0">
        <w:rPr>
          <w:rFonts w:ascii="Avenir LT Std 55 Roman" w:hAnsi="Avenir LT Std 55 Roman"/>
          <w:b/>
          <w:color w:val="AB4C4C"/>
          <w:sz w:val="17"/>
          <w:szCs w:val="17"/>
        </w:rPr>
        <w:fldChar w:fldCharType="end"/>
      </w:r>
    </w:p>
    <w:p w14:paraId="0FD7E0F5" w14:textId="77777777" w:rsidR="00713A8F" w:rsidRPr="00316CB0" w:rsidRDefault="00713A8F" w:rsidP="00713A8F">
      <w:pPr>
        <w:spacing w:line="276" w:lineRule="auto"/>
        <w:jc w:val="both"/>
        <w:rPr>
          <w:rFonts w:ascii="Avenir LT Std 55 Roman" w:eastAsia="Calibri" w:hAnsi="Avenir LT Std 55 Roman" w:cs="Calibri"/>
          <w:sz w:val="17"/>
          <w:szCs w:val="17"/>
        </w:rPr>
      </w:pPr>
    </w:p>
    <w:p w14:paraId="051887C6" w14:textId="0437D67C" w:rsidR="00713A8F" w:rsidRPr="00316CB0" w:rsidRDefault="00713A8F" w:rsidP="00713A8F">
      <w:pPr>
        <w:spacing w:line="276" w:lineRule="auto"/>
        <w:jc w:val="both"/>
        <w:rPr>
          <w:rFonts w:ascii="Avenir LT Std 55 Roman" w:hAnsi="Avenir LT Std 55 Roman"/>
          <w:b/>
          <w:color w:val="AB4C4C"/>
          <w:sz w:val="15"/>
          <w:szCs w:val="16"/>
        </w:rPr>
      </w:pPr>
      <w:r>
        <w:rPr>
          <w:rFonts w:ascii="Avenir LT Std 55 Roman" w:hAnsi="Avenir LT Std 55 Roman"/>
          <w:b/>
          <w:color w:val="AB4C4C"/>
          <w:sz w:val="15"/>
          <w:szCs w:val="16"/>
        </w:rPr>
        <w:t>FIGURE LEGENDS</w:t>
      </w:r>
    </w:p>
    <w:p w14:paraId="4E1707F0" w14:textId="77777777" w:rsidR="00713A8F" w:rsidRDefault="00713A8F" w:rsidP="00713A8F">
      <w:pPr>
        <w:spacing w:line="276" w:lineRule="auto"/>
        <w:jc w:val="both"/>
        <w:rPr>
          <w:rFonts w:ascii="Avenir LT Std 55 Roman" w:hAnsi="Avenir LT Std 55 Roman"/>
          <w:b/>
          <w:color w:val="AB4C4C"/>
          <w:sz w:val="15"/>
          <w:szCs w:val="16"/>
        </w:rPr>
      </w:pPr>
    </w:p>
    <w:p w14:paraId="67DDD80A" w14:textId="542686E0" w:rsidR="00713A8F" w:rsidRPr="00316CB0" w:rsidRDefault="00713A8F" w:rsidP="00713A8F">
      <w:pPr>
        <w:spacing w:line="276" w:lineRule="auto"/>
        <w:jc w:val="both"/>
        <w:rPr>
          <w:rFonts w:ascii="Avenir LT Std 55 Roman" w:hAnsi="Avenir LT Std 55 Roman"/>
          <w:b/>
          <w:color w:val="AB4C4C"/>
          <w:sz w:val="15"/>
          <w:szCs w:val="16"/>
        </w:rPr>
      </w:pPr>
      <w:r>
        <w:rPr>
          <w:rFonts w:ascii="Avenir LT Std 55 Roman" w:hAnsi="Avenir LT Std 55 Roman"/>
          <w:b/>
          <w:color w:val="AB4C4C"/>
          <w:sz w:val="15"/>
          <w:szCs w:val="16"/>
        </w:rPr>
        <w:t>Figure</w:t>
      </w:r>
      <w:r w:rsidRPr="00316CB0">
        <w:rPr>
          <w:rFonts w:ascii="Avenir LT Std 55 Roman" w:hAnsi="Avenir LT Std 55 Roman"/>
          <w:b/>
          <w:color w:val="AB4C4C"/>
          <w:sz w:val="15"/>
          <w:szCs w:val="16"/>
        </w:rPr>
        <w:t xml:space="preserve"> 1. The Ag/Ag</w:t>
      </w:r>
      <w:r w:rsidRPr="00316CB0">
        <w:rPr>
          <w:rFonts w:ascii="Avenir LT Std 55 Roman" w:hAnsi="Avenir LT Std 55 Roman"/>
          <w:b/>
          <w:color w:val="AB4C4C"/>
          <w:sz w:val="15"/>
          <w:szCs w:val="16"/>
          <w:vertAlign w:val="subscript"/>
        </w:rPr>
        <w:t>2</w:t>
      </w:r>
      <w:r w:rsidRPr="00316CB0">
        <w:rPr>
          <w:rFonts w:ascii="Avenir LT Std 55 Roman" w:hAnsi="Avenir LT Std 55 Roman"/>
          <w:b/>
          <w:color w:val="AB4C4C"/>
          <w:sz w:val="15"/>
          <w:szCs w:val="16"/>
        </w:rPr>
        <w:t>S reference electrode</w:t>
      </w:r>
    </w:p>
    <w:p w14:paraId="44B5EAF3" w14:textId="77777777" w:rsidR="00713A8F" w:rsidRPr="00713A8F" w:rsidRDefault="00713A8F" w:rsidP="00713A8F">
      <w:pPr>
        <w:spacing w:line="276" w:lineRule="auto"/>
        <w:jc w:val="both"/>
        <w:rPr>
          <w:rFonts w:ascii="Avenir LT Std 55 Roman" w:eastAsia="Calibri body" w:hAnsi="Avenir LT Std 55 Roman"/>
          <w:sz w:val="15"/>
          <w:szCs w:val="16"/>
        </w:rPr>
      </w:pPr>
      <w:r w:rsidRPr="00713A8F">
        <w:rPr>
          <w:rFonts w:ascii="Avenir LT Std 55 Roman" w:hAnsi="Avenir LT Std 55 Roman"/>
          <w:sz w:val="15"/>
          <w:szCs w:val="16"/>
        </w:rPr>
        <w:t>Time-dependent potential of Ag (a) and Ag</w:t>
      </w:r>
      <w:r w:rsidRPr="00713A8F">
        <w:rPr>
          <w:rFonts w:ascii="Avenir LT Std 55 Roman" w:hAnsi="Avenir LT Std 55 Roman"/>
          <w:sz w:val="15"/>
          <w:szCs w:val="16"/>
          <w:vertAlign w:val="subscript"/>
        </w:rPr>
        <w:t>2</w:t>
      </w:r>
      <w:r w:rsidRPr="00713A8F">
        <w:rPr>
          <w:rFonts w:ascii="Avenir LT Std 55 Roman" w:hAnsi="Avenir LT Std 55 Roman"/>
          <w:sz w:val="15"/>
          <w:szCs w:val="16"/>
        </w:rPr>
        <w:t>S (b) QREs from cyclic voltammetry (20 mV/s) performed in a solution containing 5 mM ferrocene and either 1 M LiPF</w:t>
      </w:r>
      <w:r w:rsidRPr="00713A8F">
        <w:rPr>
          <w:rFonts w:ascii="Avenir LT Std 55 Roman" w:hAnsi="Avenir LT Std 55 Roman"/>
          <w:sz w:val="15"/>
          <w:szCs w:val="16"/>
          <w:vertAlign w:val="subscript"/>
        </w:rPr>
        <w:t xml:space="preserve">6 </w:t>
      </w:r>
      <w:r w:rsidRPr="00713A8F">
        <w:rPr>
          <w:rFonts w:ascii="Avenir LT Std 55 Roman" w:hAnsi="Avenir LT Std 55 Roman"/>
          <w:sz w:val="15"/>
          <w:szCs w:val="16"/>
        </w:rPr>
        <w:t xml:space="preserve">or 1 M LiTFSI in </w:t>
      </w:r>
      <w:proofErr w:type="gramStart"/>
      <w:r w:rsidRPr="00713A8F">
        <w:rPr>
          <w:rFonts w:ascii="Avenir LT Std 55 Roman" w:hAnsi="Avenir LT Std 55 Roman"/>
          <w:sz w:val="15"/>
          <w:szCs w:val="16"/>
        </w:rPr>
        <w:t>EC:DMC</w:t>
      </w:r>
      <w:proofErr w:type="gramEnd"/>
      <w:r w:rsidRPr="00713A8F">
        <w:rPr>
          <w:rFonts w:ascii="Avenir LT Std 55 Roman" w:hAnsi="Avenir LT Std 55 Roman"/>
          <w:sz w:val="15"/>
          <w:szCs w:val="16"/>
        </w:rPr>
        <w:t xml:space="preserve">. WE: stainless steel, CE: activated carbon. Reproduced with permissions from ref [4] </w:t>
      </w:r>
      <w:r w:rsidRPr="00713A8F">
        <w:rPr>
          <w:rFonts w:ascii="Avenir LT Std 55 Roman" w:eastAsia="Calibri body" w:hAnsi="Avenir LT Std 55 Roman"/>
          <w:sz w:val="15"/>
          <w:szCs w:val="16"/>
        </w:rPr>
        <w:t>(</w:t>
      </w:r>
      <w:r w:rsidRPr="00713A8F">
        <w:rPr>
          <w:rFonts w:ascii="Avenir LT Std 55 Roman" w:hAnsi="Avenir LT Std 55 Roman"/>
          <w:sz w:val="15"/>
          <w:szCs w:val="16"/>
        </w:rPr>
        <w:t>permission</w:t>
      </w:r>
      <w:r w:rsidRPr="00713A8F">
        <w:rPr>
          <w:rFonts w:ascii="Avenir LT Std 55 Roman" w:eastAsia="Calibri body" w:hAnsi="Avenir LT Std 55 Roman"/>
          <w:sz w:val="15"/>
          <w:szCs w:val="16"/>
        </w:rPr>
        <w:t xml:space="preserve"> related to this material should be directed to the ACS). </w:t>
      </w:r>
    </w:p>
    <w:p w14:paraId="41AD89FE" w14:textId="77777777" w:rsidR="00713A8F" w:rsidRDefault="00713A8F" w:rsidP="00713A8F">
      <w:pPr>
        <w:spacing w:line="276" w:lineRule="auto"/>
        <w:jc w:val="both"/>
        <w:rPr>
          <w:rFonts w:ascii="Avenir LT Std 55 Roman" w:eastAsia="Calibri body" w:hAnsi="Avenir LT Std 55 Roman"/>
          <w:color w:val="595959" w:themeColor="text1" w:themeTint="A6"/>
          <w:sz w:val="15"/>
          <w:szCs w:val="16"/>
        </w:rPr>
      </w:pPr>
    </w:p>
    <w:p w14:paraId="40D4A801" w14:textId="77777777" w:rsidR="00713A8F" w:rsidRPr="00316CB0" w:rsidRDefault="00713A8F" w:rsidP="00713A8F">
      <w:pPr>
        <w:spacing w:line="276" w:lineRule="auto"/>
        <w:jc w:val="both"/>
        <w:rPr>
          <w:rFonts w:ascii="Avenir LT Std 55 Roman" w:hAnsi="Avenir LT Std 55 Roman"/>
          <w:b/>
          <w:color w:val="AB4C4C"/>
          <w:sz w:val="15"/>
          <w:szCs w:val="16"/>
        </w:rPr>
      </w:pPr>
      <w:r>
        <w:rPr>
          <w:rFonts w:ascii="Avenir LT Std 55 Roman" w:hAnsi="Avenir LT Std 55 Roman"/>
          <w:b/>
          <w:color w:val="AB4C4C"/>
          <w:sz w:val="15"/>
          <w:szCs w:val="16"/>
        </w:rPr>
        <w:t>Figure</w:t>
      </w:r>
      <w:r w:rsidRPr="00316CB0">
        <w:rPr>
          <w:rFonts w:ascii="Avenir LT Std 55 Roman" w:hAnsi="Avenir LT Std 55 Roman"/>
          <w:b/>
          <w:color w:val="AB4C4C"/>
          <w:sz w:val="15"/>
          <w:szCs w:val="16"/>
        </w:rPr>
        <w:t xml:space="preserve"> 2. </w:t>
      </w:r>
      <w:r>
        <w:rPr>
          <w:rFonts w:ascii="Avenir LT Std 55 Roman" w:hAnsi="Avenir LT Std 55 Roman"/>
          <w:b/>
          <w:color w:val="AB4C4C"/>
          <w:sz w:val="15"/>
          <w:szCs w:val="16"/>
        </w:rPr>
        <w:t>Lithium as a quasi-reference electrode</w:t>
      </w:r>
    </w:p>
    <w:p w14:paraId="393E0235" w14:textId="77777777" w:rsidR="00713A8F" w:rsidRPr="00713A8F" w:rsidRDefault="00713A8F" w:rsidP="00713A8F">
      <w:pPr>
        <w:spacing w:line="276" w:lineRule="auto"/>
        <w:jc w:val="both"/>
        <w:rPr>
          <w:rFonts w:ascii="Avenir LT Std 55 Roman" w:hAnsi="Avenir LT Std 55 Roman"/>
          <w:sz w:val="15"/>
          <w:szCs w:val="16"/>
        </w:rPr>
      </w:pPr>
      <w:r w:rsidRPr="00713A8F">
        <w:rPr>
          <w:rFonts w:ascii="Avenir LT Std 55 Roman" w:hAnsi="Avenir LT Std 55 Roman"/>
          <w:sz w:val="15"/>
          <w:szCs w:val="16"/>
        </w:rPr>
        <w:t>IR drop corrected cyclic voltammetry (100 mV/s) performed in a solution containing 10 mM ferrocene and 0.1 M LiBF</w:t>
      </w:r>
      <w:r w:rsidRPr="00713A8F">
        <w:rPr>
          <w:rFonts w:ascii="Avenir LT Std 55 Roman" w:hAnsi="Avenir LT Std 55 Roman"/>
          <w:sz w:val="15"/>
          <w:szCs w:val="16"/>
          <w:vertAlign w:val="subscript"/>
        </w:rPr>
        <w:t>4</w:t>
      </w:r>
      <w:r w:rsidRPr="00713A8F">
        <w:rPr>
          <w:rFonts w:ascii="Avenir LT Std 55 Roman" w:hAnsi="Avenir LT Std 55 Roman"/>
          <w:sz w:val="15"/>
          <w:szCs w:val="16"/>
        </w:rPr>
        <w:t xml:space="preserve"> in ACN (acetonitrile), DMSO (dimethyl sulfoxide), MP (1-Methyl-2-pyrrolidinone) or PC (propylene carbonate). WE: Pt, CE: PT mesh, QRE: Li. Reproduced with permissions from ref [11].</w:t>
      </w:r>
    </w:p>
    <w:p w14:paraId="71DCDB44" w14:textId="77777777" w:rsidR="00713A8F" w:rsidRPr="00316CB0" w:rsidRDefault="00713A8F" w:rsidP="00713A8F">
      <w:pPr>
        <w:spacing w:line="276" w:lineRule="auto"/>
        <w:jc w:val="both"/>
        <w:rPr>
          <w:rFonts w:ascii="Avenir LT Std 55 Roman" w:hAnsi="Avenir LT Std 55 Roman"/>
          <w:color w:val="595959" w:themeColor="text1" w:themeTint="A6"/>
          <w:sz w:val="15"/>
          <w:szCs w:val="16"/>
        </w:rPr>
      </w:pPr>
    </w:p>
    <w:p w14:paraId="2C4DA325" w14:textId="77777777" w:rsidR="00713A8F" w:rsidRPr="005953A9" w:rsidRDefault="00713A8F" w:rsidP="00713A8F">
      <w:pPr>
        <w:spacing w:after="60" w:line="276" w:lineRule="auto"/>
        <w:rPr>
          <w:rFonts w:ascii="Avenir LT Std 55 Roman" w:hAnsi="Avenir LT Std 55 Roman"/>
          <w:b/>
          <w:color w:val="AB4C4C"/>
          <w:sz w:val="15"/>
          <w:szCs w:val="16"/>
        </w:rPr>
      </w:pPr>
      <w:r w:rsidRPr="005953A9">
        <w:rPr>
          <w:rFonts w:ascii="Avenir LT Std 55 Roman" w:hAnsi="Avenir LT Std 55 Roman"/>
          <w:b/>
          <w:color w:val="AB4C4C"/>
          <w:sz w:val="15"/>
          <w:szCs w:val="16"/>
        </w:rPr>
        <w:t>Figure 3. Three-electrode set-ups</w:t>
      </w:r>
    </w:p>
    <w:p w14:paraId="39788FD8" w14:textId="77777777" w:rsidR="00713A8F" w:rsidRPr="00713A8F" w:rsidRDefault="00713A8F" w:rsidP="00713A8F">
      <w:pPr>
        <w:spacing w:after="60" w:line="276" w:lineRule="auto"/>
        <w:rPr>
          <w:rFonts w:ascii="Avenir LT Std 55 Roman" w:eastAsia="Calibri" w:hAnsi="Avenir LT Std 55 Roman" w:cs="Calibri"/>
          <w:color w:val="000000" w:themeColor="text1"/>
          <w:sz w:val="15"/>
          <w:szCs w:val="15"/>
        </w:rPr>
      </w:pPr>
      <w:r w:rsidRPr="00713A8F">
        <w:rPr>
          <w:rFonts w:ascii="Avenir LT Std 55 Roman" w:eastAsia="Calibri" w:hAnsi="Avenir LT Std 55 Roman" w:cs="Calibri"/>
          <w:color w:val="000000" w:themeColor="text1"/>
          <w:sz w:val="15"/>
          <w:szCs w:val="15"/>
        </w:rPr>
        <w:t>Simplified schematic illustration for the assembly of conventional three-electrode cells; beaker cell, ‘Swagelok cell’ and adapted coin cell. An Ag/Ag</w:t>
      </w:r>
      <w:r w:rsidRPr="00713A8F">
        <w:rPr>
          <w:rFonts w:ascii="Avenir LT Std 55 Roman" w:eastAsia="Calibri" w:hAnsi="Avenir LT Std 55 Roman" w:cs="Calibri"/>
          <w:color w:val="000000" w:themeColor="text1"/>
          <w:sz w:val="15"/>
          <w:szCs w:val="15"/>
          <w:vertAlign w:val="superscript"/>
        </w:rPr>
        <w:t>+</w:t>
      </w:r>
      <w:r w:rsidRPr="00713A8F">
        <w:rPr>
          <w:rFonts w:ascii="Avenir LT Std 55 Roman" w:eastAsia="Calibri" w:hAnsi="Avenir LT Std 55 Roman" w:cs="Calibri"/>
          <w:color w:val="000000" w:themeColor="text1"/>
          <w:sz w:val="15"/>
          <w:szCs w:val="15"/>
        </w:rPr>
        <w:t xml:space="preserve"> QRE submerged in a separated solution of electrolyte is shown calibrated against a Fc internal standard solution.</w:t>
      </w:r>
    </w:p>
    <w:p w14:paraId="11DCCEA7" w14:textId="77777777" w:rsidR="00547197" w:rsidRPr="00BA57C6" w:rsidRDefault="00547197" w:rsidP="00BA57C6"/>
    <w:sectPr w:rsidR="00547197" w:rsidRPr="00BA57C6" w:rsidSect="00900132">
      <w:headerReference w:type="default" r:id="rId12"/>
      <w:type w:val="continuous"/>
      <w:pgSz w:w="12024" w:h="15638"/>
      <w:pgMar w:top="1526" w:right="4507" w:bottom="1080" w:left="112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4A354" w14:textId="77777777" w:rsidR="00331823" w:rsidRDefault="00331823" w:rsidP="00D501A2">
      <w:r>
        <w:separator/>
      </w:r>
    </w:p>
  </w:endnote>
  <w:endnote w:type="continuationSeparator" w:id="0">
    <w:p w14:paraId="7057D63C" w14:textId="77777777" w:rsidR="00331823" w:rsidRDefault="00331823" w:rsidP="00D501A2">
      <w:r>
        <w:continuationSeparator/>
      </w:r>
    </w:p>
  </w:endnote>
  <w:endnote w:type="continuationNotice" w:id="1">
    <w:p w14:paraId="693B1137" w14:textId="77777777" w:rsidR="00331823" w:rsidRDefault="00331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Light">
    <w:panose1 w:val="020B0402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ACFF" w:usb2="00000009" w:usb3="00000000" w:csb0="000001FF" w:csb1="00000000"/>
  </w:font>
  <w:font w:name="Avenir LT Std 55 Roman">
    <w:altName w:val="Calibri"/>
    <w:panose1 w:val="020B0503020203020204"/>
    <w:charset w:val="00"/>
    <w:family w:val="swiss"/>
    <w:notTrueType/>
    <w:pitch w:val="variable"/>
    <w:sig w:usb0="800000AF" w:usb1="4000204A" w:usb2="00000000" w:usb3="00000000" w:csb0="00000001" w:csb1="00000000"/>
  </w:font>
  <w:font w:name="Vavenir black">
    <w:altName w:val="Cambria"/>
    <w:panose1 w:val="020B0604020202020204"/>
    <w:charset w:val="00"/>
    <w:family w:val="roman"/>
    <w:notTrueType/>
    <w:pitch w:val="default"/>
  </w:font>
  <w:font w:name="Avenir">
    <w:panose1 w:val="02000503020000020003"/>
    <w:charset w:val="4D"/>
    <w:family w:val="swiss"/>
    <w:pitch w:val="variable"/>
    <w:sig w:usb0="800000AF" w:usb1="5000204A" w:usb2="00000000" w:usb3="00000000" w:csb0="0000009B" w:csb1="00000000"/>
  </w:font>
  <w:font w:name="Calibri body">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5BE99" w14:textId="77777777" w:rsidR="00331823" w:rsidRDefault="00331823" w:rsidP="00D501A2">
      <w:r>
        <w:separator/>
      </w:r>
    </w:p>
  </w:footnote>
  <w:footnote w:type="continuationSeparator" w:id="0">
    <w:p w14:paraId="3F7D5163" w14:textId="77777777" w:rsidR="00331823" w:rsidRDefault="00331823" w:rsidP="00D501A2">
      <w:r>
        <w:continuationSeparator/>
      </w:r>
    </w:p>
  </w:footnote>
  <w:footnote w:type="continuationNotice" w:id="1">
    <w:p w14:paraId="5DD31798" w14:textId="77777777" w:rsidR="00331823" w:rsidRDefault="003318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BF21" w14:textId="77777777" w:rsidR="00BA57C6" w:rsidRDefault="00900132" w:rsidP="001D4BCC">
    <w:pPr>
      <w:pStyle w:val="Header"/>
      <w:ind w:left="-90"/>
    </w:pPr>
    <w:r>
      <w:rPr>
        <w:noProof/>
        <w:lang w:eastAsia="ko-KR"/>
      </w:rPr>
      <w:drawing>
        <wp:inline distT="0" distB="0" distL="0" distR="0" wp14:anchorId="75751FBC" wp14:editId="294F616A">
          <wp:extent cx="6270171" cy="659559"/>
          <wp:effectExtent l="0" t="0" r="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208"/>
                  <a:stretch/>
                </pic:blipFill>
                <pic:spPr bwMode="auto">
                  <a:xfrm>
                    <a:off x="0" y="0"/>
                    <a:ext cx="6469854" cy="68056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68AD" w14:textId="77777777" w:rsidR="00C74F97" w:rsidRDefault="00BA29D4" w:rsidP="00BA29D4">
    <w:pPr>
      <w:pStyle w:val="Header"/>
      <w:ind w:left="1080" w:hanging="1080"/>
    </w:pPr>
    <w:r>
      <w:rPr>
        <w:noProof/>
        <w:lang w:eastAsia="ko-KR"/>
      </w:rPr>
      <w:drawing>
        <wp:inline distT="0" distB="0" distL="0" distR="0" wp14:anchorId="6558EB8F" wp14:editId="1F51B4CD">
          <wp:extent cx="6720840" cy="438912"/>
          <wp:effectExtent l="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720840" cy="438912"/>
                  </a:xfrm>
                  <a:prstGeom prst="rect">
                    <a:avLst/>
                  </a:prstGeom>
                  <a:noFill/>
                  <a:ln>
                    <a:noFill/>
                    <a:prstDash/>
                  </a:ln>
                </pic:spPr>
              </pic:pic>
            </a:graphicData>
          </a:graphic>
        </wp:inline>
      </w:drawing>
    </w:r>
  </w:p>
  <w:p w14:paraId="6508A7F0" w14:textId="77777777" w:rsidR="00C74F97" w:rsidRDefault="00C74F97">
    <w:pPr>
      <w:pStyle w:val="Header"/>
    </w:pPr>
  </w:p>
  <w:p w14:paraId="181F7C07" w14:textId="77777777" w:rsidR="00C74F97" w:rsidRDefault="00C74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3DD2"/>
    <w:multiLevelType w:val="hybridMultilevel"/>
    <w:tmpl w:val="D7F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5E1F52"/>
    <w:multiLevelType w:val="hybridMultilevel"/>
    <w:tmpl w:val="7422B834"/>
    <w:lvl w:ilvl="0" w:tplc="4648922A">
      <w:start w:val="1"/>
      <w:numFmt w:val="bullet"/>
      <w:lvlText w:val="·"/>
      <w:lvlJc w:val="left"/>
      <w:pPr>
        <w:ind w:left="720" w:hanging="360"/>
      </w:pPr>
      <w:rPr>
        <w:rFonts w:ascii="Symbol" w:hAnsi="Symbol" w:hint="default"/>
      </w:rPr>
    </w:lvl>
    <w:lvl w:ilvl="1" w:tplc="FD040F5E">
      <w:start w:val="1"/>
      <w:numFmt w:val="bullet"/>
      <w:lvlText w:val="o"/>
      <w:lvlJc w:val="left"/>
      <w:pPr>
        <w:ind w:left="1440" w:hanging="360"/>
      </w:pPr>
      <w:rPr>
        <w:rFonts w:ascii="Courier New" w:hAnsi="Courier New" w:hint="default"/>
      </w:rPr>
    </w:lvl>
    <w:lvl w:ilvl="2" w:tplc="D2D01812">
      <w:start w:val="1"/>
      <w:numFmt w:val="bullet"/>
      <w:lvlText w:val=""/>
      <w:lvlJc w:val="left"/>
      <w:pPr>
        <w:ind w:left="2160" w:hanging="360"/>
      </w:pPr>
      <w:rPr>
        <w:rFonts w:ascii="Wingdings" w:hAnsi="Wingdings" w:hint="default"/>
      </w:rPr>
    </w:lvl>
    <w:lvl w:ilvl="3" w:tplc="B644C544">
      <w:start w:val="1"/>
      <w:numFmt w:val="bullet"/>
      <w:lvlText w:val=""/>
      <w:lvlJc w:val="left"/>
      <w:pPr>
        <w:ind w:left="2880" w:hanging="360"/>
      </w:pPr>
      <w:rPr>
        <w:rFonts w:ascii="Symbol" w:hAnsi="Symbol" w:hint="default"/>
      </w:rPr>
    </w:lvl>
    <w:lvl w:ilvl="4" w:tplc="5FF6B98E">
      <w:start w:val="1"/>
      <w:numFmt w:val="bullet"/>
      <w:lvlText w:val="o"/>
      <w:lvlJc w:val="left"/>
      <w:pPr>
        <w:ind w:left="3600" w:hanging="360"/>
      </w:pPr>
      <w:rPr>
        <w:rFonts w:ascii="Courier New" w:hAnsi="Courier New" w:hint="default"/>
      </w:rPr>
    </w:lvl>
    <w:lvl w:ilvl="5" w:tplc="1A8E390C">
      <w:start w:val="1"/>
      <w:numFmt w:val="bullet"/>
      <w:lvlText w:val=""/>
      <w:lvlJc w:val="left"/>
      <w:pPr>
        <w:ind w:left="4320" w:hanging="360"/>
      </w:pPr>
      <w:rPr>
        <w:rFonts w:ascii="Wingdings" w:hAnsi="Wingdings" w:hint="default"/>
      </w:rPr>
    </w:lvl>
    <w:lvl w:ilvl="6" w:tplc="0C381BAA">
      <w:start w:val="1"/>
      <w:numFmt w:val="bullet"/>
      <w:lvlText w:val=""/>
      <w:lvlJc w:val="left"/>
      <w:pPr>
        <w:ind w:left="5040" w:hanging="360"/>
      </w:pPr>
      <w:rPr>
        <w:rFonts w:ascii="Symbol" w:hAnsi="Symbol" w:hint="default"/>
      </w:rPr>
    </w:lvl>
    <w:lvl w:ilvl="7" w:tplc="A19085F8">
      <w:start w:val="1"/>
      <w:numFmt w:val="bullet"/>
      <w:lvlText w:val="o"/>
      <w:lvlJc w:val="left"/>
      <w:pPr>
        <w:ind w:left="5760" w:hanging="360"/>
      </w:pPr>
      <w:rPr>
        <w:rFonts w:ascii="Courier New" w:hAnsi="Courier New" w:hint="default"/>
      </w:rPr>
    </w:lvl>
    <w:lvl w:ilvl="8" w:tplc="0464ABF0">
      <w:start w:val="1"/>
      <w:numFmt w:val="bullet"/>
      <w:lvlText w:val=""/>
      <w:lvlJc w:val="left"/>
      <w:pPr>
        <w:ind w:left="6480" w:hanging="360"/>
      </w:pPr>
      <w:rPr>
        <w:rFonts w:ascii="Wingdings" w:hAnsi="Wingdings" w:hint="default"/>
      </w:rPr>
    </w:lvl>
  </w:abstractNum>
  <w:abstractNum w:abstractNumId="2" w15:restartNumberingAfterBreak="0">
    <w:nsid w:val="7904653B"/>
    <w:multiLevelType w:val="hybridMultilevel"/>
    <w:tmpl w:val="E9E8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xsTQ0MTO2MLcwMzZR0lEKTi0uzszPAymwqAUAnLr9RywAAAA="/>
  </w:docVars>
  <w:rsids>
    <w:rsidRoot w:val="00CF0C98"/>
    <w:rsid w:val="00003C01"/>
    <w:rsid w:val="000058EF"/>
    <w:rsid w:val="000145A2"/>
    <w:rsid w:val="000153D9"/>
    <w:rsid w:val="00017693"/>
    <w:rsid w:val="00024F8F"/>
    <w:rsid w:val="00046ABB"/>
    <w:rsid w:val="000513A1"/>
    <w:rsid w:val="0005581C"/>
    <w:rsid w:val="00055BD9"/>
    <w:rsid w:val="00055ECC"/>
    <w:rsid w:val="000715E2"/>
    <w:rsid w:val="000765D1"/>
    <w:rsid w:val="00083794"/>
    <w:rsid w:val="00092863"/>
    <w:rsid w:val="00092BAE"/>
    <w:rsid w:val="000A0A5D"/>
    <w:rsid w:val="000B1F0D"/>
    <w:rsid w:val="000C13D1"/>
    <w:rsid w:val="000C3C1C"/>
    <w:rsid w:val="000E0B7A"/>
    <w:rsid w:val="000E722E"/>
    <w:rsid w:val="000F2479"/>
    <w:rsid w:val="000F732C"/>
    <w:rsid w:val="000F7C68"/>
    <w:rsid w:val="00110C30"/>
    <w:rsid w:val="00114A95"/>
    <w:rsid w:val="001222FC"/>
    <w:rsid w:val="001239BA"/>
    <w:rsid w:val="001330C2"/>
    <w:rsid w:val="00145090"/>
    <w:rsid w:val="001530C9"/>
    <w:rsid w:val="001572F1"/>
    <w:rsid w:val="001615E6"/>
    <w:rsid w:val="00165A9B"/>
    <w:rsid w:val="00171C38"/>
    <w:rsid w:val="001756C5"/>
    <w:rsid w:val="001773CF"/>
    <w:rsid w:val="0017742C"/>
    <w:rsid w:val="00182759"/>
    <w:rsid w:val="00191757"/>
    <w:rsid w:val="001940C0"/>
    <w:rsid w:val="00194C92"/>
    <w:rsid w:val="001A2B81"/>
    <w:rsid w:val="001A2FC5"/>
    <w:rsid w:val="001B168F"/>
    <w:rsid w:val="001B3BF4"/>
    <w:rsid w:val="001B7A8E"/>
    <w:rsid w:val="001C3D09"/>
    <w:rsid w:val="001D1A2C"/>
    <w:rsid w:val="001D406D"/>
    <w:rsid w:val="001D4BCC"/>
    <w:rsid w:val="001E062B"/>
    <w:rsid w:val="001F6958"/>
    <w:rsid w:val="002252E8"/>
    <w:rsid w:val="002312D7"/>
    <w:rsid w:val="002401C1"/>
    <w:rsid w:val="002445A2"/>
    <w:rsid w:val="00247693"/>
    <w:rsid w:val="00250326"/>
    <w:rsid w:val="00254ADE"/>
    <w:rsid w:val="00262026"/>
    <w:rsid w:val="00263BAA"/>
    <w:rsid w:val="002727ED"/>
    <w:rsid w:val="002904EB"/>
    <w:rsid w:val="002914EC"/>
    <w:rsid w:val="00292870"/>
    <w:rsid w:val="002B1A13"/>
    <w:rsid w:val="002B38F3"/>
    <w:rsid w:val="002B466D"/>
    <w:rsid w:val="002B6DE9"/>
    <w:rsid w:val="002C1628"/>
    <w:rsid w:val="002C369E"/>
    <w:rsid w:val="00304631"/>
    <w:rsid w:val="00304FFE"/>
    <w:rsid w:val="00313459"/>
    <w:rsid w:val="00313939"/>
    <w:rsid w:val="00316CB0"/>
    <w:rsid w:val="00320356"/>
    <w:rsid w:val="00321DD4"/>
    <w:rsid w:val="00331823"/>
    <w:rsid w:val="00342CC5"/>
    <w:rsid w:val="00351686"/>
    <w:rsid w:val="003533C3"/>
    <w:rsid w:val="0036716B"/>
    <w:rsid w:val="00375920"/>
    <w:rsid w:val="003760E9"/>
    <w:rsid w:val="00384851"/>
    <w:rsid w:val="00385595"/>
    <w:rsid w:val="00385D57"/>
    <w:rsid w:val="003A18EA"/>
    <w:rsid w:val="003A6EAD"/>
    <w:rsid w:val="003B33F6"/>
    <w:rsid w:val="003C494F"/>
    <w:rsid w:val="003D2839"/>
    <w:rsid w:val="003D285A"/>
    <w:rsid w:val="003E43A2"/>
    <w:rsid w:val="003E4C0D"/>
    <w:rsid w:val="003F658E"/>
    <w:rsid w:val="003F7934"/>
    <w:rsid w:val="00402B0B"/>
    <w:rsid w:val="004056B3"/>
    <w:rsid w:val="00422A7D"/>
    <w:rsid w:val="00426A13"/>
    <w:rsid w:val="00431C7E"/>
    <w:rsid w:val="00443CDD"/>
    <w:rsid w:val="00453B22"/>
    <w:rsid w:val="00463A13"/>
    <w:rsid w:val="004704C0"/>
    <w:rsid w:val="00484214"/>
    <w:rsid w:val="00491B58"/>
    <w:rsid w:val="004A406F"/>
    <w:rsid w:val="004A430D"/>
    <w:rsid w:val="004A7E89"/>
    <w:rsid w:val="004B2152"/>
    <w:rsid w:val="004C30B8"/>
    <w:rsid w:val="004C3172"/>
    <w:rsid w:val="004C5A57"/>
    <w:rsid w:val="004C5A8D"/>
    <w:rsid w:val="004D2DA4"/>
    <w:rsid w:val="004E4F45"/>
    <w:rsid w:val="004E54A6"/>
    <w:rsid w:val="004F5E9E"/>
    <w:rsid w:val="005201E9"/>
    <w:rsid w:val="00524C6A"/>
    <w:rsid w:val="005250FD"/>
    <w:rsid w:val="005269B7"/>
    <w:rsid w:val="0052759F"/>
    <w:rsid w:val="00542A7C"/>
    <w:rsid w:val="00542C3E"/>
    <w:rsid w:val="00543B35"/>
    <w:rsid w:val="00544B96"/>
    <w:rsid w:val="0054560A"/>
    <w:rsid w:val="00545D13"/>
    <w:rsid w:val="00547197"/>
    <w:rsid w:val="00552595"/>
    <w:rsid w:val="00555944"/>
    <w:rsid w:val="00564283"/>
    <w:rsid w:val="00572071"/>
    <w:rsid w:val="0058077F"/>
    <w:rsid w:val="00586DB4"/>
    <w:rsid w:val="00587B2D"/>
    <w:rsid w:val="00592A77"/>
    <w:rsid w:val="005953A9"/>
    <w:rsid w:val="005A0681"/>
    <w:rsid w:val="005A174C"/>
    <w:rsid w:val="005A21A6"/>
    <w:rsid w:val="005A351D"/>
    <w:rsid w:val="005A383A"/>
    <w:rsid w:val="005A5E02"/>
    <w:rsid w:val="005B0331"/>
    <w:rsid w:val="005B0485"/>
    <w:rsid w:val="005C6BF9"/>
    <w:rsid w:val="005D0AFE"/>
    <w:rsid w:val="005D5E85"/>
    <w:rsid w:val="005D7DF6"/>
    <w:rsid w:val="005E2492"/>
    <w:rsid w:val="005F2222"/>
    <w:rsid w:val="005F347C"/>
    <w:rsid w:val="005F675C"/>
    <w:rsid w:val="00601E08"/>
    <w:rsid w:val="0060450A"/>
    <w:rsid w:val="006056A6"/>
    <w:rsid w:val="00611339"/>
    <w:rsid w:val="006331E1"/>
    <w:rsid w:val="006350AF"/>
    <w:rsid w:val="00640A2A"/>
    <w:rsid w:val="006540C3"/>
    <w:rsid w:val="00660F55"/>
    <w:rsid w:val="00666081"/>
    <w:rsid w:val="00667BAC"/>
    <w:rsid w:val="0067042A"/>
    <w:rsid w:val="00671C4B"/>
    <w:rsid w:val="00694929"/>
    <w:rsid w:val="00695ECF"/>
    <w:rsid w:val="006B1F26"/>
    <w:rsid w:val="006C15B7"/>
    <w:rsid w:val="006D2760"/>
    <w:rsid w:val="006E08E1"/>
    <w:rsid w:val="006E11AE"/>
    <w:rsid w:val="006E7840"/>
    <w:rsid w:val="006F42F7"/>
    <w:rsid w:val="006F50CC"/>
    <w:rsid w:val="007018D2"/>
    <w:rsid w:val="00707DCD"/>
    <w:rsid w:val="00710DCE"/>
    <w:rsid w:val="0071286D"/>
    <w:rsid w:val="00713A8F"/>
    <w:rsid w:val="00721E8E"/>
    <w:rsid w:val="00731AC9"/>
    <w:rsid w:val="00733CA0"/>
    <w:rsid w:val="00750F24"/>
    <w:rsid w:val="00756E91"/>
    <w:rsid w:val="00765FC7"/>
    <w:rsid w:val="00774171"/>
    <w:rsid w:val="00795590"/>
    <w:rsid w:val="007A081D"/>
    <w:rsid w:val="007B24AB"/>
    <w:rsid w:val="007B7EFE"/>
    <w:rsid w:val="007C01F0"/>
    <w:rsid w:val="007C3EB6"/>
    <w:rsid w:val="007C55CE"/>
    <w:rsid w:val="007C7CFF"/>
    <w:rsid w:val="007D0DE5"/>
    <w:rsid w:val="007D2087"/>
    <w:rsid w:val="007E79CF"/>
    <w:rsid w:val="007F1588"/>
    <w:rsid w:val="007F5FB9"/>
    <w:rsid w:val="008144AB"/>
    <w:rsid w:val="008160B8"/>
    <w:rsid w:val="00821783"/>
    <w:rsid w:val="0082265A"/>
    <w:rsid w:val="00835F1B"/>
    <w:rsid w:val="00843E43"/>
    <w:rsid w:val="008524F5"/>
    <w:rsid w:val="0085655E"/>
    <w:rsid w:val="00860AB2"/>
    <w:rsid w:val="00871B0A"/>
    <w:rsid w:val="008753E8"/>
    <w:rsid w:val="008760CE"/>
    <w:rsid w:val="008826A4"/>
    <w:rsid w:val="00882CE6"/>
    <w:rsid w:val="0089507B"/>
    <w:rsid w:val="008958E4"/>
    <w:rsid w:val="008A47EF"/>
    <w:rsid w:val="008A4C9A"/>
    <w:rsid w:val="008B0EAA"/>
    <w:rsid w:val="008B2006"/>
    <w:rsid w:val="008B20AD"/>
    <w:rsid w:val="008C0497"/>
    <w:rsid w:val="008C28BF"/>
    <w:rsid w:val="008C4E8E"/>
    <w:rsid w:val="008D3DB3"/>
    <w:rsid w:val="008E031D"/>
    <w:rsid w:val="008E03D4"/>
    <w:rsid w:val="008E1457"/>
    <w:rsid w:val="008E5610"/>
    <w:rsid w:val="008F14E0"/>
    <w:rsid w:val="008F172A"/>
    <w:rsid w:val="008F57A2"/>
    <w:rsid w:val="00900132"/>
    <w:rsid w:val="009033E8"/>
    <w:rsid w:val="009044CE"/>
    <w:rsid w:val="00923F19"/>
    <w:rsid w:val="009315CF"/>
    <w:rsid w:val="00935553"/>
    <w:rsid w:val="009377AA"/>
    <w:rsid w:val="0094039E"/>
    <w:rsid w:val="00941ED1"/>
    <w:rsid w:val="00942A7E"/>
    <w:rsid w:val="009448C8"/>
    <w:rsid w:val="00953706"/>
    <w:rsid w:val="00956EBA"/>
    <w:rsid w:val="0096358F"/>
    <w:rsid w:val="00964DBC"/>
    <w:rsid w:val="00972066"/>
    <w:rsid w:val="009745AD"/>
    <w:rsid w:val="009753CB"/>
    <w:rsid w:val="0097701B"/>
    <w:rsid w:val="00981F08"/>
    <w:rsid w:val="00984F69"/>
    <w:rsid w:val="00990C8E"/>
    <w:rsid w:val="009958AA"/>
    <w:rsid w:val="009A1F4B"/>
    <w:rsid w:val="009A6C80"/>
    <w:rsid w:val="009B0F76"/>
    <w:rsid w:val="009B196D"/>
    <w:rsid w:val="009B7568"/>
    <w:rsid w:val="009B796A"/>
    <w:rsid w:val="009C50B3"/>
    <w:rsid w:val="009D12E0"/>
    <w:rsid w:val="009E68FE"/>
    <w:rsid w:val="00A0364D"/>
    <w:rsid w:val="00A07BE6"/>
    <w:rsid w:val="00A11B8B"/>
    <w:rsid w:val="00A149CE"/>
    <w:rsid w:val="00A160DA"/>
    <w:rsid w:val="00A25E24"/>
    <w:rsid w:val="00A269CC"/>
    <w:rsid w:val="00A27DFE"/>
    <w:rsid w:val="00A306E3"/>
    <w:rsid w:val="00A42C0B"/>
    <w:rsid w:val="00A44142"/>
    <w:rsid w:val="00A57549"/>
    <w:rsid w:val="00A651D8"/>
    <w:rsid w:val="00A676DA"/>
    <w:rsid w:val="00A77E88"/>
    <w:rsid w:val="00A77F85"/>
    <w:rsid w:val="00A929E9"/>
    <w:rsid w:val="00A963F5"/>
    <w:rsid w:val="00AA0B54"/>
    <w:rsid w:val="00AA7E44"/>
    <w:rsid w:val="00AB3F28"/>
    <w:rsid w:val="00AB56A4"/>
    <w:rsid w:val="00AB5E73"/>
    <w:rsid w:val="00AC38ED"/>
    <w:rsid w:val="00AC42EC"/>
    <w:rsid w:val="00AC5017"/>
    <w:rsid w:val="00AC5E43"/>
    <w:rsid w:val="00AE102F"/>
    <w:rsid w:val="00AE1530"/>
    <w:rsid w:val="00AE198C"/>
    <w:rsid w:val="00AF0D1B"/>
    <w:rsid w:val="00B0205F"/>
    <w:rsid w:val="00B0417E"/>
    <w:rsid w:val="00B107F9"/>
    <w:rsid w:val="00B11142"/>
    <w:rsid w:val="00B2106C"/>
    <w:rsid w:val="00B365BD"/>
    <w:rsid w:val="00B431B7"/>
    <w:rsid w:val="00B51A40"/>
    <w:rsid w:val="00B61907"/>
    <w:rsid w:val="00B64323"/>
    <w:rsid w:val="00B668D2"/>
    <w:rsid w:val="00B75964"/>
    <w:rsid w:val="00B86F72"/>
    <w:rsid w:val="00B87083"/>
    <w:rsid w:val="00B9067C"/>
    <w:rsid w:val="00B90F74"/>
    <w:rsid w:val="00B91206"/>
    <w:rsid w:val="00B9209A"/>
    <w:rsid w:val="00BA29D4"/>
    <w:rsid w:val="00BA30E8"/>
    <w:rsid w:val="00BA3EF6"/>
    <w:rsid w:val="00BA57C6"/>
    <w:rsid w:val="00BB0BA9"/>
    <w:rsid w:val="00BB4240"/>
    <w:rsid w:val="00BC4A71"/>
    <w:rsid w:val="00BC4D95"/>
    <w:rsid w:val="00BD4358"/>
    <w:rsid w:val="00BE4BA2"/>
    <w:rsid w:val="00BF0ABC"/>
    <w:rsid w:val="00BF2D14"/>
    <w:rsid w:val="00BF2E3D"/>
    <w:rsid w:val="00BF6761"/>
    <w:rsid w:val="00BF67D1"/>
    <w:rsid w:val="00C06ADC"/>
    <w:rsid w:val="00C113FC"/>
    <w:rsid w:val="00C2382F"/>
    <w:rsid w:val="00C3694B"/>
    <w:rsid w:val="00C4286F"/>
    <w:rsid w:val="00C461AD"/>
    <w:rsid w:val="00C47D48"/>
    <w:rsid w:val="00C506E4"/>
    <w:rsid w:val="00C52425"/>
    <w:rsid w:val="00C668F7"/>
    <w:rsid w:val="00C733F6"/>
    <w:rsid w:val="00C74346"/>
    <w:rsid w:val="00C74F97"/>
    <w:rsid w:val="00C76886"/>
    <w:rsid w:val="00C830EC"/>
    <w:rsid w:val="00C876C0"/>
    <w:rsid w:val="00C87E65"/>
    <w:rsid w:val="00CA1FA4"/>
    <w:rsid w:val="00CA40E0"/>
    <w:rsid w:val="00CB0137"/>
    <w:rsid w:val="00CB0659"/>
    <w:rsid w:val="00CB1B30"/>
    <w:rsid w:val="00CB5A67"/>
    <w:rsid w:val="00CC0D7E"/>
    <w:rsid w:val="00CC128A"/>
    <w:rsid w:val="00CD0EE5"/>
    <w:rsid w:val="00CD59D7"/>
    <w:rsid w:val="00CD75EA"/>
    <w:rsid w:val="00CE4A23"/>
    <w:rsid w:val="00CE796E"/>
    <w:rsid w:val="00CF005D"/>
    <w:rsid w:val="00CF09EC"/>
    <w:rsid w:val="00CF0C98"/>
    <w:rsid w:val="00CF2D05"/>
    <w:rsid w:val="00CF4D0E"/>
    <w:rsid w:val="00CF71E8"/>
    <w:rsid w:val="00D05E7A"/>
    <w:rsid w:val="00D064E0"/>
    <w:rsid w:val="00D1102E"/>
    <w:rsid w:val="00D115A8"/>
    <w:rsid w:val="00D1189C"/>
    <w:rsid w:val="00D174F8"/>
    <w:rsid w:val="00D235F3"/>
    <w:rsid w:val="00D33049"/>
    <w:rsid w:val="00D40DE9"/>
    <w:rsid w:val="00D438A5"/>
    <w:rsid w:val="00D4561C"/>
    <w:rsid w:val="00D46FDA"/>
    <w:rsid w:val="00D47EE7"/>
    <w:rsid w:val="00D501A2"/>
    <w:rsid w:val="00D56F73"/>
    <w:rsid w:val="00D61720"/>
    <w:rsid w:val="00D63531"/>
    <w:rsid w:val="00D64CD2"/>
    <w:rsid w:val="00D6622D"/>
    <w:rsid w:val="00D74D14"/>
    <w:rsid w:val="00D80B72"/>
    <w:rsid w:val="00D91F93"/>
    <w:rsid w:val="00D92CCF"/>
    <w:rsid w:val="00D937EA"/>
    <w:rsid w:val="00D93D8C"/>
    <w:rsid w:val="00D97D0E"/>
    <w:rsid w:val="00DA0511"/>
    <w:rsid w:val="00DA17A0"/>
    <w:rsid w:val="00DB4FD9"/>
    <w:rsid w:val="00DC5F3C"/>
    <w:rsid w:val="00DD1B4E"/>
    <w:rsid w:val="00DE1C55"/>
    <w:rsid w:val="00DE1D80"/>
    <w:rsid w:val="00DE54BF"/>
    <w:rsid w:val="00E00342"/>
    <w:rsid w:val="00E01FFB"/>
    <w:rsid w:val="00E07540"/>
    <w:rsid w:val="00E15DF8"/>
    <w:rsid w:val="00E2717B"/>
    <w:rsid w:val="00E315FF"/>
    <w:rsid w:val="00E50883"/>
    <w:rsid w:val="00E6029D"/>
    <w:rsid w:val="00E727F7"/>
    <w:rsid w:val="00E74D74"/>
    <w:rsid w:val="00E773B2"/>
    <w:rsid w:val="00E82CEE"/>
    <w:rsid w:val="00E84BA6"/>
    <w:rsid w:val="00E86023"/>
    <w:rsid w:val="00E90255"/>
    <w:rsid w:val="00E91DBC"/>
    <w:rsid w:val="00E95E96"/>
    <w:rsid w:val="00EA6817"/>
    <w:rsid w:val="00EB66F1"/>
    <w:rsid w:val="00EC083A"/>
    <w:rsid w:val="00EC718A"/>
    <w:rsid w:val="00ED2E4D"/>
    <w:rsid w:val="00ED3A9C"/>
    <w:rsid w:val="00ED7EF8"/>
    <w:rsid w:val="00EE063E"/>
    <w:rsid w:val="00EE132B"/>
    <w:rsid w:val="00EF18B6"/>
    <w:rsid w:val="00F00C76"/>
    <w:rsid w:val="00F05A23"/>
    <w:rsid w:val="00F067C6"/>
    <w:rsid w:val="00F159DC"/>
    <w:rsid w:val="00F20742"/>
    <w:rsid w:val="00F22480"/>
    <w:rsid w:val="00F24AE9"/>
    <w:rsid w:val="00F30D3F"/>
    <w:rsid w:val="00F42EA6"/>
    <w:rsid w:val="00F51E59"/>
    <w:rsid w:val="00F54670"/>
    <w:rsid w:val="00F63A21"/>
    <w:rsid w:val="00F71377"/>
    <w:rsid w:val="00F7290E"/>
    <w:rsid w:val="00F72DAE"/>
    <w:rsid w:val="00F76866"/>
    <w:rsid w:val="00F76A9B"/>
    <w:rsid w:val="00F76E31"/>
    <w:rsid w:val="00F80EE8"/>
    <w:rsid w:val="00F87451"/>
    <w:rsid w:val="00F9257F"/>
    <w:rsid w:val="00F94F1F"/>
    <w:rsid w:val="00FA0134"/>
    <w:rsid w:val="00FA03D6"/>
    <w:rsid w:val="00FB0511"/>
    <w:rsid w:val="00FB0F11"/>
    <w:rsid w:val="00FB17A1"/>
    <w:rsid w:val="00FB40C6"/>
    <w:rsid w:val="00FC32D2"/>
    <w:rsid w:val="00FC45A4"/>
    <w:rsid w:val="00FD0C5F"/>
    <w:rsid w:val="00FD11F1"/>
    <w:rsid w:val="00FE6125"/>
    <w:rsid w:val="00FF4418"/>
    <w:rsid w:val="00FF45A5"/>
    <w:rsid w:val="01CC4252"/>
    <w:rsid w:val="021FFAB7"/>
    <w:rsid w:val="03614849"/>
    <w:rsid w:val="03C3D9E3"/>
    <w:rsid w:val="041FE407"/>
    <w:rsid w:val="0453E820"/>
    <w:rsid w:val="05D2C331"/>
    <w:rsid w:val="0602EBAC"/>
    <w:rsid w:val="06C2183A"/>
    <w:rsid w:val="06DA40F2"/>
    <w:rsid w:val="07998E38"/>
    <w:rsid w:val="07DF4147"/>
    <w:rsid w:val="07F3B435"/>
    <w:rsid w:val="0834C002"/>
    <w:rsid w:val="08B73BE4"/>
    <w:rsid w:val="092E9EA8"/>
    <w:rsid w:val="098084A8"/>
    <w:rsid w:val="09D05EB3"/>
    <w:rsid w:val="09D75437"/>
    <w:rsid w:val="09EC3138"/>
    <w:rsid w:val="09EDDD2E"/>
    <w:rsid w:val="0A55A9B3"/>
    <w:rsid w:val="0AF365A4"/>
    <w:rsid w:val="0B1458A4"/>
    <w:rsid w:val="0BBFD761"/>
    <w:rsid w:val="0BEBD6A4"/>
    <w:rsid w:val="0C1F1E65"/>
    <w:rsid w:val="0D257DF0"/>
    <w:rsid w:val="0E29D4EB"/>
    <w:rsid w:val="12B72BB0"/>
    <w:rsid w:val="12DB91E7"/>
    <w:rsid w:val="1394BF74"/>
    <w:rsid w:val="14273BED"/>
    <w:rsid w:val="14307220"/>
    <w:rsid w:val="160C5DA2"/>
    <w:rsid w:val="16C59B25"/>
    <w:rsid w:val="175EDCAF"/>
    <w:rsid w:val="1836A3AB"/>
    <w:rsid w:val="18C88770"/>
    <w:rsid w:val="19AD95E6"/>
    <w:rsid w:val="1A83BEDD"/>
    <w:rsid w:val="1A967D71"/>
    <w:rsid w:val="1B28F0A4"/>
    <w:rsid w:val="1B2C0729"/>
    <w:rsid w:val="1B8252DE"/>
    <w:rsid w:val="1C3E02CE"/>
    <w:rsid w:val="1C620DDB"/>
    <w:rsid w:val="1CCC0E4B"/>
    <w:rsid w:val="1CCC14C6"/>
    <w:rsid w:val="1D747165"/>
    <w:rsid w:val="1D7C13ED"/>
    <w:rsid w:val="1E536BBE"/>
    <w:rsid w:val="1E6A2D13"/>
    <w:rsid w:val="1E6C941B"/>
    <w:rsid w:val="1ECCFE3E"/>
    <w:rsid w:val="2038FC1C"/>
    <w:rsid w:val="205A1A1F"/>
    <w:rsid w:val="209628D1"/>
    <w:rsid w:val="20B2CECF"/>
    <w:rsid w:val="21F5EA80"/>
    <w:rsid w:val="2201FF70"/>
    <w:rsid w:val="2215546D"/>
    <w:rsid w:val="23955249"/>
    <w:rsid w:val="25415496"/>
    <w:rsid w:val="25D93018"/>
    <w:rsid w:val="261214FB"/>
    <w:rsid w:val="273CAD16"/>
    <w:rsid w:val="27491988"/>
    <w:rsid w:val="27750079"/>
    <w:rsid w:val="285288F1"/>
    <w:rsid w:val="28569093"/>
    <w:rsid w:val="286AA48C"/>
    <w:rsid w:val="28B57EB1"/>
    <w:rsid w:val="29D93897"/>
    <w:rsid w:val="2A0493CD"/>
    <w:rsid w:val="2B078DC5"/>
    <w:rsid w:val="2B386A46"/>
    <w:rsid w:val="2B779B17"/>
    <w:rsid w:val="2BE1E9BA"/>
    <w:rsid w:val="2CEA2616"/>
    <w:rsid w:val="2E31E711"/>
    <w:rsid w:val="2E4944E9"/>
    <w:rsid w:val="2E6FF548"/>
    <w:rsid w:val="2E717D0E"/>
    <w:rsid w:val="2E964A16"/>
    <w:rsid w:val="2F5D527B"/>
    <w:rsid w:val="2F78E255"/>
    <w:rsid w:val="2FFD0B31"/>
    <w:rsid w:val="30043F2D"/>
    <w:rsid w:val="3007BEFF"/>
    <w:rsid w:val="30288754"/>
    <w:rsid w:val="312B1C7C"/>
    <w:rsid w:val="342513D4"/>
    <w:rsid w:val="34DC13D1"/>
    <w:rsid w:val="366A21A6"/>
    <w:rsid w:val="3784CB4F"/>
    <w:rsid w:val="3838880B"/>
    <w:rsid w:val="3882936D"/>
    <w:rsid w:val="38EB0C64"/>
    <w:rsid w:val="39209BB0"/>
    <w:rsid w:val="39755451"/>
    <w:rsid w:val="39AB4385"/>
    <w:rsid w:val="39EFA1A0"/>
    <w:rsid w:val="3B53A3BC"/>
    <w:rsid w:val="3C6397E0"/>
    <w:rsid w:val="3E554D93"/>
    <w:rsid w:val="3EA7C98F"/>
    <w:rsid w:val="3F519489"/>
    <w:rsid w:val="4139387B"/>
    <w:rsid w:val="44830C16"/>
    <w:rsid w:val="45587AA8"/>
    <w:rsid w:val="4768A292"/>
    <w:rsid w:val="4781C6BC"/>
    <w:rsid w:val="478A7D90"/>
    <w:rsid w:val="48007568"/>
    <w:rsid w:val="48C48D9D"/>
    <w:rsid w:val="49264DF1"/>
    <w:rsid w:val="49295DBB"/>
    <w:rsid w:val="4980A87B"/>
    <w:rsid w:val="4A781552"/>
    <w:rsid w:val="4AC7ADF8"/>
    <w:rsid w:val="4B4D7CD0"/>
    <w:rsid w:val="4BAD65A6"/>
    <w:rsid w:val="4BD3DDB4"/>
    <w:rsid w:val="4C1D1F2E"/>
    <w:rsid w:val="4C9B9130"/>
    <w:rsid w:val="4CE7AB28"/>
    <w:rsid w:val="4F562899"/>
    <w:rsid w:val="5084C4B3"/>
    <w:rsid w:val="50E2DBF9"/>
    <w:rsid w:val="511292CA"/>
    <w:rsid w:val="515749CB"/>
    <w:rsid w:val="519A6C92"/>
    <w:rsid w:val="5370E787"/>
    <w:rsid w:val="54961044"/>
    <w:rsid w:val="5595705B"/>
    <w:rsid w:val="55C0D629"/>
    <w:rsid w:val="55CE785F"/>
    <w:rsid w:val="56D0ECC4"/>
    <w:rsid w:val="56D23CA1"/>
    <w:rsid w:val="56EEFB6B"/>
    <w:rsid w:val="5714BB3E"/>
    <w:rsid w:val="581A43B4"/>
    <w:rsid w:val="58411F30"/>
    <w:rsid w:val="5880CB96"/>
    <w:rsid w:val="59E9F7B1"/>
    <w:rsid w:val="5A0E557D"/>
    <w:rsid w:val="5B41F410"/>
    <w:rsid w:val="5B6A428A"/>
    <w:rsid w:val="5B869CAD"/>
    <w:rsid w:val="5C3DB9E3"/>
    <w:rsid w:val="5C99FC72"/>
    <w:rsid w:val="5CF81BE8"/>
    <w:rsid w:val="5D674757"/>
    <w:rsid w:val="5E507D34"/>
    <w:rsid w:val="5EA8075D"/>
    <w:rsid w:val="5EE9DCCF"/>
    <w:rsid w:val="5EFAE882"/>
    <w:rsid w:val="5F28E89E"/>
    <w:rsid w:val="5F39F9F1"/>
    <w:rsid w:val="5F89CD93"/>
    <w:rsid w:val="5F91C5C7"/>
    <w:rsid w:val="5FCAA7B0"/>
    <w:rsid w:val="5FD19D34"/>
    <w:rsid w:val="609DD5CF"/>
    <w:rsid w:val="616C1F9E"/>
    <w:rsid w:val="618FD25A"/>
    <w:rsid w:val="61DA59FA"/>
    <w:rsid w:val="62196762"/>
    <w:rsid w:val="63603E22"/>
    <w:rsid w:val="63881C7B"/>
    <w:rsid w:val="64B74130"/>
    <w:rsid w:val="655101A9"/>
    <w:rsid w:val="6554ECCF"/>
    <w:rsid w:val="65C76263"/>
    <w:rsid w:val="66B6BE8C"/>
    <w:rsid w:val="6724677A"/>
    <w:rsid w:val="6734A1AB"/>
    <w:rsid w:val="6861B98A"/>
    <w:rsid w:val="688F08DA"/>
    <w:rsid w:val="6915E5E3"/>
    <w:rsid w:val="692513EE"/>
    <w:rsid w:val="6A2B8FB8"/>
    <w:rsid w:val="6A7407E4"/>
    <w:rsid w:val="6B0D5A57"/>
    <w:rsid w:val="6B2682B4"/>
    <w:rsid w:val="6BD21FD7"/>
    <w:rsid w:val="6BFD85E2"/>
    <w:rsid w:val="6D995643"/>
    <w:rsid w:val="6DF0FBA7"/>
    <w:rsid w:val="6DFA88E7"/>
    <w:rsid w:val="6E0C0E82"/>
    <w:rsid w:val="6E1CB7B2"/>
    <w:rsid w:val="6ED4E5E8"/>
    <w:rsid w:val="6FCC4991"/>
    <w:rsid w:val="7041DF23"/>
    <w:rsid w:val="70AF8C4F"/>
    <w:rsid w:val="71BDFECB"/>
    <w:rsid w:val="7219D83B"/>
    <w:rsid w:val="7278DC56"/>
    <w:rsid w:val="7299B917"/>
    <w:rsid w:val="73045DCB"/>
    <w:rsid w:val="73186C3C"/>
    <w:rsid w:val="7466DD18"/>
    <w:rsid w:val="748705CF"/>
    <w:rsid w:val="74FC26F0"/>
    <w:rsid w:val="754A5DCD"/>
    <w:rsid w:val="75502920"/>
    <w:rsid w:val="75E076DA"/>
    <w:rsid w:val="75F2521B"/>
    <w:rsid w:val="7657FA84"/>
    <w:rsid w:val="76982B1B"/>
    <w:rsid w:val="7720760B"/>
    <w:rsid w:val="77319D18"/>
    <w:rsid w:val="776B8A10"/>
    <w:rsid w:val="778D2145"/>
    <w:rsid w:val="77C12E66"/>
    <w:rsid w:val="77E64DB9"/>
    <w:rsid w:val="78D2D651"/>
    <w:rsid w:val="790F605B"/>
    <w:rsid w:val="79DCB0BC"/>
    <w:rsid w:val="79F53041"/>
    <w:rsid w:val="7A29666D"/>
    <w:rsid w:val="7A922A1D"/>
    <w:rsid w:val="7B237E21"/>
    <w:rsid w:val="7D27B37A"/>
    <w:rsid w:val="7E110223"/>
    <w:rsid w:val="7F64A5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38FD08"/>
  <w14:defaultImageDpi w14:val="330"/>
  <w15:docId w15:val="{EE3DFF60-9AFC-4907-9FDA-A7950D11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0D1B"/>
    <w:rPr>
      <w:sz w:val="16"/>
      <w:szCs w:val="16"/>
    </w:rPr>
  </w:style>
  <w:style w:type="paragraph" w:styleId="CommentText">
    <w:name w:val="annotation text"/>
    <w:basedOn w:val="Normal"/>
    <w:link w:val="CommentTextChar"/>
    <w:uiPriority w:val="99"/>
    <w:semiHidden/>
    <w:unhideWhenUsed/>
    <w:rsid w:val="00AF0D1B"/>
    <w:rPr>
      <w:sz w:val="20"/>
      <w:szCs w:val="20"/>
    </w:rPr>
  </w:style>
  <w:style w:type="character" w:customStyle="1" w:styleId="CommentTextChar">
    <w:name w:val="Comment Text Char"/>
    <w:basedOn w:val="DefaultParagraphFont"/>
    <w:link w:val="CommentText"/>
    <w:uiPriority w:val="99"/>
    <w:semiHidden/>
    <w:rsid w:val="00AF0D1B"/>
    <w:rPr>
      <w:sz w:val="20"/>
      <w:szCs w:val="20"/>
    </w:rPr>
  </w:style>
  <w:style w:type="paragraph" w:styleId="CommentSubject">
    <w:name w:val="annotation subject"/>
    <w:basedOn w:val="CommentText"/>
    <w:next w:val="CommentText"/>
    <w:link w:val="CommentSubjectChar"/>
    <w:uiPriority w:val="99"/>
    <w:semiHidden/>
    <w:unhideWhenUsed/>
    <w:rsid w:val="00AF0D1B"/>
    <w:rPr>
      <w:b/>
      <w:bCs/>
    </w:rPr>
  </w:style>
  <w:style w:type="character" w:customStyle="1" w:styleId="CommentSubjectChar">
    <w:name w:val="Comment Subject Char"/>
    <w:basedOn w:val="CommentTextChar"/>
    <w:link w:val="CommentSubject"/>
    <w:uiPriority w:val="99"/>
    <w:semiHidden/>
    <w:rsid w:val="00AF0D1B"/>
    <w:rPr>
      <w:b/>
      <w:bCs/>
      <w:sz w:val="20"/>
      <w:szCs w:val="20"/>
    </w:rPr>
  </w:style>
  <w:style w:type="paragraph" w:styleId="BalloonText">
    <w:name w:val="Balloon Text"/>
    <w:basedOn w:val="Normal"/>
    <w:link w:val="BalloonTextChar"/>
    <w:uiPriority w:val="99"/>
    <w:semiHidden/>
    <w:unhideWhenUsed/>
    <w:rsid w:val="00AF0D1B"/>
    <w:rPr>
      <w:rFonts w:ascii="Tahoma" w:hAnsi="Tahoma" w:cs="Tahoma"/>
      <w:sz w:val="16"/>
      <w:szCs w:val="16"/>
    </w:rPr>
  </w:style>
  <w:style w:type="character" w:customStyle="1" w:styleId="BalloonTextChar">
    <w:name w:val="Balloon Text Char"/>
    <w:basedOn w:val="DefaultParagraphFont"/>
    <w:link w:val="BalloonText"/>
    <w:uiPriority w:val="99"/>
    <w:semiHidden/>
    <w:rsid w:val="00AF0D1B"/>
    <w:rPr>
      <w:rFonts w:ascii="Tahoma" w:hAnsi="Tahoma" w:cs="Tahoma"/>
      <w:sz w:val="16"/>
      <w:szCs w:val="16"/>
    </w:rPr>
  </w:style>
  <w:style w:type="paragraph" w:styleId="ListParagraph">
    <w:name w:val="List Paragraph"/>
    <w:basedOn w:val="Normal"/>
    <w:uiPriority w:val="34"/>
    <w:qFormat/>
    <w:rsid w:val="008E5610"/>
    <w:pPr>
      <w:ind w:left="720"/>
      <w:contextualSpacing/>
    </w:pPr>
  </w:style>
  <w:style w:type="character" w:styleId="Hyperlink">
    <w:name w:val="Hyperlink"/>
    <w:basedOn w:val="DefaultParagraphFont"/>
    <w:uiPriority w:val="99"/>
    <w:unhideWhenUsed/>
    <w:rsid w:val="009B7568"/>
    <w:rPr>
      <w:color w:val="0000FF" w:themeColor="hyperlink"/>
      <w:u w:val="single"/>
    </w:rPr>
  </w:style>
  <w:style w:type="paragraph" w:styleId="Header">
    <w:name w:val="header"/>
    <w:basedOn w:val="Normal"/>
    <w:link w:val="HeaderChar"/>
    <w:uiPriority w:val="99"/>
    <w:unhideWhenUsed/>
    <w:rsid w:val="00D501A2"/>
    <w:pPr>
      <w:tabs>
        <w:tab w:val="center" w:pos="4680"/>
        <w:tab w:val="right" w:pos="9360"/>
      </w:tabs>
    </w:pPr>
  </w:style>
  <w:style w:type="character" w:customStyle="1" w:styleId="HeaderChar">
    <w:name w:val="Header Char"/>
    <w:basedOn w:val="DefaultParagraphFont"/>
    <w:link w:val="Header"/>
    <w:uiPriority w:val="99"/>
    <w:rsid w:val="00D501A2"/>
  </w:style>
  <w:style w:type="paragraph" w:styleId="Footer">
    <w:name w:val="footer"/>
    <w:basedOn w:val="Normal"/>
    <w:link w:val="FooterChar"/>
    <w:uiPriority w:val="99"/>
    <w:unhideWhenUsed/>
    <w:rsid w:val="00D501A2"/>
    <w:pPr>
      <w:tabs>
        <w:tab w:val="center" w:pos="4680"/>
        <w:tab w:val="right" w:pos="9360"/>
      </w:tabs>
    </w:pPr>
  </w:style>
  <w:style w:type="character" w:customStyle="1" w:styleId="FooterChar">
    <w:name w:val="Footer Char"/>
    <w:basedOn w:val="DefaultParagraphFont"/>
    <w:link w:val="Footer"/>
    <w:uiPriority w:val="99"/>
    <w:rsid w:val="00D501A2"/>
  </w:style>
  <w:style w:type="table" w:styleId="TableGrid">
    <w:name w:val="Table Grid"/>
    <w:basedOn w:val="TableNormal"/>
    <w:uiPriority w:val="59"/>
    <w:rsid w:val="00055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756C5"/>
    <w:rPr>
      <w:color w:val="800080" w:themeColor="followedHyperlink"/>
      <w:u w:val="single"/>
    </w:rPr>
  </w:style>
  <w:style w:type="character" w:styleId="Emphasis">
    <w:name w:val="Emphasis"/>
    <w:basedOn w:val="DefaultParagraphFont"/>
    <w:uiPriority w:val="20"/>
    <w:qFormat/>
    <w:rsid w:val="00165A9B"/>
    <w:rPr>
      <w:i/>
      <w:iCs/>
    </w:rPr>
  </w:style>
  <w:style w:type="character" w:styleId="PlaceholderText">
    <w:name w:val="Placeholder Text"/>
    <w:basedOn w:val="DefaultParagraphFont"/>
    <w:uiPriority w:val="99"/>
    <w:semiHidden/>
    <w:rsid w:val="008E1457"/>
    <w:rPr>
      <w:color w:val="808080"/>
    </w:rPr>
  </w:style>
  <w:style w:type="paragraph" w:customStyle="1" w:styleId="P1">
    <w:name w:val="P1"/>
    <w:basedOn w:val="Normal"/>
    <w:qFormat/>
    <w:rsid w:val="00250326"/>
    <w:pPr>
      <w:spacing w:line="225" w:lineRule="exact"/>
      <w:jc w:val="both"/>
    </w:pPr>
    <w:rPr>
      <w:rFonts w:ascii="Arial" w:eastAsia="MS Mincho" w:hAnsi="Arial" w:cs="Times New Roman"/>
      <w:sz w:val="17"/>
      <w:lang w:eastAsia="ja-JP"/>
    </w:rPr>
  </w:style>
  <w:style w:type="paragraph" w:styleId="Revision">
    <w:name w:val="Revision"/>
    <w:hidden/>
    <w:uiPriority w:val="99"/>
    <w:semiHidden/>
    <w:rsid w:val="00956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30068">
      <w:bodyDiv w:val="1"/>
      <w:marLeft w:val="0"/>
      <w:marRight w:val="0"/>
      <w:marTop w:val="0"/>
      <w:marBottom w:val="0"/>
      <w:divBdr>
        <w:top w:val="none" w:sz="0" w:space="0" w:color="auto"/>
        <w:left w:val="none" w:sz="0" w:space="0" w:color="auto"/>
        <w:bottom w:val="none" w:sz="0" w:space="0" w:color="auto"/>
        <w:right w:val="none" w:sz="0" w:space="0" w:color="auto"/>
      </w:divBdr>
    </w:div>
    <w:div w:id="778842787">
      <w:bodyDiv w:val="1"/>
      <w:marLeft w:val="0"/>
      <w:marRight w:val="0"/>
      <w:marTop w:val="0"/>
      <w:marBottom w:val="0"/>
      <w:divBdr>
        <w:top w:val="none" w:sz="0" w:space="0" w:color="auto"/>
        <w:left w:val="none" w:sz="0" w:space="0" w:color="auto"/>
        <w:bottom w:val="none" w:sz="0" w:space="0" w:color="auto"/>
        <w:right w:val="none" w:sz="0" w:space="0" w:color="auto"/>
      </w:divBdr>
    </w:div>
    <w:div w:id="788082758">
      <w:bodyDiv w:val="1"/>
      <w:marLeft w:val="0"/>
      <w:marRight w:val="0"/>
      <w:marTop w:val="0"/>
      <w:marBottom w:val="0"/>
      <w:divBdr>
        <w:top w:val="none" w:sz="0" w:space="0" w:color="auto"/>
        <w:left w:val="none" w:sz="0" w:space="0" w:color="auto"/>
        <w:bottom w:val="none" w:sz="0" w:space="0" w:color="auto"/>
        <w:right w:val="none" w:sz="0" w:space="0" w:color="auto"/>
      </w:divBdr>
    </w:div>
    <w:div w:id="1349259475">
      <w:bodyDiv w:val="1"/>
      <w:marLeft w:val="0"/>
      <w:marRight w:val="0"/>
      <w:marTop w:val="0"/>
      <w:marBottom w:val="0"/>
      <w:divBdr>
        <w:top w:val="none" w:sz="0" w:space="0" w:color="auto"/>
        <w:left w:val="none" w:sz="0" w:space="0" w:color="auto"/>
        <w:bottom w:val="none" w:sz="0" w:space="0" w:color="auto"/>
        <w:right w:val="none" w:sz="0" w:space="0" w:color="auto"/>
      </w:divBdr>
    </w:div>
    <w:div w:id="1749686929">
      <w:bodyDiv w:val="1"/>
      <w:marLeft w:val="0"/>
      <w:marRight w:val="0"/>
      <w:marTop w:val="0"/>
      <w:marBottom w:val="0"/>
      <w:divBdr>
        <w:top w:val="none" w:sz="0" w:space="0" w:color="auto"/>
        <w:left w:val="none" w:sz="0" w:space="0" w:color="auto"/>
        <w:bottom w:val="none" w:sz="0" w:space="0" w:color="auto"/>
        <w:right w:val="none" w:sz="0" w:space="0" w:color="auto"/>
      </w:divBdr>
    </w:div>
    <w:div w:id="2036685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A002\AppData\Local\Temp\Temp1_multimedia_files-chem-style-sheet%20(1).zip\chem-style-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CBD6B6A611E24D8797A5AD49E4D380" ma:contentTypeVersion="14" ma:contentTypeDescription="Create a new document." ma:contentTypeScope="" ma:versionID="e67ea03c0316b365725f9372c8cd7ea2">
  <xsd:schema xmlns:xsd="http://www.w3.org/2001/XMLSchema" xmlns:xs="http://www.w3.org/2001/XMLSchema" xmlns:p="http://schemas.microsoft.com/office/2006/metadata/properties" xmlns:ns3="67d660cc-a1c1-4ddf-bab0-45895a521631" xmlns:ns4="aff12bc4-9811-4712-99f1-27ac00841f47" targetNamespace="http://schemas.microsoft.com/office/2006/metadata/properties" ma:root="true" ma:fieldsID="7d5fe1abe08c3808318a3df27dc406e1" ns3:_="" ns4:_="">
    <xsd:import namespace="67d660cc-a1c1-4ddf-bab0-45895a521631"/>
    <xsd:import namespace="aff12bc4-9811-4712-99f1-27ac00841f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660cc-a1c1-4ddf-bab0-45895a521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f12bc4-9811-4712-99f1-27ac00841f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D0837E-AEDD-47C4-9FCF-CD69B7A535EE}">
  <ds:schemaRefs>
    <ds:schemaRef ds:uri="http://schemas.openxmlformats.org/officeDocument/2006/bibliography"/>
  </ds:schemaRefs>
</ds:datastoreItem>
</file>

<file path=customXml/itemProps2.xml><?xml version="1.0" encoding="utf-8"?>
<ds:datastoreItem xmlns:ds="http://schemas.openxmlformats.org/officeDocument/2006/customXml" ds:itemID="{DF028FB2-2923-4324-934C-4FCB278F4B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15C4-79FF-45AC-A0E2-FA0EDA1A4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660cc-a1c1-4ddf-bab0-45895a521631"/>
    <ds:schemaRef ds:uri="aff12bc4-9811-4712-99f1-27ac00841f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2E0DE-7664-46F2-A09C-908FF4B6C8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C:\Users\SmithA002\AppData\Local\Temp\Temp1_multimedia_files-chem-style-sheet (1).zip\chem-style-sheet.dotx</Template>
  <TotalTime>31</TotalTime>
  <Pages>7</Pages>
  <Words>11910</Words>
  <Characters>67887</Characters>
  <Application>Microsoft Office Word</Application>
  <DocSecurity>0</DocSecurity>
  <Lines>565</Lines>
  <Paragraphs>159</Paragraphs>
  <ScaleCrop>false</ScaleCrop>
  <Company>Elsevier</Company>
  <LinksUpToDate>false</LinksUpToDate>
  <CharactersWithSpaces>79638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Andy C. (ELS-HBE)</dc:creator>
  <cp:keywords/>
  <cp:lastModifiedBy>Toghill, Kathryn</cp:lastModifiedBy>
  <cp:revision>55</cp:revision>
  <dcterms:created xsi:type="dcterms:W3CDTF">2022-03-11T17:13:00Z</dcterms:created>
  <dcterms:modified xsi:type="dcterms:W3CDTF">2022-03-13T22:48:00Z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http://www.zotero.org/styles/joule</vt:lpwstr>
  </property>
  <property fmtid="{D5CDD505-2E9C-101B-9397-08002B2CF9AE}" pid="17" name="Mendeley Recent Style Name 7_1">
    <vt:lpwstr>Joule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85938b44-cbed-3e61-ab11-f49bd49561c3</vt:lpwstr>
  </property>
  <property fmtid="{D5CDD505-2E9C-101B-9397-08002B2CF9AE}" pid="24" name="Mendeley Citation Style_1">
    <vt:lpwstr>http://www.zotero.org/styles/joule</vt:lpwstr>
  </property>
  <property fmtid="{D5CDD505-2E9C-101B-9397-08002B2CF9AE}" pid="25" name="ContentTypeId">
    <vt:lpwstr>0x01010033CBD6B6A611E24D8797A5AD49E4D380</vt:lpwstr>
  </property>
</Properties>
</file>