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688CD2DF" w14:textId="42523A43" w:rsidR="004348B5" w:rsidRDefault="00E754B7" w:rsidP="004348B5">
      <w:pPr>
        <w:pStyle w:val="papertitle"/>
        <w:rPr>
          <w:sz w:val="16"/>
          <w:szCs w:val="16"/>
        </w:rPr>
      </w:pPr>
      <w:r w:rsidRPr="00E754B7">
        <w:t>Step Into My Mind Palace: Exploration of a Collaborative Paragogy Tool in VR</w:t>
      </w:r>
    </w:p>
    <w:p w14:paraId="7D829358" w14:textId="77777777" w:rsidR="004348B5" w:rsidRDefault="004348B5" w:rsidP="004348B5">
      <w:pPr>
        <w:spacing w:line="6pt" w:lineRule="auto"/>
        <w:jc w:val="start"/>
        <w:rPr>
          <w:noProof/>
          <w:sz w:val="16"/>
          <w:szCs w:val="16"/>
        </w:rPr>
        <w:sectPr w:rsidR="004348B5" w:rsidSect="006003AA">
          <w:headerReference w:type="even" r:id="rId11"/>
          <w:headerReference w:type="default" r:id="rId12"/>
          <w:footerReference w:type="even" r:id="rId13"/>
          <w:footerReference w:type="default" r:id="rId14"/>
          <w:headerReference w:type="first" r:id="rId15"/>
          <w:footerReference w:type="first" r:id="rId16"/>
          <w:type w:val="continuous"/>
          <w:pgSz w:w="612pt" w:h="792pt"/>
          <w:pgMar w:top="54pt" w:right="44.65pt" w:bottom="72pt" w:left="44.65pt" w:header="36pt" w:footer="36pt" w:gutter="0pt"/>
          <w:cols w:space="36pt"/>
          <w:titlePg/>
          <w:docGrid w:linePitch="272"/>
        </w:sectPr>
      </w:pPr>
    </w:p>
    <w:p w14:paraId="73F479A0" w14:textId="77777777" w:rsidR="004348B5" w:rsidRDefault="004348B5" w:rsidP="004348B5">
      <w:pPr>
        <w:jc w:val="start"/>
        <w:rPr>
          <w:noProof/>
          <w:sz w:val="18"/>
          <w:szCs w:val="18"/>
        </w:rPr>
        <w:sectPr w:rsidR="004348B5">
          <w:type w:val="continuous"/>
          <w:pgSz w:w="612pt" w:h="792pt"/>
          <w:pgMar w:top="54pt" w:right="44.65pt" w:bottom="72pt" w:left="44.65pt" w:header="36pt" w:footer="36pt" w:gutter="0pt"/>
          <w:cols w:num="4" w:space="10.80pt"/>
        </w:sectPr>
      </w:pPr>
    </w:p>
    <w:p w14:paraId="41E3F2BF" w14:textId="7F893BAE" w:rsidR="004348B5" w:rsidRDefault="003B75CC" w:rsidP="004348B5">
      <w:pPr>
        <w:jc w:val="start"/>
        <w:sectPr w:rsidR="004348B5">
          <w:type w:val="continuous"/>
          <w:pgSz w:w="612pt" w:h="792pt"/>
          <w:pgMar w:top="54pt" w:right="44.65pt" w:bottom="72pt" w:left="44.65pt" w:header="36pt" w:footer="36pt" w:gutter="0pt"/>
          <w:cols w:space="36pt"/>
        </w:sectPr>
      </w:pPr>
      <w:r>
        <w:rPr>
          <w:noProof/>
        </w:rPr>
        <w:drawing>
          <wp:anchor distT="45720" distB="45720" distL="114300" distR="114300" simplePos="0" relativeHeight="251670529" behindDoc="0" locked="0" layoutInCell="1" allowOverlap="1" wp14:anchorId="2D9E4F88" wp14:editId="6A044FB8">
            <wp:simplePos x="0" y="0"/>
            <wp:positionH relativeFrom="margin">
              <wp:align>left</wp:align>
            </wp:positionH>
            <wp:positionV relativeFrom="paragraph">
              <wp:posOffset>2887639</wp:posOffset>
            </wp:positionV>
            <wp:extent cx="7130415" cy="163195"/>
            <wp:effectExtent l="0" t="0" r="0" b="8255"/>
            <wp:wrapSquare wrapText="bothSides"/>
            <wp:docPr id="1"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7130415" cy="163773"/>
                    </a:xfrm>
                    <a:prstGeom prst="rect">
                      <a:avLst/>
                    </a:prstGeom>
                    <a:solidFill>
                      <a:srgbClr val="FFFFFF"/>
                    </a:solidFill>
                    <a:ln w="9525">
                      <a:noFill/>
                      <a:miter lim="800%"/>
                      <a:headEnd/>
                      <a:tailEnd/>
                    </a:ln>
                  </wp:spPr>
                  <wp:txbx>
                    <wne:txbxContent>
                      <w:p w14:paraId="7A6C8493" w14:textId="29328A9C" w:rsidR="003B75CC" w:rsidRDefault="003B75CC"/>
                      <w:p w14:paraId="14B76C50" w14:textId="77777777" w:rsidR="003B75CC" w:rsidRDefault="003B75CC"/>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Pr>
          <w:noProof/>
        </w:rPr>
        <w:drawing>
          <wp:anchor distT="45720" distB="45720" distL="114300" distR="114300" simplePos="0" relativeHeight="251668481" behindDoc="0" locked="0" layoutInCell="1" allowOverlap="1" wp14:anchorId="28AFCFA1" wp14:editId="42341452">
            <wp:simplePos x="0" y="0"/>
            <wp:positionH relativeFrom="column">
              <wp:posOffset>1664335</wp:posOffset>
            </wp:positionH>
            <wp:positionV relativeFrom="paragraph">
              <wp:posOffset>144145</wp:posOffset>
            </wp:positionV>
            <wp:extent cx="1644015" cy="2790825"/>
            <wp:effectExtent l="0" t="0" r="0" b="9525"/>
            <wp:wrapSquare wrapText="bothSides"/>
            <wp:docPr id="16"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644015" cy="2790825"/>
                    </a:xfrm>
                    <a:prstGeom prst="rect">
                      <a:avLst/>
                    </a:prstGeom>
                    <a:solidFill>
                      <a:srgbClr val="FFFFFF"/>
                    </a:solidFill>
                    <a:ln w="9525">
                      <a:noFill/>
                      <a:miter lim="800%"/>
                      <a:headEnd/>
                      <a:tailEnd/>
                    </a:ln>
                  </wp:spPr>
                  <wp:txbx>
                    <wne:txbxContent>
                      <w:p w14:paraId="26A9011D" w14:textId="69F9A6A8" w:rsidR="00127B50" w:rsidRDefault="00616B04" w:rsidP="00127B50">
                        <w:pPr>
                          <w:rPr>
                            <w:sz w:val="18"/>
                            <w:szCs w:val="18"/>
                          </w:rPr>
                        </w:pPr>
                        <w:r>
                          <w:rPr>
                            <w:sz w:val="18"/>
                            <w:szCs w:val="18"/>
                          </w:rPr>
                          <w:t>Barry Chang</w:t>
                        </w:r>
                        <w:r w:rsidR="00127B50" w:rsidRPr="00F847A6">
                          <w:rPr>
                            <w:sz w:val="18"/>
                            <w:szCs w:val="18"/>
                          </w:rPr>
                          <w:t xml:space="preserve"> </w:t>
                        </w:r>
                        <w:r w:rsidR="00127B50" w:rsidRPr="00F847A6">
                          <w:rPr>
                            <w:sz w:val="18"/>
                            <w:szCs w:val="18"/>
                          </w:rPr>
                          <w:br/>
                        </w:r>
                        <w:r w:rsidR="0031460C" w:rsidRPr="00652154">
                          <w:rPr>
                            <w:i/>
                            <w:iCs/>
                            <w:sz w:val="18"/>
                            <w:szCs w:val="18"/>
                          </w:rPr>
                          <w:t>School of Computing and Communications</w:t>
                        </w:r>
                        <w:r w:rsidR="00127B50" w:rsidRPr="00652154">
                          <w:rPr>
                            <w:i/>
                            <w:iCs/>
                            <w:sz w:val="18"/>
                            <w:szCs w:val="18"/>
                          </w:rPr>
                          <w:br/>
                        </w:r>
                        <w:r w:rsidR="0031460C" w:rsidRPr="00652154">
                          <w:rPr>
                            <w:i/>
                            <w:iCs/>
                            <w:sz w:val="18"/>
                            <w:szCs w:val="18"/>
                          </w:rPr>
                          <w:t>Lancaster University</w:t>
                        </w:r>
                        <w:r w:rsidR="00127B50" w:rsidRPr="00F847A6">
                          <w:rPr>
                            <w:i/>
                            <w:sz w:val="18"/>
                            <w:szCs w:val="18"/>
                          </w:rPr>
                          <w:br/>
                        </w:r>
                        <w:r w:rsidR="00A651D7">
                          <w:rPr>
                            <w:sz w:val="18"/>
                            <w:szCs w:val="18"/>
                          </w:rPr>
                          <w:t>Lancaster, United Kingdom</w:t>
                        </w:r>
                        <w:r w:rsidR="00127B50" w:rsidRPr="00F847A6">
                          <w:rPr>
                            <w:sz w:val="18"/>
                            <w:szCs w:val="18"/>
                          </w:rPr>
                          <w:br/>
                        </w:r>
                        <w:r w:rsidR="002B3834" w:rsidRPr="002B3834">
                          <w:rPr>
                            <w:sz w:val="18"/>
                            <w:szCs w:val="18"/>
                          </w:rPr>
                          <w:t>b.h.chang@lancaster.ac.uk</w:t>
                        </w:r>
                      </w:p>
                      <w:p w14:paraId="4D2606F0" w14:textId="21A768BC" w:rsidR="00127B50" w:rsidRDefault="00127B50" w:rsidP="00127B50">
                        <w:pPr>
                          <w:rPr>
                            <w:sz w:val="18"/>
                            <w:szCs w:val="18"/>
                          </w:rPr>
                        </w:pPr>
                      </w:p>
                      <w:p w14:paraId="2E69C299" w14:textId="01137231" w:rsidR="00127B50" w:rsidRDefault="00FE68A0" w:rsidP="00127B50">
                        <w:pPr>
                          <w:rPr>
                            <w:sz w:val="18"/>
                            <w:szCs w:val="18"/>
                          </w:rPr>
                        </w:pPr>
                        <w:r w:rsidRPr="00FE68A0">
                          <w:rPr>
                            <w:sz w:val="18"/>
                            <w:szCs w:val="18"/>
                          </w:rPr>
                          <w:t xml:space="preserve">George </w:t>
                        </w:r>
                        <w:proofErr w:type="spellStart"/>
                        <w:r w:rsidRPr="00FE68A0">
                          <w:rPr>
                            <w:sz w:val="18"/>
                            <w:szCs w:val="18"/>
                          </w:rPr>
                          <w:t>Coman</w:t>
                        </w:r>
                        <w:proofErr w:type="spellEnd"/>
                        <w:r w:rsidR="00127B50" w:rsidRPr="00F847A6">
                          <w:rPr>
                            <w:sz w:val="18"/>
                            <w:szCs w:val="18"/>
                          </w:rPr>
                          <w:br/>
                        </w:r>
                        <w:r w:rsidR="0031460C" w:rsidRPr="00652154">
                          <w:rPr>
                            <w:i/>
                            <w:iCs/>
                            <w:sz w:val="18"/>
                            <w:szCs w:val="18"/>
                          </w:rPr>
                          <w:t>School of Computing and Communications</w:t>
                        </w:r>
                        <w:r w:rsidR="00127B50" w:rsidRPr="00652154">
                          <w:rPr>
                            <w:i/>
                            <w:iCs/>
                            <w:sz w:val="18"/>
                            <w:szCs w:val="18"/>
                          </w:rPr>
                          <w:br/>
                        </w:r>
                        <w:r w:rsidR="0031460C" w:rsidRPr="00652154">
                          <w:rPr>
                            <w:i/>
                            <w:iCs/>
                            <w:sz w:val="18"/>
                            <w:szCs w:val="18"/>
                          </w:rPr>
                          <w:t>Lancaster University</w:t>
                        </w:r>
                        <w:r w:rsidR="00127B50" w:rsidRPr="00F847A6">
                          <w:rPr>
                            <w:i/>
                            <w:sz w:val="18"/>
                            <w:szCs w:val="18"/>
                          </w:rPr>
                          <w:br/>
                        </w:r>
                        <w:r w:rsidR="00A651D7">
                          <w:rPr>
                            <w:sz w:val="18"/>
                            <w:szCs w:val="18"/>
                          </w:rPr>
                          <w:t>Lancaster, United Kingdom</w:t>
                        </w:r>
                        <w:r w:rsidR="00127B50" w:rsidRPr="00F847A6">
                          <w:rPr>
                            <w:sz w:val="18"/>
                            <w:szCs w:val="18"/>
                          </w:rPr>
                          <w:br/>
                        </w:r>
                        <w:r w:rsidR="00450466" w:rsidRPr="00450466">
                          <w:rPr>
                            <w:sz w:val="18"/>
                            <w:szCs w:val="18"/>
                          </w:rPr>
                          <w:t>j.coman@lancaster.ac.uk</w:t>
                        </w:r>
                      </w:p>
                      <w:p w14:paraId="3F102DB1" w14:textId="6AB5C3B4" w:rsidR="00127B50" w:rsidRDefault="00127B50" w:rsidP="00127B50">
                        <w:pPr>
                          <w:rPr>
                            <w:sz w:val="18"/>
                            <w:szCs w:val="18"/>
                          </w:rPr>
                        </w:pPr>
                      </w:p>
                      <w:p w14:paraId="5A21B984" w14:textId="496DF81F" w:rsidR="00127B50" w:rsidRDefault="00C37BBB" w:rsidP="00127B50">
                        <w:r w:rsidRPr="00C37BBB">
                          <w:rPr>
                            <w:sz w:val="18"/>
                            <w:szCs w:val="18"/>
                          </w:rPr>
                          <w:t>Christopher Clarke</w:t>
                        </w:r>
                        <w:r w:rsidR="00127B50" w:rsidRPr="00F847A6">
                          <w:rPr>
                            <w:sz w:val="18"/>
                            <w:szCs w:val="18"/>
                          </w:rPr>
                          <w:br/>
                        </w:r>
                        <w:r w:rsidR="0031460C" w:rsidRPr="00BE30DD">
                          <w:rPr>
                            <w:i/>
                            <w:iCs/>
                            <w:sz w:val="18"/>
                            <w:szCs w:val="18"/>
                          </w:rPr>
                          <w:t>School of Computing and Communications</w:t>
                        </w:r>
                        <w:r w:rsidR="00127B50" w:rsidRPr="00BE30DD">
                          <w:rPr>
                            <w:i/>
                            <w:iCs/>
                            <w:sz w:val="18"/>
                            <w:szCs w:val="18"/>
                          </w:rPr>
                          <w:br/>
                        </w:r>
                        <w:r w:rsidR="0031460C" w:rsidRPr="00BE30DD">
                          <w:rPr>
                            <w:i/>
                            <w:iCs/>
                            <w:sz w:val="18"/>
                            <w:szCs w:val="18"/>
                          </w:rPr>
                          <w:t>Lancaster University</w:t>
                        </w:r>
                        <w:r w:rsidR="00127B50" w:rsidRPr="00F847A6">
                          <w:rPr>
                            <w:i/>
                            <w:sz w:val="18"/>
                            <w:szCs w:val="18"/>
                          </w:rPr>
                          <w:br/>
                        </w:r>
                        <w:r w:rsidR="00A651D7">
                          <w:rPr>
                            <w:sz w:val="18"/>
                            <w:szCs w:val="18"/>
                          </w:rPr>
                          <w:t>Lancaster, United Kingdom</w:t>
                        </w:r>
                        <w:r w:rsidR="00127B50" w:rsidRPr="00F847A6">
                          <w:rPr>
                            <w:sz w:val="18"/>
                            <w:szCs w:val="18"/>
                          </w:rPr>
                          <w:br/>
                        </w:r>
                        <w:r w:rsidR="001815EC" w:rsidRPr="001815EC">
                          <w:rPr>
                            <w:sz w:val="18"/>
                            <w:szCs w:val="18"/>
                          </w:rPr>
                          <w:t>0000-0003-3916-7708</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Pr>
          <w:noProof/>
        </w:rPr>
        <w:drawing>
          <wp:anchor distT="45720" distB="45720" distL="114300" distR="114300" simplePos="0" relativeHeight="251662337" behindDoc="0" locked="0" layoutInCell="1" allowOverlap="1" wp14:anchorId="34D8399A" wp14:editId="1923B402">
            <wp:simplePos x="0" y="0"/>
            <wp:positionH relativeFrom="margin">
              <wp:align>left</wp:align>
            </wp:positionH>
            <wp:positionV relativeFrom="paragraph">
              <wp:posOffset>151130</wp:posOffset>
            </wp:positionV>
            <wp:extent cx="1645920" cy="2763520"/>
            <wp:effectExtent l="0" t="0" r="0" b="0"/>
            <wp:wrapSquare wrapText="bothSides"/>
            <wp:docPr id="8"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645920" cy="2763672"/>
                    </a:xfrm>
                    <a:prstGeom prst="rect">
                      <a:avLst/>
                    </a:prstGeom>
                    <a:solidFill>
                      <a:srgbClr val="FFFFFF"/>
                    </a:solidFill>
                    <a:ln w="9525">
                      <a:noFill/>
                      <a:miter lim="800%"/>
                      <a:headEnd/>
                      <a:tailEnd/>
                    </a:ln>
                  </wp:spPr>
                  <wp:txbx>
                    <wne:txbxContent>
                      <w:p w14:paraId="3D69D695" w14:textId="610E4A50" w:rsidR="00233B11" w:rsidRDefault="00616B04">
                        <w:pPr>
                          <w:rPr>
                            <w:sz w:val="18"/>
                            <w:szCs w:val="18"/>
                          </w:rPr>
                        </w:pPr>
                        <w:r>
                          <w:rPr>
                            <w:sz w:val="18"/>
                            <w:szCs w:val="18"/>
                          </w:rPr>
                          <w:t>Robert Sims</w:t>
                        </w:r>
                        <w:r w:rsidR="00127B50" w:rsidRPr="00F847A6">
                          <w:rPr>
                            <w:sz w:val="18"/>
                            <w:szCs w:val="18"/>
                          </w:rPr>
                          <w:t xml:space="preserve"> </w:t>
                        </w:r>
                        <w:r w:rsidR="00127B50" w:rsidRPr="00F847A6">
                          <w:rPr>
                            <w:sz w:val="18"/>
                            <w:szCs w:val="18"/>
                          </w:rPr>
                          <w:br/>
                        </w:r>
                        <w:r w:rsidR="0031460C" w:rsidRPr="00652154">
                          <w:rPr>
                            <w:i/>
                            <w:iCs/>
                            <w:sz w:val="18"/>
                            <w:szCs w:val="18"/>
                          </w:rPr>
                          <w:t>School of Computing and Communications</w:t>
                        </w:r>
                        <w:r w:rsidR="00127B50" w:rsidRPr="00652154">
                          <w:rPr>
                            <w:i/>
                            <w:iCs/>
                            <w:sz w:val="18"/>
                            <w:szCs w:val="18"/>
                          </w:rPr>
                          <w:br/>
                        </w:r>
                        <w:r w:rsidR="0031460C" w:rsidRPr="00652154">
                          <w:rPr>
                            <w:i/>
                            <w:iCs/>
                            <w:sz w:val="18"/>
                            <w:szCs w:val="18"/>
                          </w:rPr>
                          <w:t>Lancaster University</w:t>
                        </w:r>
                        <w:r w:rsidR="00127B50" w:rsidRPr="00F847A6">
                          <w:rPr>
                            <w:i/>
                            <w:sz w:val="18"/>
                            <w:szCs w:val="18"/>
                          </w:rPr>
                          <w:br/>
                        </w:r>
                        <w:r w:rsidR="00A651D7">
                          <w:rPr>
                            <w:sz w:val="18"/>
                            <w:szCs w:val="18"/>
                          </w:rPr>
                          <w:t>Lancaster, United Kingdom</w:t>
                        </w:r>
                        <w:r w:rsidR="00127B50" w:rsidRPr="00F847A6">
                          <w:rPr>
                            <w:sz w:val="18"/>
                            <w:szCs w:val="18"/>
                          </w:rPr>
                          <w:br/>
                        </w:r>
                        <w:r w:rsidR="00652154" w:rsidRPr="00652154">
                          <w:rPr>
                            <w:sz w:val="18"/>
                            <w:szCs w:val="18"/>
                          </w:rPr>
                          <w:t>0000-0002-2387-4451</w:t>
                        </w:r>
                      </w:p>
                      <w:p w14:paraId="5D21503F" w14:textId="37284311" w:rsidR="00127B50" w:rsidRDefault="00127B50"/>
                      <w:p w14:paraId="1EA1A3B1" w14:textId="416B17D7" w:rsidR="00127B50" w:rsidRDefault="00B25027">
                        <w:r w:rsidRPr="00B25027">
                          <w:rPr>
                            <w:sz w:val="18"/>
                            <w:szCs w:val="18"/>
                          </w:rPr>
                          <w:t>Abdalslam Aboubakar</w:t>
                        </w:r>
                        <w:r w:rsidR="00127B50" w:rsidRPr="00F847A6">
                          <w:rPr>
                            <w:sz w:val="18"/>
                            <w:szCs w:val="18"/>
                          </w:rPr>
                          <w:br/>
                        </w:r>
                        <w:r w:rsidR="0031460C" w:rsidRPr="00652154">
                          <w:rPr>
                            <w:i/>
                            <w:iCs/>
                            <w:sz w:val="18"/>
                            <w:szCs w:val="18"/>
                          </w:rPr>
                          <w:t>School of Computing and Communications</w:t>
                        </w:r>
                        <w:r w:rsidR="00127B50" w:rsidRPr="00652154">
                          <w:rPr>
                            <w:i/>
                            <w:iCs/>
                            <w:sz w:val="18"/>
                            <w:szCs w:val="18"/>
                          </w:rPr>
                          <w:br/>
                        </w:r>
                        <w:r w:rsidR="0031460C" w:rsidRPr="00652154">
                          <w:rPr>
                            <w:i/>
                            <w:iCs/>
                            <w:sz w:val="18"/>
                            <w:szCs w:val="18"/>
                          </w:rPr>
                          <w:t>Lancaster University</w:t>
                        </w:r>
                        <w:r w:rsidR="00127B50" w:rsidRPr="00F847A6">
                          <w:rPr>
                            <w:i/>
                            <w:sz w:val="18"/>
                            <w:szCs w:val="18"/>
                          </w:rPr>
                          <w:br/>
                        </w:r>
                        <w:r w:rsidR="00A651D7">
                          <w:rPr>
                            <w:sz w:val="18"/>
                            <w:szCs w:val="18"/>
                          </w:rPr>
                          <w:t>Lancaster, United Kingdom</w:t>
                        </w:r>
                        <w:r w:rsidR="00127B50" w:rsidRPr="00F847A6">
                          <w:rPr>
                            <w:sz w:val="18"/>
                            <w:szCs w:val="18"/>
                          </w:rPr>
                          <w:br/>
                        </w:r>
                        <w:r w:rsidR="00EE20B1" w:rsidRPr="00EE20B1">
                          <w:rPr>
                            <w:sz w:val="18"/>
                            <w:szCs w:val="18"/>
                          </w:rPr>
                          <w:t>a.aboubakar@lancaster.ac.uk</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Pr>
          <w:noProof/>
        </w:rPr>
        <w:drawing>
          <wp:anchor distT="45720" distB="45720" distL="114300" distR="114300" simplePos="0" relativeHeight="251666433" behindDoc="0" locked="0" layoutInCell="1" allowOverlap="1" wp14:anchorId="361CDBD0" wp14:editId="582E324B">
            <wp:simplePos x="0" y="0"/>
            <wp:positionH relativeFrom="column">
              <wp:posOffset>3329305</wp:posOffset>
            </wp:positionH>
            <wp:positionV relativeFrom="paragraph">
              <wp:posOffset>144145</wp:posOffset>
            </wp:positionV>
            <wp:extent cx="1644015" cy="2722245"/>
            <wp:effectExtent l="0" t="0" r="0" b="1905"/>
            <wp:wrapSquare wrapText="bothSides"/>
            <wp:docPr id="15"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644015" cy="2722245"/>
                    </a:xfrm>
                    <a:prstGeom prst="rect">
                      <a:avLst/>
                    </a:prstGeom>
                    <a:solidFill>
                      <a:srgbClr val="FFFFFF"/>
                    </a:solidFill>
                    <a:ln w="9525">
                      <a:noFill/>
                      <a:miter lim="800%"/>
                      <a:headEnd/>
                      <a:tailEnd/>
                    </a:ln>
                  </wp:spPr>
                  <wp:txbx>
                    <wne:txbxContent>
                      <w:p w14:paraId="6A60A311" w14:textId="1340A337" w:rsidR="00233B11" w:rsidRDefault="00616B04" w:rsidP="00233B11">
                        <w:pPr>
                          <w:rPr>
                            <w:sz w:val="18"/>
                            <w:szCs w:val="18"/>
                          </w:rPr>
                        </w:pPr>
                        <w:r>
                          <w:rPr>
                            <w:sz w:val="18"/>
                            <w:szCs w:val="18"/>
                          </w:rPr>
                          <w:t>Verity Bennet</w:t>
                        </w:r>
                        <w:r w:rsidR="00B25027">
                          <w:rPr>
                            <w:sz w:val="18"/>
                            <w:szCs w:val="18"/>
                          </w:rPr>
                          <w:t>t</w:t>
                        </w:r>
                        <w:r w:rsidR="00127B50" w:rsidRPr="00F847A6">
                          <w:rPr>
                            <w:sz w:val="18"/>
                            <w:szCs w:val="18"/>
                          </w:rPr>
                          <w:br/>
                        </w:r>
                        <w:r w:rsidR="0031460C" w:rsidRPr="00652154">
                          <w:rPr>
                            <w:i/>
                            <w:iCs/>
                            <w:sz w:val="18"/>
                            <w:szCs w:val="18"/>
                          </w:rPr>
                          <w:t>School of Computing and Communications</w:t>
                        </w:r>
                        <w:r w:rsidR="00127B50" w:rsidRPr="00652154">
                          <w:rPr>
                            <w:i/>
                            <w:iCs/>
                            <w:sz w:val="18"/>
                            <w:szCs w:val="18"/>
                          </w:rPr>
                          <w:br/>
                        </w:r>
                        <w:r w:rsidR="0031460C" w:rsidRPr="00652154">
                          <w:rPr>
                            <w:i/>
                            <w:iCs/>
                            <w:sz w:val="18"/>
                            <w:szCs w:val="18"/>
                          </w:rPr>
                          <w:t>Lancaster University</w:t>
                        </w:r>
                        <w:r w:rsidR="00127B50" w:rsidRPr="00F847A6">
                          <w:rPr>
                            <w:i/>
                            <w:sz w:val="18"/>
                            <w:szCs w:val="18"/>
                          </w:rPr>
                          <w:br/>
                        </w:r>
                        <w:r w:rsidR="00A651D7">
                          <w:rPr>
                            <w:sz w:val="18"/>
                            <w:szCs w:val="18"/>
                          </w:rPr>
                          <w:t>Lancaster, United Kingdom</w:t>
                        </w:r>
                        <w:r w:rsidR="00127B50" w:rsidRPr="00F847A6">
                          <w:rPr>
                            <w:sz w:val="18"/>
                            <w:szCs w:val="18"/>
                          </w:rPr>
                          <w:br/>
                        </w:r>
                        <w:r w:rsidR="00796482" w:rsidRPr="00796482">
                          <w:rPr>
                            <w:sz w:val="18"/>
                            <w:szCs w:val="18"/>
                          </w:rPr>
                          <w:t>v.bennett@lancaster.ac.uk</w:t>
                        </w:r>
                      </w:p>
                      <w:p w14:paraId="123AF4E7" w14:textId="7AD20B92" w:rsidR="00127B50" w:rsidRDefault="00127B50" w:rsidP="00233B11">
                        <w:pPr>
                          <w:rPr>
                            <w:sz w:val="18"/>
                            <w:szCs w:val="18"/>
                          </w:rPr>
                        </w:pPr>
                      </w:p>
                      <w:p w14:paraId="6712CF15" w14:textId="393C1E1F" w:rsidR="00127B50" w:rsidRDefault="00FE68A0" w:rsidP="00233B11">
                        <w:pPr>
                          <w:rPr>
                            <w:sz w:val="18"/>
                            <w:szCs w:val="18"/>
                          </w:rPr>
                        </w:pPr>
                        <w:r w:rsidRPr="00FE68A0">
                          <w:rPr>
                            <w:sz w:val="18"/>
                            <w:szCs w:val="18"/>
                          </w:rPr>
                          <w:t xml:space="preserve">Abdulrazak </w:t>
                        </w:r>
                        <w:proofErr w:type="spellStart"/>
                        <w:r w:rsidRPr="00FE68A0">
                          <w:rPr>
                            <w:sz w:val="18"/>
                            <w:szCs w:val="18"/>
                          </w:rPr>
                          <w:t>Bahrami</w:t>
                        </w:r>
                        <w:proofErr w:type="spellEnd"/>
                        <w:r w:rsidR="00127B50" w:rsidRPr="00F847A6">
                          <w:rPr>
                            <w:sz w:val="18"/>
                            <w:szCs w:val="18"/>
                          </w:rPr>
                          <w:br/>
                        </w:r>
                        <w:r w:rsidR="0031460C" w:rsidRPr="00652154">
                          <w:rPr>
                            <w:i/>
                            <w:iCs/>
                            <w:sz w:val="18"/>
                            <w:szCs w:val="18"/>
                          </w:rPr>
                          <w:t>School of Computing and Communications</w:t>
                        </w:r>
                        <w:r w:rsidR="00127B50" w:rsidRPr="00652154">
                          <w:rPr>
                            <w:i/>
                            <w:iCs/>
                            <w:sz w:val="18"/>
                            <w:szCs w:val="18"/>
                          </w:rPr>
                          <w:br/>
                        </w:r>
                        <w:r w:rsidR="0031460C" w:rsidRPr="00652154">
                          <w:rPr>
                            <w:i/>
                            <w:iCs/>
                            <w:sz w:val="18"/>
                            <w:szCs w:val="18"/>
                          </w:rPr>
                          <w:t>Lancaster University</w:t>
                        </w:r>
                        <w:r w:rsidR="00127B50" w:rsidRPr="00F847A6">
                          <w:rPr>
                            <w:i/>
                            <w:sz w:val="18"/>
                            <w:szCs w:val="18"/>
                          </w:rPr>
                          <w:br/>
                        </w:r>
                        <w:r w:rsidR="00A651D7">
                          <w:rPr>
                            <w:sz w:val="18"/>
                            <w:szCs w:val="18"/>
                          </w:rPr>
                          <w:t>Lancaster, United Kingdom</w:t>
                        </w:r>
                        <w:r w:rsidR="00127B50" w:rsidRPr="00F847A6">
                          <w:rPr>
                            <w:sz w:val="18"/>
                            <w:szCs w:val="18"/>
                          </w:rPr>
                          <w:br/>
                        </w:r>
                        <w:r w:rsidR="00EB7D10" w:rsidRPr="00EB7D10">
                          <w:rPr>
                            <w:sz w:val="18"/>
                            <w:szCs w:val="18"/>
                          </w:rPr>
                          <w:t>a.bahrami@lancaster.ac.uk</w:t>
                        </w:r>
                      </w:p>
                      <w:p w14:paraId="2FB83625" w14:textId="490205FA" w:rsidR="00127B50" w:rsidRDefault="00127B50" w:rsidP="00233B11">
                        <w:pPr>
                          <w:rPr>
                            <w:sz w:val="18"/>
                            <w:szCs w:val="18"/>
                          </w:rPr>
                        </w:pPr>
                      </w:p>
                      <w:p w14:paraId="6DAC2E2B" w14:textId="7DA7EB92" w:rsidR="00127B50" w:rsidRDefault="00C37BBB" w:rsidP="00233B11">
                        <w:r w:rsidRPr="00C37BBB">
                          <w:rPr>
                            <w:sz w:val="18"/>
                            <w:szCs w:val="18"/>
                          </w:rPr>
                          <w:t>Abhijit Karnik</w:t>
                        </w:r>
                        <w:r w:rsidR="00127B50" w:rsidRPr="00F847A6">
                          <w:rPr>
                            <w:sz w:val="18"/>
                            <w:szCs w:val="18"/>
                          </w:rPr>
                          <w:br/>
                        </w:r>
                        <w:r w:rsidR="00C030F5" w:rsidRPr="00BE30DD">
                          <w:rPr>
                            <w:i/>
                            <w:iCs/>
                            <w:sz w:val="18"/>
                            <w:szCs w:val="18"/>
                          </w:rPr>
                          <w:t>Department of Computer Science</w:t>
                        </w:r>
                        <w:r w:rsidR="00127B50" w:rsidRPr="00BE30DD">
                          <w:rPr>
                            <w:i/>
                            <w:iCs/>
                            <w:sz w:val="18"/>
                            <w:szCs w:val="18"/>
                          </w:rPr>
                          <w:br/>
                        </w:r>
                        <w:r w:rsidR="00040BDF" w:rsidRPr="00BE30DD">
                          <w:rPr>
                            <w:i/>
                            <w:iCs/>
                            <w:sz w:val="18"/>
                            <w:szCs w:val="18"/>
                          </w:rPr>
                          <w:t>Bath University</w:t>
                        </w:r>
                        <w:r w:rsidR="00127B50" w:rsidRPr="00F847A6">
                          <w:rPr>
                            <w:i/>
                            <w:sz w:val="18"/>
                            <w:szCs w:val="18"/>
                          </w:rPr>
                          <w:br/>
                        </w:r>
                        <w:r w:rsidR="00A651D7">
                          <w:rPr>
                            <w:sz w:val="18"/>
                            <w:szCs w:val="18"/>
                          </w:rPr>
                          <w:t>Bath, United Kingdom</w:t>
                        </w:r>
                        <w:r w:rsidR="00127B50" w:rsidRPr="00F847A6">
                          <w:rPr>
                            <w:sz w:val="18"/>
                            <w:szCs w:val="18"/>
                          </w:rPr>
                          <w:br/>
                        </w:r>
                        <w:r w:rsidR="00BA0046" w:rsidRPr="00BA0046">
                          <w:rPr>
                            <w:sz w:val="18"/>
                            <w:szCs w:val="18"/>
                          </w:rPr>
                          <w:t>0000-0002-3482-1654</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Pr>
          <w:noProof/>
        </w:rPr>
        <w:drawing>
          <wp:anchor distT="45720" distB="45720" distL="114300" distR="114300" simplePos="0" relativeHeight="251664385" behindDoc="0" locked="0" layoutInCell="1" allowOverlap="1" wp14:anchorId="57A1DAF1" wp14:editId="3E847DE4">
            <wp:simplePos x="0" y="0"/>
            <wp:positionH relativeFrom="column">
              <wp:posOffset>4987290</wp:posOffset>
            </wp:positionH>
            <wp:positionV relativeFrom="paragraph">
              <wp:posOffset>151130</wp:posOffset>
            </wp:positionV>
            <wp:extent cx="1644015" cy="2674620"/>
            <wp:effectExtent l="0" t="0" r="0" b="0"/>
            <wp:wrapSquare wrapText="bothSides"/>
            <wp:docPr id="14"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644015" cy="2674620"/>
                    </a:xfrm>
                    <a:prstGeom prst="rect">
                      <a:avLst/>
                    </a:prstGeom>
                    <a:solidFill>
                      <a:srgbClr val="FFFFFF"/>
                    </a:solidFill>
                    <a:ln w="9525">
                      <a:noFill/>
                      <a:miter lim="800%"/>
                      <a:headEnd/>
                      <a:tailEnd/>
                    </a:ln>
                  </wp:spPr>
                  <wp:txbx>
                    <wne:txbxContent>
                      <w:p w14:paraId="333A8726" w14:textId="64591D45" w:rsidR="00233B11" w:rsidRDefault="00B25027" w:rsidP="00233B11">
                        <w:pPr>
                          <w:rPr>
                            <w:sz w:val="18"/>
                            <w:szCs w:val="18"/>
                          </w:rPr>
                        </w:pPr>
                        <w:proofErr w:type="spellStart"/>
                        <w:r>
                          <w:rPr>
                            <w:sz w:val="18"/>
                            <w:szCs w:val="18"/>
                          </w:rPr>
                          <w:t>Advaith</w:t>
                        </w:r>
                        <w:proofErr w:type="spellEnd"/>
                        <w:r>
                          <w:rPr>
                            <w:sz w:val="18"/>
                            <w:szCs w:val="18"/>
                          </w:rPr>
                          <w:t xml:space="preserve"> Krishnan</w:t>
                        </w:r>
                        <w:r w:rsidR="00127B50" w:rsidRPr="00F847A6">
                          <w:rPr>
                            <w:sz w:val="18"/>
                            <w:szCs w:val="18"/>
                          </w:rPr>
                          <w:t xml:space="preserve"> </w:t>
                        </w:r>
                        <w:r w:rsidR="00127B50" w:rsidRPr="00F847A6">
                          <w:rPr>
                            <w:sz w:val="18"/>
                            <w:szCs w:val="18"/>
                          </w:rPr>
                          <w:br/>
                        </w:r>
                        <w:r w:rsidR="0031460C" w:rsidRPr="00652154">
                          <w:rPr>
                            <w:i/>
                            <w:iCs/>
                            <w:sz w:val="18"/>
                            <w:szCs w:val="18"/>
                          </w:rPr>
                          <w:t>School of Computing and Communications</w:t>
                        </w:r>
                        <w:r w:rsidR="00127B50" w:rsidRPr="00652154">
                          <w:rPr>
                            <w:i/>
                            <w:iCs/>
                            <w:sz w:val="18"/>
                            <w:szCs w:val="18"/>
                          </w:rPr>
                          <w:br/>
                        </w:r>
                        <w:r w:rsidR="0031460C" w:rsidRPr="00652154">
                          <w:rPr>
                            <w:i/>
                            <w:iCs/>
                            <w:sz w:val="18"/>
                            <w:szCs w:val="18"/>
                          </w:rPr>
                          <w:t>Lancaster University</w:t>
                        </w:r>
                        <w:r w:rsidR="00127B50" w:rsidRPr="00F847A6">
                          <w:rPr>
                            <w:i/>
                            <w:sz w:val="18"/>
                            <w:szCs w:val="18"/>
                          </w:rPr>
                          <w:br/>
                        </w:r>
                        <w:r w:rsidR="00A651D7">
                          <w:rPr>
                            <w:sz w:val="18"/>
                            <w:szCs w:val="18"/>
                          </w:rPr>
                          <w:t>Lancaster, United Kingdom</w:t>
                        </w:r>
                        <w:r w:rsidR="00127B50" w:rsidRPr="00F847A6">
                          <w:rPr>
                            <w:sz w:val="18"/>
                            <w:szCs w:val="18"/>
                          </w:rPr>
                          <w:br/>
                        </w:r>
                        <w:r w:rsidR="00EE20B1" w:rsidRPr="00EE20B1">
                          <w:rPr>
                            <w:sz w:val="18"/>
                            <w:szCs w:val="18"/>
                          </w:rPr>
                          <w:t>a.krishnan1@lancaster.ac.uk</w:t>
                        </w:r>
                      </w:p>
                      <w:p w14:paraId="55B63E40" w14:textId="4B7EF30B" w:rsidR="00127B50" w:rsidRDefault="00127B50" w:rsidP="00233B11">
                        <w:pPr>
                          <w:rPr>
                            <w:sz w:val="18"/>
                            <w:szCs w:val="18"/>
                          </w:rPr>
                        </w:pPr>
                      </w:p>
                      <w:p w14:paraId="603EC602" w14:textId="1EA0D448" w:rsidR="00127B50" w:rsidRDefault="00FE68A0" w:rsidP="00233B11">
                        <w:proofErr w:type="spellStart"/>
                        <w:r w:rsidRPr="00FE68A0">
                          <w:rPr>
                            <w:sz w:val="18"/>
                            <w:szCs w:val="18"/>
                          </w:rPr>
                          <w:t>Zehao</w:t>
                        </w:r>
                        <w:proofErr w:type="spellEnd"/>
                        <w:r w:rsidRPr="00FE68A0">
                          <w:rPr>
                            <w:sz w:val="18"/>
                            <w:szCs w:val="18"/>
                          </w:rPr>
                          <w:t xml:space="preserve"> Huang</w:t>
                        </w:r>
                        <w:r w:rsidR="00127B50" w:rsidRPr="00F847A6">
                          <w:rPr>
                            <w:sz w:val="18"/>
                            <w:szCs w:val="18"/>
                          </w:rPr>
                          <w:br/>
                        </w:r>
                        <w:r w:rsidR="0031460C" w:rsidRPr="00652154">
                          <w:rPr>
                            <w:i/>
                            <w:iCs/>
                            <w:sz w:val="18"/>
                            <w:szCs w:val="18"/>
                          </w:rPr>
                          <w:t>School of Computing and Communications</w:t>
                        </w:r>
                        <w:r w:rsidR="00127B50" w:rsidRPr="00652154">
                          <w:rPr>
                            <w:i/>
                            <w:iCs/>
                            <w:sz w:val="18"/>
                            <w:szCs w:val="18"/>
                          </w:rPr>
                          <w:br/>
                        </w:r>
                        <w:r w:rsidR="0031460C" w:rsidRPr="00652154">
                          <w:rPr>
                            <w:i/>
                            <w:iCs/>
                            <w:sz w:val="18"/>
                            <w:szCs w:val="18"/>
                          </w:rPr>
                          <w:t>Lancaster University</w:t>
                        </w:r>
                        <w:r w:rsidR="00127B50" w:rsidRPr="00F847A6">
                          <w:rPr>
                            <w:i/>
                            <w:sz w:val="18"/>
                            <w:szCs w:val="18"/>
                          </w:rPr>
                          <w:br/>
                        </w:r>
                        <w:r w:rsidR="00A651D7">
                          <w:rPr>
                            <w:sz w:val="18"/>
                            <w:szCs w:val="18"/>
                          </w:rPr>
                          <w:t>Lancaster, United Kingdom</w:t>
                        </w:r>
                        <w:r w:rsidR="00127B50" w:rsidRPr="00F847A6">
                          <w:rPr>
                            <w:sz w:val="18"/>
                            <w:szCs w:val="18"/>
                          </w:rPr>
                          <w:br/>
                        </w:r>
                        <w:r w:rsidR="00EB7D10" w:rsidRPr="00EB7D10">
                          <w:rPr>
                            <w:sz w:val="18"/>
                            <w:szCs w:val="18"/>
                          </w:rPr>
                          <w:t>z.huang25@lancaster.ac.uk</w:t>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0C3B1EBF" w14:textId="4900038C" w:rsidR="004D72B5" w:rsidRPr="00346718" w:rsidRDefault="009303D9" w:rsidP="00346718">
      <w:pPr>
        <w:pStyle w:val="Abstract"/>
      </w:pPr>
      <w:r w:rsidRPr="00346718">
        <w:t>Abstract—</w:t>
      </w:r>
      <w:r w:rsidR="005B61DC" w:rsidRPr="00346718">
        <w:t xml:space="preserve">Virtual Reality (VR) </w:t>
      </w:r>
      <w:r w:rsidR="007D58C9">
        <w:t xml:space="preserve">can </w:t>
      </w:r>
      <w:r w:rsidR="005B61DC" w:rsidRPr="00346718">
        <w:t>mediate</w:t>
      </w:r>
      <w:r w:rsidR="007D58C9">
        <w:t xml:space="preserve"> </w:t>
      </w:r>
      <w:r w:rsidR="005B61DC" w:rsidRPr="00346718">
        <w:t xml:space="preserve">remote collaborative </w:t>
      </w:r>
      <w:r w:rsidR="007D58C9">
        <w:t>learning</w:t>
      </w:r>
      <w:r w:rsidR="005B61DC" w:rsidRPr="00346718">
        <w:t xml:space="preserve"> and can support pedagogical processes like paragogy. Within education, methods such as spaced repetition and memory palaces exist to support the cognitive process of remembering. We identify an opportunity to enhance learner-led collaborative paragogy involving these </w:t>
      </w:r>
      <w:r w:rsidR="007D58C9">
        <w:t>methods</w:t>
      </w:r>
      <w:r w:rsidR="005B61DC" w:rsidRPr="00346718">
        <w:t xml:space="preserve"> through immersive VR experiences. We present </w:t>
      </w:r>
      <w:r w:rsidR="008B3DC9" w:rsidRPr="00346718">
        <w:t>CloVR</w:t>
      </w:r>
      <w:r w:rsidR="005B61DC" w:rsidRPr="00346718">
        <w:t xml:space="preserve">, a VR-mediated collaboration-based system that supports the memory palace and spaced repetition techniques. </w:t>
      </w:r>
      <w:r w:rsidR="005E1660">
        <w:t>As an exploratory study, we aim to identify the applicability, viability and user perception for such a system</w:t>
      </w:r>
      <w:r w:rsidR="005E1660" w:rsidRPr="00346718">
        <w:t xml:space="preserve"> </w:t>
      </w:r>
      <w:r w:rsidR="005E1660">
        <w:t xml:space="preserve">combining these two techniques in VR. </w:t>
      </w:r>
      <w:r w:rsidR="008B3DC9" w:rsidRPr="00346718">
        <w:t>CloVR</w:t>
      </w:r>
      <w:r w:rsidR="005B61DC" w:rsidRPr="00346718">
        <w:t xml:space="preserve"> is a novel implementation which provides a location-driven metaphor to populate and present multiple resources related to a topic for peer-led exploration. We discuss the design and provide a prototype implementation of </w:t>
      </w:r>
      <w:r w:rsidR="008B3DC9" w:rsidRPr="00346718">
        <w:t>CloVR</w:t>
      </w:r>
      <w:r w:rsidR="005B61DC" w:rsidRPr="00346718">
        <w:t>. We conducted two studies, a targeted expert user review and a broader proof of concept surve</w:t>
      </w:r>
      <w:r w:rsidR="005E1660">
        <w:t>y</w:t>
      </w:r>
      <w:r w:rsidR="005B61DC" w:rsidRPr="00346718">
        <w:t>.</w:t>
      </w:r>
      <w:r w:rsidR="005E1660">
        <w:t xml:space="preserve"> </w:t>
      </w:r>
      <w:r w:rsidR="005B61DC" w:rsidRPr="00346718">
        <w:t>The results of the studies show interesting outcomes, with the system described as 'engaging', 'useful' and 'fun'. Our findings provide insights to the potential of using Virtual Reality Learning Environments (VRLE) geared towards</w:t>
      </w:r>
      <w:r w:rsidR="007D58C9">
        <w:t xml:space="preserve"> collaborative</w:t>
      </w:r>
      <w:r w:rsidR="005B61DC" w:rsidRPr="00346718">
        <w:t xml:space="preserve"> learner-led activities.</w:t>
      </w:r>
      <w:r w:rsidR="001A42EA" w:rsidRPr="00346718">
        <w:t xml:space="preserve"> </w:t>
      </w:r>
    </w:p>
    <w:p w14:paraId="53174FF1" w14:textId="415B8581" w:rsidR="009303D9" w:rsidRPr="004D72B5" w:rsidRDefault="00056365" w:rsidP="00972203">
      <w:pPr>
        <w:pStyle w:val="Keywords"/>
      </w:pPr>
      <w:r w:rsidRPr="00B640A5">
        <w:rPr>
          <w:rFonts w:eastAsia="MS Mincho"/>
          <w:sz w:val="16"/>
          <w:szCs w:val="16"/>
          <w:lang w:val="en-AU"/>
        </w:rPr>
        <w:t>Index terms</w:t>
      </w:r>
      <w:r w:rsidR="004D72B5" w:rsidRPr="004D72B5">
        <w:t>—</w:t>
      </w:r>
      <w:r w:rsidR="00E629BE" w:rsidRPr="00E629BE">
        <w:t>Virtual Reality, Education, Method of Loci, Memory Palace, Spaced Repetition</w:t>
      </w:r>
    </w:p>
    <w:p w14:paraId="4062A020" w14:textId="54330803" w:rsidR="009303D9" w:rsidRPr="00D632BE" w:rsidRDefault="009303D9" w:rsidP="006B6B66">
      <w:pPr>
        <w:pStyle w:val="Heading1"/>
      </w:pPr>
      <w:r w:rsidRPr="00D632BE">
        <w:t xml:space="preserve">Introduction </w:t>
      </w:r>
    </w:p>
    <w:p w14:paraId="66122F21" w14:textId="56C3993F" w:rsidR="00C627C8" w:rsidRDefault="00673FEA" w:rsidP="00673FEA">
      <w:pPr>
        <w:pStyle w:val="BodyText"/>
        <w:rPr>
          <w:lang w:val="en-GB"/>
        </w:rPr>
      </w:pPr>
      <w:r w:rsidRPr="001E16D4">
        <w:t>Technology-mediated pedagogy is an actively growing area.</w:t>
      </w:r>
      <w:r w:rsidR="00D24F92">
        <w:rPr>
          <w:lang w:val="en-GB"/>
        </w:rPr>
        <w:t xml:space="preserve"> </w:t>
      </w:r>
      <w:proofErr w:type="spellStart"/>
      <w:r w:rsidR="00D24F92">
        <w:rPr>
          <w:lang w:val="en-GB"/>
        </w:rPr>
        <w:t>T</w:t>
      </w:r>
      <w:r w:rsidR="00D24F92" w:rsidRPr="001E16D4">
        <w:t>he</w:t>
      </w:r>
      <w:proofErr w:type="spellEnd"/>
      <w:r w:rsidRPr="001E16D4">
        <w:t xml:space="preserve"> </w:t>
      </w:r>
      <w:r w:rsidR="00D24F92">
        <w:rPr>
          <w:lang w:val="en-GB"/>
        </w:rPr>
        <w:t>COVID-19</w:t>
      </w:r>
      <w:r w:rsidRPr="001E16D4">
        <w:t xml:space="preserve"> pandemic ha</w:t>
      </w:r>
      <w:r w:rsidR="00D24F92">
        <w:rPr>
          <w:lang w:val="en-GB"/>
        </w:rPr>
        <w:t>s</w:t>
      </w:r>
      <w:r w:rsidRPr="001E16D4">
        <w:t xml:space="preserve"> put the role of technology at the forefront</w:t>
      </w:r>
      <w:r w:rsidR="00D24F92">
        <w:rPr>
          <w:lang w:val="en-GB"/>
        </w:rPr>
        <w:t xml:space="preserve"> of </w:t>
      </w:r>
      <w:r w:rsidR="00D24F92" w:rsidRPr="001E16D4">
        <w:t>education</w:t>
      </w:r>
      <w:r w:rsidRPr="001E16D4">
        <w:t xml:space="preserve"> </w:t>
      </w:r>
      <w:r w:rsidR="00D24F92">
        <w:rPr>
          <w:lang w:val="en-GB"/>
        </w:rPr>
        <w:t xml:space="preserve">and </w:t>
      </w:r>
      <w:r w:rsidRPr="001E16D4">
        <w:t xml:space="preserve">policy-makers have realized the need for seamlessly integrating technological systems to organically transform education </w:t>
      </w:r>
      <w:r w:rsidRPr="001E16D4">
        <w:fldChar w:fldCharType="begin" w:fldLock="1"/>
      </w:r>
      <w:r w:rsidRPr="001E16D4">
        <w:instrText>ADDIN CSL_CITATION {"citationItems":[{"id":"ITEM-1","itemData":{"abstract":"A strategy for education providers and the technology industry to help improve and increase the effective use of technology in education.","author":[{"dropping-particle":"","family":"UK Department for Education","given":"","non-dropping-particle":"","parse-names":false,"suffix":""}],"id":"ITEM-1","issued":{"date-parts":[["2019"]]},"page":"48","title":"Realising the potential of technology in education","type":"article-journal"},"uris":["http://www.mendeley.com/documents/?uuid=58301718-787b-41a2-b58b-25ccfa9a8877"]}],"mendeley":{"formattedCitation":"[1]","plainTextFormattedCitation":"[1]","previouslyFormattedCitation":"[1]"},"properties":{"noteIndex":0},"schema":"https://github.com/citation-style-language/schema/raw/master/csl-citation.json"}</w:instrText>
      </w:r>
      <w:r w:rsidRPr="001E16D4">
        <w:fldChar w:fldCharType="separate"/>
      </w:r>
      <w:r w:rsidRPr="001E16D4">
        <w:rPr>
          <w:noProof/>
        </w:rPr>
        <w:t>[1]</w:t>
      </w:r>
      <w:r w:rsidRPr="001E16D4">
        <w:fldChar w:fldCharType="end"/>
      </w:r>
      <w:r w:rsidRPr="001E16D4">
        <w:t xml:space="preserve">. Efficient communication and access to information at a pace determined by the learner are two roles of technology </w:t>
      </w:r>
      <w:r w:rsidR="007D58C9">
        <w:rPr>
          <w:lang w:val="en-US"/>
        </w:rPr>
        <w:t>that facilitates</w:t>
      </w:r>
      <w:r w:rsidRPr="001E16D4">
        <w:t xml:space="preserve"> a learner-centr</w:t>
      </w:r>
      <w:r w:rsidR="00876EE5">
        <w:rPr>
          <w:lang w:val="en-GB"/>
        </w:rPr>
        <w:t>ic</w:t>
      </w:r>
      <w:r w:rsidRPr="001E16D4">
        <w:t xml:space="preserve"> pedagogical model </w:t>
      </w:r>
      <w:r w:rsidRPr="001E16D4">
        <w:fldChar w:fldCharType="begin" w:fldLock="1"/>
      </w:r>
      <w:r w:rsidRPr="001E16D4">
        <w:instrText>ADDIN CSL_CITATION {"citationItems":[{"id":"ITEM-1","itemData":{"DOI":"10.1080/15391523.2016.1175856","ISSN":"1539-1523","author":[{"dropping-particle":"","family":"McKnight","given":"Katherine","non-dropping-particle":"","parse-names":false,"suffix":""},{"dropping-particle":"","family":"O'Malley","given":"Kimberly","non-dropping-particle":"","parse-names":false,"suffix":""},{"dropping-particle":"","family":"Ruzic","given":"Roxanne","non-dropping-particle":"","parse-names":false,"suffix":""},{"dropping-particle":"","family":"Horsley","given":"Maria Kelly","non-dropping-particle":"","parse-names":false,"suffix":""},{"dropping-particle":"","family":"Franey","given":"John J.","non-dropping-particle":"","parse-names":false,"suffix":""},{"dropping-particle":"","family":"Bassett","given":"Katherine","non-dropping-particle":"","parse-names":false,"suffix":""}],"container-title":"Journal of Research on Technology in Education","id":"ITEM-1","issue":"3","issued":{"date-parts":[["2016","7","2"]]},"page":"194-211","title":"Teaching in a Digital Age: How Educators Use Technology to Improve Student Learning","type":"article-journal","volume":"48"},"uris":["http://www.mendeley.com/documents/?uuid=f570e553-8caf-40b3-8026-16253fa007de"]}],"mendeley":{"formattedCitation":"[2]","plainTextFormattedCitation":"[2]","previouslyFormattedCitation":"[2]"},"properties":{"noteIndex":0},"schema":"https://github.com/citation-style-language/schema/raw/master/csl-citation.json"}</w:instrText>
      </w:r>
      <w:r w:rsidRPr="001E16D4">
        <w:fldChar w:fldCharType="separate"/>
      </w:r>
      <w:r w:rsidRPr="001E16D4">
        <w:rPr>
          <w:noProof/>
        </w:rPr>
        <w:t>[2]</w:t>
      </w:r>
      <w:r w:rsidRPr="001E16D4">
        <w:fldChar w:fldCharType="end"/>
      </w:r>
      <w:r w:rsidRPr="001E16D4">
        <w:t xml:space="preserve">. The pandemic has disrupted education and fast-tracked the adoption of remote learning. </w:t>
      </w:r>
      <w:r w:rsidR="00D24F92">
        <w:rPr>
          <w:lang w:val="en-GB"/>
        </w:rPr>
        <w:t>L</w:t>
      </w:r>
      <w:r w:rsidRPr="001E16D4">
        <w:t>earning management systems deployed by schools and universities facilitate asynchronous learning</w:t>
      </w:r>
      <w:r w:rsidR="00D24F92">
        <w:rPr>
          <w:lang w:val="en-GB"/>
        </w:rPr>
        <w:t>, allowing</w:t>
      </w:r>
      <w:r w:rsidRPr="001E16D4">
        <w:t xml:space="preserve"> learners to access information at their convenience. However, the increased reliance on these systems during remote teaching has unexpected implications, like reduced peer interaction. From a pedagogical perspective, this face-to-face interaction is central to learning </w:t>
      </w:r>
      <w:r w:rsidRPr="001E16D4">
        <w:fldChar w:fldCharType="begin" w:fldLock="1"/>
      </w:r>
      <w:r w:rsidRPr="001E16D4">
        <w:instrText>ADDIN CSL_CITATION {"citationItems":[{"id":"ITEM-1","itemData":{"DOI":"10.1037/edu0000436","ISSN":"1939-2176(Electronic),0022-0663(Print)","abstract":"Decades of research indicate that peer interaction, where individuals discuss or work on a task collaboratively, may be beneficial for children’s and adolescents’ learning. Yet, we do not know which features of interaction may be related to learning from peer interaction. This meta-analysis examined results from 62 articles with 71 studies into peer interaction, involving a total of 7,103 participants aged 4 to 18 years. Peer interaction was effective in promoting learning in comparison with other types of learning conditions, Hedges’ g = 0.40, 95% confidence interval [CI: 0.27, 0.54], p &lt; .0001, across different gender and age groups. In contrast, however, peer interaction was not more effective than child–adult dyadic interaction. Moderator analyses also indicated that peer interaction is more effective when children are specifically instructed to reach consensus than when they are not. Findings extend theoretical considerations by teasing apart the processes through which children learn from peer interactions and offer practical implications for the effective use of peer interaction techniques in the classroom. (PsycInfo Database Record (c) 2020 APA, all rights reserved)","author":[{"dropping-particle":"","family":"Tenenbaum","given":"Harriet R","non-dropping-particle":"","parse-names":false,"suffix":""},{"dropping-particle":"","family":"Winstone","given":"Naomi E","non-dropping-particle":"","parse-names":false,"suffix":""},{"dropping-particle":"","family":"Leman","given":"Patrick J","non-dropping-particle":"","parse-names":false,"suffix":""},{"dropping-particle":"","family":"Avery","given":"Rachel E","non-dropping-particle":"","parse-names":false,"suffix":""}],"container-title":"Journal of Educational Psychology","id":"ITEM-1","issue":"7","issued":{"date-parts":[["2020"]]},"page":"1303-1319","publisher":"American Psychological Association","publisher-place":"Tenenbaum, Harriet R.: School of Psychology, University of Surrey, Surrey, United Kingdom, GU2 7XH, h.tenenbaum@surrey.ac.uk","title":"How effective is peer interaction in facilitating learning? A meta-analysis.","type":"article-journal","volume":"112"},"uris":["http://www.mendeley.com/documents/?uuid=b04150c6-9a56-4962-b4bf-23a378ec2185"]}],"mendeley":{"formattedCitation":"[3]","plainTextFormattedCitation":"[3]","previouslyFormattedCitation":"[3]"},"properties":{"noteIndex":0},"schema":"https://github.com/citation-style-language/schema/raw/master/csl-citation.json"}</w:instrText>
      </w:r>
      <w:r w:rsidRPr="001E16D4">
        <w:fldChar w:fldCharType="separate"/>
      </w:r>
      <w:r w:rsidRPr="001E16D4">
        <w:rPr>
          <w:noProof/>
        </w:rPr>
        <w:t>[3]</w:t>
      </w:r>
      <w:r w:rsidRPr="001E16D4">
        <w:fldChar w:fldCharType="end"/>
      </w:r>
      <w:r w:rsidRPr="001E16D4">
        <w:t xml:space="preserve"> and </w:t>
      </w:r>
      <w:r w:rsidR="00876EE5">
        <w:rPr>
          <w:lang w:val="en-GB"/>
        </w:rPr>
        <w:t xml:space="preserve">needs to be facilitated beyond </w:t>
      </w:r>
      <w:r w:rsidRPr="006B1CC7">
        <w:t xml:space="preserve">chats and forums </w:t>
      </w:r>
      <w:r w:rsidR="00876EE5">
        <w:rPr>
          <w:lang w:val="en-GB"/>
        </w:rPr>
        <w:t xml:space="preserve">as </w:t>
      </w:r>
      <w:r w:rsidRPr="006B1CC7">
        <w:t xml:space="preserve">they have a low uptake </w:t>
      </w:r>
      <w:r>
        <w:fldChar w:fldCharType="begin" w:fldLock="1"/>
      </w:r>
      <w:r>
        <w:instrText>ADDIN CSL_CITATION {"citationItems":[{"id":"ITEM-1","itemData":{"abstract":"&amp;lt;p&amp;gt;eLearning has managed to penetrate into most classrooms nowadays and Moodle is one of wider accepted LMS. After years of its application in everyday teaching practice we were inspired to analyse the student communication and feedback habits using Moodle. In this paper, we will present the experiences and results of a questionnaire regarding Moodle and eLearning. Firstly we analyse which communications capabilities of Moodle. Additionally, we present an analysis of students’ feedback habits using Moodle regarding the grading of teachers, teaching assistants and the course in general. Finally, we also investigate student’s general opinion on eLearning and experiences with technical problem when using Moodle.&amp;lt;/p&amp;gt;","author":[{"dropping-particle":"","family":"Hölbl","given":"M","non-dropping-particle":"","parse-names":false,"suffix":""},{"dropping-particle":"","family":"Welzer","given":"T","non-dropping-particle":"","parse-names":false,"suffix":""}],"container-title":"Elektronika ir Elektrotechnika","id":"ITEM-1","issue":"6 SE  -","issued":{"date-parts":[["2010","5","26"]]},"page":"63-66","title":"Students’ Feedback and Communication Habits using Moodle","type":"article-journal","volume":"102"},"uris":["http://www.mendeley.com/documents/?uuid=76c267ab-4b93-4406-a4d3-54b7038706d9"]}],"mendeley":{"formattedCitation":"[4]","plainTextFormattedCitation":"[4]","previouslyFormattedCitation":"[4]"},"properties":{"noteIndex":0},"schema":"https://github.com/citation-style-language/schema/raw/master/csl-citation.json"}</w:instrText>
      </w:r>
      <w:r>
        <w:fldChar w:fldCharType="separate"/>
      </w:r>
      <w:r w:rsidRPr="002534BE">
        <w:rPr>
          <w:noProof/>
        </w:rPr>
        <w:t>[4]</w:t>
      </w:r>
      <w:r>
        <w:fldChar w:fldCharType="end"/>
      </w:r>
      <w:r w:rsidRPr="006B1CC7">
        <w:t xml:space="preserve">. </w:t>
      </w:r>
      <w:r w:rsidR="007D58C9">
        <w:rPr>
          <w:lang w:val="en-GB"/>
        </w:rPr>
        <w:t>For</w:t>
      </w:r>
      <w:r w:rsidR="001B6D5F">
        <w:rPr>
          <w:lang w:val="en-GB"/>
        </w:rPr>
        <w:t xml:space="preserve"> equitable access, educators need to provide the students with a system designed specifically for the purpose of peer-learning.</w:t>
      </w:r>
      <w:r w:rsidR="00C627C8">
        <w:rPr>
          <w:lang w:val="en-GB"/>
        </w:rPr>
        <w:t xml:space="preserve"> </w:t>
      </w:r>
    </w:p>
    <w:p w14:paraId="0C54E312" w14:textId="409FF386" w:rsidR="00673FEA" w:rsidRDefault="002F056F" w:rsidP="00673FEA">
      <w:pPr>
        <w:pStyle w:val="BodyText"/>
      </w:pPr>
      <w:r>
        <w:rPr>
          <w:lang w:val="en-GB"/>
        </w:rPr>
        <w:t>V</w:t>
      </w:r>
      <w:proofErr w:type="spellStart"/>
      <w:r w:rsidR="00673FEA" w:rsidRPr="0049292B">
        <w:t>irtual</w:t>
      </w:r>
      <w:proofErr w:type="spellEnd"/>
      <w:r w:rsidR="00673FEA" w:rsidRPr="0049292B">
        <w:t xml:space="preserve"> reality (VR) </w:t>
      </w:r>
      <w:r w:rsidR="00673FEA">
        <w:t>devices</w:t>
      </w:r>
      <w:r w:rsidR="00673FEA" w:rsidRPr="0049292B">
        <w:t xml:space="preserve"> </w:t>
      </w:r>
      <w:r>
        <w:rPr>
          <w:lang w:val="en-GB"/>
        </w:rPr>
        <w:t xml:space="preserve">can play </w:t>
      </w:r>
      <w:r w:rsidR="00673FEA" w:rsidRPr="0049292B">
        <w:t>a pivotal role in transforming teaching and learning through immersion</w:t>
      </w:r>
      <w:r w:rsidR="00D24F92">
        <w:rPr>
          <w:lang w:val="en-GB"/>
        </w:rPr>
        <w:t>, telepresence</w:t>
      </w:r>
      <w:r w:rsidR="00673FEA" w:rsidRPr="0049292B">
        <w:t xml:space="preserve"> and novelty </w:t>
      </w:r>
      <w:r w:rsidR="00673FEA">
        <w:fldChar w:fldCharType="begin" w:fldLock="1"/>
      </w:r>
      <w:r w:rsidR="00673FEA">
        <w:instrText>ADDIN CSL_CITATION {"citationItems":[{"id":"ITEM-1","itemData":{"DOI":"10.1109/VR.2018.8446486","ISBN":"VO  -","abstract":"Virtual Reality (VR) is believed to have a pivotal role in transforming teaching and learning in higher education. The novelty factor and full immersion in a virtual environment can undoubtedly improve students' attention. However, it is still unclear how the use of VR would impact the learning experience and outcomes with respect to knowledge acquisition. We conducted a comparative study on students' performance in a standardised assessment when course content is delivered using VR and conventional lecture slides. Results show that improvement in social interaction and productivity tools in VR are essential for its greater impact in higher education.","author":[{"dropping-particle":"","family":"Slavova","given":"Y","non-dropping-particle":"","parse-names":false,"suffix":""},{"dropping-particle":"","family":"Mu","given":"M","non-dropping-particle":"","parse-names":false,"suffix":""}],"container-title":"2018 IEEE Conference on Virtual Reality and 3D User Interfaces (VR)","id":"ITEM-1","issued":{"date-parts":[["2018"]]},"page":"685-686","title":"A Comparative Study of the Learning Outcomes and Experience of VR in Education","type":"paper-conference"},"uris":["http://www.mendeley.com/documents/?uuid=9b148030-333a-4e58-b328-d6e3430b2370"]}],"mendeley":{"formattedCitation":"[5]","plainTextFormattedCitation":"[5]","previouslyFormattedCitation":"[5]"},"properties":{"noteIndex":0},"schema":"https://github.com/citation-style-language/schema/raw/master/csl-citation.json"}</w:instrText>
      </w:r>
      <w:r w:rsidR="00673FEA">
        <w:fldChar w:fldCharType="separate"/>
      </w:r>
      <w:r w:rsidR="00673FEA" w:rsidRPr="002534BE">
        <w:rPr>
          <w:noProof/>
        </w:rPr>
        <w:t>[5]</w:t>
      </w:r>
      <w:r w:rsidR="00673FEA">
        <w:fldChar w:fldCharType="end"/>
      </w:r>
      <w:r w:rsidR="00D24F92">
        <w:rPr>
          <w:lang w:val="en-GB"/>
        </w:rPr>
        <w:t xml:space="preserve">. </w:t>
      </w:r>
      <w:r w:rsidR="00673FEA" w:rsidRPr="0049292B">
        <w:t xml:space="preserve">VR </w:t>
      </w:r>
      <w:r w:rsidR="00673FEA">
        <w:t>has been explored for</w:t>
      </w:r>
      <w:r w:rsidR="00673FEA" w:rsidRPr="0049292B">
        <w:t xml:space="preserve"> collaborative</w:t>
      </w:r>
      <w:r w:rsidR="00673FEA">
        <w:t xml:space="preserve"> </w:t>
      </w:r>
      <w:r w:rsidR="00C53F8E">
        <w:fldChar w:fldCharType="begin" w:fldLock="1"/>
      </w:r>
      <w:r w:rsidR="00C53F8E">
        <w:instrText>ADDIN CSL_CITATION {"citationItems":[{"id":"ITEM-1","itemData":{"DOI":"10.1007/s10055-019-00381-1","ISBN":"0123456789","ISSN":"1359-4338","abstract":"Problem-based learning (PBL) is a type of student-centred educational approach where students learn a topic via their experience in solving open-ended problems. In PBL, elements of active, interactive, and collaborative learning are incorporated to allow teachers to observe their students’ learning process. The contexts of problems in PBL are in the form of cases and narratives of the real world where there are no right or wrong answers. Virtual reality (VR) is a part of mixed reality where a real-world environment is made to be virtual online. In VR, real-world elements are rendered as 3D objects. By adopting VR technologies in PBL, this will enable teachers to form virtual world narratives and cases akin to problems in a real world. VR allows elements of active, interactive, and collaborative to be integrated in students’ learning process. This study explores how VR may be adopted to enable PBL and improve group work skill as well as self-directed learning. The gained research results indicated that PBL with the presentation problem scenario in VR environment is effective in enhancing the group work skills and self-directed learning among students.","author":[{"dropping-particle":"","family":"Abdullah","given":"Junaidi","non-dropping-particle":"","parse-names":false,"suffix":""},{"dropping-particle":"","family":"Mohd-Isa","given":"Wan Noorshahida","non-dropping-particle":"","parse-names":false,"suffix":""},{"dropping-particle":"","family":"Samsudin","given":"Mohd Ali","non-dropping-particle":"","parse-names":false,"suffix":""}],"container-title":"Virtual Reality","id":"ITEM-1","issue":"0123456789","issued":{"date-parts":[["2019"]]},"publisher":"Springer London","title":"Virtual reality to improve group work skill and self-directed learning in problem-based learning narratives","type":"article-journal"},"uris":["http://www.mendeley.com/documents/?uuid=ed23e129-b853-4042-9dac-bdc955d045f5"]}],"mendeley":{"formattedCitation":"[6]","plainTextFormattedCitation":"[6]","previouslyFormattedCitation":"[6]"},"properties":{"noteIndex":0},"schema":"https://github.com/citation-style-language/schema/raw/master/csl-citation.json"}</w:instrText>
      </w:r>
      <w:r w:rsidR="00C53F8E">
        <w:fldChar w:fldCharType="separate"/>
      </w:r>
      <w:r w:rsidR="00C53F8E" w:rsidRPr="00C53F8E">
        <w:rPr>
          <w:noProof/>
        </w:rPr>
        <w:t>[6]</w:t>
      </w:r>
      <w:r w:rsidR="00C53F8E">
        <w:fldChar w:fldCharType="end"/>
      </w:r>
      <w:r w:rsidR="00673FEA" w:rsidRPr="0049292B">
        <w:t xml:space="preserve"> and </w:t>
      </w:r>
      <w:r w:rsidR="00673FEA">
        <w:t xml:space="preserve">online pedagogy </w:t>
      </w:r>
      <w:r w:rsidR="00673FEA">
        <w:fldChar w:fldCharType="begin" w:fldLock="1"/>
      </w:r>
      <w:r w:rsidR="00673FEA">
        <w:instrText>ADDIN CSL_CITATION {"citationItems":[{"id":"ITEM-1","itemData":{"author":[{"dropping-particle":"","family":"Thorsteinsson","given":"Gisli","non-dropping-particle":"","parse-names":false,"suffix":""},{"dropping-particle":"V","family":"Shavinina","given":"L","non-dropping-particle":"","parse-names":false,"suffix":""}],"container-title":"The Routledge International Handbook of Innovation Education. Edited by LV Shavinina. Oxford: Routledge. ISBN-10","id":"ITEM-1","issued":{"date-parts":[["2013"]]},"page":"456-470","title":"Developing an understanding of the pedagogy of using a virtual reality learning environment (VRLE) to support innovation education","type":"article-journal","volume":"415682215"},"uris":["http://www.mendeley.com/documents/?uuid=cbd43640-8fb5-401d-974d-1fc11ec11de4"]}],"mendeley":{"formattedCitation":"[7]","plainTextFormattedCitation":"[7]","previouslyFormattedCitation":"[7]"},"properties":{"noteIndex":0},"schema":"https://github.com/citation-style-language/schema/raw/master/csl-citation.json"}</w:instrText>
      </w:r>
      <w:r w:rsidR="00673FEA">
        <w:fldChar w:fldCharType="separate"/>
      </w:r>
      <w:r w:rsidR="00673FEA" w:rsidRPr="00CA00F3">
        <w:rPr>
          <w:noProof/>
        </w:rPr>
        <w:t>[7]</w:t>
      </w:r>
      <w:r w:rsidR="00673FEA">
        <w:fldChar w:fldCharType="end"/>
      </w:r>
      <w:r w:rsidR="00673FEA">
        <w:t xml:space="preserve">. </w:t>
      </w:r>
      <w:r>
        <w:rPr>
          <w:lang w:val="en-GB"/>
        </w:rPr>
        <w:t xml:space="preserve">However, </w:t>
      </w:r>
      <w:r>
        <w:t>designers</w:t>
      </w:r>
      <w:r w:rsidR="00673FEA">
        <w:t xml:space="preserve"> of VR-based solutions need to design solutions that are equal in opportunity of access. They should not aggravate the widening gap in skills between lower-income students and their higher-income counterpart</w:t>
      </w:r>
      <w:r w:rsidR="00C53F8E">
        <w:rPr>
          <w:lang w:val="en-US"/>
        </w:rPr>
        <w:t>s</w:t>
      </w:r>
      <w:r w:rsidR="00673FEA">
        <w:t xml:space="preserve">. </w:t>
      </w:r>
    </w:p>
    <w:p w14:paraId="22A5C1B8" w14:textId="2F14A571" w:rsidR="009303D9" w:rsidRPr="007A1F95" w:rsidRDefault="00673FEA" w:rsidP="00E7596C">
      <w:pPr>
        <w:pStyle w:val="BodyText"/>
        <w:rPr>
          <w:lang w:val="en-US"/>
        </w:rPr>
      </w:pPr>
      <w:r w:rsidRPr="006658E3">
        <w:t xml:space="preserve">In this paper, we present </w:t>
      </w:r>
      <w:r w:rsidR="008B3DC9">
        <w:t>CloVR</w:t>
      </w:r>
      <w:r w:rsidRPr="006658E3">
        <w:t xml:space="preserve"> – a collaborative learning environment in Virtual Reality. The aim of </w:t>
      </w:r>
      <w:r w:rsidR="008B3DC9">
        <w:t>CloVR</w:t>
      </w:r>
      <w:r w:rsidRPr="006658E3">
        <w:t xml:space="preserve"> is to facilitate collaborative paragogy mediated through VR. </w:t>
      </w:r>
      <w:r w:rsidR="008B3DC9">
        <w:t>CloVR</w:t>
      </w:r>
      <w:r w:rsidRPr="006658E3">
        <w:t xml:space="preserve"> provides an adaptive set of tools for students to customize their learning experience to suit their educational needs</w:t>
      </w:r>
      <w:r>
        <w:t xml:space="preserve">. </w:t>
      </w:r>
      <w:r w:rsidR="008B3DC9">
        <w:t>CloVR</w:t>
      </w:r>
      <w:r>
        <w:t xml:space="preserve"> focuses on self-directed student learning experiences </w:t>
      </w:r>
      <w:r w:rsidR="007D58C9">
        <w:rPr>
          <w:lang w:val="en-US"/>
        </w:rPr>
        <w:t>and</w:t>
      </w:r>
      <w:r>
        <w:t xml:space="preserve"> collaboration between peers</w:t>
      </w:r>
      <w:r w:rsidR="007D58C9">
        <w:rPr>
          <w:lang w:val="en-US"/>
        </w:rPr>
        <w:t>,</w:t>
      </w:r>
      <w:r w:rsidRPr="006658E3">
        <w:t xml:space="preserve"> alleviat</w:t>
      </w:r>
      <w:r w:rsidR="007D58C9">
        <w:rPr>
          <w:lang w:val="en-US"/>
        </w:rPr>
        <w:t>ing</w:t>
      </w:r>
      <w:r w:rsidRPr="006658E3">
        <w:t xml:space="preserve"> concerns of reduced face-to-face interacti</w:t>
      </w:r>
      <w:r w:rsidR="00C53A87">
        <w:rPr>
          <w:lang w:val="en-US"/>
        </w:rPr>
        <w:t>on</w:t>
      </w:r>
      <w:r w:rsidRPr="006658E3">
        <w:t xml:space="preserve">. We discuss the design of </w:t>
      </w:r>
      <w:r w:rsidR="008B3DC9">
        <w:t>CloVR</w:t>
      </w:r>
      <w:r w:rsidRPr="006658E3">
        <w:t xml:space="preserve"> which </w:t>
      </w:r>
      <w:r>
        <w:t>implements</w:t>
      </w:r>
      <w:r w:rsidRPr="006658E3">
        <w:t xml:space="preserve"> two learning techniques (mind-palace and spaced repetition) which are augmented with VR-based peer-learning features. We </w:t>
      </w:r>
      <w:r w:rsidR="00E068EF" w:rsidRPr="006658E3">
        <w:lastRenderedPageBreak/>
        <w:t>analyse</w:t>
      </w:r>
      <w:r w:rsidR="007A1F95">
        <w:rPr>
          <w:lang w:val="en-US"/>
        </w:rPr>
        <w:t xml:space="preserve"> </w:t>
      </w:r>
      <w:r w:rsidR="007A1F95" w:rsidRPr="006658E3">
        <w:t>the usage of the system through two studies to understand the perception of the end-users towards the application.</w:t>
      </w:r>
    </w:p>
    <w:p w14:paraId="64508461" w14:textId="77777777" w:rsidR="005C2DA2" w:rsidRDefault="005C2DA2" w:rsidP="005C2DA2">
      <w:pPr>
        <w:pStyle w:val="Heading1"/>
      </w:pPr>
      <w:r>
        <w:t>Related Work and Background</w:t>
      </w:r>
    </w:p>
    <w:p w14:paraId="68E548DC" w14:textId="77777777" w:rsidR="005C2DA2" w:rsidRDefault="005C2DA2" w:rsidP="005C2DA2">
      <w:pPr>
        <w:pStyle w:val="Heading2"/>
      </w:pPr>
      <w:r>
        <w:t>Collaborative Learning and Paragogy</w:t>
      </w:r>
    </w:p>
    <w:p w14:paraId="41E1FE53" w14:textId="38CD4860" w:rsidR="005C2DA2" w:rsidRDefault="005C2DA2" w:rsidP="00D7554C">
      <w:pPr>
        <w:pStyle w:val="BodyText"/>
      </w:pPr>
      <w:r>
        <w:t xml:space="preserve">Paragogy describes peer-to-peer learning where students provide a supportive structure </w:t>
      </w:r>
      <w:r w:rsidR="005E7A48">
        <w:rPr>
          <w:lang w:val="en-US"/>
        </w:rPr>
        <w:t xml:space="preserve">for </w:t>
      </w:r>
      <w:r>
        <w:t xml:space="preserve">each other </w:t>
      </w:r>
      <w:r w:rsidR="005E7A48">
        <w:rPr>
          <w:lang w:val="en-US"/>
        </w:rPr>
        <w:t xml:space="preserve">to </w:t>
      </w:r>
      <w:r>
        <w:t xml:space="preserve">learn and grow </w:t>
      </w:r>
      <w:r w:rsidR="00B16F52">
        <w:fldChar w:fldCharType="begin" w:fldLock="1"/>
      </w:r>
      <w:r w:rsidR="00CA71BA">
        <w:instrText>ADDIN CSL_CITATION {"citationItems":[{"id":"ITEM-1","itemData":{"author":[{"dropping-particle":"","family":"Corneli","given":"Joseph","non-dropping-particle":"","parse-names":false,"suffix":""},{"dropping-particle":"","family":"Danoff","given":"Charles Jeffrey","non-dropping-particle":"","parse-names":false,"suffix":""}],"container-title":"the 1st International Conference on Learning Analytics and Knowledge","id":"ITEM-1","issued":{"date-parts":[["2011"]]},"title":"Paragogy: Synergizing individual and organizational learning","type":"paper-conference"},"uris":["http://www.mendeley.com/documents/?uuid=87a8ccbe-fdea-4f32-9015-2c0984b93a98"]}],"mendeley":{"formattedCitation":"[8]","plainTextFormattedCitation":"[8]","previouslyFormattedCitation":"[8]"},"properties":{"noteIndex":0},"schema":"https://github.com/citation-style-language/schema/raw/master/csl-citation.json"}</w:instrText>
      </w:r>
      <w:r w:rsidR="00B16F52">
        <w:fldChar w:fldCharType="separate"/>
      </w:r>
      <w:r w:rsidR="00C53F8E" w:rsidRPr="00C53F8E">
        <w:rPr>
          <w:noProof/>
        </w:rPr>
        <w:t>[8]</w:t>
      </w:r>
      <w:r w:rsidR="00B16F52">
        <w:fldChar w:fldCharType="end"/>
      </w:r>
      <w:r>
        <w:t xml:space="preserve">. It is a heutagogical method of learning that builds on the idea that the learner is the initiator and main agent of acquiring knowledge </w:t>
      </w:r>
      <w:r w:rsidR="00B16F52">
        <w:fldChar w:fldCharType="begin" w:fldLock="1"/>
      </w:r>
      <w:r w:rsidR="00CA71BA">
        <w:instrText>ADDIN CSL_CITATION {"citationItems":[{"id":"ITEM-1","itemData":{"DOI":"10.29173/cmplct8766","ISSN":"17105668","author":[{"dropping-particle":"","family":"Hase","given":"Stewart","non-dropping-particle":"","parse-names":false,"suffix":""},{"dropping-particle":"","family":"Kenyon","given":"Chris","non-dropping-particle":"","parse-names":false,"suffix":""}],"container-title":"Complicity: An International Journal of Complexity and Education","id":"ITEM-1","issue":"1","issued":{"date-parts":[["2007","7","1"]]},"title":"Heutagogy: A Child of Complexity Theory","type":"article-journal","volume":"4"},"uris":["http://www.mendeley.com/documents/?uuid=55d40268-e248-44cb-8c7e-993e3e85fbaf"]}],"mendeley":{"formattedCitation":"[9]","plainTextFormattedCitation":"[9]","previouslyFormattedCitation":"[9]"},"properties":{"noteIndex":0},"schema":"https://github.com/citation-style-language/schema/raw/master/csl-citation.json"}</w:instrText>
      </w:r>
      <w:r w:rsidR="00B16F52">
        <w:fldChar w:fldCharType="separate"/>
      </w:r>
      <w:r w:rsidR="00C53F8E" w:rsidRPr="00C53F8E">
        <w:rPr>
          <w:noProof/>
        </w:rPr>
        <w:t>[9]</w:t>
      </w:r>
      <w:r w:rsidR="00B16F52">
        <w:fldChar w:fldCharType="end"/>
      </w:r>
      <w:r>
        <w:t>. This places paragogy in an ideal position when considering remote and independent learning activities. Researchers have explored paragogy through tutor-led activities</w:t>
      </w:r>
      <w:r w:rsidR="005A1A2A">
        <w:rPr>
          <w:lang w:val="en-US"/>
        </w:rPr>
        <w:t xml:space="preserve">, </w:t>
      </w:r>
      <w:r>
        <w:t xml:space="preserve">Learning Management Systems (LMS) </w:t>
      </w:r>
      <w:r w:rsidR="00B16F52">
        <w:fldChar w:fldCharType="begin" w:fldLock="1"/>
      </w:r>
      <w:r w:rsidR="00CA71BA">
        <w:instrText>ADDIN CSL_CITATION {"citationItems":[{"id":"ITEM-1","itemData":{"DOI":"10.14742/ajet.1228","ISSN":"1449-5554","abstract":"Many higher education institutions have implemented a learning management system (LMS) to manage online learning and teaching, with varying levels of support provided to staff and students, but often there is little subsequent investigation into the quality of the online sites or the use made of the support structures provided. This paper presents findings from an institutional survey investigating the use of WebCTby academic staff and students in their learning and teaching at a large Australian university. It was expected that student feedback would relate to technical and infrastructure issues, but instead, the survey elicited responses primarily on how WebCT was used in teaching and learning, indicating that quality control is a major issue for the University. Student opinions appear to reflect more the use of the technology made by teaching staff - students who have experienced a well-designed unit rich with resources, timely feedback and good interaction with staff reported a positive experience with the technology. Staff responses are more focused on the technical and administrative aspects of using WebCT rather than teaching issues. The findings in this paper have implications for quality teaching and learning with technology, and the way in which tertiary institutions support academic staff.","author":[{"dropping-particle":"","family":"Weaver","given":"Debbi","non-dropping-particle":"","parse-names":false,"suffix":""},{"dropping-particle":"","family":"Spratt","given":"Christine","non-dropping-particle":"","parse-names":false,"suffix":""},{"dropping-particle":"","family":"Nair","given":"Chenicheri Sid","non-dropping-particle":"","parse-names":false,"suffix":""}],"container-title":"Australasian Journal of Educational Technology","id":"ITEM-1","issue":"1","issued":{"date-parts":[["2008","1","16"]]},"title":"Academic and student use of a learning management system: Implications for quality","type":"article-journal","volume":"24"},"uris":["http://www.mendeley.com/documents/?uuid=9778a976-391e-41fc-ba5b-b67d4b7bbe56"]}],"mendeley":{"formattedCitation":"[10]","plainTextFormattedCitation":"[10]","previouslyFormattedCitation":"[10]"},"properties":{"noteIndex":0},"schema":"https://github.com/citation-style-language/schema/raw/master/csl-citation.json"}</w:instrText>
      </w:r>
      <w:r w:rsidR="00B16F52">
        <w:fldChar w:fldCharType="separate"/>
      </w:r>
      <w:r w:rsidR="00C53F8E" w:rsidRPr="00C53F8E">
        <w:rPr>
          <w:noProof/>
        </w:rPr>
        <w:t>[10]</w:t>
      </w:r>
      <w:r w:rsidR="00B16F52">
        <w:fldChar w:fldCharType="end"/>
      </w:r>
      <w:r w:rsidR="00B16F52">
        <w:rPr>
          <w:lang w:val="en-US"/>
        </w:rPr>
        <w:t xml:space="preserve"> </w:t>
      </w:r>
      <w:r>
        <w:t xml:space="preserve">and mediated through VR </w:t>
      </w:r>
      <w:r w:rsidR="0061119D">
        <w:fldChar w:fldCharType="begin" w:fldLock="1"/>
      </w:r>
      <w:r w:rsidR="00C53F8E">
        <w:instrText>ADDIN CSL_CITATION {"citationItems":[{"id":"ITEM-1","itemData":{"DOI":"10.1007/s10055-019-00381-1","ISBN":"0123456789","ISSN":"1359-4338","abstract":"Problem-based learning (PBL) is a type of student-centred educational approach where students learn a topic via their experience in solving open-ended problems. In PBL, elements of active, interactive, and collaborative learning are incorporated to allow teachers to observe their students’ learning process. The contexts of problems in PBL are in the form of cases and narratives of the real world where there are no right or wrong answers. Virtual reality (VR) is a part of mixed reality where a real-world environment is made to be virtual online. In VR, real-world elements are rendered as 3D objects. By adopting VR technologies in PBL, this will enable teachers to form virtual world narratives and cases akin to problems in a real world. VR allows elements of active, interactive, and collaborative to be integrated in students’ learning process. This study explores how VR may be adopted to enable PBL and improve group work skill as well as self-directed learning. The gained research results indicated that PBL with the presentation problem scenario in VR environment is effective in enhancing the group work skills and self-directed learning among students.","author":[{"dropping-particle":"","family":"Abdullah","given":"Junaidi","non-dropping-particle":"","parse-names":false,"suffix":""},{"dropping-particle":"","family":"Mohd-Isa","given":"Wan Noorshahida","non-dropping-particle":"","parse-names":false,"suffix":""},{"dropping-particle":"","family":"Samsudin","given":"Mohd Ali","non-dropping-particle":"","parse-names":false,"suffix":""}],"container-title":"Virtual Reality","id":"ITEM-1","issue":"0123456789","issued":{"date-parts":[["2019"]]},"publisher":"Springer London","title":"Virtual reality to improve group work skill and self-directed learning in problem-based learning narratives","type":"article-journal"},"uris":["http://www.mendeley.com/documents/?uuid=ed23e129-b853-4042-9dac-bdc955d045f5"]}],"mendeley":{"formattedCitation":"[6]","plainTextFormattedCitation":"[6]","previouslyFormattedCitation":"[6]"},"properties":{"noteIndex":0},"schema":"https://github.com/citation-style-language/schema/raw/master/csl-citation.json"}</w:instrText>
      </w:r>
      <w:r w:rsidR="0061119D">
        <w:fldChar w:fldCharType="separate"/>
      </w:r>
      <w:r w:rsidR="00C53F8E" w:rsidRPr="00C53F8E">
        <w:rPr>
          <w:noProof/>
        </w:rPr>
        <w:t>[6]</w:t>
      </w:r>
      <w:r w:rsidR="0061119D">
        <w:fldChar w:fldCharType="end"/>
      </w:r>
      <w:r>
        <w:t xml:space="preserve">. In such systems, the tutor establishes the thematic organization of learning content and identifies the activities which require students to engage in paragogy. Collaboration has been studied extensively for its benefits of improving cognitive abilities, skill attainment and the transfer of knowledge to peers in education </w:t>
      </w:r>
      <w:r w:rsidR="00B16F52">
        <w:fldChar w:fldCharType="begin" w:fldLock="1"/>
      </w:r>
      <w:r w:rsidR="00CA71BA">
        <w:instrText>ADDIN CSL_CITATION {"citationItems":[{"id":"ITEM-1","itemData":{"author":[{"dropping-particle":"","family":"Wilson","given":"Judith D","non-dropping-particle":"","parse-names":false,"suffix":""},{"dropping-particle":"","family":"Hoskin","given":"Nathan","non-dropping-particle":"","parse-names":false,"suffix":""},{"dropping-particle":"","family":"Nosek","given":"John T","non-dropping-particle":"","parse-names":false,"suffix":""}],"container-title":"ACM SIGCSE Bulletin","id":"ITEM-1","issue":"1","issued":{"date-parts":[["1993"]]},"page":"160-164","publisher":"ACM New York, NY, USA","title":"The benefits of collaboration for student programmers","type":"article-journal","volume":"25"},"uris":["http://www.mendeley.com/documents/?uuid=5ccad6b5-9a81-4fd7-848e-d1b31d557f1e"]}],"mendeley":{"formattedCitation":"[11]","plainTextFormattedCitation":"[11]","previouslyFormattedCitation":"[11]"},"properties":{"noteIndex":0},"schema":"https://github.com/citation-style-language/schema/raw/master/csl-citation.json"}</w:instrText>
      </w:r>
      <w:r w:rsidR="00B16F52">
        <w:fldChar w:fldCharType="separate"/>
      </w:r>
      <w:r w:rsidR="00C53F8E" w:rsidRPr="00C53F8E">
        <w:rPr>
          <w:noProof/>
        </w:rPr>
        <w:t>[11]</w:t>
      </w:r>
      <w:r w:rsidR="00B16F52">
        <w:fldChar w:fldCharType="end"/>
      </w:r>
      <w:r w:rsidR="00B16F52">
        <w:rPr>
          <w:lang w:val="en-US"/>
        </w:rPr>
        <w:t xml:space="preserve">. </w:t>
      </w:r>
      <w:r>
        <w:t xml:space="preserve">Plass et al. </w:t>
      </w:r>
      <w:r w:rsidR="00B16F52" w:rsidRPr="005F7A20">
        <w:rPr>
          <w:color w:val="000000" w:themeColor="text1"/>
        </w:rPr>
        <w:fldChar w:fldCharType="begin" w:fldLock="1"/>
      </w:r>
      <w:r w:rsidR="00CA71BA">
        <w:rPr>
          <w:color w:val="000000" w:themeColor="text1"/>
        </w:rPr>
        <w:instrText>ADDIN CSL_CITATION {"citationItems":[{"id":"ITEM-1","itemData":{"DOI":"10.1037/a0032688","ISSN":"00220663","abstract":"The present research examined how mode of play in an educational mathematics video game impacts learning, performance, and motivation. The game was designed for the practice and automation of arithmetic skills to increase fluency and was adapted to allow for individual, competitive, or collaborative game play. Participants (N = 58) from urban middle schools were randomly assigned to each experimental condition. Results suggested that, in comparison to individual play, competition increased in-game learning, whereas collaboration decreased performance during the experimental play session. Although out-of-game math fluency improved overall, it did not vary by condition. Furthermore, competition and collaboration elicited greater situational interest and enjoyment and invoked a stronger mastery goal orientation. Additionally, collaboration resulted in stronger intentions to play the game again and to recommend it to others. Results are discussed in terms of the potential for mathematics learning games and technology to increase student learning and motivation and to demonstrate how different modes of engagement can inform the instructional design of such games. © 2013 American Psychological Association.","author":[{"dropping-particle":"","family":"Plass","given":"Jan L","non-dropping-particle":"","parse-names":false,"suffix":""},{"dropping-particle":"","family":"O'Keefe","given":"Paul A","non-dropping-particle":"","parse-names":false,"suffix":""},{"dropping-particle":"","family":"Homer","given":"Bruce D","non-dropping-particle":"","parse-names":false,"suffix":""},{"dropping-particle":"","family":"Case","given":"Jennifer","non-dropping-particle":"","parse-names":false,"suffix":""},{"dropping-particle":"","family":"Hayward","given":"Elizabeth O","non-dropping-particle":"","parse-names":false,"suffix":""},{"dropping-particle":"","family":"Stein","given":"Murphy","non-dropping-particle":"","parse-names":false,"suffix":""},{"dropping-particle":"","family":"Perlin","given":"Ken","non-dropping-particle":"","parse-names":false,"suffix":""}],"container-title":"Journal of Educational Psychology","id":"ITEM-1","issue":"4","issued":{"date-parts":[["2013"]]},"page":"1050-1066","title":"The impact of individual, competitive, and collaborative mathematics game play on learning, performance, and motivation","type":"article-journal","volume":"105"},"uris":["http://www.mendeley.com/documents/?uuid=4c0170e7-ec59-4fa7-b83b-dccb41ea43f1"]}],"mendeley":{"formattedCitation":"[12]","plainTextFormattedCitation":"[12]","previouslyFormattedCitation":"[12]"},"properties":{"noteIndex":0},"schema":"https://github.com/citation-style-language/schema/raw/master/csl-citation.json"}</w:instrText>
      </w:r>
      <w:r w:rsidR="00B16F52" w:rsidRPr="005F7A20">
        <w:rPr>
          <w:color w:val="000000" w:themeColor="text1"/>
        </w:rPr>
        <w:fldChar w:fldCharType="separate"/>
      </w:r>
      <w:r w:rsidR="00C53F8E" w:rsidRPr="00C53F8E">
        <w:rPr>
          <w:noProof/>
          <w:color w:val="000000" w:themeColor="text1"/>
        </w:rPr>
        <w:t>[12]</w:t>
      </w:r>
      <w:r w:rsidR="00B16F52" w:rsidRPr="005F7A20">
        <w:rPr>
          <w:color w:val="000000" w:themeColor="text1"/>
        </w:rPr>
        <w:fldChar w:fldCharType="end"/>
      </w:r>
      <w:r w:rsidR="00B16F52">
        <w:rPr>
          <w:color w:val="000000" w:themeColor="text1"/>
          <w:lang w:val="en-US"/>
        </w:rPr>
        <w:t xml:space="preserve"> </w:t>
      </w:r>
      <w:r>
        <w:t xml:space="preserve">demonstrated that collaborative learning games promote situational interest and a desire to repeat learning exercises. </w:t>
      </w:r>
      <w:r w:rsidR="00D7554C">
        <w:rPr>
          <w:lang w:val="en-GB"/>
        </w:rPr>
        <w:t xml:space="preserve">Collaboration in peer learning enables </w:t>
      </w:r>
      <w:r>
        <w:t xml:space="preserve">peer feedback in absence of teacher participation </w:t>
      </w:r>
      <w:r w:rsidR="00B16F52">
        <w:fldChar w:fldCharType="begin" w:fldLock="1"/>
      </w:r>
      <w:r w:rsidR="00CA71BA">
        <w:instrText>ADDIN CSL_CITATION {"citationItems":[{"id":"ITEM-1","itemData":{"DOI":"10.34190/EJEL.20.18.2.002","ISSN":"1479-4403","abstract":"Although xMOOCs have shown benefits due to their accessibility to expert knowledge, the quality of their pedagogical proposal remains contested. It has not yet been proven that online education’s learner‑learner interaction practices in xMOOCs generate an improvement in the quality of learning and academic achievement. Peer feedback is a practice that can enhance learning in an environment with diverse student profiles and limited instructor participation. The present mixed methods study was devoted to identifying the perceptions of xMOOC participants regarding learner‑learner interaction and feedback practices. In the Energy Saving course on MexicoX platform, 1,176 participants answered an initial survey, 486 participants answered a final survey and 14 participants were interviewed after completing the course. Results show that most of the participants are willing to interact with their peers and participate in peer feedback activities. Although, in practice its value for summative assessment is an important factor that may predict involvement. It is found that diversity of expertise level is not an obstacle for participants to interact. Rather, participants consider that they may benefit from diversity by assessing their peer assignments and learning different alternatives and strategies in which a problem can be solved. Further, it is identified that peer assessment activities are more adequate for providing feedback than discussion forums, since the first promotes an environment in which participants can observe the performance of their peers showed in a more complex assignment. The findings of this study allow us to analyse inherent and external factors that configure learner‑learner interaction and that affect peer feedback in xMOOCs. It is concluded that more research is needed in order to understand the effect of some factors that may affect peer interaction and peer feedback in xMOOCs and to propose better strategies to improve peer feedback effectiveness.","author":[{"dropping-particle":"","family":"Elizondo-Garcia","given":"Josemaria","non-dropping-particle":"","parse-names":false,"suffix":""},{"dropping-particle":"","family":"Gallardo","given":"Katherina","non-dropping-particle":"","parse-names":false,"suffix":""}],"container-title":"Electronic Journal of e-Learning","id":"ITEM-1","issue":"2","issued":{"date-parts":[["2020","2","1"]]},"title":"Peer Feedback in Learner‑Learner Interaction Practices. Mixed Methods Study on an xMOOC","type":"article-journal","volume":"18"},"uris":["http://www.mendeley.com/documents/?uuid=161090e3-a19c-43d2-9acd-7a4ee37e1cc8"]}],"mendeley":{"formattedCitation":"[13]","plainTextFormattedCitation":"[13]","previouslyFormattedCitation":"[13]"},"properties":{"noteIndex":0},"schema":"https://github.com/citation-style-language/schema/raw/master/csl-citation.json"}</w:instrText>
      </w:r>
      <w:r w:rsidR="00B16F52">
        <w:fldChar w:fldCharType="separate"/>
      </w:r>
      <w:r w:rsidR="00C53F8E" w:rsidRPr="00C53F8E">
        <w:rPr>
          <w:noProof/>
        </w:rPr>
        <w:t>[13]</w:t>
      </w:r>
      <w:r w:rsidR="00B16F52">
        <w:fldChar w:fldCharType="end"/>
      </w:r>
      <w:r w:rsidR="00B16F52">
        <w:rPr>
          <w:lang w:val="en-US"/>
        </w:rPr>
        <w:t xml:space="preserve"> </w:t>
      </w:r>
      <w:r w:rsidR="00D7554C">
        <w:rPr>
          <w:lang w:val="en-GB"/>
        </w:rPr>
        <w:t>and enhances students’ exposure</w:t>
      </w:r>
      <w:r>
        <w:t xml:space="preserve"> to </w:t>
      </w:r>
      <w:r w:rsidR="00D7554C">
        <w:rPr>
          <w:lang w:val="en-GB"/>
        </w:rPr>
        <w:t xml:space="preserve">unexplored </w:t>
      </w:r>
      <w:r>
        <w:t xml:space="preserve">strategies, solutions and points of view </w:t>
      </w:r>
      <w:r w:rsidR="00B16F52">
        <w:fldChar w:fldCharType="begin" w:fldLock="1"/>
      </w:r>
      <w:r w:rsidR="00CA71BA">
        <w:instrText>ADDIN CSL_CITATION {"citationItems":[{"id":"ITEM-1","itemData":{"DOI":"10.1080/02602938.2016.1221052","ISSN":"0260-2938","author":[{"dropping-particle":"","family":"Meek","given":"Sarah E.M.","non-dropping-particle":"","parse-names":false,"suffix":""},{"dropping-particle":"","family":"Blakemore","given":"Louise","non-dropping-particle":"","parse-names":false,"suffix":""},{"dropping-particle":"","family":"Marks","given":"Leah","non-dropping-particle":"","parse-names":false,"suffix":""}],"container-title":"Assessment &amp; Evaluation in Higher Education","id":"ITEM-1","issue":"6","issued":{"date-parts":[["2017","8","18"]]},"page":"1000-1013","title":"Is peer review an appropriate form of assessment in a MOOC? Student participation and performance in formative peer review","type":"article-journal","volume":"42"},"uris":["http://www.mendeley.com/documents/?uuid=9753c476-7ee7-4aaf-b25d-f45af30c25bc"]}],"mendeley":{"formattedCitation":"[14]","plainTextFormattedCitation":"[14]","previouslyFormattedCitation":"[14]"},"properties":{"noteIndex":0},"schema":"https://github.com/citation-style-language/schema/raw/master/csl-citation.json"}</w:instrText>
      </w:r>
      <w:r w:rsidR="00B16F52">
        <w:fldChar w:fldCharType="separate"/>
      </w:r>
      <w:r w:rsidR="00C53F8E" w:rsidRPr="00C53F8E">
        <w:rPr>
          <w:noProof/>
        </w:rPr>
        <w:t>[14]</w:t>
      </w:r>
      <w:r w:rsidR="00B16F52">
        <w:fldChar w:fldCharType="end"/>
      </w:r>
      <w:r>
        <w:t xml:space="preserve">. There is evidence to suggest that technology which mediates connections between peers </w:t>
      </w:r>
      <w:r w:rsidR="00B16F52">
        <w:fldChar w:fldCharType="begin" w:fldLock="1"/>
      </w:r>
      <w:r w:rsidR="00CA71BA">
        <w:instrText>ADDIN CSL_CITATION {"citationItems":[{"id":"ITEM-1","itemData":{"author":[{"dropping-particle":"","family":"Herlo","given":"D","non-dropping-particle":"","parse-names":false,"suffix":""},{"dropping-particle":"","family":"Vlaicu","given":"A","non-dropping-particle":"","parse-names":false,"suffix":""}],"container-title":"Journal Plus Education","id":"ITEM-1","issue":"1","issued":{"date-parts":[["2014"]]},"page":"35-41","title":"Paragogy. A New Theory in Educational Sciences.","type":"article-journal","volume":"X"},"uris":["http://www.mendeley.com/documents/?uuid=3dc1d19f-49cf-4d75-849b-d06793e01ff7"]}],"mendeley":{"formattedCitation":"[15]","plainTextFormattedCitation":"[15]","previouslyFormattedCitation":"[15]"},"properties":{"noteIndex":0},"schema":"https://github.com/citation-style-language/schema/raw/master/csl-citation.json"}</w:instrText>
      </w:r>
      <w:r w:rsidR="00B16F52">
        <w:fldChar w:fldCharType="separate"/>
      </w:r>
      <w:r w:rsidR="00C53F8E" w:rsidRPr="00C53F8E">
        <w:rPr>
          <w:noProof/>
        </w:rPr>
        <w:t>[15]</w:t>
      </w:r>
      <w:r w:rsidR="00B16F52">
        <w:fldChar w:fldCharType="end"/>
      </w:r>
      <w:r>
        <w:t xml:space="preserve">, through collaborative virtual learning environments, allows students to connect and share information in ways that are not possible in real life </w:t>
      </w:r>
      <w:r w:rsidR="00B16F52">
        <w:fldChar w:fldCharType="begin" w:fldLock="1"/>
      </w:r>
      <w:r w:rsidR="00CA71BA">
        <w:instrText>ADDIN CSL_CITATION {"citationItems":[{"id":"ITEM-1","itemData":{"author":[{"dropping-particle":"","family":"Laister","given":"Johann","non-dropping-particle":"","parse-names":false,"suffix":""},{"dropping-particle":"","family":"Kober","given":"Sandra","non-dropping-particle":"","parse-names":false,"suffix":""},{"dropping-particle":"","family":"Joanneum","given":"Technikum","non-dropping-particle":"","parse-names":false,"suffix":""}],"id":"ITEM-1","issued":{"date-parts":[["2002"]]},"title":"Social Aspects of Collaborative Learning in Virtual Learning Environments","type":"article-journal"},"uris":["http://www.mendeley.com/documents/?uuid=0cc72827-ac41-4a50-bafd-c292dec66ddf"]}],"mendeley":{"formattedCitation":"[16]","plainTextFormattedCitation":"[16]","previouslyFormattedCitation":"[16]"},"properties":{"noteIndex":0},"schema":"https://github.com/citation-style-language/schema/raw/master/csl-citation.json"}</w:instrText>
      </w:r>
      <w:r w:rsidR="00B16F52">
        <w:fldChar w:fldCharType="separate"/>
      </w:r>
      <w:r w:rsidR="00C53F8E" w:rsidRPr="00C53F8E">
        <w:rPr>
          <w:noProof/>
        </w:rPr>
        <w:t>[16]</w:t>
      </w:r>
      <w:r w:rsidR="00B16F52">
        <w:fldChar w:fldCharType="end"/>
      </w:r>
      <w:r>
        <w:t xml:space="preserve">. </w:t>
      </w:r>
    </w:p>
    <w:p w14:paraId="63135566" w14:textId="19E2CF29" w:rsidR="006347CF" w:rsidRPr="005B520E" w:rsidRDefault="00D7554C" w:rsidP="005C2DA2">
      <w:pPr>
        <w:pStyle w:val="BodyText"/>
      </w:pPr>
      <w:r>
        <w:rPr>
          <w:lang w:val="en-GB"/>
        </w:rPr>
        <w:t xml:space="preserve">Experience with LMS suggests that </w:t>
      </w:r>
      <w:r w:rsidR="005C2DA2">
        <w:t>the structuring of learning content and activities is driven by the tutor or institution</w:t>
      </w:r>
      <w:r w:rsidR="001A55EC">
        <w:rPr>
          <w:lang w:val="en-US"/>
        </w:rPr>
        <w:t xml:space="preserve">, with student-focused elements such as interaction and discussion being under </w:t>
      </w:r>
      <w:proofErr w:type="spellStart"/>
      <w:r w:rsidR="001A55EC">
        <w:rPr>
          <w:lang w:val="en-US"/>
        </w:rPr>
        <w:t>utilsed</w:t>
      </w:r>
      <w:proofErr w:type="spellEnd"/>
      <w:r w:rsidR="001A55EC">
        <w:rPr>
          <w:lang w:val="en-US"/>
        </w:rPr>
        <w:t xml:space="preserve"> </w:t>
      </w:r>
      <w:r w:rsidR="00B5739E">
        <w:rPr>
          <w:lang w:val="en-US"/>
        </w:rPr>
        <w:fldChar w:fldCharType="begin" w:fldLock="1"/>
      </w:r>
      <w:r w:rsidR="00CA71BA">
        <w:rPr>
          <w:lang w:val="en-US"/>
        </w:rPr>
        <w:instrText>ADDIN CSL_CITATION {"citationItems":[{"id":"ITEM-1","itemData":{"DOI":"10.1080/07294360.2017.1342609","ISSN":"14698366","abstract":"Learning management systems (LMSs) are widely used in higher education and offer a gateway to innovative, technology-enhanced teaching and learning. However, many university staff still choose not to adopt them or do not explore the more creative functionality. Previous research has developed models of technology adoption which map observed behaviour but provide limited insight into the development of pedagogy and the conceptual issues affecting adoption. This paper reports findings from a research study which gathered rich, qualitative data from LMS administrators to investigate the development of LMS usage and explore, from their perspective, the attitudes of the many teaching staff they support. These experts are well placed to observe actual LMS use across hundreds of courses and to report the beliefs and concerns expressed by the many teaching staff they support. In-depth interviews were conducted in two institutions and the transcripts were coded using thematic analysis. Our results partly support previous research indicating lack of development in LMS use and pedagogy by most teaching staff, and confirm that barriers such as fear of the technology and apprehension concerning negative effects of adoption are still widespread. However, unlike previous findings, the minority of teachers developing innovative pedagogy (the ‘super innovators’) did not conform to an age stereotype but were distinguished by personal characteristics. We identify a commonly occurring (although not represented in current models) state of inertia in LMS adoption and explore underlying causes linking not just to technology, but to disruption of pedagogy and, ultimately, to conceptions of teaching. It is important to understand these issues in order to meet the concerns of teaching staff and tackle conceptual barriers which conventional LMS training fails to address.","author":[{"dropping-particle":"","family":"Sinclair","given":"Jane","non-dropping-particle":"","parse-names":false,"suffix":""},{"dropping-particle":"","family":"Aho","given":"Anne Maria","non-dropping-particle":"","parse-names":false,"suffix":""}],"container-title":"Higher Education Research and Development","id":"ITEM-1","issue":"1","issued":{"date-parts":[["2018"]]},"page":"158-172","title":"Experts on super innovators: understanding staff adoption of learning management systems","type":"article","volume":"37"},"uris":["http://www.mendeley.com/documents/?uuid=3cec3d0d-c40b-404b-8b44-407f9da15971"]}],"mendeley":{"formattedCitation":"[17]","plainTextFormattedCitation":"[17]","previouslyFormattedCitation":"[17]"},"properties":{"noteIndex":0},"schema":"https://github.com/citation-style-language/schema/raw/master/csl-citation.json"}</w:instrText>
      </w:r>
      <w:r w:rsidR="00B5739E">
        <w:rPr>
          <w:lang w:val="en-US"/>
        </w:rPr>
        <w:fldChar w:fldCharType="separate"/>
      </w:r>
      <w:r w:rsidR="00C53F8E" w:rsidRPr="00C53F8E">
        <w:rPr>
          <w:noProof/>
          <w:lang w:val="en-US"/>
        </w:rPr>
        <w:t>[17]</w:t>
      </w:r>
      <w:r w:rsidR="00B5739E">
        <w:rPr>
          <w:lang w:val="en-US"/>
        </w:rPr>
        <w:fldChar w:fldCharType="end"/>
      </w:r>
      <w:r w:rsidR="005C2DA2">
        <w:t xml:space="preserve">. Unlike students, they are well equipped to create scaffolding based on pedagogical principles. However, paragogy can manifest beyond peers simply contributing to an overall product (e.g., a presentation or other educational artifact). </w:t>
      </w:r>
      <w:r w:rsidR="005A1A2A">
        <w:rPr>
          <w:lang w:val="en-US"/>
        </w:rPr>
        <w:t>P</w:t>
      </w:r>
      <w:proofErr w:type="spellStart"/>
      <w:r w:rsidR="005C2DA2">
        <w:t>aragogical</w:t>
      </w:r>
      <w:proofErr w:type="spellEnd"/>
      <w:r w:rsidR="005C2DA2">
        <w:t xml:space="preserve"> activities, which occur outside of the planned learning, occur during periods of self-study. While the learners may be highly motivated, they lack the tools and understanding to suitably scaffold their learning activity within a self-study (or group-based study) session. The positioning of </w:t>
      </w:r>
      <w:r w:rsidR="008B3DC9">
        <w:t>CloVR</w:t>
      </w:r>
      <w:r w:rsidR="005C2DA2">
        <w:t xml:space="preserve"> is within this gap where paragogy occurs outside of activities planned by the tutor, and instead is a student-initiated activity which builds towards another activity (e.g., study preparations for exams). </w:t>
      </w:r>
      <w:r w:rsidR="00362CBD">
        <w:t>Such a tool can scaffold the learning activity through well</w:t>
      </w:r>
      <w:r w:rsidR="00362CBD">
        <w:rPr>
          <w:lang w:val="en-GB"/>
        </w:rPr>
        <w:t>-</w:t>
      </w:r>
      <w:r w:rsidR="00362CBD">
        <w:t>understood pedagogical approaches leaving the learner unencumbered to focus on the actual learning.</w:t>
      </w:r>
    </w:p>
    <w:p w14:paraId="77C016D9" w14:textId="0118790D" w:rsidR="009303D9" w:rsidRPr="005B520E" w:rsidRDefault="005C2DA2" w:rsidP="00ED0149">
      <w:pPr>
        <w:pStyle w:val="Heading2"/>
      </w:pPr>
      <w:r>
        <w:t>Learning Activities</w:t>
      </w:r>
    </w:p>
    <w:p w14:paraId="7AE95316" w14:textId="7D5A9B47" w:rsidR="009303D9" w:rsidRDefault="005C2DA2" w:rsidP="00E7596C">
      <w:pPr>
        <w:pStyle w:val="BodyText"/>
      </w:pPr>
      <w:r w:rsidRPr="005C2DA2">
        <w:t xml:space="preserve">Blooms taxonomy </w:t>
      </w:r>
      <w:r w:rsidR="00B16F52">
        <w:rPr>
          <w:lang w:val="en-US"/>
        </w:rPr>
        <w:fldChar w:fldCharType="begin" w:fldLock="1"/>
      </w:r>
      <w:r w:rsidR="00CA71BA">
        <w:rPr>
          <w:lang w:val="en-US"/>
        </w:rPr>
        <w:instrText>ADDIN CSL_CITATION {"citationItems":[{"id":"ITEM-1","itemData":{"DOI":"1475074379","ISBN":"978-1475074376","abstract":"In M. Orey (Ed.), Emerging perspectives on learning, teaching, and technology. Retrieved &lt;insert date&gt;, from http://projects.coe.uga.edu/epltt/","author":[{"dropping-particle":"","family":"Forehand","given":"Mary","non-dropping-particle":"","parse-names":false,"suffix":""}],"container-title":"Emerging perspectives on learning, teaching, and technology","id":"ITEM-1","issued":{"date-parts":[["2010"]]},"page":"12","title":"Bloom ' s Taxonomy : Original and revised","type":"article-journal"},"uris":["http://www.mendeley.com/documents/?uuid=303b3a56-ba06-4f02-8a52-bd7fddc9cf05"]}],"mendeley":{"formattedCitation":"[18]","plainTextFormattedCitation":"[18]","previouslyFormattedCitation":"[18]"},"properties":{"noteIndex":0},"schema":"https://github.com/citation-style-language/schema/raw/master/csl-citation.json"}</w:instrText>
      </w:r>
      <w:r w:rsidR="00B16F52">
        <w:rPr>
          <w:lang w:val="en-US"/>
        </w:rPr>
        <w:fldChar w:fldCharType="separate"/>
      </w:r>
      <w:r w:rsidR="00C53F8E" w:rsidRPr="00C53F8E">
        <w:rPr>
          <w:noProof/>
          <w:lang w:val="en-US"/>
        </w:rPr>
        <w:t>[18]</w:t>
      </w:r>
      <w:r w:rsidR="00B16F52">
        <w:rPr>
          <w:lang w:val="en-US"/>
        </w:rPr>
        <w:fldChar w:fldCharType="end"/>
      </w:r>
      <w:r w:rsidR="00B16F52">
        <w:rPr>
          <w:lang w:val="en-US"/>
        </w:rPr>
        <w:t xml:space="preserve"> </w:t>
      </w:r>
      <w:r w:rsidR="00D7554C">
        <w:rPr>
          <w:lang w:val="en-GB"/>
        </w:rPr>
        <w:t>describes</w:t>
      </w:r>
      <w:r w:rsidRPr="005C2DA2">
        <w:t xml:space="preserve"> six key elements of learning: remembering, understanding, applying, </w:t>
      </w:r>
      <w:r w:rsidR="008B3DC9" w:rsidRPr="005C2DA2">
        <w:t>analysing</w:t>
      </w:r>
      <w:r w:rsidRPr="005C2DA2">
        <w:t xml:space="preserve">, evaluating and creating. Each scaffolds the next and enables deeper learning within the cognitive domain. A student must attain proficiency in the lower order before advancing to the next. Memory palaces and spaced repetition are two well-studied examples of learning activities that students use for remembering. These two activities complement one another and </w:t>
      </w:r>
      <w:r w:rsidRPr="005C2DA2">
        <w:t xml:space="preserve">can be included in the review and reflect element crucial to contemporary active learning </w:t>
      </w:r>
      <w:r w:rsidR="0013792D">
        <w:fldChar w:fldCharType="begin" w:fldLock="1"/>
      </w:r>
      <w:r w:rsidR="00CA71BA">
        <w:instrText>ADDIN CSL_CITATION {"citationItems":[{"id":"ITEM-1","itemData":{"DOI":"10.1080/00461520.2014.965823","ISSN":"0046-1520","author":[{"dropping-particle":"","family":"Chi","given":"Michelene T. H.","non-dropping-particle":"","parse-names":false,"suffix":""},{"dropping-particle":"","family":"Wylie","given":"Ruth","non-dropping-particle":"","parse-names":false,"suffix":""}],"container-title":"Educational Psychologist","id":"ITEM-1","issue":"4","issued":{"date-parts":[["2014","10","2"]]},"page":"219-243","title":"The ICAP Framework: Linking Cognitive Engagement to Active Learning Outcomes","type":"article-journal","volume":"49"},"uris":["http://www.mendeley.com/documents/?uuid=cab8d10c-4ee6-49a1-86d2-a1ef6fa887a6"]}],"mendeley":{"formattedCitation":"[19]","plainTextFormattedCitation":"[19]","previouslyFormattedCitation":"[19]"},"properties":{"noteIndex":0},"schema":"https://github.com/citation-style-language/schema/raw/master/csl-citation.json"}</w:instrText>
      </w:r>
      <w:r w:rsidR="0013792D">
        <w:fldChar w:fldCharType="separate"/>
      </w:r>
      <w:r w:rsidR="00C53F8E" w:rsidRPr="00C53F8E">
        <w:rPr>
          <w:noProof/>
        </w:rPr>
        <w:t>[19]</w:t>
      </w:r>
      <w:r w:rsidR="0013792D">
        <w:fldChar w:fldCharType="end"/>
      </w:r>
      <w:r w:rsidR="00B16F52">
        <w:rPr>
          <w:lang w:val="en-US"/>
        </w:rPr>
        <w:t>.</w:t>
      </w:r>
    </w:p>
    <w:p w14:paraId="6EAFC0CA" w14:textId="638BED4C" w:rsidR="005C2DA2" w:rsidRDefault="005C2DA2" w:rsidP="005C2DA2">
      <w:pPr>
        <w:pStyle w:val="Heading3"/>
      </w:pPr>
      <w:r>
        <w:t>Mind Palaces</w:t>
      </w:r>
    </w:p>
    <w:p w14:paraId="5484B0C7" w14:textId="77777777" w:rsidR="00D333A3" w:rsidRDefault="005C2DA2" w:rsidP="005C2DA2">
      <w:pPr>
        <w:pStyle w:val="BodyText"/>
      </w:pPr>
      <w:r>
        <w:t>The concept of a mind palace is a technique for memory recall</w:t>
      </w:r>
      <w:r w:rsidR="00B16F52">
        <w:rPr>
          <w:lang w:val="en-US"/>
        </w:rPr>
        <w:t xml:space="preserve"> </w:t>
      </w:r>
      <w:r w:rsidR="00B16F52">
        <w:fldChar w:fldCharType="begin" w:fldLock="1"/>
      </w:r>
      <w:r w:rsidR="00CA71BA">
        <w:instrText>ADDIN CSL_CITATION {"citationItems":[{"id":"ITEM-1","itemData":{"DOI":"10.1145/634067.634306","ISBN":"1581133405","author":[{"dropping-particle":"","family":"Harman","given":"Joshua","non-dropping-particle":"","parse-names":false,"suffix":""}],"container-title":"CHI '01 extended abstracts on Human factors in computing systems - CHI '01","id":"ITEM-1","issued":{"date-parts":[["2001"]]},"page":"407","publisher":"ACM Press","publisher-place":"New York, New York, USA","title":"Creating a memory palace using a computer","type":"paper-conference"},"uris":["http://www.mendeley.com/documents/?uuid=7c468e2e-4685-4231-8723-7cea6c8a4c46"]}],"mendeley":{"formattedCitation":"[20]","plainTextFormattedCitation":"[20]","previouslyFormattedCitation":"[20]"},"properties":{"noteIndex":0},"schema":"https://github.com/citation-style-language/schema/raw/master/csl-citation.json"}</w:instrText>
      </w:r>
      <w:r w:rsidR="00B16F52">
        <w:fldChar w:fldCharType="separate"/>
      </w:r>
      <w:r w:rsidR="00C53F8E" w:rsidRPr="00C53F8E">
        <w:rPr>
          <w:noProof/>
        </w:rPr>
        <w:t>[20]</w:t>
      </w:r>
      <w:r w:rsidR="00B16F52">
        <w:fldChar w:fldCharType="end"/>
      </w:r>
      <w:r>
        <w:t xml:space="preserve">. Literature uses the terms “mind palace” and “memory palace” interchangeably. In this paper, we use </w:t>
      </w:r>
      <w:r w:rsidR="005A1A2A">
        <w:rPr>
          <w:lang w:val="en-US"/>
        </w:rPr>
        <w:t>another</w:t>
      </w:r>
      <w:r>
        <w:t xml:space="preserve"> common term</w:t>
      </w:r>
      <w:r w:rsidR="005A1A2A">
        <w:rPr>
          <w:lang w:val="en-US"/>
        </w:rPr>
        <w:t>,</w:t>
      </w:r>
      <w:r w:rsidR="009B1F89">
        <w:rPr>
          <w:lang w:val="en-US"/>
        </w:rPr>
        <w:t xml:space="preserve"> </w:t>
      </w:r>
      <w:r>
        <w:t>“method of loci”</w:t>
      </w:r>
      <w:r w:rsidR="005A1A2A">
        <w:rPr>
          <w:lang w:val="en-US"/>
        </w:rPr>
        <w:t>,</w:t>
      </w:r>
      <w:r w:rsidR="009B1F89">
        <w:rPr>
          <w:lang w:val="en-US"/>
        </w:rPr>
        <w:t xml:space="preserve"> to include both ‘mind-palace’ and ‘memory palace’</w:t>
      </w:r>
      <w:r>
        <w:t xml:space="preserve">. It is a spatial mnemonic technique where information is associated with various aspects of an imagined environment. The environment can be hosted by immersive technologies as a 3D environment </w:t>
      </w:r>
      <w:r w:rsidR="00B16F52">
        <w:fldChar w:fldCharType="begin" w:fldLock="1"/>
      </w:r>
      <w:r w:rsidR="00CA71BA">
        <w:instrText>ADDIN CSL_CITATION {"citationItems":[{"id":"ITEM-1","itemData":{"author":[{"dropping-particle":"","family":"Huttner","given":"Jan-Paul","non-dropping-particle":"","parse-names":false,"suffix":""},{"dropping-particle":"","family":"Robra-Bissantz","given":"Susanne","non-dropping-particle":"","parse-names":false,"suffix":""}],"id":"ITEM-1","issued":{"date-parts":[["2017"]]},"title":"An Immersive Memory Palace: Supporting the Method of Loci with Virtual Reality","type":"paper-conference"},"uris":["http://www.mendeley.com/documents/?uuid=8293fd1c-01dd-4c67-95b1-621f4cc893f9"]}],"mendeley":{"formattedCitation":"[21]","plainTextFormattedCitation":"[21]","previouslyFormattedCitation":"[21]"},"properties":{"noteIndex":0},"schema":"https://github.com/citation-style-language/schema/raw/master/csl-citation.json"}</w:instrText>
      </w:r>
      <w:r w:rsidR="00B16F52">
        <w:fldChar w:fldCharType="separate"/>
      </w:r>
      <w:r w:rsidR="00C53F8E" w:rsidRPr="00C53F8E">
        <w:rPr>
          <w:noProof/>
        </w:rPr>
        <w:t>[21]</w:t>
      </w:r>
      <w:r w:rsidR="00B16F52">
        <w:fldChar w:fldCharType="end"/>
      </w:r>
      <w:r>
        <w:t xml:space="preserve">. Memory palaces in </w:t>
      </w:r>
      <w:r w:rsidR="007B3F25">
        <w:rPr>
          <w:lang w:val="en-GB"/>
        </w:rPr>
        <w:t>VR</w:t>
      </w:r>
      <w:r>
        <w:t xml:space="preserve"> enhance productivity through superior memory recall</w:t>
      </w:r>
      <w:r w:rsidR="00AC775E">
        <w:rPr>
          <w:lang w:val="en-US"/>
        </w:rPr>
        <w:t xml:space="preserve"> </w:t>
      </w:r>
      <w:r w:rsidR="00AC775E">
        <w:fldChar w:fldCharType="begin" w:fldLock="1"/>
      </w:r>
      <w:r w:rsidR="00CA71BA">
        <w:instrText>ADDIN CSL_CITATION {"citationItems":[{"id":"ITEM-1","itemData":{"DOI":"10.1007/s10055-018-0346-3","ISSN":"1359-4338","abstract":"Virtual reality displays, such as head-mounted displays (HMD), afford us a superior spatial awareness by leveraging our vestibular and proprioceptive senses, as compared to traditional desktop displays. Since classical times, people have used memory palaces as a spatial mnemonic to help remember information by organizing it spatially and associating it with salient features in that environment. In this paper, we explore whether using virtual memory palaces in a head-mounted display with head-tracking (HMD condition) would allow a user to better recall information than when using a traditional desktop display with a mouse-based interaction (desktop condition). We found that virtual memory palaces in HMD condition provide a superior memory recall ability compared to the desktop condition. We believe this is a first step in using virtual environments for creating more memorable experiences that enhance productivity through better recall of large amounts of information organized using the idea of virtual memory palaces.","author":[{"dropping-particle":"","family":"Krokos","given":"Eric","non-dropping-particle":"","parse-names":false,"suffix":""},{"dropping-particle":"","family":"Plaisant","given":"Catherine","non-dropping-particle":"","parse-names":false,"suffix":""},{"dropping-particle":"","family":"Varshney","given":"Amitabh","non-dropping-particle":"","parse-names":false,"suffix":""}],"container-title":"Virtual Reality","id":"ITEM-1","issue":"1","issued":{"date-parts":[["2019","3","5"]]},"page":"1-15","title":"Virtual memory palaces: immersion aids recall","type":"article-journal","volume":"23"},"uris":["http://www.mendeley.com/documents/?uuid=dab9ef0d-bd73-4036-a473-a2380270fdc4"]}],"mendeley":{"formattedCitation":"[22]","plainTextFormattedCitation":"[22]","previouslyFormattedCitation":"[22]"},"properties":{"noteIndex":0},"schema":"https://github.com/citation-style-language/schema/raw/master/csl-citation.json"}</w:instrText>
      </w:r>
      <w:r w:rsidR="00AC775E">
        <w:fldChar w:fldCharType="separate"/>
      </w:r>
      <w:r w:rsidR="00C53F8E" w:rsidRPr="00C53F8E">
        <w:rPr>
          <w:noProof/>
        </w:rPr>
        <w:t>[22]</w:t>
      </w:r>
      <w:r w:rsidR="00AC775E">
        <w:fldChar w:fldCharType="end"/>
      </w:r>
      <w:r>
        <w:t xml:space="preserve">. Pedagogical efficacy differs based on the visual implementation and immersion. </w:t>
      </w:r>
      <w:r w:rsidR="00356697">
        <w:rPr>
          <w:lang w:val="en-GB"/>
        </w:rPr>
        <w:t>M</w:t>
      </w:r>
      <w:proofErr w:type="spellStart"/>
      <w:r>
        <w:t>emory</w:t>
      </w:r>
      <w:proofErr w:type="spellEnd"/>
      <w:r>
        <w:t xml:space="preserve"> palaces in </w:t>
      </w:r>
      <w:r w:rsidR="007B3F25">
        <w:rPr>
          <w:lang w:val="en-GB"/>
        </w:rPr>
        <w:t>VR</w:t>
      </w:r>
      <w:r>
        <w:t xml:space="preserve"> show performance is increased </w:t>
      </w:r>
      <w:r w:rsidR="00356697">
        <w:rPr>
          <w:lang w:val="en-GB"/>
        </w:rPr>
        <w:t>ver</w:t>
      </w:r>
      <w:r w:rsidR="00E068EF">
        <w:rPr>
          <w:lang w:val="en-GB"/>
        </w:rPr>
        <w:t>s</w:t>
      </w:r>
      <w:r w:rsidR="00356697">
        <w:rPr>
          <w:lang w:val="en-GB"/>
        </w:rPr>
        <w:t>us</w:t>
      </w:r>
      <w:r>
        <w:t xml:space="preserve"> traditional desktop alternatives </w:t>
      </w:r>
      <w:r w:rsidR="00AC775E">
        <w:fldChar w:fldCharType="begin" w:fldLock="1"/>
      </w:r>
      <w:r w:rsidR="00CA71BA">
        <w:instrText>ADDIN CSL_CITATION {"citationItems":[{"id":"ITEM-1","itemData":{"author":[{"dropping-particle":"","family":"Huttner","given":"Jan-Paul","non-dropping-particle":"","parse-names":false,"suffix":""},{"dropping-particle":"","family":"Robra-Bissantz","given":"Susanne","non-dropping-particle":"","parse-names":false,"suffix":""}],"id":"ITEM-1","issued":{"date-parts":[["2017"]]},"title":"An Immersive Memory Palace: Supporting the Method of Loci with Virtual Reality","type":"paper-conference"},"uris":["http://www.mendeley.com/documents/?uuid=8293fd1c-01dd-4c67-95b1-621f4cc893f9"]}],"mendeley":{"formattedCitation":"[21]","plainTextFormattedCitation":"[21]","previouslyFormattedCitation":"[21]"},"properties":{"noteIndex":0},"schema":"https://github.com/citation-style-language/schema/raw/master/csl-citation.json"}</w:instrText>
      </w:r>
      <w:r w:rsidR="00AC775E">
        <w:fldChar w:fldCharType="separate"/>
      </w:r>
      <w:r w:rsidR="00C53F8E" w:rsidRPr="00C53F8E">
        <w:rPr>
          <w:noProof/>
        </w:rPr>
        <w:t>[21]</w:t>
      </w:r>
      <w:r w:rsidR="00AC775E">
        <w:fldChar w:fldCharType="end"/>
      </w:r>
      <w:r>
        <w:t xml:space="preserve">. Reggente et al. </w:t>
      </w:r>
      <w:r w:rsidR="00AC775E">
        <w:fldChar w:fldCharType="begin" w:fldLock="1"/>
      </w:r>
      <w:r w:rsidR="00CA71BA">
        <w:instrText>ADDIN CSL_CITATION {"citationItems":[{"id":"ITEM-1","itemData":{"DOI":"10.1007/s41465-019-00141-8","ISSN":"2509-3290","author":[{"dropping-particle":"","family":"Reggente","given":"Nicco","non-dropping-particle":"","parse-names":false,"suffix":""},{"dropping-particle":"","family":"Essoe","given":"Joey K. Y.","non-dropping-particle":"","parse-names":false,"suffix":""},{"dropping-particle":"","family":"Baek","given":"Hera Younji","non-dropping-particle":"","parse-names":false,"suffix":""},{"dropping-particle":"","family":"Rissman","given":"Jesse","non-dropping-particle":"","parse-names":false,"suffix":""}],"container-title":"Journal of Cognitive Enhancement","id":"ITEM-1","issue":"1","issued":{"date-parts":[["2020","3","5"]]},"page":"12-30","title":"The Method of Loci in Virtual Reality: Explicit Binding of Objects to Spatial Contexts Enhances Subsequent Memory Recall","type":"article-journal","volume":"4"},"uris":["http://www.mendeley.com/documents/?uuid=053a5e60-c923-4577-b4eb-8d8ef7f88eba"]}],"mendeley":{"formattedCitation":"[23]","plainTextFormattedCitation":"[23]","previouslyFormattedCitation":"[23]"},"properties":{"noteIndex":0},"schema":"https://github.com/citation-style-language/schema/raw/master/csl-citation.json"}</w:instrText>
      </w:r>
      <w:r w:rsidR="00AC775E">
        <w:fldChar w:fldCharType="separate"/>
      </w:r>
      <w:r w:rsidR="00C53F8E" w:rsidRPr="00C53F8E">
        <w:rPr>
          <w:noProof/>
        </w:rPr>
        <w:t>[23]</w:t>
      </w:r>
      <w:r w:rsidR="00AC775E">
        <w:fldChar w:fldCharType="end"/>
      </w:r>
      <w:r>
        <w:t xml:space="preserve"> showed spatially mediated spaces are effective in supporting memory palace techniques.</w:t>
      </w:r>
      <w:r w:rsidR="00DD7AA6">
        <w:rPr>
          <w:lang w:val="en-GB"/>
        </w:rPr>
        <w:t xml:space="preserve"> </w:t>
      </w:r>
      <w:r>
        <w:t xml:space="preserve">This motivates our choice of selecting </w:t>
      </w:r>
      <w:r w:rsidR="009B1F89">
        <w:rPr>
          <w:lang w:val="en-US"/>
        </w:rPr>
        <w:t xml:space="preserve">the </w:t>
      </w:r>
      <w:r>
        <w:t xml:space="preserve">memory palace technique for integration into </w:t>
      </w:r>
      <w:r w:rsidR="008B3DC9">
        <w:t>CloVR’s</w:t>
      </w:r>
      <w:r>
        <w:t xml:space="preserve"> active learning space </w:t>
      </w:r>
      <w:r w:rsidR="00356697">
        <w:rPr>
          <w:lang w:val="en-GB"/>
        </w:rPr>
        <w:t>to</w:t>
      </w:r>
      <w:r>
        <w:t xml:space="preserve"> assist the cognitive processes of students. </w:t>
      </w:r>
      <w:r w:rsidR="00356697">
        <w:rPr>
          <w:lang w:val="en-GB"/>
        </w:rPr>
        <w:t>The</w:t>
      </w:r>
      <w:r>
        <w:t xml:space="preserve"> mind-palace technique follows a set of steps. The first </w:t>
      </w:r>
      <w:r w:rsidR="00356697">
        <w:rPr>
          <w:lang w:val="en-GB"/>
        </w:rPr>
        <w:t>places the</w:t>
      </w:r>
      <w:r>
        <w:t xml:space="preserve"> user in a familiar environment, e.g., the user’s home. Next the user recollects and visualizes a piece of information that needs to be remembered. The user then “places” the visualized form of the information within their environment. This is repeated for each piece of information to be stored and each is positioned at a </w:t>
      </w:r>
      <w:r w:rsidR="00356697">
        <w:rPr>
          <w:lang w:val="en-GB"/>
        </w:rPr>
        <w:t>different location</w:t>
      </w:r>
      <w:r>
        <w:t>. To retrieve the information, the user retraces their path, observing and interacting with the pieces of information in their locations.</w:t>
      </w:r>
    </w:p>
    <w:p w14:paraId="0018984A" w14:textId="2CB91C70" w:rsidR="005C2DA2" w:rsidRDefault="005C2DA2" w:rsidP="005C2DA2">
      <w:pPr>
        <w:pStyle w:val="BodyText"/>
      </w:pPr>
      <w:r>
        <w:t xml:space="preserve"> This conceptualization of the mind-palace experience is grounded in enactive thinking </w:t>
      </w:r>
      <w:r w:rsidR="00AC775E">
        <w:fldChar w:fldCharType="begin" w:fldLock="1"/>
      </w:r>
      <w:r w:rsidR="00CA71BA">
        <w:instrText>ADDIN CSL_CITATION {"citationItems":[{"id":"ITEM-1","itemData":{"DOI":"10.1016/j.concog.2019.102834","ISSN":"10538100","author":[{"dropping-particle":"","family":"Peeters","given":"Anco","non-dropping-particle":"","parse-names":false,"suffix":""},{"dropping-particle":"","family":"Segundo-Ortin","given":"Miguel","non-dropping-particle":"","parse-names":false,"suffix":""}],"container-title":"Consciousness and Cognition","id":"ITEM-1","issued":{"date-parts":[["2019","11"]]},"page":"102834","title":"Misplacing memories? An enactive approach to the virtual memory palace","type":"article-journal","volume":"76"},"uris":["http://www.mendeley.com/documents/?uuid=575542e2-fd62-444a-877d-503418c94641"]}],"mendeley":{"formattedCitation":"[24]","plainTextFormattedCitation":"[24]","previouslyFormattedCitation":"[24]"},"properties":{"noteIndex":0},"schema":"https://github.com/citation-style-language/schema/raw/master/csl-citation.json"}</w:instrText>
      </w:r>
      <w:r w:rsidR="00AC775E">
        <w:fldChar w:fldCharType="separate"/>
      </w:r>
      <w:r w:rsidR="00C53F8E" w:rsidRPr="00C53F8E">
        <w:rPr>
          <w:noProof/>
        </w:rPr>
        <w:t>[24]</w:t>
      </w:r>
      <w:r w:rsidR="00AC775E">
        <w:fldChar w:fldCharType="end"/>
      </w:r>
      <w:r>
        <w:t xml:space="preserve"> and provides the basis for our interpretation that a memory palace consists </w:t>
      </w:r>
      <w:r w:rsidR="005A1A2A">
        <w:rPr>
          <w:lang w:val="en-US"/>
        </w:rPr>
        <w:t>of</w:t>
      </w:r>
      <w:r>
        <w:t xml:space="preserve"> a location, visualizations, and a journey.</w:t>
      </w:r>
      <w:r w:rsidR="005A1A2A">
        <w:rPr>
          <w:lang w:val="en-US"/>
        </w:rPr>
        <w:t xml:space="preserve"> T</w:t>
      </w:r>
      <w:r>
        <w:t xml:space="preserve">he location sets the context of the virtual journey and the visualizations are pieces of information the participant </w:t>
      </w:r>
      <w:r w:rsidR="005A1A2A">
        <w:rPr>
          <w:lang w:val="en-US"/>
        </w:rPr>
        <w:t>wants</w:t>
      </w:r>
      <w:r>
        <w:t xml:space="preserve"> to remember or recall. The journey </w:t>
      </w:r>
      <w:r w:rsidR="005A1A2A">
        <w:rPr>
          <w:lang w:val="en-US"/>
        </w:rPr>
        <w:t>is</w:t>
      </w:r>
      <w:r>
        <w:t xml:space="preserve"> a way of serializing this information</w:t>
      </w:r>
      <w:r w:rsidR="007C0F1D">
        <w:rPr>
          <w:lang w:val="en-US"/>
        </w:rPr>
        <w:t>,</w:t>
      </w:r>
      <w:r>
        <w:t xml:space="preserve"> </w:t>
      </w:r>
      <w:r w:rsidR="005A1A2A">
        <w:rPr>
          <w:lang w:val="en-US"/>
        </w:rPr>
        <w:t>aiding</w:t>
      </w:r>
      <w:r>
        <w:t xml:space="preserve"> its mnemonic recall. The journey is created and controlled by the user while technology </w:t>
      </w:r>
      <w:r w:rsidR="007C0F1D">
        <w:rPr>
          <w:lang w:val="en-US"/>
        </w:rPr>
        <w:t>mediates</w:t>
      </w:r>
      <w:r>
        <w:t xml:space="preserve"> the location and visualization aspects. </w:t>
      </w:r>
      <w:r w:rsidR="007C0F1D">
        <w:rPr>
          <w:lang w:val="en-US"/>
        </w:rPr>
        <w:t>S</w:t>
      </w:r>
      <w:proofErr w:type="spellStart"/>
      <w:r>
        <w:t>tudies</w:t>
      </w:r>
      <w:proofErr w:type="spellEnd"/>
      <w:r>
        <w:t xml:space="preserve"> suggest the memory palace approach should utilize familiar environments </w:t>
      </w:r>
      <w:r w:rsidR="00AC775E" w:rsidRPr="002534BE">
        <w:rPr>
          <w:color w:val="000000" w:themeColor="text1"/>
        </w:rPr>
        <w:fldChar w:fldCharType="begin" w:fldLock="1"/>
      </w:r>
      <w:r w:rsidR="00CA71BA">
        <w:rPr>
          <w:color w:val="000000" w:themeColor="text1"/>
        </w:rPr>
        <w:instrText>ADDIN CSL_CITATION {"citationItems":[{"id":"ITEM-1","itemData":{"DOI":"10.1007/s10339-012-0438-z","ISSN":"1612-4782","author":[{"dropping-particle":"","family":"Madan","given":"Christopher R.","non-dropping-particle":"","parse-names":false,"suffix":""},{"dropping-particle":"","family":"Singhal","given":"Anthony","non-dropping-particle":"","parse-names":false,"suffix":""}],"container-title":"Cognitive Processing","id":"ITEM-1","issue":"3","issued":{"date-parts":[["2012","8","31"]]},"page":"211-229","title":"Motor imagery and higher-level cognition: four hurdles before research can sprint forward","type":"article-journal","volume":"13"},"uris":["http://www.mendeley.com/documents/?uuid=88adff59-1e5f-4876-b9e2-d57209d655be"]},{"id":"ITEM-2","itemData":{"author":[{"dropping-particle":"","family":"Yates","given":"Franci Amelia","non-dropping-particle":"","parse-names":false,"suffix":""}],"id":"ITEM-2","issued":{"date-parts":[["1966"]]},"publisher":"Routledge and Kegan Paul","publisher-place":"London","title":"The Art of memory","type":"book"},"uris":["http://www.mendeley.com/documents/?uuid=925d0ded-4454-4b33-ba00-61d36d458507"]}],"mendeley":{"formattedCitation":"[25], [26]","plainTextFormattedCitation":"[25], [26]","previouslyFormattedCitation":"[25], [26]"},"properties":{"noteIndex":0},"schema":"https://github.com/citation-style-language/schema/raw/master/csl-citation.json"}</w:instrText>
      </w:r>
      <w:r w:rsidR="00AC775E" w:rsidRPr="002534BE">
        <w:rPr>
          <w:color w:val="000000" w:themeColor="text1"/>
        </w:rPr>
        <w:fldChar w:fldCharType="separate"/>
      </w:r>
      <w:r w:rsidR="00C53F8E" w:rsidRPr="00C53F8E">
        <w:rPr>
          <w:noProof/>
          <w:color w:val="000000" w:themeColor="text1"/>
        </w:rPr>
        <w:t>[25], [26]</w:t>
      </w:r>
      <w:r w:rsidR="00AC775E" w:rsidRPr="002534BE">
        <w:rPr>
          <w:color w:val="000000" w:themeColor="text1"/>
        </w:rPr>
        <w:fldChar w:fldCharType="end"/>
      </w:r>
      <w:r>
        <w:t xml:space="preserve">, but evidence to the contrary </w:t>
      </w:r>
      <w:r w:rsidR="00AC775E" w:rsidRPr="002534BE">
        <w:rPr>
          <w:color w:val="000000" w:themeColor="text1"/>
        </w:rPr>
        <w:fldChar w:fldCharType="begin" w:fldLock="1"/>
      </w:r>
      <w:r w:rsidR="00CA71BA">
        <w:rPr>
          <w:color w:val="000000" w:themeColor="text1"/>
        </w:rPr>
        <w:instrText>ADDIN CSL_CITATION {"citationItems":[{"id":"ITEM-1","itemData":{"DOI":"10.1016/j.actpsy.2012.09.002","ISSN":"00016918","author":[{"dropping-particle":"","family":"Legge","given":"Eric L.G.","non-dropping-particle":"","parse-names":false,"suffix":""},{"dropping-particle":"","family":"Madan","given":"Christopher R.","non-dropping-particle":"","parse-names":false,"suffix":""},{"dropping-particle":"","family":"Ng","given":"Enoch T.","non-dropping-particle":"","parse-names":false,"suffix":""},{"dropping-particle":"","family":"Caplan","given":"Jeremy B.","non-dropping-particle":"","parse-names":false,"suffix":""}],"container-title":"Acta Psychologica","id":"ITEM-1","issue":"3","issued":{"date-parts":[["2012","11"]]},"page":"380-390","title":"Building a memory palace in minutes: Equivalent memory performance using virtual versus conventional environments with the Method of Loci","type":"article-journal","volume":"141"},"uris":["http://www.mendeley.com/documents/?uuid=0230201e-dc05-49de-8fe1-8fae9971e7e8"]}],"mendeley":{"formattedCitation":"[27]","plainTextFormattedCitation":"[27]","previouslyFormattedCitation":"[27]"},"properties":{"noteIndex":0},"schema":"https://github.com/citation-style-language/schema/raw/master/csl-citation.json"}</w:instrText>
      </w:r>
      <w:r w:rsidR="00AC775E" w:rsidRPr="002534BE">
        <w:rPr>
          <w:color w:val="000000" w:themeColor="text1"/>
        </w:rPr>
        <w:fldChar w:fldCharType="separate"/>
      </w:r>
      <w:r w:rsidR="00C53F8E" w:rsidRPr="00C53F8E">
        <w:rPr>
          <w:noProof/>
          <w:color w:val="000000" w:themeColor="text1"/>
        </w:rPr>
        <w:t>[27]</w:t>
      </w:r>
      <w:r w:rsidR="00AC775E" w:rsidRPr="002534BE">
        <w:rPr>
          <w:color w:val="000000" w:themeColor="text1"/>
        </w:rPr>
        <w:fldChar w:fldCharType="end"/>
      </w:r>
      <w:r w:rsidR="00AC775E">
        <w:rPr>
          <w:color w:val="000000" w:themeColor="text1"/>
          <w:lang w:val="en-US"/>
        </w:rPr>
        <w:t xml:space="preserve"> </w:t>
      </w:r>
      <w:r>
        <w:t xml:space="preserve">suggests </w:t>
      </w:r>
      <w:r w:rsidR="007C0F1D">
        <w:rPr>
          <w:lang w:val="en-US"/>
        </w:rPr>
        <w:t>it is</w:t>
      </w:r>
      <w:r>
        <w:t xml:space="preserve"> recognizability instead of familiarity that matters. </w:t>
      </w:r>
      <w:r w:rsidR="008B3DC9">
        <w:t>CloVR</w:t>
      </w:r>
      <w:r>
        <w:t xml:space="preserve"> </w:t>
      </w:r>
      <w:r w:rsidR="007C0F1D">
        <w:rPr>
          <w:lang w:val="en-US"/>
        </w:rPr>
        <w:t>grounds</w:t>
      </w:r>
      <w:r>
        <w:t xml:space="preserve"> the use of virtual mind-palaces as a learning tool and further</w:t>
      </w:r>
      <w:r w:rsidR="007C0F1D">
        <w:rPr>
          <w:lang w:val="en-US"/>
        </w:rPr>
        <w:t>s</w:t>
      </w:r>
      <w:r>
        <w:t xml:space="preserve"> the exploration in creating shared experiences. Such experiences set in a common mind-palace, involving shared conversations around visualizations are underexplored</w:t>
      </w:r>
      <w:r w:rsidR="007C0F1D">
        <w:rPr>
          <w:lang w:val="en-US"/>
        </w:rPr>
        <w:t xml:space="preserve"> in a  paragogical context</w:t>
      </w:r>
      <w:r>
        <w:t>.</w:t>
      </w:r>
    </w:p>
    <w:p w14:paraId="3ACB30F9" w14:textId="2D12D620" w:rsidR="005C2DA2" w:rsidRDefault="005C2DA2" w:rsidP="005C2DA2">
      <w:pPr>
        <w:pStyle w:val="Heading3"/>
      </w:pPr>
      <w:r>
        <w:t>Spaced Repetition</w:t>
      </w:r>
    </w:p>
    <w:p w14:paraId="4BDC83D1" w14:textId="2C4173D4" w:rsidR="005C2DA2" w:rsidRDefault="005C2DA2" w:rsidP="005C2DA2">
      <w:pPr>
        <w:pStyle w:val="BodyText"/>
      </w:pPr>
      <w:r>
        <w:t>Spaced repetition is a</w:t>
      </w:r>
      <w:r w:rsidR="007C0F1D">
        <w:rPr>
          <w:lang w:val="en-US"/>
        </w:rPr>
        <w:t xml:space="preserve"> </w:t>
      </w:r>
      <w:r>
        <w:t xml:space="preserve">repetitive technique used to train the brain to retain knowledge for long term memory </w:t>
      </w:r>
      <w:r w:rsidR="00AC775E">
        <w:fldChar w:fldCharType="begin" w:fldLock="1"/>
      </w:r>
      <w:r w:rsidR="00CA71BA">
        <w:instrText>ADDIN CSL_CITATION {"citationItems":[{"id":"ITEM-1","itemData":{"DOI":"10.1080/00221309.1965.9711263","ISSN":"0022-1309","author":[{"dropping-particle":"","family":"Ausubel","given":"David P.","non-dropping-particle":"","parse-names":false,"suffix":""},{"dropping-particle":"","family":"Youssef","given":"Mohamed","non-dropping-particle":"","parse-names":false,"suffix":""}],"container-title":"The Journal of General Psychology","id":"ITEM-1","issue":"1","issued":{"date-parts":[["1965","10","6"]]},"page":"147-150","title":"The Effect of Spaced Repetition on Meaningful Retention","type":"article-journal","volume":"73"},"uris":["http://www.mendeley.com/documents/?uuid=f4aeee59-0178-4a95-8534-5bfb54c43308"]}],"mendeley":{"formattedCitation":"[28]","plainTextFormattedCitation":"[28]","previouslyFormattedCitation":"[28]"},"properties":{"noteIndex":0},"schema":"https://github.com/citation-style-language/schema/raw/master/csl-citation.json"}</w:instrText>
      </w:r>
      <w:r w:rsidR="00AC775E">
        <w:fldChar w:fldCharType="separate"/>
      </w:r>
      <w:r w:rsidR="00C53F8E" w:rsidRPr="00C53F8E">
        <w:rPr>
          <w:noProof/>
        </w:rPr>
        <w:t>[28]</w:t>
      </w:r>
      <w:r w:rsidR="00AC775E">
        <w:fldChar w:fldCharType="end"/>
      </w:r>
      <w:r>
        <w:t>. Using spaced repetition</w:t>
      </w:r>
      <w:r w:rsidR="007B3F25">
        <w:rPr>
          <w:lang w:val="en-GB"/>
        </w:rPr>
        <w:t>, e.g. flashcards,</w:t>
      </w:r>
      <w:r>
        <w:t xml:space="preserve"> </w:t>
      </w:r>
      <w:r w:rsidR="00E27D05">
        <w:rPr>
          <w:lang w:val="en-GB"/>
        </w:rPr>
        <w:t>in</w:t>
      </w:r>
      <w:r>
        <w:t xml:space="preserve"> active learning strategies strengthens the</w:t>
      </w:r>
      <w:r w:rsidR="007C0F1D">
        <w:rPr>
          <w:lang w:val="en-US"/>
        </w:rPr>
        <w:t xml:space="preserve"> </w:t>
      </w:r>
      <w:r>
        <w:t>“review and reflect” elements of active learning. This heuristic technique strengthen</w:t>
      </w:r>
      <w:r w:rsidR="007B3F25">
        <w:rPr>
          <w:lang w:val="en-GB"/>
        </w:rPr>
        <w:t>s</w:t>
      </w:r>
      <w:r>
        <w:t xml:space="preserve"> long term memory and reduce</w:t>
      </w:r>
      <w:r w:rsidR="007B3F25">
        <w:rPr>
          <w:lang w:val="en-GB"/>
        </w:rPr>
        <w:t>s</w:t>
      </w:r>
      <w:r>
        <w:t xml:space="preserve"> memory decay </w:t>
      </w:r>
      <w:r w:rsidR="00AC775E">
        <w:fldChar w:fldCharType="begin" w:fldLock="1"/>
      </w:r>
      <w:r w:rsidR="00CA71BA">
        <w:instrText>ADDIN CSL_CITATION {"citationItems":[{"id":"ITEM-1","itemData":{"DOI":"10.1038/nrn.2015.18","ISSN":"1471-003X","author":[{"dropping-particle":"","family":"Smolen","given":"Paul","non-dropping-particle":"","parse-names":false,"suffix":""},{"dropping-particle":"","family":"Zhang","given":"Yili","non-dropping-particle":"","parse-names":false,"suffix":""},{"dropping-particle":"","family":"Byrne","given":"John H.","non-dropping-particle":"","parse-names":false,"suffix":""}],"container-title":"Nature Reviews Neuroscience","id":"ITEM-1","issue":"2","issued":{"date-parts":[["2016","2","25"]]},"page":"77-88","title":"The right time to learn: mechanisms and optimization of spaced learning","type":"article-journal","volume":"17"},"uris":["http://www.mendeley.com/documents/?uuid=017f43fc-5c23-4d7b-9dbc-1e9aa29c13ef"]}],"mendeley":{"formattedCitation":"[29]","plainTextFormattedCitation":"[29]","previouslyFormattedCitation":"[29]"},"properties":{"noteIndex":0},"schema":"https://github.com/citation-style-language/schema/raw/master/csl-citation.json"}</w:instrText>
      </w:r>
      <w:r w:rsidR="00AC775E">
        <w:fldChar w:fldCharType="separate"/>
      </w:r>
      <w:r w:rsidR="00C53F8E" w:rsidRPr="00C53F8E">
        <w:rPr>
          <w:noProof/>
        </w:rPr>
        <w:t>[29]</w:t>
      </w:r>
      <w:r w:rsidR="00AC775E">
        <w:fldChar w:fldCharType="end"/>
      </w:r>
      <w:r>
        <w:t xml:space="preserve">. It </w:t>
      </w:r>
      <w:r w:rsidR="007B3F25">
        <w:rPr>
          <w:lang w:val="en-GB"/>
        </w:rPr>
        <w:t xml:space="preserve">also </w:t>
      </w:r>
      <w:r>
        <w:t>increase</w:t>
      </w:r>
      <w:r w:rsidR="007C0F1D">
        <w:rPr>
          <w:lang w:val="en-US"/>
        </w:rPr>
        <w:t>s</w:t>
      </w:r>
      <w:r>
        <w:t xml:space="preserve"> efficacy of learning compared to mass learning </w:t>
      </w:r>
      <w:r w:rsidR="00AC775E">
        <w:fldChar w:fldCharType="begin" w:fldLock="1"/>
      </w:r>
      <w:r w:rsidR="00CA71BA">
        <w:instrText>ADDIN CSL_CITATION {"citationItems":[{"id":"ITEM-1","itemData":{"DOI":"10.1177/2372732215624708","ISSN":"2372-7322","abstract":"Concern that students in the United States are less proficient in mathematics, science, and reading than their peers in other countries has led some to question whether American students spend enough time in school. Instead of debating the amount of time that should be spent in school (and on schoolwork), this article addresses how the available instructional time might be optimally utilized via the scheduling of review or practice. Hundreds of studies in cognitive and educational psychology have demonstrated that spacing out repeated encounters with the material over time produces superior long-term learning, compared with repetitions that are massed together. Also, incorporating tests into spaced practice amplifies the benefits. Spaced review or practice enhances diverse forms of learning, including memory, problem solving, and generalization to new situations. Spaced practice is a feasible and cost-effective way to improve the effectiveness and efficiency of learning, and has tremendous potential to improve educational outcomes. The article also discusses barriers to adopting spaced practice, recent developments, and their possible implications.","author":[{"dropping-particle":"","family":"Kang","given":"Sean H. K.","non-dropping-particle":"","parse-names":false,"suffix":""}],"container-title":"Policy Insights from the Behavioral and Brain Sciences","id":"ITEM-1","issue":"1","issued":{"date-parts":[["2016","3","13"]]},"page":"12-19","title":"Spaced Repetition Promotes Efficient and Effective Learning","type":"article-journal","volume":"3"},"uris":["http://www.mendeley.com/documents/?uuid=b81010b4-a062-482a-8653-74912d5dc195"]}],"mendeley":{"formattedCitation":"[30]","plainTextFormattedCitation":"[30]","previouslyFormattedCitation":"[30]"},"properties":{"noteIndex":0},"schema":"https://github.com/citation-style-language/schema/raw/master/csl-citation.json"}</w:instrText>
      </w:r>
      <w:r w:rsidR="00AC775E">
        <w:fldChar w:fldCharType="separate"/>
      </w:r>
      <w:r w:rsidR="00C53F8E" w:rsidRPr="00C53F8E">
        <w:rPr>
          <w:noProof/>
        </w:rPr>
        <w:t>[30]</w:t>
      </w:r>
      <w:r w:rsidR="00AC775E">
        <w:fldChar w:fldCharType="end"/>
      </w:r>
      <w:r w:rsidR="00AC775E">
        <w:rPr>
          <w:lang w:val="en-US"/>
        </w:rPr>
        <w:t xml:space="preserve"> </w:t>
      </w:r>
      <w:r>
        <w:t>and boost</w:t>
      </w:r>
      <w:r w:rsidR="007C0F1D">
        <w:rPr>
          <w:lang w:val="en-US"/>
        </w:rPr>
        <w:t>s</w:t>
      </w:r>
      <w:r>
        <w:t xml:space="preserve"> learner confidence </w:t>
      </w:r>
      <w:r w:rsidR="00AC775E">
        <w:fldChar w:fldCharType="begin" w:fldLock="1"/>
      </w:r>
      <w:r w:rsidR="00CA71BA">
        <w:instrText>ADDIN CSL_CITATION {"citationItems":[{"id":"ITEM-1","itemData":{"DOI":"10.1145/2371574.2371641","author":[{"dropping-particle":"","family":"Edge","given":"Darren","non-dropping-particle":"","parse-names":false,"suffix":""},{"dropping-particle":"","family":"Fitchett","given":"Stephen","non-dropping-particle":"","parse-names":false,"suffix":""},{"dropping-particle":"","family":"Whitney","given":"Michael","non-dropping-particle":"","parse-names":false,"suffix":""},{"dropping-particle":"","family":"Landay","given":"James","non-dropping-particle":"","parse-names":false,"suffix":""}],"container-title":"Proceedings of the 14th international conference on Human-computer interaction with mobile devices and services","id":"ITEM-1","issued":{"date-parts":[["2012"]]},"page":"431–440","publisher":"Association for Computing Machinery","publisher-place":"San Francisco, California, USA","title":"MemReflex: adaptive flashcards for mobile microlearning","type":"article"},"uris":["http://www.mendeley.com/documents/?uuid=641d70f9-e1ba-45a4-ac74-14abda7773ce"]}],"mendeley":{"formattedCitation":"[31]","plainTextFormattedCitation":"[31]","previouslyFormattedCitation":"[31]"},"properties":{"noteIndex":0},"schema":"https://github.com/citation-style-language/schema/raw/master/csl-citation.json"}</w:instrText>
      </w:r>
      <w:r w:rsidR="00AC775E">
        <w:fldChar w:fldCharType="separate"/>
      </w:r>
      <w:r w:rsidR="00C53F8E" w:rsidRPr="00C53F8E">
        <w:rPr>
          <w:noProof/>
        </w:rPr>
        <w:t>[31]</w:t>
      </w:r>
      <w:r w:rsidR="00AC775E">
        <w:fldChar w:fldCharType="end"/>
      </w:r>
      <w:r w:rsidR="00AC775E">
        <w:t>.</w:t>
      </w:r>
      <w:r w:rsidR="00AC775E">
        <w:rPr>
          <w:lang w:val="en-US"/>
        </w:rPr>
        <w:t xml:space="preserve"> </w:t>
      </w:r>
      <w:r>
        <w:t xml:space="preserve">The focus of research in spaced repetition is the identification of timing protocols and algorithms to identify the optimal times </w:t>
      </w:r>
      <w:r w:rsidR="00AC775E">
        <w:fldChar w:fldCharType="begin" w:fldLock="1"/>
      </w:r>
      <w:r w:rsidR="00CA71BA">
        <w:instrText>ADDIN CSL_CITATION {"citationItems":[{"id":"ITEM-1","itemData":{"DOI":"10.1073/pnas.1815156116","ISSN":"0027-8424","abstract":"Spaced repetition is a technique for efficient memorization which uses repeated review of content following a schedule determined by a spaced repetition algorithm to improve long-term retention. However, current spaced repetition algorithms are simple rule-based heuristics with a few hard-coded parameters. Here, we introduce a flexible representation of spaced repetition using the framework of marked temporal point processes and then address the design of spaced repetition algorithms with provable guarantees as an optimal control problem for stochastic differential equations with jumps. For two well-known human memory models, we show that, if the learner aims to maximize recall probability of the content to be learned subject to a cost on the reviewing frequency, the optimal reviewing schedule is given by the recall probability itself. As a result, we can then develop a simple, scalable online spaced repetition algorithm, MEMORIZE, to determine the optimal reviewing times. We perform a large-scale natural experiment using data from Duolingo, a popular language-learning online platform, and show that learners who follow a reviewing schedule determined by our algorithm memorize more effectively than learners who follow alternative schedules determined by several heuristics.","author":[{"dropping-particle":"","family":"Tabibian","given":"Behzad","non-dropping-particle":"","parse-names":false,"suffix":""},{"dropping-particle":"","family":"Upadhyay","given":"Utkarsh","non-dropping-particle":"","parse-names":false,"suffix":""},{"dropping-particle":"","family":"De","given":"Abir","non-dropping-particle":"","parse-names":false,"suffix":""},{"dropping-particle":"","family":"Zarezade","given":"Ali","non-dropping-particle":"","parse-names":false,"suffix":""},{"dropping-particle":"","family":"Schölkopf","given":"Bernhard","non-dropping-particle":"","parse-names":false,"suffix":""},{"dropping-particle":"","family":"Gomez-Rodriguez","given":"Manuel","non-dropping-particle":"","parse-names":false,"suffix":""}],"container-title":"Proceedings of the National Academy of Sciences","id":"ITEM-1","issue":"10","issued":{"date-parts":[["2019","3","5"]]},"page":"3988-3993","title":"Enhancing human learning via spaced repetition optimization","type":"article-journal","volume":"116"},"uris":["http://www.mendeley.com/documents/?uuid=c306346b-0445-4734-9240-16a260503dbd"]}],"mendeley":{"formattedCitation":"[32]","plainTextFormattedCitation":"[32]","previouslyFormattedCitation":"[32]"},"properties":{"noteIndex":0},"schema":"https://github.com/citation-style-language/schema/raw/master/csl-citation.json"}</w:instrText>
      </w:r>
      <w:r w:rsidR="00AC775E">
        <w:fldChar w:fldCharType="separate"/>
      </w:r>
      <w:r w:rsidR="00C53F8E" w:rsidRPr="00C53F8E">
        <w:rPr>
          <w:noProof/>
        </w:rPr>
        <w:t>[32]</w:t>
      </w:r>
      <w:r w:rsidR="00AC775E">
        <w:fldChar w:fldCharType="end"/>
      </w:r>
      <w:r w:rsidR="00AC775E">
        <w:rPr>
          <w:lang w:val="en-US"/>
        </w:rPr>
        <w:t xml:space="preserve"> </w:t>
      </w:r>
      <w:r>
        <w:t>when repetition is to be carried out.</w:t>
      </w:r>
    </w:p>
    <w:p w14:paraId="0CF0CAEA" w14:textId="3EF39183" w:rsidR="005C2DA2" w:rsidRDefault="005C2DA2" w:rsidP="005C2DA2">
      <w:pPr>
        <w:pStyle w:val="BodyText"/>
      </w:pPr>
      <w:r>
        <w:t xml:space="preserve">Technology is ideally placed to mediate the use of spaced repetition without manual actions from a teacher/lecturer. </w:t>
      </w:r>
      <w:r>
        <w:lastRenderedPageBreak/>
        <w:t xml:space="preserve">Spaced repetition is beneficial under collaborative conditions </w:t>
      </w:r>
      <w:r w:rsidR="00D65569">
        <w:fldChar w:fldCharType="begin" w:fldLock="1"/>
      </w:r>
      <w:r w:rsidR="00CA71BA">
        <w:instrText>ADDIN CSL_CITATION {"citationItems":[{"id":"ITEM-1","itemData":{"DOI":"10.1037/a0024308","ISSN":"1939-2222","author":[{"dropping-particle":"","family":"Congleton","given":"Adam R.","non-dropping-particle":"","parse-names":false,"suffix":""},{"dropping-particle":"","family":"Rajaram","given":"Suparna","non-dropping-particle":"","parse-names":false,"suffix":""}],"container-title":"Journal of Experimental Psychology: General","id":"ITEM-1","issue":"4","issued":{"date-parts":[["2011"]]},"page":"535-551","title":"The influence of learning methods on collaboration: Prior repeated retrieval enhances retrieval organization, abolishes collaborative inhibition, and promotes post-collaborative memory.","type":"article-journal","volume":"140"},"uris":["http://www.mendeley.com/documents/?uuid=64b63661-8d58-4676-bdba-a440973b16ac"]}],"mendeley":{"formattedCitation":"[33]","plainTextFormattedCitation":"[33]","previouslyFormattedCitation":"[33]"},"properties":{"noteIndex":0},"schema":"https://github.com/citation-style-language/schema/raw/master/csl-citation.json"}</w:instrText>
      </w:r>
      <w:r w:rsidR="00D65569">
        <w:fldChar w:fldCharType="separate"/>
      </w:r>
      <w:r w:rsidR="00C53F8E" w:rsidRPr="00C53F8E">
        <w:rPr>
          <w:noProof/>
        </w:rPr>
        <w:t>[33]</w:t>
      </w:r>
      <w:r w:rsidR="00D65569">
        <w:fldChar w:fldCharType="end"/>
      </w:r>
      <w:r>
        <w:t xml:space="preserve">. </w:t>
      </w:r>
      <w:r w:rsidR="00CE7594">
        <w:rPr>
          <w:lang w:val="en-GB"/>
        </w:rPr>
        <w:t>S</w:t>
      </w:r>
      <w:r>
        <w:t>paced repetition follows a set of steps. The first is the identification of the content in need of repetition. In its simplest form, the content can take the form of single word</w:t>
      </w:r>
      <w:r w:rsidR="00955F23">
        <w:rPr>
          <w:lang w:val="en-US"/>
        </w:rPr>
        <w:t>s</w:t>
      </w:r>
      <w:r>
        <w:t xml:space="preserve"> or word-pairs. This can be expanded to cover relevant details associated with the initial content. The expansion of details can continue </w:t>
      </w:r>
      <w:r w:rsidR="00955F23">
        <w:rPr>
          <w:lang w:val="en-US"/>
        </w:rPr>
        <w:t>until</w:t>
      </w:r>
      <w:r>
        <w:t xml:space="preserve"> the whole topic is covered. The second is to aggregate the content into groups with common elements, like complexity or relevance. At each repetition iteration, the cards can be reorganized based on difficulty or errors in recalled content using an algorithm </w:t>
      </w:r>
      <w:r w:rsidR="00D65569">
        <w:rPr>
          <w:color w:val="000000" w:themeColor="text1"/>
        </w:rPr>
        <w:fldChar w:fldCharType="begin" w:fldLock="1"/>
      </w:r>
      <w:r w:rsidR="00CA71BA">
        <w:rPr>
          <w:color w:val="000000" w:themeColor="text1"/>
        </w:rPr>
        <w:instrText>ADDIN CSL_CITATION {"citationItems":[{"id":"ITEM-1","itemData":{"ISBN":"3868201157","author":[{"dropping-particle":"","family":"Leitner","given":"Sebastian","non-dropping-particle":"","parse-names":false,"suffix":""}],"id":"ITEM-1","issued":{"date-parts":[["2011"]]},"publisher":"Nikol","title":"So lernt man lernen: Der Weg zum Erfolg","type":"book"},"uris":["http://www.mendeley.com/documents/?uuid=0351e372-aaf7-43af-9547-b77436fc679a"]}],"mendeley":{"formattedCitation":"[34]","plainTextFormattedCitation":"[34]","previouslyFormattedCitation":"[34]"},"properties":{"noteIndex":0},"schema":"https://github.com/citation-style-language/schema/raw/master/csl-citation.json"}</w:instrText>
      </w:r>
      <w:r w:rsidR="00D65569">
        <w:rPr>
          <w:color w:val="000000" w:themeColor="text1"/>
        </w:rPr>
        <w:fldChar w:fldCharType="separate"/>
      </w:r>
      <w:r w:rsidR="00C53F8E" w:rsidRPr="00C53F8E">
        <w:rPr>
          <w:noProof/>
          <w:color w:val="000000" w:themeColor="text1"/>
        </w:rPr>
        <w:t>[34]</w:t>
      </w:r>
      <w:r w:rsidR="00D65569">
        <w:rPr>
          <w:color w:val="000000" w:themeColor="text1"/>
        </w:rPr>
        <w:fldChar w:fldCharType="end"/>
      </w:r>
      <w:r w:rsidR="00D65569">
        <w:rPr>
          <w:color w:val="000000" w:themeColor="text1"/>
          <w:lang w:val="en-US"/>
        </w:rPr>
        <w:t xml:space="preserve">. </w:t>
      </w:r>
      <w:r>
        <w:t>As a system, the key components are widgets representing the information to be repeated, a storage or organization system and the interactive actions to reorganize the widgets as required.</w:t>
      </w:r>
    </w:p>
    <w:p w14:paraId="4B312393" w14:textId="41393B16" w:rsidR="005C2DA2" w:rsidRDefault="005C2DA2" w:rsidP="005C2DA2">
      <w:pPr>
        <w:pStyle w:val="Heading3"/>
      </w:pPr>
      <w:r>
        <w:t>Virtual Reality in Education</w:t>
      </w:r>
    </w:p>
    <w:p w14:paraId="04CB4A0A" w14:textId="7EEC4F29" w:rsidR="00D333A3" w:rsidRDefault="005C2DA2" w:rsidP="005C2DA2">
      <w:pPr>
        <w:pStyle w:val="BodyText"/>
      </w:pPr>
      <w:r>
        <w:t>Technology-</w:t>
      </w:r>
      <w:r w:rsidR="00955F23">
        <w:rPr>
          <w:lang w:val="en-US"/>
        </w:rPr>
        <w:t>enhanced</w:t>
      </w:r>
      <w:r>
        <w:t xml:space="preserve"> education focuses on scaffolding student’s engagement in the subject through attention and immersion </w:t>
      </w:r>
      <w:r w:rsidR="00D65569">
        <w:fldChar w:fldCharType="begin" w:fldLock="1"/>
      </w:r>
      <w:r w:rsidR="00CA71BA">
        <w:instrText>ADDIN CSL_CITATION {"citationItems":[{"id":"ITEM-1","itemData":{"DOI":"10.1111/ejed.12330","ISSN":"14653435","abstract":"Blended learning has risen in popularity in the last two decades as it has been shown to be an effective approach for accommodating an increasingly diverse student population in higher education and enriching the learning environment by incorporating online teaching resources. Blending significant elements of the learning environment such as face-to-face, online and self-paced learning leads to better student experiences and outcomes and more efficient teaching and course management practices if combined appropriately. Hence, an appropriate systematic and dynamic approach of blended learning design is crucial for a positive outcome, starting with planning for integrating blended elements into a course and creating blended activities and implementing them. Evaluating their effectiveness and knowing in which environments they work better and improving the blended activities designed from both the student’s and instructor’s perspective are critical for the next delivery of the course. This article aims to increase awareness of higher education educators about how traditional face-to-face learning can be transformed into blended courses so as to develop student engagement with both in-class and online approaches, whilst being time effective for the instructor.","author":[{"dropping-particle":"","family":"Serrano","given":"Dolores R.","non-dropping-particle":"","parse-names":false,"suffix":""},{"dropping-particle":"","family":"Dea-Ayuela","given":"Maria Auxiliadora","non-dropping-particle":"","parse-names":false,"suffix":""},{"dropping-particle":"","family":"Gonzalez-Burgos","given":"Elena","non-dropping-particle":"","parse-names":false,"suffix":""},{"dropping-particle":"","family":"Serrano-Gil","given":"Alfonso","non-dropping-particle":"","parse-names":false,"suffix":""},{"dropping-particle":"","family":"Lalatsa","given":"Aikaterini","non-dropping-particle":"","parse-names":false,"suffix":""}],"container-title":"European Journal of Education","id":"ITEM-1","issue":"2","issued":{"date-parts":[["2019"]]},"page":"273-286","title":"Technology-enhanced learning in higher education: How to enhance student engagement through blended learning","type":"article-journal","volume":"54"},"uris":["http://www.mendeley.com/documents/?uuid=af067324-771a-488a-8b61-c8ec83f39e7b"]},{"id":"ITEM-2","itemData":{"author":[{"dropping-particle":"","family":"Muntean","given":"Cristina Ioana","non-dropping-particle":"","parse-names":false,"suffix":""}],"container-title":"Proc. 6th international conference on virtual learning ICVL","id":"ITEM-2","issued":{"date-parts":[["2011"]]},"page":"323-329","title":"Raising engagement in e-learning through gamification","type":"paper-conference","volume":"1"},"uris":["http://www.mendeley.com/documents/?uuid=3a0ef281-7519-4bbb-b045-1b83cb9f5921"]}],"mendeley":{"formattedCitation":"[35], [36]","plainTextFormattedCitation":"[35], [36]","previouslyFormattedCitation":"[35], [36]"},"properties":{"noteIndex":0},"schema":"https://github.com/citation-style-language/schema/raw/master/csl-citation.json"}</w:instrText>
      </w:r>
      <w:r w:rsidR="00D65569">
        <w:fldChar w:fldCharType="separate"/>
      </w:r>
      <w:r w:rsidR="00C53F8E" w:rsidRPr="00C53F8E">
        <w:rPr>
          <w:noProof/>
        </w:rPr>
        <w:t>[35], [36]</w:t>
      </w:r>
      <w:r w:rsidR="00D65569">
        <w:fldChar w:fldCharType="end"/>
      </w:r>
      <w:r w:rsidR="00D65569">
        <w:rPr>
          <w:lang w:val="en-US"/>
        </w:rPr>
        <w:t xml:space="preserve">. </w:t>
      </w:r>
      <w:r>
        <w:t xml:space="preserve">VR </w:t>
      </w:r>
      <w:r w:rsidR="00955F23">
        <w:rPr>
          <w:lang w:val="en-US"/>
        </w:rPr>
        <w:t xml:space="preserve">enhances </w:t>
      </w:r>
      <w:r>
        <w:t xml:space="preserve">attention </w:t>
      </w:r>
      <w:r w:rsidR="00D65569">
        <w:fldChar w:fldCharType="begin" w:fldLock="1"/>
      </w:r>
      <w:r w:rsidR="00CA71BA">
        <w:instrText>ADDIN CSL_CITATION {"citationItems":[{"id":"ITEM-1","itemData":{"DOI":"10.1177/0047239516673361","ISSN":"0047-2395","abstract":"With the advent of open source virtual environments, the associated cost reductions, and the more flexible options, avatar-based virtual reality environments are within reach of educators. By using and repurposing readily available virtual environments, instructors can bring engaging, community-building, and immersive learning opportunities to students. Based on many years of academic research and development within this environment, the authors suggest educationally productive, research-supported ways to create learning environments that can motivate, engage, and educate participants. Instructors can develop virtual communities as centers for meetings, collaborations, and shared experiences, moving distance experiences beyond the limitations of engagement and collaboration in nonimmersive settings. The authors explain how instructors can develop useful learning interactions, pilot their learning environments, assess learners, and evaluate the environment. Specific experiences, images, and videos from the authors' work are shared as well as broader application that could suit multiple purposes in guiding an instructor's development and instructional efforts.","author":[{"dropping-particle":"","family":"O’Connor","given":"Eileen A.","non-dropping-particle":"","parse-names":false,"suffix":""},{"dropping-particle":"","family":"Domingo","given":"Jelia","non-dropping-particle":"","parse-names":false,"suffix":""}],"container-title":"Journal of Educational Technology Systems","id":"ITEM-1","issue":"3","issued":{"date-parts":[["2017"]]},"page":"343-364","title":"A Practical Guide, With Theoretical Underpinnings, for Creating Effective Virtual Reality Learning Environments","type":"article-journal","volume":"45"},"uris":["http://www.mendeley.com/documents/?uuid=c05c0e91-54e8-460a-a6eb-8f043c406523"]}],"mendeley":{"formattedCitation":"[37]","plainTextFormattedCitation":"[37]","previouslyFormattedCitation":"[37]"},"properties":{"noteIndex":0},"schema":"https://github.com/citation-style-language/schema/raw/master/csl-citation.json"}</w:instrText>
      </w:r>
      <w:r w:rsidR="00D65569">
        <w:fldChar w:fldCharType="separate"/>
      </w:r>
      <w:r w:rsidR="00C53F8E" w:rsidRPr="00C53F8E">
        <w:rPr>
          <w:noProof/>
        </w:rPr>
        <w:t>[37]</w:t>
      </w:r>
      <w:r w:rsidR="00D65569">
        <w:fldChar w:fldCharType="end"/>
      </w:r>
      <w:r>
        <w:t>, increase</w:t>
      </w:r>
      <w:r w:rsidR="00955F23">
        <w:rPr>
          <w:lang w:val="en-US"/>
        </w:rPr>
        <w:t>s</w:t>
      </w:r>
      <w:r>
        <w:t xml:space="preserve"> motivation </w:t>
      </w:r>
      <w:r w:rsidR="00D65569">
        <w:fldChar w:fldCharType="begin" w:fldLock="1"/>
      </w:r>
      <w:r w:rsidR="00CA71BA">
        <w:instrText>ADDIN CSL_CITATION {"citationItems":[{"id":"ITEM-1","itemData":{"DOI":"10.1016/j.chb.2018.08.011","ISSN":"07475632","author":[{"dropping-particle":"","family":"Georgiou","given":"Yiannis","non-dropping-particle":"","parse-names":false,"suffix":""},{"dropping-particle":"","family":"Kyza","given":"Eleni A.","non-dropping-particle":"","parse-names":false,"suffix":""}],"container-title":"Computers in Human Behavior","id":"ITEM-1","issued":{"date-parts":[["2018","12"]]},"page":"173-181","title":"Relations between student motivation, immersion and learning outcomes in location-based augmented reality settings","type":"article-journal","volume":"89"},"uris":["http://www.mendeley.com/documents/?uuid=662bfa97-abbc-4537-b43f-b8b29cefd069"]}],"mendeley":{"formattedCitation":"[38]","plainTextFormattedCitation":"[38]","previouslyFormattedCitation":"[38]"},"properties":{"noteIndex":0},"schema":"https://github.com/citation-style-language/schema/raw/master/csl-citation.json"}</w:instrText>
      </w:r>
      <w:r w:rsidR="00D65569">
        <w:fldChar w:fldCharType="separate"/>
      </w:r>
      <w:r w:rsidR="00C53F8E" w:rsidRPr="00C53F8E">
        <w:rPr>
          <w:noProof/>
        </w:rPr>
        <w:t>[38]</w:t>
      </w:r>
      <w:r w:rsidR="00D65569">
        <w:fldChar w:fldCharType="end"/>
      </w:r>
      <w:r w:rsidR="00D65569">
        <w:rPr>
          <w:lang w:val="en-US"/>
        </w:rPr>
        <w:t xml:space="preserve"> </w:t>
      </w:r>
      <w:r>
        <w:t>and inspire</w:t>
      </w:r>
      <w:r w:rsidR="00955F23">
        <w:rPr>
          <w:lang w:val="en-US"/>
        </w:rPr>
        <w:t>s</w:t>
      </w:r>
      <w:r>
        <w:t xml:space="preserve"> self-directed discovery </w:t>
      </w:r>
      <w:r w:rsidR="00D65569">
        <w:fldChar w:fldCharType="begin" w:fldLock="1"/>
      </w:r>
      <w:r w:rsidR="00CA71BA">
        <w:instrText>ADDIN CSL_CITATION {"citationItems":[{"id":"ITEM-1","itemData":{"DOI":"10.1016/j.compedu.2010.05.014","ISSN":"03601315","author":[{"dropping-particle":"","family":"Huang","given":"Hsiu-Mei","non-dropping-particle":"","parse-names":false,"suffix":""},{"dropping-particle":"","family":"Rauch","given":"Ulrich","non-dropping-particle":"","parse-names":false,"suffix":""},{"dropping-particle":"","family":"Liaw","given":"Shu-Sheng","non-dropping-particle":"","parse-names":false,"suffix":""}],"container-title":"Computers &amp; Education","id":"ITEM-1","issue":"3","issued":{"date-parts":[["2010","11"]]},"page":"1171-1182","title":"Investigating learners’ attitudes toward virtual reality learning environments: Based on a constructivist approach","type":"article-journal","volume":"55"},"uris":["http://www.mendeley.com/documents/?uuid=c7023056-3a9e-41bc-9378-7e244af0c19d"]}],"mendeley":{"formattedCitation":"[39]","plainTextFormattedCitation":"[39]","previouslyFormattedCitation":"[39]"},"properties":{"noteIndex":0},"schema":"https://github.com/citation-style-language/schema/raw/master/csl-citation.json"}</w:instrText>
      </w:r>
      <w:r w:rsidR="00D65569">
        <w:fldChar w:fldCharType="separate"/>
      </w:r>
      <w:r w:rsidR="00C53F8E" w:rsidRPr="00C53F8E">
        <w:rPr>
          <w:noProof/>
        </w:rPr>
        <w:t>[39]</w:t>
      </w:r>
      <w:r w:rsidR="00D65569">
        <w:fldChar w:fldCharType="end"/>
      </w:r>
      <w:r w:rsidR="00D65569">
        <w:rPr>
          <w:lang w:val="en-US"/>
        </w:rPr>
        <w:t xml:space="preserve"> </w:t>
      </w:r>
      <w:r>
        <w:t xml:space="preserve">through different interactive applications </w:t>
      </w:r>
      <w:r w:rsidR="00D0425B">
        <w:rPr>
          <w:lang w:val="en-GB"/>
        </w:rPr>
        <w:t xml:space="preserve">like </w:t>
      </w:r>
      <w:r>
        <w:t xml:space="preserve">virtual proxies of learning locations </w:t>
      </w:r>
      <w:r w:rsidR="00D65569">
        <w:fldChar w:fldCharType="begin" w:fldLock="1"/>
      </w:r>
      <w:r w:rsidR="00CA71BA">
        <w:instrText>ADDIN CSL_CITATION {"citationItems":[{"id":"ITEM-1","itemData":{"DOI":"10.1089/10949310050078940","ISSN":"1094-9313","abstract":"The Virtual Environments Laboratory at the University of Southern California (USC) has initiated a research program aimed at developing virtual reality (VR) technology applications for the study, assessment, and rehabilitation of cognitive/functional processes. This technology is seen to offer many advantages for these aims and an introductory section of this article will discuss the specific rationale for VR applications in the area of clinical neuropsychology. A discussion of attention processes will follow and issues for the development of a head-mounted display (HMD) VR system for the study, assessment, and possible rehabilitation of attention disorders will then be presented. Our efforts to target this cognitive process are supported by the widespread occurrence and relative significance of attention impairments seen in a variety of clinical conditions across the human lifespan. Most notably, attention difficulties are seen in persons with Attention Deficit Hyperactivity Disorders (ADHD), Traumatic Brain Injury (TBI), and as a feature of various neurodegenerative disorders (i.e., Alzheimer's Disease, Vascular Dementia, etc.). Virtual Environment (VE) technology appears to provide specific assets for addressing these impairments that are not available using existing methods. VEs delivered via HMDs are well suited for these types of applications as they serve to provide a controlled stimulus environment where cognitive challenges can be presented along with the precise delivery and control of distracting auditory and visual stimuli. This level of experimental control allows for the development of attention assessment tasks that are more similar to what is found in the real world and could improve on the ecological validity of measurement and treatment in this area. A recent project in our lab has involved the development of a virtual 'classroom' specifically aimed at the assessment of Attention Deficit Hyperactivity Disorder (ADHD). The system uses a Virtual Research V8 HMD, Ascension Systems head, hand, and leg tracking, and is run on an SGI Onyx platform. The scenario consists of a standard rectangular classroom environment containing student desks, a teacher's desk, a virtual teacher, a blackboard, a large window looking out onto a playground with buildings, vehicles, and people, and a pair of doorways on each end of the wall opposite the window through which activity occurs. Within this scenario, normal and ADHD-diagnosed children will be assesse…","author":[{"dropping-particle":"","family":"Rizzo","given":"A.A.","non-dropping-particle":"","parse-names":false,"suffix":""},{"dropping-particle":"","family":"Buckwalter","given":"J.G.","non-dropping-particle":"","parse-names":false,"suffix":""},{"dropping-particle":"","family":"Bowerly","given":"T.","non-dropping-particle":"","parse-names":false,"suffix":""},{"dropping-particle":"","family":"Zaag","given":"C.","non-dropping-particle":"Van Der","parse-names":false,"suffix":""},{"dropping-particle":"","family":"Humphrey","given":"L.","non-dropping-particle":"","parse-names":false,"suffix":""},{"dropping-particle":"","family":"Neumann","given":"U.","non-dropping-particle":"","parse-names":false,"suffix":""},{"dropping-particle":"","family":"Chua","given":"C.","non-dropping-particle":"","parse-names":false,"suffix":""},{"dropping-particle":"","family":"Kyriakakis","given":"C.","non-dropping-particle":"","parse-names":false,"suffix":""},{"dropping-particle":"","family":"Rooyen","given":"A.","non-dropping-particle":"Van","parse-names":false,"suffix":""},{"dropping-particle":"","family":"Sisemore","given":"D.","non-dropping-particle":"","parse-names":false,"suffix":""}],"container-title":"CyberPsychology &amp; Behavior","id":"ITEM-1","issue":"3","issued":{"date-parts":[["2002"]]},"page":"483-499","title":"The Virtual Classroom: A Virtual Reality Environment for the Assessment and Rehabilitation of Attention Deficits","type":"article-journal","volume":"3"},"uris":["http://www.mendeley.com/documents/?uuid=66b03cbc-9c68-4d31-a6ad-2847e9ddeec2"]}],"mendeley":{"formattedCitation":"[40]","plainTextFormattedCitation":"[40]","previouslyFormattedCitation":"[40]"},"properties":{"noteIndex":0},"schema":"https://github.com/citation-style-language/schema/raw/master/csl-citation.json"}</w:instrText>
      </w:r>
      <w:r w:rsidR="00D65569">
        <w:fldChar w:fldCharType="separate"/>
      </w:r>
      <w:r w:rsidR="00C53F8E" w:rsidRPr="00C53F8E">
        <w:rPr>
          <w:noProof/>
        </w:rPr>
        <w:t>[40]</w:t>
      </w:r>
      <w:r w:rsidR="00D65569">
        <w:fldChar w:fldCharType="end"/>
      </w:r>
      <w:r w:rsidR="00D0425B">
        <w:rPr>
          <w:lang w:val="en-US"/>
        </w:rPr>
        <w:t xml:space="preserve"> and </w:t>
      </w:r>
      <w:r>
        <w:t xml:space="preserve">learning tools </w:t>
      </w:r>
      <w:r w:rsidR="00D65569">
        <w:fldChar w:fldCharType="begin" w:fldLock="1"/>
      </w:r>
      <w:r w:rsidR="00CA71BA">
        <w:instrText>ADDIN CSL_CITATION {"citationItems":[{"id":"ITEM-1","itemData":{"DOI":"10.1145/1121341.1121390","ISBN":"1595932593","author":[{"dropping-particle":"","family":"Bower","given":"Matt","non-dropping-particle":"","parse-names":false,"suffix":""}],"container-title":"Proceedings of the 37th SIGCSE technical symposium on Computer science education - SIGCSE '06","id":"ITEM-1","issued":{"date-parts":[["2006"]]},"page":"148","publisher":"ACM Press","publisher-place":"New York, New York, USA","title":"Virtual classroom pedagogy","type":"paper-conference"},"uris":["http://www.mendeley.com/documents/?uuid=ee1e2bf6-dcdf-4342-a639-66bc9471e6cb"]}],"mendeley":{"formattedCitation":"[41]","plainTextFormattedCitation":"[41]","previouslyFormattedCitation":"[41]"},"properties":{"noteIndex":0},"schema":"https://github.com/citation-style-language/schema/raw/master/csl-citation.json"}</w:instrText>
      </w:r>
      <w:r w:rsidR="00D65569">
        <w:fldChar w:fldCharType="separate"/>
      </w:r>
      <w:r w:rsidR="00C53F8E" w:rsidRPr="00C53F8E">
        <w:rPr>
          <w:noProof/>
        </w:rPr>
        <w:t>[41]</w:t>
      </w:r>
      <w:r w:rsidR="00D65569">
        <w:fldChar w:fldCharType="end"/>
      </w:r>
      <w:r w:rsidR="00D0425B">
        <w:rPr>
          <w:lang w:val="en-GB"/>
        </w:rPr>
        <w:t>.</w:t>
      </w:r>
      <w:r>
        <w:t xml:space="preserve"> </w:t>
      </w:r>
      <w:r w:rsidR="00D333A3">
        <w:t xml:space="preserve">For a practical approach to pedagogy in </w:t>
      </w:r>
      <w:r w:rsidR="00D333A3">
        <w:rPr>
          <w:lang w:val="en-GB"/>
        </w:rPr>
        <w:t>VR</w:t>
      </w:r>
      <w:r w:rsidR="00D333A3">
        <w:t xml:space="preserve">, media and resources play an important part in the learning process of the users. Considerations need to be made when designing interactive elements catered for the practice of teaching. This includes deploying reusable elements in teaching and passing on material for other didactic purposes </w:t>
      </w:r>
      <w:r w:rsidR="00D333A3">
        <w:fldChar w:fldCharType="begin" w:fldLock="1"/>
      </w:r>
      <w:r w:rsidR="00BB0BA7">
        <w:instrText>ADDIN CSL_CITATION {"citationItems":[{"id":"ITEM-1","itemData":{"DOI":"10.1145/2927929.2927937","ISBN":"9781450341806","author":[{"dropping-particle":"","family":"Saunier","given":"Julien","non-dropping-particle":"","parse-names":false,"suffix":""},{"dropping-particle":"","family":"Barange","given":"Mukesh","non-dropping-particle":"","parse-names":false,"suffix":""},{"dropping-particle":"","family":"Blandin","given":"Bernard","non-dropping-particle":"","parse-names":false,"suffix":""},{"dropping-particle":"","family":"Querrec","given":"Ronan","non-dropping-particle":"","parse-names":false,"suffix":""},{"dropping-particle":"","family":"Taoum","given":"Joanna","non-dropping-particle":"","parse-names":false,"suffix":""}],"container-title":"Proceedings of the 2016 Virtual Reality International Conference","id":"ITEM-1","issued":{"date-parts":[["2016","3","23"]]},"page":"1-4","publisher":"ACM","publisher-place":"New York, NY, USA","title":"Designing adaptable virtual reality learning environments","type":"paper-conference"},"uris":["http://www.mendeley.com/documents/?uuid=acb658d5-0f9e-443c-a9f6-f1a2292e1015"]}],"mendeley":{"formattedCitation":"[42]","plainTextFormattedCitation":"[42]","previouslyFormattedCitation":"[42]"},"properties":{"noteIndex":0},"schema":"https://github.com/citation-style-language/schema/raw/master/csl-citation.json"}</w:instrText>
      </w:r>
      <w:r w:rsidR="00D333A3">
        <w:fldChar w:fldCharType="separate"/>
      </w:r>
      <w:r w:rsidR="00D333A3" w:rsidRPr="00D333A3">
        <w:rPr>
          <w:noProof/>
        </w:rPr>
        <w:t>[42]</w:t>
      </w:r>
      <w:r w:rsidR="00D333A3">
        <w:fldChar w:fldCharType="end"/>
      </w:r>
      <w:r w:rsidR="00D333A3">
        <w:t>.</w:t>
      </w:r>
    </w:p>
    <w:p w14:paraId="5BA9B426" w14:textId="4B548D99" w:rsidR="005C2DA2" w:rsidRPr="005C2DA2" w:rsidRDefault="005C2DA2" w:rsidP="005C2DA2">
      <w:pPr>
        <w:pStyle w:val="BodyText"/>
      </w:pPr>
      <w:r w:rsidRPr="001D1F13">
        <w:t xml:space="preserve">A key strength of VR assisted learning experiences is the detailed visualization of objects </w:t>
      </w:r>
      <w:r w:rsidR="00D65569" w:rsidRPr="001D1F13">
        <w:fldChar w:fldCharType="begin" w:fldLock="1"/>
      </w:r>
      <w:r w:rsidR="00BB0BA7">
        <w:instrText>ADDIN CSL_CITATION {"citationItems":[{"id":"ITEM-1","itemData":{"DOI":"10.1111/cgf.13431","ISSN":"14678659","abstract":"This paper explores different ways to render world-wide geographic maps in virtual reality (VR). We compare: (a) a 3D exocentric globe, where the user's viewpoint is outside the globe; (b) a flat map (rendered to a plane in VR); (c) an egocentric 3D globe, with the viewpoint inside the globe; and (d) a curved map, created by projecting the map onto a section of a sphere which curves around the user. In all four visualisations the geographic centre can be smoothly adjusted with a standard handheld VR controller and the user, through a head-tracked headset, can physically move around the visualisation. For distance comparison exocentric globe is more accurate than egocentric globe and flat map. For area comparison more time is required with exocentric and egocentric globes than with flat and curved maps. For direction estimation, the exocentric globe is more accurate and faster than the other visual presentations. Our study participants had a weak preference for the exocentric globe. Generally the curved map had benefits over the flat map. In almost all cases the egocentric globe was found to be the least effective visualisation. Overall, our results provide support for the use of exocentric globes for geographic visualisation in mixed-reality.","author":[{"dropping-particle":"","family":"Yang","given":"Yalong","non-dropping-particle":"","parse-names":false,"suffix":""},{"dropping-particle":"","family":"Jenny","given":"Bernhard","non-dropping-particle":"","parse-names":false,"suffix":""},{"dropping-particle":"","family":"Dwyer","given":"Tim","non-dropping-particle":"","parse-names":false,"suffix":""},{"dropping-particle":"","family":"Marriott","given":"Kim","non-dropping-particle":"","parse-names":false,"suffix":""},{"dropping-particle":"","family":"Chen","given":"Haohui","non-dropping-particle":"","parse-names":false,"suffix":""},{"dropping-particle":"","family":"Cordeil","given":"Maxime","non-dropping-particle":"","parse-names":false,"suffix":""}],"container-title":"Computer Graphics Forum","id":"ITEM-1","issue":"3","issued":{"date-parts":[["2018"]]},"page":"427-438","title":"Maps and Globes in Virtual Reality","type":"article-journal","volume":"37"},"uris":["http://www.mendeley.com/documents/?uuid=f8c3755e-4f0e-4e0a-9934-71c31f7d094f"]},{"id":"ITEM-2","itemData":{"DOI":"10.1109/VR.2018.8446486","ISBN":"VO  -","abstract":"Virtual Reality (VR) is believed to have a pivotal role in transforming teaching and learning in higher education. The novelty factor and full immersion in a virtual environment can undoubtedly improve students' attention. However, it is still unclear how the use of VR would impact the learning experience and outcomes with respect to knowledge acquisition. We conducted a comparative study on students' performance in a standardised assessment when course content is delivered using VR and conventional lecture slides. Results show that improvement in social interaction and productivity tools in VR are essential for its greater impact in higher education.","author":[{"dropping-particle":"","family":"Slavova","given":"Y","non-dropping-particle":"","parse-names":false,"suffix":""},{"dropping-particle":"","family":"Mu","given":"M","non-dropping-particle":"","parse-names":false,"suffix":""}],"container-title":"2018 IEEE Conference on Virtual Reality and 3D User Interfaces (VR)","id":"ITEM-2","issued":{"date-parts":[["2018"]]},"page":"685-686","title":"A Comparative Study of the Learning Outcomes and Experience of VR in Education","type":"paper-conference"},"uris":["http://www.mendeley.com/documents/?uuid=9b148030-333a-4e58-b328-d6e3430b2370"]}],"mendeley":{"formattedCitation":"[5], [43]","plainTextFormattedCitation":"[5], [43]","previouslyFormattedCitation":"[5], [43]"},"properties":{"noteIndex":0},"schema":"https://github.com/citation-style-language/schema/raw/master/csl-citation.json"}</w:instrText>
      </w:r>
      <w:r w:rsidR="00D65569" w:rsidRPr="001D1F13">
        <w:fldChar w:fldCharType="separate"/>
      </w:r>
      <w:r w:rsidR="00D333A3" w:rsidRPr="00D333A3">
        <w:rPr>
          <w:noProof/>
        </w:rPr>
        <w:t>[5], [43]</w:t>
      </w:r>
      <w:r w:rsidR="00D65569" w:rsidRPr="001D1F13">
        <w:fldChar w:fldCharType="end"/>
      </w:r>
      <w:r w:rsidRPr="001D1F13">
        <w:t xml:space="preserve">. Visualization creates variety </w:t>
      </w:r>
      <w:r w:rsidR="00955F23">
        <w:rPr>
          <w:lang w:val="en-US"/>
        </w:rPr>
        <w:t xml:space="preserve">of </w:t>
      </w:r>
      <w:r w:rsidRPr="001D1F13">
        <w:t>stimulation which in turn increases memorability of experience</w:t>
      </w:r>
      <w:r w:rsidR="00955F23">
        <w:rPr>
          <w:lang w:val="en-US"/>
        </w:rPr>
        <w:t>s</w:t>
      </w:r>
      <w:r w:rsidRPr="001D1F13">
        <w:t xml:space="preserve"> </w:t>
      </w:r>
      <w:r w:rsidR="00D65569" w:rsidRPr="001D1F13">
        <w:fldChar w:fldCharType="begin" w:fldLock="1"/>
      </w:r>
      <w:r w:rsidR="00BB0BA7">
        <w:instrText>ADDIN CSL_CITATION {"citationItems":[{"id":"ITEM-1","itemData":{"DOI":"10.4172/Psychiatry.1000236","ISSN":"19948220","author":[{"dropping-particle":"","family":"Nandagopal R","given":"Rupini RV","non-dropping-particle":"","parse-names":false,"suffix":""}],"container-title":"Journal of Psychiatry","id":"ITEM-1","issue":"2","issued":{"date-parts":[["2015"]]},"title":"A Study on the Influence of Senses and the Effectiveness of Sensory Branding","type":"article-journal","volume":"18"},"uris":["http://www.mendeley.com/documents/?uuid=0d26d00f-00bb-4cd2-b47a-f2650ffca3b3"]}],"mendeley":{"formattedCitation":"[44]","plainTextFormattedCitation":"[44]","previouslyFormattedCitation":"[44]"},"properties":{"noteIndex":0},"schema":"https://github.com/citation-style-language/schema/raw/master/csl-citation.json"}</w:instrText>
      </w:r>
      <w:r w:rsidR="00D65569" w:rsidRPr="001D1F13">
        <w:fldChar w:fldCharType="separate"/>
      </w:r>
      <w:r w:rsidR="00D333A3" w:rsidRPr="00D333A3">
        <w:rPr>
          <w:noProof/>
        </w:rPr>
        <w:t>[44]</w:t>
      </w:r>
      <w:r w:rsidR="00D65569" w:rsidRPr="001D1F13">
        <w:fldChar w:fldCharType="end"/>
      </w:r>
      <w:r w:rsidR="00D65569" w:rsidRPr="001D1F13">
        <w:t>.</w:t>
      </w:r>
      <w:r w:rsidR="00D65569" w:rsidRPr="001D1F13">
        <w:rPr>
          <w:lang w:val="en-US"/>
        </w:rPr>
        <w:t xml:space="preserve"> </w:t>
      </w:r>
      <w:r w:rsidRPr="001D1F13">
        <w:t xml:space="preserve">Systems like iScape </w:t>
      </w:r>
      <w:r w:rsidR="00D65569" w:rsidRPr="001D1F13">
        <w:fldChar w:fldCharType="begin" w:fldLock="1"/>
      </w:r>
      <w:r w:rsidR="00BB0BA7">
        <w:instrText>ADDIN CSL_CITATION {"citationItems":[{"id":"ITEM-1","itemData":{"abstract":"Massive amounts of data are available in today’s Digital Libraries (DLs). The challenge is to find relevant information quickly and easily, and to use it effectively. A standard way to access DLs is via a text-based query issued by a single user. Typically, the query results in a potentially very long ordered list of matching documents, that makes it hard for users to find what they are looking for. This paper presents iScape, a shared virtual desktop world dedicated to the collaborative exploration and management of information. Data mining and information visualization techniques are applied to extract and visualize semantic relationships in search results. A three-dimensional (3-D) online browser system is exploited to facilitate complex and sophisticated human-computer and human-human interaction. Informal user studies have been conducted to compare the iScape world with a text-based, a 2-D visual Web interface, and a 3-D non-collaborative CAVE interface. We conclude with a discussion.","author":[{"dropping-particle":"","family":"Börner","given":"Katy","non-dropping-particle":"","parse-names":false,"suffix":""}],"container-title":"Proceedings of the 2001 International Conference on Human-Computer Interaction","id":"ITEM-1","issue":"1998","issued":{"date-parts":[["2001"]]},"page":"1160--1164","title":"iScape: A collaborative memory palace for digital library search results","type":"article-journal","volume":"1"},"uris":["http://www.mendeley.com/documents/?uuid=0c6acb13-014f-4732-b663-72a298fc11fb"]}],"mendeley":{"formattedCitation":"[45]","plainTextFormattedCitation":"[45]","previouslyFormattedCitation":"[45]"},"properties":{"noteIndex":0},"schema":"https://github.com/citation-style-language/schema/raw/master/csl-citation.json"}</w:instrText>
      </w:r>
      <w:r w:rsidR="00D65569" w:rsidRPr="001D1F13">
        <w:fldChar w:fldCharType="separate"/>
      </w:r>
      <w:r w:rsidR="00D333A3" w:rsidRPr="00D333A3">
        <w:rPr>
          <w:noProof/>
        </w:rPr>
        <w:t>[45]</w:t>
      </w:r>
      <w:r w:rsidR="00D65569" w:rsidRPr="001D1F13">
        <w:fldChar w:fldCharType="end"/>
      </w:r>
      <w:r w:rsidRPr="001D1F13">
        <w:t xml:space="preserve"> visualize the semantic relationship within learning content.</w:t>
      </w:r>
      <w:r w:rsidR="00955F23">
        <w:rPr>
          <w:lang w:val="en-US"/>
        </w:rPr>
        <w:t xml:space="preserve"> In VR, t</w:t>
      </w:r>
      <w:proofErr w:type="spellStart"/>
      <w:r w:rsidR="00512BEA" w:rsidRPr="001D1F13">
        <w:rPr>
          <w:lang w:val="en-GB"/>
        </w:rPr>
        <w:t>ext</w:t>
      </w:r>
      <w:proofErr w:type="spellEnd"/>
      <w:r w:rsidR="00512BEA" w:rsidRPr="001D1F13">
        <w:rPr>
          <w:lang w:val="en-GB"/>
        </w:rPr>
        <w:t xml:space="preserve"> can be replaced or augmented by videos or 3D objects that</w:t>
      </w:r>
      <w:r w:rsidRPr="001D1F13">
        <w:t xml:space="preserve"> learners </w:t>
      </w:r>
      <w:r w:rsidR="00512BEA" w:rsidRPr="001D1F13">
        <w:rPr>
          <w:lang w:val="en-GB"/>
        </w:rPr>
        <w:t>can</w:t>
      </w:r>
      <w:r w:rsidRPr="001D1F13">
        <w:t xml:space="preserve"> watch, hear and interact with. </w:t>
      </w:r>
      <w:r w:rsidR="00955F23">
        <w:rPr>
          <w:lang w:val="en-US"/>
        </w:rPr>
        <w:t>V</w:t>
      </w:r>
      <w:proofErr w:type="spellStart"/>
      <w:r w:rsidRPr="001D1F13">
        <w:t>isualization</w:t>
      </w:r>
      <w:proofErr w:type="spellEnd"/>
      <w:r w:rsidR="002203AC">
        <w:rPr>
          <w:lang w:val="en-GB"/>
        </w:rPr>
        <w:t>,</w:t>
      </w:r>
      <w:r w:rsidR="00512BEA" w:rsidRPr="001D1F13">
        <w:rPr>
          <w:lang w:val="en-GB"/>
        </w:rPr>
        <w:t xml:space="preserve"> audio and interactivity</w:t>
      </w:r>
      <w:r w:rsidRPr="001D1F13">
        <w:t xml:space="preserve"> lends itself well to the</w:t>
      </w:r>
      <w:r w:rsidR="00512BEA" w:rsidRPr="001D1F13">
        <w:rPr>
          <w:lang w:val="en-GB"/>
        </w:rPr>
        <w:t xml:space="preserve"> different</w:t>
      </w:r>
      <w:r w:rsidRPr="001D1F13">
        <w:t xml:space="preserve"> learning style</w:t>
      </w:r>
      <w:r w:rsidR="00512BEA" w:rsidRPr="001D1F13">
        <w:rPr>
          <w:lang w:val="en-GB"/>
        </w:rPr>
        <w:t>s</w:t>
      </w:r>
      <w:r w:rsidRPr="001D1F13">
        <w:t xml:space="preserve"> </w:t>
      </w:r>
      <w:r w:rsidR="00512BEA" w:rsidRPr="001D1F13">
        <w:rPr>
          <w:lang w:val="en-GB"/>
        </w:rPr>
        <w:t xml:space="preserve">described </w:t>
      </w:r>
      <w:r w:rsidRPr="001D1F13">
        <w:t xml:space="preserve">within the VARK learning styles model </w:t>
      </w:r>
      <w:r w:rsidR="00D65569" w:rsidRPr="001D1F13">
        <w:fldChar w:fldCharType="begin" w:fldLock="1"/>
      </w:r>
      <w:r w:rsidR="00BB0BA7">
        <w:instrText>ADDIN CSL_CITATION {"citationItems":[{"id":"ITEM-1","itemData":{"author":[{"dropping-particle":"","family":"Fleming","given":"Neil","non-dropping-particle":"","parse-names":false,"suffix":""},{"dropping-particle":"","family":"Developer","given":"Educational","non-dropping-particle":"","parse-names":false,"suffix":""},{"dropping-particle":"","family":"Baume","given":"David","non-dropping-particle":"","parse-names":false,"suffix":""}],"container-title":"Educ Dev","id":"ITEM-1","issued":{"date-parts":[["2006"]]},"title":"Learning Styles Again: VARKing up the right tree!","type":"article-journal","volume":"7"},"uris":["http://www.mendeley.com/documents/?uuid=4453c536-a5b7-4ee5-abf9-ad0219a204cb"]}],"mendeley":{"formattedCitation":"[46]","plainTextFormattedCitation":"[46]","previouslyFormattedCitation":"[46]"},"properties":{"noteIndex":0},"schema":"https://github.com/citation-style-language/schema/raw/master/csl-citation.json"}</w:instrText>
      </w:r>
      <w:r w:rsidR="00D65569" w:rsidRPr="001D1F13">
        <w:fldChar w:fldCharType="separate"/>
      </w:r>
      <w:r w:rsidR="00D333A3" w:rsidRPr="00D333A3">
        <w:rPr>
          <w:noProof/>
        </w:rPr>
        <w:t>[46]</w:t>
      </w:r>
      <w:r w:rsidR="00D65569" w:rsidRPr="001D1F13">
        <w:fldChar w:fldCharType="end"/>
      </w:r>
      <w:r w:rsidR="00512BEA" w:rsidRPr="001D1F13">
        <w:rPr>
          <w:lang w:val="en-GB"/>
        </w:rPr>
        <w:t>.</w:t>
      </w:r>
      <w:r w:rsidR="000C2A45" w:rsidRPr="001D1F13">
        <w:rPr>
          <w:lang w:val="en-GB"/>
        </w:rPr>
        <w:t xml:space="preserve"> </w:t>
      </w:r>
      <w:r w:rsidR="00512BEA" w:rsidRPr="001D1F13">
        <w:rPr>
          <w:lang w:val="en-GB"/>
        </w:rPr>
        <w:t xml:space="preserve">Suitable design </w:t>
      </w:r>
      <w:r w:rsidR="002203AC">
        <w:rPr>
          <w:lang w:val="en-GB"/>
        </w:rPr>
        <w:t>ensures</w:t>
      </w:r>
      <w:r w:rsidR="00512BEA" w:rsidRPr="001D1F13">
        <w:rPr>
          <w:lang w:val="en-GB"/>
        </w:rPr>
        <w:t xml:space="preserve"> learners have </w:t>
      </w:r>
      <w:r w:rsidR="002203AC">
        <w:rPr>
          <w:lang w:val="en-GB"/>
        </w:rPr>
        <w:t>a multi-modal approach to learning styles</w:t>
      </w:r>
      <w:r w:rsidR="00512BEA" w:rsidRPr="001D1F13">
        <w:rPr>
          <w:lang w:val="en-GB"/>
        </w:rPr>
        <w:t xml:space="preserve">. </w:t>
      </w:r>
      <w:r w:rsidR="00CA52A7" w:rsidRPr="001D1F13">
        <w:rPr>
          <w:lang w:val="en-GB"/>
        </w:rPr>
        <w:t xml:space="preserve">CloVR derives further guidance on presentation style of learning artefacts from the </w:t>
      </w:r>
      <w:r w:rsidRPr="001D1F13">
        <w:t xml:space="preserve">associated learning paradigm defined by Kolb </w:t>
      </w:r>
      <w:r w:rsidR="00D65569" w:rsidRPr="001D1F13">
        <w:fldChar w:fldCharType="begin" w:fldLock="1"/>
      </w:r>
      <w:r w:rsidR="00BB0BA7">
        <w:instrText>ADDIN CSL_CITATION {"citationItems":[{"id":"ITEM-1","itemData":{"abstract":"The Kolb Learning Style Inventory Version 3.1 (KLSI 3.1), revised in 2005, is the latest revision of the original Learning Style Inventory developed by David A. Kolb. Like its predecessors, KLSI 3.1 is based on experiential learn- ing theory (Kolb 1984) and is designed to help individuals identify the way they learn from experience. This revi- sion includes new norms that are based on a larger, more diverse, and more representative sample of 6977 LSI users. The format, items, scoring and interpretative booklet remain identical with KLSI 3. The technical specifi cations are designed to adhere to the standards for educational and psychological testing developed by the American Educational Research Association, the American Psychological Association, and the National Council on Measurement in Educa- tion (1999). Section 1 of the technical specifi cations describes the conceptual foundations of the LSI 3.1 in the theory of experiential learning (ELT). Section 2 provides a description of the inventory that includes its purpose, history, and format. Section 3 describes the characteristics of the KLSI 3.1 normative sample. Section 4 includes internal reli- ability and test-retest reliability studies of the inventory. Section 5 provides information about research on the internal and external validity for the instrument. Internal validity studies of the structure of the KLSI 3.1 using correlation and factor analysis are reported. External validity includes research on demographics, educational specialization, con- current validity with other experiential learning assessment instruments, aptitude test performance, academic perfor- mance, experiential learning in teams, and educational applications.","author":[{"dropping-particle":"","family":"Kolb","given":"Alice Y","non-dropping-particle":"","parse-names":false,"suffix":""},{"dropping-particle":"","family":"Kolb","given":"David A","non-dropping-particle":"","parse-names":false,"suffix":""}],"id":"ITEM-1","issue":"January 2005","issued":{"date-parts":[["2005"]]},"page":"1-72","title":"The Kolb Learning Style Inventory — Version 3 . 1 2005 Technical Specif cations","type":"article-journal"},"uris":["http://www.mendeley.com/documents/?uuid=e15769b5-6172-4a17-9dc1-618b64b6d5e2"]}],"mendeley":{"formattedCitation":"[47]","plainTextFormattedCitation":"[47]","previouslyFormattedCitation":"[47]"},"properties":{"noteIndex":0},"schema":"https://github.com/citation-style-language/schema/raw/master/csl-citation.json"}</w:instrText>
      </w:r>
      <w:r w:rsidR="00D65569" w:rsidRPr="001D1F13">
        <w:fldChar w:fldCharType="separate"/>
      </w:r>
      <w:r w:rsidR="00D333A3" w:rsidRPr="00D333A3">
        <w:rPr>
          <w:noProof/>
        </w:rPr>
        <w:t>[47]</w:t>
      </w:r>
      <w:r w:rsidR="00D65569" w:rsidRPr="001D1F13">
        <w:fldChar w:fldCharType="end"/>
      </w:r>
      <w:r w:rsidR="00D65569" w:rsidRPr="001D1F13">
        <w:rPr>
          <w:lang w:val="en-US"/>
        </w:rPr>
        <w:t xml:space="preserve"> </w:t>
      </w:r>
      <w:r w:rsidRPr="001D1F13">
        <w:t>which classifies learning styles within a two-dimensional learning space, delineated by ‘Abstract Conceptualization - Concrete Experience’ and ‘Active Experimentation - Reflective Observation’.</w:t>
      </w:r>
    </w:p>
    <w:p w14:paraId="64255A3E" w14:textId="4CE346E3" w:rsidR="009303D9" w:rsidRDefault="00DB48E4" w:rsidP="006B6B66">
      <w:pPr>
        <w:pStyle w:val="Heading1"/>
      </w:pPr>
      <w:r>
        <w:t>Design</w:t>
      </w:r>
    </w:p>
    <w:p w14:paraId="1803EB49" w14:textId="3C31F13B" w:rsidR="009303D9" w:rsidRDefault="00DB48E4" w:rsidP="00E7596C">
      <w:pPr>
        <w:pStyle w:val="BodyText"/>
      </w:pPr>
      <w:r w:rsidRPr="00DB48E4">
        <w:t xml:space="preserve">The design of </w:t>
      </w:r>
      <w:r w:rsidR="008B3DC9">
        <w:t>CloVR</w:t>
      </w:r>
      <w:r w:rsidRPr="00DB48E4">
        <w:t xml:space="preserve"> is grounded in concepts that are well-understood from a pedagogical perspective. </w:t>
      </w:r>
      <w:r w:rsidR="008B3DC9">
        <w:rPr>
          <w:lang w:val="en-GB"/>
        </w:rPr>
        <w:t>It is</w:t>
      </w:r>
      <w:r w:rsidRPr="00DB48E4">
        <w:t xml:space="preserve"> also informed by personal learning experiences such as participation in self-directed group study activities. The pandemic-driven change to learning processes, especially isolation and social distancing of learners motivated us to design a system which could bring users together in the same environment in which they can learn by sharing resources and interacting as if they did not have the limitations of an online learning platform.</w:t>
      </w:r>
    </w:p>
    <w:p w14:paraId="11B25BA2" w14:textId="77777777" w:rsidR="00BB0BA7" w:rsidRPr="001D1F13" w:rsidRDefault="00BB0BA7" w:rsidP="00BB0BA7">
      <w:pPr>
        <w:pStyle w:val="Heading2"/>
      </w:pPr>
      <w:r w:rsidRPr="001D1F13">
        <w:t>Choice of VR over AR</w:t>
      </w:r>
    </w:p>
    <w:p w14:paraId="63002FBC" w14:textId="681BAF20" w:rsidR="00BB0BA7" w:rsidRPr="00BB0BA7" w:rsidRDefault="00BB0BA7" w:rsidP="00BB0BA7">
      <w:pPr>
        <w:pStyle w:val="BodyText"/>
      </w:pPr>
      <w:r w:rsidRPr="001D1F13">
        <w:t xml:space="preserve">During design discussions, the alternative of augmented reality (AR) was also considered. AR and VR are considered closely related technologies on Milgram’s continuum </w:t>
      </w:r>
      <w:r w:rsidRPr="001D1F13">
        <w:fldChar w:fldCharType="begin" w:fldLock="1"/>
      </w:r>
      <w:r>
        <w:instrText>ADDIN CSL_CITATION {"citationItems":[{"id":"ITEM-1","itemData":{"ISSN":"0916-8532","author":[{"dropping-particle":"","family":"Milgram","given":"Paul","non-dropping-particle":"","parse-names":false,"suffix":""},{"dropping-particle":"","family":"Kishino","given":"Fumio","non-dropping-particle":"","parse-names":false,"suffix":""}],"container-title":"IEICE TRANSACTIONS on Information and Systems","id":"ITEM-1","issue":"12","issued":{"date-parts":[["1994"]]},"page":"1321-1329","publisher":"The Institute of Electronics, Information and Communication Engineers","title":"A taxonomy of mixed reality visual displays","type":"article-journal","volume":"77"},"uris":["http://www.mendeley.com/documents/?uuid=3df1c837-cc8d-4f69-b799-a4fe4457f3f4"]}],"mendeley":{"formattedCitation":"[48]","plainTextFormattedCitation":"[48]","previouslyFormattedCitation":"[50]"},"properties":{"noteIndex":0},"schema":"https://github.com/citation-style-language/schema/raw/master/csl-citation.json"}</w:instrText>
      </w:r>
      <w:r w:rsidRPr="001D1F13">
        <w:fldChar w:fldCharType="separate"/>
      </w:r>
      <w:r w:rsidRPr="00BB0BA7">
        <w:rPr>
          <w:noProof/>
        </w:rPr>
        <w:t>[48]</w:t>
      </w:r>
      <w:r w:rsidRPr="001D1F13">
        <w:fldChar w:fldCharType="end"/>
      </w:r>
      <w:r w:rsidRPr="001D1F13">
        <w:rPr>
          <w:lang w:val="en-US"/>
        </w:rPr>
        <w:t xml:space="preserve"> </w:t>
      </w:r>
      <w:r w:rsidRPr="001D1F13">
        <w:t xml:space="preserve">and </w:t>
      </w:r>
      <w:r w:rsidRPr="001D1F13">
        <w:t xml:space="preserve">the pedagogical advantages of either technologies are comparable. Initially, the idea of an AR mind-palace was extremely attractive where the learner could transform their own room into a mind-palace. However, from an equality of access perspective, we want CloVR to be accessible from a wide range of devices including laptops, desktop PCs and mobile devices </w:t>
      </w:r>
      <w:r w:rsidRPr="001D1F13">
        <w:rPr>
          <w:lang w:val="en-GB"/>
        </w:rPr>
        <w:t xml:space="preserve">and </w:t>
      </w:r>
      <w:r w:rsidRPr="001D1F13">
        <w:t xml:space="preserve">not constrained to specialized or expensive hardware. </w:t>
      </w:r>
      <w:r w:rsidRPr="001D1F13">
        <w:rPr>
          <w:lang w:val="en-GB"/>
        </w:rPr>
        <w:t>AR could also</w:t>
      </w:r>
      <w:r w:rsidRPr="001D1F13">
        <w:t xml:space="preserve"> lead to information clutter, privacy concerns and overt technological focus on registering and mapping the room’s easily mutable arrangement to learning content. However, Legge et al. </w:t>
      </w:r>
      <w:r w:rsidRPr="001D1F13">
        <w:rPr>
          <w:color w:val="000000" w:themeColor="text1"/>
        </w:rPr>
        <w:fldChar w:fldCharType="begin" w:fldLock="1"/>
      </w:r>
      <w:r>
        <w:rPr>
          <w:color w:val="000000" w:themeColor="text1"/>
        </w:rPr>
        <w:instrText>ADDIN CSL_CITATION {"citationItems":[{"id":"ITEM-1","itemData":{"DOI":"10.1016/j.actpsy.2012.09.002","ISSN":"00016918","author":[{"dropping-particle":"","family":"Legge","given":"Eric L.G.","non-dropping-particle":"","parse-names":false,"suffix":""},{"dropping-particle":"","family":"Madan","given":"Christopher R.","non-dropping-particle":"","parse-names":false,"suffix":""},{"dropping-particle":"","family":"Ng","given":"Enoch T.","non-dropping-particle":"","parse-names":false,"suffix":""},{"dropping-particle":"","family":"Caplan","given":"Jeremy B.","non-dropping-particle":"","parse-names":false,"suffix":""}],"container-title":"Acta Psychologica","id":"ITEM-1","issue":"3","issued":{"date-parts":[["2012","11"]]},"page":"380-390","title":"Building a memory palace in minutes: Equivalent memory performance using virtual versus conventional environments with the Method of Loci","type":"article-journal","volume":"141"},"uris":["http://www.mendeley.com/documents/?uuid=0230201e-dc05-49de-8fe1-8fae9971e7e8"]}],"mendeley":{"formattedCitation":"[27]","plainTextFormattedCitation":"[27]","previouslyFormattedCitation":"[28]"},"properties":{"noteIndex":0},"schema":"https://github.com/citation-style-language/schema/raw/master/csl-citation.json"}</w:instrText>
      </w:r>
      <w:r w:rsidRPr="001D1F13">
        <w:rPr>
          <w:color w:val="000000" w:themeColor="text1"/>
        </w:rPr>
        <w:fldChar w:fldCharType="separate"/>
      </w:r>
      <w:r w:rsidRPr="00BB0BA7">
        <w:rPr>
          <w:noProof/>
          <w:color w:val="000000" w:themeColor="text1"/>
        </w:rPr>
        <w:t>[27]</w:t>
      </w:r>
      <w:r w:rsidRPr="001D1F13">
        <w:rPr>
          <w:color w:val="000000" w:themeColor="text1"/>
        </w:rPr>
        <w:fldChar w:fldCharType="end"/>
      </w:r>
      <w:r w:rsidRPr="001D1F13">
        <w:rPr>
          <w:color w:val="000000" w:themeColor="text1"/>
          <w:lang w:val="en-US"/>
        </w:rPr>
        <w:t xml:space="preserve"> </w:t>
      </w:r>
      <w:r w:rsidRPr="001D1F13">
        <w:rPr>
          <w:lang w:val="en-US"/>
        </w:rPr>
        <w:t xml:space="preserve">suggest </w:t>
      </w:r>
      <w:r w:rsidRPr="001D1F13">
        <w:t>that the mind-palace doesn’t need to be a familiar place. In a collaborative context, the mind-palace can be anything which is common to the learner group and established in a neutral setting. This further strengthened our decision to choose VR as our enabling technology which could be deployed as both desktop and immersive VR.</w:t>
      </w:r>
    </w:p>
    <w:p w14:paraId="5ECFDF19" w14:textId="4B524C31" w:rsidR="00090FB2" w:rsidRDefault="00090FB2" w:rsidP="00090FB2">
      <w:pPr>
        <w:pStyle w:val="Heading2"/>
      </w:pPr>
      <w:r>
        <w:t>Learning Resources vs Interactive Objects</w:t>
      </w:r>
    </w:p>
    <w:p w14:paraId="350EA9F9" w14:textId="77777777" w:rsidR="00D333A3" w:rsidRDefault="00090FB2" w:rsidP="00D333A3">
      <w:pPr>
        <w:pStyle w:val="BodyText"/>
      </w:pPr>
      <w:r>
        <w:t xml:space="preserve">The main objective of </w:t>
      </w:r>
      <w:r w:rsidR="008B3DC9">
        <w:t>CloVR</w:t>
      </w:r>
      <w:r>
        <w:t xml:space="preserve"> is </w:t>
      </w:r>
      <w:r w:rsidR="002203AC">
        <w:rPr>
          <w:lang w:val="en-US"/>
        </w:rPr>
        <w:t xml:space="preserve">to </w:t>
      </w:r>
      <w:r w:rsidR="00F544E5">
        <w:rPr>
          <w:lang w:val="en-GB"/>
        </w:rPr>
        <w:t>present</w:t>
      </w:r>
      <w:r>
        <w:t xml:space="preserve"> learning resources in a collaborative </w:t>
      </w:r>
      <w:r w:rsidR="00F544E5">
        <w:rPr>
          <w:lang w:val="en-GB"/>
        </w:rPr>
        <w:t>environment</w:t>
      </w:r>
      <w:r>
        <w:t>. These</w:t>
      </w:r>
      <w:r w:rsidR="00C13FC1">
        <w:rPr>
          <w:lang w:val="en-US"/>
        </w:rPr>
        <w:t xml:space="preserve"> learning objects</w:t>
      </w:r>
      <w:r w:rsidR="00BE5480">
        <w:rPr>
          <w:lang w:val="en-US"/>
        </w:rPr>
        <w:t xml:space="preserve"> (eLRs)</w:t>
      </w:r>
      <w:r>
        <w:t xml:space="preserve"> are derived from existing material which can be text-based resources (cards, text snippets, annotations, notes), image-based (diagrams, sketches, scans), audio/video resources and finally interactive 3D models. These eLRs are </w:t>
      </w:r>
      <w:r w:rsidR="00F544E5">
        <w:rPr>
          <w:lang w:val="en-GB"/>
        </w:rPr>
        <w:t xml:space="preserve">commonly </w:t>
      </w:r>
      <w:r>
        <w:t>curated within an LMS</w:t>
      </w:r>
      <w:r w:rsidR="000E2762">
        <w:rPr>
          <w:lang w:val="en-US"/>
        </w:rPr>
        <w:t xml:space="preserve"> which typically contain</w:t>
      </w:r>
      <w:r w:rsidR="00BE5480">
        <w:rPr>
          <w:lang w:val="en-US"/>
        </w:rPr>
        <w:t>s</w:t>
      </w:r>
      <w:r w:rsidR="000E2762">
        <w:rPr>
          <w:lang w:val="en-US"/>
        </w:rPr>
        <w:t xml:space="preserve"> a multitude of indiv</w:t>
      </w:r>
      <w:r w:rsidR="00B318FB">
        <w:rPr>
          <w:lang w:val="en-US"/>
        </w:rPr>
        <w:t>idual tools, which could include CloVR</w:t>
      </w:r>
      <w:r>
        <w:t xml:space="preserve">. </w:t>
      </w:r>
      <w:r w:rsidR="00C627C8">
        <w:rPr>
          <w:lang w:val="en-GB"/>
        </w:rPr>
        <w:t xml:space="preserve">For </w:t>
      </w:r>
      <w:r w:rsidR="008B3DC9">
        <w:rPr>
          <w:lang w:val="en-GB"/>
        </w:rPr>
        <w:t>CloVR</w:t>
      </w:r>
      <w:r w:rsidR="00F544E5">
        <w:rPr>
          <w:lang w:val="en-GB"/>
        </w:rPr>
        <w:t>,</w:t>
      </w:r>
      <w:r>
        <w:t xml:space="preserve"> the upload and curation of the </w:t>
      </w:r>
      <w:r w:rsidR="00F544E5">
        <w:rPr>
          <w:lang w:val="en-GB"/>
        </w:rPr>
        <w:t>eLRs</w:t>
      </w:r>
      <w:r>
        <w:t xml:space="preserve"> is managed by the learner instead of the tutor. The learner is free to organize th</w:t>
      </w:r>
      <w:r w:rsidR="00F544E5">
        <w:rPr>
          <w:lang w:val="en-GB"/>
        </w:rPr>
        <w:t>e eLRs</w:t>
      </w:r>
      <w:r>
        <w:t xml:space="preserve"> in a manner that suits them best </w:t>
      </w:r>
      <w:r w:rsidR="00F544E5">
        <w:rPr>
          <w:lang w:val="en-GB"/>
        </w:rPr>
        <w:t xml:space="preserve">for future </w:t>
      </w:r>
      <w:r>
        <w:t>access and consum</w:t>
      </w:r>
      <w:r w:rsidR="00F544E5">
        <w:rPr>
          <w:lang w:val="en-GB"/>
        </w:rPr>
        <w:t>ption</w:t>
      </w:r>
      <w:r w:rsidR="0036002E">
        <w:rPr>
          <w:lang w:val="en-GB"/>
        </w:rPr>
        <w:t xml:space="preserve"> </w:t>
      </w:r>
      <w:r>
        <w:t xml:space="preserve">within the </w:t>
      </w:r>
      <w:r w:rsidR="008B3DC9">
        <w:t>CloVR</w:t>
      </w:r>
      <w:r>
        <w:t xml:space="preserve"> environment.</w:t>
      </w:r>
      <w:r w:rsidR="00C627C8">
        <w:rPr>
          <w:lang w:val="en-GB"/>
        </w:rPr>
        <w:t xml:space="preserve"> </w:t>
      </w:r>
      <w:r w:rsidR="00CE7594">
        <w:rPr>
          <w:lang w:val="en-GB"/>
        </w:rPr>
        <w:t>Th</w:t>
      </w:r>
      <w:r>
        <w:t xml:space="preserve">e </w:t>
      </w:r>
      <w:r w:rsidR="008B3DC9">
        <w:t>CloVR</w:t>
      </w:r>
      <w:r>
        <w:t xml:space="preserve"> environment is </w:t>
      </w:r>
      <w:r w:rsidR="0036002E">
        <w:rPr>
          <w:lang w:val="en-GB"/>
        </w:rPr>
        <w:t xml:space="preserve">also </w:t>
      </w:r>
      <w:r>
        <w:t>populated with artefacts unrelated</w:t>
      </w:r>
      <w:r w:rsidR="0036002E">
        <w:rPr>
          <w:lang w:val="en-GB"/>
        </w:rPr>
        <w:t xml:space="preserve"> </w:t>
      </w:r>
      <w:r w:rsidR="0036002E">
        <w:t>(in a pedagogical context)</w:t>
      </w:r>
      <w:r>
        <w:t xml:space="preserve"> to the content but </w:t>
      </w:r>
      <w:r w:rsidR="0036002E">
        <w:rPr>
          <w:lang w:val="en-GB"/>
        </w:rPr>
        <w:t>help</w:t>
      </w:r>
      <w:r w:rsidR="00BE5480">
        <w:rPr>
          <w:lang w:val="en-GB"/>
        </w:rPr>
        <w:t>s</w:t>
      </w:r>
      <w:r>
        <w:t xml:space="preserve"> facilitate the creation and interaction </w:t>
      </w:r>
      <w:r w:rsidR="00DD4247">
        <w:t xml:space="preserve">with </w:t>
      </w:r>
      <w:r w:rsidR="00DD4247">
        <w:rPr>
          <w:lang w:val="en-US"/>
        </w:rPr>
        <w:t>the</w:t>
      </w:r>
      <w:r>
        <w:t xml:space="preserve"> mind-palace. Artefacts tagged with eLRs are intentionally animated to distinguish them from non-interactive artefacts of the mind-palace. </w:t>
      </w:r>
      <w:r w:rsidR="008B3DC9">
        <w:t>CloVR</w:t>
      </w:r>
      <w:r>
        <w:t xml:space="preserve"> allows users to use </w:t>
      </w:r>
      <w:r w:rsidR="00BE5480">
        <w:rPr>
          <w:lang w:val="en-US"/>
        </w:rPr>
        <w:t xml:space="preserve">predefined </w:t>
      </w:r>
      <w:r>
        <w:t xml:space="preserve">artefacts </w:t>
      </w:r>
      <w:r w:rsidR="00D333A3">
        <w:t>or populate their own objects which are either more familiar with the user or stand out in the environment. Customization of the artefact tagged with eLRs is desirable to increase memorability but not central to the experience.</w:t>
      </w:r>
    </w:p>
    <w:p w14:paraId="609CC76D" w14:textId="264EB8A7" w:rsidR="00090FB2" w:rsidRDefault="00090FB2" w:rsidP="00D333A3">
      <w:pPr>
        <w:pStyle w:val="Heading2"/>
      </w:pPr>
      <w:r>
        <w:t>Virtual Mind Palace</w:t>
      </w:r>
    </w:p>
    <w:p w14:paraId="3817D291" w14:textId="66E05433" w:rsidR="00090FB2" w:rsidRDefault="00090FB2" w:rsidP="00090FB2">
      <w:pPr>
        <w:pStyle w:val="BodyText"/>
      </w:pPr>
      <w:r>
        <w:t xml:space="preserve">VR to create a virtualized representation of a mind palace has been explored before. </w:t>
      </w:r>
      <w:r w:rsidR="00BE5480">
        <w:rPr>
          <w:lang w:val="en-US"/>
        </w:rPr>
        <w:t>For s</w:t>
      </w:r>
      <w:proofErr w:type="spellStart"/>
      <w:r>
        <w:t>ingle</w:t>
      </w:r>
      <w:proofErr w:type="spellEnd"/>
      <w:r>
        <w:t xml:space="preserve">-user virtual mind palaces Yang et al </w:t>
      </w:r>
      <w:r w:rsidR="00023AAD">
        <w:rPr>
          <w:color w:val="000000" w:themeColor="text1"/>
        </w:rPr>
        <w:fldChar w:fldCharType="begin" w:fldLock="1"/>
      </w:r>
      <w:r w:rsidR="00BB0BA7">
        <w:rPr>
          <w:color w:val="000000" w:themeColor="text1"/>
        </w:rPr>
        <w:instrText>ADDIN CSL_CITATION {"citationItems":[{"id":"ITEM-1","itemData":{"DOI":"10.1109/TVCG.2020.3009003","ISSN":"1941-0506 VO  -","abstract":"We present exploratory research of virtual reality techniques and mnemonic devices to assist in retrieving knowledge from scholarly articles. We used abstracts of scientific publications to represent scientific knowledge in scholarly articles; participants were asked to read, remember, and retrieve knowledge from a set of abstracts. We conducted an experiment to compare participants' recall and recognition performance in three different conditions: a control condition without a pre-specified strategy to test baseline individual memory ability, a condition using an image-based variant of a mnemonic called a memory palace, and a condition using a virtual reality-based variant of a memory palace. Our analyses show that using a virtual reality-based memory palace variant greatly increased the amount of knowledge retrieved and retained over the baseline, and it shows a moderate improvement over the other image-based memory palace variant. Anecdotal feedback from participants suggested that personalizing a memory palace variant would be appreciated. Our results support the value of virtual reality for some high-level cognitive tasks and help improve future applications of virtual reality and visualization.","author":[{"dropping-particle":"","family":"Yang","given":"F","non-dropping-particle":"","parse-names":false,"suffix":""},{"dropping-particle":"","family":"Qian","given":"J","non-dropping-particle":"","parse-names":false,"suffix":""},{"dropping-particle":"","family":"Novotny","given":"J","non-dropping-particle":"","parse-names":false,"suffix":""},{"dropping-particle":"","family":"Badre","given":"D","non-dropping-particle":"","parse-names":false,"suffix":""},{"dropping-particle":"","family":"Jackson","given":"C","non-dropping-particle":"","parse-names":false,"suffix":""},{"dropping-particle":"","family":"Laidlaw","given":"D","non-dropping-particle":"","parse-names":false,"suffix":""}],"container-title":"IEEE Transactions on Visualization and Computer Graphics","id":"ITEM-1","issued":{"date-parts":[["2020"]]},"page":"1","title":"A Virtual Reality Memory Palace Variant Aids Knowledge Retrieval from Scholarly Articles","type":"article-journal"},"uris":["http://www.mendeley.com/documents/?uuid=790b8fc6-286e-458c-b34d-5d70397474af"]}],"mendeley":{"formattedCitation":"[49]","plainTextFormattedCitation":"[49]","previouslyFormattedCitation":"[48]"},"properties":{"noteIndex":0},"schema":"https://github.com/citation-style-language/schema/raw/master/csl-citation.json"}</w:instrText>
      </w:r>
      <w:r w:rsidR="00023AAD">
        <w:rPr>
          <w:color w:val="000000" w:themeColor="text1"/>
        </w:rPr>
        <w:fldChar w:fldCharType="separate"/>
      </w:r>
      <w:r w:rsidR="00BB0BA7" w:rsidRPr="00BB0BA7">
        <w:rPr>
          <w:noProof/>
          <w:color w:val="000000" w:themeColor="text1"/>
        </w:rPr>
        <w:t>[49]</w:t>
      </w:r>
      <w:r w:rsidR="00023AAD">
        <w:rPr>
          <w:color w:val="000000" w:themeColor="text1"/>
        </w:rPr>
        <w:fldChar w:fldCharType="end"/>
      </w:r>
      <w:r>
        <w:t xml:space="preserve"> studied </w:t>
      </w:r>
      <w:r w:rsidRPr="00F044E3">
        <w:t>retrieving knowledge from</w:t>
      </w:r>
      <w:r>
        <w:t xml:space="preserve"> </w:t>
      </w:r>
      <w:r w:rsidRPr="00F044E3">
        <w:t>scholarly articles</w:t>
      </w:r>
      <w:r>
        <w:t xml:space="preserve"> using a virtual mind palace. </w:t>
      </w:r>
      <w:r w:rsidRPr="00F56668">
        <w:t xml:space="preserve">Vindenes et al.’s </w:t>
      </w:r>
      <w:r>
        <w:fldChar w:fldCharType="begin" w:fldLock="1"/>
      </w:r>
      <w:r w:rsidR="00BB0BA7">
        <w:instrText>ADDIN CSL_CITATION {"citationItems":[{"id":"ITEM-1","itemData":{"ISBN":"978-3-319-95270-3","abstract":"``Mnemosyne'' is an Immersive Virtual Reality (VR) application designed to increase memory recall. The application simulates the processes of the ancient mnemonic ``the Method of Loci'' (MOL), also referred to as the ``Memory Palace'' technique. The application allows users to create personalised Memory Palaces by navigating and storing ``memory cubes'' in a Virtual Environment (VE) through a Head-Mounted Display (HMD). Results from a pilot study with 18 participants indicate that those with higher spatial reasoning abilities benefit more from use of the MOL. An evaluation of the pilot study raised a number of interesting issues to take into consideration in the redesign of a larger study.","author":[{"dropping-particle":"","family":"Vindenes","given":"Joakim","non-dropping-particle":"","parse-names":false,"suffix":""},{"dropping-particle":"","family":"Gortari","given":"Angelica Ortiz","non-dropping-particle":"de","parse-names":false,"suffix":""},{"dropping-particle":"","family":"Wasson","given":"Barbara","non-dropping-particle":"","parse-names":false,"suffix":""}],"container-title":"Augmented Reality, Virtual Reality, and Computer Graphics","editor":[{"dropping-particle":"","family":"Paolis","given":"Lucio Tommaso","non-dropping-particle":"De","parse-names":false,"suffix":""},{"dropping-particle":"","family":"Bourdot","given":"Patrick","non-dropping-particle":"","parse-names":false,"suffix":""}],"id":"ITEM-1","issued":{"date-parts":[["2018"]]},"page":"205-213","publisher":"Springer International Publishing","publisher-place":"Cham","title":"Mnemosyne: Adapting the Method of Loci to Immersive Virtual Reality","type":"paper-conference"},"uris":["http://www.mendeley.com/documents/?uuid=a5189663-d39e-46e5-9ca1-2fb4b594cbfb"]}],"mendeley":{"formattedCitation":"[50]","plainTextFormattedCitation":"[50]","previouslyFormattedCitation":"[49]"},"properties":{"noteIndex":0},"schema":"https://github.com/citation-style-language/schema/raw/master/csl-citation.json"}</w:instrText>
      </w:r>
      <w:r>
        <w:fldChar w:fldCharType="separate"/>
      </w:r>
      <w:r w:rsidR="00BB0BA7" w:rsidRPr="00BB0BA7">
        <w:rPr>
          <w:noProof/>
        </w:rPr>
        <w:t>[50]</w:t>
      </w:r>
      <w:r>
        <w:fldChar w:fldCharType="end"/>
      </w:r>
      <w:r>
        <w:t xml:space="preserve"> </w:t>
      </w:r>
      <w:r w:rsidRPr="00F56668">
        <w:t>showed that desktop VR</w:t>
      </w:r>
      <w:r>
        <w:t xml:space="preserve"> has comparable (if not slightly better) performance than</w:t>
      </w:r>
      <w:r w:rsidRPr="00F56668">
        <w:t xml:space="preserve"> immersive VR</w:t>
      </w:r>
      <w:r>
        <w:t xml:space="preserve">, in contrast to findings of Krokos et al. </w:t>
      </w:r>
      <w:r>
        <w:fldChar w:fldCharType="begin" w:fldLock="1"/>
      </w:r>
      <w:r w:rsidR="00CA71BA">
        <w:instrText>ADDIN CSL_CITATION {"citationItems":[{"id":"ITEM-1","itemData":{"DOI":"10.1007/s10055-018-0346-3","ISSN":"1359-4338","abstract":"Virtual reality displays, such as head-mounted displays (HMD), afford us a superior spatial awareness by leveraging our vestibular and proprioceptive senses, as compared to traditional desktop displays. Since classical times, people have used memory palaces as a spatial mnemonic to help remember information by organizing it spatially and associating it with salient features in that environment. In this paper, we explore whether using virtual memory palaces in a head-mounted display with head-tracking (HMD condition) would allow a user to better recall information than when using a traditional desktop display with a mouse-based interaction (desktop condition). We found that virtual memory palaces in HMD condition provide a superior memory recall ability compared to the desktop condition. We believe this is a first step in using virtual environments for creating more memorable experiences that enhance productivity through better recall of large amounts of information organized using the idea of virtual memory palaces.","author":[{"dropping-particle":"","family":"Krokos","given":"Eric","non-dropping-particle":"","parse-names":false,"suffix":""},{"dropping-particle":"","family":"Plaisant","given":"Catherine","non-dropping-particle":"","parse-names":false,"suffix":""},{"dropping-particle":"","family":"Varshney","given":"Amitabh","non-dropping-particle":"","parse-names":false,"suffix":""}],"container-title":"Virtual Reality","id":"ITEM-1","issue":"1","issued":{"date-parts":[["2019","3","5"]]},"page":"1-15","title":"Virtual memory palaces: immersion aids recall","type":"article-journal","volume":"23"},"uris":["http://www.mendeley.com/documents/?uuid=dab9ef0d-bd73-4036-a473-a2380270fdc4"]}],"mendeley":{"formattedCitation":"[22]","plainTextFormattedCitation":"[22]","previouslyFormattedCitation":"[22]"},"properties":{"noteIndex":0},"schema":"https://github.com/citation-style-language/schema/raw/master/csl-citation.json"}</w:instrText>
      </w:r>
      <w:r>
        <w:fldChar w:fldCharType="separate"/>
      </w:r>
      <w:r w:rsidR="00C53F8E" w:rsidRPr="00C53F8E">
        <w:rPr>
          <w:noProof/>
        </w:rPr>
        <w:t>[22]</w:t>
      </w:r>
      <w:r>
        <w:fldChar w:fldCharType="end"/>
      </w:r>
      <w:r>
        <w:t xml:space="preserve">. </w:t>
      </w:r>
      <w:r w:rsidR="00BE5480">
        <w:rPr>
          <w:lang w:val="en-US"/>
        </w:rPr>
        <w:t>A</w:t>
      </w:r>
      <w:r>
        <w:t xml:space="preserve"> key difference between </w:t>
      </w:r>
      <w:r w:rsidR="008B3DC9">
        <w:t>CloVR</w:t>
      </w:r>
      <w:r>
        <w:t xml:space="preserve"> and these prior examples is the use of the virtual memory palace in a paragogical context. The learner can invite a peer and </w:t>
      </w:r>
      <w:r w:rsidR="008B3DC9">
        <w:t>CloVR</w:t>
      </w:r>
      <w:r>
        <w:t xml:space="preserve"> mediates the conversation and interaction with the peer.</w:t>
      </w:r>
    </w:p>
    <w:p w14:paraId="098489A0" w14:textId="3EE47040" w:rsidR="00090FB2" w:rsidRPr="0024609F" w:rsidRDefault="00090FB2" w:rsidP="00090FB2">
      <w:pPr>
        <w:pStyle w:val="Heading3"/>
      </w:pPr>
      <w:r>
        <w:t>V</w:t>
      </w:r>
      <w:r w:rsidRPr="0024609F">
        <w:t>irtual mind</w:t>
      </w:r>
      <w:r>
        <w:t xml:space="preserve"> </w:t>
      </w:r>
      <w:r w:rsidRPr="0024609F">
        <w:t>palace</w:t>
      </w:r>
      <w:r>
        <w:t xml:space="preserve"> workflow</w:t>
      </w:r>
    </w:p>
    <w:p w14:paraId="0EA45F2A" w14:textId="4D3F5DE6" w:rsidR="0050540B" w:rsidRDefault="00BE5480" w:rsidP="00090FB2">
      <w:pPr>
        <w:pStyle w:val="BodyText"/>
      </w:pPr>
      <w:r>
        <w:rPr>
          <w:lang w:val="en-US"/>
        </w:rPr>
        <w:t>A</w:t>
      </w:r>
      <w:r w:rsidR="00090FB2">
        <w:t xml:space="preserve"> virtual memory palace needs to support </w:t>
      </w:r>
      <w:r w:rsidR="00090FB2" w:rsidRPr="002534BE">
        <w:t xml:space="preserve">a </w:t>
      </w:r>
      <w:r w:rsidR="00090FB2" w:rsidRPr="00D834DE">
        <w:rPr>
          <w:i/>
          <w:iCs/>
        </w:rPr>
        <w:t>location</w:t>
      </w:r>
      <w:r w:rsidR="00090FB2" w:rsidRPr="002534BE">
        <w:t xml:space="preserve">, a </w:t>
      </w:r>
      <w:r w:rsidR="00090FB2" w:rsidRPr="00D834DE">
        <w:rPr>
          <w:i/>
          <w:iCs/>
        </w:rPr>
        <w:t>visualization</w:t>
      </w:r>
      <w:r w:rsidR="00090FB2" w:rsidRPr="002534BE">
        <w:t xml:space="preserve">, and a </w:t>
      </w:r>
      <w:r w:rsidR="00090FB2" w:rsidRPr="00D834DE">
        <w:rPr>
          <w:i/>
          <w:iCs/>
        </w:rPr>
        <w:t>journey</w:t>
      </w:r>
      <w:r w:rsidR="00090FB2">
        <w:t xml:space="preserve">. The location can be a popular real-world site or based on a visually memorable rendering of a locale. </w:t>
      </w:r>
      <w:r w:rsidR="000D38D5">
        <w:rPr>
          <w:lang w:val="en-GB"/>
        </w:rPr>
        <w:t xml:space="preserve">The </w:t>
      </w:r>
      <w:r w:rsidR="00090FB2">
        <w:t xml:space="preserve">learner </w:t>
      </w:r>
      <w:r w:rsidR="000D38D5">
        <w:rPr>
          <w:lang w:val="en-GB"/>
        </w:rPr>
        <w:t xml:space="preserve">can </w:t>
      </w:r>
      <w:r w:rsidR="00090FB2">
        <w:t xml:space="preserve">select a spot or artefact within the environment for depositing one or more related eLRs. The learner </w:t>
      </w:r>
      <w:r w:rsidR="00690CC6">
        <w:rPr>
          <w:lang w:val="en-GB"/>
        </w:rPr>
        <w:t>is</w:t>
      </w:r>
      <w:r w:rsidR="00090FB2">
        <w:t xml:space="preserve"> reminded of the tagged artefacts through animation which sets the artefact apart from other untagged artefacts. When the learner </w:t>
      </w:r>
      <w:r w:rsidR="00690CC6">
        <w:rPr>
          <w:lang w:val="en-GB"/>
        </w:rPr>
        <w:t>wishes</w:t>
      </w:r>
      <w:r w:rsidR="00090FB2">
        <w:t xml:space="preserve"> to access the eLR, the system populates </w:t>
      </w:r>
      <w:r w:rsidR="00090FB2">
        <w:lastRenderedPageBreak/>
        <w:t>the eLR content into the environment. For example, annotations, text, images or vide</w:t>
      </w:r>
      <w:r w:rsidR="008B3DC9">
        <w:rPr>
          <w:lang w:val="en-GB"/>
        </w:rPr>
        <w:t>o</w:t>
      </w:r>
      <w:r w:rsidR="00090FB2">
        <w:t>s can appear as floating planes, while 3D models appear within the environment. The journey is defined as a series of navigation steps within the environment, retrac</w:t>
      </w:r>
      <w:r w:rsidR="003F60CA">
        <w:rPr>
          <w:lang w:val="en-US"/>
        </w:rPr>
        <w:t>ing</w:t>
      </w:r>
      <w:r w:rsidR="00090FB2">
        <w:t xml:space="preserve"> a path undertaken by the learner to step through different pieces of information in a serialized order. When engaging in peer-based collaborative recall, the learners can decide to take alternative paths based on the retrieval and recall of the subject as a group.</w:t>
      </w:r>
    </w:p>
    <w:p w14:paraId="69ABB6D1" w14:textId="2A500E54" w:rsidR="00090FB2" w:rsidRDefault="00090FB2" w:rsidP="00090FB2">
      <w:pPr>
        <w:pStyle w:val="Heading3"/>
      </w:pPr>
      <w:r>
        <w:t>Interactivity and Communication</w:t>
      </w:r>
    </w:p>
    <w:p w14:paraId="06947C98" w14:textId="3ECF6DE3" w:rsidR="00090FB2" w:rsidRDefault="00090FB2" w:rsidP="00090FB2">
      <w:pPr>
        <w:pStyle w:val="BodyText"/>
      </w:pPr>
      <w:r>
        <w:t xml:space="preserve">The learner or their peer(s) interact with tagged artefacts located across the </w:t>
      </w:r>
      <w:r w:rsidR="003F60CA">
        <w:rPr>
          <w:lang w:val="en-US"/>
        </w:rPr>
        <w:t xml:space="preserve">virtual </w:t>
      </w:r>
      <w:r>
        <w:t xml:space="preserve">environment. </w:t>
      </w:r>
      <w:r w:rsidR="002176ED">
        <w:rPr>
          <w:lang w:val="en-GB"/>
        </w:rPr>
        <w:t xml:space="preserve">Navigation and its control should not compete for the attention of the users and should only facilitate movement between artefacts. </w:t>
      </w:r>
      <w:r>
        <w:t xml:space="preserve">This can be achieved through teleportation and guided rails that minimize the cognitive load of providing precision input to perform locomotion within the mind palace. Additional interactions are needed to trigger tagged artefacts and control the play-through of the visualized eLRs. </w:t>
      </w:r>
      <w:r w:rsidR="003F60CA" w:rsidRPr="003F60CA">
        <w:t xml:space="preserve"> </w:t>
      </w:r>
      <w:r w:rsidR="003F60CA">
        <w:t>Similar inputs are required to ‘store’ or deactivate a visualized eLR once the learner is done with the resource. Since the system expects one or more concurrent users, there needs to be two-way audio communication between the learners. Any modification or results of interaction within the environment is visible to all learners within the viewing area..</w:t>
      </w:r>
    </w:p>
    <w:p w14:paraId="204077D5" w14:textId="061424C4" w:rsidR="00090FB2" w:rsidRDefault="00090FB2" w:rsidP="00090FB2">
      <w:pPr>
        <w:pStyle w:val="Heading2"/>
      </w:pPr>
      <w:r>
        <w:t>Spaced Repetition within 3D space and time</w:t>
      </w:r>
    </w:p>
    <w:p w14:paraId="59270F74" w14:textId="1CC32DEB" w:rsidR="00B45649" w:rsidRDefault="00B45649" w:rsidP="00B45649">
      <w:pPr>
        <w:pStyle w:val="BodyText"/>
      </w:pPr>
      <w:r>
        <w:t xml:space="preserve">The mind palace offers an interesting approach to the implementation of spaced repetition. First the learner can organize eLRs with each representing a point in time. This concept emerged from the discussion that a single lecture usually covers aspects of single topic. To revise such a topic, all related content is hosted within the same “room” within a mind-palace. </w:t>
      </w:r>
      <w:r w:rsidR="008B3DC9">
        <w:t>CloVR</w:t>
      </w:r>
      <w:r>
        <w:t xml:space="preserve"> then keeps track of the actual content which has been repeated and provides cues to access more difficult or less repeated content</w:t>
      </w:r>
      <w:r w:rsidR="006E606A">
        <w:rPr>
          <w:lang w:val="en-US"/>
        </w:rPr>
        <w:t>.</w:t>
      </w:r>
      <w:r>
        <w:t xml:space="preserve"> As the learner completes spaced repetition </w:t>
      </w:r>
      <w:r w:rsidR="004B2E67">
        <w:rPr>
          <w:noProof/>
        </w:rPr>
        <w:drawing>
          <wp:anchor distT="45720" distB="45720" distL="114300" distR="114300" simplePos="0" relativeHeight="251658240" behindDoc="0" locked="0" layoutInCell="1" allowOverlap="0" wp14:anchorId="57333373" wp14:editId="342162C6">
            <wp:simplePos x="0" y="0"/>
            <wp:positionH relativeFrom="margin">
              <wp:posOffset>3413286</wp:posOffset>
            </wp:positionH>
            <wp:positionV relativeFrom="margin">
              <wp:align>top</wp:align>
            </wp:positionV>
            <wp:extent cx="3196590" cy="3123565"/>
            <wp:effectExtent l="0" t="0" r="3810" b="635"/>
            <wp:wrapSquare wrapText="bothSides"/>
            <wp:docPr id="9"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196590" cy="3123565"/>
                    </a:xfrm>
                    <a:prstGeom prst="rect">
                      <a:avLst/>
                    </a:prstGeom>
                    <a:solidFill>
                      <a:srgbClr val="FFFFFF"/>
                    </a:solidFill>
                    <a:ln w="9525">
                      <a:noFill/>
                      <a:miter lim="800%"/>
                      <a:headEnd/>
                      <a:tailEnd/>
                    </a:ln>
                  </wp:spPr>
                  <wp:txbx>
                    <wne:txbxContent>
                      <w:p w14:paraId="2FB9E173" w14:textId="7D1F9B4D" w:rsidR="00512BEA" w:rsidRDefault="00512BEA">
                        <w:r>
                          <w:rPr>
                            <w:noProof/>
                          </w:rPr>
                          <w:drawing>
                            <wp:inline distT="0" distB="0" distL="0" distR="0" wp14:anchorId="4A4C374C" wp14:editId="007EE4E7">
                              <wp:extent cx="1443409" cy="1052480"/>
                              <wp:effectExtent l="0" t="0" r="4445" b="0"/>
                              <wp:docPr id="10" name="Picture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17"/>
                                      <a:srcRect r="17.479%"/>
                                      <a:stretch/>
                                    </pic:blipFill>
                                    <pic:spPr bwMode="auto">
                                      <a:xfrm>
                                        <a:off x="0" y="0"/>
                                        <a:ext cx="1496912" cy="109149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9B77BBB" wp14:editId="0C95EC12">
                              <wp:extent cx="1438942" cy="1047750"/>
                              <wp:effectExtent l="0" t="0" r="8890" b="0"/>
                              <wp:docPr id="11" name="Picture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18"/>
                                      <a:srcRect l="17.399%"/>
                                      <a:stretch/>
                                    </pic:blipFill>
                                    <pic:spPr bwMode="auto">
                                      <a:xfrm>
                                        <a:off x="0" y="0"/>
                                        <a:ext cx="1474708" cy="1073792"/>
                                      </a:xfrm>
                                      <a:prstGeom prst="rect">
                                        <a:avLst/>
                                      </a:prstGeom>
                                      <a:ln>
                                        <a:noFill/>
                                      </a:ln>
                                      <a:extLst>
                                        <a:ext uri="{53640926-AAD7-44D8-BBD7-CCE9431645EC}">
                                          <a14:shadowObscured xmlns:a14="http://schemas.microsoft.com/office/drawing/2010/main"/>
                                        </a:ext>
                                      </a:extLst>
                                    </pic:spPr>
                                  </pic:pic>
                                </a:graphicData>
                              </a:graphic>
                            </wp:inline>
                          </w:drawing>
                        </w:r>
                      </w:p>
                      <w:p w14:paraId="475DDD53" w14:textId="77777777" w:rsidR="00512BEA" w:rsidRDefault="00512BEA"/>
                      <w:p w14:paraId="65AA4261" w14:textId="77777777" w:rsidR="00512BEA" w:rsidRDefault="00512BEA" w:rsidP="00000F47">
                        <w:pPr>
                          <w:keepNext/>
                        </w:pPr>
                        <w:r>
                          <w:rPr>
                            <w:noProof/>
                          </w:rPr>
                          <w:drawing>
                            <wp:inline distT="0" distB="0" distL="0" distR="0" wp14:anchorId="173238FE" wp14:editId="26110C13">
                              <wp:extent cx="2913904" cy="1432969"/>
                              <wp:effectExtent l="0" t="0" r="1270" b="0"/>
                              <wp:docPr id="12" name="Picture 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 name=""/>
                                      <pic:cNvPicPr/>
                                    </pic:nvPicPr>
                                    <pic:blipFill rotWithShape="1">
                                      <a:blip r:embed="rId19"/>
                                      <a:srcRect l="4.051%" t="24.693%" r="3.84%"/>
                                      <a:stretch/>
                                    </pic:blipFill>
                                    <pic:spPr bwMode="auto">
                                      <a:xfrm>
                                        <a:off x="0" y="0"/>
                                        <a:ext cx="2973705" cy="1462377"/>
                                      </a:xfrm>
                                      <a:prstGeom prst="rect">
                                        <a:avLst/>
                                      </a:prstGeom>
                                      <a:ln>
                                        <a:noFill/>
                                      </a:ln>
                                      <a:extLst>
                                        <a:ext uri="{53640926-AAD7-44D8-BBD7-CCE9431645EC}">
                                          <a14:shadowObscured xmlns:a14="http://schemas.microsoft.com/office/drawing/2010/main"/>
                                        </a:ext>
                                      </a:extLst>
                                    </pic:spPr>
                                  </pic:pic>
                                </a:graphicData>
                              </a:graphic>
                            </wp:inline>
                          </w:drawing>
                        </w:r>
                      </w:p>
                      <w:p w14:paraId="4FC1768D" w14:textId="7D0DCE07" w:rsidR="00512BEA" w:rsidRDefault="00CC1D41" w:rsidP="00000F47">
                        <w:pPr>
                          <w:pStyle w:val="figurecaption0"/>
                        </w:pPr>
                        <w:r>
                          <w:t>CloVR</w:t>
                        </w:r>
                        <w:r w:rsidR="00512BEA" w:rsidRPr="002C37EF">
                          <w:t xml:space="preserve"> Implementation: (top</w:t>
                        </w:r>
                        <w:r w:rsidR="005434AD">
                          <w:t xml:space="preserve"> left</w:t>
                        </w:r>
                        <w:r w:rsidR="00512BEA" w:rsidRPr="002C37EF">
                          <w:t>): Two peers exploring a topic in a room-style mind-palace and (</w:t>
                        </w:r>
                        <w:r w:rsidR="005434AD">
                          <w:t>top righty</w:t>
                        </w:r>
                        <w:r w:rsidR="00512BEA" w:rsidRPr="002C37EF">
                          <w:t>): outside; (bottom-left): Spaced repetition schedule reminders; (bottom-right): Waypoint navigation.</w:t>
                        </w:r>
                      </w:p>
                      <w:p w14:paraId="768647C6" w14:textId="7493D048" w:rsidR="00512BEA" w:rsidRDefault="00512BEA"/>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t xml:space="preserve">sessions, more frequently accessed content floats towards the </w:t>
      </w:r>
      <w:r w:rsidR="006E606A">
        <w:rPr>
          <w:noProof/>
          <w:lang w:val="en-US"/>
        </w:rPr>
        <w:t>ceiling</w:t>
      </w:r>
      <w:r>
        <w:t xml:space="preserve"> while more difficult content stays firmly positioned over the </w:t>
      </w:r>
      <w:r w:rsidR="006E606A">
        <w:rPr>
          <w:lang w:val="en-US"/>
        </w:rPr>
        <w:t>floor</w:t>
      </w:r>
      <w:r>
        <w:t xml:space="preserve">. </w:t>
      </w:r>
      <w:r w:rsidR="006E606A">
        <w:rPr>
          <w:lang w:val="en-US"/>
        </w:rPr>
        <w:t xml:space="preserve"> Two predefined rooms are provided – a bedroom and</w:t>
      </w:r>
      <w:r>
        <w:t xml:space="preserve"> a sparse warehouse in which the eLRs are grouped into appropriate cubes or boxes. The metaphor of the cubes is associated with the lecture event during which the stored eLRs were covered. The ‘</w:t>
      </w:r>
      <w:r w:rsidRPr="006E606A">
        <w:rPr>
          <w:i/>
          <w:iCs/>
        </w:rPr>
        <w:t>age since last access</w:t>
      </w:r>
      <w:r w:rsidRPr="006E606A">
        <w:t xml:space="preserve">’ </w:t>
      </w:r>
      <w:r>
        <w:t xml:space="preserve">or associated difficulty in recall of the eLRs is conveyed through color-based cues displayed on the cube walls. To improve the individual outcomes for learners, the system needs to customize the indications differently for group-learning sessions than for individual sessions. In either implementation, an algorithm like </w:t>
      </w:r>
      <w:r>
        <w:rPr>
          <w:color w:val="000000" w:themeColor="text1"/>
        </w:rPr>
        <w:t xml:space="preserve">Leitner’s </w:t>
      </w:r>
      <w:r>
        <w:rPr>
          <w:color w:val="000000" w:themeColor="text1"/>
        </w:rPr>
        <w:fldChar w:fldCharType="begin" w:fldLock="1"/>
      </w:r>
      <w:r w:rsidR="00CA71BA">
        <w:rPr>
          <w:color w:val="000000" w:themeColor="text1"/>
        </w:rPr>
        <w:instrText>ADDIN CSL_CITATION {"citationItems":[{"id":"ITEM-1","itemData":{"ISBN":"3868201157","author":[{"dropping-particle":"","family":"Leitner","given":"Sebastian","non-dropping-particle":"","parse-names":false,"suffix":""}],"id":"ITEM-1","issued":{"date-parts":[["2011"]]},"publisher":"Nikol","title":"So lernt man lernen: Der Weg zum Erfolg","type":"book"},"uris":["http://www.mendeley.com/documents/?uuid=0351e372-aaf7-43af-9547-b77436fc679a"]}],"mendeley":{"formattedCitation":"[34]","plainTextFormattedCitation":"[34]","previouslyFormattedCitation":"[34]"},"properties":{"noteIndex":0},"schema":"https://github.com/citation-style-language/schema/raw/master/csl-citation.json"}</w:instrText>
      </w:r>
      <w:r>
        <w:rPr>
          <w:color w:val="000000" w:themeColor="text1"/>
        </w:rPr>
        <w:fldChar w:fldCharType="separate"/>
      </w:r>
      <w:r w:rsidR="00C53F8E" w:rsidRPr="00C53F8E">
        <w:rPr>
          <w:noProof/>
          <w:color w:val="000000" w:themeColor="text1"/>
        </w:rPr>
        <w:t>[34]</w:t>
      </w:r>
      <w:r>
        <w:rPr>
          <w:color w:val="000000" w:themeColor="text1"/>
        </w:rPr>
        <w:fldChar w:fldCharType="end"/>
      </w:r>
      <w:r>
        <w:rPr>
          <w:color w:val="000000" w:themeColor="text1"/>
        </w:rPr>
        <w:t xml:space="preserve"> can help keep track of the repetition schedule</w:t>
      </w:r>
      <w:r>
        <w:t>.</w:t>
      </w:r>
    </w:p>
    <w:p w14:paraId="71D8ABB7" w14:textId="7AC27C3A" w:rsidR="00090FB2" w:rsidRDefault="00B45649" w:rsidP="00B45649">
      <w:pPr>
        <w:pStyle w:val="Heading1"/>
      </w:pPr>
      <w:r>
        <w:t>Implementation</w:t>
      </w:r>
    </w:p>
    <w:p w14:paraId="27355F76" w14:textId="62D2C398" w:rsidR="00B45649" w:rsidRDefault="00B45649" w:rsidP="00B45649">
      <w:pPr>
        <w:pStyle w:val="BodyText"/>
      </w:pPr>
      <w:r>
        <w:t xml:space="preserve">We developed a prototype to showcase the capabilities of </w:t>
      </w:r>
      <w:r w:rsidR="008B3DC9">
        <w:t>CloVR</w:t>
      </w:r>
      <w:r>
        <w:t xml:space="preserve">. </w:t>
      </w:r>
      <w:r w:rsidR="003B25C8">
        <w:rPr>
          <w:lang w:val="en-US"/>
        </w:rPr>
        <w:t>As we</w:t>
      </w:r>
      <w:r>
        <w:t xml:space="preserve"> were also concerned with the equality in opportunity of access</w:t>
      </w:r>
      <w:r w:rsidR="003B25C8">
        <w:rPr>
          <w:lang w:val="en-US"/>
        </w:rPr>
        <w:t xml:space="preserve">, </w:t>
      </w:r>
      <w:r>
        <w:t xml:space="preserve">we needed a platform-independent solution capable of running on a wide range of devices and without high-end requirements. </w:t>
      </w:r>
      <w:r w:rsidR="002773D1">
        <w:rPr>
          <w:lang w:val="en-GB"/>
        </w:rPr>
        <w:t xml:space="preserve"> We chose WebXR and A-Frame to develop our prototype.</w:t>
      </w:r>
      <w:r>
        <w:t xml:space="preserve"> </w:t>
      </w:r>
    </w:p>
    <w:p w14:paraId="5702958F" w14:textId="0EF3DB54" w:rsidR="00B45649" w:rsidRDefault="00B45649" w:rsidP="00B45649">
      <w:pPr>
        <w:pStyle w:val="Heading2"/>
      </w:pPr>
      <w:r>
        <w:t>Interactivity and Workflow</w:t>
      </w:r>
    </w:p>
    <w:p w14:paraId="666E1263" w14:textId="079C6426" w:rsidR="00B45649" w:rsidRDefault="00B45649" w:rsidP="00B45649">
      <w:pPr>
        <w:pStyle w:val="BodyText"/>
        <w:rPr>
          <w:lang w:eastAsia="en-GB"/>
        </w:rPr>
      </w:pPr>
      <w:r>
        <w:t xml:space="preserve">A-Frame provides off-the-shelf implementations for various common input modalities (e.g., touch, mouse and gaze). It supports specialized inputs through plugin components (e.g., Quest controllers). To support low-end cardboard-style VR headsets, we enabled dwell-based </w:t>
      </w:r>
      <w:r>
        <w:rPr>
          <w:lang w:val="en-US" w:eastAsia="en-GB"/>
        </w:rPr>
        <w:t>g</w:t>
      </w:r>
      <w:r w:rsidRPr="005F5FAE">
        <w:rPr>
          <w:lang w:eastAsia="en-GB"/>
        </w:rPr>
        <w:t>aze</w:t>
      </w:r>
      <w:r>
        <w:rPr>
          <w:lang w:eastAsia="en-GB"/>
        </w:rPr>
        <w:t>-</w:t>
      </w:r>
      <w:r w:rsidRPr="005F5FAE">
        <w:rPr>
          <w:lang w:eastAsia="en-GB"/>
        </w:rPr>
        <w:t>interaction</w:t>
      </w:r>
      <w:r>
        <w:rPr>
          <w:lang w:eastAsia="en-GB"/>
        </w:rPr>
        <w:t xml:space="preserve"> techniques. The gaze-input allowed learners to trigger open/close and start/stop functions of associated eLRs. Since </w:t>
      </w:r>
      <w:r w:rsidR="008B3DC9">
        <w:rPr>
          <w:lang w:eastAsia="en-GB"/>
        </w:rPr>
        <w:t>CloVR</w:t>
      </w:r>
      <w:r>
        <w:rPr>
          <w:lang w:eastAsia="en-GB"/>
        </w:rPr>
        <w:t xml:space="preserve"> is expected to host content of entire modules (i.e., courses), we enabled navigation way</w:t>
      </w:r>
      <w:r w:rsidRPr="005F5FAE">
        <w:rPr>
          <w:lang w:eastAsia="en-GB"/>
        </w:rPr>
        <w:t>points</w:t>
      </w:r>
      <w:r>
        <w:rPr>
          <w:lang w:eastAsia="en-GB"/>
        </w:rPr>
        <w:t xml:space="preserve"> (Fig</w:t>
      </w:r>
      <w:r w:rsidR="002773D1">
        <w:rPr>
          <w:lang w:val="en-GB" w:eastAsia="en-GB"/>
        </w:rPr>
        <w:t>.</w:t>
      </w:r>
      <w:r>
        <w:rPr>
          <w:lang w:eastAsia="en-GB"/>
        </w:rPr>
        <w:t xml:space="preserve"> </w:t>
      </w:r>
      <w:r w:rsidR="002773D1">
        <w:rPr>
          <w:lang w:val="en-GB" w:eastAsia="en-GB"/>
        </w:rPr>
        <w:t>1</w:t>
      </w:r>
      <w:r>
        <w:rPr>
          <w:lang w:eastAsia="en-GB"/>
        </w:rPr>
        <w:t xml:space="preserve"> bottom-right) as a metaphor for menu-based selection of topics and particular day/week. Tagged artefacts were presented as </w:t>
      </w:r>
      <w:r w:rsidRPr="005F5FAE">
        <w:rPr>
          <w:lang w:eastAsia="en-GB"/>
        </w:rPr>
        <w:t>interactive objects</w:t>
      </w:r>
      <w:r>
        <w:rPr>
          <w:lang w:eastAsia="en-GB"/>
        </w:rPr>
        <w:t xml:space="preserve"> </w:t>
      </w:r>
      <w:r w:rsidR="00E71204">
        <w:rPr>
          <w:lang w:val="en-GB" w:eastAsia="en-GB"/>
        </w:rPr>
        <w:t xml:space="preserve">with animation </w:t>
      </w:r>
      <w:r>
        <w:rPr>
          <w:lang w:eastAsia="en-GB"/>
        </w:rPr>
        <w:t>cue</w:t>
      </w:r>
      <w:r w:rsidR="00E71204">
        <w:rPr>
          <w:lang w:val="en-GB" w:eastAsia="en-GB"/>
        </w:rPr>
        <w:t>s</w:t>
      </w:r>
      <w:r>
        <w:rPr>
          <w:lang w:eastAsia="en-GB"/>
        </w:rPr>
        <w:t xml:space="preserve"> (Fig</w:t>
      </w:r>
      <w:r w:rsidR="002773D1">
        <w:rPr>
          <w:lang w:val="en-GB" w:eastAsia="en-GB"/>
        </w:rPr>
        <w:t>.</w:t>
      </w:r>
      <w:r>
        <w:rPr>
          <w:lang w:eastAsia="en-GB"/>
        </w:rPr>
        <w:t xml:space="preserve"> </w:t>
      </w:r>
      <w:r w:rsidR="002773D1">
        <w:rPr>
          <w:lang w:val="en-GB" w:eastAsia="en-GB"/>
        </w:rPr>
        <w:t>1</w:t>
      </w:r>
      <w:r w:rsidR="005434AD">
        <w:rPr>
          <w:lang w:val="en-US" w:eastAsia="en-GB"/>
        </w:rPr>
        <w:t xml:space="preserve"> </w:t>
      </w:r>
      <w:r>
        <w:rPr>
          <w:lang w:eastAsia="en-GB"/>
        </w:rPr>
        <w:t>top</w:t>
      </w:r>
      <w:r w:rsidR="005434AD">
        <w:rPr>
          <w:lang w:val="en-US" w:eastAsia="en-GB"/>
        </w:rPr>
        <w:t xml:space="preserve"> left</w:t>
      </w:r>
      <w:r>
        <w:rPr>
          <w:lang w:eastAsia="en-GB"/>
        </w:rPr>
        <w:t xml:space="preserve">, </w:t>
      </w:r>
      <w:r w:rsidR="005434AD">
        <w:rPr>
          <w:lang w:val="en-US" w:eastAsia="en-GB"/>
        </w:rPr>
        <w:t>top right</w:t>
      </w:r>
      <w:r>
        <w:rPr>
          <w:lang w:eastAsia="en-GB"/>
        </w:rPr>
        <w:t>)</w:t>
      </w:r>
      <w:r w:rsidR="00E71204">
        <w:rPr>
          <w:lang w:val="en-GB" w:eastAsia="en-GB"/>
        </w:rPr>
        <w:t xml:space="preserve"> </w:t>
      </w:r>
      <w:r w:rsidRPr="005F5FAE">
        <w:rPr>
          <w:lang w:eastAsia="en-GB"/>
        </w:rPr>
        <w:t>This allows the user to differentia</w:t>
      </w:r>
      <w:r w:rsidR="00E71204">
        <w:rPr>
          <w:lang w:val="en-GB" w:eastAsia="en-GB"/>
        </w:rPr>
        <w:t>te</w:t>
      </w:r>
      <w:r w:rsidRPr="005F5FAE">
        <w:rPr>
          <w:lang w:eastAsia="en-GB"/>
        </w:rPr>
        <w:t xml:space="preserve"> between interactive and non-interactive objects. </w:t>
      </w:r>
    </w:p>
    <w:p w14:paraId="37B329E3" w14:textId="27E7D4E6" w:rsidR="00B45649" w:rsidRDefault="004A60EF" w:rsidP="00B45649">
      <w:pPr>
        <w:pStyle w:val="Heading2"/>
      </w:pPr>
      <w:r>
        <w:t>Single Learner Experience</w:t>
      </w:r>
    </w:p>
    <w:p w14:paraId="1729A458" w14:textId="7722DD80" w:rsidR="004A60EF" w:rsidRDefault="004A60EF" w:rsidP="004A60EF">
      <w:pPr>
        <w:pStyle w:val="BodyText"/>
      </w:pPr>
      <w:r>
        <w:t xml:space="preserve">As a mind-palace, </w:t>
      </w:r>
      <w:r w:rsidR="008B3DC9">
        <w:t>CloVR</w:t>
      </w:r>
      <w:r>
        <w:t xml:space="preserve"> can be used by a single learner any time. A learner can customize or select the environment (location) and tag eLRs to artefacts (visualization). A learner populates the eLRs at their own pace, creating their own personal journey through the mind-palace. The learner decides their own journey through the location, depositing the eLRs in a way that suits them best. This contrasts with existing LMS which follow a standardized structure of displaying the eLRs for all learners and even across entire degree programs. </w:t>
      </w:r>
      <w:r w:rsidR="008B3DC9">
        <w:t>CloVR</w:t>
      </w:r>
      <w:r>
        <w:t xml:space="preserve"> does not host the actual eLRs, rather only providing linked placeholders. The eLRs are provided online </w:t>
      </w:r>
      <w:r>
        <w:fldChar w:fldCharType="begin" w:fldLock="1"/>
      </w:r>
      <w:r w:rsidR="00BB0BA7">
        <w:instrText>ADDIN CSL_CITATION {"citationItems":[{"id":"ITEM-1","itemData":{"DOI":"10.1177/1478210320935671","ISSN":"1478-2103","author":[{"dropping-particle":"","family":"Tesar","given":"Marek","non-dropping-particle":"","parse-names":false,"suffix":""}],"container-title":"Policy Futures in Education","id":"ITEM-1","issue":"5","issued":{"date-parts":[["2020","6","17"]]},"page":"556-559","title":"Towards a Post-Covid-19 ‘New Normality?’: Physical and Social Distancing, the Move to Online and Higher Education","type":"article-journal","volume":"18"},"uris":["http://www.mendeley.com/documents/?uuid=87b62021-41ca-477d-8cb0-08ab24ffbe1e"]}],"mendeley":{"formattedCitation":"[51]","plainTextFormattedCitation":"[51]","previouslyFormattedCitation":"[50]"},"properties":{"noteIndex":0},"schema":"https://github.com/citation-style-language/schema/raw/master/csl-citation.json"}</w:instrText>
      </w:r>
      <w:r>
        <w:fldChar w:fldCharType="separate"/>
      </w:r>
      <w:r w:rsidR="00BB0BA7" w:rsidRPr="00BB0BA7">
        <w:rPr>
          <w:noProof/>
        </w:rPr>
        <w:t>[51]</w:t>
      </w:r>
      <w:r>
        <w:fldChar w:fldCharType="end"/>
      </w:r>
      <w:r>
        <w:t xml:space="preserve">, integrated within an existing LMS. For the sake of prototyping, the integration with an existing LMS was replaced with static hosted links. The spaced repetition schedule helps users keep track of how often the users need to come back to the topics for them to register this knowledge into their long-term memory. In its single-learner form, </w:t>
      </w:r>
      <w:r w:rsidR="008B3DC9">
        <w:t>CloVR</w:t>
      </w:r>
      <w:r>
        <w:t xml:space="preserve"> is comparable to previous mind-palace implementations.</w:t>
      </w:r>
    </w:p>
    <w:p w14:paraId="02CCC087" w14:textId="6AE57106" w:rsidR="004A60EF" w:rsidRDefault="004A60EF" w:rsidP="004A60EF">
      <w:pPr>
        <w:pStyle w:val="Heading2"/>
      </w:pPr>
      <w:r>
        <w:t>Peer Learning Experience</w:t>
      </w:r>
    </w:p>
    <w:p w14:paraId="3FFADB7A" w14:textId="04760D0B" w:rsidR="004A60EF" w:rsidRDefault="008B3DC9" w:rsidP="004A60EF">
      <w:pPr>
        <w:pStyle w:val="BodyText"/>
        <w:rPr>
          <w:lang w:eastAsia="en-GB"/>
        </w:rPr>
      </w:pPr>
      <w:r>
        <w:t>CloVR</w:t>
      </w:r>
      <w:r w:rsidR="004A60EF">
        <w:t xml:space="preserve"> facilitates peer-learning activities as its key feature. The experience begins with a pre-populated virtual mind-palace curated and organized by one of the learners. </w:t>
      </w:r>
      <w:r w:rsidR="003B25C8">
        <w:rPr>
          <w:lang w:val="en-US"/>
        </w:rPr>
        <w:t>The</w:t>
      </w:r>
      <w:r w:rsidR="004A60EF">
        <w:t xml:space="preserve"> learner invites a peer (i.e., ‘step into my mind-palace’) into </w:t>
      </w:r>
      <w:r>
        <w:t>CloVR’s</w:t>
      </w:r>
      <w:r w:rsidR="004A60EF">
        <w:t xml:space="preserve"> specific instance of that learner’s mind-palace. The environment </w:t>
      </w:r>
      <w:r w:rsidR="00BB0BA7">
        <w:rPr>
          <w:noProof/>
        </w:rPr>
        <w:lastRenderedPageBreak/>
        <w:drawing>
          <wp:anchor distT="45720" distB="45720" distL="114300" distR="114300" simplePos="0" relativeHeight="251658241" behindDoc="0" locked="0" layoutInCell="1" allowOverlap="1" wp14:anchorId="3EC373A0" wp14:editId="3FDF122C">
            <wp:simplePos x="0" y="0"/>
            <wp:positionH relativeFrom="margin">
              <wp:align>right</wp:align>
            </wp:positionH>
            <wp:positionV relativeFrom="paragraph">
              <wp:posOffset>587</wp:posOffset>
            </wp:positionV>
            <wp:extent cx="3171825" cy="1816100"/>
            <wp:effectExtent l="0" t="0" r="9525" b="0"/>
            <wp:wrapSquare wrapText="bothSides"/>
            <wp:docPr id="21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171825" cy="1816100"/>
                    </a:xfrm>
                    <a:prstGeom prst="rect">
                      <a:avLst/>
                    </a:prstGeom>
                    <a:solidFill>
                      <a:srgbClr val="FFFFFF"/>
                    </a:solidFill>
                    <a:ln w="9525">
                      <a:noFill/>
                      <a:miter lim="800%"/>
                      <a:headEnd/>
                      <a:tailEnd/>
                    </a:ln>
                  </wp:spPr>
                  <wp:txbx>
                    <wne:txbxContent>
                      <w:p w14:paraId="151A8CD6" w14:textId="064F809F" w:rsidR="00512BEA" w:rsidRDefault="00512BEA" w:rsidP="00E068EF">
                        <w:pPr>
                          <w:pStyle w:val="tablehead"/>
                          <w:spacing w:before="6pt"/>
                        </w:pPr>
                        <w:r>
                          <w:t xml:space="preserve">likert scores </w:t>
                        </w:r>
                        <w:r w:rsidRPr="00D330F1">
                          <w:t>for each feature.</w:t>
                        </w:r>
                      </w:p>
                      <w:tbl>
                        <w:tblPr>
                          <w:tblStyle w:val="TableGrid1"/>
                          <w:tblW w:w="234.75pt" w:type="dxa"/>
                          <w:tblInd w:w="3.20pt" w:type="dxa"/>
                          <w:tblCellMar>
                            <w:top w:w="1.60pt" w:type="dxa"/>
                            <w:start w:w="4.65pt" w:type="dxa"/>
                            <w:end w:w="3.45pt" w:type="dxa"/>
                          </w:tblCellMar>
                          <w:tblLook w:firstRow="1" w:lastRow="0" w:firstColumn="1" w:lastColumn="0" w:noHBand="0" w:noVBand="1"/>
                        </w:tblPr>
                        <w:tblGrid>
                          <w:gridCol w:w="4065"/>
                          <w:gridCol w:w="630"/>
                        </w:tblGrid>
                        <w:tr w:rsidR="00512BEA" w14:paraId="3CC09B82" w14:textId="77777777" w:rsidTr="00D330F1">
                          <w:trPr>
                            <w:trHeight w:val="173"/>
                          </w:trPr>
                          <w:tc>
                            <w:tcPr>
                              <w:tcW w:w="203.25pt" w:type="dxa"/>
                              <w:tcBorders>
                                <w:top w:val="single" w:sz="3" w:space="0" w:color="000000"/>
                                <w:start w:val="double" w:sz="3" w:space="0" w:color="000000"/>
                                <w:bottom w:val="single" w:sz="3" w:space="0" w:color="000000"/>
                                <w:end w:val="single" w:sz="3" w:space="0" w:color="000000"/>
                              </w:tcBorders>
                            </w:tcPr>
                            <w:p w14:paraId="17752AE6" w14:textId="77777777" w:rsidR="00512BEA" w:rsidRPr="0071243A" w:rsidRDefault="00512BEA" w:rsidP="00D330F1">
                              <w:pPr>
                                <w:pStyle w:val="tablecolhead"/>
                              </w:pPr>
                              <w:r w:rsidRPr="0071243A">
                                <w:t>Feature</w:t>
                              </w:r>
                            </w:p>
                          </w:tc>
                          <w:tc>
                            <w:tcPr>
                              <w:tcW w:w="31.50pt" w:type="dxa"/>
                              <w:tcBorders>
                                <w:top w:val="single" w:sz="3" w:space="0" w:color="000000"/>
                                <w:start w:val="single" w:sz="3" w:space="0" w:color="000000"/>
                                <w:bottom w:val="single" w:sz="3" w:space="0" w:color="000000"/>
                                <w:end w:val="double" w:sz="3" w:space="0" w:color="000000"/>
                              </w:tcBorders>
                            </w:tcPr>
                            <w:p w14:paraId="04FB6E3C" w14:textId="77777777" w:rsidR="00512BEA" w:rsidRPr="0071243A" w:rsidRDefault="00512BEA" w:rsidP="00D330F1">
                              <w:pPr>
                                <w:pStyle w:val="tablecolhead"/>
                              </w:pPr>
                              <w:r w:rsidRPr="0071243A">
                                <w:t>Score</w:t>
                              </w:r>
                            </w:p>
                          </w:tc>
                        </w:tr>
                        <w:tr w:rsidR="00512BEA" w14:paraId="29840022" w14:textId="77777777" w:rsidTr="00D330F1">
                          <w:trPr>
                            <w:trHeight w:val="258"/>
                          </w:trPr>
                          <w:tc>
                            <w:tcPr>
                              <w:tcW w:w="203.25pt" w:type="dxa"/>
                              <w:tcBorders>
                                <w:top w:val="single" w:sz="3" w:space="0" w:color="000000"/>
                                <w:start w:val="double" w:sz="3" w:space="0" w:color="000000"/>
                                <w:bottom w:val="single" w:sz="3" w:space="0" w:color="000000"/>
                                <w:end w:val="single" w:sz="3" w:space="0" w:color="000000"/>
                              </w:tcBorders>
                            </w:tcPr>
                            <w:p w14:paraId="441AAE68" w14:textId="77777777" w:rsidR="00512BEA" w:rsidRDefault="00512BEA" w:rsidP="00D330F1">
                              <w:pPr>
                                <w:pStyle w:val="tablecopy"/>
                              </w:pPr>
                              <w:r>
                                <w:t>Virtual Memory Palace</w:t>
                              </w:r>
                            </w:p>
                          </w:tc>
                          <w:tc>
                            <w:tcPr>
                              <w:tcW w:w="31.50pt" w:type="dxa"/>
                              <w:tcBorders>
                                <w:top w:val="single" w:sz="3" w:space="0" w:color="000000"/>
                                <w:start w:val="single" w:sz="3" w:space="0" w:color="000000"/>
                                <w:bottom w:val="single" w:sz="3" w:space="0" w:color="000000"/>
                                <w:end w:val="double" w:sz="3" w:space="0" w:color="000000"/>
                              </w:tcBorders>
                            </w:tcPr>
                            <w:p w14:paraId="4EA1A000" w14:textId="77777777" w:rsidR="00512BEA" w:rsidRDefault="00512BEA" w:rsidP="00C13FC1">
                              <w:pPr>
                                <w:pStyle w:val="tablecopy"/>
                                <w:jc w:val="center"/>
                              </w:pPr>
                              <w:r>
                                <w:t>2.3</w:t>
                              </w:r>
                            </w:p>
                          </w:tc>
                        </w:tr>
                        <w:tr w:rsidR="00512BEA" w14:paraId="563065D5" w14:textId="77777777" w:rsidTr="00F544E5">
                          <w:trPr>
                            <w:trHeight w:val="297"/>
                          </w:trPr>
                          <w:tc>
                            <w:tcPr>
                              <w:tcW w:w="203.25pt" w:type="dxa"/>
                              <w:tcBorders>
                                <w:top w:val="single" w:sz="3" w:space="0" w:color="000000"/>
                                <w:start w:val="double" w:sz="3" w:space="0" w:color="000000"/>
                                <w:bottom w:val="single" w:sz="3" w:space="0" w:color="000000"/>
                                <w:end w:val="single" w:sz="3" w:space="0" w:color="000000"/>
                              </w:tcBorders>
                            </w:tcPr>
                            <w:p w14:paraId="4805F3EA" w14:textId="77777777" w:rsidR="00512BEA" w:rsidRDefault="00512BEA" w:rsidP="00D330F1">
                              <w:pPr>
                                <w:pStyle w:val="tablecopy"/>
                              </w:pPr>
                              <w:r>
                                <w:t>Spaced Repetition revision prompts</w:t>
                              </w:r>
                            </w:p>
                          </w:tc>
                          <w:tc>
                            <w:tcPr>
                              <w:tcW w:w="31.50pt" w:type="dxa"/>
                              <w:tcBorders>
                                <w:top w:val="single" w:sz="3" w:space="0" w:color="000000"/>
                                <w:start w:val="single" w:sz="3" w:space="0" w:color="000000"/>
                                <w:bottom w:val="single" w:sz="3" w:space="0" w:color="000000"/>
                                <w:end w:val="double" w:sz="3" w:space="0" w:color="000000"/>
                              </w:tcBorders>
                            </w:tcPr>
                            <w:p w14:paraId="276B3080" w14:textId="33F50FE6" w:rsidR="00512BEA" w:rsidRDefault="00512BEA" w:rsidP="00C13FC1">
                              <w:pPr>
                                <w:pStyle w:val="tablecopy"/>
                                <w:jc w:val="center"/>
                              </w:pPr>
                              <w:r>
                                <w:t>4</w:t>
                              </w:r>
                              <w:r w:rsidR="00C13FC1">
                                <w:t>.0</w:t>
                              </w:r>
                            </w:p>
                          </w:tc>
                        </w:tr>
                        <w:tr w:rsidR="00512BEA" w14:paraId="78372B37" w14:textId="77777777" w:rsidTr="00F544E5">
                          <w:trPr>
                            <w:trHeight w:val="173"/>
                          </w:trPr>
                          <w:tc>
                            <w:tcPr>
                              <w:tcW w:w="203.25pt" w:type="dxa"/>
                              <w:tcBorders>
                                <w:top w:val="single" w:sz="3" w:space="0" w:color="000000"/>
                                <w:start w:val="double" w:sz="3" w:space="0" w:color="000000"/>
                                <w:bottom w:val="single" w:sz="3" w:space="0" w:color="000000"/>
                                <w:end w:val="single" w:sz="3" w:space="0" w:color="000000"/>
                              </w:tcBorders>
                            </w:tcPr>
                            <w:p w14:paraId="19BF7339" w14:textId="54BCC509" w:rsidR="00512BEA" w:rsidRDefault="00512BEA" w:rsidP="00D330F1">
                              <w:pPr>
                                <w:pStyle w:val="tablecopy"/>
                              </w:pPr>
                              <w:r>
                                <w:t>Customisability of the virtual space</w:t>
                              </w:r>
                            </w:p>
                          </w:tc>
                          <w:tc>
                            <w:tcPr>
                              <w:tcW w:w="31.50pt" w:type="dxa"/>
                              <w:tcBorders>
                                <w:top w:val="single" w:sz="3" w:space="0" w:color="000000"/>
                                <w:start w:val="single" w:sz="3" w:space="0" w:color="000000"/>
                                <w:bottom w:val="single" w:sz="3" w:space="0" w:color="000000"/>
                                <w:end w:val="double" w:sz="3" w:space="0" w:color="000000"/>
                              </w:tcBorders>
                            </w:tcPr>
                            <w:p w14:paraId="60B41930" w14:textId="77777777" w:rsidR="00512BEA" w:rsidRDefault="00512BEA" w:rsidP="00C13FC1">
                              <w:pPr>
                                <w:pStyle w:val="tablecopy"/>
                                <w:jc w:val="center"/>
                              </w:pPr>
                              <w:r>
                                <w:t>3.7</w:t>
                              </w:r>
                            </w:p>
                          </w:tc>
                        </w:tr>
                        <w:tr w:rsidR="00512BEA" w14:paraId="108312AB" w14:textId="77777777" w:rsidTr="00D330F1">
                          <w:trPr>
                            <w:trHeight w:val="249"/>
                          </w:trPr>
                          <w:tc>
                            <w:tcPr>
                              <w:tcW w:w="203.25pt" w:type="dxa"/>
                              <w:tcBorders>
                                <w:top w:val="single" w:sz="3" w:space="0" w:color="000000"/>
                                <w:start w:val="double" w:sz="3" w:space="0" w:color="000000"/>
                                <w:bottom w:val="single" w:sz="3" w:space="0" w:color="000000"/>
                                <w:end w:val="single" w:sz="3" w:space="0" w:color="000000"/>
                              </w:tcBorders>
                            </w:tcPr>
                            <w:p w14:paraId="7781C295" w14:textId="68DFD3D7" w:rsidR="00512BEA" w:rsidRDefault="00512BEA" w:rsidP="00D330F1">
                              <w:pPr>
                                <w:pStyle w:val="tablecopy"/>
                              </w:pPr>
                              <w:r>
                                <w:t xml:space="preserve">Replaying time spent in the space </w:t>
                              </w:r>
                            </w:p>
                          </w:tc>
                          <w:tc>
                            <w:tcPr>
                              <w:tcW w:w="31.50pt" w:type="dxa"/>
                              <w:tcBorders>
                                <w:top w:val="single" w:sz="3" w:space="0" w:color="000000"/>
                                <w:start w:val="single" w:sz="3" w:space="0" w:color="000000"/>
                                <w:bottom w:val="single" w:sz="3" w:space="0" w:color="000000"/>
                                <w:end w:val="double" w:sz="3" w:space="0" w:color="000000"/>
                              </w:tcBorders>
                            </w:tcPr>
                            <w:p w14:paraId="4812B3A8" w14:textId="77777777" w:rsidR="00512BEA" w:rsidRDefault="00512BEA" w:rsidP="00C13FC1">
                              <w:pPr>
                                <w:pStyle w:val="tablecopy"/>
                                <w:jc w:val="center"/>
                              </w:pPr>
                              <w:r>
                                <w:t>4.7</w:t>
                              </w:r>
                            </w:p>
                          </w:tc>
                        </w:tr>
                        <w:tr w:rsidR="00512BEA" w14:paraId="4173C5EF" w14:textId="77777777" w:rsidTr="00F544E5">
                          <w:trPr>
                            <w:trHeight w:val="295"/>
                          </w:trPr>
                          <w:tc>
                            <w:tcPr>
                              <w:tcW w:w="203.25pt" w:type="dxa"/>
                              <w:tcBorders>
                                <w:top w:val="single" w:sz="3" w:space="0" w:color="000000"/>
                                <w:start w:val="double" w:sz="3" w:space="0" w:color="000000"/>
                                <w:bottom w:val="single" w:sz="3" w:space="0" w:color="000000"/>
                                <w:end w:val="single" w:sz="3" w:space="0" w:color="000000"/>
                              </w:tcBorders>
                            </w:tcPr>
                            <w:p w14:paraId="0F6FED69" w14:textId="242A5978" w:rsidR="00512BEA" w:rsidRDefault="00512BEA" w:rsidP="00D330F1">
                              <w:pPr>
                                <w:pStyle w:val="tablecopy"/>
                              </w:pPr>
                              <w:r>
                                <w:t xml:space="preserve">Synced viewing </w:t>
                              </w:r>
                            </w:p>
                          </w:tc>
                          <w:tc>
                            <w:tcPr>
                              <w:tcW w:w="31.50pt" w:type="dxa"/>
                              <w:tcBorders>
                                <w:top w:val="single" w:sz="3" w:space="0" w:color="000000"/>
                                <w:start w:val="single" w:sz="3" w:space="0" w:color="000000"/>
                                <w:bottom w:val="single" w:sz="3" w:space="0" w:color="000000"/>
                                <w:end w:val="double" w:sz="3" w:space="0" w:color="000000"/>
                              </w:tcBorders>
                            </w:tcPr>
                            <w:p w14:paraId="53F38CF7" w14:textId="77777777" w:rsidR="00512BEA" w:rsidRDefault="00512BEA" w:rsidP="00C13FC1">
                              <w:pPr>
                                <w:pStyle w:val="tablecopy"/>
                                <w:jc w:val="center"/>
                              </w:pPr>
                              <w:r>
                                <w:t>4.6</w:t>
                              </w:r>
                            </w:p>
                          </w:tc>
                        </w:tr>
                        <w:tr w:rsidR="00512BEA" w14:paraId="71EF9CE8" w14:textId="77777777" w:rsidTr="00F544E5">
                          <w:trPr>
                            <w:trHeight w:val="243"/>
                          </w:trPr>
                          <w:tc>
                            <w:tcPr>
                              <w:tcW w:w="203.25pt" w:type="dxa"/>
                              <w:tcBorders>
                                <w:top w:val="single" w:sz="3" w:space="0" w:color="000000"/>
                                <w:start w:val="double" w:sz="3" w:space="0" w:color="000000"/>
                                <w:bottom w:val="single" w:sz="3" w:space="0" w:color="000000"/>
                                <w:end w:val="single" w:sz="3" w:space="0" w:color="000000"/>
                              </w:tcBorders>
                            </w:tcPr>
                            <w:p w14:paraId="117D3260" w14:textId="6D8941EB" w:rsidR="00512BEA" w:rsidRDefault="00512BEA" w:rsidP="00D330F1">
                              <w:pPr>
                                <w:pStyle w:val="tablecopy"/>
                              </w:pPr>
                              <w:r>
                                <w:t>Hosting other users and visiting other’s environments</w:t>
                              </w:r>
                            </w:p>
                          </w:tc>
                          <w:tc>
                            <w:tcPr>
                              <w:tcW w:w="31.50pt" w:type="dxa"/>
                              <w:tcBorders>
                                <w:top w:val="single" w:sz="3" w:space="0" w:color="000000"/>
                                <w:start w:val="single" w:sz="3" w:space="0" w:color="000000"/>
                                <w:bottom w:val="single" w:sz="3" w:space="0" w:color="000000"/>
                                <w:end w:val="double" w:sz="3" w:space="0" w:color="000000"/>
                              </w:tcBorders>
                            </w:tcPr>
                            <w:p w14:paraId="0B024A78" w14:textId="77777777" w:rsidR="00512BEA" w:rsidRDefault="00512BEA" w:rsidP="00C13FC1">
                              <w:pPr>
                                <w:pStyle w:val="tablecopy"/>
                                <w:jc w:val="center"/>
                              </w:pPr>
                              <w:r>
                                <w:t>4.1</w:t>
                              </w:r>
                            </w:p>
                          </w:tc>
                        </w:tr>
                        <w:tr w:rsidR="00512BEA" w14:paraId="2C20A0FE" w14:textId="77777777" w:rsidTr="00D330F1">
                          <w:trPr>
                            <w:trHeight w:val="231"/>
                          </w:trPr>
                          <w:tc>
                            <w:tcPr>
                              <w:tcW w:w="203.25pt" w:type="dxa"/>
                              <w:tcBorders>
                                <w:top w:val="single" w:sz="3" w:space="0" w:color="000000"/>
                                <w:start w:val="double" w:sz="3" w:space="0" w:color="000000"/>
                                <w:bottom w:val="single" w:sz="3" w:space="0" w:color="000000"/>
                                <w:end w:val="single" w:sz="3" w:space="0" w:color="000000"/>
                              </w:tcBorders>
                            </w:tcPr>
                            <w:p w14:paraId="10635CC8" w14:textId="4B97E1D0" w:rsidR="00512BEA" w:rsidRDefault="00512BEA" w:rsidP="00D330F1">
                              <w:pPr>
                                <w:pStyle w:val="tablecopy"/>
                              </w:pPr>
                              <w:r>
                                <w:t xml:space="preserve">Full immersion </w:t>
                              </w:r>
                            </w:p>
                          </w:tc>
                          <w:tc>
                            <w:tcPr>
                              <w:tcW w:w="31.50pt" w:type="dxa"/>
                              <w:tcBorders>
                                <w:top w:val="single" w:sz="3" w:space="0" w:color="000000"/>
                                <w:start w:val="single" w:sz="3" w:space="0" w:color="000000"/>
                                <w:bottom w:val="single" w:sz="3" w:space="0" w:color="000000"/>
                                <w:end w:val="double" w:sz="3" w:space="0" w:color="000000"/>
                              </w:tcBorders>
                            </w:tcPr>
                            <w:p w14:paraId="4EEB18BB" w14:textId="77777777" w:rsidR="00512BEA" w:rsidRDefault="00512BEA" w:rsidP="00C13FC1">
                              <w:pPr>
                                <w:pStyle w:val="tablecopy"/>
                                <w:jc w:val="center"/>
                              </w:pPr>
                              <w:r>
                                <w:t>3.6</w:t>
                              </w:r>
                            </w:p>
                          </w:tc>
                        </w:tr>
                      </w:tbl>
                      <w:p w14:paraId="6D6D5C27" w14:textId="77777777" w:rsidR="00512BEA" w:rsidRDefault="00512BEA" w:rsidP="00B622E5">
                        <w:pPr>
                          <w:jc w:val="both"/>
                        </w:pP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sidR="004A60EF">
        <w:t>becomes a synchronized shared environment accessed through the web. The learners are represented as low-fidelity anthropomorphic avatars (Fig</w:t>
      </w:r>
      <w:r w:rsidR="002773D1">
        <w:rPr>
          <w:lang w:val="en-GB"/>
        </w:rPr>
        <w:t>.</w:t>
      </w:r>
      <w:r w:rsidR="004A60EF">
        <w:t xml:space="preserve"> </w:t>
      </w:r>
      <w:r w:rsidR="005434AD">
        <w:rPr>
          <w:lang w:val="en-GB"/>
        </w:rPr>
        <w:t xml:space="preserve">1 </w:t>
      </w:r>
      <w:r w:rsidR="004A60EF">
        <w:t>top</w:t>
      </w:r>
      <w:r w:rsidR="005434AD">
        <w:rPr>
          <w:lang w:val="en-US"/>
        </w:rPr>
        <w:t xml:space="preserve"> left, top right</w:t>
      </w:r>
      <w:r w:rsidR="004A60EF">
        <w:t>). The avatar fidelity is prototyping pragmatism and future versions can trivially support high-fidelity avatars. The “host” learner can interact with one or more peers. We assume a maximum of five peers, i.e., the nominal size of a private study group. The “host” learner takes the peers through the host’s own journey within the mind-palace, interacting with the artefacts associated with the topic of discussion.</w:t>
      </w:r>
      <w:r w:rsidR="004A60EF" w:rsidRPr="00AA3092">
        <w:t xml:space="preserve"> </w:t>
      </w:r>
      <w:r w:rsidR="004A60EF">
        <w:t xml:space="preserve">The collocation within the virtual mind-palace enables the learners to discuss shared topics with a better sense of context and utilizing the full range of eLRs including 3D models, voice recordings and images. As a future feature, we envision that the invited peers can either duplicate the host journey or record their own to carry back to their own instances of </w:t>
      </w:r>
      <w:r>
        <w:t>CloVR’s</w:t>
      </w:r>
      <w:r w:rsidR="004A60EF">
        <w:t xml:space="preserve"> mind-palace. With the current prototype, the invited peers would have to manually create their own journey once they return to their own virtual mind-palace.</w:t>
      </w:r>
    </w:p>
    <w:p w14:paraId="12BDA34F" w14:textId="27E7D8D4" w:rsidR="004A60EF" w:rsidRDefault="004A60EF" w:rsidP="004A60EF">
      <w:pPr>
        <w:pStyle w:val="Heading1"/>
      </w:pPr>
      <w:r>
        <w:t>Evaluation</w:t>
      </w:r>
    </w:p>
    <w:p w14:paraId="160A8487" w14:textId="2F2AE685" w:rsidR="004A60EF" w:rsidRDefault="004A60EF" w:rsidP="004A60EF">
      <w:pPr>
        <w:pStyle w:val="BodyText"/>
      </w:pPr>
      <w:r>
        <w:t xml:space="preserve">The motivating factor behind the creation of </w:t>
      </w:r>
      <w:r w:rsidR="008B3DC9">
        <w:t>CloVR</w:t>
      </w:r>
      <w:r>
        <w:t xml:space="preserve"> is also the reason why controlled in-lab studies could not be carried out. Due to COVID-19 lock-down restrictions, we opted for a mixed model of analysis. We conducted </w:t>
      </w:r>
      <w:r w:rsidR="008858D7">
        <w:rPr>
          <w:lang w:val="en-US"/>
        </w:rPr>
        <w:t xml:space="preserve">an </w:t>
      </w:r>
      <w:r>
        <w:t>expert user review</w:t>
      </w:r>
      <w:r w:rsidR="00516985">
        <w:rPr>
          <w:lang w:val="en-US"/>
        </w:rPr>
        <w:t xml:space="preserve"> </w:t>
      </w:r>
      <w:r w:rsidR="00F56CE7">
        <w:rPr>
          <w:lang w:val="en-US"/>
        </w:rPr>
        <w:fldChar w:fldCharType="begin" w:fldLock="1"/>
      </w:r>
      <w:r w:rsidR="00BB0BA7">
        <w:rPr>
          <w:lang w:val="en-US"/>
        </w:rPr>
        <w:instrText>ADDIN CSL_CITATION {"citationItems":[{"id":"ITEM-1","itemData":{"DOI":"10.1007/978-3-540-45233-1_6","author":[{"dropping-particle":"","family":"Lyons","given":"Kent","non-dropping-particle":"","parse-names":false,"suffix":""}],"id":"ITEM-1","issued":{"date-parts":[["2003"]]},"page":"61-75","title":"Everyday Wearable Computer Use: A Case Study of an Expert User","type":"chapter"},"uris":["http://www.mendeley.com/documents/?uuid=4141cabc-1454-469c-b07e-74ef89164fc7"]}],"mendeley":{"formattedCitation":"[52]","plainTextFormattedCitation":"[52]","previouslyFormattedCitation":"[51]"},"properties":{"noteIndex":0},"schema":"https://github.com/citation-style-language/schema/raw/master/csl-citation.json"}</w:instrText>
      </w:r>
      <w:r w:rsidR="00F56CE7">
        <w:rPr>
          <w:lang w:val="en-US"/>
        </w:rPr>
        <w:fldChar w:fldCharType="separate"/>
      </w:r>
      <w:r w:rsidR="00BB0BA7" w:rsidRPr="00BB0BA7">
        <w:rPr>
          <w:noProof/>
          <w:lang w:val="en-US"/>
        </w:rPr>
        <w:t>[52]</w:t>
      </w:r>
      <w:r w:rsidR="00F56CE7">
        <w:rPr>
          <w:lang w:val="en-US"/>
        </w:rPr>
        <w:fldChar w:fldCharType="end"/>
      </w:r>
      <w:r w:rsidR="00F56CE7">
        <w:rPr>
          <w:lang w:val="en-US"/>
        </w:rPr>
        <w:t xml:space="preserve"> </w:t>
      </w:r>
      <w:r>
        <w:t>and an online survey</w:t>
      </w:r>
      <w:r w:rsidR="00436F74">
        <w:rPr>
          <w:lang w:val="en-US"/>
        </w:rPr>
        <w:t xml:space="preserve"> adapted from </w:t>
      </w:r>
      <w:r w:rsidR="00853060">
        <w:rPr>
          <w:lang w:val="en-US"/>
        </w:rPr>
        <w:t xml:space="preserve">a </w:t>
      </w:r>
      <w:r w:rsidR="00436F74">
        <w:rPr>
          <w:lang w:val="en-US"/>
        </w:rPr>
        <w:t xml:space="preserve">standard </w:t>
      </w:r>
      <w:r w:rsidR="00853060">
        <w:rPr>
          <w:lang w:val="en-US"/>
        </w:rPr>
        <w:t xml:space="preserve">UES (User Experience Survey) </w:t>
      </w:r>
      <w:r w:rsidR="00853060">
        <w:rPr>
          <w:lang w:val="en-US"/>
        </w:rPr>
        <w:fldChar w:fldCharType="begin" w:fldLock="1"/>
      </w:r>
      <w:r w:rsidR="00BB0BA7">
        <w:rPr>
          <w:lang w:val="en-US"/>
        </w:rPr>
        <w:instrText>ADDIN CSL_CITATION {"citationItems":[{"id":"ITEM-1","itemData":{"DOI":"10.1016/j.ijhcs.2018.01.004","ISSN":"10715819","author":[{"dropping-particle":"","family":"O’Brien","given":"Heather L.","non-dropping-particle":"","parse-names":false,"suffix":""},{"dropping-particle":"","family":"Cairns","given":"Paul","non-dropping-particle":"","parse-names":false,"suffix":""},{"dropping-particle":"","family":"Hall","given":"Mark","non-dropping-particle":"","parse-names":false,"suffix":""}],"container-title":"International Journal of Human-Computer Studies","id":"ITEM-1","issued":{"date-parts":[["2018","4"]]},"page":"28-39","title":"A practical approach to measuring user engagement with the refined user engagement scale (UES) and new UES short form","type":"article-journal","volume":"112"},"uris":["http://www.mendeley.com/documents/?uuid=83120302-c66d-4ab4-8ec1-9b9359c24dc7"]}],"mendeley":{"formattedCitation":"[53]","plainTextFormattedCitation":"[53]","previouslyFormattedCitation":"[52]"},"properties":{"noteIndex":0},"schema":"https://github.com/citation-style-language/schema/raw/master/csl-citation.json"}</w:instrText>
      </w:r>
      <w:r w:rsidR="00853060">
        <w:rPr>
          <w:lang w:val="en-US"/>
        </w:rPr>
        <w:fldChar w:fldCharType="separate"/>
      </w:r>
      <w:r w:rsidR="00BB0BA7" w:rsidRPr="00BB0BA7">
        <w:rPr>
          <w:noProof/>
          <w:lang w:val="en-US"/>
        </w:rPr>
        <w:t>[53]</w:t>
      </w:r>
      <w:r w:rsidR="00853060">
        <w:rPr>
          <w:lang w:val="en-US"/>
        </w:rPr>
        <w:fldChar w:fldCharType="end"/>
      </w:r>
      <w:r>
        <w:t xml:space="preserve"> to obtain feedback on the user experience and perception of using </w:t>
      </w:r>
      <w:r w:rsidR="008B3DC9">
        <w:t>CloVR</w:t>
      </w:r>
      <w:r>
        <w:t xml:space="preserve">. The studies were conducted following the standard ethics approval process from </w:t>
      </w:r>
      <w:r w:rsidR="00273E05">
        <w:rPr>
          <w:lang w:val="en-US"/>
        </w:rPr>
        <w:t xml:space="preserve">Lancaster University </w:t>
      </w:r>
      <w:r w:rsidR="00436F74" w:rsidRPr="00436F74">
        <w:rPr>
          <w:lang w:val="en-US"/>
        </w:rPr>
        <w:t>FST Research Ethics Committee</w:t>
      </w:r>
      <w:r>
        <w:t xml:space="preserve">. </w:t>
      </w:r>
      <w:r w:rsidRPr="00B77C9B">
        <w:t xml:space="preserve">Both </w:t>
      </w:r>
      <w:r>
        <w:t>studies</w:t>
      </w:r>
      <w:r w:rsidRPr="00B77C9B">
        <w:t xml:space="preserve"> started with a consent form and all responses were </w:t>
      </w:r>
      <w:r>
        <w:t xml:space="preserve">anonymized. </w:t>
      </w:r>
    </w:p>
    <w:p w14:paraId="174912EC" w14:textId="0956A4CA" w:rsidR="004A60EF" w:rsidRDefault="004A60EF" w:rsidP="004A60EF">
      <w:pPr>
        <w:pStyle w:val="Heading2"/>
      </w:pPr>
      <w:r>
        <w:t>Expert User Review</w:t>
      </w:r>
    </w:p>
    <w:p w14:paraId="60758D08" w14:textId="2EBB4779" w:rsidR="00393420" w:rsidRDefault="00393420" w:rsidP="00393420">
      <w:pPr>
        <w:pStyle w:val="BodyText"/>
      </w:pPr>
      <w:r>
        <w:t xml:space="preserve">We see </w:t>
      </w:r>
      <w:r w:rsidR="008B3DC9">
        <w:t>CloVR</w:t>
      </w:r>
      <w:r>
        <w:t xml:space="preserve"> as a system utilized in conjunction with LMS of higher education institutions (HEs). The end-users are HE students, engaging in learning activities, and as such have extensive experience with group study activities. We use these ‘domain experts’ as subjects for our study similar to previous studies </w:t>
      </w:r>
      <w:r>
        <w:fldChar w:fldCharType="begin" w:fldLock="1"/>
      </w:r>
      <w:r w:rsidR="00BB0BA7">
        <w:instrText>ADDIN CSL_CITATION {"citationItems":[{"id":"ITEM-1","itemData":{"DOI":"10.1007/978-3-540-45233-1_6","author":[{"dropping-particle":"","family":"Lyons","given":"Kent","non-dropping-particle":"","parse-names":false,"suffix":""}],"id":"ITEM-1","issued":{"date-parts":[["2003"]]},"page":"61-75","title":"Everyday Wearable Computer Use: A Case Study of an Expert User","type":"chapter"},"uris":["http://www.mendeley.com/documents/?uuid=4141cabc-1454-469c-b07e-74ef89164fc7"]}],"mendeley":{"formattedCitation":"[52]","plainTextFormattedCitation":"[52]","previouslyFormattedCitation":"[51]"},"properties":{"noteIndex":0},"schema":"https://github.com/citation-style-language/schema/raw/master/csl-citation.json"}</w:instrText>
      </w:r>
      <w:r>
        <w:fldChar w:fldCharType="separate"/>
      </w:r>
      <w:r w:rsidR="00BB0BA7" w:rsidRPr="00BB0BA7">
        <w:rPr>
          <w:noProof/>
        </w:rPr>
        <w:t>[52]</w:t>
      </w:r>
      <w:r>
        <w:fldChar w:fldCharType="end"/>
      </w:r>
      <w:r>
        <w:t>.</w:t>
      </w:r>
    </w:p>
    <w:p w14:paraId="1B786356" w14:textId="21F44B6B" w:rsidR="00393420" w:rsidRDefault="00393420" w:rsidP="00393420">
      <w:pPr>
        <w:pStyle w:val="Heading3"/>
        <w:rPr>
          <w:lang w:eastAsia="en-GB"/>
        </w:rPr>
      </w:pPr>
      <w:r>
        <w:rPr>
          <w:lang w:eastAsia="en-GB"/>
        </w:rPr>
        <w:t>Parti</w:t>
      </w:r>
      <w:r w:rsidR="00356697">
        <w:rPr>
          <w:lang w:eastAsia="en-GB"/>
        </w:rPr>
        <w:t>c</w:t>
      </w:r>
      <w:r>
        <w:rPr>
          <w:lang w:eastAsia="en-GB"/>
        </w:rPr>
        <w:t>ipants</w:t>
      </w:r>
    </w:p>
    <w:p w14:paraId="7FCAB7B6" w14:textId="2350AA97" w:rsidR="00393420" w:rsidRDefault="00393420" w:rsidP="00393420">
      <w:pPr>
        <w:pStyle w:val="BodyText"/>
      </w:pPr>
      <w:r>
        <w:t xml:space="preserve">The purpose of the expert user review was to assess the suitability of </w:t>
      </w:r>
      <w:r w:rsidR="008B3DC9">
        <w:t>CloVR</w:t>
      </w:r>
      <w:r>
        <w:t xml:space="preserve"> for our target audience</w:t>
      </w:r>
      <w:r w:rsidR="009F4196">
        <w:rPr>
          <w:lang w:val="en-US"/>
        </w:rPr>
        <w:t xml:space="preserve"> of</w:t>
      </w:r>
      <w:r w:rsidR="00607B9D">
        <w:rPr>
          <w:lang w:val="en-US"/>
        </w:rPr>
        <w:t xml:space="preserve"> </w:t>
      </w:r>
      <w:r w:rsidR="009F4196">
        <w:rPr>
          <w:lang w:val="en-US"/>
        </w:rPr>
        <w:t>higher education students</w:t>
      </w:r>
      <w:r>
        <w:t>. The expert</w:t>
      </w:r>
      <w:r w:rsidR="009B1F89">
        <w:rPr>
          <w:lang w:val="en-US"/>
        </w:rPr>
        <w:t xml:space="preserve"> ‘reviewer’</w:t>
      </w:r>
      <w:r>
        <w:t xml:space="preserve">, and therefore the target population for the survey, were individuals over the age of 18, currently engaged in </w:t>
      </w:r>
      <w:r w:rsidR="004B2E67">
        <w:rPr>
          <w:lang w:val="en-US"/>
        </w:rPr>
        <w:t>higher education</w:t>
      </w:r>
      <w:r>
        <w:t>. Participants were asked to confirm their age and self-certify their educational status.</w:t>
      </w:r>
      <w:r w:rsidR="00E068EF">
        <w:rPr>
          <w:lang w:val="en-GB"/>
        </w:rPr>
        <w:t xml:space="preserve"> </w:t>
      </w:r>
      <w:r>
        <w:t xml:space="preserve">We </w:t>
      </w:r>
      <w:r w:rsidR="002773D1">
        <w:rPr>
          <w:lang w:val="en-GB"/>
        </w:rPr>
        <w:t>recruited</w:t>
      </w:r>
      <w:r>
        <w:t xml:space="preserve"> </w:t>
      </w:r>
      <w:r w:rsidR="005830F0">
        <w:rPr>
          <w:lang w:val="en-GB"/>
        </w:rPr>
        <w:t>seven</w:t>
      </w:r>
      <w:r>
        <w:t xml:space="preserve"> participants for this </w:t>
      </w:r>
      <w:r w:rsidR="002773D1">
        <w:rPr>
          <w:lang w:val="en-GB"/>
        </w:rPr>
        <w:t xml:space="preserve">part of the </w:t>
      </w:r>
      <w:r>
        <w:t xml:space="preserve">study. Six participants were aged 18 − 24 (the </w:t>
      </w:r>
      <w:r w:rsidR="005830F0">
        <w:rPr>
          <w:lang w:val="en-GB"/>
        </w:rPr>
        <w:t>seventh</w:t>
      </w:r>
      <w:r>
        <w:rPr>
          <w:i/>
        </w:rPr>
        <w:t xml:space="preserve"> </w:t>
      </w:r>
      <w:r>
        <w:t xml:space="preserve">participant being 25 − 34). </w:t>
      </w:r>
      <w:r w:rsidR="004B2E67" w:rsidRPr="004B2E67">
        <w:t>Participants were recruited online.</w:t>
      </w:r>
    </w:p>
    <w:p w14:paraId="3D6EBDF4" w14:textId="213B451C" w:rsidR="00393420" w:rsidRDefault="00393420" w:rsidP="00393420">
      <w:pPr>
        <w:pStyle w:val="Heading3"/>
      </w:pPr>
      <w:r>
        <w:t>Procedure</w:t>
      </w:r>
    </w:p>
    <w:p w14:paraId="6C6E89FA" w14:textId="68D0968D" w:rsidR="00393420" w:rsidRDefault="004B2E67" w:rsidP="0050540B">
      <w:pPr>
        <w:pStyle w:val="BodyText"/>
      </w:pPr>
      <w:r>
        <w:rPr>
          <w:lang w:val="en-US"/>
        </w:rPr>
        <w:t>Participants were</w:t>
      </w:r>
      <w:r w:rsidR="00393420">
        <w:t xml:space="preserve"> accompanied </w:t>
      </w:r>
      <w:r>
        <w:rPr>
          <w:lang w:val="en-US"/>
        </w:rPr>
        <w:t xml:space="preserve">virtually </w:t>
      </w:r>
      <w:r w:rsidR="00393420">
        <w:t xml:space="preserve">by an experimenter within </w:t>
      </w:r>
      <w:r w:rsidR="008B3DC9">
        <w:t>CloVR</w:t>
      </w:r>
      <w:r w:rsidR="00393420">
        <w:t xml:space="preserve">. This allowed us to replicate the experience of collaboration. To reduce experimenter bias, the experimenter followed the same </w:t>
      </w:r>
      <w:r w:rsidR="008B3DC9">
        <w:t>pre-set</w:t>
      </w:r>
      <w:r w:rsidR="00393420">
        <w:t xml:space="preserve"> structure of interactions </w:t>
      </w:r>
      <w:r>
        <w:rPr>
          <w:lang w:val="en-US"/>
        </w:rPr>
        <w:t>for each iteration</w:t>
      </w:r>
      <w:r w:rsidR="00393420">
        <w:t xml:space="preserve">. Participants were asked to complete </w:t>
      </w:r>
      <w:r w:rsidR="008B3DC9">
        <w:t>CloVR’s</w:t>
      </w:r>
      <w:r w:rsidR="00393420">
        <w:t xml:space="preserve"> tutorial to familiarize themselves with the system. After, participants were asked to interact in the </w:t>
      </w:r>
      <w:r w:rsidR="008B3DC9">
        <w:t>CloVR</w:t>
      </w:r>
      <w:r w:rsidR="00393420">
        <w:t xml:space="preserve"> world. Finally, the participant was asked reflective questions about the system. If the participant was using headset/binocular VR for exploring the </w:t>
      </w:r>
      <w:r w:rsidR="008B3DC9">
        <w:t>CloVR</w:t>
      </w:r>
      <w:r w:rsidR="00393420">
        <w:t xml:space="preserve"> environment at any point during the survey then they were required to fill in a motion sickness questionnaire </w:t>
      </w:r>
      <w:r w:rsidR="00393420">
        <w:fldChar w:fldCharType="begin" w:fldLock="1"/>
      </w:r>
      <w:r w:rsidR="00BB0BA7">
        <w:instrText>ADDIN CSL_CITATION {"citationItems":[{"id":"ITEM-1","itemData":{"DOI":"10.1207/s15327108ijap0303_3","ISSN":"15327108","author":[{"dropping-particle":"","family":"Kennedy","given":"Robert S.","non-dropping-particle":"","parse-names":false,"suffix":""},{"dropping-particle":"","family":"Lane","given":"Norman E.","non-dropping-particle":"","parse-names":false,"suffix":""},{"dropping-particle":"","family":"Berbaum","given":"Kevin S.","non-dropping-particle":"","parse-names":false,"suffix":""},{"dropping-particle":"","family":"Lilienthal","given":"Michael G.","non-dropping-particle":"","parse-names":false,"suffix":""}],"container-title":"The International Journal of Aviation Psychology","id":"ITEM-1","issue":"3","issued":{"date-parts":[["1993"]]},"page":"203-220","title":"Simulator Sickness Questionnaire: An Enhanced Method for Quantifying Simulator Sickness","type":"article-journal","volume":"3"},"uris":["http://www.mendeley.com/documents/?uuid=7effb229-1945-451f-b941-8e284d2e8424"]}],"mendeley":{"formattedCitation":"[54]","plainTextFormattedCitation":"[54]","previouslyFormattedCitation":"[53]"},"properties":{"noteIndex":0},"schema":"https://github.com/citation-style-language/schema/raw/master/csl-citation.json"}</w:instrText>
      </w:r>
      <w:r w:rsidR="00393420">
        <w:fldChar w:fldCharType="separate"/>
      </w:r>
      <w:r w:rsidR="00BB0BA7" w:rsidRPr="00BB0BA7">
        <w:rPr>
          <w:noProof/>
        </w:rPr>
        <w:t>[54]</w:t>
      </w:r>
      <w:r w:rsidR="00393420">
        <w:fldChar w:fldCharType="end"/>
      </w:r>
      <w:r w:rsidR="00393420">
        <w:t xml:space="preserve">. Due to the variable time taken for the participant to interact with </w:t>
      </w:r>
      <w:r w:rsidR="008B3DC9">
        <w:t>CloVR</w:t>
      </w:r>
      <w:r w:rsidR="00393420">
        <w:t>, each review took a minimum of 25 minutes.</w:t>
      </w:r>
    </w:p>
    <w:p w14:paraId="0F8E8881" w14:textId="01C3EE39" w:rsidR="00393420" w:rsidRPr="00393420" w:rsidRDefault="00393420" w:rsidP="00393420">
      <w:pPr>
        <w:pStyle w:val="Heading3"/>
      </w:pPr>
      <w:r>
        <w:t>Results and Analysis</w:t>
      </w:r>
    </w:p>
    <w:p w14:paraId="751690AA" w14:textId="671D3792" w:rsidR="00393420" w:rsidRDefault="00393420" w:rsidP="00393420">
      <w:pPr>
        <w:pStyle w:val="BodyText"/>
      </w:pPr>
      <w:r>
        <w:t xml:space="preserve">The expert user review contained demographic questions to determine age, their experience with VR, memory palaces and spaced repetition. All participants responded that ‘Most’ or ‘All’ of their current studies are carried out online and five out of seven stating they were ‘Somewhat satisfied’ with their current online learning experience. One </w:t>
      </w:r>
      <w:r w:rsidR="00C00F21">
        <w:rPr>
          <w:lang w:val="en-GB"/>
        </w:rPr>
        <w:t>participant</w:t>
      </w:r>
      <w:r>
        <w:t xml:space="preserve"> answered ‘All’ to ‘</w:t>
      </w:r>
      <w:r w:rsidRPr="00C00F21">
        <w:rPr>
          <w:i/>
          <w:iCs/>
        </w:rPr>
        <w:t>Before the pandemic, how much of your studies were carried out remotely/online</w:t>
      </w:r>
      <w:r>
        <w:t>’.</w:t>
      </w:r>
      <w:r w:rsidR="00C00F21">
        <w:rPr>
          <w:lang w:val="en-US"/>
        </w:rPr>
        <w:t xml:space="preserve"> </w:t>
      </w:r>
      <w:r>
        <w:t xml:space="preserve">Four out of seven the </w:t>
      </w:r>
      <w:r w:rsidR="00C00F21">
        <w:rPr>
          <w:lang w:val="en-GB"/>
        </w:rPr>
        <w:t>participants</w:t>
      </w:r>
      <w:r>
        <w:t xml:space="preserve"> had used VR before. When the </w:t>
      </w:r>
      <w:r w:rsidR="00C00F21">
        <w:rPr>
          <w:lang w:val="en-GB"/>
        </w:rPr>
        <w:t>participants</w:t>
      </w:r>
      <w:r>
        <w:t xml:space="preserve"> were asked to provide feedback on the experience, the overall sense was that the program was user-friendly. ‘</w:t>
      </w:r>
      <w:r w:rsidRPr="00DF361E">
        <w:rPr>
          <w:i/>
          <w:iCs/>
        </w:rPr>
        <w:t>I was able to navigate my way through easily</w:t>
      </w:r>
      <w:r>
        <w:t>’ and ‘</w:t>
      </w:r>
      <w:r w:rsidRPr="00F576ED">
        <w:rPr>
          <w:i/>
          <w:iCs/>
        </w:rPr>
        <w:t>the instructions were clear so I was able to move around even though I had never done anything like this before</w:t>
      </w:r>
      <w:r>
        <w:t xml:space="preserve">’. </w:t>
      </w:r>
      <w:r w:rsidR="00C00F21">
        <w:rPr>
          <w:lang w:val="en-US"/>
        </w:rPr>
        <w:t xml:space="preserve"> </w:t>
      </w:r>
    </w:p>
    <w:p w14:paraId="7DB8B0A2" w14:textId="48577CE1" w:rsidR="00393420" w:rsidRDefault="00393420" w:rsidP="00393420">
      <w:pPr>
        <w:pStyle w:val="BodyText"/>
      </w:pPr>
      <w:r>
        <w:t xml:space="preserve">Six out of the seven </w:t>
      </w:r>
      <w:r w:rsidR="00C00F21">
        <w:rPr>
          <w:lang w:val="en-GB"/>
        </w:rPr>
        <w:t>participants</w:t>
      </w:r>
      <w:r>
        <w:t xml:space="preserve"> responded they would be interested (to different extents) in the final product. Some of the ideas on how they would use </w:t>
      </w:r>
      <w:r w:rsidR="008B3DC9">
        <w:t>CloVR</w:t>
      </w:r>
      <w:r>
        <w:t xml:space="preserve"> were: </w:t>
      </w:r>
      <w:r w:rsidRPr="00AD30C3">
        <w:rPr>
          <w:i/>
          <w:iCs/>
        </w:rPr>
        <w:t>‘</w:t>
      </w:r>
      <w:r w:rsidRPr="00BB31CA">
        <w:rPr>
          <w:i/>
          <w:iCs/>
        </w:rPr>
        <w:t>Customizable and interactive revision materials</w:t>
      </w:r>
      <w:r w:rsidRPr="00AD30C3">
        <w:rPr>
          <w:i/>
          <w:iCs/>
        </w:rPr>
        <w:t>’</w:t>
      </w:r>
      <w:r>
        <w:t xml:space="preserve">, </w:t>
      </w:r>
      <w:r w:rsidRPr="00AD30C3">
        <w:rPr>
          <w:i/>
          <w:iCs/>
        </w:rPr>
        <w:t>‘Having all revision materials in one place (including other’s resources)’</w:t>
      </w:r>
      <w:r>
        <w:t xml:space="preserve"> This suggests that for most </w:t>
      </w:r>
      <w:r w:rsidR="00C00F21">
        <w:rPr>
          <w:lang w:val="en-GB"/>
        </w:rPr>
        <w:t>participants</w:t>
      </w:r>
      <w:r>
        <w:t xml:space="preserve">, </w:t>
      </w:r>
      <w:r w:rsidR="008B3DC9">
        <w:t>CloVR</w:t>
      </w:r>
      <w:r>
        <w:t xml:space="preserve"> could be a program that they could use in future revision</w:t>
      </w:r>
      <w:r w:rsidR="009B1F89">
        <w:rPr>
          <w:lang w:val="en-US"/>
        </w:rPr>
        <w:t>.</w:t>
      </w:r>
      <w:r>
        <w:t xml:space="preserve"> One </w:t>
      </w:r>
      <w:r w:rsidR="00C00F21">
        <w:rPr>
          <w:lang w:val="en-US"/>
        </w:rPr>
        <w:t>participant</w:t>
      </w:r>
      <w:r>
        <w:t xml:space="preserve"> mentioned that they were ‘</w:t>
      </w:r>
      <w:r w:rsidRPr="001B5F47">
        <w:rPr>
          <w:i/>
          <w:iCs/>
        </w:rPr>
        <w:t>not sure what type of a problem [they] could solve with it</w:t>
      </w:r>
      <w:r>
        <w:t>’.</w:t>
      </w:r>
    </w:p>
    <w:p w14:paraId="315D1FD4" w14:textId="6FAC0828" w:rsidR="00393420" w:rsidRDefault="00393420" w:rsidP="00393420">
      <w:pPr>
        <w:pStyle w:val="BodyText"/>
      </w:pPr>
      <w:r>
        <w:t xml:space="preserve">Finally, we asked the </w:t>
      </w:r>
      <w:r w:rsidR="00C00F21">
        <w:rPr>
          <w:lang w:val="en-GB"/>
        </w:rPr>
        <w:t>participants</w:t>
      </w:r>
      <w:r>
        <w:t xml:space="preserve"> to rank the system features in order of importance/relevance to their studies (1 being most important, 7 being least important). The features in question were virtual memory palace, spaced repetition revision prompts, customizability of the virtual space, replaying time spent in the space, synced viewing, hosting other users in your environment and full immersion. Virtual Memory Palace ranked the highest and no feature ranked 5 or below. The results are tabulated in Table 1.</w:t>
      </w:r>
    </w:p>
    <w:p w14:paraId="04E964CF" w14:textId="4A224798" w:rsidR="00393420" w:rsidRDefault="00393420" w:rsidP="00393420">
      <w:pPr>
        <w:pStyle w:val="Heading2"/>
      </w:pPr>
      <w:r>
        <w:t>Proof of Concept Survey</w:t>
      </w:r>
    </w:p>
    <w:p w14:paraId="020B5898" w14:textId="26376876" w:rsidR="00393420" w:rsidRDefault="00393420" w:rsidP="00393420">
      <w:pPr>
        <w:pStyle w:val="BodyText"/>
      </w:pPr>
      <w:r>
        <w:t xml:space="preserve">Due to lockdown restrictions and difficulty in scheduling participants who had to be paired with an experimenter, the second study was planned as an online-only survey. The interactive demo and exploration of </w:t>
      </w:r>
      <w:r w:rsidR="008B3DC9">
        <w:t>CloVR</w:t>
      </w:r>
      <w:r>
        <w:t xml:space="preserve"> was replaced with a video that demonstrated the proof of concept and </w:t>
      </w:r>
      <w:r w:rsidR="00C00F21">
        <w:rPr>
          <w:lang w:val="en-US"/>
        </w:rPr>
        <w:t>visualized</w:t>
      </w:r>
      <w:r>
        <w:t xml:space="preserve"> all the elements mentioned in the survey. </w:t>
      </w:r>
    </w:p>
    <w:p w14:paraId="4AD1F886" w14:textId="6B0CF490" w:rsidR="00393420" w:rsidRDefault="00393420" w:rsidP="00393420">
      <w:pPr>
        <w:pStyle w:val="Heading3"/>
      </w:pPr>
      <w:r>
        <w:t>Participants</w:t>
      </w:r>
    </w:p>
    <w:p w14:paraId="7A92DA23" w14:textId="1757586D" w:rsidR="00393420" w:rsidRDefault="00393420" w:rsidP="00393420">
      <w:pPr>
        <w:pStyle w:val="BodyText"/>
      </w:pPr>
      <w:r>
        <w:lastRenderedPageBreak/>
        <w:t xml:space="preserve">The target population for the survey </w:t>
      </w:r>
      <w:r w:rsidR="00C00F21">
        <w:rPr>
          <w:lang w:val="en-US"/>
        </w:rPr>
        <w:t>was</w:t>
      </w:r>
      <w:r>
        <w:t xml:space="preserve"> individuals over the age of 18</w:t>
      </w:r>
      <w:r w:rsidR="00C00F21">
        <w:rPr>
          <w:lang w:val="en-US"/>
        </w:rPr>
        <w:t xml:space="preserve"> </w:t>
      </w:r>
      <w:r>
        <w:t xml:space="preserve"> currently engag</w:t>
      </w:r>
      <w:r w:rsidR="005830F0">
        <w:rPr>
          <w:lang w:val="en-GB"/>
        </w:rPr>
        <w:t>ed</w:t>
      </w:r>
      <w:r>
        <w:t xml:space="preserve"> in </w:t>
      </w:r>
      <w:r w:rsidR="00C00F21">
        <w:rPr>
          <w:lang w:val="en-US"/>
        </w:rPr>
        <w:t>higher education</w:t>
      </w:r>
      <w:r w:rsidR="005830F0">
        <w:rPr>
          <w:lang w:val="en-GB"/>
        </w:rPr>
        <w:t>.</w:t>
      </w:r>
      <w:r>
        <w:t xml:space="preserve"> Our distribution methods followed a convenience sampling method in which a link to a Qualtrics survey was shared on social media. Although convenience sampling does not allow for our results to be generalized to a wider population, we were able to utilize snowball sample distribution to recruit those further detached from the initial convenience sample.</w:t>
      </w:r>
    </w:p>
    <w:p w14:paraId="6EC759FD" w14:textId="57C3B921" w:rsidR="00393420" w:rsidRDefault="00393420" w:rsidP="00393420">
      <w:pPr>
        <w:pStyle w:val="BodyText"/>
      </w:pPr>
      <w:r>
        <w:t xml:space="preserve">Of the 33 individuals that begun our survey 26 were in our target population and these 26 participants completed the survey in full. The age-distribution of the participants was: 18 – 24: 68%, 25 – 34: 9%. </w:t>
      </w:r>
      <w:r w:rsidR="00E81176">
        <w:rPr>
          <w:lang w:val="en-US"/>
        </w:rPr>
        <w:t>O</w:t>
      </w:r>
      <w:proofErr w:type="spellStart"/>
      <w:r>
        <w:t>ne</w:t>
      </w:r>
      <w:proofErr w:type="spellEnd"/>
      <w:r>
        <w:t xml:space="preserve"> participant was between the ages of 45 and 54. All but one of the participants were students in </w:t>
      </w:r>
      <w:r w:rsidR="00D76F7B">
        <w:rPr>
          <w:lang w:val="en-US"/>
        </w:rPr>
        <w:t>a higher education setting</w:t>
      </w:r>
      <w:r>
        <w:t>, with one participant identifying as a teacher.</w:t>
      </w:r>
    </w:p>
    <w:p w14:paraId="70D420B0" w14:textId="5DD56BA3" w:rsidR="00393420" w:rsidRDefault="00393420" w:rsidP="00393420">
      <w:pPr>
        <w:pStyle w:val="BodyText"/>
      </w:pPr>
      <w:r>
        <w:t>When asked about their current studies, all the participants identified that ‘some’ ‘most’ or ‘all’ of their studies were currently online</w:t>
      </w:r>
      <w:r w:rsidR="00E81176">
        <w:rPr>
          <w:lang w:val="en-US"/>
        </w:rPr>
        <w:t xml:space="preserve"> with one</w:t>
      </w:r>
      <w:r>
        <w:t xml:space="preserve"> participant having more than ‘some’ face to face learning. </w:t>
      </w:r>
      <w:r w:rsidR="00E81176">
        <w:rPr>
          <w:lang w:val="en-US"/>
        </w:rPr>
        <w:t>Sixty five percent</w:t>
      </w:r>
      <w:r>
        <w:t xml:space="preserve"> of our sample were satisfied to some extent with their current online learning. Prior to the pandemic, two participants in this survey carried out their learning entirely online with no face-to-face element, suggesting that they may be participating in an education designed for the purpose of remote/distance learning. This provides another perspective to the remaining participants who have been more displaced by the pandemic, with </w:t>
      </w:r>
      <w:r w:rsidR="00E81176">
        <w:rPr>
          <w:lang w:val="en-US"/>
        </w:rPr>
        <w:t>fifty percent</w:t>
      </w:r>
      <w:r>
        <w:t xml:space="preserve"> of the sample revealing that ‘none’ of their previous learning took place online.</w:t>
      </w:r>
    </w:p>
    <w:p w14:paraId="70CA4EF3" w14:textId="4C89BE96" w:rsidR="00393420" w:rsidRDefault="00393420" w:rsidP="00393420">
      <w:pPr>
        <w:pStyle w:val="Heading3"/>
      </w:pPr>
      <w:r>
        <w:t>Procedure and Questionnaire</w:t>
      </w:r>
    </w:p>
    <w:p w14:paraId="1C5FEB66" w14:textId="70EEE023" w:rsidR="00393420" w:rsidRPr="00393420" w:rsidRDefault="00393420" w:rsidP="005830F0">
      <w:pPr>
        <w:pStyle w:val="BodyText"/>
      </w:pPr>
      <w:r>
        <w:t xml:space="preserve">The questionnaire followed a similar structure to that of the expert review </w:t>
      </w:r>
      <w:r w:rsidR="00E81176">
        <w:rPr>
          <w:lang w:val="en-US"/>
        </w:rPr>
        <w:t xml:space="preserve">but </w:t>
      </w:r>
      <w:r>
        <w:t xml:space="preserve">with the removal of the interaction sections and the motion sickness questionnaire. The participants saw a short video that demonstrated interaction within </w:t>
      </w:r>
      <w:r w:rsidR="008B3DC9">
        <w:t>CloVR</w:t>
      </w:r>
      <w:r>
        <w:t xml:space="preserve"> and included a voiceover description of what was happening at each point in the video. To prevent click-through participation, the starting survey questions required the participants to enter a code which was only displayed in the video. </w:t>
      </w:r>
    </w:p>
    <w:p w14:paraId="0467D84A" w14:textId="161F1D59" w:rsidR="00393420" w:rsidRDefault="0084243A" w:rsidP="0084243A">
      <w:pPr>
        <w:pStyle w:val="Heading3"/>
      </w:pPr>
      <w:r>
        <w:t>Results</w:t>
      </w:r>
    </w:p>
    <w:p w14:paraId="06CB8745" w14:textId="30C682A6" w:rsidR="0084243A" w:rsidRDefault="0084243A" w:rsidP="0084243A">
      <w:pPr>
        <w:pStyle w:val="BodyText"/>
      </w:pPr>
      <w:r>
        <w:t>Although all participants responded that they engage in collaboration for studying/revision</w:t>
      </w:r>
      <w:r w:rsidR="00A5099D">
        <w:rPr>
          <w:lang w:val="en-GB"/>
        </w:rPr>
        <w:t>,</w:t>
      </w:r>
      <w:r>
        <w:t xml:space="preserve"> ‘Hosting others in the environment’ was ranked, on average, only the 5</w:t>
      </w:r>
      <w:r w:rsidRPr="007B5B9D">
        <w:rPr>
          <w:rFonts w:ascii="Cambria Math" w:hAnsi="Cambria Math" w:cs="Cambria Math"/>
          <w:iCs/>
          <w:vertAlign w:val="superscript"/>
        </w:rPr>
        <w:t>th</w:t>
      </w:r>
      <w:r>
        <w:rPr>
          <w:rFonts w:ascii="Cambria Math" w:hAnsi="Cambria Math" w:cs="Cambria Math"/>
          <w:iCs/>
        </w:rPr>
        <w:t xml:space="preserve"> </w:t>
      </w:r>
      <w:r>
        <w:t xml:space="preserve">most important feature of the revision space. This could be caused by two main factors: the demonstration video serving as an ineffective placeholder to physical interaction with a product and therefore misrepresenting collaboration in the space. Alternatively, </w:t>
      </w:r>
      <w:r w:rsidR="008B3DC9">
        <w:t>CloVR’s</w:t>
      </w:r>
      <w:r>
        <w:t xml:space="preserve"> collaboration features need more refinement to allow users to collaborate in a way that is important to them.</w:t>
      </w:r>
    </w:p>
    <w:p w14:paraId="49110A74" w14:textId="2CCAFA83" w:rsidR="0084243A" w:rsidRDefault="0084243A" w:rsidP="0084243A">
      <w:pPr>
        <w:pStyle w:val="BodyText"/>
      </w:pPr>
      <w:r>
        <w:t xml:space="preserve">When asked ‘does this end product sound like something you would be interested in using’, </w:t>
      </w:r>
      <w:r w:rsidR="00E81176">
        <w:rPr>
          <w:lang w:val="en-US"/>
        </w:rPr>
        <w:t>sixty nine percent</w:t>
      </w:r>
      <w:r>
        <w:t xml:space="preserve"> responded positively, </w:t>
      </w:r>
      <w:r w:rsidR="00E81176">
        <w:rPr>
          <w:lang w:val="en-US"/>
        </w:rPr>
        <w:t>nineteen percent</w:t>
      </w:r>
      <w:r>
        <w:t xml:space="preserve"> were undecided and </w:t>
      </w:r>
      <w:r w:rsidR="00E81176">
        <w:rPr>
          <w:lang w:val="en-US"/>
        </w:rPr>
        <w:t>twelve percent</w:t>
      </w:r>
      <w:r>
        <w:t xml:space="preserve"> chose ‘probably not’. No participants chose the option ‘definitely not’.</w:t>
      </w:r>
    </w:p>
    <w:p w14:paraId="70938C1F" w14:textId="7D45680E" w:rsidR="0084243A" w:rsidRDefault="0084243A" w:rsidP="0084243A">
      <w:pPr>
        <w:pStyle w:val="Heading1"/>
      </w:pPr>
      <w:r>
        <w:t>Discussion</w:t>
      </w:r>
    </w:p>
    <w:p w14:paraId="6AB5CDE1" w14:textId="7C2DF8DC" w:rsidR="0084243A" w:rsidRDefault="0084243A" w:rsidP="0084243A">
      <w:pPr>
        <w:pStyle w:val="Heading2"/>
      </w:pPr>
      <w:r>
        <w:t>Implications</w:t>
      </w:r>
    </w:p>
    <w:p w14:paraId="1890FD5F" w14:textId="553829C2" w:rsidR="0084243A" w:rsidRDefault="00A5099D" w:rsidP="0084243A">
      <w:pPr>
        <w:pStyle w:val="BodyText"/>
      </w:pPr>
      <w:r>
        <w:rPr>
          <w:lang w:val="en-GB"/>
        </w:rPr>
        <w:t>For</w:t>
      </w:r>
      <w:r w:rsidR="0084243A">
        <w:t xml:space="preserve"> the users’ opinion about the system, the open-ended responses included positive comments. These were </w:t>
      </w:r>
      <w:r w:rsidR="008C2FB2">
        <w:t>centred</w:t>
      </w:r>
      <w:r w:rsidR="0084243A">
        <w:t xml:space="preserve"> on </w:t>
      </w:r>
      <w:r w:rsidR="008B3DC9">
        <w:t>CloVR</w:t>
      </w:r>
      <w:r w:rsidR="0084243A">
        <w:t xml:space="preserve"> being ‘engaging’, ‘useful’ and ‘fun’. Users could visualize the potential in having all their revision materials in the same place. One participant, who identified themselves as a trainee teacher, described potential future applications in the software, ‘</w:t>
      </w:r>
      <w:r w:rsidR="0084243A" w:rsidRPr="001577AC">
        <w:rPr>
          <w:i/>
          <w:iCs/>
        </w:rPr>
        <w:t>This could also be quite a valuable interactive learning tool for school children</w:t>
      </w:r>
      <w:r w:rsidR="0084243A">
        <w:rPr>
          <w:i/>
          <w:iCs/>
        </w:rPr>
        <w:t xml:space="preserve"> […]</w:t>
      </w:r>
      <w:r w:rsidR="0084243A">
        <w:t xml:space="preserve"> </w:t>
      </w:r>
      <w:r w:rsidR="0084243A" w:rsidRPr="000E1AF6">
        <w:rPr>
          <w:i/>
          <w:iCs/>
        </w:rPr>
        <w:t>For instance, you could recreate the Titanic as a Virtual Memory Palace and assign information bubbles to specific objects, e.g. lifeboats,</w:t>
      </w:r>
      <w:r w:rsidR="0084243A">
        <w:rPr>
          <w:i/>
          <w:iCs/>
        </w:rPr>
        <w:t xml:space="preserve"> </w:t>
      </w:r>
      <w:r w:rsidR="0084243A" w:rsidRPr="000E1AF6">
        <w:rPr>
          <w:i/>
          <w:iCs/>
        </w:rPr>
        <w:t>boilers, hull/stern/bow, etc.</w:t>
      </w:r>
      <w:r w:rsidR="0084243A">
        <w:t>’</w:t>
      </w:r>
      <w:r w:rsidR="0084243A" w:rsidRPr="00851F3A">
        <w:t xml:space="preserve"> </w:t>
      </w:r>
      <w:r w:rsidR="0084243A">
        <w:t>Even users who were unsure of how it would personally fit into their studies, offered positive responses. One user responded that ‘</w:t>
      </w:r>
      <w:r w:rsidR="0084243A" w:rsidRPr="00B87D30">
        <w:rPr>
          <w:i/>
          <w:iCs/>
        </w:rPr>
        <w:t>if there was a way to use it for essay writing or structuring then definitely!</w:t>
      </w:r>
      <w:r w:rsidR="0084243A">
        <w:t xml:space="preserve">’. This provides insights that variation in learning styles can affect uptake of specific solutions. Another interpretation is that given enough fidelity and flexibility, a system like </w:t>
      </w:r>
      <w:r w:rsidR="008B3DC9">
        <w:t>CloVR</w:t>
      </w:r>
      <w:r w:rsidR="0084243A">
        <w:t xml:space="preserve"> </w:t>
      </w:r>
      <w:r w:rsidR="00E81176">
        <w:rPr>
          <w:lang w:val="en-US"/>
        </w:rPr>
        <w:t>c</w:t>
      </w:r>
      <w:proofErr w:type="spellStart"/>
      <w:r w:rsidR="0084243A">
        <w:t>ould</w:t>
      </w:r>
      <w:proofErr w:type="spellEnd"/>
      <w:r w:rsidR="0084243A">
        <w:t xml:space="preserve"> be repurposed for other pedagogical activities. </w:t>
      </w:r>
    </w:p>
    <w:p w14:paraId="0D54F0AB" w14:textId="69FD57EE" w:rsidR="0084243A" w:rsidRDefault="0084243A" w:rsidP="0084243A">
      <w:pPr>
        <w:pStyle w:val="BodyText"/>
      </w:pPr>
      <w:r>
        <w:t xml:space="preserve">Three users from the online survey referenced motion sickness/VR induced headaches. Although none of the users had used a VR headset to view the video (let alone used </w:t>
      </w:r>
      <w:r w:rsidR="008B3DC9">
        <w:t>CloVR</w:t>
      </w:r>
      <w:r>
        <w:t xml:space="preserve">), it was apparent that users associate discomfort with the use of VR. These responses, alongside ’Immersion’ ranking as the least important feature, indicate certain pre-conceived notions about VR. </w:t>
      </w:r>
      <w:r w:rsidR="00F16CF9">
        <w:rPr>
          <w:lang w:val="en-US"/>
        </w:rPr>
        <w:t>T</w:t>
      </w:r>
      <w:r>
        <w:t xml:space="preserve">his bolsters our decision to make </w:t>
      </w:r>
      <w:r w:rsidR="008B3DC9">
        <w:t>CloVR</w:t>
      </w:r>
      <w:r>
        <w:t xml:space="preserve"> usable with or without a VR headset.</w:t>
      </w:r>
    </w:p>
    <w:p w14:paraId="0EA18AB8" w14:textId="2801E66A" w:rsidR="0084243A" w:rsidRDefault="0084243A" w:rsidP="0084243A">
      <w:pPr>
        <w:pStyle w:val="BodyText"/>
      </w:pPr>
      <w:r>
        <w:t>Closer examination of the participants responses for those who responded that they ‘</w:t>
      </w:r>
      <w:r w:rsidRPr="00F16CF9">
        <w:t>probably (did) not’</w:t>
      </w:r>
      <w:r>
        <w:t xml:space="preserve"> see themselves using the system (</w:t>
      </w:r>
      <w:r w:rsidR="00F16CF9">
        <w:rPr>
          <w:lang w:val="en-US"/>
        </w:rPr>
        <w:t>twelve percent</w:t>
      </w:r>
      <w:r>
        <w:t xml:space="preserve">) revealed differing reasons. </w:t>
      </w:r>
      <w:proofErr w:type="spellStart"/>
      <w:r w:rsidR="00F16CF9">
        <w:rPr>
          <w:lang w:val="en-US"/>
        </w:rPr>
        <w:t>Thi</w:t>
      </w:r>
      <w:proofErr w:type="spellEnd"/>
      <w:r>
        <w:t>s included lack of interest in the featured techniques or concerns over the distraction potential of the software and that they struggled to ‘think visually’. Other users praised the software for helping with the users’ learning style.</w:t>
      </w:r>
    </w:p>
    <w:p w14:paraId="665369F7" w14:textId="6DF92C4D" w:rsidR="0084243A" w:rsidRDefault="0084243A" w:rsidP="0084243A">
      <w:pPr>
        <w:pStyle w:val="BodyText"/>
      </w:pPr>
      <w:r>
        <w:t>We looked at the answers to the question ‘</w:t>
      </w:r>
      <w:r w:rsidRPr="00DD0061">
        <w:rPr>
          <w:i/>
          <w:iCs/>
        </w:rPr>
        <w:t>list top three learning/revision methods that they find most useful</w:t>
      </w:r>
      <w:r>
        <w:t xml:space="preserve">’ through the pedagogical lens of VARK. </w:t>
      </w:r>
      <w:r w:rsidR="00D76F7B">
        <w:rPr>
          <w:lang w:val="en-US"/>
        </w:rPr>
        <w:t xml:space="preserve">80 percent </w:t>
      </w:r>
      <w:r>
        <w:t>of respondents answered ‘</w:t>
      </w:r>
      <w:r w:rsidRPr="000D40DB">
        <w:rPr>
          <w:i/>
          <w:iCs/>
        </w:rPr>
        <w:t>watching videos/lecture recordings</w:t>
      </w:r>
      <w:r>
        <w:t xml:space="preserve">’, with the remaining </w:t>
      </w:r>
      <w:r w:rsidR="00F16CF9">
        <w:rPr>
          <w:lang w:val="en-US"/>
        </w:rPr>
        <w:t>twenty</w:t>
      </w:r>
      <w:r w:rsidR="00D76F7B">
        <w:rPr>
          <w:lang w:val="en-US"/>
        </w:rPr>
        <w:t xml:space="preserve"> percent </w:t>
      </w:r>
      <w:r>
        <w:t>all including ‘</w:t>
      </w:r>
      <w:r w:rsidRPr="007763EF">
        <w:rPr>
          <w:i/>
          <w:iCs/>
        </w:rPr>
        <w:t>watching demonstrations/tutorials</w:t>
      </w:r>
      <w:r>
        <w:t xml:space="preserve">’ in their top three. According to VARK, this would indicate that visual learning is a preference to these respondents. </w:t>
      </w:r>
      <w:r w:rsidR="008B3DC9">
        <w:t>CloVR</w:t>
      </w:r>
      <w:r>
        <w:t xml:space="preserve"> facilitates all components of VARK, allowing students to watch videos, </w:t>
      </w:r>
      <w:r w:rsidRPr="00D06C47">
        <w:t>demonstrations (Visual), listen to recordings (Aural), read and write, revision resources (Read/write) and moving around the space, interacting with models (</w:t>
      </w:r>
      <w:proofErr w:type="spellStart"/>
      <w:r w:rsidRPr="00D06C47">
        <w:t>Kinesthetic</w:t>
      </w:r>
      <w:proofErr w:type="spellEnd"/>
      <w:r w:rsidRPr="00D06C47">
        <w:t xml:space="preserve">). </w:t>
      </w:r>
      <w:r w:rsidR="00D06C47" w:rsidRPr="00D06C47">
        <w:t xml:space="preserve">The effectiveness of learning style is not considered which is in line with Fleming et al.'s </w:t>
      </w:r>
      <w:r w:rsidRPr="00D06C47">
        <w:fldChar w:fldCharType="begin" w:fldLock="1"/>
      </w:r>
      <w:r w:rsidR="00BB0BA7">
        <w:instrText>ADDIN CSL_CITATION {"citationItems":[{"id":"ITEM-1","itemData":{"author":[{"dropping-particle":"","family":"Fleming","given":"Neil","non-dropping-particle":"","parse-names":false,"suffix":""},{"dropping-particle":"","family":"Developer","given":"Educational","non-dropping-particle":"","parse-names":false,"suffix":""},{"dropping-particle":"","family":"Baume","given":"David","non-dropping-particle":"","parse-names":false,"suffix":""}],"container-title":"Educ Dev","id":"ITEM-1","issued":{"date-parts":[["2006"]]},"title":"Learning Styles Again: VARKing up the right tree!","type":"article-journal","volume":"7"},"uris":["http://www.mendeley.com/documents/?uuid=4453c536-a5b7-4ee5-abf9-ad0219a204cb"]}],"mendeley":{"formattedCitation":"[46]","plainTextFormattedCitation":"[46]","previouslyFormattedCitation":"[46]"},"properties":{"noteIndex":0},"schema":"https://github.com/citation-style-language/schema/raw/master/csl-citation.json"}</w:instrText>
      </w:r>
      <w:r w:rsidRPr="00D06C47">
        <w:fldChar w:fldCharType="separate"/>
      </w:r>
      <w:r w:rsidR="00D333A3" w:rsidRPr="00D333A3">
        <w:rPr>
          <w:noProof/>
        </w:rPr>
        <w:t>[46]</w:t>
      </w:r>
      <w:r w:rsidRPr="00D06C47">
        <w:fldChar w:fldCharType="end"/>
      </w:r>
      <w:r w:rsidR="00D025BD" w:rsidRPr="00D06C47">
        <w:t xml:space="preserve"> </w:t>
      </w:r>
      <w:r w:rsidR="00D06C47" w:rsidRPr="00D06C47">
        <w:t>observation that preference of style doesn't imply effectiveness</w:t>
      </w:r>
      <w:r w:rsidRPr="00D06C47">
        <w:t>.</w:t>
      </w:r>
    </w:p>
    <w:p w14:paraId="13DC2DE1" w14:textId="5E787ECB" w:rsidR="0084243A" w:rsidRDefault="0084243A" w:rsidP="0084243A">
      <w:pPr>
        <w:pStyle w:val="Heading2"/>
      </w:pPr>
      <w:r>
        <w:t>Limitations</w:t>
      </w:r>
    </w:p>
    <w:p w14:paraId="47323AC1" w14:textId="58A947F8" w:rsidR="0084243A" w:rsidRDefault="0084243A" w:rsidP="0084243A">
      <w:pPr>
        <w:pStyle w:val="BodyText"/>
      </w:pPr>
      <w:r>
        <w:t xml:space="preserve">Both studies involved a non-probabilistic convenience sample with a simple distribution method of self-selected recruitment and no cost. Convenience sampling means they may all be a similar type of student and it would be interesting to do further research into differing perceptions of the system depending on degree area. We further lacked the opportunity to ask follow-up questions. We also collected all of this data from each questionnaire undertaken with no researcher present and so our responses may suffer from recall bias </w:t>
      </w:r>
      <w:r>
        <w:fldChar w:fldCharType="begin" w:fldLock="1"/>
      </w:r>
      <w:r w:rsidR="00BB0BA7">
        <w:instrText>ADDIN CSL_CITATION {"citationItems":[{"id":"ITEM-1","itemData":{"DOI":"10.1016/b978-0-444-70536-5.50047-6","ISBN":"9780128053904","ISSN":"1532-2882","abstract":"Research Methods in Human-Computer Interaction is a comprehensive guide to performing research and is essential reading for both quantitative and qualitative methods. Since the first edition was published in 2009, the book has been adopted for use at leading universities around the world, including Harvard University, Carnegie-Mellon University, the University of Washington, the University of Toronto, HiOA (Norway), KTH (Sweden), Tel Aviv University (Israel), and many others. Chapters cover a broad range of topics relevant to the collection and analysis of HCI data, going beyond experimental design and surveys, to cover ethnography, diaries, physiological measurements, case studies, crowdsourcing, and other essential elements in the well-informed HCI researcher's toolkit. Continual technological evolution has led to an explosion of new techniques and a need for this updated 2nd edition, to reflect the most recent research in the field and newer trends in research methodology. This Research Methods in HCI revision contains updates throughout, including more detail on statistical tests, coding qualitative data, and data collection via mobile devices and sensors. Other new material covers performing research with children, older adults, and people with cognitive impairments.","author":[{"dropping-particle":"","family":"Lazar","given":"Jonathan","non-dropping-particle":"","parse-names":false,"suffix":""},{"dropping-particle":"","family":"Feng","given":"Jinjuan Heidi","non-dropping-particle":"","parse-names":false,"suffix":""},{"dropping-particle":"","family":"Hochheiser","given":"Harry","non-dropping-particle":"","parse-names":false,"suffix":""}],"container-title":"Research Methods in Human-Computer Interaction","id":"ITEM-1","issued":{"date-parts":[["2017"]]},"number-of-pages":"1-560","title":"Research Methods in Human-Computer Interaction","type":"book"},"uris":["http://www.mendeley.com/documents/?uuid=344690f8-2923-4fc6-b837-bf2174e6c841"]}],"mendeley":{"formattedCitation":"[55]","plainTextFormattedCitation":"[55]","previouslyFormattedCitation":"[54]"},"properties":{"noteIndex":0},"schema":"https://github.com/citation-style-language/schema/raw/master/csl-citation.json"}</w:instrText>
      </w:r>
      <w:r>
        <w:fldChar w:fldCharType="separate"/>
      </w:r>
      <w:r w:rsidR="00BB0BA7" w:rsidRPr="00BB0BA7">
        <w:rPr>
          <w:noProof/>
        </w:rPr>
        <w:t>[55]</w:t>
      </w:r>
      <w:r>
        <w:fldChar w:fldCharType="end"/>
      </w:r>
      <w:r>
        <w:t>.</w:t>
      </w:r>
      <w:r w:rsidR="00A5099D">
        <w:rPr>
          <w:lang w:val="en-GB"/>
        </w:rPr>
        <w:t xml:space="preserve"> </w:t>
      </w:r>
      <w:r>
        <w:t xml:space="preserve">Although we recognize the limitations of this research, we emphasize that it acts as a pilot study, to inform future evaluation methods. Unfortunately, due to the physical restrictions in place due to </w:t>
      </w:r>
      <w:r>
        <w:lastRenderedPageBreak/>
        <w:t>COVID-19 we were unable to run tests on participants using headset VR and future research would no doubt investigate the consequences of using this hardware.</w:t>
      </w:r>
    </w:p>
    <w:p w14:paraId="6D04DB52" w14:textId="7B0DDD3D" w:rsidR="0084243A" w:rsidRDefault="0084243A" w:rsidP="0084243A">
      <w:pPr>
        <w:pStyle w:val="BodyText"/>
      </w:pPr>
      <w:r>
        <w:t>From a system perspective, the prototype requires further refinement. For e.g., due to open issues with the component system</w:t>
      </w:r>
      <w:r w:rsidRPr="00616137">
        <w:t>,</w:t>
      </w:r>
      <w:r>
        <w:t xml:space="preserve"> especially Networked AFrame, v</w:t>
      </w:r>
      <w:r w:rsidRPr="00616137">
        <w:t xml:space="preserve">oice chat </w:t>
      </w:r>
      <w:r>
        <w:t>was not reliable</w:t>
      </w:r>
      <w:r w:rsidRPr="00616137">
        <w:t xml:space="preserve">. </w:t>
      </w:r>
      <w:r>
        <w:t xml:space="preserve">The prototype has </w:t>
      </w:r>
      <w:r w:rsidRPr="00616137">
        <w:t xml:space="preserve">limited configurability for users </w:t>
      </w:r>
      <w:r>
        <w:t>when</w:t>
      </w:r>
      <w:r w:rsidRPr="00616137">
        <w:t xml:space="preserve"> </w:t>
      </w:r>
      <w:r>
        <w:t xml:space="preserve">tagging </w:t>
      </w:r>
      <w:r w:rsidRPr="00616137">
        <w:t>additional</w:t>
      </w:r>
      <w:r>
        <w:t xml:space="preserve"> eLRs</w:t>
      </w:r>
      <w:r w:rsidRPr="00616137">
        <w:t xml:space="preserve"> to virtual </w:t>
      </w:r>
      <w:r>
        <w:t>artefacts</w:t>
      </w:r>
      <w:r w:rsidRPr="00616137">
        <w:t>.</w:t>
      </w:r>
      <w:r>
        <w:t xml:space="preserve"> For the study, the</w:t>
      </w:r>
      <w:r w:rsidRPr="00616137">
        <w:t xml:space="preserve"> prototype </w:t>
      </w:r>
      <w:r>
        <w:t>used pre-tagged</w:t>
      </w:r>
      <w:r w:rsidRPr="00616137">
        <w:t xml:space="preserve"> virtual </w:t>
      </w:r>
      <w:r>
        <w:t>artefact</w:t>
      </w:r>
      <w:r w:rsidRPr="00616137">
        <w:t xml:space="preserve">s </w:t>
      </w:r>
      <w:r>
        <w:t xml:space="preserve">and are already allocated a </w:t>
      </w:r>
      <w:r w:rsidRPr="00616137">
        <w:t>specific timeline</w:t>
      </w:r>
      <w:r>
        <w:t xml:space="preserve"> during development.</w:t>
      </w:r>
    </w:p>
    <w:p w14:paraId="7C917E0E" w14:textId="2E50B14B" w:rsidR="0084243A" w:rsidRDefault="0084243A" w:rsidP="0084243A">
      <w:pPr>
        <w:pStyle w:val="Heading2"/>
        <w:tabs>
          <w:tab w:val="start" w:pos="22.70pt"/>
        </w:tabs>
      </w:pPr>
      <w:r>
        <w:t>Paragogy and Remote Collaboration</w:t>
      </w:r>
    </w:p>
    <w:p w14:paraId="6841277E" w14:textId="35837ED1" w:rsidR="0084243A" w:rsidRDefault="0084243A" w:rsidP="0084243A">
      <w:pPr>
        <w:pStyle w:val="BodyText"/>
      </w:pPr>
      <w:r>
        <w:t xml:space="preserve">Compared to existing VRLEs which are designed as tutor-led LMS or designed with a single application or single user implementation, </w:t>
      </w:r>
      <w:r w:rsidR="008B3DC9">
        <w:t>CloVR</w:t>
      </w:r>
      <w:r>
        <w:t xml:space="preserve"> occupies a sparsely populated gap of VRLEs designed for learner-led paragogy. </w:t>
      </w:r>
      <w:r w:rsidR="008B3DC9">
        <w:t>CloVR</w:t>
      </w:r>
      <w:r>
        <w:t xml:space="preserve"> provides a flexible approach to the curation of eLRs as desired by the learner. It also implements two learning techniques, virtual memory palace and spaced repetition. Unlike previous implementations of virtual memory palaces, </w:t>
      </w:r>
      <w:r w:rsidR="008B3DC9">
        <w:t>CloVR</w:t>
      </w:r>
      <w:r>
        <w:t xml:space="preserve"> also takes into consideration, group-recall and reflection activities, thus enabling paragogy. </w:t>
      </w:r>
      <w:r w:rsidR="008B3DC9">
        <w:t>CloVR</w:t>
      </w:r>
      <w:r>
        <w:t xml:space="preserve"> also takes advantage of the fourth dimension</w:t>
      </w:r>
      <w:r w:rsidRPr="00A94827">
        <w:t xml:space="preserve"> </w:t>
      </w:r>
      <w:r>
        <w:t>to learning – time. It provides the users to scan back and forward in time, taking advantage of spaced repetition activities scaffolded in a virtual mind-palace and carried out in groups.</w:t>
      </w:r>
      <w:r w:rsidR="00E068EF">
        <w:rPr>
          <w:lang w:val="en-GB"/>
        </w:rPr>
        <w:t xml:space="preserve"> </w:t>
      </w:r>
      <w:r>
        <w:t xml:space="preserve">Using WebXR, </w:t>
      </w:r>
      <w:r w:rsidR="008B3DC9">
        <w:t>CloVR</w:t>
      </w:r>
      <w:r>
        <w:t xml:space="preserve"> can be deployed on virtually any modern-day user device and operated without using expensive and specialized hardware. It ensures equitable ease of access for remote learners to come together and provides the scaffolding required for collaborative learning to occur. </w:t>
      </w:r>
    </w:p>
    <w:p w14:paraId="69F4A839" w14:textId="3EA5735D" w:rsidR="0084243A" w:rsidRDefault="0084243A" w:rsidP="0084243A">
      <w:pPr>
        <w:pStyle w:val="Heading1"/>
      </w:pPr>
      <w:r>
        <w:t>Conclusion</w:t>
      </w:r>
    </w:p>
    <w:p w14:paraId="6C478635" w14:textId="60FEFFB6" w:rsidR="0084243A" w:rsidRPr="004824C5" w:rsidRDefault="0084243A" w:rsidP="00A5099D">
      <w:pPr>
        <w:pStyle w:val="BodyText"/>
        <w:rPr>
          <w:lang w:val="en-US"/>
        </w:rPr>
      </w:pPr>
      <w:r>
        <w:t xml:space="preserve">In this paper we present </w:t>
      </w:r>
      <w:r w:rsidR="008B3DC9">
        <w:t>CloVR</w:t>
      </w:r>
      <w:r>
        <w:t xml:space="preserve">, a VR-based learning environment which supports two distinct learning techniques, mind-palace, and spaced-repetition, applied in the context of learner-led paragogy. We demonstrate </w:t>
      </w:r>
      <w:r w:rsidR="008B3DC9">
        <w:t>CloVR</w:t>
      </w:r>
      <w:r>
        <w:t xml:space="preserve"> as a WebXR based prototype built using A-Frame aimed at showcasing the feasibility of low-cost equitable access implementations for VR-based applications. We conducted two studies which showed that </w:t>
      </w:r>
      <w:r w:rsidR="008B3DC9">
        <w:t>CloVR</w:t>
      </w:r>
      <w:r>
        <w:t xml:space="preserve"> is liked as an application and it is likely to find use if made available to learners.</w:t>
      </w:r>
      <w:r w:rsidR="004824C5">
        <w:rPr>
          <w:lang w:val="en-US"/>
        </w:rPr>
        <w:t xml:space="preserve">  Overall, our results show that a VR mediated environment combining the memory palace and spaced repetition methods would be a viable, useful and desir</w:t>
      </w:r>
      <w:r w:rsidR="00F66AA2">
        <w:rPr>
          <w:lang w:val="en-US"/>
        </w:rPr>
        <w:t>able</w:t>
      </w:r>
      <w:r w:rsidR="004824C5">
        <w:rPr>
          <w:lang w:val="en-US"/>
        </w:rPr>
        <w:t xml:space="preserve"> learning tool. </w:t>
      </w:r>
    </w:p>
    <w:p w14:paraId="0BA0BC3E" w14:textId="17CDDA6C" w:rsidR="009303D9" w:rsidRDefault="009303D9" w:rsidP="00A059B3">
      <w:pPr>
        <w:pStyle w:val="Heading5"/>
      </w:pPr>
      <w:r w:rsidRPr="005B520E">
        <w:t>References</w:t>
      </w:r>
    </w:p>
    <w:p w14:paraId="61EB18F3" w14:textId="061B8A60" w:rsidR="00BB0BA7" w:rsidRPr="00BB0BA7" w:rsidRDefault="00023AAD" w:rsidP="00BB0BA7">
      <w:pPr>
        <w:pStyle w:val="references"/>
      </w:pPr>
      <w:r>
        <w:rPr>
          <w:rFonts w:eastAsia="SimSun"/>
          <w:noProof w:val="0"/>
          <w:sz w:val="20"/>
          <w:szCs w:val="20"/>
        </w:rPr>
        <w:fldChar w:fldCharType="begin" w:fldLock="1"/>
      </w:r>
      <w:r>
        <w:instrText xml:space="preserve">ADDIN Mendeley Bibliography CSL_BIBLIOGRAPHY </w:instrText>
      </w:r>
      <w:r>
        <w:rPr>
          <w:rFonts w:eastAsia="SimSun"/>
          <w:noProof w:val="0"/>
          <w:sz w:val="20"/>
          <w:szCs w:val="20"/>
        </w:rPr>
        <w:fldChar w:fldCharType="separate"/>
      </w:r>
      <w:r w:rsidR="00BB0BA7" w:rsidRPr="00BB0BA7">
        <w:t>UK Department for Education, “Realising the potential of technology in education,” p. 48, 2019, [Online]. Available: https://www.gov.uk/government/publications/realising-the-potential-of-technology-in-education.</w:t>
      </w:r>
    </w:p>
    <w:p w14:paraId="1329038A" w14:textId="378D1058" w:rsidR="00BB0BA7" w:rsidRPr="00BB0BA7" w:rsidRDefault="00BB0BA7" w:rsidP="00BB0BA7">
      <w:pPr>
        <w:pStyle w:val="references"/>
      </w:pPr>
      <w:r w:rsidRPr="00BB0BA7">
        <w:t xml:space="preserve">K. McKnight, K. O’Malley, R. Ruzic, M. K. Horsley, J. J. Franey, and K. Bassett, “Teaching in a Digital Age: How Educators Use Technology to Improve Student Learning,” </w:t>
      </w:r>
      <w:r w:rsidRPr="00BB0BA7">
        <w:rPr>
          <w:i/>
          <w:iCs/>
        </w:rPr>
        <w:t>J. Res. Technol. Educ.</w:t>
      </w:r>
      <w:r w:rsidRPr="00BB0BA7">
        <w:t>, vol. 48, no. 3, pp. 194–211, Jul. 2016, doi: 10.1080/15391523.2016.1175856.</w:t>
      </w:r>
    </w:p>
    <w:p w14:paraId="27796FC5" w14:textId="3CCBC67D" w:rsidR="00BB0BA7" w:rsidRPr="00BB0BA7" w:rsidRDefault="00BB0BA7" w:rsidP="00BB0BA7">
      <w:pPr>
        <w:pStyle w:val="references"/>
      </w:pPr>
      <w:r w:rsidRPr="00BB0BA7">
        <w:t xml:space="preserve">H. R. Tenenbaum, N. E. Winstone, P. J. Leman, and R. E. Avery, “How effective is peer interaction in facilitating learning? A meta-analysis.,” </w:t>
      </w:r>
      <w:r w:rsidRPr="00BB0BA7">
        <w:rPr>
          <w:i/>
          <w:iCs/>
        </w:rPr>
        <w:t>J. Educ. Psychol.</w:t>
      </w:r>
      <w:r w:rsidRPr="00BB0BA7">
        <w:t>, vol. 112, no. 7, pp. 1303–1319, 2020, doi: 10.1037/edu0000436.</w:t>
      </w:r>
    </w:p>
    <w:p w14:paraId="78C1999A" w14:textId="7D3A1D5B" w:rsidR="00BB0BA7" w:rsidRPr="00BB0BA7" w:rsidRDefault="00BB0BA7" w:rsidP="00BB0BA7">
      <w:pPr>
        <w:pStyle w:val="references"/>
      </w:pPr>
      <w:r w:rsidRPr="00BB0BA7">
        <w:t xml:space="preserve">M. Hölbl and T. Welzer, “Students’ Feedback and Communication Habits using Moodle,” </w:t>
      </w:r>
      <w:r w:rsidRPr="00BB0BA7">
        <w:rPr>
          <w:i/>
          <w:iCs/>
        </w:rPr>
        <w:t>Elektron. ir Elektrotechnika</w:t>
      </w:r>
      <w:r w:rsidRPr="00BB0BA7">
        <w:t>, vol. 102, no. 6 SE-, pp. 63–66, May 2010, [Online]. Available: https://eejournal.ktu.lt/index.php/elt/article/view/9354.</w:t>
      </w:r>
    </w:p>
    <w:p w14:paraId="362E9C43" w14:textId="5F833F4C" w:rsidR="00BB0BA7" w:rsidRPr="00BB0BA7" w:rsidRDefault="00BB0BA7" w:rsidP="00BB0BA7">
      <w:pPr>
        <w:pStyle w:val="references"/>
      </w:pPr>
      <w:r w:rsidRPr="00BB0BA7">
        <w:t xml:space="preserve">Y. Slavova and M. Mu, “A Comparative Study of the Learning Outcomes and Experience of VR in Education,” in </w:t>
      </w:r>
      <w:r w:rsidRPr="00BB0BA7">
        <w:rPr>
          <w:i/>
          <w:iCs/>
        </w:rPr>
        <w:t>2018 IEEE Conference on Virtual Reality and 3D User Interfaces (VR)</w:t>
      </w:r>
      <w:r w:rsidRPr="00BB0BA7">
        <w:t>, 2018, pp. 685–686, doi: 10.1109/VR.2018.8446486.</w:t>
      </w:r>
    </w:p>
    <w:p w14:paraId="352D7ECC" w14:textId="491FD25D" w:rsidR="00BB0BA7" w:rsidRPr="00BB0BA7" w:rsidRDefault="00BB0BA7" w:rsidP="00BB0BA7">
      <w:pPr>
        <w:pStyle w:val="references"/>
      </w:pPr>
      <w:r w:rsidRPr="00BB0BA7">
        <w:t xml:space="preserve">J. Abdullah, W. N. Mohd-Isa, and M. A. Samsudin, “Virtual reality to improve group work skill and self-directed learning in problem-based learning narratives,” </w:t>
      </w:r>
      <w:r w:rsidRPr="00BB0BA7">
        <w:rPr>
          <w:i/>
          <w:iCs/>
        </w:rPr>
        <w:t>Virtual Real.</w:t>
      </w:r>
      <w:r w:rsidRPr="00BB0BA7">
        <w:t>, no. 0123456789, 2019, doi: 10.1007/s10055-019-00381-1.</w:t>
      </w:r>
    </w:p>
    <w:p w14:paraId="2D662463" w14:textId="581436E3" w:rsidR="00BB0BA7" w:rsidRPr="00BB0BA7" w:rsidRDefault="00BB0BA7" w:rsidP="00BB0BA7">
      <w:pPr>
        <w:pStyle w:val="references"/>
      </w:pPr>
      <w:r w:rsidRPr="00BB0BA7">
        <w:t xml:space="preserve">G. Thorsteinsson and L. V Shavinina, “Developing an understanding of the pedagogy of using a virtual reality learning environment (VRLE) to support innovation education,” </w:t>
      </w:r>
      <w:r w:rsidRPr="00BB0BA7">
        <w:rPr>
          <w:i/>
          <w:iCs/>
        </w:rPr>
        <w:t>Routledge Int. Handb. Innov. Educ. Ed. by LV Shavinina. Oxford Routledge. ISBN-10</w:t>
      </w:r>
      <w:r w:rsidRPr="00BB0BA7">
        <w:t>, vol. 415682215, pp. 456–470, 2013.</w:t>
      </w:r>
    </w:p>
    <w:p w14:paraId="428EC05B" w14:textId="24FC48EC" w:rsidR="00BB0BA7" w:rsidRPr="00BB0BA7" w:rsidRDefault="00BB0BA7" w:rsidP="00BB0BA7">
      <w:pPr>
        <w:pStyle w:val="references"/>
      </w:pPr>
      <w:r w:rsidRPr="00BB0BA7">
        <w:t>J. Corneli and C. J. Danoff, “Paragogy: Synergizing individual and organizational learning,” 2011.</w:t>
      </w:r>
    </w:p>
    <w:p w14:paraId="79764D74" w14:textId="1D9BA4C1" w:rsidR="00BB0BA7" w:rsidRPr="00BB0BA7" w:rsidRDefault="00BB0BA7" w:rsidP="00BB0BA7">
      <w:pPr>
        <w:pStyle w:val="references"/>
      </w:pPr>
      <w:r w:rsidRPr="00BB0BA7">
        <w:t xml:space="preserve">S. Hase and C. Kenyon, “Heutagogy: A Child of Complexity Theory,” </w:t>
      </w:r>
      <w:r w:rsidRPr="00BB0BA7">
        <w:rPr>
          <w:i/>
          <w:iCs/>
        </w:rPr>
        <w:t>Complicity An Int. J. Complex. Educ.</w:t>
      </w:r>
      <w:r w:rsidRPr="00BB0BA7">
        <w:t>, vol. 4, no. 1, Jul. 2007, doi: 10.29173/cmplct8766.</w:t>
      </w:r>
    </w:p>
    <w:p w14:paraId="4A8658A5" w14:textId="33C2EA51" w:rsidR="00BB0BA7" w:rsidRPr="00BB0BA7" w:rsidRDefault="00BB0BA7" w:rsidP="00BB0BA7">
      <w:pPr>
        <w:pStyle w:val="references"/>
      </w:pPr>
      <w:r w:rsidRPr="00BB0BA7">
        <w:t xml:space="preserve">D. Weaver, C. Spratt, and C. S. Nair, “Academic and student use of a learning management system: Implications for quality,” </w:t>
      </w:r>
      <w:r w:rsidRPr="00BB0BA7">
        <w:rPr>
          <w:i/>
          <w:iCs/>
        </w:rPr>
        <w:t>Australas. J. Educ. Technol.</w:t>
      </w:r>
      <w:r w:rsidRPr="00BB0BA7">
        <w:t>, vol. 24, no. 1, Jan. 2008, doi: 10.14742/ajet.1228.</w:t>
      </w:r>
    </w:p>
    <w:p w14:paraId="1F039560" w14:textId="49A1395A" w:rsidR="00BB0BA7" w:rsidRPr="00BB0BA7" w:rsidRDefault="00BB0BA7" w:rsidP="00BB0BA7">
      <w:pPr>
        <w:pStyle w:val="references"/>
      </w:pPr>
      <w:r w:rsidRPr="00BB0BA7">
        <w:t xml:space="preserve">J. D. Wilson, N. Hoskin, and J. T. Nosek, “The benefits of collaboration for student programmers,” </w:t>
      </w:r>
      <w:r w:rsidRPr="00BB0BA7">
        <w:rPr>
          <w:i/>
          <w:iCs/>
        </w:rPr>
        <w:t>ACM SIGCSE Bull.</w:t>
      </w:r>
      <w:r w:rsidRPr="00BB0BA7">
        <w:t>, vol. 25, no. 1, pp. 160–164, 1993.</w:t>
      </w:r>
    </w:p>
    <w:p w14:paraId="678638C6" w14:textId="1DA3E881" w:rsidR="00BB0BA7" w:rsidRPr="00BB0BA7" w:rsidRDefault="00BB0BA7" w:rsidP="00BB0BA7">
      <w:pPr>
        <w:pStyle w:val="references"/>
      </w:pPr>
      <w:r w:rsidRPr="00BB0BA7">
        <w:t xml:space="preserve">J. L. Plass </w:t>
      </w:r>
      <w:r w:rsidRPr="00BB0BA7">
        <w:rPr>
          <w:i/>
          <w:iCs/>
        </w:rPr>
        <w:t>et al.</w:t>
      </w:r>
      <w:r w:rsidRPr="00BB0BA7">
        <w:t xml:space="preserve">, “The impact of individual, competitive, and collaborative mathematics game play on learning, performance, and motivation,” </w:t>
      </w:r>
      <w:r w:rsidRPr="00BB0BA7">
        <w:rPr>
          <w:i/>
          <w:iCs/>
        </w:rPr>
        <w:t>J. Educ. Psychol.</w:t>
      </w:r>
      <w:r w:rsidRPr="00BB0BA7">
        <w:t>, vol. 105, no. 4, pp. 1050–1066, 2013, doi: 10.1037/a0032688.</w:t>
      </w:r>
    </w:p>
    <w:p w14:paraId="233CE6E9" w14:textId="1BF99A71" w:rsidR="00BB0BA7" w:rsidRPr="00BB0BA7" w:rsidRDefault="00BB0BA7" w:rsidP="00BB0BA7">
      <w:pPr>
        <w:pStyle w:val="references"/>
      </w:pPr>
      <w:r w:rsidRPr="00BB0BA7">
        <w:t xml:space="preserve">J. Elizondo-Garcia and K. Gallardo, “Peer Feedback in Learner‑Learner Interaction Practices. Mixed Methods Study on an xMOOC,” </w:t>
      </w:r>
      <w:r w:rsidRPr="00BB0BA7">
        <w:rPr>
          <w:i/>
          <w:iCs/>
        </w:rPr>
        <w:t>Electron. J. e-Learning</w:t>
      </w:r>
      <w:r w:rsidRPr="00BB0BA7">
        <w:t>, vol. 18, no. 2, Feb. 2020, doi: 10.34190/EJEL.20.18.2.002.</w:t>
      </w:r>
    </w:p>
    <w:p w14:paraId="72735075" w14:textId="55E9F661" w:rsidR="00BB0BA7" w:rsidRPr="00BB0BA7" w:rsidRDefault="00BB0BA7" w:rsidP="00BB0BA7">
      <w:pPr>
        <w:pStyle w:val="references"/>
      </w:pPr>
      <w:r w:rsidRPr="00BB0BA7">
        <w:t xml:space="preserve">S. E. M. Meek, L. Blakemore, and L. Marks, “Is peer review an appropriate form of assessment in a MOOC? Student participation and performance in formative peer review,” </w:t>
      </w:r>
      <w:r w:rsidRPr="00BB0BA7">
        <w:rPr>
          <w:i/>
          <w:iCs/>
        </w:rPr>
        <w:t>Assess. Eval. High. Educ.</w:t>
      </w:r>
      <w:r w:rsidRPr="00BB0BA7">
        <w:t>, vol. 42, no. 6, pp. 1000–1013, Aug. 2017, doi: 10.1080/02602938.2016.1221052.</w:t>
      </w:r>
    </w:p>
    <w:p w14:paraId="4CE29436" w14:textId="6C19E65E" w:rsidR="00BB0BA7" w:rsidRPr="00BB0BA7" w:rsidRDefault="00BB0BA7" w:rsidP="00BB0BA7">
      <w:pPr>
        <w:pStyle w:val="references"/>
      </w:pPr>
      <w:r w:rsidRPr="00BB0BA7">
        <w:t xml:space="preserve">D. Herlo and A. Vlaicu, “Paragogy. A New Theory in Educational Sciences.,” </w:t>
      </w:r>
      <w:r w:rsidRPr="00BB0BA7">
        <w:rPr>
          <w:i/>
          <w:iCs/>
        </w:rPr>
        <w:t>J. Plus Educ.</w:t>
      </w:r>
      <w:r w:rsidRPr="00BB0BA7">
        <w:t>, vol. X, no. 1, pp. 35–41, 2014.</w:t>
      </w:r>
    </w:p>
    <w:p w14:paraId="2B5CB143" w14:textId="7DAA095D" w:rsidR="00BB0BA7" w:rsidRPr="00BB0BA7" w:rsidRDefault="00BB0BA7" w:rsidP="00BB0BA7">
      <w:pPr>
        <w:pStyle w:val="references"/>
      </w:pPr>
      <w:r w:rsidRPr="00BB0BA7">
        <w:t>J. Laister, S. Kober, and T. Joanneum, “Social Aspects of Collaborative Learning in Virtual Learning Environments,” 2002.</w:t>
      </w:r>
    </w:p>
    <w:p w14:paraId="1E09226C" w14:textId="29DF02A5" w:rsidR="00BB0BA7" w:rsidRPr="00BB0BA7" w:rsidRDefault="00BB0BA7" w:rsidP="00BB0BA7">
      <w:pPr>
        <w:pStyle w:val="references"/>
      </w:pPr>
      <w:r w:rsidRPr="00BB0BA7">
        <w:t xml:space="preserve">J. Sinclair and A. M. Aho, “Experts on super innovators: understanding staff adoption of learning management systems,” </w:t>
      </w:r>
      <w:r w:rsidRPr="00BB0BA7">
        <w:rPr>
          <w:i/>
          <w:iCs/>
        </w:rPr>
        <w:t>Higher Education Research and Development</w:t>
      </w:r>
      <w:r w:rsidRPr="00BB0BA7">
        <w:t>, vol. 37, no. 1. pp. 158–172, 2018, doi: 10.1080/07294360.2017.1342609.</w:t>
      </w:r>
    </w:p>
    <w:p w14:paraId="5F7A3CDC" w14:textId="48069BF0" w:rsidR="00BB0BA7" w:rsidRPr="00BB0BA7" w:rsidRDefault="00BB0BA7" w:rsidP="00BB0BA7">
      <w:pPr>
        <w:pStyle w:val="references"/>
      </w:pPr>
      <w:r w:rsidRPr="00BB0BA7">
        <w:t xml:space="preserve">M. Forehand, “Bloom ’ s Taxonomy : Original and revised,” </w:t>
      </w:r>
      <w:r w:rsidRPr="00BB0BA7">
        <w:rPr>
          <w:i/>
          <w:iCs/>
        </w:rPr>
        <w:t>Emerg. Perspect. Learn. teaching, Technol.</w:t>
      </w:r>
      <w:r w:rsidRPr="00BB0BA7">
        <w:t>, p. 12, 2010, doi: 1475074379.</w:t>
      </w:r>
    </w:p>
    <w:p w14:paraId="6F7DA387" w14:textId="4F6F559D" w:rsidR="00BB0BA7" w:rsidRPr="00BB0BA7" w:rsidRDefault="00BB0BA7" w:rsidP="00BB0BA7">
      <w:pPr>
        <w:pStyle w:val="references"/>
      </w:pPr>
      <w:r w:rsidRPr="00BB0BA7">
        <w:t xml:space="preserve">M. T. H. Chi and R. Wylie, “The ICAP Framework: Linking Cognitive Engagement to Active Learning Outcomes,” </w:t>
      </w:r>
      <w:r w:rsidRPr="00BB0BA7">
        <w:rPr>
          <w:i/>
          <w:iCs/>
        </w:rPr>
        <w:t>Educ. Psychol.</w:t>
      </w:r>
      <w:r w:rsidRPr="00BB0BA7">
        <w:t>, vol. 49, no. 4, pp. 219–243, Oct. 2014, doi: 10.1080/00461520.2014.965823.</w:t>
      </w:r>
    </w:p>
    <w:p w14:paraId="41F7698E" w14:textId="464ABDEA" w:rsidR="00BB0BA7" w:rsidRPr="00BB0BA7" w:rsidRDefault="00BB0BA7" w:rsidP="00BB0BA7">
      <w:pPr>
        <w:pStyle w:val="references"/>
      </w:pPr>
      <w:r w:rsidRPr="00BB0BA7">
        <w:t xml:space="preserve">J. Harman, “Creating a memory palace using a computer,” in </w:t>
      </w:r>
      <w:r w:rsidRPr="00BB0BA7">
        <w:rPr>
          <w:i/>
          <w:iCs/>
        </w:rPr>
        <w:t>CHI ’01 extended abstracts on Human factors in computing systems - CHI ’01</w:t>
      </w:r>
      <w:r w:rsidRPr="00BB0BA7">
        <w:t>, 2001, p. 407, doi: 10.1145/634067.634306.</w:t>
      </w:r>
    </w:p>
    <w:p w14:paraId="4B993BA3" w14:textId="70900D64" w:rsidR="00BB0BA7" w:rsidRPr="00BB0BA7" w:rsidRDefault="00BB0BA7" w:rsidP="00BB0BA7">
      <w:pPr>
        <w:pStyle w:val="references"/>
      </w:pPr>
      <w:r w:rsidRPr="00BB0BA7">
        <w:t>J.-P. Huttner and S. Robra-Bissantz, “An Immersive Memory Palace: Supporg the Method of Loci with Virtual Reality,” 2017.</w:t>
      </w:r>
    </w:p>
    <w:p w14:paraId="5091A7E4" w14:textId="6F946771" w:rsidR="00BB0BA7" w:rsidRPr="00BB0BA7" w:rsidRDefault="00BB0BA7" w:rsidP="00BB0BA7">
      <w:pPr>
        <w:pStyle w:val="references"/>
      </w:pPr>
      <w:r w:rsidRPr="00BB0BA7">
        <w:t xml:space="preserve">E. Krokos, C. Plaisant, and A. Varshney, “Virtual memory palaces: immersion aids recall,” </w:t>
      </w:r>
      <w:r w:rsidRPr="00BB0BA7">
        <w:rPr>
          <w:i/>
          <w:iCs/>
        </w:rPr>
        <w:t>Virtual Real.</w:t>
      </w:r>
      <w:r w:rsidRPr="00BB0BA7">
        <w:t>, vol. 23, no. 1, pp. 1–15, Mar. 2019, doi: 10.1007/s10055-018-0346-3.</w:t>
      </w:r>
    </w:p>
    <w:p w14:paraId="7EE2C132" w14:textId="068C41D2" w:rsidR="00BB0BA7" w:rsidRPr="00BB0BA7" w:rsidRDefault="00BB0BA7" w:rsidP="00BB0BA7">
      <w:pPr>
        <w:pStyle w:val="references"/>
      </w:pPr>
      <w:r w:rsidRPr="00BB0BA7">
        <w:t xml:space="preserve">N. Reggente, J. K. Y. Essoe, H. Y. Baek, and J. Rissman, “The Method of Loci in Virtual Reality: Explicit Binding of Objects to Spatial Contexts Enhances Subsequent Memory Recall,” </w:t>
      </w:r>
      <w:r w:rsidRPr="00BB0BA7">
        <w:rPr>
          <w:i/>
          <w:iCs/>
        </w:rPr>
        <w:t>J. Cogn. Enhanc.</w:t>
      </w:r>
      <w:r w:rsidRPr="00BB0BA7">
        <w:t>, vol. 4, no. 1, pp. 12–30, Mar. 2020, doi: 10.1007/s41465-019-00141-8.</w:t>
      </w:r>
    </w:p>
    <w:p w14:paraId="5C1AA687" w14:textId="295A9DCC" w:rsidR="00BB0BA7" w:rsidRPr="00BB0BA7" w:rsidRDefault="00BB0BA7" w:rsidP="00BB0BA7">
      <w:pPr>
        <w:pStyle w:val="references"/>
      </w:pPr>
      <w:r w:rsidRPr="00BB0BA7">
        <w:t xml:space="preserve">A. Peeters and M. Segundo-Ortin, “Misplacing memories? An enactive approach to the virtual memory palace,” </w:t>
      </w:r>
      <w:r w:rsidRPr="00BB0BA7">
        <w:rPr>
          <w:i/>
          <w:iCs/>
        </w:rPr>
        <w:t>Conscious. Cogn.</w:t>
      </w:r>
      <w:r w:rsidRPr="00BB0BA7">
        <w:t>, vol. 76, p. 102834, Nov. 2019, doi: 10.1016/j.concog.2019.102834.</w:t>
      </w:r>
    </w:p>
    <w:p w14:paraId="0573838E" w14:textId="3986E158" w:rsidR="00BB0BA7" w:rsidRPr="00BB0BA7" w:rsidRDefault="00BB0BA7" w:rsidP="00BB0BA7">
      <w:pPr>
        <w:pStyle w:val="references"/>
      </w:pPr>
      <w:r w:rsidRPr="00BB0BA7">
        <w:t xml:space="preserve">C. R. Madan and A. Singhal, “Motor imagery and higher-level cognition: four hurdles before research can sprint forward,” </w:t>
      </w:r>
      <w:r w:rsidRPr="00BB0BA7">
        <w:rPr>
          <w:i/>
          <w:iCs/>
        </w:rPr>
        <w:t>Cogn. Process.</w:t>
      </w:r>
      <w:r w:rsidRPr="00BB0BA7">
        <w:t>, vol. 13, no. 3, pp. 211–229, Aug. 2012, doi: 10.1007/s10339-012-0438-z.</w:t>
      </w:r>
    </w:p>
    <w:p w14:paraId="3B8A9163" w14:textId="1D70D3BA" w:rsidR="00BB0BA7" w:rsidRPr="00BB0BA7" w:rsidRDefault="00BB0BA7" w:rsidP="00BB0BA7">
      <w:pPr>
        <w:pStyle w:val="references"/>
      </w:pPr>
      <w:r w:rsidRPr="00BB0BA7">
        <w:lastRenderedPageBreak/>
        <w:t xml:space="preserve">F. A. Yates, </w:t>
      </w:r>
      <w:r w:rsidRPr="00BB0BA7">
        <w:rPr>
          <w:i/>
          <w:iCs/>
        </w:rPr>
        <w:t>The Art of memory</w:t>
      </w:r>
      <w:r w:rsidRPr="00BB0BA7">
        <w:t>. London: Routledge and Kegan Paul, 1966.</w:t>
      </w:r>
    </w:p>
    <w:p w14:paraId="4DF862A6" w14:textId="3A5669D5" w:rsidR="00BB0BA7" w:rsidRPr="00BB0BA7" w:rsidRDefault="00BB0BA7" w:rsidP="00BB0BA7">
      <w:pPr>
        <w:pStyle w:val="references"/>
      </w:pPr>
      <w:r w:rsidRPr="00BB0BA7">
        <w:t xml:space="preserve">E. L. G. Legge, C. R. Madan, E. T. Ng, and J. B. Caplan, “Building a memory palace in minutes: Equivalent memory performance using virtual versus conventional environments with the Method of Loci,” </w:t>
      </w:r>
      <w:r w:rsidRPr="00BB0BA7">
        <w:rPr>
          <w:i/>
          <w:iCs/>
        </w:rPr>
        <w:t>Acta Psychol. (Amst).</w:t>
      </w:r>
      <w:r w:rsidRPr="00BB0BA7">
        <w:t>, vol. 141, no. 3, pp. 380–390, Nov. 2012, doi: 10.1016/j.actpsy.2012.09.002.</w:t>
      </w:r>
    </w:p>
    <w:p w14:paraId="4CED526B" w14:textId="6A3C11E9" w:rsidR="00BB0BA7" w:rsidRPr="00BB0BA7" w:rsidRDefault="00BB0BA7" w:rsidP="00BB0BA7">
      <w:pPr>
        <w:pStyle w:val="references"/>
      </w:pPr>
      <w:r w:rsidRPr="00BB0BA7">
        <w:t xml:space="preserve">D. P. Ausubel and M. Youssef, “The Effect of Spaced Repetition on Meaningful Retention,” </w:t>
      </w:r>
      <w:r w:rsidRPr="00BB0BA7">
        <w:rPr>
          <w:i/>
          <w:iCs/>
        </w:rPr>
        <w:t>J. Gen. Psychol.</w:t>
      </w:r>
      <w:r w:rsidRPr="00BB0BA7">
        <w:t>, vol. 73, no. 1, pp. 147–150, Oct. 1965, doi: 10.1080/00221309.1965.9711263.</w:t>
      </w:r>
    </w:p>
    <w:p w14:paraId="477FC416" w14:textId="5F192115" w:rsidR="00BB0BA7" w:rsidRPr="00BB0BA7" w:rsidRDefault="00BB0BA7" w:rsidP="00BB0BA7">
      <w:pPr>
        <w:pStyle w:val="references"/>
      </w:pPr>
      <w:r w:rsidRPr="00BB0BA7">
        <w:t xml:space="preserve">P. Smolen, Y. Zhang, and J. H. Byrne, “The right time to learn: mechanisms and optimization of spaced learning,” </w:t>
      </w:r>
      <w:r w:rsidRPr="00BB0BA7">
        <w:rPr>
          <w:i/>
          <w:iCs/>
        </w:rPr>
        <w:t>Nat. Rev. Neurosci.</w:t>
      </w:r>
      <w:r w:rsidRPr="00BB0BA7">
        <w:t>, vol. 17, no. 2, pp. 77–88, Feb. 2016, doi: 10.1038/nrn.2015.18.</w:t>
      </w:r>
    </w:p>
    <w:p w14:paraId="0B926B71" w14:textId="2C9754AF" w:rsidR="00BB0BA7" w:rsidRPr="00BB0BA7" w:rsidRDefault="00BB0BA7" w:rsidP="00BB0BA7">
      <w:pPr>
        <w:pStyle w:val="references"/>
      </w:pPr>
      <w:r w:rsidRPr="00BB0BA7">
        <w:t xml:space="preserve">S. H. K. Kang, “Spaced Repetition Promotes Efficient and Effective Learning,” </w:t>
      </w:r>
      <w:r w:rsidRPr="00BB0BA7">
        <w:rPr>
          <w:i/>
          <w:iCs/>
        </w:rPr>
        <w:t>Policy Insights from Behav. Brain Sci.</w:t>
      </w:r>
      <w:r w:rsidRPr="00BB0BA7">
        <w:t>, vol. 3, no. 1, pp. 12–19, Mar. 2016, doi: 10.1177/2372732215624708.</w:t>
      </w:r>
    </w:p>
    <w:p w14:paraId="0B3093AA" w14:textId="30D3C21B" w:rsidR="00BB0BA7" w:rsidRPr="00BB0BA7" w:rsidRDefault="00BB0BA7" w:rsidP="00BB0BA7">
      <w:pPr>
        <w:pStyle w:val="references"/>
      </w:pPr>
      <w:r w:rsidRPr="00BB0BA7">
        <w:t xml:space="preserve">D. Edge, S. Fitchett, M. Whitney, and J. Landay, “MemReflex: adaptive flashcards for mobile microlearning,” </w:t>
      </w:r>
      <w:r w:rsidRPr="00BB0BA7">
        <w:rPr>
          <w:i/>
          <w:iCs/>
        </w:rPr>
        <w:t>Proceedings of the 14th international conference on Human-computer interaction with mobile devices and services</w:t>
      </w:r>
      <w:r w:rsidRPr="00BB0BA7">
        <w:t>. Association for Computing Machinery, San Francisco, California, USA, pp. 431–440, 2012, doi: 10.1145/2371574.2371641.</w:t>
      </w:r>
    </w:p>
    <w:p w14:paraId="619D8A6B" w14:textId="01D3170B" w:rsidR="00BB0BA7" w:rsidRPr="00BB0BA7" w:rsidRDefault="00BB0BA7" w:rsidP="00BB0BA7">
      <w:pPr>
        <w:pStyle w:val="references"/>
      </w:pPr>
      <w:r w:rsidRPr="00BB0BA7">
        <w:t xml:space="preserve">B. Tabibian, U. Upadhyay, A. De, A. Zarezade, B. Schölkopf, and M. Gomez-Rodriguez, “Enhancing human learning via spaced repetition optimization,” </w:t>
      </w:r>
      <w:r w:rsidRPr="00BB0BA7">
        <w:rPr>
          <w:i/>
          <w:iCs/>
        </w:rPr>
        <w:t>Proc. Natl. Acad. Sci.</w:t>
      </w:r>
      <w:r w:rsidRPr="00BB0BA7">
        <w:t>, vol. 116, no. 10, pp. 3988–3993, Mar. 2019, doi: 10.1073/pnas.1815156116.</w:t>
      </w:r>
    </w:p>
    <w:p w14:paraId="73D40468" w14:textId="1996686A" w:rsidR="00BB0BA7" w:rsidRPr="00BB0BA7" w:rsidRDefault="00BB0BA7" w:rsidP="00BB0BA7">
      <w:pPr>
        <w:pStyle w:val="references"/>
      </w:pPr>
      <w:r w:rsidRPr="00BB0BA7">
        <w:t xml:space="preserve">A. R. Congleton and S. Rajaram, “The influence of learning methods on collaboration: Prior repeated retrieval enhances retrieval organization, abolishes collaborative inhibition, and promotes post-collaborative memory.,” </w:t>
      </w:r>
      <w:r w:rsidRPr="00BB0BA7">
        <w:rPr>
          <w:i/>
          <w:iCs/>
        </w:rPr>
        <w:t>J. Exp. Psychol. Gen.</w:t>
      </w:r>
      <w:r w:rsidRPr="00BB0BA7">
        <w:t>, vol. 140, no. 4, pp. 535–551, 2011, doi: 10.1037/a0024308.</w:t>
      </w:r>
    </w:p>
    <w:p w14:paraId="27BA0C4F" w14:textId="16DD4292" w:rsidR="00BB0BA7" w:rsidRPr="00BB0BA7" w:rsidRDefault="00BB0BA7" w:rsidP="00BB0BA7">
      <w:pPr>
        <w:pStyle w:val="references"/>
      </w:pPr>
      <w:r w:rsidRPr="00BB0BA7">
        <w:t xml:space="preserve">S. Leitner, </w:t>
      </w:r>
      <w:r w:rsidRPr="00BB0BA7">
        <w:rPr>
          <w:i/>
          <w:iCs/>
        </w:rPr>
        <w:t>So lernt man lernen: Der Weg zum Erfolg</w:t>
      </w:r>
      <w:r w:rsidRPr="00BB0BA7">
        <w:t>. Nikol, 2011.</w:t>
      </w:r>
    </w:p>
    <w:p w14:paraId="2776F65C" w14:textId="08D7B9BC" w:rsidR="00BB0BA7" w:rsidRPr="00BB0BA7" w:rsidRDefault="00BB0BA7" w:rsidP="00BB0BA7">
      <w:pPr>
        <w:pStyle w:val="references"/>
      </w:pPr>
      <w:r w:rsidRPr="00BB0BA7">
        <w:t xml:space="preserve">D. R. Serrano, M. A. Dea-Ayuela, E. Gonzalez-Burgos, A. Serrano-Gil, and A. Lalatsa, “Technology-enhanced learning in higher education: How to enhance student engagement through blended learning,” </w:t>
      </w:r>
      <w:r w:rsidRPr="00BB0BA7">
        <w:rPr>
          <w:i/>
          <w:iCs/>
        </w:rPr>
        <w:t>Eur. J. Educ.</w:t>
      </w:r>
      <w:r w:rsidRPr="00BB0BA7">
        <w:t>, vol. 54, no. 2, pp. 273–286, 2019, doi: 10.1111/ejed.12330.</w:t>
      </w:r>
    </w:p>
    <w:p w14:paraId="19D60216" w14:textId="4947F2E7" w:rsidR="00BB0BA7" w:rsidRPr="00BB0BA7" w:rsidRDefault="00BB0BA7" w:rsidP="00BB0BA7">
      <w:pPr>
        <w:pStyle w:val="references"/>
      </w:pPr>
      <w:r w:rsidRPr="00BB0BA7">
        <w:t xml:space="preserve">C. I. Muntean, “Raising engagement in e-learning through gamification,” in </w:t>
      </w:r>
      <w:r w:rsidRPr="00BB0BA7">
        <w:rPr>
          <w:i/>
          <w:iCs/>
        </w:rPr>
        <w:t>Proc. 6th international conference on virtual learning ICVL</w:t>
      </w:r>
      <w:r w:rsidRPr="00BB0BA7">
        <w:t>, 2011, vol. 1, pp. 323–329.</w:t>
      </w:r>
    </w:p>
    <w:p w14:paraId="421AD797" w14:textId="404DC322" w:rsidR="00BB0BA7" w:rsidRPr="00BB0BA7" w:rsidRDefault="00BB0BA7" w:rsidP="00BB0BA7">
      <w:pPr>
        <w:pStyle w:val="references"/>
      </w:pPr>
      <w:r w:rsidRPr="00BB0BA7">
        <w:t xml:space="preserve">E. A. O’Connor and J. Domingo, “A Practical Guide, With Theoretical Underpinnings, for Creating Effective Virtual Reality Learning Environments,” </w:t>
      </w:r>
      <w:r w:rsidRPr="00BB0BA7">
        <w:rPr>
          <w:i/>
          <w:iCs/>
        </w:rPr>
        <w:t>J. Educ. Technol. Syst.</w:t>
      </w:r>
      <w:r w:rsidRPr="00BB0BA7">
        <w:t>, vol. 45, no. 3, pp. 343–364, 2017, doi: 10.1177/0047239516673361.</w:t>
      </w:r>
    </w:p>
    <w:p w14:paraId="1ACD8E47" w14:textId="6B97B1CC" w:rsidR="00BB0BA7" w:rsidRPr="00BB0BA7" w:rsidRDefault="00BB0BA7" w:rsidP="00BB0BA7">
      <w:pPr>
        <w:pStyle w:val="references"/>
      </w:pPr>
      <w:r w:rsidRPr="00BB0BA7">
        <w:t xml:space="preserve">Y. Georgiou and E. A. Kyza, “Relations between student motivation, immersion and learning outcomes in location-based augmented reality settings,” </w:t>
      </w:r>
      <w:r w:rsidRPr="00BB0BA7">
        <w:rPr>
          <w:i/>
          <w:iCs/>
        </w:rPr>
        <w:t>Comput. Human Behav.</w:t>
      </w:r>
      <w:r w:rsidRPr="00BB0BA7">
        <w:t>, vol. 89, pp. 173–181, Dec. 2018, doi: 10.1016/j.chb.2018.08.011.</w:t>
      </w:r>
    </w:p>
    <w:p w14:paraId="5AD80C23" w14:textId="7538164E" w:rsidR="00BB0BA7" w:rsidRPr="00BB0BA7" w:rsidRDefault="00BB0BA7" w:rsidP="00BB0BA7">
      <w:pPr>
        <w:pStyle w:val="references"/>
      </w:pPr>
      <w:r w:rsidRPr="00BB0BA7">
        <w:t xml:space="preserve">H.-M. Huang, U. Rauch, and S.-S. Liaw, “Investigating learners’ attitudes toward virtual reality learning environments: Based on a constructivist approach,” </w:t>
      </w:r>
      <w:r w:rsidRPr="00BB0BA7">
        <w:rPr>
          <w:i/>
          <w:iCs/>
        </w:rPr>
        <w:t>Comput. Educ.</w:t>
      </w:r>
      <w:r w:rsidRPr="00BB0BA7">
        <w:t>, vol. 55, no. 3, pp. 1171–1182, Nov. 2010, doi: 10.1016/j.compedu.2010.05.014.</w:t>
      </w:r>
    </w:p>
    <w:p w14:paraId="2D568C75" w14:textId="06307AB1" w:rsidR="00BB0BA7" w:rsidRPr="00BB0BA7" w:rsidRDefault="00BB0BA7" w:rsidP="00BB0BA7">
      <w:pPr>
        <w:pStyle w:val="references"/>
      </w:pPr>
      <w:r w:rsidRPr="00BB0BA7">
        <w:t xml:space="preserve">A. A. Rizzo </w:t>
      </w:r>
      <w:r w:rsidRPr="00BB0BA7">
        <w:rPr>
          <w:i/>
          <w:iCs/>
        </w:rPr>
        <w:t>et al.</w:t>
      </w:r>
      <w:r w:rsidRPr="00BB0BA7">
        <w:t xml:space="preserve">, “The Virtual Classroom: A Virtual Reality Environment for the Assessment and Rehabilitation of Attention Deficits,” </w:t>
      </w:r>
      <w:r w:rsidRPr="00BB0BA7">
        <w:rPr>
          <w:i/>
          <w:iCs/>
        </w:rPr>
        <w:t>CyberPsychology Behav.</w:t>
      </w:r>
      <w:r w:rsidRPr="00BB0BA7">
        <w:t>, vol. 3, no. 3, pp. 483–499, 2002, doi: 10.1089/10949310050078940.</w:t>
      </w:r>
    </w:p>
    <w:p w14:paraId="6C573400" w14:textId="1373BE41" w:rsidR="00BB0BA7" w:rsidRPr="00BB0BA7" w:rsidRDefault="00BB0BA7" w:rsidP="00BB0BA7">
      <w:pPr>
        <w:pStyle w:val="references"/>
      </w:pPr>
      <w:r w:rsidRPr="00BB0BA7">
        <w:t xml:space="preserve">M. Bower, “Virtual classroom pedagogy,” in </w:t>
      </w:r>
      <w:r w:rsidRPr="00BB0BA7">
        <w:rPr>
          <w:i/>
          <w:iCs/>
        </w:rPr>
        <w:t>Proceedings of the 37th SIGCSE technical symposium on Computer science education - SIGCSE ’06</w:t>
      </w:r>
      <w:r w:rsidRPr="00BB0BA7">
        <w:t>, 2006, p. 148, doi: 10.1145/1121341.1121390.</w:t>
      </w:r>
    </w:p>
    <w:p w14:paraId="6872D97C" w14:textId="662D2FEA" w:rsidR="00BB0BA7" w:rsidRPr="00BB0BA7" w:rsidRDefault="00BB0BA7" w:rsidP="00BB0BA7">
      <w:pPr>
        <w:pStyle w:val="references"/>
      </w:pPr>
      <w:r w:rsidRPr="00BB0BA7">
        <w:t xml:space="preserve">J. Saunier, M. Barange, B. Blandin, R. Querrec, and J. Taoum, “Designing adaptable virtual reality learning environments,” in </w:t>
      </w:r>
      <w:r w:rsidRPr="00BB0BA7">
        <w:rPr>
          <w:i/>
          <w:iCs/>
        </w:rPr>
        <w:t>Proceedings of the 2016 Virtual Reality International Conference</w:t>
      </w:r>
      <w:r w:rsidRPr="00BB0BA7">
        <w:t>, Mar. 2016, pp. 1–4, doi: 10.1145/2927929.2927937.</w:t>
      </w:r>
    </w:p>
    <w:p w14:paraId="190E630F" w14:textId="26BBAC70" w:rsidR="00BB0BA7" w:rsidRPr="00BB0BA7" w:rsidRDefault="00BB0BA7" w:rsidP="00BB0BA7">
      <w:pPr>
        <w:pStyle w:val="references"/>
      </w:pPr>
      <w:r w:rsidRPr="00BB0BA7">
        <w:t xml:space="preserve">Y. Yang, B. Jenny, T. Dwyer, K. Marriott, H. Chen, and M. Cordeil, “Maps and Globes in Virtual Reality,” </w:t>
      </w:r>
      <w:r w:rsidRPr="00BB0BA7">
        <w:rPr>
          <w:i/>
          <w:iCs/>
        </w:rPr>
        <w:t>Comput. Graph. Forum</w:t>
      </w:r>
      <w:r w:rsidRPr="00BB0BA7">
        <w:t>, vol. 37, no. 3, pp. 427–438, 2018, doi: 10.1111/cgf.13431.</w:t>
      </w:r>
    </w:p>
    <w:p w14:paraId="57FAF756" w14:textId="4E803E38" w:rsidR="00BB0BA7" w:rsidRPr="00BB0BA7" w:rsidRDefault="00BB0BA7" w:rsidP="00BB0BA7">
      <w:pPr>
        <w:pStyle w:val="references"/>
      </w:pPr>
      <w:r w:rsidRPr="00BB0BA7">
        <w:t xml:space="preserve">R. R. Nandagopal R, “A Study on the Influence of Senses and the Effectiveness of Sensory Branding,” </w:t>
      </w:r>
      <w:r w:rsidRPr="00BB0BA7">
        <w:rPr>
          <w:i/>
          <w:iCs/>
        </w:rPr>
        <w:t>J. Psychiatry</w:t>
      </w:r>
      <w:r w:rsidRPr="00BB0BA7">
        <w:t>, vol. 18, no. 2, 2015, doi: 10.4172/Psychiatry.1000236.</w:t>
      </w:r>
    </w:p>
    <w:p w14:paraId="51EF839F" w14:textId="5C006F84" w:rsidR="00BB0BA7" w:rsidRPr="00BB0BA7" w:rsidRDefault="00BB0BA7" w:rsidP="00BB0BA7">
      <w:pPr>
        <w:pStyle w:val="references"/>
      </w:pPr>
      <w:r w:rsidRPr="00BB0BA7">
        <w:t xml:space="preserve">K. Börner, “iScape: A collaborative memory palace for digital library search results,” </w:t>
      </w:r>
      <w:r w:rsidRPr="00BB0BA7">
        <w:rPr>
          <w:i/>
          <w:iCs/>
        </w:rPr>
        <w:t>Proc. 2001 Int. Conf. Human-Computer Interact.</w:t>
      </w:r>
      <w:r w:rsidRPr="00BB0BA7">
        <w:t>, vol. 1, no. 1998, pp. 1160--1164, 2001, [Online]. Available: https://citeseerx.ist.psu.edu/viewdoc/summary?doi=10.1.1.94.5497.</w:t>
      </w:r>
    </w:p>
    <w:p w14:paraId="6C993B62" w14:textId="7EBD6C3A" w:rsidR="00BB0BA7" w:rsidRPr="00BB0BA7" w:rsidRDefault="00BB0BA7" w:rsidP="00BB0BA7">
      <w:pPr>
        <w:pStyle w:val="references"/>
      </w:pPr>
      <w:r w:rsidRPr="00BB0BA7">
        <w:t xml:space="preserve">N. Fleming, E. Developer, and D. Baume, “Learning Styles Again: VARKing up the right tree!,” </w:t>
      </w:r>
      <w:r w:rsidRPr="00BB0BA7">
        <w:rPr>
          <w:i/>
          <w:iCs/>
        </w:rPr>
        <w:t>Educ Dev</w:t>
      </w:r>
      <w:r w:rsidRPr="00BB0BA7">
        <w:t>, vol. 7, 2006.</w:t>
      </w:r>
    </w:p>
    <w:p w14:paraId="4D880986" w14:textId="1FD2AB5A" w:rsidR="00BB0BA7" w:rsidRPr="00BB0BA7" w:rsidRDefault="00BB0BA7" w:rsidP="00BB0BA7">
      <w:pPr>
        <w:pStyle w:val="references"/>
      </w:pPr>
      <w:r w:rsidRPr="00BB0BA7">
        <w:t>A. Y. Kolb and D. A. Kolb, “The Kolb Learning Style Inventory — Version 3 . 1 2005 Technical Specif cations,” no. January 2005, pp. 1–72, 2005.</w:t>
      </w:r>
    </w:p>
    <w:p w14:paraId="76E23B4F" w14:textId="5BC9D466" w:rsidR="00BB0BA7" w:rsidRPr="00BB0BA7" w:rsidRDefault="00BB0BA7" w:rsidP="00BB0BA7">
      <w:pPr>
        <w:pStyle w:val="references"/>
      </w:pPr>
      <w:r w:rsidRPr="00BB0BA7">
        <w:t xml:space="preserve">P. Milgram and F. Kishino, “A taxonomy of mixed reality visual displays,” </w:t>
      </w:r>
      <w:r w:rsidRPr="00BB0BA7">
        <w:rPr>
          <w:i/>
          <w:iCs/>
        </w:rPr>
        <w:t>IEICE Trans. Inf. Syst.</w:t>
      </w:r>
      <w:r w:rsidRPr="00BB0BA7">
        <w:t>, vol. 77, no. 12, pp. 1321–1329, 1994.</w:t>
      </w:r>
    </w:p>
    <w:p w14:paraId="600A3989" w14:textId="48346B7D" w:rsidR="00BB0BA7" w:rsidRPr="00BB0BA7" w:rsidRDefault="00BB0BA7" w:rsidP="00BB0BA7">
      <w:pPr>
        <w:pStyle w:val="references"/>
      </w:pPr>
      <w:r w:rsidRPr="00BB0BA7">
        <w:t xml:space="preserve">F. Yang, J. Qian, J. Novotny, D. Badre, C. Jackson, and D. Laidlaw, “A Virtual Reality Memory Palace Variant Aids Knowledge Retrieval from Scholarly Articles,” </w:t>
      </w:r>
      <w:r w:rsidRPr="00BB0BA7">
        <w:rPr>
          <w:i/>
          <w:iCs/>
        </w:rPr>
        <w:t>IEEE Trans. Vis. Comput. Graph.</w:t>
      </w:r>
      <w:r w:rsidRPr="00BB0BA7">
        <w:t>, p. 1, 2020, doi: 10.1109/TVCG.2020.3009003.</w:t>
      </w:r>
    </w:p>
    <w:p w14:paraId="034E3615" w14:textId="68F2E260" w:rsidR="00BB0BA7" w:rsidRPr="00BB0BA7" w:rsidRDefault="00BB0BA7" w:rsidP="00BB0BA7">
      <w:pPr>
        <w:pStyle w:val="references"/>
      </w:pPr>
      <w:r w:rsidRPr="00BB0BA7">
        <w:t xml:space="preserve">J. Vindenes, A. O. de Gortari, and B. Wasson, “Mnemosyne: Adapting the Method of Loci to Immersive Virtual Reality,” in </w:t>
      </w:r>
      <w:r w:rsidRPr="00BB0BA7">
        <w:rPr>
          <w:i/>
          <w:iCs/>
        </w:rPr>
        <w:t>Augmented Reality, Virtual Reality, and Computer Graphics</w:t>
      </w:r>
      <w:r w:rsidRPr="00BB0BA7">
        <w:t>, 2018, pp. 205–213.</w:t>
      </w:r>
    </w:p>
    <w:p w14:paraId="6A7D7A06" w14:textId="370EE536" w:rsidR="00BB0BA7" w:rsidRPr="00BB0BA7" w:rsidRDefault="00BB0BA7" w:rsidP="00BB0BA7">
      <w:pPr>
        <w:pStyle w:val="references"/>
      </w:pPr>
      <w:r w:rsidRPr="00BB0BA7">
        <w:t xml:space="preserve">M. Tesar, “Towards a Post-Covid-19 ‘New Normality?’: Physical and Social Distancing, the Move to Online and Higher Education,” </w:t>
      </w:r>
      <w:r w:rsidRPr="00BB0BA7">
        <w:rPr>
          <w:i/>
          <w:iCs/>
        </w:rPr>
        <w:t>Policy Futur. Educ.</w:t>
      </w:r>
      <w:r w:rsidRPr="00BB0BA7">
        <w:t>, vol. 18, no. 5, pp. 556–559, Jun. 2020, doi: 10.1177/1478210320935671.</w:t>
      </w:r>
    </w:p>
    <w:p w14:paraId="6ABF3370" w14:textId="11697344" w:rsidR="00BB0BA7" w:rsidRPr="00BB0BA7" w:rsidRDefault="00BB0BA7" w:rsidP="00BB0BA7">
      <w:pPr>
        <w:pStyle w:val="references"/>
      </w:pPr>
      <w:r w:rsidRPr="00BB0BA7">
        <w:t>K. Lyons, “Everyday Wearable Computer Use: A Case Study of an Expert User,” 2003, pp. 61–75.</w:t>
      </w:r>
    </w:p>
    <w:p w14:paraId="442538D0" w14:textId="313853F0" w:rsidR="00BB0BA7" w:rsidRPr="00BB0BA7" w:rsidRDefault="00BB0BA7" w:rsidP="00BB0BA7">
      <w:pPr>
        <w:pStyle w:val="references"/>
      </w:pPr>
      <w:r w:rsidRPr="00BB0BA7">
        <w:t xml:space="preserve">H. L. O’Brien, P. Cairns, and M. Hall, “A practical approach to measuring user engagement with the refined user engagement scale (UES) and new UES short form,” </w:t>
      </w:r>
      <w:r w:rsidRPr="00BB0BA7">
        <w:rPr>
          <w:i/>
          <w:iCs/>
        </w:rPr>
        <w:t>Int. J. Hum. Comput. Stud.</w:t>
      </w:r>
      <w:r w:rsidRPr="00BB0BA7">
        <w:t>, vol. 112, pp. 28–39, Apr. 2018, doi: 10.1016/j.ijhcs.2018.01.004.</w:t>
      </w:r>
    </w:p>
    <w:p w14:paraId="63015755" w14:textId="2BD0F1ED" w:rsidR="00BB0BA7" w:rsidRPr="00BB0BA7" w:rsidRDefault="00BB0BA7" w:rsidP="00BB0BA7">
      <w:pPr>
        <w:pStyle w:val="references"/>
      </w:pPr>
      <w:r w:rsidRPr="00BB0BA7">
        <w:t xml:space="preserve">R. S. Kennedy, N. E. Lane, K. S. Berbaum, and M. G. Lilienthal, “Simulator Sickness Questionnaire: An Enhanced Method for Quantifying Simulator Sickness,” </w:t>
      </w:r>
      <w:r w:rsidRPr="00BB0BA7">
        <w:rPr>
          <w:i/>
          <w:iCs/>
        </w:rPr>
        <w:t>Int. J. Aviat. Psychol.</w:t>
      </w:r>
      <w:r w:rsidRPr="00BB0BA7">
        <w:t>, vol. 3, no. 3, pp. 203–220, 1993, doi: 10.1207/s15327108ijap0303_3.</w:t>
      </w:r>
    </w:p>
    <w:p w14:paraId="56BDDFBA" w14:textId="5821305D" w:rsidR="009303D9" w:rsidRPr="00023AAD" w:rsidRDefault="00BB0BA7" w:rsidP="001F0EE4">
      <w:pPr>
        <w:pStyle w:val="references"/>
        <w:sectPr w:rsidR="009303D9" w:rsidRPr="00023AAD" w:rsidSect="00C919A4">
          <w:footerReference w:type="first" r:id="rId20"/>
          <w:type w:val="continuous"/>
          <w:pgSz w:w="612pt" w:h="792pt" w:code="1"/>
          <w:pgMar w:top="54pt" w:right="45.35pt" w:bottom="72pt" w:left="45.35pt" w:header="36pt" w:footer="36pt" w:gutter="0pt"/>
          <w:cols w:num="2" w:space="18pt"/>
          <w:docGrid w:linePitch="360"/>
        </w:sectPr>
      </w:pPr>
      <w:r w:rsidRPr="00BB0BA7">
        <w:t xml:space="preserve">J. Lazar, J. H. Feng, and H. Hochheiser, </w:t>
      </w:r>
      <w:r w:rsidRPr="006E24E5">
        <w:rPr>
          <w:i/>
          <w:iCs/>
        </w:rPr>
        <w:t>Research Methods in Human-Computer Interaction</w:t>
      </w:r>
      <w:r w:rsidRPr="00BB0BA7">
        <w:t>. 2017.</w:t>
      </w:r>
      <w:r w:rsidR="00023AAD">
        <w:fldChar w:fldCharType="end"/>
      </w:r>
    </w:p>
    <w:p w14:paraId="4E7828D0" w14:textId="160470AE" w:rsidR="00E71204" w:rsidRDefault="00E71204" w:rsidP="00AB2BE0">
      <w:pPr>
        <w:jc w:val="both"/>
        <w:rPr>
          <w:color w:val="FF0000"/>
        </w:rPr>
      </w:pPr>
    </w:p>
    <w:p w14:paraId="4363763D" w14:textId="59BBD062" w:rsidR="00E71204" w:rsidRDefault="00E71204" w:rsidP="00F96569">
      <w:pPr>
        <w:rPr>
          <w:color w:val="FF0000"/>
        </w:rPr>
      </w:pPr>
    </w:p>
    <w:p w14:paraId="2F83F82C" w14:textId="77777777" w:rsidR="00E71204" w:rsidRPr="00F96569" w:rsidRDefault="00E71204" w:rsidP="00F96569">
      <w:pPr>
        <w:rPr>
          <w:color w:val="FF0000"/>
        </w:rPr>
      </w:pPr>
    </w:p>
    <w:sectPr w:rsidR="00E71204" w:rsidRPr="00F96569">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4483D4EA" w14:textId="77777777" w:rsidR="00AC429A" w:rsidRDefault="00AC429A" w:rsidP="001A3B3D">
      <w:r>
        <w:separator/>
      </w:r>
    </w:p>
  </w:endnote>
  <w:endnote w:type="continuationSeparator" w:id="0">
    <w:p w14:paraId="64CC7BB1" w14:textId="77777777" w:rsidR="00AC429A" w:rsidRDefault="00AC429A" w:rsidP="001A3B3D">
      <w:r>
        <w:continuationSeparator/>
      </w:r>
    </w:p>
  </w:endnote>
  <w:endnote w:type="continuationNotice" w:id="1">
    <w:p w14:paraId="311E2833" w14:textId="77777777" w:rsidR="00AC429A" w:rsidRDefault="00AC429A"/>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Times">
    <w:panose1 w:val="02020603050405020304"/>
    <w:charset w:characterSet="iso-8859-1"/>
    <w:family w:val="roman"/>
    <w:pitch w:val="variable"/>
    <w:sig w:usb0="E0002EFF" w:usb1="C000785B" w:usb2="00000009" w:usb3="00000000" w:csb0="000001FF" w:csb1="00000000"/>
  </w:font>
  <w:font w:name="Helvetica">
    <w:panose1 w:val="020B0604020202020204"/>
    <w:charset w:characterSet="iso-8859-1"/>
    <w:family w:val="swiss"/>
    <w:pitch w:val="variable"/>
    <w:sig w:usb0="E0002EFF" w:usb1="C000785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 w:name="Shruti">
    <w:panose1 w:val="02000500000000000000"/>
    <w:family w:val="roman"/>
    <w:pitch w:val="variable"/>
  </w:font>
  <w:font w:name="Segoe UI">
    <w:panose1 w:val="020B0502040204020203"/>
    <w:charset w:characterSet="iso-8859-1"/>
    <w:family w:val="swiss"/>
    <w:pitch w:val="variable"/>
    <w:sig w:usb0="E4002EFF" w:usb1="C000E47F" w:usb2="00000009" w:usb3="00000000" w:csb0="000001FF" w:csb1="00000000"/>
  </w:font>
  <w:font w:name="Cambria Math">
    <w:panose1 w:val="02040503050406030204"/>
    <w:charset w:characterSet="iso-8859-1"/>
    <w:family w:val="roman"/>
    <w:pitch w:val="variable"/>
    <w:sig w:usb0="E00006FF" w:usb1="420024FF" w:usb2="02000000" w:usb3="00000000" w:csb0="0000019F"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7E9737AB" w14:textId="77777777" w:rsidR="00D23981" w:rsidRDefault="00D23981">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433DC8A" w14:textId="77777777" w:rsidR="00D23981" w:rsidRDefault="00D23981">
    <w:pPr>
      <w:pStyle w:val="Footer"/>
    </w:pP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86706A2" w14:textId="0277F37D" w:rsidR="00D23981" w:rsidRDefault="00D23981">
    <w:pPr>
      <w:pStyle w:val="Footer"/>
    </w:pPr>
    <w:r>
      <w:rPr>
        <w:sz w:val="22"/>
        <w:szCs w:val="22"/>
      </w:rPr>
      <w:t xml:space="preserve">This is the author version of the paper, please see </w:t>
    </w:r>
    <w:hyperlink r:id="rId1" w:history="1">
      <w:r>
        <w:rPr>
          <w:rStyle w:val="Hyperlink"/>
          <w:sz w:val="22"/>
          <w:szCs w:val="22"/>
        </w:rPr>
        <w:t>https://doi.org/10.23919/iLRN55037.2022.9815936</w:t>
      </w:r>
    </w:hyperlink>
    <w:r>
      <w:rPr>
        <w:sz w:val="22"/>
        <w:szCs w:val="22"/>
      </w:rPr>
      <w:t xml:space="preserve"> for the final published version</w:t>
    </w:r>
  </w:p>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30326C3" w14:textId="5B488670" w:rsidR="00512BEA" w:rsidRPr="006F6D3D" w:rsidRDefault="00C96E5E" w:rsidP="0056610F">
    <w:pPr>
      <w:pStyle w:val="Footer"/>
      <w:jc w:val="start"/>
      <w:rPr>
        <w:sz w:val="16"/>
        <w:szCs w:val="16"/>
      </w:rPr>
    </w:pPr>
    <w:r>
      <w:t>978-1-7348995-2-8/22/$31.00 ©2022 Immersive Learning Research Network</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483C4118" w14:textId="77777777" w:rsidR="00AC429A" w:rsidRDefault="00AC429A" w:rsidP="001A3B3D">
      <w:r>
        <w:separator/>
      </w:r>
    </w:p>
  </w:footnote>
  <w:footnote w:type="continuationSeparator" w:id="0">
    <w:p w14:paraId="118D870F" w14:textId="77777777" w:rsidR="00AC429A" w:rsidRDefault="00AC429A" w:rsidP="001A3B3D">
      <w:r>
        <w:continuationSeparator/>
      </w:r>
    </w:p>
  </w:footnote>
  <w:footnote w:type="continuationNotice" w:id="1">
    <w:p w14:paraId="251AC15C" w14:textId="77777777" w:rsidR="00AC429A" w:rsidRDefault="00AC429A"/>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E207E3A" w14:textId="77777777" w:rsidR="00D23981" w:rsidRDefault="00D23981">
    <w:pPr>
      <w:pStyle w:val="Heade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775B571" w14:textId="77777777" w:rsidR="00D23981" w:rsidRDefault="00D23981">
    <w:pPr>
      <w:pStyle w:val="Header"/>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99F53DC" w14:textId="77777777" w:rsidR="00D23981" w:rsidRDefault="00D23981">
    <w:pPr>
      <w:pStyle w:val="Heade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C8B686E6"/>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69009DFE"/>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D790319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F2EC047E"/>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207C919C"/>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947E5122"/>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EE3E7226"/>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DC6C84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8AD2353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6B701C16"/>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0F10E6B"/>
    <w:multiLevelType w:val="multilevel"/>
    <w:tmpl w:val="90B4C954"/>
    <w:lvl w:ilvl="0">
      <w:start w:val="1"/>
      <w:numFmt w:val="decimal"/>
      <w:lvlText w:val="Table %1."/>
      <w:lvlJc w:val="start"/>
      <w:pPr>
        <w:tabs>
          <w:tab w:val="num" w:pos="62.65pt"/>
        </w:tabs>
        <w:ind w:start="44.65pt" w:hanging="18pt"/>
      </w:pPr>
      <w:rPr>
        <w:rFonts w:hint="default"/>
      </w:rPr>
    </w:lvl>
    <w:lvl w:ilvl="1">
      <w:start w:val="1"/>
      <w:numFmt w:val="decimal"/>
      <w:lvlText w:val="%1.%2."/>
      <w:lvlJc w:val="start"/>
      <w:pPr>
        <w:tabs>
          <w:tab w:val="num" w:pos="66.25pt"/>
        </w:tabs>
        <w:ind w:start="66.25pt" w:hanging="21.60pt"/>
      </w:pPr>
      <w:rPr>
        <w:rFonts w:hint="default"/>
      </w:rPr>
    </w:lvl>
    <w:lvl w:ilvl="2">
      <w:start w:val="1"/>
      <w:numFmt w:val="decimal"/>
      <w:lvlText w:val="%1.%2.%3."/>
      <w:lvlJc w:val="start"/>
      <w:pPr>
        <w:tabs>
          <w:tab w:val="num" w:pos="87.85pt"/>
        </w:tabs>
        <w:ind w:start="87.85pt" w:hanging="25.20pt"/>
      </w:pPr>
      <w:rPr>
        <w:rFonts w:hint="default"/>
      </w:rPr>
    </w:lvl>
    <w:lvl w:ilvl="3">
      <w:start w:val="1"/>
      <w:numFmt w:val="decimal"/>
      <w:lvlText w:val="%1.%2.%3.%4."/>
      <w:lvlJc w:val="start"/>
      <w:pPr>
        <w:tabs>
          <w:tab w:val="num" w:pos="113.05pt"/>
        </w:tabs>
        <w:ind w:start="113.05pt" w:hanging="32.40pt"/>
      </w:pPr>
      <w:rPr>
        <w:rFonts w:hint="default"/>
      </w:rPr>
    </w:lvl>
    <w:lvl w:ilvl="4">
      <w:start w:val="1"/>
      <w:numFmt w:val="decimal"/>
      <w:lvlText w:val="%1.%2.%3.%4.%5."/>
      <w:lvlJc w:val="start"/>
      <w:pPr>
        <w:tabs>
          <w:tab w:val="num" w:pos="138.25pt"/>
        </w:tabs>
        <w:ind w:start="138.25pt" w:hanging="39.60pt"/>
      </w:pPr>
      <w:rPr>
        <w:rFonts w:hint="default"/>
      </w:rPr>
    </w:lvl>
    <w:lvl w:ilvl="5">
      <w:start w:val="1"/>
      <w:numFmt w:val="decimal"/>
      <w:lvlText w:val="%1.%2.%3.%4.%5.%6."/>
      <w:lvlJc w:val="start"/>
      <w:pPr>
        <w:tabs>
          <w:tab w:val="num" w:pos="163.45pt"/>
        </w:tabs>
        <w:ind w:start="163.45pt" w:hanging="46.80pt"/>
      </w:pPr>
      <w:rPr>
        <w:rFonts w:hint="default"/>
      </w:rPr>
    </w:lvl>
    <w:lvl w:ilvl="6">
      <w:start w:val="1"/>
      <w:numFmt w:val="decimal"/>
      <w:lvlText w:val="%1.%2.%3.%4.%5.%6.%7."/>
      <w:lvlJc w:val="start"/>
      <w:pPr>
        <w:tabs>
          <w:tab w:val="num" w:pos="188.65pt"/>
        </w:tabs>
        <w:ind w:start="188.65pt" w:hanging="54pt"/>
      </w:pPr>
      <w:rPr>
        <w:rFonts w:hint="default"/>
      </w:rPr>
    </w:lvl>
    <w:lvl w:ilvl="7">
      <w:start w:val="1"/>
      <w:numFmt w:val="decimal"/>
      <w:lvlText w:val="%1.%2.%3.%4.%5.%6.%7.%8."/>
      <w:lvlJc w:val="start"/>
      <w:pPr>
        <w:tabs>
          <w:tab w:val="num" w:pos="213.85pt"/>
        </w:tabs>
        <w:ind w:start="213.85pt" w:hanging="61.20pt"/>
      </w:pPr>
      <w:rPr>
        <w:rFonts w:hint="default"/>
      </w:rPr>
    </w:lvl>
    <w:lvl w:ilvl="8">
      <w:start w:val="1"/>
      <w:numFmt w:val="decimal"/>
      <w:lvlText w:val="%1.%2.%3.%4.%5.%6.%7.%8.%9."/>
      <w:lvlJc w:val="start"/>
      <w:pPr>
        <w:tabs>
          <w:tab w:val="num" w:pos="242.65pt"/>
        </w:tabs>
        <w:ind w:start="242.65pt" w:hanging="72pt"/>
      </w:pPr>
      <w:rPr>
        <w:rFonts w:hint="default"/>
      </w:rPr>
    </w:lvl>
  </w:abstractNum>
  <w:abstractNum w:abstractNumId="17"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9"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0" w15:restartNumberingAfterBreak="0">
    <w:nsid w:val="6B281ECD"/>
    <w:multiLevelType w:val="multilevel"/>
    <w:tmpl w:val="FA9AB2C8"/>
    <w:lvl w:ilvl="0">
      <w:start w:val="1"/>
      <w:numFmt w:val="decimal"/>
      <w:pStyle w:val="FigureCaption"/>
      <w:lvlText w:val="Figure %1:"/>
      <w:lvlJc w:val="start"/>
      <w:pPr>
        <w:tabs>
          <w:tab w:val="num" w:pos="36pt"/>
        </w:tabs>
        <w:ind w:start="18pt" w:hanging="18pt"/>
      </w:pPr>
      <w:rPr>
        <w:rFonts w:hint="default"/>
      </w:rPr>
    </w:lvl>
    <w:lvl w:ilvl="1">
      <w:start w:val="1"/>
      <w:numFmt w:val="decimal"/>
      <w:lvlText w:val="%1.%2"/>
      <w:lvlJc w:val="start"/>
      <w:pPr>
        <w:tabs>
          <w:tab w:val="num" w:pos="0.65pt"/>
        </w:tabs>
        <w:ind w:start="0.65pt" w:firstLine="0pt"/>
      </w:pPr>
      <w:rPr>
        <w:rFonts w:hint="default"/>
      </w:rPr>
    </w:lvl>
    <w:lvl w:ilvl="2">
      <w:start w:val="1"/>
      <w:numFmt w:val="decimal"/>
      <w:lvlText w:val="%1.%2.%3"/>
      <w:lvlJc w:val="start"/>
      <w:pPr>
        <w:tabs>
          <w:tab w:val="num" w:pos="0.65pt"/>
        </w:tabs>
        <w:ind w:start="0.65pt" w:firstLine="0pt"/>
      </w:pPr>
      <w:rPr>
        <w:rFonts w:hint="default"/>
      </w:rPr>
    </w:lvl>
    <w:lvl w:ilvl="3">
      <w:start w:val="1"/>
      <w:numFmt w:val="decimal"/>
      <w:lvlText w:val="%1.%2.%3.%4"/>
      <w:lvlJc w:val="start"/>
      <w:pPr>
        <w:tabs>
          <w:tab w:val="num" w:pos="0.65pt"/>
        </w:tabs>
        <w:ind w:start="0.65pt" w:firstLine="0pt"/>
      </w:pPr>
      <w:rPr>
        <w:rFonts w:hint="default"/>
      </w:rPr>
    </w:lvl>
    <w:lvl w:ilvl="4">
      <w:start w:val="1"/>
      <w:numFmt w:val="decimal"/>
      <w:lvlText w:val="%1.%2.%3.%4.%5"/>
      <w:lvlJc w:val="start"/>
      <w:pPr>
        <w:tabs>
          <w:tab w:val="num" w:pos="0.65pt"/>
        </w:tabs>
        <w:ind w:start="0.65pt" w:firstLine="0pt"/>
      </w:pPr>
      <w:rPr>
        <w:rFonts w:hint="default"/>
      </w:rPr>
    </w:lvl>
    <w:lvl w:ilvl="5">
      <w:start w:val="1"/>
      <w:numFmt w:val="decimal"/>
      <w:lvlText w:val="%1.%2.%3.%4.%5.%6"/>
      <w:lvlJc w:val="start"/>
      <w:pPr>
        <w:tabs>
          <w:tab w:val="num" w:pos="0.65pt"/>
        </w:tabs>
        <w:ind w:start="0.65pt" w:firstLine="0pt"/>
      </w:pPr>
      <w:rPr>
        <w:rFonts w:hint="default"/>
      </w:rPr>
    </w:lvl>
    <w:lvl w:ilvl="6">
      <w:start w:val="1"/>
      <w:numFmt w:val="decimal"/>
      <w:lvlText w:val="%1.%2.%3.%4.%5.%6.%7"/>
      <w:lvlJc w:val="start"/>
      <w:pPr>
        <w:tabs>
          <w:tab w:val="num" w:pos="0.65pt"/>
        </w:tabs>
        <w:ind w:start="0.65pt" w:firstLine="0pt"/>
      </w:pPr>
      <w:rPr>
        <w:rFonts w:hint="default"/>
      </w:rPr>
    </w:lvl>
    <w:lvl w:ilvl="7">
      <w:start w:val="1"/>
      <w:numFmt w:val="decimal"/>
      <w:lvlText w:val="%1.%2.%3.%4.%5.%6.%7.%8"/>
      <w:lvlJc w:val="start"/>
      <w:pPr>
        <w:tabs>
          <w:tab w:val="num" w:pos="0.65pt"/>
        </w:tabs>
        <w:ind w:start="0.65pt" w:firstLine="0pt"/>
      </w:pPr>
      <w:rPr>
        <w:rFonts w:hint="default"/>
      </w:rPr>
    </w:lvl>
    <w:lvl w:ilvl="8">
      <w:start w:val="1"/>
      <w:numFmt w:val="decimal"/>
      <w:lvlText w:val="%1.%2.%3.%4.%5.%6.%7.%8.%9"/>
      <w:lvlJc w:val="start"/>
      <w:pPr>
        <w:tabs>
          <w:tab w:val="num" w:pos="0.65pt"/>
        </w:tabs>
        <w:ind w:start="0.65pt" w:firstLine="0pt"/>
      </w:pPr>
      <w:rPr>
        <w:rFonts w:hint="default"/>
      </w:rPr>
    </w:lvl>
  </w:abstractNum>
  <w:abstractNum w:abstractNumId="21" w15:restartNumberingAfterBreak="0">
    <w:nsid w:val="6C402C58"/>
    <w:multiLevelType w:val="hybridMultilevel"/>
    <w:tmpl w:val="9A1CA078"/>
    <w:lvl w:ilvl="0" w:tplc="C8D6570A">
      <w:start w:val="1"/>
      <w:numFmt w:val="decimal"/>
      <w:pStyle w:val="figurecaption0"/>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1019501913">
    <w:abstractNumId w:val="14"/>
  </w:num>
  <w:num w:numId="2" w16cid:durableId="1620912708">
    <w:abstractNumId w:val="21"/>
  </w:num>
  <w:num w:numId="3" w16cid:durableId="236018843">
    <w:abstractNumId w:val="13"/>
  </w:num>
  <w:num w:numId="4" w16cid:durableId="666251427">
    <w:abstractNumId w:val="17"/>
  </w:num>
  <w:num w:numId="5" w16cid:durableId="993068156">
    <w:abstractNumId w:val="17"/>
  </w:num>
  <w:num w:numId="6" w16cid:durableId="1958489186">
    <w:abstractNumId w:val="17"/>
  </w:num>
  <w:num w:numId="7" w16cid:durableId="1411537158">
    <w:abstractNumId w:val="17"/>
  </w:num>
  <w:num w:numId="8" w16cid:durableId="1630554297">
    <w:abstractNumId w:val="19"/>
  </w:num>
  <w:num w:numId="9" w16cid:durableId="1375035490">
    <w:abstractNumId w:val="22"/>
  </w:num>
  <w:num w:numId="10" w16cid:durableId="994333014">
    <w:abstractNumId w:val="15"/>
  </w:num>
  <w:num w:numId="11" w16cid:durableId="1837842739">
    <w:abstractNumId w:val="12"/>
  </w:num>
  <w:num w:numId="12" w16cid:durableId="1624339273">
    <w:abstractNumId w:val="11"/>
  </w:num>
  <w:num w:numId="13" w16cid:durableId="276527339">
    <w:abstractNumId w:val="0"/>
  </w:num>
  <w:num w:numId="14" w16cid:durableId="1221476758">
    <w:abstractNumId w:val="10"/>
  </w:num>
  <w:num w:numId="15" w16cid:durableId="2092702660">
    <w:abstractNumId w:val="8"/>
  </w:num>
  <w:num w:numId="16" w16cid:durableId="1197809903">
    <w:abstractNumId w:val="7"/>
  </w:num>
  <w:num w:numId="17" w16cid:durableId="108857542">
    <w:abstractNumId w:val="6"/>
  </w:num>
  <w:num w:numId="18" w16cid:durableId="1919630752">
    <w:abstractNumId w:val="5"/>
  </w:num>
  <w:num w:numId="19" w16cid:durableId="1373382587">
    <w:abstractNumId w:val="9"/>
  </w:num>
  <w:num w:numId="20" w16cid:durableId="824735820">
    <w:abstractNumId w:val="4"/>
  </w:num>
  <w:num w:numId="21" w16cid:durableId="699404073">
    <w:abstractNumId w:val="3"/>
  </w:num>
  <w:num w:numId="22" w16cid:durableId="689650422">
    <w:abstractNumId w:val="2"/>
  </w:num>
  <w:num w:numId="23" w16cid:durableId="444160766">
    <w:abstractNumId w:val="1"/>
  </w:num>
  <w:num w:numId="24" w16cid:durableId="395738715">
    <w:abstractNumId w:val="18"/>
  </w:num>
  <w:num w:numId="25" w16cid:durableId="1227959717">
    <w:abstractNumId w:val="20"/>
  </w:num>
  <w:num w:numId="26" w16cid:durableId="32702523">
    <w:abstractNumId w:val="1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36pt"/>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0F47"/>
    <w:rsid w:val="00023AAD"/>
    <w:rsid w:val="0002589F"/>
    <w:rsid w:val="00033AEE"/>
    <w:rsid w:val="00040BDF"/>
    <w:rsid w:val="0004781E"/>
    <w:rsid w:val="00056365"/>
    <w:rsid w:val="0006379D"/>
    <w:rsid w:val="000723F3"/>
    <w:rsid w:val="00075643"/>
    <w:rsid w:val="000832B8"/>
    <w:rsid w:val="0008758A"/>
    <w:rsid w:val="00090FB2"/>
    <w:rsid w:val="000A5DA6"/>
    <w:rsid w:val="000C1E68"/>
    <w:rsid w:val="000C2A45"/>
    <w:rsid w:val="000D0980"/>
    <w:rsid w:val="000D3174"/>
    <w:rsid w:val="000D38D5"/>
    <w:rsid w:val="000E2762"/>
    <w:rsid w:val="00127B50"/>
    <w:rsid w:val="0013792D"/>
    <w:rsid w:val="0015079E"/>
    <w:rsid w:val="001815EC"/>
    <w:rsid w:val="00182DE1"/>
    <w:rsid w:val="001A2EFD"/>
    <w:rsid w:val="001A3B3D"/>
    <w:rsid w:val="001A42EA"/>
    <w:rsid w:val="001A55EC"/>
    <w:rsid w:val="001B67DC"/>
    <w:rsid w:val="001B6D5F"/>
    <w:rsid w:val="001D1F13"/>
    <w:rsid w:val="001D7BCF"/>
    <w:rsid w:val="0020164D"/>
    <w:rsid w:val="002176ED"/>
    <w:rsid w:val="002203AC"/>
    <w:rsid w:val="002254A9"/>
    <w:rsid w:val="0023304F"/>
    <w:rsid w:val="00233B11"/>
    <w:rsid w:val="00233D97"/>
    <w:rsid w:val="00241AE1"/>
    <w:rsid w:val="00252044"/>
    <w:rsid w:val="00262D4D"/>
    <w:rsid w:val="00273E05"/>
    <w:rsid w:val="002773D1"/>
    <w:rsid w:val="002850E3"/>
    <w:rsid w:val="002B3834"/>
    <w:rsid w:val="002C3881"/>
    <w:rsid w:val="002F056F"/>
    <w:rsid w:val="0031460C"/>
    <w:rsid w:val="00334D59"/>
    <w:rsid w:val="00335B89"/>
    <w:rsid w:val="00346718"/>
    <w:rsid w:val="00354FCF"/>
    <w:rsid w:val="00356697"/>
    <w:rsid w:val="0036002E"/>
    <w:rsid w:val="00362CBD"/>
    <w:rsid w:val="00393420"/>
    <w:rsid w:val="003A19E2"/>
    <w:rsid w:val="003B25C8"/>
    <w:rsid w:val="003B6E09"/>
    <w:rsid w:val="003B75CC"/>
    <w:rsid w:val="003D7BD1"/>
    <w:rsid w:val="003E331C"/>
    <w:rsid w:val="003E4950"/>
    <w:rsid w:val="003E5D0A"/>
    <w:rsid w:val="003F128C"/>
    <w:rsid w:val="003F60CA"/>
    <w:rsid w:val="00421EC6"/>
    <w:rsid w:val="004325FB"/>
    <w:rsid w:val="004348B5"/>
    <w:rsid w:val="00435666"/>
    <w:rsid w:val="00436F74"/>
    <w:rsid w:val="004432BA"/>
    <w:rsid w:val="00443991"/>
    <w:rsid w:val="0044407E"/>
    <w:rsid w:val="00450466"/>
    <w:rsid w:val="00465DE5"/>
    <w:rsid w:val="004824C5"/>
    <w:rsid w:val="00482728"/>
    <w:rsid w:val="00493C46"/>
    <w:rsid w:val="004A60EF"/>
    <w:rsid w:val="004B2E67"/>
    <w:rsid w:val="004D46D3"/>
    <w:rsid w:val="004D72B5"/>
    <w:rsid w:val="0050540B"/>
    <w:rsid w:val="00512BEA"/>
    <w:rsid w:val="00516985"/>
    <w:rsid w:val="005434AD"/>
    <w:rsid w:val="00546129"/>
    <w:rsid w:val="00547E73"/>
    <w:rsid w:val="00551B7F"/>
    <w:rsid w:val="005540D2"/>
    <w:rsid w:val="005613B1"/>
    <w:rsid w:val="0056610F"/>
    <w:rsid w:val="00575BCA"/>
    <w:rsid w:val="005830F0"/>
    <w:rsid w:val="005A1A2A"/>
    <w:rsid w:val="005B0344"/>
    <w:rsid w:val="005B2990"/>
    <w:rsid w:val="005B520E"/>
    <w:rsid w:val="005B61DC"/>
    <w:rsid w:val="005C2DA2"/>
    <w:rsid w:val="005D0E07"/>
    <w:rsid w:val="005E1660"/>
    <w:rsid w:val="005E2800"/>
    <w:rsid w:val="005E7A48"/>
    <w:rsid w:val="005F4983"/>
    <w:rsid w:val="006003AA"/>
    <w:rsid w:val="00607B9D"/>
    <w:rsid w:val="0061119D"/>
    <w:rsid w:val="00616B04"/>
    <w:rsid w:val="00631607"/>
    <w:rsid w:val="006347CF"/>
    <w:rsid w:val="00645D22"/>
    <w:rsid w:val="00647D1E"/>
    <w:rsid w:val="00651A08"/>
    <w:rsid w:val="00652154"/>
    <w:rsid w:val="00654204"/>
    <w:rsid w:val="006664B5"/>
    <w:rsid w:val="00670434"/>
    <w:rsid w:val="00673FEA"/>
    <w:rsid w:val="00690CC6"/>
    <w:rsid w:val="006B6B66"/>
    <w:rsid w:val="006C1F6D"/>
    <w:rsid w:val="006E24E5"/>
    <w:rsid w:val="006E606A"/>
    <w:rsid w:val="006F6D3D"/>
    <w:rsid w:val="00704134"/>
    <w:rsid w:val="00715BEA"/>
    <w:rsid w:val="00740EEA"/>
    <w:rsid w:val="0075254E"/>
    <w:rsid w:val="00787023"/>
    <w:rsid w:val="00793348"/>
    <w:rsid w:val="00794804"/>
    <w:rsid w:val="00796482"/>
    <w:rsid w:val="007A0A2B"/>
    <w:rsid w:val="007A1F95"/>
    <w:rsid w:val="007B33F1"/>
    <w:rsid w:val="007B3F25"/>
    <w:rsid w:val="007B5508"/>
    <w:rsid w:val="007C0308"/>
    <w:rsid w:val="007C0F1D"/>
    <w:rsid w:val="007C2FF2"/>
    <w:rsid w:val="007D58C9"/>
    <w:rsid w:val="007D6232"/>
    <w:rsid w:val="007D6CA8"/>
    <w:rsid w:val="007E0B4F"/>
    <w:rsid w:val="007F1F99"/>
    <w:rsid w:val="007F768F"/>
    <w:rsid w:val="0080791D"/>
    <w:rsid w:val="00811216"/>
    <w:rsid w:val="00816037"/>
    <w:rsid w:val="0084243A"/>
    <w:rsid w:val="00846899"/>
    <w:rsid w:val="00853060"/>
    <w:rsid w:val="00870A8A"/>
    <w:rsid w:val="00873603"/>
    <w:rsid w:val="00876EE5"/>
    <w:rsid w:val="008858D7"/>
    <w:rsid w:val="008A2C7D"/>
    <w:rsid w:val="008A3844"/>
    <w:rsid w:val="008B3DC9"/>
    <w:rsid w:val="008C2FB2"/>
    <w:rsid w:val="008C4B23"/>
    <w:rsid w:val="008F6E2C"/>
    <w:rsid w:val="00903F8C"/>
    <w:rsid w:val="009303D9"/>
    <w:rsid w:val="00933C64"/>
    <w:rsid w:val="0093696F"/>
    <w:rsid w:val="00955F23"/>
    <w:rsid w:val="00972203"/>
    <w:rsid w:val="009B1F89"/>
    <w:rsid w:val="009D082D"/>
    <w:rsid w:val="009F19AE"/>
    <w:rsid w:val="009F4196"/>
    <w:rsid w:val="00A009D6"/>
    <w:rsid w:val="00A0419E"/>
    <w:rsid w:val="00A059B3"/>
    <w:rsid w:val="00A5099D"/>
    <w:rsid w:val="00A651D7"/>
    <w:rsid w:val="00A83751"/>
    <w:rsid w:val="00AA0111"/>
    <w:rsid w:val="00AB2BE0"/>
    <w:rsid w:val="00AC429A"/>
    <w:rsid w:val="00AC775E"/>
    <w:rsid w:val="00AD410F"/>
    <w:rsid w:val="00AE3409"/>
    <w:rsid w:val="00AE4C8C"/>
    <w:rsid w:val="00B00F66"/>
    <w:rsid w:val="00B11A60"/>
    <w:rsid w:val="00B16F52"/>
    <w:rsid w:val="00B22613"/>
    <w:rsid w:val="00B25027"/>
    <w:rsid w:val="00B318FB"/>
    <w:rsid w:val="00B45649"/>
    <w:rsid w:val="00B5739E"/>
    <w:rsid w:val="00B622E5"/>
    <w:rsid w:val="00B63039"/>
    <w:rsid w:val="00B90193"/>
    <w:rsid w:val="00B95AA2"/>
    <w:rsid w:val="00B96226"/>
    <w:rsid w:val="00BA0046"/>
    <w:rsid w:val="00BA1025"/>
    <w:rsid w:val="00BA6DB6"/>
    <w:rsid w:val="00BB0BA7"/>
    <w:rsid w:val="00BB191A"/>
    <w:rsid w:val="00BC3420"/>
    <w:rsid w:val="00BE0667"/>
    <w:rsid w:val="00BE30DD"/>
    <w:rsid w:val="00BE5480"/>
    <w:rsid w:val="00BE560C"/>
    <w:rsid w:val="00BE5965"/>
    <w:rsid w:val="00BE7D3C"/>
    <w:rsid w:val="00BF1AA7"/>
    <w:rsid w:val="00BF5FF6"/>
    <w:rsid w:val="00C00F21"/>
    <w:rsid w:val="00C0207F"/>
    <w:rsid w:val="00C030F5"/>
    <w:rsid w:val="00C13FC1"/>
    <w:rsid w:val="00C16117"/>
    <w:rsid w:val="00C3075A"/>
    <w:rsid w:val="00C37BBB"/>
    <w:rsid w:val="00C454F6"/>
    <w:rsid w:val="00C53A87"/>
    <w:rsid w:val="00C53F8E"/>
    <w:rsid w:val="00C627C8"/>
    <w:rsid w:val="00C652EF"/>
    <w:rsid w:val="00C711FB"/>
    <w:rsid w:val="00C76FFC"/>
    <w:rsid w:val="00C919A4"/>
    <w:rsid w:val="00C919E9"/>
    <w:rsid w:val="00C96E5E"/>
    <w:rsid w:val="00CA4392"/>
    <w:rsid w:val="00CA52A7"/>
    <w:rsid w:val="00CA71BA"/>
    <w:rsid w:val="00CB3160"/>
    <w:rsid w:val="00CB35A6"/>
    <w:rsid w:val="00CC1D41"/>
    <w:rsid w:val="00CC393F"/>
    <w:rsid w:val="00CE7594"/>
    <w:rsid w:val="00D025BD"/>
    <w:rsid w:val="00D0425B"/>
    <w:rsid w:val="00D06C47"/>
    <w:rsid w:val="00D13749"/>
    <w:rsid w:val="00D2176E"/>
    <w:rsid w:val="00D23981"/>
    <w:rsid w:val="00D24F92"/>
    <w:rsid w:val="00D330F1"/>
    <w:rsid w:val="00D333A3"/>
    <w:rsid w:val="00D34F9F"/>
    <w:rsid w:val="00D632BE"/>
    <w:rsid w:val="00D65569"/>
    <w:rsid w:val="00D72D06"/>
    <w:rsid w:val="00D7522C"/>
    <w:rsid w:val="00D7536F"/>
    <w:rsid w:val="00D7554C"/>
    <w:rsid w:val="00D76668"/>
    <w:rsid w:val="00D76F7B"/>
    <w:rsid w:val="00D911F2"/>
    <w:rsid w:val="00DB48E4"/>
    <w:rsid w:val="00DD4247"/>
    <w:rsid w:val="00DD659B"/>
    <w:rsid w:val="00DD793D"/>
    <w:rsid w:val="00DD7AA6"/>
    <w:rsid w:val="00E068EF"/>
    <w:rsid w:val="00E12807"/>
    <w:rsid w:val="00E143F7"/>
    <w:rsid w:val="00E230FE"/>
    <w:rsid w:val="00E24D7A"/>
    <w:rsid w:val="00E27318"/>
    <w:rsid w:val="00E27D05"/>
    <w:rsid w:val="00E344E0"/>
    <w:rsid w:val="00E61E12"/>
    <w:rsid w:val="00E629BE"/>
    <w:rsid w:val="00E71204"/>
    <w:rsid w:val="00E754B7"/>
    <w:rsid w:val="00E7596C"/>
    <w:rsid w:val="00E81176"/>
    <w:rsid w:val="00E82AC2"/>
    <w:rsid w:val="00E878F2"/>
    <w:rsid w:val="00E9199E"/>
    <w:rsid w:val="00EB7D10"/>
    <w:rsid w:val="00ED0149"/>
    <w:rsid w:val="00EE20B1"/>
    <w:rsid w:val="00EF7DE3"/>
    <w:rsid w:val="00EF7FF9"/>
    <w:rsid w:val="00F03103"/>
    <w:rsid w:val="00F16CF9"/>
    <w:rsid w:val="00F20D17"/>
    <w:rsid w:val="00F271DE"/>
    <w:rsid w:val="00F375DA"/>
    <w:rsid w:val="00F47515"/>
    <w:rsid w:val="00F544E5"/>
    <w:rsid w:val="00F54E61"/>
    <w:rsid w:val="00F56CE7"/>
    <w:rsid w:val="00F627DA"/>
    <w:rsid w:val="00F64255"/>
    <w:rsid w:val="00F66AA2"/>
    <w:rsid w:val="00F7288F"/>
    <w:rsid w:val="00F847A6"/>
    <w:rsid w:val="00F9441B"/>
    <w:rsid w:val="00F96569"/>
    <w:rsid w:val="00FA4C32"/>
    <w:rsid w:val="00FD4A67"/>
    <w:rsid w:val="00FE3DB9"/>
    <w:rsid w:val="00FE68A0"/>
    <w:rsid w:val="00FE7114"/>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DD4A526"/>
  <w15:chartTrackingRefBased/>
  <w15:docId w15:val="{CA09D1C8-B034-482C-A7DF-02E120855EEB}"/>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0">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customStyle="1" w:styleId="Body">
    <w:name w:val="Body"/>
    <w:basedOn w:val="Normal"/>
    <w:rsid w:val="00673FEA"/>
    <w:pPr>
      <w:autoSpaceDE w:val="0"/>
      <w:autoSpaceDN w:val="0"/>
      <w:adjustRightInd w:val="0"/>
      <w:spacing w:line="10pt" w:lineRule="exact"/>
      <w:ind w:firstLine="8.50pt"/>
      <w:jc w:val="both"/>
    </w:pPr>
    <w:rPr>
      <w:rFonts w:ascii="Times" w:eastAsiaTheme="minorEastAsia" w:hAnsi="Times"/>
      <w:sz w:val="18"/>
    </w:rPr>
  </w:style>
  <w:style w:type="paragraph" w:customStyle="1" w:styleId="FigureCaption">
    <w:name w:val="Figure Caption"/>
    <w:basedOn w:val="Caption"/>
    <w:autoRedefine/>
    <w:rsid w:val="00673FEA"/>
    <w:pPr>
      <w:numPr>
        <w:numId w:val="25"/>
      </w:numPr>
      <w:tabs>
        <w:tab w:val="clear" w:pos="36pt"/>
        <w:tab w:val="num" w:pos="32.40pt"/>
      </w:tabs>
      <w:spacing w:before="6pt" w:after="6pt" w:line="10pt" w:lineRule="exact"/>
      <w:ind w:start="32.40pt"/>
    </w:pPr>
    <w:rPr>
      <w:rFonts w:ascii="Helvetica" w:eastAsiaTheme="minorEastAsia" w:hAnsi="Helvetica"/>
      <w:i w:val="0"/>
      <w:iCs w:val="0"/>
      <w:color w:val="auto"/>
      <w:sz w:val="16"/>
      <w:szCs w:val="20"/>
    </w:rPr>
  </w:style>
  <w:style w:type="paragraph" w:customStyle="1" w:styleId="BodyNoIndent">
    <w:name w:val="Body (No Indent)"/>
    <w:basedOn w:val="Body"/>
    <w:autoRedefine/>
    <w:rsid w:val="00673FEA"/>
    <w:pPr>
      <w:ind w:firstLine="0pt"/>
    </w:pPr>
  </w:style>
  <w:style w:type="paragraph" w:styleId="Caption">
    <w:name w:val="caption"/>
    <w:aliases w:val="Table Caption"/>
    <w:basedOn w:val="Normal"/>
    <w:next w:val="Normal"/>
    <w:unhideWhenUsed/>
    <w:qFormat/>
    <w:rsid w:val="00673FEA"/>
    <w:pPr>
      <w:spacing w:after="10pt"/>
    </w:pPr>
    <w:rPr>
      <w:i/>
      <w:iCs/>
      <w:color w:val="44546A" w:themeColor="text2"/>
      <w:sz w:val="18"/>
      <w:szCs w:val="18"/>
    </w:rPr>
  </w:style>
  <w:style w:type="paragraph" w:styleId="FootnoteText">
    <w:name w:val="footnote text"/>
    <w:basedOn w:val="Normal"/>
    <w:link w:val="FootnoteTextChar"/>
    <w:unhideWhenUsed/>
    <w:rsid w:val="00B45649"/>
    <w:pPr>
      <w:ind w:firstLine="8.65pt"/>
      <w:jc w:val="both"/>
    </w:pPr>
    <w:rPr>
      <w:rFonts w:ascii="Times" w:eastAsiaTheme="minorEastAsia" w:hAnsi="Times"/>
      <w:lang w:val="en-GB"/>
    </w:rPr>
  </w:style>
  <w:style w:type="character" w:customStyle="1" w:styleId="FootnoteTextChar">
    <w:name w:val="Footnote Text Char"/>
    <w:basedOn w:val="DefaultParagraphFont"/>
    <w:link w:val="FootnoteText"/>
    <w:rsid w:val="00B45649"/>
    <w:rPr>
      <w:rFonts w:ascii="Times" w:eastAsiaTheme="minorEastAsia" w:hAnsi="Times"/>
      <w:lang w:val="en-GB"/>
    </w:rPr>
  </w:style>
  <w:style w:type="character" w:styleId="Hyperlink">
    <w:name w:val="Hyperlink"/>
    <w:basedOn w:val="DefaultParagraphFont"/>
    <w:uiPriority w:val="99"/>
    <w:unhideWhenUsed/>
    <w:rsid w:val="00B45649"/>
    <w:rPr>
      <w:color w:val="0000FF"/>
      <w:u w:val="single"/>
    </w:rPr>
  </w:style>
  <w:style w:type="character" w:styleId="FootnoteReference">
    <w:name w:val="footnote reference"/>
    <w:basedOn w:val="DefaultParagraphFont"/>
    <w:unhideWhenUsed/>
    <w:rsid w:val="00B45649"/>
    <w:rPr>
      <w:vertAlign w:val="superscript"/>
    </w:rPr>
  </w:style>
  <w:style w:type="table" w:customStyle="1" w:styleId="TableGrid1">
    <w:name w:val="Table Grid1"/>
    <w:rsid w:val="00000F47"/>
    <w:rPr>
      <w:rFonts w:asciiTheme="minorHAnsi" w:eastAsiaTheme="minorEastAsia" w:hAnsiTheme="minorHAnsi" w:cstheme="minorBidi"/>
      <w:sz w:val="22"/>
      <w:szCs w:val="22"/>
      <w:lang w:val="en-GB" w:eastAsia="en-GB"/>
    </w:rPr>
    <w:tblPr>
      <w:tblCellMar>
        <w:top w:w="0pt" w:type="dxa"/>
        <w:start w:w="0pt" w:type="dxa"/>
        <w:bottom w:w="0pt" w:type="dxa"/>
        <w:end w:w="0pt" w:type="dxa"/>
      </w:tblCellMar>
    </w:tblPr>
  </w:style>
  <w:style w:type="character" w:styleId="CommentReference">
    <w:name w:val="annotation reference"/>
    <w:basedOn w:val="DefaultParagraphFont"/>
    <w:rsid w:val="00AE4C8C"/>
    <w:rPr>
      <w:sz w:val="16"/>
      <w:szCs w:val="16"/>
    </w:rPr>
  </w:style>
  <w:style w:type="paragraph" w:styleId="CommentText">
    <w:name w:val="annotation text"/>
    <w:basedOn w:val="Normal"/>
    <w:link w:val="CommentTextChar"/>
    <w:rsid w:val="00AE4C8C"/>
  </w:style>
  <w:style w:type="character" w:customStyle="1" w:styleId="CommentTextChar">
    <w:name w:val="Comment Text Char"/>
    <w:basedOn w:val="DefaultParagraphFont"/>
    <w:link w:val="CommentText"/>
    <w:rsid w:val="00AE4C8C"/>
  </w:style>
  <w:style w:type="paragraph" w:styleId="CommentSubject">
    <w:name w:val="annotation subject"/>
    <w:basedOn w:val="CommentText"/>
    <w:next w:val="CommentText"/>
    <w:link w:val="CommentSubjectChar"/>
    <w:semiHidden/>
    <w:unhideWhenUsed/>
    <w:rsid w:val="00AE4C8C"/>
    <w:rPr>
      <w:b/>
      <w:bCs/>
    </w:rPr>
  </w:style>
  <w:style w:type="character" w:customStyle="1" w:styleId="CommentSubjectChar">
    <w:name w:val="Comment Subject Char"/>
    <w:basedOn w:val="CommentTextChar"/>
    <w:link w:val="CommentSubject"/>
    <w:semiHidden/>
    <w:rsid w:val="00AE4C8C"/>
    <w:rPr>
      <w:b/>
      <w:bCs/>
    </w:rPr>
  </w:style>
  <w:style w:type="paragraph" w:styleId="BalloonText">
    <w:name w:val="Balloon Text"/>
    <w:basedOn w:val="Normal"/>
    <w:link w:val="BalloonTextChar"/>
    <w:semiHidden/>
    <w:unhideWhenUsed/>
    <w:rsid w:val="00AE4C8C"/>
    <w:rPr>
      <w:rFonts w:ascii="Segoe UI" w:hAnsi="Segoe UI" w:cs="Segoe UI"/>
      <w:sz w:val="18"/>
      <w:szCs w:val="18"/>
    </w:rPr>
  </w:style>
  <w:style w:type="character" w:customStyle="1" w:styleId="BalloonTextChar">
    <w:name w:val="Balloon Text Char"/>
    <w:basedOn w:val="DefaultParagraphFont"/>
    <w:link w:val="BalloonText"/>
    <w:semiHidden/>
    <w:rsid w:val="00AE4C8C"/>
    <w:rPr>
      <w:rFonts w:ascii="Segoe UI" w:hAnsi="Segoe UI" w:cs="Segoe UI"/>
      <w:sz w:val="18"/>
      <w:szCs w:val="18"/>
    </w:rPr>
  </w:style>
  <w:style w:type="character" w:styleId="UnresolvedMention">
    <w:name w:val="Unresolved Mention"/>
    <w:basedOn w:val="DefaultParagraphFont"/>
    <w:uiPriority w:val="99"/>
    <w:semiHidden/>
    <w:unhideWhenUsed/>
    <w:rsid w:val="00D23981"/>
    <w:rPr>
      <w:color w:val="605E5C"/>
      <w:shd w:val="clear" w:color="auto" w:fill="E1DFDD"/>
    </w:rPr>
  </w:style>
  <w:style w:type="character" w:styleId="FollowedHyperlink">
    <w:name w:val="FollowedHyperlink"/>
    <w:basedOn w:val="DefaultParagraphFont"/>
    <w:rsid w:val="00D23981"/>
    <w:rPr>
      <w:color w:val="954F72" w:themeColor="followedHyperlink"/>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848235">
      <w:bodyDiv w:val="1"/>
      <w:marLeft w:val="0pt"/>
      <w:marRight w:val="0pt"/>
      <w:marTop w:val="0pt"/>
      <w:marBottom w:val="0pt"/>
      <w:divBdr>
        <w:top w:val="none" w:sz="0" w:space="0" w:color="auto"/>
        <w:left w:val="none" w:sz="0" w:space="0" w:color="auto"/>
        <w:bottom w:val="none" w:sz="0" w:space="0" w:color="auto"/>
        <w:right w:val="none" w:sz="0" w:space="0" w:color="auto"/>
      </w:divBdr>
    </w:div>
    <w:div w:id="202732328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webSettings" Target="webSettings.xml"/><Relationship Id="rId13" Type="http://purl.oclc.org/ooxml/officeDocument/relationships/footer" Target="footer1.xml"/><Relationship Id="rId18" Type="http://purl.oclc.org/ooxml/officeDocument/relationships/image" Target="media/image2.png"/><Relationship Id="rId3" Type="http://purl.oclc.org/ooxml/officeDocument/relationships/customXml" Target="../customXml/item3.xml"/><Relationship Id="rId21" Type="http://purl.oclc.org/ooxml/officeDocument/relationships/fontTable" Target="fontTable.xml"/><Relationship Id="rId7" Type="http://purl.oclc.org/ooxml/officeDocument/relationships/settings" Target="settings.xml"/><Relationship Id="rId12" Type="http://purl.oclc.org/ooxml/officeDocument/relationships/header" Target="header2.xml"/><Relationship Id="rId17" Type="http://purl.oclc.org/ooxml/officeDocument/relationships/image" Target="media/image1.png"/><Relationship Id="rId2" Type="http://purl.oclc.org/ooxml/officeDocument/relationships/customXml" Target="../customXml/item2.xml"/><Relationship Id="rId16" Type="http://purl.oclc.org/ooxml/officeDocument/relationships/footer" Target="footer3.xml"/><Relationship Id="rId20" Type="http://purl.oclc.org/ooxml/officeDocument/relationships/footer" Target="footer4.xml"/><Relationship Id="rId1" Type="http://purl.oclc.org/ooxml/officeDocument/relationships/customXml" Target="../customXml/item1.xml"/><Relationship Id="rId6" Type="http://purl.oclc.org/ooxml/officeDocument/relationships/styles" Target="styles.xml"/><Relationship Id="rId11" Type="http://purl.oclc.org/ooxml/officeDocument/relationships/header" Target="header1.xml"/><Relationship Id="rId5" Type="http://purl.oclc.org/ooxml/officeDocument/relationships/numbering" Target="numbering.xml"/><Relationship Id="rId15" Type="http://purl.oclc.org/ooxml/officeDocument/relationships/header" Target="header3.xml"/><Relationship Id="rId10" Type="http://purl.oclc.org/ooxml/officeDocument/relationships/endnotes" Target="endnotes.xml"/><Relationship Id="rId19" Type="http://purl.oclc.org/ooxml/officeDocument/relationships/image" Target="media/image3.png"/><Relationship Id="rId4" Type="http://purl.oclc.org/ooxml/officeDocument/relationships/customXml" Target="../customXml/item4.xml"/><Relationship Id="rId9" Type="http://purl.oclc.org/ooxml/officeDocument/relationships/footnotes" Target="footnotes.xml"/><Relationship Id="rId14" Type="http://purl.oclc.org/ooxml/officeDocument/relationships/footer" Target="footer2.xml"/><Relationship Id="rId22" Type="http://purl.oclc.org/ooxml/officeDocument/relationships/theme" Target="theme/theme1.xml"/></Relationships>
</file>

<file path=word/_rels/footer3.xml.rels><?xml version="1.0" encoding="UTF-8" standalone="yes"?>
<Relationships xmlns="http://schemas.openxmlformats.org/package/2006/relationships"><Relationship Id="rId1" Type="http://purl.oclc.org/ooxml/officeDocument/relationships/hyperlink" Target="https://doi.org/10.23919/iLRN55037.2022.9815936" TargetMode="Externa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_rels/item4.xml.rels><?xml version="1.0" encoding="UTF-8" standalone="yes"?>
<Relationships xmlns="http://schemas.openxmlformats.org/package/2006/relationships"><Relationship Id="rId1" Type="http://purl.oclc.org/ooxml/officeDocument/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6534E39015E645883EDF42B8825755" ma:contentTypeVersion="14" ma:contentTypeDescription="Create a new document." ma:contentTypeScope="" ma:versionID="2107b8775cffbd35e11c0a702bbd4b71">
  <xsd:schema xmlns:xsd="http://www.w3.org/2001/XMLSchema" xmlns:xs="http://www.w3.org/2001/XMLSchema" xmlns:p="http://schemas.microsoft.com/office/2006/metadata/properties" xmlns:ns3="de566011-5f0a-46f8-84e2-e253e5ca1b0c" xmlns:ns4="b4f58585-b4cf-484d-bef3-1d1d1d6f9b0e" targetNamespace="http://schemas.microsoft.com/office/2006/metadata/properties" ma:root="true" ma:fieldsID="aa0a3ad37d80bfb0d92856aece081343" ns3:_="" ns4:_="">
    <xsd:import namespace="de566011-5f0a-46f8-84e2-e253e5ca1b0c"/>
    <xsd:import namespace="b4f58585-b4cf-484d-bef3-1d1d1d6f9b0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66011-5f0a-46f8-84e2-e253e5ca1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f58585-b4cf-484d-bef3-1d1d1d6f9b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purl.oclc.org/ooxml/officeDocument/customXml" ds:itemID="{217E6412-2B57-47EF-A981-F8FBB7A74606}">
  <ds:schemaRefs>
    <ds:schemaRef ds:uri="http://schemas.microsoft.com/sharepoint/v3/contenttype/forms"/>
  </ds:schemaRefs>
</ds:datastoreItem>
</file>

<file path=customXml/itemProps2.xml><?xml version="1.0" encoding="utf-8"?>
<ds:datastoreItem xmlns:ds="http://purl.oclc.org/ooxml/officeDocument/customXml" ds:itemID="{5D35DD7B-DBFE-4A71-8396-43941A793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66011-5f0a-46f8-84e2-e253e5ca1b0c"/>
    <ds:schemaRef ds:uri="b4f58585-b4cf-484d-bef3-1d1d1d6f9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purl.oclc.org/ooxml/officeDocument/customXml" ds:itemID="{F284FCD7-82C0-46D7-B907-EEEF7632D019}">
  <ds:schemaRefs>
    <ds:schemaRef ds:uri="http://schemas.openxmlformats.org/officeDocument/2006/bibliography"/>
  </ds:schemaRefs>
</ds:datastoreItem>
</file>

<file path=customXml/itemProps4.xml><?xml version="1.0" encoding="utf-8"?>
<ds:datastoreItem xmlns:ds="http://purl.oclc.org/ooxml/officeDocument/customXml" ds:itemID="{41A1DA74-C33F-4D96-8D7A-6C20D9D9E25A}">
  <ds:schemaRefs>
    <ds:schemaRef ds:uri="http://schemas.microsoft.com/office/2006/metadata/properties"/>
    <ds:schemaRef ds:uri="http://schemas.microsoft.com/office/infopath/2007/PartnerControls"/>
  </ds:schemaRefs>
</ds:datastoreItem>
</file>

<file path=docProps/app.xml><?xml version="1.0" encoding="utf-8"?>
<Properties xmlns="http://purl.oclc.org/ooxml/officeDocument/extendedProperties" xmlns:vt="http://purl.oclc.org/ooxml/officeDocument/docPropsVTypes">
  <Template>Normal.dotm</Template>
  <TotalTime>0</TotalTime>
  <Pages>8</Pages>
  <Words>21120</Words>
  <Characters>120388</Characters>
  <Application>Microsoft Office Word</Application>
  <DocSecurity>4</DocSecurity>
  <Lines>1003</Lines>
  <Paragraphs>282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Karnik, Abe</cp:lastModifiedBy>
  <cp:revision>2</cp:revision>
  <cp:lastPrinted>2022-04-18T23:37:00Z</cp:lastPrinted>
  <dcterms:created xsi:type="dcterms:W3CDTF">2022-09-01T08:18:00Z</dcterms:created>
  <dcterms:modified xsi:type="dcterms:W3CDTF">2022-09-01T08:18:00Z</dcterms:modified>
</cp:coreProperties>
</file>

<file path=docProps/custom.xml><?xml version="1.0" encoding="utf-8"?>
<Properties xmlns="http://purl.oclc.org/ooxml/officeDocument/customProperties" xmlns:vt="http://purl.oclc.org/ooxml/officeDocument/docPropsVTypes">
  <property fmtid="{D5CDD505-2E9C-101B-9397-08002B2CF9AE}" pid="2" name="Mendeley Document_1">
    <vt:lpwstr>True</vt:lpwstr>
  </property>
  <property fmtid="{D5CDD505-2E9C-101B-9397-08002B2CF9AE}" pid="3" name="Mendeley Unique User Id_1">
    <vt:lpwstr>4dadbd93-ad73-348d-9a95-2fbc54cc95ad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http://csl.mendeley.com/styles/498751191/harvard-cite-them-right</vt:lpwstr>
  </property>
  <property fmtid="{D5CDD505-2E9C-101B-9397-08002B2CF9AE}" pid="16" name="Mendeley Recent Style Name 5_1">
    <vt:lpwstr>Cite Them Right 11th edition - Harvard - Rob Sims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0x010100FD6534E39015E645883EDF42B8825755</vt:lpwstr>
  </property>
</Properties>
</file>