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3F9FE7"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b/>
          <w:szCs w:val="24"/>
          <w:lang w:val="en-US" w:eastAsia="ja-JP"/>
        </w:rPr>
        <w:t>Direct Measurements of Anisotropic Thermal Transport in γ-InSe Nanolayers via Cross-Sectional Scanning Thermal Microscopy</w:t>
      </w:r>
    </w:p>
    <w:p w14:paraId="4E3F9FE8" w14:textId="77777777" w:rsidR="00AA6917" w:rsidRPr="00342FBA" w:rsidRDefault="00AA6917" w:rsidP="00A419D1">
      <w:pPr>
        <w:spacing w:after="0" w:line="360" w:lineRule="auto"/>
        <w:jc w:val="left"/>
        <w:rPr>
          <w:rFonts w:eastAsia="MS Mincho" w:cs="Times New Roman"/>
          <w:szCs w:val="24"/>
          <w:lang w:val="en-US" w:eastAsia="ja-JP"/>
        </w:rPr>
      </w:pPr>
    </w:p>
    <w:p w14:paraId="4E3F9FE9" w14:textId="77777777" w:rsidR="00AA6917" w:rsidRPr="00342FBA" w:rsidRDefault="00AA6917" w:rsidP="00A419D1">
      <w:pPr>
        <w:spacing w:after="0" w:line="360" w:lineRule="auto"/>
        <w:rPr>
          <w:lang w:val="en-US"/>
        </w:rPr>
      </w:pPr>
      <w:r w:rsidRPr="00342FBA">
        <w:rPr>
          <w:rFonts w:eastAsia="MS Mincho" w:cs="Times New Roman"/>
          <w:i/>
          <w:iCs/>
          <w:szCs w:val="24"/>
          <w:lang w:val="en-US" w:eastAsia="ja-JP"/>
        </w:rPr>
        <w:t>Sergio Gonzalez-Munoz,* Khushboo Agarwal, Eli G. Castanon, Zakhar R. Kudrynskyi, Zakhar D. Kovalyuk, Jean Spièce, Olga Kazakova, Amalia Patanè and Oleg V. Kolosov*</w:t>
      </w:r>
    </w:p>
    <w:p w14:paraId="4E3F9FEA" w14:textId="77777777" w:rsidR="00AA6917" w:rsidRPr="00342FBA" w:rsidRDefault="00AA6917" w:rsidP="00A419D1">
      <w:pPr>
        <w:spacing w:after="0" w:line="360" w:lineRule="auto"/>
        <w:jc w:val="left"/>
        <w:rPr>
          <w:rFonts w:eastAsia="MS Mincho" w:cs="Times New Roman"/>
          <w:szCs w:val="24"/>
          <w:lang w:val="en-US" w:eastAsia="ja-JP"/>
        </w:rPr>
      </w:pPr>
      <w:bookmarkStart w:id="0" w:name="_Hlk94716536"/>
    </w:p>
    <w:p w14:paraId="4E3F9FEB" w14:textId="77777777" w:rsidR="00AA6917" w:rsidRPr="0029300F" w:rsidRDefault="00AA6917" w:rsidP="00A419D1">
      <w:pPr>
        <w:spacing w:after="0" w:line="360" w:lineRule="auto"/>
        <w:jc w:val="left"/>
        <w:rPr>
          <w:rFonts w:eastAsia="MS Mincho" w:cs="Times New Roman"/>
          <w:szCs w:val="24"/>
          <w:lang w:val="es-ES" w:eastAsia="ja-JP"/>
        </w:rPr>
      </w:pPr>
      <w:r w:rsidRPr="0029300F">
        <w:rPr>
          <w:rFonts w:eastAsia="MS Mincho" w:cs="Times New Roman"/>
          <w:szCs w:val="24"/>
          <w:lang w:val="es-ES" w:eastAsia="ja-JP"/>
        </w:rPr>
        <w:t>S. Gonzalez-Munoz, K. Agarwal, O. V. Kolosov</w:t>
      </w:r>
    </w:p>
    <w:p w14:paraId="4E3F9FEC"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szCs w:val="24"/>
          <w:lang w:val="en-US" w:eastAsia="ja-JP"/>
        </w:rPr>
        <w:t>Department of Physics, Lancaster University, Lancaster, LA1 4YB, United Kingdom</w:t>
      </w:r>
      <w:r w:rsidRPr="00342FBA">
        <w:rPr>
          <w:rFonts w:eastAsia="MS Mincho" w:cs="Times New Roman"/>
          <w:szCs w:val="24"/>
          <w:lang w:val="en-US" w:eastAsia="ja-JP"/>
        </w:rPr>
        <w:br/>
        <w:t>E-mail: o.kolosov@lancaster.ac.uk; s.gonzalezmunoz@lancaster.ac.uk</w:t>
      </w:r>
    </w:p>
    <w:p w14:paraId="4E3F9FED" w14:textId="77777777" w:rsidR="00AA6917" w:rsidRPr="00342FBA" w:rsidRDefault="00AA6917" w:rsidP="00A419D1">
      <w:pPr>
        <w:spacing w:after="0" w:line="360" w:lineRule="auto"/>
        <w:jc w:val="left"/>
        <w:rPr>
          <w:rFonts w:eastAsia="MS Mincho" w:cs="Times New Roman"/>
          <w:szCs w:val="24"/>
          <w:lang w:val="en-US" w:eastAsia="ja-JP"/>
        </w:rPr>
      </w:pPr>
    </w:p>
    <w:p w14:paraId="4E3F9FEE"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szCs w:val="24"/>
          <w:lang w:val="en-US" w:eastAsia="ja-JP"/>
        </w:rPr>
        <w:t>E. G. Castanon</w:t>
      </w:r>
    </w:p>
    <w:p w14:paraId="4E3F9FEF"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szCs w:val="24"/>
          <w:lang w:val="en-US" w:eastAsia="ja-JP"/>
        </w:rPr>
        <w:t>The University of Manchester National Graphene Institute, Booth St E, Manchester, M13 9PL, United Kingdom</w:t>
      </w:r>
    </w:p>
    <w:p w14:paraId="4E3F9FF0" w14:textId="77777777" w:rsidR="00AA6917" w:rsidRPr="00342FBA" w:rsidRDefault="00AA6917" w:rsidP="00A419D1">
      <w:pPr>
        <w:spacing w:after="0" w:line="360" w:lineRule="auto"/>
        <w:jc w:val="left"/>
        <w:rPr>
          <w:rFonts w:eastAsia="MS Mincho" w:cs="Times New Roman"/>
          <w:szCs w:val="24"/>
          <w:lang w:val="en-US" w:eastAsia="ja-JP"/>
        </w:rPr>
      </w:pPr>
    </w:p>
    <w:p w14:paraId="4E3F9FF1"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szCs w:val="24"/>
          <w:lang w:val="en-US" w:eastAsia="ja-JP"/>
        </w:rPr>
        <w:t>Z. R. Kudrynskyi, A. Patanè</w:t>
      </w:r>
    </w:p>
    <w:p w14:paraId="4E3F9FF2"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szCs w:val="24"/>
          <w:lang w:val="en-US" w:eastAsia="ja-JP"/>
        </w:rPr>
        <w:t>School of Physics and Astronomy, University of Nottingham, Nottingham, NG7 2RD, United Kingdom</w:t>
      </w:r>
    </w:p>
    <w:p w14:paraId="4E3F9FF3" w14:textId="77777777" w:rsidR="00AA6917" w:rsidRPr="00342FBA" w:rsidRDefault="00AA6917" w:rsidP="00A419D1">
      <w:pPr>
        <w:spacing w:after="0" w:line="360" w:lineRule="auto"/>
        <w:jc w:val="left"/>
        <w:rPr>
          <w:rFonts w:eastAsia="MS Mincho" w:cs="Times New Roman"/>
          <w:szCs w:val="24"/>
          <w:lang w:val="en-US" w:eastAsia="ja-JP"/>
        </w:rPr>
      </w:pPr>
    </w:p>
    <w:p w14:paraId="4E3F9FF4"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szCs w:val="24"/>
          <w:lang w:val="en-US" w:eastAsia="ja-JP"/>
        </w:rPr>
        <w:t>Z. D. Kovalyuk</w:t>
      </w:r>
    </w:p>
    <w:p w14:paraId="4E3F9FF5"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szCs w:val="24"/>
          <w:lang w:val="en-US" w:eastAsia="ja-JP"/>
        </w:rPr>
        <w:t>Institute for Problems of Materials Science, National Academy of Sciences of Ukraine, Chernivtsi Branch, 58001 Chernivtsi, Ukraine</w:t>
      </w:r>
    </w:p>
    <w:p w14:paraId="4E3F9FF6" w14:textId="77777777" w:rsidR="00AA6917" w:rsidRPr="00342FBA" w:rsidRDefault="00AA6917" w:rsidP="00A419D1">
      <w:pPr>
        <w:spacing w:after="0" w:line="360" w:lineRule="auto"/>
        <w:jc w:val="left"/>
        <w:rPr>
          <w:rFonts w:eastAsia="MS Mincho" w:cs="Times New Roman"/>
          <w:szCs w:val="24"/>
          <w:lang w:val="en-US" w:eastAsia="ja-JP"/>
        </w:rPr>
      </w:pPr>
    </w:p>
    <w:p w14:paraId="4E3F9FF7"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szCs w:val="24"/>
          <w:lang w:val="en-US" w:eastAsia="ja-JP"/>
        </w:rPr>
        <w:t>J. Spièce</w:t>
      </w:r>
    </w:p>
    <w:p w14:paraId="4E3F9FF8"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szCs w:val="24"/>
          <w:lang w:val="en-US" w:eastAsia="ja-JP"/>
        </w:rPr>
        <w:t>Institute of Condensed Matter and Nanosciences, Nanoscopic Physics, Université Catholique de Louvain, Louvain-la-Neuve, 1348, Belgium</w:t>
      </w:r>
    </w:p>
    <w:p w14:paraId="4E3F9FF9" w14:textId="77777777" w:rsidR="00AA6917" w:rsidRPr="00342FBA" w:rsidRDefault="00AA6917" w:rsidP="00A419D1">
      <w:pPr>
        <w:spacing w:after="0" w:line="360" w:lineRule="auto"/>
        <w:jc w:val="left"/>
        <w:rPr>
          <w:rFonts w:eastAsia="MS Mincho" w:cs="Times New Roman"/>
          <w:szCs w:val="24"/>
          <w:lang w:val="en-US" w:eastAsia="ja-JP"/>
        </w:rPr>
      </w:pPr>
    </w:p>
    <w:p w14:paraId="4E3F9FFA"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szCs w:val="24"/>
          <w:lang w:val="en-US" w:eastAsia="ja-JP"/>
        </w:rPr>
        <w:t>O. Kazakova</w:t>
      </w:r>
    </w:p>
    <w:p w14:paraId="4E3F9FFB"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szCs w:val="24"/>
          <w:lang w:val="en-US" w:eastAsia="ja-JP"/>
        </w:rPr>
        <w:t>National Physical Laboratory, Hampton Road, Teddington, TW11 0LW, United Kingdom</w:t>
      </w:r>
    </w:p>
    <w:p w14:paraId="4E3F9FFC" w14:textId="77777777" w:rsidR="00AA6917" w:rsidRPr="00342FBA" w:rsidRDefault="00AA6917" w:rsidP="00A419D1">
      <w:pPr>
        <w:spacing w:after="0" w:line="360" w:lineRule="auto"/>
        <w:jc w:val="left"/>
        <w:rPr>
          <w:rFonts w:eastAsia="MS Mincho" w:cs="Times New Roman"/>
          <w:szCs w:val="24"/>
          <w:lang w:val="en-US" w:eastAsia="ja-JP"/>
        </w:rPr>
      </w:pPr>
    </w:p>
    <w:p w14:paraId="4E3F9FFD" w14:textId="77777777" w:rsidR="00AA6917" w:rsidRPr="00342FBA" w:rsidRDefault="00AA6917" w:rsidP="00A419D1">
      <w:pPr>
        <w:spacing w:after="0" w:line="360" w:lineRule="auto"/>
        <w:jc w:val="left"/>
        <w:rPr>
          <w:rFonts w:eastAsia="MS Mincho" w:cs="Times New Roman"/>
          <w:szCs w:val="24"/>
          <w:lang w:val="en-US" w:eastAsia="ja-JP"/>
        </w:rPr>
      </w:pPr>
      <w:r w:rsidRPr="00342FBA">
        <w:rPr>
          <w:rFonts w:eastAsia="MS Mincho" w:cs="Times New Roman"/>
          <w:bCs/>
          <w:szCs w:val="24"/>
          <w:lang w:val="en-US" w:eastAsia="ja-JP"/>
        </w:rPr>
        <w:t>Keywords: nanoscale heat transport, thermal conductivity anisotropy, γ-InSe, vdW materials, xSThM</w:t>
      </w:r>
    </w:p>
    <w:p w14:paraId="4E3F9FFE" w14:textId="77777777" w:rsidR="00AA6917" w:rsidRPr="00342FBA" w:rsidRDefault="00AA6917" w:rsidP="00A419D1">
      <w:pPr>
        <w:spacing w:after="0" w:line="360" w:lineRule="auto"/>
        <w:jc w:val="left"/>
        <w:rPr>
          <w:rFonts w:eastAsia="MS Mincho" w:cs="Times New Roman"/>
          <w:szCs w:val="24"/>
          <w:lang w:val="en-US" w:eastAsia="ja-JP"/>
        </w:rPr>
      </w:pPr>
    </w:p>
    <w:p w14:paraId="4E3F9FFF" w14:textId="77777777" w:rsidR="00AA6917" w:rsidRPr="00342FBA" w:rsidRDefault="00AA6917" w:rsidP="00A419D1">
      <w:pPr>
        <w:spacing w:after="0" w:line="360" w:lineRule="auto"/>
        <w:rPr>
          <w:szCs w:val="24"/>
          <w:lang w:val="en-US"/>
        </w:rPr>
      </w:pPr>
      <w:r w:rsidRPr="0029300F">
        <w:rPr>
          <w:rFonts w:eastAsia="MS Mincho" w:cs="Times New Roman"/>
          <w:szCs w:val="24"/>
          <w:lang w:val="en-US" w:eastAsia="ja-JP"/>
        </w:rPr>
        <w:t xml:space="preserve">Van der Waals (vdW) atomically thin materials and their heterostructures offer a versatile and highly tunable platform for management of nanoscale heat transport and design of novel </w:t>
      </w:r>
      <w:r w:rsidRPr="0029300F">
        <w:rPr>
          <w:rFonts w:eastAsia="MS Mincho" w:cs="Times New Roman"/>
          <w:szCs w:val="24"/>
          <w:lang w:val="en-US" w:eastAsia="ja-JP"/>
        </w:rPr>
        <w:lastRenderedPageBreak/>
        <w:t xml:space="preserve">thermoelectrics. These require measurement of highly anisotropic heat transport in vdW-based nanolayers, a major challenge for nanostructured materials and devices. In the present study, we use a novel effective method of cross-sectional scanning thermal microscopy to map and quantify the anisotropic heat transport in nanoscale thick layers of vdW materials and the material-substrate interfaces. This technique measures the heat conducted into a vdW crystal via the nanoscale apex of a heat-sensitive probe. The crystal is nano-polished via Ar ion beams intersecting at a low negative angle, generating an oblique nearly-atomically-flat surface. By measuring the thermal conductance variation as a function of increasing layer thickness, the transition between the cross-plane and in-plane heat transport (defined by heat conductivity anisotropy) is acquired. By using a direct analytical model validated by finite elements simulations, we study anisotropic thermal transport in a γ-InSe crystal nano-thin flake on a Si substrate, obtaining results corresponding to anomalously low anisotropic thermal conductivities of </w:t>
      </w:r>
      <w:r w:rsidRPr="0029300F">
        <w:rPr>
          <w:rFonts w:eastAsia="MS Mincho" w:cs="Times New Roman"/>
          <w:i/>
          <w:iCs/>
          <w:szCs w:val="24"/>
          <w:lang w:val="en-US" w:eastAsia="ja-JP"/>
        </w:rPr>
        <w:t>k</w:t>
      </w:r>
      <w:r w:rsidRPr="0029300F">
        <w:rPr>
          <w:rFonts w:eastAsia="MS Mincho" w:cs="Times New Roman"/>
          <w:szCs w:val="24"/>
          <w:vertAlign w:val="subscript"/>
          <w:lang w:val="en-US" w:eastAsia="ja-JP"/>
        </w:rPr>
        <w:t>xy</w:t>
      </w:r>
      <w:r w:rsidRPr="0029300F">
        <w:rPr>
          <w:rFonts w:eastAsia="MS Mincho" w:cs="Times New Roman"/>
          <w:szCs w:val="24"/>
          <w:lang w:val="en-US" w:eastAsia="ja-JP"/>
        </w:rPr>
        <w:t xml:space="preserve"> = 2.16 Wm</w:t>
      </w:r>
      <w:r w:rsidRPr="0029300F">
        <w:rPr>
          <w:rFonts w:eastAsia="MS Mincho" w:cs="Times New Roman"/>
          <w:szCs w:val="24"/>
          <w:vertAlign w:val="superscript"/>
          <w:lang w:val="en-US" w:eastAsia="ja-JP"/>
        </w:rPr>
        <w:t>-1</w:t>
      </w:r>
      <w:r w:rsidRPr="0029300F">
        <w:rPr>
          <w:rFonts w:eastAsia="MS Mincho" w:cs="Times New Roman"/>
          <w:szCs w:val="24"/>
          <w:lang w:val="en-US" w:eastAsia="ja-JP"/>
        </w:rPr>
        <w:t>K</w:t>
      </w:r>
      <w:r w:rsidRPr="0029300F">
        <w:rPr>
          <w:rFonts w:eastAsia="MS Mincho" w:cs="Times New Roman"/>
          <w:szCs w:val="24"/>
          <w:vertAlign w:val="superscript"/>
          <w:lang w:val="en-US" w:eastAsia="ja-JP"/>
        </w:rPr>
        <w:t>-1</w:t>
      </w:r>
      <w:r w:rsidRPr="0029300F">
        <w:rPr>
          <w:rFonts w:eastAsia="MS Mincho" w:cs="Times New Roman"/>
          <w:szCs w:val="24"/>
          <w:lang w:val="en-US" w:eastAsia="ja-JP"/>
        </w:rPr>
        <w:t xml:space="preserve"> in-plane and </w:t>
      </w:r>
      <w:r w:rsidRPr="0029300F">
        <w:rPr>
          <w:rFonts w:eastAsia="MS Mincho" w:cs="Times New Roman"/>
          <w:i/>
          <w:iCs/>
          <w:szCs w:val="24"/>
          <w:lang w:val="en-US" w:eastAsia="ja-JP"/>
        </w:rPr>
        <w:t>k</w:t>
      </w:r>
      <w:r w:rsidRPr="0029300F">
        <w:rPr>
          <w:rFonts w:eastAsia="MS Mincho" w:cs="Times New Roman"/>
          <w:szCs w:val="24"/>
          <w:vertAlign w:val="subscript"/>
          <w:lang w:val="en-US" w:eastAsia="ja-JP"/>
        </w:rPr>
        <w:t>z</w:t>
      </w:r>
      <w:r w:rsidRPr="0029300F">
        <w:rPr>
          <w:rFonts w:eastAsia="MS Mincho" w:cs="Times New Roman"/>
          <w:szCs w:val="24"/>
          <w:lang w:val="en-US" w:eastAsia="ja-JP"/>
        </w:rPr>
        <w:t xml:space="preserve"> = 0.89 Wm</w:t>
      </w:r>
      <w:r w:rsidRPr="0029300F">
        <w:rPr>
          <w:rFonts w:eastAsia="MS Mincho" w:cs="Times New Roman"/>
          <w:szCs w:val="24"/>
          <w:vertAlign w:val="superscript"/>
          <w:lang w:val="en-US" w:eastAsia="ja-JP"/>
        </w:rPr>
        <w:t>-1</w:t>
      </w:r>
      <w:r w:rsidRPr="0029300F">
        <w:rPr>
          <w:rFonts w:eastAsia="MS Mincho" w:cs="Times New Roman"/>
          <w:szCs w:val="24"/>
          <w:lang w:val="en-US" w:eastAsia="ja-JP"/>
        </w:rPr>
        <w:t>K</w:t>
      </w:r>
      <w:r w:rsidRPr="0029300F">
        <w:rPr>
          <w:rFonts w:eastAsia="MS Mincho" w:cs="Times New Roman"/>
          <w:szCs w:val="24"/>
          <w:vertAlign w:val="superscript"/>
          <w:lang w:val="en-US" w:eastAsia="ja-JP"/>
        </w:rPr>
        <w:t>-1</w:t>
      </w:r>
      <w:r w:rsidRPr="0029300F">
        <w:rPr>
          <w:rFonts w:eastAsia="MS Mincho" w:cs="Times New Roman"/>
          <w:szCs w:val="24"/>
          <w:lang w:val="en-US" w:eastAsia="ja-JP"/>
        </w:rPr>
        <w:t xml:space="preserve"> cross-plane confirming its potential for thermoelectric applications.</w:t>
      </w:r>
      <w:bookmarkEnd w:id="0"/>
      <w:r w:rsidRPr="00342FBA">
        <w:rPr>
          <w:lang w:val="en-US"/>
        </w:rPr>
        <w:br w:type="page"/>
      </w:r>
    </w:p>
    <w:p w14:paraId="4E3FA000" w14:textId="77777777" w:rsidR="00AA6917" w:rsidRPr="0029300F" w:rsidRDefault="00AA6917" w:rsidP="00A419D1">
      <w:pPr>
        <w:pStyle w:val="Heading1"/>
        <w:rPr>
          <w:lang w:val="en-US"/>
        </w:rPr>
      </w:pPr>
      <w:r w:rsidRPr="0029300F">
        <w:rPr>
          <w:lang w:val="en-US"/>
        </w:rPr>
        <w:lastRenderedPageBreak/>
        <w:t>Introduction</w:t>
      </w:r>
    </w:p>
    <w:p w14:paraId="4E3FA001" w14:textId="2706EE0D" w:rsidR="00AA6917" w:rsidRPr="0029300F" w:rsidRDefault="00AA6917" w:rsidP="00A419D1">
      <w:pPr>
        <w:spacing w:after="0" w:line="360" w:lineRule="auto"/>
        <w:rPr>
          <w:lang w:val="en-US"/>
        </w:rPr>
      </w:pPr>
      <w:r w:rsidRPr="0029300F">
        <w:rPr>
          <w:lang w:val="en-US"/>
        </w:rPr>
        <w:t>The unique properties of atomically thin two-dimensional materials (2DMs) include versatile electronic band structures, ultimate mechanical strength, and record both high and low thermal conductivities.</w:t>
      </w:r>
      <w:r w:rsidRPr="0029300F">
        <w:rPr>
          <w:noProof/>
          <w:vertAlign w:val="superscript"/>
          <w:lang w:val="en-US"/>
        </w:rPr>
        <w:t xml:space="preserve"> [1-4]</w:t>
      </w:r>
      <w:r w:rsidRPr="0029300F">
        <w:rPr>
          <w:lang w:val="en-US"/>
        </w:rPr>
        <w:t xml:space="preserve"> Van der Waals (vdW) stacked heterostructures allow efficient tuning of these properties, opening multiple applications in diverse areas.</w:t>
      </w:r>
      <w:r w:rsidRPr="0029300F">
        <w:rPr>
          <w:noProof/>
          <w:vertAlign w:val="superscript"/>
          <w:lang w:val="en-US"/>
        </w:rPr>
        <w:t xml:space="preserve"> [5-8]</w:t>
      </w:r>
      <w:r w:rsidRPr="0029300F">
        <w:rPr>
          <w:lang w:val="en-US"/>
        </w:rPr>
        <w:t xml:space="preserve"> Varying the thickness and geometrical arrangement of the constituent atomic layers enables the engineering of both electrical and thermal conductivities.</w:t>
      </w:r>
      <w:r w:rsidRPr="0029300F">
        <w:rPr>
          <w:noProof/>
          <w:vertAlign w:val="superscript"/>
          <w:lang w:val="en-US"/>
        </w:rPr>
        <w:t xml:space="preserve"> [9-14]</w:t>
      </w:r>
      <w:r w:rsidRPr="0029300F">
        <w:rPr>
          <w:lang w:val="en-US"/>
        </w:rPr>
        <w:t xml:space="preserve"> In turn, this allows the use of vdW materials as promoters of heat dissipation in nanostructures,</w:t>
      </w:r>
      <w:r w:rsidRPr="00621088">
        <w:rPr>
          <w:noProof/>
          <w:vertAlign w:val="superscript"/>
          <w:lang w:val="en-US"/>
        </w:rPr>
        <w:t xml:space="preserve"> [15-16]</w:t>
      </w:r>
      <w:r w:rsidRPr="0029300F">
        <w:rPr>
          <w:lang w:val="en-US"/>
        </w:rPr>
        <w:t xml:space="preserve"> providing vitally needed heat spreading in processors chips.</w:t>
      </w:r>
      <w:r w:rsidRPr="0029300F">
        <w:rPr>
          <w:noProof/>
          <w:vertAlign w:val="superscript"/>
          <w:lang w:val="en-US"/>
        </w:rPr>
        <w:t xml:space="preserve"> [17-19]</w:t>
      </w:r>
      <w:r w:rsidRPr="0029300F">
        <w:rPr>
          <w:lang w:val="en-US"/>
        </w:rPr>
        <w:t xml:space="preserve"> At the same time, other vdW materials allow to decrease the heat transport in semiconductor structures, a subject of great interest in thermoelectric (TE) applications,</w:t>
      </w:r>
      <w:r w:rsidRPr="0029300F">
        <w:rPr>
          <w:noProof/>
          <w:vertAlign w:val="superscript"/>
          <w:lang w:val="en-US"/>
        </w:rPr>
        <w:t xml:space="preserve"> [20-24]</w:t>
      </w:r>
      <w:r w:rsidRPr="0029300F">
        <w:rPr>
          <w:lang w:val="en-US"/>
        </w:rPr>
        <w:t xml:space="preserve"> where thermal conductance that has both electronic and phononic contributions</w:t>
      </w:r>
      <w:r w:rsidRPr="0029300F">
        <w:rPr>
          <w:noProof/>
          <w:vertAlign w:val="superscript"/>
          <w:lang w:val="en-US"/>
        </w:rPr>
        <w:t xml:space="preserve"> [22]</w:t>
      </w:r>
      <w:r w:rsidRPr="0029300F">
        <w:rPr>
          <w:lang w:val="en-US"/>
        </w:rPr>
        <w:t xml:space="preserve"> is a detrimental phenomenon. Semiconductor materials generally are the most likely candidates for TE devices, given that they possess a band structure that can provide high electrical conductivity and TE Seebeck coefficient, as well as relatively low phonon-dominated thermal conductivity.</w:t>
      </w:r>
      <w:r w:rsidRPr="0029300F">
        <w:rPr>
          <w:noProof/>
          <w:vertAlign w:val="superscript"/>
          <w:lang w:val="en-US"/>
        </w:rPr>
        <w:t xml:space="preserve"> [25-27]</w:t>
      </w:r>
      <w:r w:rsidRPr="0029300F">
        <w:rPr>
          <w:lang w:val="en-US"/>
        </w:rPr>
        <w:t xml:space="preserve"> In the search for the ideal material, gamma indium selenide (</w:t>
      </w:r>
      <w:bookmarkStart w:id="1" w:name="_Hlk104898738"/>
      <w:r w:rsidRPr="0029300F">
        <w:rPr>
          <w:lang w:val="en-US"/>
        </w:rPr>
        <w:t>γ-InSe</w:t>
      </w:r>
      <w:bookmarkEnd w:id="1"/>
      <w:r w:rsidRPr="0029300F">
        <w:rPr>
          <w:lang w:val="en-US"/>
        </w:rPr>
        <w:t xml:space="preserve">), a material that can form a series of different allotropes, holds a promise of such a “wonder” thermoelectric </w:t>
      </w:r>
      <w:r w:rsidRPr="003F60DE">
        <w:rPr>
          <w:lang w:val="en-US"/>
        </w:rPr>
        <w:t>candidate, thanks to its direct bandgap, high electrical conductivity, and atomically flat layered structure with interlayer vdW bonds</w:t>
      </w:r>
      <w:r w:rsidR="000D65F4">
        <w:rPr>
          <w:lang w:val="en-US"/>
        </w:rPr>
        <w:t>.</w:t>
      </w:r>
      <w:bookmarkStart w:id="2" w:name="_GoBack"/>
      <w:bookmarkEnd w:id="2"/>
      <w:r w:rsidRPr="003F60DE">
        <w:rPr>
          <w:szCs w:val="24"/>
          <w:lang w:val="en-US"/>
        </w:rPr>
        <w:t xml:space="preserve"> This semiconductor belongs to a wide family of metal chalcogenide (</w:t>
      </w:r>
      <w:r w:rsidRPr="003F60DE">
        <w:rPr>
          <w:rFonts w:cs="Times New Roman"/>
          <w:szCs w:val="24"/>
          <w:shd w:val="clear" w:color="auto" w:fill="FFFFFF"/>
        </w:rPr>
        <w:t xml:space="preserve">MC) </w:t>
      </w:r>
      <w:r w:rsidRPr="003F60DE">
        <w:rPr>
          <w:szCs w:val="24"/>
          <w:lang w:val="en-US"/>
        </w:rPr>
        <w:t xml:space="preserve">compounds </w:t>
      </w:r>
      <w:r w:rsidRPr="003F60DE">
        <w:rPr>
          <w:rFonts w:cs="Times New Roman"/>
          <w:szCs w:val="24"/>
          <w:shd w:val="clear" w:color="auto" w:fill="FFFFFF"/>
        </w:rPr>
        <w:t>(M = group-III metals Ga and In; C = group-VI chalcogens S, Se and Te). They can exist in different stoichiometries, crystal structures and layer stacking sequences</w:t>
      </w:r>
      <w:r w:rsidRPr="003F60DE">
        <w:rPr>
          <w:szCs w:val="24"/>
          <w:lang w:val="en-US"/>
        </w:rPr>
        <w:t xml:space="preserve"> (</w:t>
      </w:r>
      <w:r w:rsidRPr="003F60DE">
        <w:rPr>
          <w:i/>
          <w:szCs w:val="24"/>
          <w:lang w:val="en-US"/>
        </w:rPr>
        <w:t>e.g.</w:t>
      </w:r>
      <w:r w:rsidRPr="003F60DE">
        <w:rPr>
          <w:szCs w:val="24"/>
          <w:lang w:val="en-US"/>
        </w:rPr>
        <w:t xml:space="preserve"> In</w:t>
      </w:r>
      <w:r w:rsidRPr="003F60DE">
        <w:rPr>
          <w:szCs w:val="24"/>
          <w:vertAlign w:val="subscript"/>
          <w:lang w:val="en-US"/>
        </w:rPr>
        <w:t>2</w:t>
      </w:r>
      <w:r w:rsidRPr="003F60DE">
        <w:rPr>
          <w:szCs w:val="24"/>
          <w:lang w:val="en-US"/>
        </w:rPr>
        <w:t>Se</w:t>
      </w:r>
      <w:r w:rsidRPr="003F60DE">
        <w:rPr>
          <w:szCs w:val="24"/>
          <w:vertAlign w:val="subscript"/>
          <w:lang w:val="en-US"/>
        </w:rPr>
        <w:t>3</w:t>
      </w:r>
      <w:bookmarkStart w:id="3" w:name="_Hlk99971580"/>
      <w:r w:rsidRPr="003F60DE">
        <w:rPr>
          <w:lang w:val="en-US"/>
        </w:rPr>
        <w:t xml:space="preserve"> </w:t>
      </w:r>
      <w:r w:rsidRPr="003F60DE">
        <w:rPr>
          <w:noProof/>
          <w:vertAlign w:val="superscript"/>
          <w:lang w:val="en-US"/>
        </w:rPr>
        <w:t>[28-30]</w:t>
      </w:r>
      <w:r w:rsidRPr="003F60DE">
        <w:rPr>
          <w:lang w:val="en-US"/>
        </w:rPr>
        <w:t>, In</w:t>
      </w:r>
      <w:r w:rsidRPr="003F60DE">
        <w:rPr>
          <w:vertAlign w:val="subscript"/>
          <w:lang w:val="en-US"/>
        </w:rPr>
        <w:t>2</w:t>
      </w:r>
      <w:r w:rsidRPr="003F60DE">
        <w:rPr>
          <w:lang w:val="en-US"/>
        </w:rPr>
        <w:t>S</w:t>
      </w:r>
      <w:r w:rsidRPr="003F60DE">
        <w:rPr>
          <w:vertAlign w:val="subscript"/>
          <w:lang w:val="en-US"/>
        </w:rPr>
        <w:t>3</w:t>
      </w:r>
      <w:r w:rsidRPr="003F60DE">
        <w:rPr>
          <w:lang w:val="en-US"/>
        </w:rPr>
        <w:t>, Ga</w:t>
      </w:r>
      <w:r w:rsidRPr="003F60DE">
        <w:rPr>
          <w:vertAlign w:val="subscript"/>
          <w:lang w:val="en-US"/>
        </w:rPr>
        <w:t>2</w:t>
      </w:r>
      <w:r w:rsidRPr="003F60DE">
        <w:rPr>
          <w:lang w:val="en-US"/>
        </w:rPr>
        <w:t>S</w:t>
      </w:r>
      <w:r w:rsidRPr="003F60DE">
        <w:rPr>
          <w:vertAlign w:val="subscript"/>
          <w:lang w:val="en-US"/>
        </w:rPr>
        <w:t>3</w:t>
      </w:r>
      <w:r w:rsidRPr="003F60DE">
        <w:rPr>
          <w:lang w:val="en-US"/>
        </w:rPr>
        <w:t xml:space="preserve"> </w:t>
      </w:r>
      <w:r w:rsidRPr="003F60DE">
        <w:rPr>
          <w:noProof/>
          <w:vertAlign w:val="superscript"/>
          <w:lang w:val="en-US"/>
        </w:rPr>
        <w:t>[28, 31]</w:t>
      </w:r>
      <w:r w:rsidRPr="003F60DE">
        <w:rPr>
          <w:lang w:val="en-US"/>
        </w:rPr>
        <w:t xml:space="preserve"> and many others</w:t>
      </w:r>
      <w:r w:rsidRPr="003F60DE">
        <w:rPr>
          <w:szCs w:val="24"/>
          <w:lang w:val="en-US"/>
        </w:rPr>
        <w:t xml:space="preserve">) and </w:t>
      </w:r>
      <w:r w:rsidRPr="003F60DE">
        <w:rPr>
          <w:lang w:val="en-US"/>
        </w:rPr>
        <w:t xml:space="preserve">exhibit a range of unique physical properties required for modern ultra-thin electronic devices, </w:t>
      </w:r>
      <w:bookmarkEnd w:id="3"/>
      <w:r w:rsidRPr="003F60DE">
        <w:rPr>
          <w:noProof/>
          <w:vertAlign w:val="superscript"/>
          <w:lang w:val="en-US"/>
        </w:rPr>
        <w:t>[32-33]</w:t>
      </w:r>
      <w:r w:rsidRPr="003F60DE">
        <w:rPr>
          <w:lang w:val="en-US"/>
        </w:rPr>
        <w:t xml:space="preserve"> such as ferroelectricity </w:t>
      </w:r>
      <w:r w:rsidRPr="003F60DE">
        <w:rPr>
          <w:noProof/>
          <w:vertAlign w:val="superscript"/>
          <w:lang w:val="en-US"/>
        </w:rPr>
        <w:t>[34]</w:t>
      </w:r>
      <w:r w:rsidRPr="003F60DE">
        <w:rPr>
          <w:lang w:val="en-US"/>
        </w:rPr>
        <w:t>, high mechanical strength and flexibility, ferroelectricity, thickness-tunable optical band edge absorption,</w:t>
      </w:r>
      <w:r w:rsidRPr="003F60DE">
        <w:rPr>
          <w:noProof/>
          <w:vertAlign w:val="superscript"/>
          <w:lang w:val="en-US"/>
        </w:rPr>
        <w:t xml:space="preserve"> [35-36]</w:t>
      </w:r>
      <w:r w:rsidRPr="003F60DE">
        <w:rPr>
          <w:lang w:val="en-US"/>
        </w:rPr>
        <w:t xml:space="preserve"> photoresponsivity in the broad infrared to the ultra-violet light range,</w:t>
      </w:r>
      <w:r w:rsidRPr="003F60DE">
        <w:rPr>
          <w:noProof/>
          <w:vertAlign w:val="superscript"/>
          <w:lang w:val="en-US"/>
        </w:rPr>
        <w:t xml:space="preserve"> [31, 37-39]</w:t>
      </w:r>
      <w:r w:rsidRPr="003F60DE">
        <w:rPr>
          <w:lang w:val="en-US"/>
        </w:rPr>
        <w:t xml:space="preserve"> as well as high electron mobility and low-mass charge carriers that improve the electrical transport in electronic applications and the</w:t>
      </w:r>
      <w:r w:rsidRPr="0029300F">
        <w:rPr>
          <w:lang w:val="en-US"/>
        </w:rPr>
        <w:t xml:space="preserve"> speed of photoresponse.</w:t>
      </w:r>
      <w:r w:rsidRPr="005A7543">
        <w:rPr>
          <w:noProof/>
          <w:vertAlign w:val="superscript"/>
          <w:lang w:val="en-US"/>
        </w:rPr>
        <w:t xml:space="preserve"> [40]</w:t>
      </w:r>
      <w:r w:rsidRPr="0029300F">
        <w:rPr>
          <w:lang w:val="en-US"/>
        </w:rPr>
        <w:t xml:space="preserve"> However, the data on thermal transport characteristics in γ-InSe are very limited</w:t>
      </w:r>
      <w:r w:rsidRPr="005A7543">
        <w:rPr>
          <w:noProof/>
          <w:vertAlign w:val="superscript"/>
          <w:lang w:val="en-US"/>
        </w:rPr>
        <w:t xml:space="preserve"> [41]</w:t>
      </w:r>
      <w:r w:rsidRPr="0029300F">
        <w:rPr>
          <w:lang w:val="en-US"/>
        </w:rPr>
        <w:t xml:space="preserve"> compared to those for optical or electrical properties, with the majority of the current knowledge based on a theoretical analysis of the thermal transport in this material and no reports of experimental measurements of thermal transport anisotropy in γ-InSe.</w:t>
      </w:r>
      <w:r w:rsidRPr="005A7543">
        <w:rPr>
          <w:noProof/>
          <w:vertAlign w:val="superscript"/>
          <w:lang w:val="en-US"/>
        </w:rPr>
        <w:t xml:space="preserve"> [35, 41-44]</w:t>
      </w:r>
    </w:p>
    <w:p w14:paraId="4E3FA002" w14:textId="77777777" w:rsidR="00AA6917" w:rsidRPr="0029300F" w:rsidRDefault="00AA6917" w:rsidP="00A419D1">
      <w:pPr>
        <w:spacing w:after="0" w:line="360" w:lineRule="auto"/>
        <w:rPr>
          <w:lang w:val="en-US"/>
        </w:rPr>
      </w:pPr>
      <w:r w:rsidRPr="0029300F">
        <w:rPr>
          <w:lang w:val="en-US"/>
        </w:rPr>
        <w:t>For experimental studies of thermal transport in nanostructures, scanning thermal microscopy (SThM), a technique that measures the heat flow from a micromachined probe into the sample in contact with its nanoscale apex, is, arguably, the most efficient method to investigate thermal transport at the nanoscale.</w:t>
      </w:r>
      <w:r w:rsidRPr="005A7543">
        <w:rPr>
          <w:noProof/>
          <w:vertAlign w:val="superscript"/>
          <w:lang w:val="en-US"/>
        </w:rPr>
        <w:t xml:space="preserve"> [45-47]</w:t>
      </w:r>
      <w:r w:rsidRPr="0029300F">
        <w:rPr>
          <w:lang w:val="en-US"/>
        </w:rPr>
        <w:t xml:space="preserve"> However, the SThM in its current incarnation has major limitations when it comes to quantifying heat transport in anisotropic materials. In fact, the SThM response is strongly convoluted with the tip-sample thermal resistance</w:t>
      </w:r>
      <w:r w:rsidRPr="005A7543">
        <w:rPr>
          <w:noProof/>
          <w:vertAlign w:val="superscript"/>
          <w:lang w:val="en-US"/>
        </w:rPr>
        <w:t xml:space="preserve"> [48-49]</w:t>
      </w:r>
      <w:r w:rsidRPr="0029300F">
        <w:rPr>
          <w:lang w:val="en-US"/>
        </w:rPr>
        <w:t xml:space="preserve"> as well as affected by the interfacial thermal resistivity between the material and the substrate. A recent study of γ-InSe using SThM by Buckley </w:t>
      </w:r>
      <w:r w:rsidRPr="0029300F">
        <w:rPr>
          <w:iCs/>
          <w:lang w:val="en-US"/>
        </w:rPr>
        <w:t>et al.</w:t>
      </w:r>
      <w:r w:rsidRPr="005A7543">
        <w:rPr>
          <w:noProof/>
          <w:vertAlign w:val="superscript"/>
          <w:lang w:val="en-US"/>
        </w:rPr>
        <w:t xml:space="preserve"> [41]</w:t>
      </w:r>
      <w:r w:rsidRPr="0029300F">
        <w:rPr>
          <w:lang w:val="en-US"/>
        </w:rPr>
        <w:t xml:space="preserve"> revealed a low thermal conductivity for both free-standing InSe layers and layers supported by different substrate materials, such as low thermal conductivity silicon dioxide (SiO</w:t>
      </w:r>
      <w:r w:rsidRPr="0029300F">
        <w:rPr>
          <w:vertAlign w:val="subscript"/>
          <w:lang w:val="en-US"/>
        </w:rPr>
        <w:t>2</w:t>
      </w:r>
      <w:r w:rsidRPr="0029300F">
        <w:rPr>
          <w:lang w:val="en-US"/>
        </w:rPr>
        <w:t xml:space="preserve">). The SThM thermal response is influenced by phonon scattering at edges and interfaces of InSe, as well as strain and thermal coupling of the vdW material to its supporting substrate. However, this previous study of InSe neither could quantify the absolute values of thermal conductivity due to the generally unknown tip-sample and sample-substrate interfacial thermal resistances, nor evaluate the thermal conductivity anisotropy. With SThM studies conducted in air in this Buckley </w:t>
      </w:r>
      <w:r w:rsidRPr="0029300F">
        <w:rPr>
          <w:iCs/>
          <w:lang w:val="en-US"/>
        </w:rPr>
        <w:t>et al.</w:t>
      </w:r>
      <w:r w:rsidRPr="0029300F">
        <w:rPr>
          <w:lang w:val="en-US"/>
        </w:rPr>
        <w:t xml:space="preserve"> work, an additional unknown was also the through-the-air heat transport, complicating the absolute measurements of the thermal conductivity of the material itself. Importantly, no other SThM study to date has been able to differentiate between in-plane and cross-plane thermal transport in the nanoscale layers of vdW materials.</w:t>
      </w:r>
    </w:p>
    <w:p w14:paraId="4E3FA003" w14:textId="77777777" w:rsidR="00AA6917" w:rsidRPr="0029300F" w:rsidRDefault="00AA6917" w:rsidP="00A419D1">
      <w:pPr>
        <w:spacing w:after="0" w:line="360" w:lineRule="auto"/>
        <w:rPr>
          <w:lang w:val="en-US"/>
        </w:rPr>
      </w:pPr>
      <w:r w:rsidRPr="0029300F">
        <w:rPr>
          <w:lang w:val="en-US"/>
        </w:rPr>
        <w:t>Here, we address these challenges by employing a novel functional technique called cross-sectional scanning thermal microscopy (xSThM),</w:t>
      </w:r>
      <w:r w:rsidRPr="005A7543">
        <w:rPr>
          <w:noProof/>
          <w:vertAlign w:val="superscript"/>
          <w:lang w:val="en-US"/>
        </w:rPr>
        <w:t xml:space="preserve"> [49]</w:t>
      </w:r>
      <w:r w:rsidRPr="0029300F">
        <w:rPr>
          <w:lang w:val="en-US"/>
        </w:rPr>
        <w:t xml:space="preserve"> which uses a beam-exit cross-sectional nano-polishing (BEXP)</w:t>
      </w:r>
      <w:r w:rsidRPr="005A7543">
        <w:rPr>
          <w:noProof/>
          <w:vertAlign w:val="superscript"/>
          <w:lang w:val="en-US"/>
        </w:rPr>
        <w:t xml:space="preserve"> [49-50]</w:t>
      </w:r>
      <w:r w:rsidRPr="0029300F">
        <w:rPr>
          <w:lang w:val="en-US"/>
        </w:rPr>
        <w:t xml:space="preserve"> to prepare a nearly atomically-flat low-angle wedge-like cut of the studied material on the relevant substrate. The thermal conductance is then mapped </w:t>
      </w:r>
      <w:r w:rsidRPr="0029300F">
        <w:rPr>
          <w:iCs/>
          <w:lang w:val="en-US"/>
        </w:rPr>
        <w:t>via</w:t>
      </w:r>
      <w:r w:rsidRPr="0029300F">
        <w:rPr>
          <w:lang w:val="en-US"/>
        </w:rPr>
        <w:t xml:space="preserve"> SThM under high vacuum (HV) conditions, providing the tip-sample heat transport as a function of the layer thickness. We show that the contribution to the heat transport of an anisotropic layer from the in-plane and cross-plane thermal conductivities changes with the layer thickness. The analysis of the experimental data performed </w:t>
      </w:r>
      <w:r w:rsidRPr="0029300F">
        <w:rPr>
          <w:iCs/>
          <w:lang w:val="en-US"/>
        </w:rPr>
        <w:t>via</w:t>
      </w:r>
      <w:r w:rsidRPr="0029300F">
        <w:rPr>
          <w:lang w:val="en-US"/>
        </w:rPr>
        <w:t xml:space="preserve"> the straightforward “Muzychka-Spièce” fully analytical model</w:t>
      </w:r>
      <w:r w:rsidRPr="005A7543">
        <w:rPr>
          <w:noProof/>
          <w:vertAlign w:val="superscript"/>
          <w:lang w:val="en-US"/>
        </w:rPr>
        <w:t xml:space="preserve"> [49, 51-54]</w:t>
      </w:r>
      <w:r w:rsidRPr="0029300F">
        <w:rPr>
          <w:lang w:val="en-US"/>
        </w:rPr>
        <w:t xml:space="preserve"> (supported by the detailed finite element analysis (FEA) simulation) allows us to quantify the thermal conductivity along different crystallographic directions. This approach also independently provides the probe-sample interfacial thermal resistance and enables us to estimate the boundaries of the vdW material-substrate interface thermal resistivity. We apply the xSThM technique to study the thermal conductivity of γ-InSe on a Si substrate, highlighting the importance of the substrate in the thermal transport (see Supporting Information, SI, section S7) and demonstrating that xSThM, with its intrinsic sensitivity to the local heat transport, provides a powerful platform for quantitative studies of γ-InSe or other vdW materials, heterostructures, and relevant devices.</w:t>
      </w:r>
    </w:p>
    <w:p w14:paraId="4E3FA004" w14:textId="77777777" w:rsidR="00AA6917" w:rsidRPr="0029300F" w:rsidRDefault="00AA6917" w:rsidP="00A419D1">
      <w:pPr>
        <w:spacing w:after="0" w:line="360" w:lineRule="auto"/>
        <w:rPr>
          <w:lang w:val="en-US"/>
        </w:rPr>
      </w:pPr>
    </w:p>
    <w:p w14:paraId="4E3FA005" w14:textId="77777777" w:rsidR="00AA6917" w:rsidRPr="0029300F" w:rsidRDefault="00AA6917" w:rsidP="00A419D1">
      <w:pPr>
        <w:pStyle w:val="Heading1"/>
        <w:rPr>
          <w:lang w:val="en-US"/>
        </w:rPr>
      </w:pPr>
      <w:r w:rsidRPr="0029300F">
        <w:rPr>
          <w:lang w:val="en-US"/>
        </w:rPr>
        <w:t>Results and Discussion</w:t>
      </w:r>
    </w:p>
    <w:p w14:paraId="4E3FA006" w14:textId="77777777" w:rsidR="00AA6917" w:rsidRPr="0029300F" w:rsidRDefault="00AA6917" w:rsidP="00A419D1">
      <w:pPr>
        <w:pStyle w:val="Heading2"/>
        <w:rPr>
          <w:lang w:val="en-US"/>
        </w:rPr>
      </w:pPr>
      <w:r w:rsidRPr="0029300F">
        <w:rPr>
          <w:lang w:val="en-US"/>
        </w:rPr>
        <w:t>Sample preparation</w:t>
      </w:r>
    </w:p>
    <w:p w14:paraId="4E3FA007" w14:textId="77777777" w:rsidR="00AA6917" w:rsidRPr="0029300F" w:rsidRDefault="00AA6917" w:rsidP="00A419D1">
      <w:pPr>
        <w:keepNext/>
        <w:spacing w:after="0" w:line="360" w:lineRule="auto"/>
        <w:jc w:val="center"/>
        <w:rPr>
          <w:lang w:val="en-US"/>
        </w:rPr>
      </w:pPr>
      <w:r w:rsidRPr="0029300F">
        <w:rPr>
          <w:noProof/>
          <w:lang w:eastAsia="zh-CN"/>
        </w:rPr>
        <w:drawing>
          <wp:inline distT="0" distB="0" distL="0" distR="0" wp14:anchorId="4E3FA0FC" wp14:editId="4E3FA0FD">
            <wp:extent cx="5296205" cy="2750515"/>
            <wp:effectExtent l="0" t="0" r="0" b="0"/>
            <wp:docPr id="2"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Diagrama&#10;&#10;Descripción generada automáticamente"/>
                    <pic:cNvPicPr/>
                  </pic:nvPicPr>
                  <pic:blipFill>
                    <a:blip r:embed="rId9"/>
                    <a:stretch>
                      <a:fillRect/>
                    </a:stretch>
                  </pic:blipFill>
                  <pic:spPr>
                    <a:xfrm>
                      <a:off x="0" y="0"/>
                      <a:ext cx="5296205" cy="2750515"/>
                    </a:xfrm>
                    <a:prstGeom prst="rect">
                      <a:avLst/>
                    </a:prstGeom>
                  </pic:spPr>
                </pic:pic>
              </a:graphicData>
            </a:graphic>
          </wp:inline>
        </w:drawing>
      </w:r>
    </w:p>
    <w:p w14:paraId="4E3FA008" w14:textId="77777777" w:rsidR="00AA6917" w:rsidRPr="0029300F" w:rsidRDefault="00AA6917" w:rsidP="00A419D1">
      <w:pPr>
        <w:pStyle w:val="Caption"/>
        <w:spacing w:after="0" w:line="360" w:lineRule="auto"/>
        <w:rPr>
          <w:i w:val="0"/>
          <w:iCs w:val="0"/>
          <w:color w:val="auto"/>
          <w:sz w:val="24"/>
          <w:szCs w:val="24"/>
          <w:lang w:val="en-US"/>
        </w:rPr>
      </w:pPr>
      <w:bookmarkStart w:id="4" w:name="_Ref94811572"/>
      <w:r w:rsidRPr="0029300F">
        <w:rPr>
          <w:b/>
          <w:bCs/>
          <w:i w:val="0"/>
          <w:iCs w:val="0"/>
          <w:color w:val="auto"/>
          <w:sz w:val="24"/>
          <w:szCs w:val="24"/>
          <w:lang w:val="en-US"/>
        </w:rPr>
        <w:t xml:space="preserve">Figure </w:t>
      </w:r>
      <w:r w:rsidRPr="0029300F">
        <w:rPr>
          <w:b/>
          <w:bCs/>
          <w:i w:val="0"/>
          <w:iCs w:val="0"/>
          <w:color w:val="auto"/>
          <w:sz w:val="24"/>
          <w:szCs w:val="24"/>
          <w:lang w:val="en-US"/>
        </w:rPr>
        <w:fldChar w:fldCharType="begin"/>
      </w:r>
      <w:r w:rsidRPr="0029300F">
        <w:rPr>
          <w:b/>
          <w:bCs/>
          <w:i w:val="0"/>
          <w:iCs w:val="0"/>
          <w:color w:val="auto"/>
          <w:sz w:val="24"/>
          <w:szCs w:val="24"/>
          <w:lang w:val="en-US"/>
        </w:rPr>
        <w:instrText xml:space="preserve"> SEQ Figure \* ARABIC </w:instrText>
      </w:r>
      <w:r w:rsidRPr="0029300F">
        <w:rPr>
          <w:b/>
          <w:bCs/>
          <w:i w:val="0"/>
          <w:iCs w:val="0"/>
          <w:color w:val="auto"/>
          <w:sz w:val="24"/>
          <w:szCs w:val="24"/>
          <w:lang w:val="en-US"/>
        </w:rPr>
        <w:fldChar w:fldCharType="separate"/>
      </w:r>
      <w:r w:rsidRPr="0029300F">
        <w:rPr>
          <w:b/>
          <w:bCs/>
          <w:i w:val="0"/>
          <w:iCs w:val="0"/>
          <w:noProof/>
          <w:color w:val="auto"/>
          <w:sz w:val="24"/>
          <w:szCs w:val="24"/>
          <w:lang w:val="en-US"/>
        </w:rPr>
        <w:t>1</w:t>
      </w:r>
      <w:r w:rsidRPr="0029300F">
        <w:rPr>
          <w:b/>
          <w:bCs/>
          <w:i w:val="0"/>
          <w:iCs w:val="0"/>
          <w:color w:val="auto"/>
          <w:sz w:val="24"/>
          <w:szCs w:val="24"/>
          <w:lang w:val="en-US"/>
        </w:rPr>
        <w:fldChar w:fldCharType="end"/>
      </w:r>
      <w:bookmarkEnd w:id="4"/>
      <w:r w:rsidRPr="0029300F">
        <w:rPr>
          <w:b/>
          <w:bCs/>
          <w:i w:val="0"/>
          <w:iCs w:val="0"/>
          <w:color w:val="auto"/>
          <w:sz w:val="24"/>
          <w:szCs w:val="24"/>
          <w:lang w:val="en-US"/>
        </w:rPr>
        <w:t>.</w:t>
      </w:r>
      <w:r w:rsidRPr="0029300F">
        <w:rPr>
          <w:i w:val="0"/>
          <w:iCs w:val="0"/>
          <w:color w:val="auto"/>
          <w:sz w:val="24"/>
          <w:szCs w:val="24"/>
          <w:lang w:val="en-US"/>
        </w:rPr>
        <w:t xml:space="preserve"> BEXP sample preparation process. a) The sample containing the flake of interest is placed on a custom-built low-angle tilted stage. b) The area of the sample exposed to the argon-ion (Ar-ion) beams (</w:t>
      </w:r>
      <w:r w:rsidRPr="0029300F">
        <w:rPr>
          <w:i w:val="0"/>
          <w:color w:val="auto"/>
          <w:sz w:val="24"/>
          <w:szCs w:val="24"/>
          <w:lang w:val="en-US"/>
        </w:rPr>
        <w:t>i.e.</w:t>
      </w:r>
      <w:r w:rsidRPr="0029300F">
        <w:rPr>
          <w:i w:val="0"/>
          <w:iCs w:val="0"/>
          <w:color w:val="auto"/>
          <w:sz w:val="24"/>
          <w:szCs w:val="24"/>
          <w:lang w:val="en-US"/>
        </w:rPr>
        <w:t>, not shielded by the mask) is etched away. c) The sample is then mounted on the SThM stage for the thermal conductance measurements. d) Optical image of a γ-InSe flake deposited on a Si substrate prior to the BEXP cut. e) Same flake after the BEXP cut. Inset) Zoom of the area with a view of the wedge cut and the top flat surface of the sample.</w:t>
      </w:r>
    </w:p>
    <w:p w14:paraId="4E3FA009" w14:textId="77777777" w:rsidR="00AA6917" w:rsidRPr="0029300F" w:rsidRDefault="00AA6917" w:rsidP="00A419D1">
      <w:pPr>
        <w:rPr>
          <w:lang w:val="en-US"/>
        </w:rPr>
      </w:pPr>
    </w:p>
    <w:p w14:paraId="4E3FA00A" w14:textId="77777777" w:rsidR="00AA6917" w:rsidRPr="0029300F" w:rsidRDefault="00AA6917" w:rsidP="00A419D1">
      <w:pPr>
        <w:spacing w:after="0" w:line="360" w:lineRule="auto"/>
        <w:rPr>
          <w:lang w:val="en-US"/>
        </w:rPr>
      </w:pPr>
      <w:r w:rsidRPr="0029300F">
        <w:rPr>
          <w:lang w:val="en-US"/>
        </w:rPr>
        <w:t>In order to access the internal layers of our material we use beam exit cross-sectional polishing (BEXP). This technique allows us to create a low-angle wedge cut of the structure with near-atomic roughness.</w:t>
      </w:r>
      <w:r w:rsidRPr="005A7543">
        <w:rPr>
          <w:noProof/>
          <w:vertAlign w:val="superscript"/>
          <w:lang w:val="en-US"/>
        </w:rPr>
        <w:t xml:space="preserve"> [50]</w:t>
      </w:r>
      <w:r w:rsidRPr="0029300F">
        <w:rPr>
          <w:lang w:val="en-US"/>
        </w:rPr>
        <w:t xml:space="preserve"> </w:t>
      </w:r>
      <w:bookmarkStart w:id="5" w:name="_Hlk99976700"/>
      <w:r w:rsidRPr="0029300F">
        <w:rPr>
          <w:lang w:val="en-US"/>
        </w:rPr>
        <w:t>To perform the cut, the flake of interest is deposited close to the substrate’s edge (</w:t>
      </w:r>
      <w:r w:rsidRPr="0029300F">
        <w:rPr>
          <w:b/>
          <w:bCs/>
          <w:lang w:val="en-US"/>
        </w:rPr>
        <w:fldChar w:fldCharType="begin"/>
      </w:r>
      <w:r w:rsidRPr="0029300F">
        <w:rPr>
          <w:b/>
          <w:bCs/>
          <w:lang w:val="en-US"/>
        </w:rPr>
        <w:instrText xml:space="preserve"> REF _Ref94811572 \h  \* MERGEFORMAT </w:instrText>
      </w:r>
      <w:r w:rsidRPr="0029300F">
        <w:rPr>
          <w:b/>
          <w:bCs/>
          <w:lang w:val="en-US"/>
        </w:rPr>
      </w:r>
      <w:r w:rsidRPr="0029300F">
        <w:rPr>
          <w:b/>
          <w:bCs/>
          <w:lang w:val="en-US"/>
        </w:rPr>
        <w:fldChar w:fldCharType="separate"/>
      </w:r>
      <w:r w:rsidRPr="0029300F">
        <w:rPr>
          <w:b/>
          <w:bCs/>
          <w:szCs w:val="24"/>
          <w:lang w:val="en-US"/>
        </w:rPr>
        <w:t xml:space="preserve">Figure </w:t>
      </w:r>
      <w:r w:rsidRPr="0029300F">
        <w:rPr>
          <w:b/>
          <w:bCs/>
          <w:noProof/>
          <w:szCs w:val="24"/>
          <w:lang w:val="en-US"/>
        </w:rPr>
        <w:t>1</w:t>
      </w:r>
      <w:r w:rsidRPr="0029300F">
        <w:rPr>
          <w:b/>
          <w:bCs/>
          <w:lang w:val="en-US"/>
        </w:rPr>
        <w:fldChar w:fldCharType="end"/>
      </w:r>
      <w:r w:rsidRPr="0029300F">
        <w:rPr>
          <w:lang w:val="en-US"/>
        </w:rPr>
        <w:t xml:space="preserve">d), and then, the chip is positioned on a </w:t>
      </w:r>
      <w:bookmarkEnd w:id="5"/>
      <w:r w:rsidRPr="0029300F">
        <w:rPr>
          <w:lang w:val="en-US"/>
        </w:rPr>
        <w:t>stage that is tilted at a small angle (3-5º) with respect to the horizontal plane (</w:t>
      </w:r>
      <w:r w:rsidRPr="0029300F">
        <w:rPr>
          <w:lang w:val="en-US"/>
        </w:rPr>
        <w:fldChar w:fldCharType="begin"/>
      </w:r>
      <w:r w:rsidRPr="0029300F">
        <w:rPr>
          <w:lang w:val="en-US"/>
        </w:rPr>
        <w:instrText xml:space="preserve"> REF _Ref94811572 \h  \* MERGEFORMAT </w:instrText>
      </w:r>
      <w:r w:rsidRPr="0029300F">
        <w:rPr>
          <w:lang w:val="en-US"/>
        </w:rPr>
      </w:r>
      <w:r w:rsidRPr="0029300F">
        <w:rPr>
          <w:lang w:val="en-US"/>
        </w:rPr>
        <w:fldChar w:fldCharType="separate"/>
      </w:r>
      <w:r w:rsidRPr="0029300F">
        <w:rPr>
          <w:lang w:val="en-US"/>
        </w:rPr>
        <w:t xml:space="preserve">Figure </w:t>
      </w:r>
      <w:r w:rsidRPr="0029300F">
        <w:rPr>
          <w:noProof/>
          <w:lang w:val="en-US"/>
        </w:rPr>
        <w:t>1</w:t>
      </w:r>
      <w:r w:rsidRPr="0029300F">
        <w:rPr>
          <w:lang w:val="en-US"/>
        </w:rPr>
        <w:fldChar w:fldCharType="end"/>
      </w:r>
      <w:r w:rsidRPr="0029300F">
        <w:rPr>
          <w:lang w:val="en-US"/>
        </w:rPr>
        <w:t>a).  An etch-resistant mask is positioned on the side of the sample below the chip’s surface (</w:t>
      </w:r>
      <w:r w:rsidRPr="0029300F">
        <w:rPr>
          <w:lang w:val="en-US"/>
        </w:rPr>
        <w:fldChar w:fldCharType="begin"/>
      </w:r>
      <w:r w:rsidRPr="0029300F">
        <w:rPr>
          <w:lang w:val="en-US"/>
        </w:rPr>
        <w:instrText xml:space="preserve"> REF _Ref94811572 \h  \* MERGEFORMAT </w:instrText>
      </w:r>
      <w:r w:rsidRPr="0029300F">
        <w:rPr>
          <w:lang w:val="en-US"/>
        </w:rPr>
      </w:r>
      <w:r w:rsidRPr="0029300F">
        <w:rPr>
          <w:lang w:val="en-US"/>
        </w:rPr>
        <w:fldChar w:fldCharType="separate"/>
      </w:r>
      <w:r w:rsidRPr="0029300F">
        <w:rPr>
          <w:lang w:val="en-US"/>
        </w:rPr>
        <w:t xml:space="preserve">Figure </w:t>
      </w:r>
      <w:r w:rsidRPr="0029300F">
        <w:rPr>
          <w:noProof/>
          <w:lang w:val="en-US"/>
        </w:rPr>
        <w:t>1</w:t>
      </w:r>
      <w:r w:rsidRPr="0029300F">
        <w:rPr>
          <w:lang w:val="en-US"/>
        </w:rPr>
        <w:fldChar w:fldCharType="end"/>
      </w:r>
      <w:r w:rsidRPr="0029300F">
        <w:rPr>
          <w:lang w:val="en-US"/>
        </w:rPr>
        <w:t>b). Subsequently, three overlapping co-planar Ar-ion guns create an ion flux that is directed towards the side edge of the sample and that exits through the top surface (hence, the “beam exit” name). The region of the sample that is exposed to the polishing beam is etched away over a period of several hours. With the combination of the non-reactive nature of Ar, the near-glancing incidence angle, and the two-stage post-polishing process at reduced ion energy (</w:t>
      </w:r>
      <w:r w:rsidRPr="0029300F">
        <w:rPr>
          <w:lang w:val="en-US"/>
        </w:rPr>
        <w:fldChar w:fldCharType="begin"/>
      </w:r>
      <w:r w:rsidRPr="0029300F">
        <w:rPr>
          <w:lang w:val="en-US"/>
        </w:rPr>
        <w:instrText xml:space="preserve"> REF _Ref94811572 \h  \* MERGEFORMAT </w:instrText>
      </w:r>
      <w:r w:rsidRPr="0029300F">
        <w:rPr>
          <w:lang w:val="en-US"/>
        </w:rPr>
      </w:r>
      <w:r w:rsidRPr="0029300F">
        <w:rPr>
          <w:lang w:val="en-US"/>
        </w:rPr>
        <w:fldChar w:fldCharType="separate"/>
      </w:r>
      <w:r w:rsidRPr="0029300F">
        <w:rPr>
          <w:lang w:val="en-US"/>
        </w:rPr>
        <w:t xml:space="preserve">Figure </w:t>
      </w:r>
      <w:r w:rsidRPr="0029300F">
        <w:rPr>
          <w:noProof/>
          <w:lang w:val="en-US"/>
        </w:rPr>
        <w:t>1</w:t>
      </w:r>
      <w:r w:rsidRPr="0029300F">
        <w:rPr>
          <w:lang w:val="en-US"/>
        </w:rPr>
        <w:fldChar w:fldCharType="end"/>
      </w:r>
      <w:r w:rsidRPr="0029300F">
        <w:rPr>
          <w:lang w:val="en-US"/>
        </w:rPr>
        <w:t xml:space="preserve">b and </w:t>
      </w:r>
      <w:r w:rsidRPr="0029300F">
        <w:rPr>
          <w:lang w:val="en-US"/>
        </w:rPr>
        <w:fldChar w:fldCharType="begin"/>
      </w:r>
      <w:r w:rsidRPr="0029300F">
        <w:rPr>
          <w:lang w:val="en-US"/>
        </w:rPr>
        <w:instrText xml:space="preserve"> REF _Ref121611013 \h </w:instrText>
      </w:r>
      <w:r>
        <w:rPr>
          <w:lang w:val="en-US"/>
        </w:rPr>
        <w:instrText xml:space="preserve"> \* MERGEFORMAT </w:instrText>
      </w:r>
      <w:r w:rsidRPr="0029300F">
        <w:rPr>
          <w:lang w:val="en-US"/>
        </w:rPr>
      </w:r>
      <w:r w:rsidRPr="0029300F">
        <w:rPr>
          <w:lang w:val="en-US"/>
        </w:rPr>
        <w:fldChar w:fldCharType="separate"/>
      </w:r>
      <w:r w:rsidRPr="0029300F">
        <w:rPr>
          <w:lang w:val="en-US"/>
        </w:rPr>
        <w:t>Experimental Section</w:t>
      </w:r>
      <w:r w:rsidRPr="0029300F">
        <w:rPr>
          <w:lang w:val="en-US"/>
        </w:rPr>
        <w:fldChar w:fldCharType="end"/>
      </w:r>
      <w:r w:rsidRPr="0029300F">
        <w:rPr>
          <w:lang w:val="en-US"/>
        </w:rPr>
        <w:t>), the final surface presents a near-atomically smooth tilted cut (</w:t>
      </w:r>
      <w:r w:rsidRPr="0029300F">
        <w:rPr>
          <w:lang w:val="en-US"/>
        </w:rPr>
        <w:fldChar w:fldCharType="begin"/>
      </w:r>
      <w:r w:rsidRPr="0029300F">
        <w:rPr>
          <w:lang w:val="en-US"/>
        </w:rPr>
        <w:instrText xml:space="preserve"> REF _Ref94811572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1</w:t>
      </w:r>
      <w:r w:rsidRPr="0029300F">
        <w:rPr>
          <w:lang w:val="en-US"/>
        </w:rPr>
        <w:fldChar w:fldCharType="end"/>
      </w:r>
      <w:r w:rsidRPr="0029300F">
        <w:rPr>
          <w:lang w:val="en-US"/>
        </w:rPr>
        <w:t>e) with minimal damage.</w:t>
      </w:r>
      <w:r w:rsidRPr="005A7543">
        <w:rPr>
          <w:noProof/>
          <w:vertAlign w:val="superscript"/>
          <w:lang w:val="en-US"/>
        </w:rPr>
        <w:t xml:space="preserve"> [49, 55-58]</w:t>
      </w:r>
      <w:r w:rsidRPr="0029300F">
        <w:rPr>
          <w:lang w:val="en-US"/>
        </w:rPr>
        <w:t xml:space="preserve"> This process provides perfect access to the substrate, to a range of different thicknesses within the flake, and to the substrate-flake interface, enabling an effective insight into different regions of the exposed surface for the posterior characterization of the thermal transport </w:t>
      </w:r>
      <w:r w:rsidRPr="0029300F">
        <w:rPr>
          <w:iCs/>
          <w:lang w:val="en-US"/>
        </w:rPr>
        <w:t>via</w:t>
      </w:r>
      <w:r w:rsidRPr="0029300F">
        <w:rPr>
          <w:lang w:val="en-US"/>
        </w:rPr>
        <w:t xml:space="preserve"> SThM (</w:t>
      </w:r>
      <w:r w:rsidRPr="0029300F">
        <w:rPr>
          <w:lang w:val="en-US"/>
        </w:rPr>
        <w:fldChar w:fldCharType="begin"/>
      </w:r>
      <w:r w:rsidRPr="0029300F">
        <w:rPr>
          <w:lang w:val="en-US"/>
        </w:rPr>
        <w:instrText xml:space="preserve"> REF _Ref94811572 \h  \* MERGEFORMAT </w:instrText>
      </w:r>
      <w:r w:rsidRPr="0029300F">
        <w:rPr>
          <w:lang w:val="en-US"/>
        </w:rPr>
      </w:r>
      <w:r w:rsidRPr="0029300F">
        <w:rPr>
          <w:lang w:val="en-US"/>
        </w:rPr>
        <w:fldChar w:fldCharType="separate"/>
      </w:r>
      <w:r w:rsidRPr="0029300F">
        <w:rPr>
          <w:lang w:val="en-US"/>
        </w:rPr>
        <w:t xml:space="preserve">Figure </w:t>
      </w:r>
      <w:r w:rsidRPr="0029300F">
        <w:rPr>
          <w:noProof/>
          <w:lang w:val="en-US"/>
        </w:rPr>
        <w:t>1</w:t>
      </w:r>
      <w:r w:rsidRPr="0029300F">
        <w:rPr>
          <w:lang w:val="en-US"/>
        </w:rPr>
        <w:fldChar w:fldCharType="end"/>
      </w:r>
      <w:r w:rsidRPr="0029300F">
        <w:rPr>
          <w:lang w:val="en-US"/>
        </w:rPr>
        <w:t>c).</w:t>
      </w:r>
    </w:p>
    <w:p w14:paraId="4E3FA00B" w14:textId="77777777" w:rsidR="00AA6917" w:rsidRPr="0029300F" w:rsidRDefault="00AA6917" w:rsidP="00A419D1">
      <w:pPr>
        <w:spacing w:after="0" w:line="360" w:lineRule="auto"/>
        <w:rPr>
          <w:lang w:val="en-US"/>
        </w:rPr>
      </w:pPr>
    </w:p>
    <w:p w14:paraId="4E3FA00C" w14:textId="77777777" w:rsidR="00AA6917" w:rsidRPr="0029300F" w:rsidRDefault="00AA6917" w:rsidP="00A419D1">
      <w:pPr>
        <w:pStyle w:val="Heading2"/>
        <w:rPr>
          <w:lang w:val="en-US"/>
        </w:rPr>
      </w:pPr>
      <w:r w:rsidRPr="0029300F">
        <w:rPr>
          <w:lang w:val="en-US"/>
        </w:rPr>
        <w:t>xSThM heat transport measurements</w:t>
      </w:r>
    </w:p>
    <w:p w14:paraId="4E3FA00D" w14:textId="77777777" w:rsidR="00AA6917" w:rsidRPr="00342FBA" w:rsidRDefault="00AA6917" w:rsidP="00A419D1">
      <w:pPr>
        <w:spacing w:after="0" w:line="360" w:lineRule="auto"/>
        <w:rPr>
          <w:lang w:val="en-US"/>
        </w:rPr>
      </w:pPr>
      <w:r w:rsidRPr="0029300F">
        <w:rPr>
          <w:lang w:val="en-US"/>
        </w:rPr>
        <w:t>Once the flake and the substrate have been cut, we use a high vacuum SThM (</w:t>
      </w:r>
      <w:r w:rsidRPr="0029300F">
        <w:rPr>
          <w:b/>
          <w:bCs/>
          <w:lang w:val="en-US"/>
        </w:rPr>
        <w:fldChar w:fldCharType="begin"/>
      </w:r>
      <w:r w:rsidRPr="0029300F">
        <w:rPr>
          <w:b/>
          <w:bCs/>
          <w:lang w:val="en-US"/>
        </w:rPr>
        <w:instrText xml:space="preserve"> REF _Ref94814510 \h  \* MERGEFORMAT </w:instrText>
      </w:r>
      <w:r w:rsidRPr="0029300F">
        <w:rPr>
          <w:b/>
          <w:bCs/>
          <w:lang w:val="en-US"/>
        </w:rPr>
      </w:r>
      <w:r w:rsidRPr="0029300F">
        <w:rPr>
          <w:b/>
          <w:bCs/>
          <w:lang w:val="en-US"/>
        </w:rPr>
        <w:fldChar w:fldCharType="separate"/>
      </w:r>
      <w:r w:rsidRPr="0029300F">
        <w:rPr>
          <w:b/>
          <w:bCs/>
          <w:lang w:val="en-US"/>
        </w:rPr>
        <w:t xml:space="preserve">Figure </w:t>
      </w:r>
      <w:r w:rsidRPr="0029300F">
        <w:rPr>
          <w:b/>
          <w:bCs/>
          <w:noProof/>
          <w:lang w:val="en-US"/>
        </w:rPr>
        <w:t>2</w:t>
      </w:r>
      <w:r w:rsidRPr="0029300F">
        <w:rPr>
          <w:b/>
          <w:bCs/>
          <w:lang w:val="en-US"/>
        </w:rPr>
        <w:fldChar w:fldCharType="end"/>
      </w:r>
      <w:r w:rsidRPr="0029300F">
        <w:rPr>
          <w:lang w:val="en-US"/>
        </w:rPr>
        <w:t xml:space="preserve">a) with custom-built thermal measurement electronics (see SI, section S2) to measure the heat transport into the sample. </w:t>
      </w:r>
      <w:bookmarkStart w:id="6" w:name="_Hlk109397657"/>
      <w:r w:rsidRPr="0029300F">
        <w:rPr>
          <w:lang w:val="en-US"/>
        </w:rPr>
        <w:t xml:space="preserve">During all the experiments the sample is kept at ambient temperature (300.5 </w:t>
      </w:r>
      <w:r w:rsidRPr="0029300F">
        <w:rPr>
          <w:rFonts w:cs="Times New Roman"/>
          <w:lang w:val="en-US"/>
        </w:rPr>
        <w:t>±</w:t>
      </w:r>
      <w:r w:rsidRPr="0029300F">
        <w:rPr>
          <w:lang w:val="en-US"/>
        </w:rPr>
        <w:t xml:space="preserve"> 0.2 K) and monitored during the scans with a PT1000 RTD sensor located on the sample stage. Performing the measurements under high vacuum conditions prevented parasitic heat losses via conduction and convection since there are no media in contact other than the tip apex and the sample. In terms of radiation heat losses, proportional to the 4</w:t>
      </w:r>
      <w:r w:rsidRPr="0029300F">
        <w:rPr>
          <w:vertAlign w:val="superscript"/>
          <w:lang w:val="en-US"/>
        </w:rPr>
        <w:t>th</w:t>
      </w:r>
      <w:r w:rsidRPr="0029300F">
        <w:rPr>
          <w:lang w:val="en-US"/>
        </w:rPr>
        <w:t xml:space="preserve"> power of the temperature, these were estimated to be minimal, not affecting the measurements due to the low absolute temperatures involved in the SThM operation.</w:t>
      </w:r>
      <w:r w:rsidRPr="005A7543">
        <w:rPr>
          <w:noProof/>
          <w:vertAlign w:val="superscript"/>
          <w:lang w:val="en-US"/>
        </w:rPr>
        <w:t xml:space="preserve"> [59]</w:t>
      </w:r>
      <w:r w:rsidRPr="0029300F">
        <w:rPr>
          <w:lang w:val="en-US"/>
        </w:rPr>
        <w:t xml:space="preserve"> A platinum resistor incorporated into the SThM probe allows us to resistively heat </w:t>
      </w:r>
      <w:bookmarkEnd w:id="6"/>
      <w:r w:rsidRPr="0029300F">
        <w:rPr>
          <w:lang w:val="en-US"/>
        </w:rPr>
        <w:t>its apex, which is then brought into contact with the sample surface, normally with lateral dimensions of a few tens of nanometers across. The heat supplied to the probe is nearly constant, while the probe temperature varies depending on the heat dissipated into the sample and the base of the probe.</w:t>
      </w:r>
      <w:r w:rsidRPr="005A7543">
        <w:rPr>
          <w:noProof/>
          <w:vertAlign w:val="superscript"/>
          <w:lang w:val="en-US"/>
        </w:rPr>
        <w:t xml:space="preserve"> [46]</w:t>
      </w:r>
      <w:r w:rsidRPr="0029300F">
        <w:rPr>
          <w:lang w:val="en-US"/>
        </w:rPr>
        <w:t xml:space="preserve"> The probe temperature modifies its electrical resistance which can be measured directly </w:t>
      </w:r>
      <w:r w:rsidRPr="0029300F">
        <w:rPr>
          <w:iCs/>
          <w:lang w:val="en-US"/>
        </w:rPr>
        <w:t>via</w:t>
      </w:r>
      <w:r w:rsidRPr="0029300F">
        <w:rPr>
          <w:lang w:val="en-US"/>
        </w:rPr>
        <w:t xml:space="preserve"> a DC-AC Wheatstone bridge, producing as an output an SThM “thermal signal” proportional to the variation in the temperature of the probe. Qualitatively, the decrease of the thermal signal corresponds to the increase in the heat flowing onto the sample. After appropriate calibration (see SI, section S1), the signal can be converted into the absolute values of the probe-sample thermal resistance.</w:t>
      </w:r>
      <w:r w:rsidRPr="005A7543">
        <w:rPr>
          <w:noProof/>
          <w:vertAlign w:val="superscript"/>
          <w:lang w:val="en-US"/>
        </w:rPr>
        <w:t xml:space="preserve"> [45, 60-62]</w:t>
      </w:r>
      <w:r w:rsidRPr="0029300F">
        <w:rPr>
          <w:lang w:val="en-US"/>
        </w:rPr>
        <w:t xml:space="preserve"> Further details of the SThM operation are described in the </w:t>
      </w:r>
      <w:r w:rsidRPr="0029300F">
        <w:rPr>
          <w:lang w:val="en-US"/>
        </w:rPr>
        <w:fldChar w:fldCharType="begin"/>
      </w:r>
      <w:r w:rsidRPr="0029300F">
        <w:rPr>
          <w:lang w:val="en-US"/>
        </w:rPr>
        <w:instrText xml:space="preserve"> REF _Ref121611013 \h </w:instrText>
      </w:r>
      <w:r>
        <w:rPr>
          <w:lang w:val="en-US"/>
        </w:rPr>
        <w:instrText xml:space="preserve"> \* MERGEFORMAT </w:instrText>
      </w:r>
      <w:r w:rsidRPr="0029300F">
        <w:rPr>
          <w:lang w:val="en-US"/>
        </w:rPr>
      </w:r>
      <w:r w:rsidRPr="0029300F">
        <w:rPr>
          <w:lang w:val="en-US"/>
        </w:rPr>
        <w:fldChar w:fldCharType="separate"/>
      </w:r>
      <w:r w:rsidRPr="0029300F">
        <w:rPr>
          <w:lang w:val="en-US"/>
        </w:rPr>
        <w:t>Experimental Section</w:t>
      </w:r>
      <w:r w:rsidRPr="0029300F">
        <w:rPr>
          <w:lang w:val="en-US"/>
        </w:rPr>
        <w:fldChar w:fldCharType="end"/>
      </w:r>
      <w:r w:rsidRPr="0029300F">
        <w:rPr>
          <w:lang w:val="en-US"/>
        </w:rPr>
        <w:t xml:space="preserve">. As an example, </w:t>
      </w:r>
      <w:r w:rsidRPr="0029300F">
        <w:rPr>
          <w:lang w:val="en-US"/>
        </w:rPr>
        <w:fldChar w:fldCharType="begin"/>
      </w:r>
      <w:r w:rsidRPr="0029300F">
        <w:rPr>
          <w:lang w:val="en-US"/>
        </w:rPr>
        <w:instrText xml:space="preserve"> REF _Ref94814510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2</w:t>
      </w:r>
      <w:r w:rsidRPr="0029300F">
        <w:rPr>
          <w:lang w:val="en-US"/>
        </w:rPr>
        <w:fldChar w:fldCharType="end"/>
      </w:r>
      <w:r w:rsidRPr="0029300F">
        <w:rPr>
          <w:lang w:val="en-US"/>
        </w:rPr>
        <w:t>b and c show the topography and thermal images of a stacked γ-InSe flake with different thicknesses on a flat Si substrate, where a clear change in the topography of the flakes provides only a minor variation in the corresponding thermal signal (see relevant details in SI, section S4) that, as shown below, indicates a large tip-sample interfacial thermal</w:t>
      </w:r>
      <w:r w:rsidRPr="00342FBA">
        <w:rPr>
          <w:lang w:val="en-US"/>
        </w:rPr>
        <w:t xml:space="preserve"> resistance.</w:t>
      </w:r>
    </w:p>
    <w:p w14:paraId="4E3FA00E" w14:textId="77777777" w:rsidR="00AA6917" w:rsidRPr="00342FBA" w:rsidRDefault="00AA6917" w:rsidP="00A419D1">
      <w:pPr>
        <w:keepNext/>
        <w:spacing w:after="0" w:line="360" w:lineRule="auto"/>
        <w:jc w:val="center"/>
        <w:rPr>
          <w:lang w:val="en-US"/>
        </w:rPr>
      </w:pPr>
      <w:r w:rsidRPr="00342FBA">
        <w:rPr>
          <w:noProof/>
          <w:lang w:eastAsia="zh-CN"/>
        </w:rPr>
        <w:drawing>
          <wp:inline distT="0" distB="0" distL="0" distR="0" wp14:anchorId="4E3FA0FE" wp14:editId="4E3FA0FF">
            <wp:extent cx="5243170" cy="3771900"/>
            <wp:effectExtent l="0" t="0" r="0" b="0"/>
            <wp:docPr id="23" name="Imagen 2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Diagrama&#10;&#10;Descripción generada automáticamente"/>
                    <pic:cNvPicPr/>
                  </pic:nvPicPr>
                  <pic:blipFill>
                    <a:blip r:embed="rId10"/>
                    <a:stretch>
                      <a:fillRect/>
                    </a:stretch>
                  </pic:blipFill>
                  <pic:spPr>
                    <a:xfrm>
                      <a:off x="0" y="0"/>
                      <a:ext cx="5243170" cy="3771900"/>
                    </a:xfrm>
                    <a:prstGeom prst="rect">
                      <a:avLst/>
                    </a:prstGeom>
                  </pic:spPr>
                </pic:pic>
              </a:graphicData>
            </a:graphic>
          </wp:inline>
        </w:drawing>
      </w:r>
    </w:p>
    <w:p w14:paraId="4E3FA00F" w14:textId="77777777" w:rsidR="00AA6917" w:rsidRPr="0029300F" w:rsidRDefault="00AA6917" w:rsidP="00A419D1">
      <w:pPr>
        <w:pStyle w:val="Caption"/>
        <w:spacing w:after="0" w:line="360" w:lineRule="auto"/>
        <w:rPr>
          <w:i w:val="0"/>
          <w:iCs w:val="0"/>
          <w:color w:val="auto"/>
          <w:sz w:val="24"/>
          <w:szCs w:val="24"/>
          <w:lang w:val="en-US"/>
        </w:rPr>
      </w:pPr>
      <w:bookmarkStart w:id="7" w:name="_Ref94814510"/>
      <w:r w:rsidRPr="0029300F">
        <w:rPr>
          <w:b/>
          <w:bCs/>
          <w:i w:val="0"/>
          <w:iCs w:val="0"/>
          <w:color w:val="auto"/>
          <w:sz w:val="24"/>
          <w:szCs w:val="24"/>
          <w:lang w:val="en-US"/>
        </w:rPr>
        <w:t xml:space="preserve">Figure </w:t>
      </w:r>
      <w:r w:rsidRPr="0029300F">
        <w:rPr>
          <w:b/>
          <w:bCs/>
          <w:i w:val="0"/>
          <w:iCs w:val="0"/>
          <w:color w:val="auto"/>
          <w:sz w:val="24"/>
          <w:szCs w:val="24"/>
          <w:lang w:val="en-US"/>
        </w:rPr>
        <w:fldChar w:fldCharType="begin"/>
      </w:r>
      <w:r w:rsidRPr="0029300F">
        <w:rPr>
          <w:b/>
          <w:bCs/>
          <w:i w:val="0"/>
          <w:iCs w:val="0"/>
          <w:color w:val="auto"/>
          <w:sz w:val="24"/>
          <w:szCs w:val="24"/>
          <w:lang w:val="en-US"/>
        </w:rPr>
        <w:instrText xml:space="preserve"> SEQ Figure \* ARABIC </w:instrText>
      </w:r>
      <w:r w:rsidRPr="0029300F">
        <w:rPr>
          <w:b/>
          <w:bCs/>
          <w:i w:val="0"/>
          <w:iCs w:val="0"/>
          <w:color w:val="auto"/>
          <w:sz w:val="24"/>
          <w:szCs w:val="24"/>
          <w:lang w:val="en-US"/>
        </w:rPr>
        <w:fldChar w:fldCharType="separate"/>
      </w:r>
      <w:r w:rsidRPr="0029300F">
        <w:rPr>
          <w:b/>
          <w:bCs/>
          <w:i w:val="0"/>
          <w:iCs w:val="0"/>
          <w:noProof/>
          <w:color w:val="auto"/>
          <w:sz w:val="24"/>
          <w:szCs w:val="24"/>
          <w:lang w:val="en-US"/>
        </w:rPr>
        <w:t>2</w:t>
      </w:r>
      <w:r w:rsidRPr="0029300F">
        <w:rPr>
          <w:b/>
          <w:bCs/>
          <w:i w:val="0"/>
          <w:iCs w:val="0"/>
          <w:color w:val="auto"/>
          <w:sz w:val="24"/>
          <w:szCs w:val="24"/>
          <w:lang w:val="en-US"/>
        </w:rPr>
        <w:fldChar w:fldCharType="end"/>
      </w:r>
      <w:bookmarkEnd w:id="7"/>
      <w:r w:rsidRPr="0029300F">
        <w:rPr>
          <w:b/>
          <w:bCs/>
          <w:i w:val="0"/>
          <w:iCs w:val="0"/>
          <w:color w:val="auto"/>
          <w:sz w:val="24"/>
          <w:szCs w:val="24"/>
          <w:lang w:val="en-US"/>
        </w:rPr>
        <w:t>.</w:t>
      </w:r>
      <w:r w:rsidRPr="0029300F">
        <w:rPr>
          <w:i w:val="0"/>
          <w:iCs w:val="0"/>
          <w:color w:val="auto"/>
          <w:sz w:val="24"/>
          <w:szCs w:val="24"/>
          <w:lang w:val="en-US"/>
        </w:rPr>
        <w:t xml:space="preserve"> Scanning thermal microscopy (SThM) highlights. a) SThM schematics. The SThM thermal probe incorporates a resistive heater receiving constant power via a DC-AC Wheatstone bridge. The bridge output voltage (</w:t>
      </w:r>
      <w:r w:rsidRPr="0029300F">
        <w:rPr>
          <w:i w:val="0"/>
          <w:color w:val="auto"/>
          <w:sz w:val="24"/>
          <w:szCs w:val="24"/>
          <w:lang w:val="en-US"/>
        </w:rPr>
        <w:t>i.e.</w:t>
      </w:r>
      <w:r w:rsidRPr="0029300F">
        <w:rPr>
          <w:i w:val="0"/>
          <w:iCs w:val="0"/>
          <w:color w:val="auto"/>
          <w:sz w:val="24"/>
          <w:szCs w:val="24"/>
          <w:lang w:val="en-US"/>
        </w:rPr>
        <w:t xml:space="preserve">, “thermal signal”) is used to form the thermal image which is proportional to the probe temperature. This temperature changes due to variations of the probe-sample heat flow, with a lower thermal signal corresponding to the increased heat flow towards the sample, and, hence, to lower thermal resistance between the probe-sample system. By moving the calibrated probe across the sample surface, a quantitative map of the sample heat transport can be obtained. b) </w:t>
      </w:r>
      <w:r w:rsidRPr="0029300F">
        <w:rPr>
          <w:i w:val="0"/>
          <w:color w:val="auto"/>
          <w:sz w:val="24"/>
          <w:lang w:val="en-US"/>
        </w:rPr>
        <w:t>Topography and c) thermal signal (top color bar) maps of a γ-InSe flake presenting different thicknesses on a flat Si substrate</w:t>
      </w:r>
      <w:r w:rsidRPr="0029300F">
        <w:rPr>
          <w:i w:val="0"/>
          <w:iCs w:val="0"/>
          <w:color w:val="auto"/>
          <w:sz w:val="24"/>
          <w:szCs w:val="24"/>
          <w:lang w:val="en-US"/>
        </w:rPr>
        <w:t>. The corresponding average probe temperature change limits are also shown on the bottom color bar of the thermal image. Profiles extracted from line 1 in both b) and c) are shown in the SI, section S4.</w:t>
      </w:r>
    </w:p>
    <w:p w14:paraId="4E3FA010" w14:textId="77777777" w:rsidR="00AA6917" w:rsidRPr="0029300F" w:rsidRDefault="00AA6917" w:rsidP="00A419D1">
      <w:pPr>
        <w:rPr>
          <w:lang w:val="en-US"/>
        </w:rPr>
      </w:pPr>
    </w:p>
    <w:p w14:paraId="4E3FA011" w14:textId="77777777" w:rsidR="00AA6917" w:rsidRPr="0029300F" w:rsidRDefault="00AA6917" w:rsidP="00A419D1">
      <w:pPr>
        <w:spacing w:after="0" w:line="360" w:lineRule="auto"/>
        <w:rPr>
          <w:lang w:val="en-US"/>
        </w:rPr>
      </w:pPr>
      <w:r w:rsidRPr="0029300F">
        <w:rPr>
          <w:lang w:val="en-US"/>
        </w:rPr>
        <w:t xml:space="preserve">The SThM tip raster scans the surface of the sample, including the γ-InSe flake and the underlying Si substrate, providing a two-dimensional thermal resistance map of the vdW flake-substrate interface for different values of the vdW material thickness </w:t>
      </w:r>
      <w:r w:rsidRPr="0029300F">
        <w:rPr>
          <w:i/>
          <w:iCs/>
          <w:lang w:val="en-US"/>
        </w:rPr>
        <w:t>t</w:t>
      </w:r>
      <w:r w:rsidRPr="0029300F">
        <w:rPr>
          <w:lang w:val="en-US"/>
        </w:rPr>
        <w:t>. In order to calibrate the dimensions of the SThM tip apex and obtain quantitative values of the tip thermal resistance, we use a reference sample composed of a thermally grown 300 nm SiO</w:t>
      </w:r>
      <w:r w:rsidRPr="0029300F">
        <w:rPr>
          <w:vertAlign w:val="subscript"/>
          <w:lang w:val="en-US"/>
        </w:rPr>
        <w:t xml:space="preserve">2 </w:t>
      </w:r>
      <w:r w:rsidRPr="0029300F">
        <w:rPr>
          <w:i/>
          <w:iCs/>
          <w:lang w:val="en-US"/>
        </w:rPr>
        <w:t xml:space="preserve"> </w:t>
      </w:r>
      <w:r w:rsidRPr="0029300F">
        <w:rPr>
          <w:iCs/>
          <w:lang w:val="en-US"/>
        </w:rPr>
        <w:t>(</w:t>
      </w:r>
      <w:r w:rsidRPr="0029300F">
        <w:rPr>
          <w:i/>
          <w:iCs/>
          <w:lang w:val="en-US"/>
        </w:rPr>
        <w:t>k</w:t>
      </w:r>
      <w:r w:rsidRPr="0029300F">
        <w:rPr>
          <w:lang w:val="en-US"/>
        </w:rPr>
        <w:t xml:space="preserve"> = 1.4 ± 0.2 Wm</w:t>
      </w:r>
      <w:r w:rsidRPr="0029300F">
        <w:rPr>
          <w:vertAlign w:val="superscript"/>
          <w:lang w:val="en-US"/>
        </w:rPr>
        <w:t>-1</w:t>
      </w:r>
      <w:r w:rsidRPr="0029300F">
        <w:rPr>
          <w:lang w:val="en-US"/>
        </w:rPr>
        <w:t>K</w:t>
      </w:r>
      <w:r w:rsidRPr="0029300F">
        <w:rPr>
          <w:vertAlign w:val="superscript"/>
          <w:lang w:val="en-US"/>
        </w:rPr>
        <w:t>-1</w:t>
      </w:r>
      <w:r w:rsidRPr="0029300F">
        <w:rPr>
          <w:lang w:val="en-US"/>
        </w:rPr>
        <w:t>) on top of a Si substrate (</w:t>
      </w:r>
      <w:r w:rsidRPr="0029300F">
        <w:rPr>
          <w:i/>
          <w:iCs/>
          <w:lang w:val="en-US"/>
        </w:rPr>
        <w:t>k</w:t>
      </w:r>
      <w:r w:rsidRPr="0029300F">
        <w:rPr>
          <w:vertAlign w:val="subscript"/>
          <w:lang w:val="en-US"/>
        </w:rPr>
        <w:t>s</w:t>
      </w:r>
      <w:r w:rsidRPr="0029300F">
        <w:rPr>
          <w:lang w:val="en-US"/>
        </w:rPr>
        <w:t xml:space="preserve"> = 130 </w:t>
      </w:r>
      <w:r w:rsidRPr="0029300F">
        <w:rPr>
          <w:rFonts w:cs="Times New Roman"/>
          <w:lang w:val="en-US"/>
        </w:rPr>
        <w:t>±</w:t>
      </w:r>
      <w:r w:rsidRPr="0029300F">
        <w:rPr>
          <w:lang w:val="en-US"/>
        </w:rPr>
        <w:t xml:space="preserve"> 20 Wm</w:t>
      </w:r>
      <w:r w:rsidRPr="0029300F">
        <w:rPr>
          <w:vertAlign w:val="superscript"/>
          <w:lang w:val="en-US"/>
        </w:rPr>
        <w:t>-1</w:t>
      </w:r>
      <w:r w:rsidRPr="0029300F">
        <w:rPr>
          <w:lang w:val="en-US"/>
        </w:rPr>
        <w:t>K</w:t>
      </w:r>
      <w:r w:rsidRPr="0029300F">
        <w:rPr>
          <w:vertAlign w:val="superscript"/>
          <w:lang w:val="en-US"/>
        </w:rPr>
        <w:t>-1</w:t>
      </w:r>
      <w:r w:rsidRPr="0029300F">
        <w:rPr>
          <w:lang w:val="en-US"/>
        </w:rPr>
        <w:t>) which has been cut following the same procedure explained in the previous section.</w:t>
      </w:r>
      <w:r w:rsidRPr="005A7543">
        <w:rPr>
          <w:noProof/>
          <w:vertAlign w:val="superscript"/>
          <w:lang w:val="en-US"/>
        </w:rPr>
        <w:t xml:space="preserve"> [63-66]</w:t>
      </w:r>
      <w:r w:rsidRPr="0029300F">
        <w:rPr>
          <w:lang w:val="en-US"/>
        </w:rPr>
        <w:t xml:space="preserve"> </w:t>
      </w:r>
    </w:p>
    <w:p w14:paraId="4E3FA012" w14:textId="77777777" w:rsidR="00AA6917" w:rsidRPr="0029300F" w:rsidRDefault="00AA6917" w:rsidP="00A419D1">
      <w:pPr>
        <w:spacing w:after="0" w:line="360" w:lineRule="auto"/>
        <w:jc w:val="center"/>
        <w:rPr>
          <w:lang w:val="en-US"/>
        </w:rPr>
      </w:pPr>
      <w:r w:rsidRPr="0029300F">
        <w:rPr>
          <w:noProof/>
          <w:lang w:eastAsia="zh-CN"/>
        </w:rPr>
        <w:drawing>
          <wp:inline distT="0" distB="0" distL="0" distR="0" wp14:anchorId="4E3FA100" wp14:editId="00FC8992">
            <wp:extent cx="4701583" cy="6696000"/>
            <wp:effectExtent l="0" t="0" r="3810" b="0"/>
            <wp:docPr id="24" name="Imagen 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10;&#10;Descripción generada automáticamente"/>
                    <pic:cNvPicPr/>
                  </pic:nvPicPr>
                  <pic:blipFill>
                    <a:blip r:embed="rId11" cstate="hqprint">
                      <a:extLst>
                        <a:ext uri="{28A0092B-C50C-407E-A947-70E740481C1C}">
                          <a14:useLocalDpi xmlns:a14="http://schemas.microsoft.com/office/drawing/2010/main"/>
                        </a:ext>
                      </a:extLst>
                    </a:blip>
                    <a:stretch>
                      <a:fillRect/>
                    </a:stretch>
                  </pic:blipFill>
                  <pic:spPr>
                    <a:xfrm>
                      <a:off x="0" y="0"/>
                      <a:ext cx="4701583" cy="6696000"/>
                    </a:xfrm>
                    <a:prstGeom prst="rect">
                      <a:avLst/>
                    </a:prstGeom>
                  </pic:spPr>
                </pic:pic>
              </a:graphicData>
            </a:graphic>
          </wp:inline>
        </w:drawing>
      </w:r>
    </w:p>
    <w:p w14:paraId="4E3FA013" w14:textId="77777777" w:rsidR="00AA6917" w:rsidRPr="0029300F" w:rsidRDefault="00AA6917" w:rsidP="00A419D1">
      <w:pPr>
        <w:pStyle w:val="Caption"/>
        <w:spacing w:after="0" w:line="360" w:lineRule="auto"/>
        <w:rPr>
          <w:i w:val="0"/>
          <w:iCs w:val="0"/>
          <w:color w:val="auto"/>
          <w:sz w:val="24"/>
          <w:szCs w:val="24"/>
          <w:lang w:val="en-US"/>
        </w:rPr>
      </w:pPr>
      <w:bookmarkStart w:id="8" w:name="_Ref94359903"/>
      <w:r w:rsidRPr="0029300F">
        <w:rPr>
          <w:b/>
          <w:bCs/>
          <w:i w:val="0"/>
          <w:iCs w:val="0"/>
          <w:color w:val="auto"/>
          <w:sz w:val="24"/>
          <w:szCs w:val="24"/>
          <w:lang w:val="en-US"/>
        </w:rPr>
        <w:t xml:space="preserve">Figure </w:t>
      </w:r>
      <w:r w:rsidRPr="0029300F">
        <w:rPr>
          <w:b/>
          <w:bCs/>
          <w:i w:val="0"/>
          <w:iCs w:val="0"/>
          <w:color w:val="auto"/>
          <w:sz w:val="24"/>
          <w:szCs w:val="24"/>
          <w:lang w:val="en-US"/>
        </w:rPr>
        <w:fldChar w:fldCharType="begin"/>
      </w:r>
      <w:r w:rsidRPr="0029300F">
        <w:rPr>
          <w:b/>
          <w:bCs/>
          <w:i w:val="0"/>
          <w:iCs w:val="0"/>
          <w:color w:val="auto"/>
          <w:sz w:val="24"/>
          <w:szCs w:val="24"/>
          <w:lang w:val="en-US"/>
        </w:rPr>
        <w:instrText xml:space="preserve"> SEQ Figure \* ARABIC </w:instrText>
      </w:r>
      <w:r w:rsidRPr="0029300F">
        <w:rPr>
          <w:b/>
          <w:bCs/>
          <w:i w:val="0"/>
          <w:iCs w:val="0"/>
          <w:color w:val="auto"/>
          <w:sz w:val="24"/>
          <w:szCs w:val="24"/>
          <w:lang w:val="en-US"/>
        </w:rPr>
        <w:fldChar w:fldCharType="separate"/>
      </w:r>
      <w:r w:rsidRPr="0029300F">
        <w:rPr>
          <w:b/>
          <w:bCs/>
          <w:i w:val="0"/>
          <w:iCs w:val="0"/>
          <w:noProof/>
          <w:color w:val="auto"/>
          <w:sz w:val="24"/>
          <w:szCs w:val="24"/>
          <w:lang w:val="en-US"/>
        </w:rPr>
        <w:t>3</w:t>
      </w:r>
      <w:r w:rsidRPr="0029300F">
        <w:rPr>
          <w:b/>
          <w:bCs/>
          <w:i w:val="0"/>
          <w:iCs w:val="0"/>
          <w:color w:val="auto"/>
          <w:sz w:val="24"/>
          <w:szCs w:val="24"/>
          <w:lang w:val="en-US"/>
        </w:rPr>
        <w:fldChar w:fldCharType="end"/>
      </w:r>
      <w:bookmarkEnd w:id="8"/>
      <w:r w:rsidRPr="0029300F">
        <w:rPr>
          <w:b/>
          <w:bCs/>
          <w:i w:val="0"/>
          <w:iCs w:val="0"/>
          <w:color w:val="auto"/>
          <w:sz w:val="24"/>
          <w:szCs w:val="24"/>
          <w:lang w:val="en-US"/>
        </w:rPr>
        <w:t>.</w:t>
      </w:r>
      <w:r w:rsidRPr="0029300F">
        <w:rPr>
          <w:i w:val="0"/>
          <w:iCs w:val="0"/>
          <w:color w:val="auto"/>
          <w:sz w:val="24"/>
          <w:szCs w:val="24"/>
          <w:lang w:val="en-US"/>
        </w:rPr>
        <w:t xml:space="preserve"> xSThM topography and thermal data. a) Topography and b) thermal signal images of the reference 300 nm SiO</w:t>
      </w:r>
      <w:r w:rsidRPr="0029300F">
        <w:rPr>
          <w:i w:val="0"/>
          <w:iCs w:val="0"/>
          <w:color w:val="auto"/>
          <w:sz w:val="24"/>
          <w:szCs w:val="24"/>
          <w:vertAlign w:val="subscript"/>
          <w:lang w:val="en-US"/>
        </w:rPr>
        <w:t>2</w:t>
      </w:r>
      <w:r w:rsidRPr="0029300F">
        <w:rPr>
          <w:i w:val="0"/>
          <w:iCs w:val="0"/>
          <w:color w:val="auto"/>
          <w:sz w:val="24"/>
          <w:szCs w:val="24"/>
          <w:lang w:val="en-US"/>
        </w:rPr>
        <w:t xml:space="preserve">/Si sample. c) Topography and d) thermal signal profiles taken along the direction 1 of the reference sample maps shown in a) and b). e) Topography and f) thermal signal images of the </w:t>
      </w:r>
      <w:r w:rsidRPr="0029300F">
        <w:rPr>
          <w:rFonts w:cs="Times New Roman"/>
          <w:i w:val="0"/>
          <w:iCs w:val="0"/>
          <w:color w:val="auto"/>
          <w:sz w:val="24"/>
          <w:szCs w:val="24"/>
          <w:lang w:val="en-US"/>
        </w:rPr>
        <w:t>γ</w:t>
      </w:r>
      <w:r w:rsidRPr="0029300F">
        <w:rPr>
          <w:i w:val="0"/>
          <w:iCs w:val="0"/>
          <w:color w:val="auto"/>
          <w:sz w:val="24"/>
          <w:szCs w:val="24"/>
          <w:lang w:val="en-US"/>
        </w:rPr>
        <w:t>-InSe/Si sample. Note that the top aluminum (Al) layer forms as a result of the Ar beam re-sputtering the Al cover of the inner chamber of the BEXP. g) Topography and h) thermal signal profiles taken along</w:t>
      </w:r>
      <w:r w:rsidRPr="00342FBA">
        <w:rPr>
          <w:i w:val="0"/>
          <w:iCs w:val="0"/>
          <w:color w:val="auto"/>
          <w:sz w:val="24"/>
          <w:szCs w:val="24"/>
          <w:lang w:val="en-US"/>
        </w:rPr>
        <w:t xml:space="preserve"> </w:t>
      </w:r>
      <w:r w:rsidRPr="0029300F">
        <w:rPr>
          <w:i w:val="0"/>
          <w:iCs w:val="0"/>
          <w:color w:val="auto"/>
          <w:sz w:val="24"/>
          <w:szCs w:val="24"/>
          <w:lang w:val="en-US"/>
        </w:rPr>
        <w:t xml:space="preserve">the direction 1 of the </w:t>
      </w:r>
      <w:r w:rsidRPr="0029300F">
        <w:rPr>
          <w:rFonts w:cs="Times New Roman"/>
          <w:i w:val="0"/>
          <w:iCs w:val="0"/>
          <w:color w:val="auto"/>
          <w:sz w:val="24"/>
          <w:szCs w:val="24"/>
          <w:lang w:val="en-US"/>
        </w:rPr>
        <w:t>γ</w:t>
      </w:r>
      <w:r w:rsidRPr="0029300F">
        <w:rPr>
          <w:i w:val="0"/>
          <w:iCs w:val="0"/>
          <w:color w:val="auto"/>
          <w:sz w:val="24"/>
          <w:szCs w:val="24"/>
          <w:lang w:val="en-US"/>
        </w:rPr>
        <w:t xml:space="preserve">-InSe/Si sample shown in e) and f). </w:t>
      </w:r>
      <w:r w:rsidRPr="0029300F">
        <w:rPr>
          <w:i w:val="0"/>
          <w:color w:val="auto"/>
          <w:sz w:val="24"/>
          <w:lang w:val="en-US"/>
        </w:rPr>
        <w:t>The</w:t>
      </w:r>
      <w:r w:rsidRPr="0029300F">
        <w:rPr>
          <w:i w:val="0"/>
          <w:iCs w:val="0"/>
          <w:color w:val="auto"/>
          <w:sz w:val="24"/>
          <w:szCs w:val="24"/>
          <w:lang w:val="en-US"/>
        </w:rPr>
        <w:t xml:space="preserve"> high flatness of the BEXP wedge cut in both samples </w:t>
      </w:r>
      <w:r w:rsidRPr="0029300F">
        <w:rPr>
          <w:i w:val="0"/>
          <w:color w:val="auto"/>
          <w:sz w:val="24"/>
          <w:lang w:val="en-US"/>
        </w:rPr>
        <w:t>is clear in the topography profiles</w:t>
      </w:r>
      <w:r w:rsidRPr="0029300F">
        <w:rPr>
          <w:i w:val="0"/>
          <w:iCs w:val="0"/>
          <w:color w:val="auto"/>
          <w:sz w:val="24"/>
          <w:szCs w:val="24"/>
          <w:lang w:val="en-US"/>
        </w:rPr>
        <w:t xml:space="preserve">. The average probe temperature change </w:t>
      </w:r>
      <w:r w:rsidRPr="0029300F">
        <w:rPr>
          <w:rFonts w:ascii="Calibri" w:hAnsi="Calibri" w:cs="Calibri"/>
          <w:color w:val="auto"/>
          <w:sz w:val="24"/>
          <w:szCs w:val="24"/>
          <w:lang w:val="en-US"/>
        </w:rPr>
        <w:t>Δ</w:t>
      </w:r>
      <w:r w:rsidRPr="0029300F">
        <w:rPr>
          <w:color w:val="auto"/>
          <w:sz w:val="24"/>
          <w:szCs w:val="24"/>
          <w:lang w:val="en-US"/>
        </w:rPr>
        <w:t>T</w:t>
      </w:r>
      <w:r w:rsidRPr="0029300F">
        <w:rPr>
          <w:i w:val="0"/>
          <w:iCs w:val="0"/>
          <w:color w:val="auto"/>
          <w:sz w:val="24"/>
          <w:szCs w:val="24"/>
          <w:vertAlign w:val="subscript"/>
          <w:lang w:val="en-US"/>
        </w:rPr>
        <w:t>p</w:t>
      </w:r>
      <w:r w:rsidRPr="0029300F">
        <w:rPr>
          <w:i w:val="0"/>
          <w:iCs w:val="0"/>
          <w:color w:val="auto"/>
          <w:sz w:val="24"/>
          <w:szCs w:val="24"/>
          <w:lang w:val="en-US"/>
        </w:rPr>
        <w:t xml:space="preserve"> limits have been added to the thermal maps as a bottom color bar and to the thermal profiles on the right axis for a comparison with the thermal signal.</w:t>
      </w:r>
    </w:p>
    <w:p w14:paraId="4E3FA014" w14:textId="77777777" w:rsidR="00AA6917" w:rsidRPr="0029300F" w:rsidRDefault="00AA6917" w:rsidP="00A419D1">
      <w:pPr>
        <w:rPr>
          <w:lang w:val="en-US"/>
        </w:rPr>
      </w:pPr>
    </w:p>
    <w:p w14:paraId="4E3FA015" w14:textId="77777777" w:rsidR="00AA6917" w:rsidRPr="0029300F" w:rsidRDefault="00AA6917" w:rsidP="00A419D1">
      <w:pPr>
        <w:spacing w:after="0" w:line="360" w:lineRule="auto"/>
        <w:rPr>
          <w:lang w:val="en-US"/>
        </w:rPr>
      </w:pPr>
      <w:r w:rsidRPr="0029300F">
        <w:rPr>
          <w:b/>
          <w:bCs/>
          <w:lang w:val="en-US"/>
        </w:rPr>
        <w:fldChar w:fldCharType="begin"/>
      </w:r>
      <w:r w:rsidRPr="0029300F">
        <w:rPr>
          <w:b/>
          <w:bCs/>
          <w:lang w:val="en-US"/>
        </w:rPr>
        <w:instrText xml:space="preserve"> REF _Ref94359903 \h  \* MERGEFORMAT </w:instrText>
      </w:r>
      <w:r w:rsidRPr="0029300F">
        <w:rPr>
          <w:b/>
          <w:bCs/>
          <w:lang w:val="en-US"/>
        </w:rPr>
      </w:r>
      <w:r w:rsidRPr="0029300F">
        <w:rPr>
          <w:b/>
          <w:bCs/>
          <w:lang w:val="en-US"/>
        </w:rPr>
        <w:fldChar w:fldCharType="separate"/>
      </w:r>
      <w:r w:rsidRPr="0029300F">
        <w:rPr>
          <w:b/>
          <w:bCs/>
          <w:szCs w:val="24"/>
          <w:lang w:val="en-US"/>
        </w:rPr>
        <w:t xml:space="preserve">Figure </w:t>
      </w:r>
      <w:r w:rsidRPr="0029300F">
        <w:rPr>
          <w:b/>
          <w:bCs/>
          <w:noProof/>
          <w:szCs w:val="24"/>
          <w:lang w:val="en-US"/>
        </w:rPr>
        <w:t>3</w:t>
      </w:r>
      <w:r w:rsidRPr="0029300F">
        <w:rPr>
          <w:b/>
          <w:bCs/>
          <w:lang w:val="en-US"/>
        </w:rPr>
        <w:fldChar w:fldCharType="end"/>
      </w:r>
      <w:r w:rsidRPr="0029300F">
        <w:rPr>
          <w:lang w:val="en-US"/>
        </w:rPr>
        <w:t xml:space="preserve"> shows the resulting topography and thermal signal maps of the SiO</w:t>
      </w:r>
      <w:r w:rsidRPr="0029300F">
        <w:rPr>
          <w:vertAlign w:val="subscript"/>
          <w:lang w:val="en-US"/>
        </w:rPr>
        <w:t>2</w:t>
      </w:r>
      <w:r w:rsidRPr="0029300F">
        <w:rPr>
          <w:lang w:val="en-US"/>
        </w:rPr>
        <w:t>/Si wedge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lang w:val="en-US"/>
        </w:rPr>
        <w:t xml:space="preserve">Figure </w:t>
      </w:r>
      <w:r w:rsidRPr="0029300F">
        <w:rPr>
          <w:noProof/>
          <w:lang w:val="en-US"/>
        </w:rPr>
        <w:t>3</w:t>
      </w:r>
      <w:r w:rsidRPr="0029300F">
        <w:rPr>
          <w:lang w:val="en-US"/>
        </w:rPr>
        <w:fldChar w:fldCharType="end"/>
      </w:r>
      <w:r w:rsidRPr="0029300F">
        <w:rPr>
          <w:lang w:val="en-US"/>
        </w:rPr>
        <w:t>a,b) and γ-InSe/Si wedge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3</w:t>
      </w:r>
      <w:r w:rsidRPr="0029300F">
        <w:rPr>
          <w:lang w:val="en-US"/>
        </w:rPr>
        <w:fldChar w:fldCharType="end"/>
      </w:r>
      <w:r w:rsidRPr="0029300F">
        <w:rPr>
          <w:lang w:val="en-US"/>
        </w:rPr>
        <w:t>e,f) samples. The topographic profiles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3</w:t>
      </w:r>
      <w:r w:rsidRPr="0029300F">
        <w:rPr>
          <w:lang w:val="en-US"/>
        </w:rPr>
        <w:fldChar w:fldCharType="end"/>
      </w:r>
      <w:r w:rsidRPr="0029300F">
        <w:rPr>
          <w:lang w:val="en-US"/>
        </w:rPr>
        <w:t xml:space="preserve">c,g) along the lines in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lang w:val="en-US"/>
        </w:rPr>
        <w:t xml:space="preserve">Figure </w:t>
      </w:r>
      <w:r w:rsidRPr="0029300F">
        <w:rPr>
          <w:noProof/>
          <w:lang w:val="en-US"/>
        </w:rPr>
        <w:t>3</w:t>
      </w:r>
      <w:r w:rsidRPr="0029300F">
        <w:rPr>
          <w:lang w:val="en-US"/>
        </w:rPr>
        <w:fldChar w:fldCharType="end"/>
      </w:r>
      <w:r w:rsidRPr="0029300F">
        <w:rPr>
          <w:lang w:val="en-US"/>
        </w:rPr>
        <w:t xml:space="preserve">a and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3</w:t>
      </w:r>
      <w:r w:rsidRPr="0029300F">
        <w:rPr>
          <w:lang w:val="en-US"/>
        </w:rPr>
        <w:fldChar w:fldCharType="end"/>
      </w:r>
      <w:r w:rsidRPr="0029300F">
        <w:rPr>
          <w:lang w:val="en-US"/>
        </w:rPr>
        <w:t>e show nearly flat surfaces with a slight change in the slope (</w:t>
      </w:r>
      <w:r w:rsidRPr="0029300F">
        <w:rPr>
          <w:rFonts w:cs="Times New Roman"/>
          <w:lang w:val="en-US"/>
        </w:rPr>
        <w:t>~5%</w:t>
      </w:r>
      <w:r w:rsidRPr="0029300F">
        <w:rPr>
          <w:lang w:val="en-US"/>
        </w:rPr>
        <w:t>) between the substrate and the top layer. These profiles are used to quantify the thickness ranges of the top layers that vary from 0 to about 100 nm and 0 to 80 nm for the SiO</w:t>
      </w:r>
      <w:r w:rsidRPr="0029300F">
        <w:rPr>
          <w:vertAlign w:val="subscript"/>
          <w:lang w:val="en-US"/>
        </w:rPr>
        <w:t>2</w:t>
      </w:r>
      <w:r w:rsidRPr="0029300F">
        <w:rPr>
          <w:lang w:val="en-US"/>
        </w:rPr>
        <w:t xml:space="preserve"> and the γ-InSe samples, respectively. </w:t>
      </w:r>
      <w:bookmarkStart w:id="9" w:name="_Hlk109400738"/>
      <w:r w:rsidRPr="0029300F">
        <w:rPr>
          <w:lang w:val="en-US"/>
        </w:rPr>
        <w:t xml:space="preserve">The surface roughness of the entire </w:t>
      </w:r>
      <w:bookmarkStart w:id="10" w:name="_Hlk116559813"/>
      <w:r w:rsidRPr="0029300F">
        <w:rPr>
          <w:lang w:val="en-US"/>
        </w:rPr>
        <w:t xml:space="preserve">1 </w:t>
      </w:r>
      <w:r w:rsidRPr="0029300F">
        <w:rPr>
          <w:rFonts w:cs="Times New Roman"/>
          <w:lang w:val="en-US"/>
        </w:rPr>
        <w:t>μm</w:t>
      </w:r>
      <w:r w:rsidRPr="0029300F">
        <w:rPr>
          <w:lang w:val="en-US"/>
        </w:rPr>
        <w:t xml:space="preserve"> </w:t>
      </w:r>
      <w:bookmarkEnd w:id="10"/>
      <w:r w:rsidRPr="0029300F">
        <w:rPr>
          <w:lang w:val="en-US"/>
        </w:rPr>
        <w:t>scans is approximately 0.5</w:t>
      </w:r>
      <w:r w:rsidRPr="0029300F">
        <w:rPr>
          <w:rFonts w:cs="Times New Roman"/>
          <w:lang w:val="en-US"/>
        </w:rPr>
        <w:t xml:space="preserve"> nm for the </w:t>
      </w:r>
      <w:r w:rsidRPr="0029300F">
        <w:rPr>
          <w:lang w:val="en-US"/>
        </w:rPr>
        <w:t>SiO</w:t>
      </w:r>
      <w:r w:rsidRPr="0029300F">
        <w:rPr>
          <w:vertAlign w:val="subscript"/>
          <w:lang w:val="en-US"/>
        </w:rPr>
        <w:t>2</w:t>
      </w:r>
      <w:r w:rsidRPr="0029300F">
        <w:rPr>
          <w:lang w:val="en-US"/>
        </w:rPr>
        <w:t xml:space="preserve"> and 6</w:t>
      </w:r>
      <w:r w:rsidRPr="0029300F">
        <w:rPr>
          <w:rFonts w:cs="Times New Roman"/>
          <w:lang w:val="en-US"/>
        </w:rPr>
        <w:t xml:space="preserve"> nm for the </w:t>
      </w:r>
      <w:r w:rsidRPr="0029300F">
        <w:rPr>
          <w:lang w:val="en-US"/>
        </w:rPr>
        <w:t>γ-InSe</w:t>
      </w:r>
      <w:bookmarkEnd w:id="9"/>
      <w:r w:rsidRPr="0029300F">
        <w:rPr>
          <w:lang w:val="en-US"/>
        </w:rPr>
        <w:t xml:space="preserve"> layer. This roughness is extracted quantitatively from the flattened topographic maps. However, </w:t>
      </w:r>
      <w:bookmarkStart w:id="11" w:name="_Hlk109400818"/>
      <w:r w:rsidRPr="0029300F">
        <w:rPr>
          <w:lang w:val="en-US"/>
        </w:rPr>
        <w:t xml:space="preserve">the local roughness values relevant to the thermal transport through the tip-surface contact, taken from the typical 20-50 nm contact radius size, are 0.5 and </w:t>
      </w:r>
      <w:r w:rsidRPr="0029300F">
        <w:rPr>
          <w:rFonts w:cs="Times New Roman"/>
          <w:lang w:val="en-US"/>
        </w:rPr>
        <w:t>~</w:t>
      </w:r>
      <w:r w:rsidRPr="0029300F">
        <w:rPr>
          <w:lang w:val="en-US"/>
        </w:rPr>
        <w:t>1.5 nm for the SiO</w:t>
      </w:r>
      <w:r w:rsidRPr="0029300F">
        <w:rPr>
          <w:vertAlign w:val="subscript"/>
          <w:lang w:val="en-US"/>
        </w:rPr>
        <w:t>2</w:t>
      </w:r>
      <w:r w:rsidRPr="0029300F">
        <w:rPr>
          <w:lang w:val="en-US"/>
        </w:rPr>
        <w:t xml:space="preserve"> and γ-InSe, respectively. We note that, while this difference in the surface roughness value of γ-InSe can affect the tip-surface thermal resistance, its scale is much smaller than the overall dimensions of the tip-surface contact, which are typically in the range of 20 to 50 nm,</w:t>
      </w:r>
      <w:r w:rsidRPr="005A7543">
        <w:rPr>
          <w:noProof/>
          <w:vertAlign w:val="superscript"/>
          <w:lang w:val="en-US"/>
        </w:rPr>
        <w:t xml:space="preserve"> [49]</w:t>
      </w:r>
      <w:r w:rsidRPr="0029300F">
        <w:rPr>
          <w:lang w:val="en-US"/>
        </w:rPr>
        <w:t xml:space="preserve"> therefore, allowing us to assume that the tip-material contact radius is the same for both materials</w:t>
      </w:r>
      <w:bookmarkStart w:id="12" w:name="_Hlk128578712"/>
      <w:bookmarkEnd w:id="11"/>
      <w:r w:rsidRPr="0029300F">
        <w:rPr>
          <w:lang w:val="en-US"/>
        </w:rPr>
        <w:t xml:space="preserve">. </w:t>
      </w:r>
      <w:bookmarkStart w:id="13" w:name="_Hlk128579332"/>
      <w:r w:rsidRPr="0029300F">
        <w:rPr>
          <w:lang w:val="en-US"/>
        </w:rPr>
        <w:t>Moreover, these low roughness values and minimal surface damage ensure that the BEXP Ar-ion cut does not affect the material’s nanomechanical and nanothermal properties</w:t>
      </w:r>
      <w:bookmarkEnd w:id="12"/>
      <w:r w:rsidRPr="0029300F">
        <w:rPr>
          <w:lang w:val="en-US"/>
        </w:rPr>
        <w:t>, as confirmed elsewhere.</w:t>
      </w:r>
      <w:r w:rsidRPr="005A7543">
        <w:rPr>
          <w:noProof/>
          <w:vertAlign w:val="superscript"/>
          <w:lang w:val="en-US"/>
        </w:rPr>
        <w:t xml:space="preserve"> [49, 57, 67-68]</w:t>
      </w:r>
      <w:r w:rsidRPr="0029300F">
        <w:rPr>
          <w:lang w:val="en-US"/>
        </w:rPr>
        <w:t xml:space="preserve"> Any remaining superficial damage should be homogeneous throughout the exposed surface, not affecting the </w:t>
      </w:r>
      <w:bookmarkEnd w:id="13"/>
      <w:r w:rsidRPr="0029300F">
        <w:rPr>
          <w:lang w:val="en-US"/>
        </w:rPr>
        <w:t xml:space="preserve">measurements of the thermal conductivity of the material due to the differential measurement algorithm explained in section </w:t>
      </w:r>
      <w:r w:rsidRPr="0029300F">
        <w:rPr>
          <w:lang w:val="en-US"/>
        </w:rPr>
        <w:fldChar w:fldCharType="begin"/>
      </w:r>
      <w:r w:rsidRPr="0029300F">
        <w:rPr>
          <w:lang w:val="en-US"/>
        </w:rPr>
        <w:instrText xml:space="preserve"> REF _Ref128934701 \r \h </w:instrText>
      </w:r>
      <w:r>
        <w:rPr>
          <w:lang w:val="en-US"/>
        </w:rPr>
        <w:instrText xml:space="preserve"> \* MERGEFORMAT </w:instrText>
      </w:r>
      <w:r w:rsidRPr="0029300F">
        <w:rPr>
          <w:lang w:val="en-US"/>
        </w:rPr>
      </w:r>
      <w:r w:rsidRPr="0029300F">
        <w:rPr>
          <w:lang w:val="en-US"/>
        </w:rPr>
        <w:fldChar w:fldCharType="separate"/>
      </w:r>
      <w:r w:rsidRPr="0029300F">
        <w:rPr>
          <w:lang w:val="en-US"/>
        </w:rPr>
        <w:t>2.3</w:t>
      </w:r>
      <w:r w:rsidRPr="0029300F">
        <w:rPr>
          <w:lang w:val="en-US"/>
        </w:rPr>
        <w:fldChar w:fldCharType="end"/>
      </w:r>
      <w:r w:rsidRPr="0029300F">
        <w:rPr>
          <w:lang w:val="en-US"/>
        </w:rPr>
        <w:t xml:space="preserve"> below. The resulting slope for both samples is approximately 1:6, with the vertical scale being precise up to sub-nm scale after the calibration of the SThM scanner in the z-direction,</w:t>
      </w:r>
      <w:r w:rsidRPr="005A7543">
        <w:rPr>
          <w:noProof/>
          <w:vertAlign w:val="superscript"/>
          <w:lang w:val="en-US"/>
        </w:rPr>
        <w:t xml:space="preserve"> [51]</w:t>
      </w:r>
      <w:r w:rsidRPr="0029300F">
        <w:rPr>
          <w:lang w:val="en-US"/>
        </w:rPr>
        <w:t xml:space="preserve"> allowing us to obtain high precision measurements of the thermal resistance </w:t>
      </w:r>
      <w:r w:rsidRPr="0029300F">
        <w:rPr>
          <w:iCs/>
          <w:lang w:val="en-US"/>
        </w:rPr>
        <w:t>vs.</w:t>
      </w:r>
      <w:r w:rsidRPr="0029300F">
        <w:rPr>
          <w:lang w:val="en-US"/>
        </w:rPr>
        <w:t xml:space="preserve"> the layer thickness. The profiles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3</w:t>
      </w:r>
      <w:r w:rsidRPr="0029300F">
        <w:rPr>
          <w:lang w:val="en-US"/>
        </w:rPr>
        <w:fldChar w:fldCharType="end"/>
      </w:r>
      <w:r w:rsidRPr="0029300F">
        <w:rPr>
          <w:lang w:val="en-US"/>
        </w:rPr>
        <w:t xml:space="preserve">d,h) of the thermal signal </w:t>
      </w:r>
      <w:r w:rsidRPr="0029300F">
        <w:rPr>
          <w:iCs/>
          <w:lang w:val="en-US"/>
        </w:rPr>
        <w:t>vs.</w:t>
      </w:r>
      <w:r w:rsidRPr="0029300F">
        <w:rPr>
          <w:lang w:val="en-US"/>
        </w:rPr>
        <w:t xml:space="preserve"> position </w:t>
      </w:r>
      <w:r w:rsidRPr="0029300F">
        <w:rPr>
          <w:i/>
          <w:iCs/>
          <w:lang w:val="en-US"/>
        </w:rPr>
        <w:t>x</w:t>
      </w:r>
      <w:r w:rsidRPr="0029300F">
        <w:rPr>
          <w:lang w:val="en-US"/>
        </w:rPr>
        <w:t xml:space="preserve"> along the wedge (proportional to the wedge thickness) are taken along the lines shown in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3</w:t>
      </w:r>
      <w:r w:rsidRPr="0029300F">
        <w:rPr>
          <w:lang w:val="en-US"/>
        </w:rPr>
        <w:fldChar w:fldCharType="end"/>
      </w:r>
      <w:r w:rsidRPr="0029300F">
        <w:rPr>
          <w:lang w:val="en-US"/>
        </w:rPr>
        <w:t xml:space="preserve">b and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3</w:t>
      </w:r>
      <w:r w:rsidRPr="0029300F">
        <w:rPr>
          <w:lang w:val="en-US"/>
        </w:rPr>
        <w:fldChar w:fldCharType="end"/>
      </w:r>
      <w:r w:rsidRPr="0029300F">
        <w:rPr>
          <w:lang w:val="en-US"/>
        </w:rPr>
        <w:t>f, distinctly showing the edge of the top material followed by the gradual increase of the thermal signal. A higher thermal signal (</w:t>
      </w:r>
      <w:bookmarkStart w:id="14" w:name="_Hlk116645555"/>
      <w:r w:rsidRPr="0029300F">
        <w:rPr>
          <w:lang w:val="en-US"/>
        </w:rPr>
        <w:t>proportional to the higher temperature of the probe generated by its Joule heating</w:t>
      </w:r>
      <w:bookmarkEnd w:id="14"/>
      <w:r w:rsidRPr="0029300F">
        <w:rPr>
          <w:lang w:val="en-US"/>
        </w:rPr>
        <w:t>) indicates a higher thermal resistance of the tip-to-sample contact, which would be expected for the lower thermal conductivity layers (SiO</w:t>
      </w:r>
      <w:r w:rsidRPr="0029300F">
        <w:rPr>
          <w:vertAlign w:val="subscript"/>
          <w:lang w:val="en-US"/>
        </w:rPr>
        <w:t>2</w:t>
      </w:r>
      <w:r w:rsidRPr="0029300F">
        <w:rPr>
          <w:lang w:val="en-US"/>
        </w:rPr>
        <w:t xml:space="preserve">, γ-InSe) compared to the higher thermal conductivity of the Si substrate. </w:t>
      </w:r>
      <w:bookmarkStart w:id="15" w:name="_Hlk128508073"/>
      <w:r w:rsidRPr="0029300F">
        <w:rPr>
          <w:lang w:val="en-US"/>
        </w:rPr>
        <w:t xml:space="preserve">The observed Al layer in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3</w:t>
      </w:r>
      <w:r w:rsidRPr="0029300F">
        <w:rPr>
          <w:lang w:val="en-US"/>
        </w:rPr>
        <w:fldChar w:fldCharType="end"/>
      </w:r>
      <w:r w:rsidRPr="0029300F">
        <w:rPr>
          <w:lang w:val="en-US"/>
        </w:rPr>
        <w:t>f is due to the re-sputtering of the BEXP Al chamber wall by the part of the Ar-ion beam not impinging on the sample. These Al residues can be deposited on the top surface of the sample</w:t>
      </w:r>
      <w:bookmarkStart w:id="16" w:name="_Hlk128508607"/>
      <w:r w:rsidRPr="0029300F">
        <w:rPr>
          <w:lang w:val="en-US"/>
        </w:rPr>
        <w:t xml:space="preserve">, whereas the cut that is constantly swept by the Ar beam is not affected. As the measurement data are acquired from the γ-InSe/Si interface well separated from the γ-InSe/Al interface, the Al layer does not contribute to the heat conductance in the area of interest and, hence, to the measured values. </w:t>
      </w:r>
      <w:bookmarkEnd w:id="15"/>
      <w:bookmarkEnd w:id="16"/>
      <w:r w:rsidRPr="0029300F">
        <w:rPr>
          <w:lang w:val="en-US"/>
        </w:rPr>
        <w:t xml:space="preserve">The obtained thermal signal profiles are then converted into contact thermal resistance </w:t>
      </w:r>
      <w:r w:rsidRPr="0029300F">
        <w:rPr>
          <w:iCs/>
          <w:lang w:val="en-US"/>
        </w:rPr>
        <w:t>vs.</w:t>
      </w:r>
      <w:r w:rsidRPr="0029300F">
        <w:rPr>
          <w:lang w:val="en-US"/>
        </w:rPr>
        <w:t xml:space="preserve"> thickness data (</w:t>
      </w:r>
      <w:bookmarkStart w:id="17" w:name="_Hlk116562404"/>
      <w:r w:rsidRPr="0029300F">
        <w:rPr>
          <w:lang w:val="en-US"/>
        </w:rPr>
        <w:t xml:space="preserve">see Equation </w:t>
      </w:r>
      <w:r w:rsidRPr="0029300F">
        <w:rPr>
          <w:lang w:val="en-US"/>
        </w:rPr>
        <w:fldChar w:fldCharType="begin"/>
      </w:r>
      <w:r w:rsidRPr="0029300F">
        <w:rPr>
          <w:lang w:val="en-US"/>
        </w:rPr>
        <w:instrText xml:space="preserve"> REF _Ref94814648 \h  \* MERGEFORMAT </w:instrText>
      </w:r>
      <w:r w:rsidRPr="0029300F">
        <w:rPr>
          <w:lang w:val="en-US"/>
        </w:rPr>
      </w:r>
      <w:r w:rsidRPr="0029300F">
        <w:rPr>
          <w:lang w:val="en-US"/>
        </w:rPr>
        <w:fldChar w:fldCharType="separate"/>
      </w:r>
      <w:r w:rsidRPr="0029300F">
        <w:rPr>
          <w:noProof/>
          <w:lang w:val="en-US"/>
        </w:rPr>
        <w:t>(1</w:t>
      </w:r>
      <w:r w:rsidRPr="0029300F">
        <w:rPr>
          <w:lang w:val="en-US"/>
        </w:rPr>
        <w:t>)</w:t>
      </w:r>
      <w:r w:rsidRPr="0029300F">
        <w:rPr>
          <w:lang w:val="en-US"/>
        </w:rPr>
        <w:fldChar w:fldCharType="end"/>
      </w:r>
      <w:r w:rsidRPr="0029300F">
        <w:rPr>
          <w:lang w:val="en-US"/>
        </w:rPr>
        <w:t xml:space="preserve"> and SI, section S6</w:t>
      </w:r>
      <w:bookmarkEnd w:id="17"/>
      <w:r w:rsidRPr="0029300F">
        <w:rPr>
          <w:lang w:val="en-US"/>
        </w:rPr>
        <w:t>)</w:t>
      </w:r>
      <w:bookmarkStart w:id="18" w:name="_Hlk128496920"/>
      <w:r w:rsidRPr="0029300F">
        <w:rPr>
          <w:lang w:val="en-US"/>
        </w:rPr>
        <w:t>, which is ultimately used to obtain the thermal and structural parameters of the γ-InSe with a two-step fitting procedure explained in the next sections</w:t>
      </w:r>
      <w:bookmarkEnd w:id="18"/>
      <w:r w:rsidRPr="0029300F">
        <w:rPr>
          <w:lang w:val="en-US"/>
        </w:rPr>
        <w:t>.</w:t>
      </w:r>
      <w:r w:rsidRPr="005A7543">
        <w:rPr>
          <w:noProof/>
          <w:vertAlign w:val="superscript"/>
          <w:lang w:val="en-US"/>
        </w:rPr>
        <w:t xml:space="preserve"> [49, 51-52]</w:t>
      </w:r>
    </w:p>
    <w:p w14:paraId="4E3FA016" w14:textId="77777777" w:rsidR="00AA6917" w:rsidRPr="0029300F" w:rsidRDefault="00AA6917" w:rsidP="00A419D1">
      <w:pPr>
        <w:spacing w:after="0" w:line="360" w:lineRule="auto"/>
        <w:rPr>
          <w:lang w:val="en-US"/>
        </w:rPr>
      </w:pPr>
      <w:r w:rsidRPr="0029300F">
        <w:rPr>
          <w:lang w:val="en-US"/>
        </w:rPr>
        <w:t xml:space="preserve">The calibration prior to the measurements (see SI, section S1) provides values for the probe thermal resistance in vacuum </w:t>
      </w:r>
      <w:r w:rsidRPr="0029300F">
        <w:rPr>
          <w:i/>
          <w:iCs/>
          <w:lang w:val="en-US"/>
        </w:rPr>
        <w:t>R</w:t>
      </w:r>
      <w:r w:rsidRPr="0029300F">
        <w:rPr>
          <w:vertAlign w:val="subscript"/>
          <w:lang w:val="en-US"/>
        </w:rPr>
        <w:t>p</w:t>
      </w:r>
      <w:r w:rsidRPr="0029300F">
        <w:rPr>
          <w:lang w:val="en-US"/>
        </w:rPr>
        <w:t xml:space="preserve">. During the SThM measurements, the out-of-contact </w:t>
      </w:r>
      <w:r w:rsidRPr="0029300F">
        <w:rPr>
          <w:i/>
          <w:iCs/>
          <w:lang w:val="en-US"/>
        </w:rPr>
        <w:t>V</w:t>
      </w:r>
      <w:r w:rsidRPr="0029300F">
        <w:rPr>
          <w:vertAlign w:val="subscript"/>
          <w:lang w:val="en-US"/>
        </w:rPr>
        <w:t>nc</w:t>
      </w:r>
      <w:r w:rsidRPr="0029300F">
        <w:rPr>
          <w:lang w:val="en-US"/>
        </w:rPr>
        <w:t xml:space="preserve"> thermal signal (independent of the sample thickness) and the in-contact </w:t>
      </w:r>
      <w:r w:rsidRPr="0029300F">
        <w:rPr>
          <w:i/>
          <w:iCs/>
          <w:lang w:val="en-US"/>
        </w:rPr>
        <w:t>V</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thermal signal as a function of the wedge thickness </w:t>
      </w:r>
      <w:r w:rsidRPr="0029300F">
        <w:rPr>
          <w:i/>
          <w:iCs/>
          <w:lang w:val="en-US"/>
        </w:rPr>
        <w:t>t</w:t>
      </w:r>
      <w:r w:rsidRPr="0029300F">
        <w:rPr>
          <w:lang w:val="en-US"/>
        </w:rPr>
        <w:t xml:space="preserve"> at a particular point, are extracted from the thermal signal and topographical profiles (see SI, section S1). The thermal resistance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of the tip-surface contact is then expressed as:</w:t>
      </w:r>
      <w:r w:rsidRPr="005A7543">
        <w:rPr>
          <w:noProof/>
          <w:vertAlign w:val="superscript"/>
          <w:lang w:val="en-US"/>
        </w:rPr>
        <w:t xml:space="preserve"> [52]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firstRow="0" w:lastRow="0" w:firstColumn="0" w:lastColumn="0" w:noHBand="0" w:noVBand="0"/>
      </w:tblPr>
      <w:tblGrid>
        <w:gridCol w:w="7286"/>
        <w:gridCol w:w="449"/>
        <w:gridCol w:w="1291"/>
      </w:tblGrid>
      <w:tr w:rsidR="00AA6917" w:rsidRPr="0029300F" w14:paraId="4E3FA01A" w14:textId="77777777" w:rsidTr="00A419D1">
        <w:tc>
          <w:tcPr>
            <w:tcW w:w="4036" w:type="pct"/>
          </w:tcPr>
          <w:p w14:paraId="4E3FA017" w14:textId="77777777" w:rsidR="00AA6917" w:rsidRPr="0029300F" w:rsidRDefault="000D65F4" w:rsidP="00A419D1">
            <w:pPr>
              <w:spacing w:line="360"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
                      <m:t>x</m:t>
                    </m:r>
                  </m:sub>
                </m:sSub>
                <m:d>
                  <m:dPr>
                    <m:ctrlPr>
                      <w:rPr>
                        <w:rFonts w:ascii="Cambria Math" w:hAnsi="Cambria Math"/>
                        <w:i/>
                        <w:lang w:val="en-US"/>
                      </w:rPr>
                    </m:ctrlPr>
                  </m:dPr>
                  <m:e>
                    <m:r>
                      <w:rPr>
                        <w:rFonts w:ascii="Cambria Math" w:hAnsi="Cambria Math"/>
                        <w:lang w:val="en-US"/>
                      </w:rPr>
                      <m:t>t</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m:rPr>
                        <m:sty m:val="p"/>
                      </m:rPr>
                      <w:rPr>
                        <w:rFonts w:ascii="Cambria Math" w:hAnsi="Cambria Math"/>
                        <w:lang w:val="en-US"/>
                      </w:rPr>
                      <m:t>e</m:t>
                    </m:r>
                  </m:sub>
                </m:sSub>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V</m:t>
                        </m:r>
                      </m:e>
                      <m:sub>
                        <m:r>
                          <m:rPr>
                            <m:sty m:val="p"/>
                          </m:rPr>
                          <w:rPr>
                            <w:rFonts w:ascii="Cambria Math" w:hAnsi="Cambria Math"/>
                            <w:lang w:val="en-US"/>
                          </w:rPr>
                          <m:t>x</m:t>
                        </m:r>
                      </m:sub>
                    </m:sSub>
                    <m:d>
                      <m:dPr>
                        <m:ctrlPr>
                          <w:rPr>
                            <w:rFonts w:ascii="Cambria Math" w:hAnsi="Cambria Math"/>
                            <w:i/>
                            <w:lang w:val="en-US"/>
                          </w:rPr>
                        </m:ctrlPr>
                      </m:dPr>
                      <m:e>
                        <m:r>
                          <w:rPr>
                            <w:rFonts w:ascii="Cambria Math" w:hAnsi="Cambria Math"/>
                            <w:lang w:val="en-US"/>
                          </w:rPr>
                          <m:t>t</m:t>
                        </m:r>
                      </m:e>
                    </m:d>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
                          <m:t>p</m:t>
                        </m:r>
                      </m:sub>
                    </m:sSub>
                  </m:num>
                  <m:den>
                    <m:sSub>
                      <m:sSubPr>
                        <m:ctrlPr>
                          <w:rPr>
                            <w:rFonts w:ascii="Cambria Math" w:hAnsi="Cambria Math"/>
                            <w:i/>
                            <w:lang w:val="en-US"/>
                          </w:rPr>
                        </m:ctrlPr>
                      </m:sSubPr>
                      <m:e>
                        <m:r>
                          <w:rPr>
                            <w:rFonts w:ascii="Cambria Math" w:hAnsi="Cambria Math"/>
                            <w:lang w:val="en-US"/>
                          </w:rPr>
                          <m:t>V</m:t>
                        </m:r>
                      </m:e>
                      <m:sub>
                        <m:r>
                          <m:rPr>
                            <m:sty m:val="p"/>
                          </m:rPr>
                          <w:rPr>
                            <w:rFonts w:ascii="Cambria Math" w:hAnsi="Cambria Math"/>
                            <w:lang w:val="en-US"/>
                          </w:rPr>
                          <m:t>nc</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m:rPr>
                            <m:sty m:val="p"/>
                          </m:rPr>
                          <w:rPr>
                            <w:rFonts w:ascii="Cambria Math" w:hAnsi="Cambria Math"/>
                            <w:lang w:val="en-US"/>
                          </w:rPr>
                          <m:t>x</m:t>
                        </m:r>
                      </m:sub>
                    </m:sSub>
                    <m:d>
                      <m:dPr>
                        <m:ctrlPr>
                          <w:rPr>
                            <w:rFonts w:ascii="Cambria Math" w:hAnsi="Cambria Math"/>
                            <w:i/>
                            <w:lang w:val="en-US"/>
                          </w:rPr>
                        </m:ctrlPr>
                      </m:dPr>
                      <m:e>
                        <m:r>
                          <w:rPr>
                            <w:rFonts w:ascii="Cambria Math" w:hAnsi="Cambria Math"/>
                            <w:lang w:val="en-US"/>
                          </w:rPr>
                          <m:t>t</m:t>
                        </m:r>
                      </m:e>
                    </m:d>
                  </m:den>
                </m:f>
              </m:oMath>
            </m:oMathPara>
          </w:p>
        </w:tc>
        <w:tc>
          <w:tcPr>
            <w:tcW w:w="249" w:type="pct"/>
            <w:vAlign w:val="center"/>
          </w:tcPr>
          <w:p w14:paraId="4E3FA018" w14:textId="77777777" w:rsidR="00AA6917" w:rsidRPr="0029300F" w:rsidRDefault="00AA6917" w:rsidP="00A419D1">
            <w:pPr>
              <w:spacing w:line="360" w:lineRule="auto"/>
              <w:jc w:val="center"/>
              <w:rPr>
                <w:lang w:val="en-US"/>
              </w:rPr>
            </w:pPr>
          </w:p>
        </w:tc>
        <w:tc>
          <w:tcPr>
            <w:tcW w:w="716" w:type="pct"/>
            <w:vAlign w:val="center"/>
          </w:tcPr>
          <w:p w14:paraId="4E3FA019" w14:textId="77777777" w:rsidR="00AA6917" w:rsidRPr="0029300F" w:rsidRDefault="00AA6917" w:rsidP="00A419D1">
            <w:pPr>
              <w:spacing w:line="360" w:lineRule="auto"/>
              <w:jc w:val="right"/>
              <w:rPr>
                <w:lang w:val="en-US"/>
              </w:rPr>
            </w:pPr>
            <w:bookmarkStart w:id="19" w:name="_Ref94814648"/>
            <w:r w:rsidRPr="0029300F">
              <w:rPr>
                <w:lang w:val="en-US"/>
              </w:rPr>
              <w:t>(</w:t>
            </w:r>
            <w:r w:rsidRPr="0029300F">
              <w:rPr>
                <w:lang w:val="en-US"/>
              </w:rPr>
              <w:fldChar w:fldCharType="begin"/>
            </w:r>
            <w:r w:rsidRPr="0029300F">
              <w:rPr>
                <w:lang w:val="en-US"/>
              </w:rPr>
              <w:instrText xml:space="preserve"> SEQ Equation \* ARABIC </w:instrText>
            </w:r>
            <w:r w:rsidRPr="0029300F">
              <w:rPr>
                <w:lang w:val="en-US"/>
              </w:rPr>
              <w:fldChar w:fldCharType="separate"/>
            </w:r>
            <w:r w:rsidRPr="0029300F">
              <w:rPr>
                <w:noProof/>
                <w:lang w:val="en-US"/>
              </w:rPr>
              <w:t>1</w:t>
            </w:r>
            <w:r w:rsidRPr="0029300F">
              <w:rPr>
                <w:lang w:val="en-US"/>
              </w:rPr>
              <w:fldChar w:fldCharType="end"/>
            </w:r>
            <w:r w:rsidRPr="0029300F">
              <w:rPr>
                <w:lang w:val="en-US"/>
              </w:rPr>
              <w:t>)</w:t>
            </w:r>
            <w:bookmarkEnd w:id="19"/>
          </w:p>
        </w:tc>
      </w:tr>
    </w:tbl>
    <w:p w14:paraId="4E3FA01B" w14:textId="77777777" w:rsidR="00AA6917" w:rsidRPr="0029300F" w:rsidRDefault="00AA6917" w:rsidP="00A419D1">
      <w:pPr>
        <w:spacing w:after="0" w:line="360" w:lineRule="auto"/>
        <w:rPr>
          <w:lang w:val="en-US"/>
        </w:rPr>
      </w:pPr>
      <w:r w:rsidRPr="0029300F">
        <w:rPr>
          <w:lang w:val="en-US"/>
        </w:rPr>
        <w:t xml:space="preserve">where </w:t>
      </w:r>
      <w:r w:rsidRPr="0029300F">
        <w:rPr>
          <w:i/>
          <w:iCs/>
          <w:lang w:val="en-US"/>
        </w:rPr>
        <w:t>R</w:t>
      </w:r>
      <w:r w:rsidRPr="0029300F">
        <w:rPr>
          <w:vertAlign w:val="subscript"/>
          <w:lang w:val="en-US"/>
        </w:rPr>
        <w:t>p</w:t>
      </w:r>
      <w:r w:rsidRPr="0029300F">
        <w:rPr>
          <w:lang w:val="en-US"/>
        </w:rPr>
        <w:t xml:space="preserve"> (1.61</w:t>
      </w:r>
      <w:r w:rsidRPr="0029300F">
        <w:rPr>
          <w:rFonts w:cs="Times New Roman"/>
          <w:lang w:val="en-US"/>
        </w:rPr>
        <w:t>×1</w:t>
      </w:r>
      <w:r w:rsidRPr="0029300F">
        <w:rPr>
          <w:lang w:val="en-US"/>
        </w:rPr>
        <w:t>0</w:t>
      </w:r>
      <w:r w:rsidRPr="0029300F">
        <w:rPr>
          <w:vertAlign w:val="superscript"/>
          <w:lang w:val="en-US"/>
        </w:rPr>
        <w:t>5</w:t>
      </w:r>
      <w:r w:rsidRPr="0029300F">
        <w:rPr>
          <w:lang w:val="en-US"/>
        </w:rPr>
        <w:t xml:space="preserve"> KW</w:t>
      </w:r>
      <w:r w:rsidRPr="0029300F">
        <w:rPr>
          <w:vertAlign w:val="superscript"/>
          <w:lang w:val="en-US"/>
        </w:rPr>
        <w:t>-1</w:t>
      </w:r>
      <w:r w:rsidRPr="0029300F">
        <w:rPr>
          <w:lang w:val="en-US"/>
        </w:rPr>
        <w:t xml:space="preserve">) is obtained by calibrating the probe (see SI, section S1), and </w:t>
      </w:r>
      <w:r w:rsidRPr="0029300F">
        <w:rPr>
          <w:i/>
          <w:iCs/>
          <w:lang w:val="en-US"/>
        </w:rPr>
        <w:t>V</w:t>
      </w:r>
      <w:r w:rsidRPr="0029300F">
        <w:rPr>
          <w:vertAlign w:val="subscript"/>
          <w:lang w:val="en-US"/>
        </w:rPr>
        <w:t>nc</w:t>
      </w:r>
      <w:r w:rsidRPr="0029300F">
        <w:rPr>
          <w:lang w:val="en-US"/>
        </w:rPr>
        <w:t xml:space="preserve"> and </w:t>
      </w:r>
      <w:r w:rsidRPr="0029300F">
        <w:rPr>
          <w:i/>
          <w:iCs/>
          <w:lang w:val="en-US"/>
        </w:rPr>
        <w:t>V</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for </w:t>
      </w:r>
      <w:r w:rsidRPr="0029300F">
        <w:rPr>
          <w:rFonts w:cs="Times New Roman"/>
          <w:lang w:val="en-US"/>
        </w:rPr>
        <w:t>γ-</w:t>
      </w:r>
      <w:r w:rsidRPr="0029300F">
        <w:rPr>
          <w:lang w:val="en-US"/>
        </w:rPr>
        <w:t>InSe/Si and SiO</w:t>
      </w:r>
      <w:r w:rsidRPr="0029300F">
        <w:rPr>
          <w:vertAlign w:val="subscript"/>
          <w:lang w:val="en-US"/>
        </w:rPr>
        <w:t>2</w:t>
      </w:r>
      <w:r w:rsidRPr="0029300F">
        <w:rPr>
          <w:lang w:val="en-US"/>
        </w:rPr>
        <w:t xml:space="preserve">/Si are extracted from the thermal signal profiles. Here, </w:t>
      </w:r>
      <w:r w:rsidRPr="0029300F">
        <w:rPr>
          <w:i/>
          <w:iCs/>
          <w:lang w:val="en-US"/>
        </w:rPr>
        <w:t>c</w:t>
      </w:r>
      <w:r w:rsidRPr="0029300F">
        <w:rPr>
          <w:vertAlign w:val="subscript"/>
          <w:lang w:val="en-US"/>
        </w:rPr>
        <w:t>e</w:t>
      </w:r>
      <w:r w:rsidRPr="0029300F">
        <w:rPr>
          <w:lang w:val="en-US"/>
        </w:rPr>
        <w:t xml:space="preserve"> is the probe “tooling factor” sensitivity coefficient. It represents a fixed geometric coefficient that accounts for the different thermal signal responses of the probe to the same amount of heat flux while it self-heats (</w:t>
      </w:r>
      <w:r w:rsidRPr="0029300F">
        <w:rPr>
          <w:iCs/>
          <w:lang w:val="en-US"/>
        </w:rPr>
        <w:t>i.e.</w:t>
      </w:r>
      <w:r w:rsidRPr="0029300F">
        <w:rPr>
          <w:lang w:val="en-US"/>
        </w:rPr>
        <w:t>, value obtained during its calibration), and the heat flux to the sample during the measurements. This factor depends solely on the heater geometry of the probe and is independent of the measured sample, or the absolute value of heat applied to the probe (see SI, section S6).</w:t>
      </w:r>
      <w:r w:rsidRPr="005A7543">
        <w:rPr>
          <w:noProof/>
          <w:vertAlign w:val="superscript"/>
          <w:lang w:val="en-US"/>
        </w:rPr>
        <w:t xml:space="preserve"> [51]</w:t>
      </w:r>
    </w:p>
    <w:p w14:paraId="4E3FA01C" w14:textId="77777777" w:rsidR="00AA6917" w:rsidRPr="0029300F" w:rsidRDefault="00AA6917" w:rsidP="00A419D1">
      <w:pPr>
        <w:spacing w:after="0" w:line="360" w:lineRule="auto"/>
        <w:rPr>
          <w:lang w:val="en-US"/>
        </w:rPr>
      </w:pPr>
      <w:r w:rsidRPr="0029300F">
        <w:rPr>
          <w:lang w:val="en-US"/>
        </w:rPr>
        <w:t xml:space="preserve">The “zero” thickness of the wedge with </w:t>
      </w:r>
      <w:r w:rsidRPr="0029300F">
        <w:rPr>
          <w:i/>
          <w:iCs/>
          <w:lang w:val="en-US"/>
        </w:rPr>
        <w:t>t</w:t>
      </w:r>
      <w:r w:rsidRPr="0029300F">
        <w:rPr>
          <w:lang w:val="en-US"/>
        </w:rPr>
        <w:t xml:space="preserve"> = 0 nm at position </w:t>
      </w:r>
      <w:r w:rsidRPr="0029300F">
        <w:rPr>
          <w:i/>
          <w:iCs/>
          <w:lang w:val="en-US"/>
        </w:rPr>
        <w:t>x</w:t>
      </w:r>
      <w:r w:rsidRPr="0029300F">
        <w:rPr>
          <w:vertAlign w:val="subscript"/>
          <w:lang w:val="en-US"/>
        </w:rPr>
        <w:t>0</w:t>
      </w:r>
      <w:r w:rsidRPr="0029300F">
        <w:rPr>
          <w:lang w:val="en-US"/>
        </w:rPr>
        <w:t xml:space="preserve"> is determined from the intersection of the lines of the thermal response of the substrate and the top material. The data points in the narrow transition zone, which appears due to the final width of the probe, are affected by the transition between the two materials. Therefore, only the data points with thicknesses </w:t>
      </w:r>
      <w:r w:rsidRPr="0029300F">
        <w:rPr>
          <w:i/>
          <w:iCs/>
          <w:lang w:val="en-US"/>
        </w:rPr>
        <w:t>t</w:t>
      </w:r>
      <w:r w:rsidRPr="0029300F">
        <w:rPr>
          <w:lang w:val="en-US"/>
        </w:rPr>
        <w:t xml:space="preserve"> &gt; </w:t>
      </w:r>
      <w:r w:rsidRPr="0029300F">
        <w:rPr>
          <w:i/>
          <w:iCs/>
          <w:lang w:val="en-US"/>
        </w:rPr>
        <w:t>t</w:t>
      </w:r>
      <w:r w:rsidRPr="0029300F">
        <w:rPr>
          <w:vertAlign w:val="subscript"/>
          <w:lang w:val="en-US"/>
        </w:rPr>
        <w:t>shift</w:t>
      </w:r>
      <w:r w:rsidRPr="0029300F">
        <w:rPr>
          <w:lang w:val="en-US"/>
        </w:rPr>
        <w:t xml:space="preserve"> (</w:t>
      </w:r>
      <w:r w:rsidRPr="0029300F">
        <w:rPr>
          <w:rFonts w:cs="Times New Roman"/>
          <w:lang w:val="en-US"/>
        </w:rPr>
        <w:t>~</w:t>
      </w:r>
      <w:r w:rsidRPr="0029300F">
        <w:rPr>
          <w:lang w:val="en-US"/>
        </w:rPr>
        <w:t>5 nm), corresponding to the tip position greater than the typical tip contact radius (</w:t>
      </w:r>
      <w:r w:rsidRPr="0029300F">
        <w:rPr>
          <w:i/>
          <w:iCs/>
          <w:lang w:val="en-US"/>
        </w:rPr>
        <w:t>x</w:t>
      </w:r>
      <w:r w:rsidRPr="0029300F">
        <w:rPr>
          <w:vertAlign w:val="subscript"/>
          <w:lang w:val="en-US"/>
        </w:rPr>
        <w:t>shift</w:t>
      </w:r>
      <w:r w:rsidRPr="0029300F">
        <w:rPr>
          <w:lang w:val="en-US"/>
        </w:rPr>
        <w:t xml:space="preserve"> &gt; 30 nm), are used here for the analysis. As a consequence, the thickness range of the </w:t>
      </w:r>
      <w:r w:rsidRPr="0029300F">
        <w:rPr>
          <w:rFonts w:cs="Times New Roman"/>
          <w:lang w:val="en-US"/>
        </w:rPr>
        <w:t>γ-</w:t>
      </w:r>
      <w:r w:rsidRPr="0029300F">
        <w:rPr>
          <w:lang w:val="en-US"/>
        </w:rPr>
        <w:t>InSe flake used for the measurements of the thermal conductivity spans from 5 up to 80 nm, with lateral tip displacement in the range of 30 to 300 nm. In order to reduce the minimum measurable thickness and improve the resolution of the measurements, the tip-sample contact radius would have to be smaller. This can be achieved by both reducing the tip apex radius with a carbon nanotube at the end of the thermal probe as described elsewhere</w:t>
      </w:r>
      <w:r w:rsidRPr="005A7543">
        <w:rPr>
          <w:noProof/>
          <w:vertAlign w:val="superscript"/>
          <w:lang w:val="en-US"/>
        </w:rPr>
        <w:t xml:space="preserve"> [69]</w:t>
      </w:r>
      <w:r w:rsidRPr="0029300F">
        <w:rPr>
          <w:lang w:val="en-US"/>
        </w:rPr>
        <w:t xml:space="preserve"> and by doing a gentler post-polishing of the wedge surface in the BEXP (with accelerating voltage down to a few 100 V or post-processing the cut via nanotomography with a stiff SPM tip that can also furtherly remove the remaining surface damage).</w:t>
      </w:r>
      <w:r w:rsidRPr="005A7543">
        <w:rPr>
          <w:noProof/>
          <w:vertAlign w:val="superscript"/>
          <w:lang w:val="en-US"/>
        </w:rPr>
        <w:t xml:space="preserve"> [70-71]</w:t>
      </w:r>
      <w:r w:rsidRPr="0029300F">
        <w:rPr>
          <w:lang w:val="en-US"/>
        </w:rPr>
        <w:t xml:space="preserve"> We note that these thicknesses and lateral tip displacements are larger than the corresponding phonon mean free path </w:t>
      </w:r>
      <w:r w:rsidRPr="0029300F">
        <w:rPr>
          <w:rFonts w:cs="Times New Roman"/>
          <w:i/>
          <w:iCs/>
          <w:lang w:val="en-US"/>
        </w:rPr>
        <w:t>λ</w:t>
      </w:r>
      <w:r w:rsidRPr="0029300F">
        <w:rPr>
          <w:lang w:val="en-US"/>
        </w:rPr>
        <w:t xml:space="preserve"> of </w:t>
      </w:r>
      <w:r w:rsidRPr="0029300F">
        <w:rPr>
          <w:rFonts w:cs="Times New Roman"/>
          <w:lang w:val="en-US"/>
        </w:rPr>
        <w:t>γ-</w:t>
      </w:r>
      <w:r w:rsidRPr="0029300F">
        <w:rPr>
          <w:lang w:val="en-US"/>
        </w:rPr>
        <w:t>InSe, which is of the order of 3 nm, as reported elsewhere.</w:t>
      </w:r>
      <w:r w:rsidRPr="005A7543">
        <w:rPr>
          <w:noProof/>
          <w:vertAlign w:val="superscript"/>
          <w:lang w:val="en-US"/>
        </w:rPr>
        <w:t xml:space="preserve"> [72]</w:t>
      </w:r>
      <w:r w:rsidRPr="0029300F">
        <w:rPr>
          <w:lang w:val="en-US"/>
        </w:rPr>
        <w:t xml:space="preserve"> The upper bound of the mean free path for </w:t>
      </w:r>
      <w:r w:rsidRPr="0029300F">
        <w:rPr>
          <w:rFonts w:cs="Times New Roman"/>
          <w:lang w:val="en-US"/>
        </w:rPr>
        <w:t>γ-</w:t>
      </w:r>
      <w:r w:rsidRPr="0029300F">
        <w:rPr>
          <w:lang w:val="en-US"/>
        </w:rPr>
        <w:t>InSe can also be estimated using the kinetic model (</w:t>
      </w:r>
      <w:r w:rsidRPr="0029300F">
        <w:rPr>
          <w:rFonts w:eastAsiaTheme="minorEastAsia" w:cs="Times New Roman"/>
          <w:i/>
          <w:iCs/>
          <w:lang w:val="en-US"/>
        </w:rPr>
        <w:t>λ</w:t>
      </w:r>
      <w:r w:rsidRPr="0029300F">
        <w:rPr>
          <w:rFonts w:eastAsiaTheme="minorEastAsia" w:cs="Times New Roman"/>
          <w:lang w:val="en-US"/>
        </w:rPr>
        <w:t xml:space="preserve"> = 3</w:t>
      </w:r>
      <w:r w:rsidRPr="0029300F">
        <w:rPr>
          <w:rFonts w:eastAsiaTheme="minorEastAsia" w:cs="Times New Roman"/>
          <w:i/>
          <w:iCs/>
          <w:lang w:val="en-US"/>
        </w:rPr>
        <w:t>k</w:t>
      </w:r>
      <w:r w:rsidRPr="0029300F">
        <w:rPr>
          <w:rFonts w:eastAsiaTheme="minorEastAsia" w:cs="Times New Roman"/>
          <w:vertAlign w:val="subscript"/>
          <w:lang w:val="en-US"/>
        </w:rPr>
        <w:t>z</w:t>
      </w:r>
      <w:r w:rsidRPr="0029300F">
        <w:rPr>
          <w:rFonts w:eastAsiaTheme="minorEastAsia" w:cs="Times New Roman"/>
          <w:i/>
          <w:iCs/>
          <w:lang w:val="en-US"/>
        </w:rPr>
        <w:t>C</w:t>
      </w:r>
      <w:r w:rsidRPr="0029300F">
        <w:rPr>
          <w:rFonts w:eastAsiaTheme="minorEastAsia" w:cs="Times New Roman"/>
          <w:vertAlign w:val="subscript"/>
          <w:lang w:val="en-US"/>
        </w:rPr>
        <w:t>v</w:t>
      </w:r>
      <w:r w:rsidRPr="0029300F">
        <w:rPr>
          <w:rFonts w:eastAsiaTheme="minorEastAsia" w:cs="Times New Roman"/>
          <w:vertAlign w:val="superscript"/>
          <w:lang w:val="en-US"/>
        </w:rPr>
        <w:t>-1</w:t>
      </w:r>
      <w:r w:rsidRPr="0029300F">
        <w:rPr>
          <w:rFonts w:eastAsiaTheme="minorEastAsia" w:cs="Times New Roman"/>
          <w:i/>
          <w:iCs/>
          <w:lang w:val="en-US"/>
        </w:rPr>
        <w:t>υ</w:t>
      </w:r>
      <w:r w:rsidRPr="0029300F">
        <w:rPr>
          <w:rFonts w:eastAsiaTheme="minorEastAsia" w:cs="Times New Roman"/>
          <w:vertAlign w:val="subscript"/>
          <w:lang w:val="en-US"/>
        </w:rPr>
        <w:t>s</w:t>
      </w:r>
      <w:r w:rsidRPr="0029300F">
        <w:rPr>
          <w:rFonts w:eastAsiaTheme="minorEastAsia" w:cs="Times New Roman"/>
          <w:vertAlign w:val="superscript"/>
          <w:lang w:val="en-US"/>
        </w:rPr>
        <w:t>-1</w:t>
      </w:r>
      <w:r w:rsidRPr="0029300F">
        <w:rPr>
          <w:rFonts w:eastAsiaTheme="minorEastAsia" w:cs="Times New Roman"/>
          <w:lang w:val="en-US"/>
        </w:rPr>
        <w:t xml:space="preserve">) where </w:t>
      </w:r>
      <w:r w:rsidRPr="0029300F">
        <w:rPr>
          <w:rFonts w:eastAsiaTheme="minorEastAsia" w:cs="Times New Roman"/>
          <w:i/>
          <w:iCs/>
          <w:lang w:val="en-US"/>
        </w:rPr>
        <w:t>υ</w:t>
      </w:r>
      <w:r w:rsidRPr="0029300F">
        <w:rPr>
          <w:rFonts w:eastAsiaTheme="minorEastAsia" w:cs="Times New Roman"/>
          <w:vertAlign w:val="subscript"/>
          <w:lang w:val="en-US"/>
        </w:rPr>
        <w:t>s</w:t>
      </w:r>
      <w:r w:rsidRPr="0029300F">
        <w:rPr>
          <w:rFonts w:eastAsiaTheme="minorEastAsia" w:cs="Times New Roman"/>
          <w:lang w:val="en-US"/>
        </w:rPr>
        <w:t xml:space="preserve"> is the speed of sound, </w:t>
      </w:r>
      <w:r w:rsidRPr="0029300F">
        <w:rPr>
          <w:rFonts w:eastAsiaTheme="minorEastAsia" w:cs="Times New Roman"/>
          <w:i/>
          <w:iCs/>
          <w:lang w:val="en-US"/>
        </w:rPr>
        <w:t>C</w:t>
      </w:r>
      <w:r w:rsidRPr="0029300F">
        <w:rPr>
          <w:rFonts w:eastAsiaTheme="minorEastAsia" w:cs="Times New Roman"/>
          <w:vertAlign w:val="subscript"/>
          <w:lang w:val="en-US"/>
        </w:rPr>
        <w:t>v</w:t>
      </w:r>
      <w:r w:rsidRPr="0029300F">
        <w:rPr>
          <w:rFonts w:eastAsiaTheme="minorEastAsia" w:cs="Times New Roman"/>
          <w:lang w:val="en-US"/>
        </w:rPr>
        <w:t xml:space="preserve"> is the volumetric heat capacity</w:t>
      </w:r>
      <w:r w:rsidRPr="005A7543">
        <w:rPr>
          <w:noProof/>
          <w:vertAlign w:val="superscript"/>
          <w:lang w:val="en-US"/>
        </w:rPr>
        <w:t xml:space="preserve"> [73]</w:t>
      </w:r>
      <w:r w:rsidRPr="0029300F">
        <w:rPr>
          <w:lang w:val="en-US"/>
        </w:rPr>
        <w:t xml:space="preserve"> </w:t>
      </w:r>
      <w:bookmarkStart w:id="20" w:name="_Hlk116565749"/>
      <w:r w:rsidRPr="0029300F">
        <w:rPr>
          <w:lang w:val="en-US"/>
        </w:rPr>
        <w:t xml:space="preserve">and </w:t>
      </w:r>
      <w:r w:rsidRPr="0029300F">
        <w:rPr>
          <w:rFonts w:eastAsiaTheme="minorEastAsia" w:cs="Times New Roman"/>
          <w:i/>
          <w:iCs/>
          <w:lang w:val="en-US"/>
        </w:rPr>
        <w:t>k</w:t>
      </w:r>
      <w:r w:rsidRPr="0029300F">
        <w:rPr>
          <w:rFonts w:eastAsiaTheme="minorEastAsia" w:cs="Times New Roman"/>
          <w:vertAlign w:val="subscript"/>
          <w:lang w:val="en-US"/>
        </w:rPr>
        <w:t>z</w:t>
      </w:r>
      <w:r w:rsidRPr="0029300F">
        <w:rPr>
          <w:rFonts w:eastAsiaTheme="minorEastAsia" w:cs="Times New Roman"/>
          <w:lang w:val="en-US"/>
        </w:rPr>
        <w:t xml:space="preserve"> are the literature reported thermal conductivity values of layered </w:t>
      </w:r>
      <w:r w:rsidRPr="0029300F">
        <w:rPr>
          <w:rFonts w:cs="Times New Roman"/>
          <w:lang w:val="en-US"/>
        </w:rPr>
        <w:t>γ-</w:t>
      </w:r>
      <w:r w:rsidRPr="0029300F">
        <w:rPr>
          <w:lang w:val="en-US"/>
        </w:rPr>
        <w:t>InSe</w:t>
      </w:r>
      <w:bookmarkEnd w:id="20"/>
      <w:r w:rsidRPr="0029300F">
        <w:rPr>
          <w:lang w:val="en-US"/>
        </w:rPr>
        <w:t xml:space="preserve"> (</w:t>
      </w:r>
      <w:r w:rsidRPr="0029300F">
        <w:rPr>
          <w:rFonts w:cs="Times New Roman"/>
          <w:lang w:val="en-US"/>
        </w:rPr>
        <w:t>~</w:t>
      </w:r>
      <w:r w:rsidRPr="0029300F">
        <w:rPr>
          <w:lang w:val="en-US"/>
        </w:rPr>
        <w:t>2 Wm</w:t>
      </w:r>
      <w:r w:rsidRPr="0029300F">
        <w:rPr>
          <w:vertAlign w:val="superscript"/>
          <w:lang w:val="en-US"/>
        </w:rPr>
        <w:t>-1</w:t>
      </w:r>
      <w:r w:rsidRPr="0029300F">
        <w:rPr>
          <w:lang w:val="en-US"/>
        </w:rPr>
        <w:t>K</w:t>
      </w:r>
      <w:r w:rsidRPr="0029300F">
        <w:rPr>
          <w:vertAlign w:val="superscript"/>
          <w:lang w:val="en-US"/>
        </w:rPr>
        <w:t>-1</w:t>
      </w:r>
      <w:r w:rsidRPr="0029300F">
        <w:rPr>
          <w:lang w:val="en-US"/>
        </w:rPr>
        <w:t>).</w:t>
      </w:r>
      <w:r w:rsidRPr="005A7543">
        <w:rPr>
          <w:noProof/>
          <w:vertAlign w:val="superscript"/>
          <w:lang w:val="en-US"/>
        </w:rPr>
        <w:t xml:space="preserve"> [27, 41, 73]</w:t>
      </w:r>
      <w:r w:rsidRPr="0029300F">
        <w:rPr>
          <w:lang w:val="en-US"/>
        </w:rPr>
        <w:t xml:space="preserve"> This </w:t>
      </w:r>
      <w:bookmarkStart w:id="21" w:name="_Hlk116565829"/>
      <w:r w:rsidRPr="0029300F">
        <w:rPr>
          <w:lang w:val="en-US"/>
        </w:rPr>
        <w:t xml:space="preserve">results in a mean free path </w:t>
      </w:r>
      <w:r w:rsidRPr="0029300F">
        <w:rPr>
          <w:rFonts w:eastAsiaTheme="minorEastAsia" w:cs="Times New Roman"/>
          <w:i/>
          <w:iCs/>
          <w:lang w:val="en-US"/>
        </w:rPr>
        <w:t>λ</w:t>
      </w:r>
      <w:r w:rsidRPr="0029300F">
        <w:rPr>
          <w:lang w:val="en-US"/>
        </w:rPr>
        <w:t xml:space="preserve"> &lt; 5 nm</w:t>
      </w:r>
      <w:bookmarkEnd w:id="21"/>
      <w:r w:rsidRPr="0029300F">
        <w:rPr>
          <w:lang w:val="en-US"/>
        </w:rPr>
        <w:t xml:space="preserve">. Therefore, for the range of thicknesses involved, it is reasonable to use a diffusion thermal transport approximation for this material and consider that the tip-surface contact thermal resistance </w:t>
      </w:r>
      <w:r w:rsidRPr="0029300F">
        <w:rPr>
          <w:i/>
          <w:iCs/>
          <w:lang w:val="en-US"/>
        </w:rPr>
        <w:t>R</w:t>
      </w:r>
      <w:r w:rsidRPr="0029300F">
        <w:rPr>
          <w:vertAlign w:val="subscript"/>
          <w:lang w:val="en-US"/>
        </w:rPr>
        <w:t>c</w:t>
      </w:r>
      <w:r w:rsidRPr="0029300F">
        <w:rPr>
          <w:lang w:val="en-US"/>
        </w:rPr>
        <w:t xml:space="preserve"> </w:t>
      </w:r>
      <w:bookmarkStart w:id="22" w:name="_Hlk116672061"/>
      <w:r w:rsidRPr="0029300F">
        <w:rPr>
          <w:lang w:val="en-US"/>
        </w:rPr>
        <w:t xml:space="preserve">and the sample-substrate thermal resistivity </w:t>
      </w:r>
      <w:r w:rsidRPr="0029300F">
        <w:rPr>
          <w:i/>
          <w:iCs/>
          <w:lang w:val="en-US"/>
        </w:rPr>
        <w:t>r</w:t>
      </w:r>
      <w:r w:rsidRPr="0029300F">
        <w:rPr>
          <w:vertAlign w:val="subscript"/>
          <w:lang w:val="en-US"/>
        </w:rPr>
        <w:t>int</w:t>
      </w:r>
      <w:r w:rsidRPr="0029300F">
        <w:rPr>
          <w:lang w:val="en-US"/>
        </w:rPr>
        <w:t xml:space="preserve"> </w:t>
      </w:r>
      <w:bookmarkEnd w:id="22"/>
      <w:r w:rsidRPr="0029300F">
        <w:rPr>
          <w:lang w:val="en-US"/>
        </w:rPr>
        <w:t>depend only on the combination of materials and are independent of the thickness. The diffusive-ballistic transport transition represents another limitation of the described method for the sample thicknesses below the mean free path of the heat carriers. While the xSThM will still remain sensitive to the thermal conductivity and its anisotropy, the quantitative measurements would require appropriate analytical and FEA modelling (e.g., using the Boltzmann transport equation)</w:t>
      </w:r>
      <w:r w:rsidRPr="005A7543">
        <w:rPr>
          <w:noProof/>
          <w:vertAlign w:val="superscript"/>
          <w:lang w:val="en-US"/>
        </w:rPr>
        <w:t xml:space="preserve"> [74]</w:t>
      </w:r>
      <w:r w:rsidRPr="0029300F">
        <w:rPr>
          <w:lang w:val="en-US"/>
        </w:rPr>
        <w:t xml:space="preserve"> capable of taking into account the ballistic heat transport.</w:t>
      </w:r>
    </w:p>
    <w:p w14:paraId="4E3FA01D" w14:textId="77777777" w:rsidR="00AA6917" w:rsidRPr="0029300F" w:rsidRDefault="00AA6917" w:rsidP="00A419D1">
      <w:pPr>
        <w:spacing w:after="0" w:line="360" w:lineRule="auto"/>
        <w:rPr>
          <w:rFonts w:eastAsiaTheme="minorEastAsia"/>
          <w:lang w:val="en-US"/>
        </w:rPr>
      </w:pPr>
      <w:bookmarkStart w:id="23" w:name="_Hlk109397986"/>
      <w:r w:rsidRPr="0029300F">
        <w:rPr>
          <w:lang w:val="en-US"/>
        </w:rPr>
        <w:t xml:space="preserve">We then can consider the tip-sample thermal resistance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as the sum of the contact thermal resistance in the tip-sample interface </w:t>
      </w:r>
      <w:r w:rsidRPr="0029300F">
        <w:rPr>
          <w:i/>
          <w:iCs/>
          <w:lang w:val="en-US"/>
        </w:rPr>
        <w:t>R</w:t>
      </w:r>
      <w:r w:rsidRPr="0029300F">
        <w:rPr>
          <w:vertAlign w:val="subscript"/>
          <w:lang w:val="en-US"/>
        </w:rPr>
        <w:t>c</w:t>
      </w:r>
      <w:r w:rsidRPr="0029300F">
        <w:rPr>
          <w:lang w:val="en-US"/>
        </w:rPr>
        <w:t>, which does not depend on the wedge thickness,</w:t>
      </w:r>
      <w:r w:rsidRPr="005A7543">
        <w:rPr>
          <w:noProof/>
          <w:vertAlign w:val="superscript"/>
          <w:lang w:val="en-US"/>
        </w:rPr>
        <w:t xml:space="preserve"> [52]</w:t>
      </w:r>
      <w:r w:rsidRPr="0029300F">
        <w:rPr>
          <w:lang w:val="en-US"/>
        </w:rPr>
        <w:t xml:space="preserve"> and the thickness-dependent thermal resistance of the layer-substrate assembly </w:t>
      </w:r>
      <w:r w:rsidRPr="0029300F">
        <w:rPr>
          <w:i/>
          <w:iCs/>
          <w:lang w:val="en-US"/>
        </w:rPr>
        <w:t>R</w:t>
      </w:r>
      <w:r w:rsidRPr="0029300F">
        <w:rPr>
          <w:vertAlign w:val="subscript"/>
          <w:lang w:val="en-US"/>
        </w:rPr>
        <w:t>s</w:t>
      </w:r>
      <w:r w:rsidRPr="0029300F">
        <w:rPr>
          <w:iCs/>
          <w:lang w:val="en-US"/>
        </w:rPr>
        <w:t>(</w:t>
      </w:r>
      <w:r w:rsidRPr="0029300F">
        <w:rPr>
          <w:i/>
          <w:iCs/>
          <w:lang w:val="en-US"/>
        </w:rPr>
        <w:t>t</w:t>
      </w:r>
      <w:r w:rsidRPr="0029300F">
        <w:rPr>
          <w:iCs/>
          <w:lang w:val="en-US"/>
        </w:rPr>
        <w:t>)</w:t>
      </w:r>
      <w:r w:rsidRPr="0029300F">
        <w:rPr>
          <w:lang w:val="en-US"/>
        </w:rPr>
        <w:t xml:space="preserve">, as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  </w:t>
      </w:r>
      <w:r w:rsidRPr="0029300F">
        <w:rPr>
          <w:i/>
          <w:iCs/>
          <w:lang w:val="en-US"/>
        </w:rPr>
        <w:t>R</w:t>
      </w:r>
      <w:r w:rsidRPr="0029300F">
        <w:rPr>
          <w:vertAlign w:val="subscript"/>
          <w:lang w:val="en-US"/>
        </w:rPr>
        <w:t>s</w:t>
      </w:r>
      <w:r w:rsidRPr="0029300F">
        <w:rPr>
          <w:iCs/>
          <w:lang w:val="en-US"/>
        </w:rPr>
        <w:t>(</w:t>
      </w:r>
      <w:r w:rsidRPr="0029300F">
        <w:rPr>
          <w:i/>
          <w:iCs/>
          <w:lang w:val="en-US"/>
        </w:rPr>
        <w:t>t</w:t>
      </w:r>
      <w:r w:rsidRPr="0029300F">
        <w:rPr>
          <w:iCs/>
          <w:lang w:val="en-US"/>
        </w:rPr>
        <w:t>)</w:t>
      </w:r>
      <w:r w:rsidRPr="0029300F">
        <w:rPr>
          <w:lang w:val="en-US"/>
        </w:rPr>
        <w:t xml:space="preserve"> + </w:t>
      </w:r>
      <w:r w:rsidRPr="0029300F">
        <w:rPr>
          <w:i/>
          <w:iCs/>
          <w:lang w:val="en-US"/>
        </w:rPr>
        <w:t>R</w:t>
      </w:r>
      <w:r w:rsidRPr="0029300F">
        <w:rPr>
          <w:vertAlign w:val="subscript"/>
          <w:lang w:val="en-US"/>
        </w:rPr>
        <w:t>c</w:t>
      </w:r>
      <w:r w:rsidRPr="0029300F">
        <w:rPr>
          <w:lang w:val="en-US"/>
        </w:rPr>
        <w:t xml:space="preserve"> </w:t>
      </w:r>
      <w:bookmarkEnd w:id="23"/>
      <w:r w:rsidRPr="0029300F">
        <w:rPr>
          <w:rFonts w:eastAsiaTheme="minorEastAsia"/>
          <w:lang w:val="en-US"/>
        </w:rPr>
        <w:t>(see detailed scheme in SI, section S10).</w:t>
      </w:r>
    </w:p>
    <w:p w14:paraId="4E3FA01E" w14:textId="77777777" w:rsidR="00AA6917" w:rsidRPr="0029300F" w:rsidRDefault="00AA6917" w:rsidP="00A419D1">
      <w:pPr>
        <w:spacing w:after="0" w:line="360" w:lineRule="auto"/>
        <w:rPr>
          <w:lang w:val="en-US"/>
        </w:rPr>
      </w:pPr>
      <w:r w:rsidRPr="0029300F">
        <w:rPr>
          <w:rFonts w:eastAsiaTheme="minorEastAsia"/>
          <w:lang w:val="en-US"/>
        </w:rPr>
        <w:t xml:space="preserve">Both </w:t>
      </w:r>
      <w:r w:rsidRPr="0029300F">
        <w:rPr>
          <w:i/>
          <w:iCs/>
          <w:lang w:val="en-US"/>
        </w:rPr>
        <w:t>R</w:t>
      </w:r>
      <w:r w:rsidRPr="0029300F">
        <w:rPr>
          <w:vertAlign w:val="subscript"/>
          <w:lang w:val="en-US"/>
        </w:rPr>
        <w:t>s</w:t>
      </w:r>
      <w:r w:rsidRPr="0029300F">
        <w:rPr>
          <w:iCs/>
          <w:lang w:val="en-US"/>
        </w:rPr>
        <w:t>(</w:t>
      </w:r>
      <w:r w:rsidRPr="0029300F">
        <w:rPr>
          <w:i/>
          <w:iCs/>
          <w:lang w:val="en-US"/>
        </w:rPr>
        <w:t>t</w:t>
      </w:r>
      <w:r w:rsidRPr="0029300F">
        <w:rPr>
          <w:iCs/>
          <w:lang w:val="en-US"/>
        </w:rPr>
        <w:t>)</w:t>
      </w:r>
      <w:r w:rsidRPr="0029300F">
        <w:rPr>
          <w:lang w:val="en-US"/>
        </w:rPr>
        <w:t xml:space="preserve"> and </w:t>
      </w:r>
      <w:r w:rsidRPr="0029300F">
        <w:rPr>
          <w:i/>
          <w:iCs/>
          <w:lang w:val="en-US"/>
        </w:rPr>
        <w:t>R</w:t>
      </w:r>
      <w:r w:rsidRPr="0029300F">
        <w:rPr>
          <w:vertAlign w:val="subscript"/>
          <w:lang w:val="en-US"/>
        </w:rPr>
        <w:t>c</w:t>
      </w:r>
      <w:r w:rsidRPr="0029300F">
        <w:rPr>
          <w:lang w:val="en-US"/>
        </w:rPr>
        <w:t xml:space="preserve"> depend on the tip contact with the sample, which we can approximate as a disk of radius </w:t>
      </w:r>
      <w:r w:rsidRPr="0029300F">
        <w:rPr>
          <w:i/>
          <w:iCs/>
          <w:lang w:val="en-US"/>
        </w:rPr>
        <w:t>a</w:t>
      </w:r>
      <w:r w:rsidRPr="0029300F">
        <w:rPr>
          <w:lang w:val="en-US"/>
        </w:rPr>
        <w:t xml:space="preserve">, with </w:t>
      </w:r>
      <w:r w:rsidRPr="0029300F">
        <w:rPr>
          <w:i/>
          <w:iCs/>
          <w:lang w:val="en-US"/>
        </w:rPr>
        <w:t>R</w:t>
      </w:r>
      <w:r w:rsidRPr="0029300F">
        <w:rPr>
          <w:vertAlign w:val="subscript"/>
          <w:lang w:val="en-US"/>
        </w:rPr>
        <w:t>s</w:t>
      </w:r>
      <w:r w:rsidRPr="0029300F">
        <w:rPr>
          <w:iCs/>
          <w:lang w:val="en-US"/>
        </w:rPr>
        <w:t>(</w:t>
      </w:r>
      <w:r w:rsidRPr="0029300F">
        <w:rPr>
          <w:i/>
          <w:iCs/>
          <w:lang w:val="en-US"/>
        </w:rPr>
        <w:t>t</w:t>
      </w:r>
      <w:r w:rsidRPr="0029300F">
        <w:rPr>
          <w:iCs/>
          <w:lang w:val="en-US"/>
        </w:rPr>
        <w:t>)</w:t>
      </w:r>
      <w:r w:rsidRPr="0029300F">
        <w:rPr>
          <w:lang w:val="en-US"/>
        </w:rPr>
        <w:t xml:space="preserve"> also dependent on the thermal properties of the layered material and the substrate.</w:t>
      </w:r>
      <w:r w:rsidRPr="005A7543">
        <w:rPr>
          <w:noProof/>
          <w:vertAlign w:val="superscript"/>
          <w:lang w:val="en-US"/>
        </w:rPr>
        <w:t xml:space="preserve"> [49, 52]</w:t>
      </w:r>
      <w:r w:rsidRPr="0029300F">
        <w:rPr>
          <w:lang w:val="en-US"/>
        </w:rPr>
        <w:t xml:space="preserve"> </w:t>
      </w:r>
      <w:bookmarkStart w:id="24" w:name="_Hlk109398088"/>
      <w:r w:rsidRPr="0029300F">
        <w:rPr>
          <w:lang w:val="en-US"/>
        </w:rPr>
        <w:t xml:space="preserve">We use the approach developed by Spièce </w:t>
      </w:r>
      <w:r w:rsidRPr="0029300F">
        <w:rPr>
          <w:iCs/>
          <w:lang w:val="en-US"/>
        </w:rPr>
        <w:t>et al.</w:t>
      </w:r>
      <w:r w:rsidRPr="005A7543">
        <w:rPr>
          <w:noProof/>
          <w:vertAlign w:val="superscript"/>
          <w:lang w:val="en-US"/>
        </w:rPr>
        <w:t xml:space="preserve"> [49]</w:t>
      </w:r>
      <w:r w:rsidRPr="0029300F">
        <w:rPr>
          <w:lang w:val="en-US"/>
        </w:rPr>
        <w:t xml:space="preserve"> to evaluate the difference between the thermal resistances at thickness </w:t>
      </w:r>
      <w:r w:rsidRPr="0029300F">
        <w:rPr>
          <w:i/>
          <w:iCs/>
          <w:lang w:val="en-US"/>
        </w:rPr>
        <w:t>t</w:t>
      </w:r>
      <w:r w:rsidRPr="0029300F">
        <w:rPr>
          <w:lang w:val="en-US"/>
        </w:rPr>
        <w:t xml:space="preserve"> and </w:t>
      </w:r>
      <w:r w:rsidRPr="0029300F">
        <w:rPr>
          <w:i/>
          <w:iCs/>
          <w:lang w:val="en-US"/>
        </w:rPr>
        <w:t>t</w:t>
      </w:r>
      <w:r w:rsidRPr="0029300F">
        <w:rPr>
          <w:vertAlign w:val="subscript"/>
          <w:lang w:val="en-US"/>
        </w:rPr>
        <w:t>0</w:t>
      </w:r>
      <w:r w:rsidRPr="0029300F">
        <w:rPr>
          <w:lang w:val="en-US"/>
        </w:rPr>
        <w:t xml:space="preserve"> with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vertAlign w:val="subscript"/>
          <w:lang w:val="en-US"/>
        </w:rPr>
        <w:t>0</w:t>
      </w:r>
      <w:r w:rsidRPr="0029300F">
        <w:rPr>
          <w:iCs/>
          <w:lang w:val="en-US"/>
        </w:rPr>
        <w:t>)</w:t>
      </w:r>
      <w:r w:rsidRPr="0029300F">
        <w:rPr>
          <w:lang w:val="en-US"/>
        </w:rPr>
        <w:t xml:space="preserve"> value subtracted as </w:t>
      </w:r>
      <w:bookmarkStart w:id="25" w:name="_Hlk115280917"/>
      <w:r w:rsidRPr="0029300F">
        <w:rPr>
          <w:i/>
          <w:iCs/>
          <w:lang w:val="en-US"/>
        </w:rPr>
        <w:t>R</w:t>
      </w:r>
      <w:r w:rsidRPr="0029300F">
        <w:rPr>
          <w:vertAlign w:val="subscript"/>
          <w:lang w:val="en-US"/>
        </w:rPr>
        <w:t>dif</w:t>
      </w:r>
      <w:r w:rsidRPr="0029300F">
        <w:rPr>
          <w:iCs/>
          <w:lang w:val="en-US"/>
        </w:rPr>
        <w:t>(</w:t>
      </w:r>
      <w:r w:rsidRPr="0029300F">
        <w:rPr>
          <w:i/>
          <w:iCs/>
          <w:lang w:val="en-US"/>
        </w:rPr>
        <w:t>t</w:t>
      </w:r>
      <w:r w:rsidRPr="0029300F">
        <w:rPr>
          <w:iCs/>
          <w:lang w:val="en-US"/>
        </w:rPr>
        <w:t>)</w:t>
      </w:r>
      <w:r w:rsidRPr="0029300F">
        <w:rPr>
          <w:lang w:val="en-US"/>
        </w:rPr>
        <w:t xml:space="preserve"> =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vertAlign w:val="subscript"/>
          <w:lang w:val="en-US"/>
        </w:rPr>
        <w:t>0</w:t>
      </w:r>
      <w:r w:rsidRPr="0029300F">
        <w:rPr>
          <w:iCs/>
          <w:lang w:val="en-US"/>
        </w:rPr>
        <w:t>)</w:t>
      </w:r>
      <w:r w:rsidRPr="0029300F">
        <w:rPr>
          <w:lang w:val="en-US"/>
        </w:rPr>
        <w:t xml:space="preserve"> = </w:t>
      </w:r>
      <w:r w:rsidRPr="0029300F">
        <w:rPr>
          <w:i/>
          <w:iCs/>
          <w:lang w:val="en-US"/>
        </w:rPr>
        <w:t>R</w:t>
      </w:r>
      <w:r w:rsidRPr="0029300F">
        <w:rPr>
          <w:vertAlign w:val="subscript"/>
          <w:lang w:val="en-US"/>
        </w:rPr>
        <w:t>s</w:t>
      </w:r>
      <w:r w:rsidRPr="0029300F">
        <w:rPr>
          <w:iCs/>
          <w:lang w:val="en-US"/>
        </w:rPr>
        <w:t>(</w:t>
      </w:r>
      <w:r w:rsidRPr="0029300F">
        <w:rPr>
          <w:i/>
          <w:iCs/>
          <w:lang w:val="en-US"/>
        </w:rPr>
        <w:t>t</w:t>
      </w:r>
      <w:r w:rsidRPr="0029300F">
        <w:rPr>
          <w:iCs/>
          <w:lang w:val="en-US"/>
        </w:rPr>
        <w:t>)</w:t>
      </w:r>
      <w:r w:rsidRPr="0029300F">
        <w:rPr>
          <w:lang w:val="en-US"/>
        </w:rPr>
        <w:t xml:space="preserve"> – </w:t>
      </w:r>
      <w:r w:rsidRPr="0029300F">
        <w:rPr>
          <w:i/>
          <w:iCs/>
          <w:lang w:val="en-US"/>
        </w:rPr>
        <w:t>R</w:t>
      </w:r>
      <w:r w:rsidRPr="0029300F">
        <w:rPr>
          <w:vertAlign w:val="subscript"/>
          <w:lang w:val="en-US"/>
        </w:rPr>
        <w:t>s</w:t>
      </w:r>
      <w:r w:rsidRPr="0029300F">
        <w:rPr>
          <w:iCs/>
          <w:lang w:val="en-US"/>
        </w:rPr>
        <w:t>(</w:t>
      </w:r>
      <w:r w:rsidRPr="0029300F">
        <w:rPr>
          <w:i/>
          <w:iCs/>
          <w:lang w:val="en-US"/>
        </w:rPr>
        <w:t>t</w:t>
      </w:r>
      <w:r w:rsidRPr="0029300F">
        <w:rPr>
          <w:vertAlign w:val="subscript"/>
          <w:lang w:val="en-US"/>
        </w:rPr>
        <w:t>0</w:t>
      </w:r>
      <w:r w:rsidRPr="0029300F">
        <w:rPr>
          <w:iCs/>
          <w:lang w:val="en-US"/>
        </w:rPr>
        <w:t>)</w:t>
      </w:r>
      <w:bookmarkEnd w:id="25"/>
      <w:r w:rsidRPr="0029300F">
        <w:rPr>
          <w:lang w:val="en-US"/>
        </w:rPr>
        <w:t xml:space="preserve"> </w:t>
      </w:r>
      <w:bookmarkStart w:id="26" w:name="_Hlk116566938"/>
      <w:r w:rsidRPr="0029300F">
        <w:rPr>
          <w:lang w:val="en-US"/>
        </w:rPr>
        <w:t xml:space="preserve">(with </w:t>
      </w:r>
      <w:r w:rsidRPr="0029300F">
        <w:rPr>
          <w:i/>
          <w:iCs/>
          <w:lang w:val="en-US"/>
        </w:rPr>
        <w:t>t</w:t>
      </w:r>
      <w:r w:rsidRPr="0029300F">
        <w:rPr>
          <w:vertAlign w:val="subscript"/>
          <w:lang w:val="en-US"/>
        </w:rPr>
        <w:t>0</w:t>
      </w:r>
      <w:r w:rsidRPr="0029300F">
        <w:rPr>
          <w:lang w:val="en-US"/>
        </w:rPr>
        <w:t xml:space="preserve"> selected as </w:t>
      </w:r>
      <w:r w:rsidRPr="0029300F">
        <w:rPr>
          <w:i/>
          <w:iCs/>
          <w:lang w:val="en-US"/>
        </w:rPr>
        <w:t>t</w:t>
      </w:r>
      <w:r w:rsidRPr="0029300F">
        <w:rPr>
          <w:vertAlign w:val="subscript"/>
          <w:lang w:val="en-US"/>
        </w:rPr>
        <w:t>shift</w:t>
      </w:r>
      <w:r w:rsidRPr="0029300F">
        <w:rPr>
          <w:lang w:val="en-US"/>
        </w:rPr>
        <w:t>)</w:t>
      </w:r>
      <w:bookmarkEnd w:id="26"/>
      <w:r w:rsidRPr="0029300F">
        <w:rPr>
          <w:lang w:val="en-US"/>
        </w:rPr>
        <w:t xml:space="preserve">. In a major development here, </w:t>
      </w:r>
      <w:bookmarkStart w:id="27" w:name="_Hlk109401009"/>
      <w:r w:rsidRPr="0029300F">
        <w:rPr>
          <w:lang w:val="en-US"/>
        </w:rPr>
        <w:t xml:space="preserve">such approach fully eliminates the unknown parameter </w:t>
      </w:r>
      <w:r w:rsidRPr="0029300F">
        <w:rPr>
          <w:i/>
          <w:iCs/>
          <w:lang w:val="en-US"/>
        </w:rPr>
        <w:t>R</w:t>
      </w:r>
      <w:r w:rsidRPr="0029300F">
        <w:rPr>
          <w:vertAlign w:val="subscript"/>
          <w:lang w:val="en-US"/>
        </w:rPr>
        <w:t>c</w:t>
      </w:r>
      <w:r w:rsidRPr="0029300F">
        <w:rPr>
          <w:lang w:val="en-US"/>
        </w:rPr>
        <w:t>, drastically simplifying the analysis</w:t>
      </w:r>
      <w:bookmarkEnd w:id="24"/>
      <w:r w:rsidRPr="0029300F">
        <w:rPr>
          <w:lang w:val="en-US"/>
        </w:rPr>
        <w:t xml:space="preserve"> and eliminating spurious effects such as the local contact roughness</w:t>
      </w:r>
      <w:bookmarkEnd w:id="27"/>
      <w:r w:rsidRPr="0029300F">
        <w:rPr>
          <w:lang w:val="en-US"/>
        </w:rPr>
        <w:t xml:space="preserve"> </w:t>
      </w:r>
      <w:bookmarkStart w:id="28" w:name="_Hlk128578921"/>
      <w:r w:rsidRPr="0029300F">
        <w:rPr>
          <w:lang w:val="en-US"/>
        </w:rPr>
        <w:t>small interfacial thermal resistances in the surface caused by the BEXP cut</w:t>
      </w:r>
      <w:bookmarkEnd w:id="28"/>
      <w:r w:rsidRPr="0029300F">
        <w:rPr>
          <w:lang w:val="en-US"/>
        </w:rPr>
        <w:t>.</w:t>
      </w:r>
      <w:r w:rsidRPr="005A7543">
        <w:rPr>
          <w:noProof/>
          <w:vertAlign w:val="superscript"/>
          <w:lang w:val="en-US"/>
        </w:rPr>
        <w:t xml:space="preserve"> [49]</w:t>
      </w:r>
      <w:r w:rsidRPr="0029300F">
        <w:rPr>
          <w:lang w:val="en-US"/>
        </w:rPr>
        <w:t xml:space="preserve"> While a very thin oxide layer may be formed on the exposed surface of the InSe layer after the cut, it would only affect the interfacial thermal resistance </w:t>
      </w:r>
      <w:r w:rsidRPr="0029300F">
        <w:rPr>
          <w:i/>
          <w:iCs/>
          <w:lang w:val="en-US"/>
        </w:rPr>
        <w:t>R</w:t>
      </w:r>
      <w:r w:rsidRPr="0029300F">
        <w:rPr>
          <w:vertAlign w:val="subscript"/>
          <w:lang w:val="en-US"/>
        </w:rPr>
        <w:t>c</w:t>
      </w:r>
      <w:r w:rsidRPr="0029300F">
        <w:rPr>
          <w:lang w:val="en-US"/>
        </w:rPr>
        <w:t>, which is eliminated from the calculations by using our approach. Moreover, the sample was transferred to the xSThM vacuum chamber directly after the BEXP process, reducing the exposure time of the sample to ambient conditions to the minimum and, therefore, significantly decreasing potential oxidation level of its surface.</w:t>
      </w:r>
    </w:p>
    <w:p w14:paraId="4E3FA01F" w14:textId="77777777" w:rsidR="00AA6917" w:rsidRPr="0029300F" w:rsidRDefault="00AA6917" w:rsidP="00A419D1">
      <w:pPr>
        <w:spacing w:after="0" w:line="360" w:lineRule="auto"/>
        <w:rPr>
          <w:lang w:val="en-US"/>
        </w:rPr>
      </w:pPr>
      <w:r w:rsidRPr="0029300F">
        <w:rPr>
          <w:lang w:val="en-US"/>
        </w:rPr>
        <w:t>The dependence of the thermal signal of the SiO</w:t>
      </w:r>
      <w:r w:rsidRPr="0029300F">
        <w:rPr>
          <w:vertAlign w:val="subscript"/>
          <w:lang w:val="en-US"/>
        </w:rPr>
        <w:t>2</w:t>
      </w:r>
      <w:r w:rsidRPr="0029300F">
        <w:rPr>
          <w:lang w:val="en-US"/>
        </w:rPr>
        <w:t xml:space="preserve"> layer on thickness is qualitatively the same as shown in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lang w:val="en-US"/>
        </w:rPr>
        <w:t xml:space="preserve">Figure </w:t>
      </w:r>
      <w:r w:rsidRPr="0029300F">
        <w:rPr>
          <w:noProof/>
          <w:lang w:val="en-US"/>
        </w:rPr>
        <w:t>3</w:t>
      </w:r>
      <w:r w:rsidRPr="0029300F">
        <w:rPr>
          <w:lang w:val="en-US"/>
        </w:rPr>
        <w:fldChar w:fldCharType="end"/>
      </w:r>
      <w:r w:rsidRPr="0029300F">
        <w:rPr>
          <w:lang w:val="en-US"/>
        </w:rPr>
        <w:t xml:space="preserve">d and is determined by the dimensions of the thermal contact </w:t>
      </w:r>
      <w:r w:rsidRPr="0029300F">
        <w:rPr>
          <w:i/>
          <w:iCs/>
          <w:lang w:val="en-US"/>
        </w:rPr>
        <w:t>a</w:t>
      </w:r>
      <w:r w:rsidRPr="0029300F">
        <w:rPr>
          <w:lang w:val="en-US"/>
        </w:rPr>
        <w:t xml:space="preserve">. For small layer thicknesses </w:t>
      </w:r>
      <w:r w:rsidRPr="0029300F">
        <w:rPr>
          <w:i/>
          <w:iCs/>
          <w:lang w:val="en-US"/>
        </w:rPr>
        <w:t>t</w:t>
      </w:r>
      <w:r w:rsidRPr="0029300F">
        <w:rPr>
          <w:lang w:val="en-US"/>
        </w:rPr>
        <w:t xml:space="preserve"> &lt; </w:t>
      </w:r>
      <w:r w:rsidRPr="0029300F">
        <w:rPr>
          <w:i/>
          <w:iCs/>
          <w:lang w:val="en-US"/>
        </w:rPr>
        <w:t>a</w:t>
      </w:r>
      <w:r w:rsidRPr="0029300F">
        <w:rPr>
          <w:lang w:val="en-US"/>
        </w:rPr>
        <w:t xml:space="preserve"> (0 to </w:t>
      </w:r>
      <w:r w:rsidRPr="0029300F">
        <w:rPr>
          <w:rFonts w:cs="Times New Roman"/>
          <w:lang w:val="en-US"/>
        </w:rPr>
        <w:t>~</w:t>
      </w:r>
      <w:r w:rsidRPr="0029300F">
        <w:rPr>
          <w:lang w:val="en-US"/>
        </w:rPr>
        <w:t xml:space="preserve">30 nm), the signal first increases approximately linearly, followed by a gradual increasing saturation for layer thicknesses </w:t>
      </w:r>
      <w:r w:rsidRPr="0029300F">
        <w:rPr>
          <w:i/>
          <w:iCs/>
          <w:lang w:val="en-US"/>
        </w:rPr>
        <w:t>t</w:t>
      </w:r>
      <w:r w:rsidRPr="0029300F">
        <w:rPr>
          <w:lang w:val="en-US"/>
        </w:rPr>
        <w:t xml:space="preserve"> &gt;&gt; </w:t>
      </w:r>
      <w:r w:rsidRPr="0029300F">
        <w:rPr>
          <w:i/>
          <w:iCs/>
          <w:lang w:val="en-US"/>
        </w:rPr>
        <w:t>a</w:t>
      </w:r>
      <w:r w:rsidRPr="0029300F">
        <w:rPr>
          <w:lang w:val="en-US"/>
        </w:rPr>
        <w:t>. We note that we can assume a constant behavior of the phonon scattering and electron-phonon interactions for thick layers (</w:t>
      </w:r>
      <w:r w:rsidRPr="0029300F">
        <w:rPr>
          <w:i/>
          <w:iCs/>
          <w:lang w:val="en-US"/>
        </w:rPr>
        <w:t>t</w:t>
      </w:r>
      <w:r w:rsidRPr="0029300F">
        <w:rPr>
          <w:lang w:val="en-US"/>
        </w:rPr>
        <w:t xml:space="preserve"> &gt; 5 nm), but this may not be true for </w:t>
      </w:r>
      <w:r w:rsidRPr="0029300F">
        <w:rPr>
          <w:i/>
          <w:iCs/>
          <w:lang w:val="en-US"/>
        </w:rPr>
        <w:t>t</w:t>
      </w:r>
      <w:r w:rsidRPr="0029300F">
        <w:rPr>
          <w:lang w:val="en-US"/>
        </w:rPr>
        <w:t xml:space="preserve"> &lt; 5 layers (</w:t>
      </w:r>
      <w:r w:rsidRPr="0029300F">
        <w:rPr>
          <w:rFonts w:cs="Times New Roman"/>
          <w:lang w:val="en-US"/>
        </w:rPr>
        <w:t>~</w:t>
      </w:r>
      <w:r w:rsidRPr="0029300F">
        <w:rPr>
          <w:lang w:val="en-US"/>
        </w:rPr>
        <w:t xml:space="preserve">4 nm) and/or flakes with in-plane size smaller than 1-2 </w:t>
      </w:r>
      <w:r w:rsidRPr="0029300F">
        <w:rPr>
          <w:rFonts w:cs="Times New Roman"/>
          <w:lang w:val="en-US"/>
        </w:rPr>
        <w:t>μm</w:t>
      </w:r>
      <w:r w:rsidRPr="0029300F">
        <w:rPr>
          <w:lang w:val="en-US"/>
        </w:rPr>
        <w:t>.</w:t>
      </w:r>
      <w:r w:rsidRPr="005A7543">
        <w:rPr>
          <w:noProof/>
          <w:vertAlign w:val="superscript"/>
          <w:lang w:val="en-US"/>
        </w:rPr>
        <w:t xml:space="preserve"> [41]</w:t>
      </w:r>
      <w:r w:rsidRPr="0029300F">
        <w:rPr>
          <w:lang w:val="en-US"/>
        </w:rPr>
        <w:t xml:space="preserve"> For atomically thin flakes, further studies are required. Essentially, the specific dependence of </w:t>
      </w:r>
      <w:r w:rsidRPr="0029300F">
        <w:rPr>
          <w:i/>
          <w:iCs/>
          <w:lang w:val="en-US"/>
        </w:rPr>
        <w:t>R</w:t>
      </w:r>
      <w:r w:rsidRPr="0029300F">
        <w:rPr>
          <w:vertAlign w:val="subscript"/>
          <w:lang w:val="en-US"/>
        </w:rPr>
        <w:t>x</w:t>
      </w:r>
      <w:r w:rsidRPr="0029300F">
        <w:rPr>
          <w:lang w:val="en-US"/>
        </w:rPr>
        <w:t xml:space="preserve"> on the layer thickness is significantly affected by the heat transport anisotropy in the layer, changing from a smooth transition for an isotropic material such as SiO</w:t>
      </w:r>
      <w:r w:rsidRPr="0029300F">
        <w:rPr>
          <w:vertAlign w:val="subscript"/>
          <w:lang w:val="en-US"/>
        </w:rPr>
        <w:t>2</w:t>
      </w:r>
      <w:r w:rsidRPr="0029300F">
        <w:rPr>
          <w:lang w:val="en-US"/>
        </w:rPr>
        <w:t xml:space="preserve"> to a sharper transition for a material with the high ratio of in-plane to cross-plane thermal conductivity. Such sharp dependence is evident in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3</w:t>
      </w:r>
      <w:r w:rsidRPr="0029300F">
        <w:rPr>
          <w:lang w:val="en-US"/>
        </w:rPr>
        <w:fldChar w:fldCharType="end"/>
      </w:r>
      <w:r w:rsidRPr="0029300F">
        <w:rPr>
          <w:lang w:val="en-US"/>
        </w:rPr>
        <w:t>h, which uses the same SThM tip as used for the SiO</w:t>
      </w:r>
      <w:r w:rsidRPr="0029300F">
        <w:rPr>
          <w:vertAlign w:val="subscript"/>
          <w:lang w:val="en-US"/>
        </w:rPr>
        <w:t>2</w:t>
      </w:r>
      <w:r w:rsidRPr="0029300F">
        <w:rPr>
          <w:lang w:val="en-US"/>
        </w:rPr>
        <w:t xml:space="preserve"> measurement providing a first hint of the thermal transport anisotropy of γ-InSe, which is quantified using the analytical approach described below.</w:t>
      </w:r>
    </w:p>
    <w:p w14:paraId="4E3FA020" w14:textId="77777777" w:rsidR="00AA6917" w:rsidRPr="0029300F" w:rsidRDefault="00AA6917" w:rsidP="00A419D1">
      <w:pPr>
        <w:spacing w:after="0" w:line="360" w:lineRule="auto"/>
        <w:rPr>
          <w:lang w:val="en-US"/>
        </w:rPr>
      </w:pPr>
    </w:p>
    <w:p w14:paraId="4E3FA021" w14:textId="77777777" w:rsidR="00AA6917" w:rsidRPr="0029300F" w:rsidRDefault="00AA6917" w:rsidP="00A419D1">
      <w:pPr>
        <w:pStyle w:val="Heading2"/>
        <w:rPr>
          <w:lang w:val="en-US"/>
        </w:rPr>
      </w:pPr>
      <w:bookmarkStart w:id="29" w:name="_Ref128934701"/>
      <w:r w:rsidRPr="0029300F">
        <w:rPr>
          <w:lang w:val="en-US"/>
        </w:rPr>
        <w:t>“Muzychka-Spièce” analysis of anisotropic thermal transport</w:t>
      </w:r>
      <w:bookmarkEnd w:id="29"/>
    </w:p>
    <w:p w14:paraId="4E3FA022" w14:textId="77777777" w:rsidR="00AA6917" w:rsidRPr="0029300F" w:rsidRDefault="00AA6917" w:rsidP="00A419D1">
      <w:pPr>
        <w:spacing w:after="0" w:line="360" w:lineRule="auto"/>
        <w:rPr>
          <w:lang w:val="en-US"/>
        </w:rPr>
      </w:pPr>
      <w:r w:rsidRPr="0029300F">
        <w:rPr>
          <w:lang w:val="en-US"/>
        </w:rPr>
        <w:t xml:space="preserve">Here, we use the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experimental data to find the in-plane and cross-plane thermal conductivities of the γ-InSe layer (</w:t>
      </w:r>
      <w:r w:rsidRPr="0029300F">
        <w:rPr>
          <w:i/>
          <w:iCs/>
          <w:lang w:val="en-US"/>
        </w:rPr>
        <w:t>k</w:t>
      </w:r>
      <w:r w:rsidRPr="0029300F">
        <w:rPr>
          <w:vertAlign w:val="subscript"/>
          <w:lang w:val="en-US"/>
        </w:rPr>
        <w:t>xy</w:t>
      </w:r>
      <w:r w:rsidRPr="0029300F">
        <w:rPr>
          <w:lang w:val="en-US"/>
        </w:rPr>
        <w:t xml:space="preserve"> and </w:t>
      </w:r>
      <w:r w:rsidRPr="0029300F">
        <w:rPr>
          <w:i/>
          <w:iCs/>
          <w:lang w:val="en-US"/>
        </w:rPr>
        <w:t>k</w:t>
      </w:r>
      <w:r w:rsidRPr="0029300F">
        <w:rPr>
          <w:vertAlign w:val="subscript"/>
          <w:lang w:val="en-US"/>
        </w:rPr>
        <w:t>z</w:t>
      </w:r>
      <w:r w:rsidRPr="0029300F">
        <w:rPr>
          <w:lang w:val="en-US"/>
        </w:rPr>
        <w:t xml:space="preserve">, respectively) on the substrate with thermal conductivity </w:t>
      </w:r>
      <w:r w:rsidRPr="0029300F">
        <w:rPr>
          <w:i/>
          <w:iCs/>
          <w:lang w:val="en-US"/>
        </w:rPr>
        <w:t>k</w:t>
      </w:r>
      <w:r w:rsidRPr="0029300F">
        <w:rPr>
          <w:i/>
          <w:iCs/>
          <w:vertAlign w:val="subscript"/>
          <w:lang w:val="en-US"/>
        </w:rPr>
        <w:t>s</w:t>
      </w:r>
      <w:r w:rsidRPr="0029300F">
        <w:rPr>
          <w:lang w:val="en-US"/>
        </w:rPr>
        <w:t xml:space="preserve">, as well as to estimate the upper bounds of the interfacial thermal resistivity between the top layer and the substrate </w:t>
      </w:r>
      <w:r w:rsidRPr="0029300F">
        <w:rPr>
          <w:i/>
          <w:iCs/>
          <w:lang w:val="en-US"/>
        </w:rPr>
        <w:t>r</w:t>
      </w:r>
      <w:r w:rsidRPr="0029300F">
        <w:rPr>
          <w:vertAlign w:val="subscript"/>
          <w:lang w:val="en-US"/>
        </w:rPr>
        <w:t>int</w:t>
      </w:r>
      <w:r w:rsidRPr="0029300F">
        <w:rPr>
          <w:lang w:val="en-US"/>
        </w:rPr>
        <w:t xml:space="preserve"> and the tip-sample thermal resistance </w:t>
      </w:r>
      <w:r w:rsidRPr="0029300F">
        <w:rPr>
          <w:i/>
          <w:iCs/>
          <w:lang w:val="en-US"/>
        </w:rPr>
        <w:t>R</w:t>
      </w:r>
      <w:r w:rsidRPr="0029300F">
        <w:rPr>
          <w:vertAlign w:val="subscript"/>
          <w:lang w:val="en-US"/>
        </w:rPr>
        <w:t>c</w:t>
      </w:r>
      <w:r w:rsidRPr="0029300F">
        <w:rPr>
          <w:lang w:val="en-US"/>
        </w:rPr>
        <w:t xml:space="preserve"> (see SI, section S5).</w:t>
      </w:r>
    </w:p>
    <w:p w14:paraId="4E3FA023" w14:textId="77777777" w:rsidR="00AA6917" w:rsidRPr="0029300F" w:rsidRDefault="00AA6917" w:rsidP="00A419D1">
      <w:pPr>
        <w:spacing w:after="0" w:line="360" w:lineRule="auto"/>
        <w:rPr>
          <w:lang w:val="en-US"/>
        </w:rPr>
      </w:pPr>
      <w:r w:rsidRPr="0029300F">
        <w:rPr>
          <w:lang w:val="en-US"/>
        </w:rPr>
        <w:t xml:space="preserve">Due to the low-angle wedge design of the sample, the xSThM thermal conductance and topography data are simultaneously acquired in a single scan, producing the data of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in a few minutes. The data is then processed following two steps. First, the data from the reference SiO</w:t>
      </w:r>
      <w:r w:rsidRPr="0029300F">
        <w:rPr>
          <w:vertAlign w:val="subscript"/>
          <w:lang w:val="en-US"/>
        </w:rPr>
        <w:t>2</w:t>
      </w:r>
      <w:r w:rsidRPr="0029300F">
        <w:rPr>
          <w:lang w:val="en-US"/>
        </w:rPr>
        <w:t xml:space="preserve"> layer on the Si substrate sample is used to evaluate the contact radius of the tip-surface contact </w:t>
      </w:r>
      <w:r w:rsidRPr="0029300F">
        <w:rPr>
          <w:i/>
          <w:iCs/>
          <w:lang w:val="en-US"/>
        </w:rPr>
        <w:t>a</w:t>
      </w:r>
      <w:r w:rsidRPr="0029300F">
        <w:rPr>
          <w:lang w:val="en-US"/>
        </w:rPr>
        <w:t xml:space="preserve"> (essential to determine the anisotropy of the heat conductance)</w:t>
      </w:r>
      <w:r w:rsidRPr="00342FBA">
        <w:rPr>
          <w:lang w:val="en-US"/>
        </w:rPr>
        <w:t xml:space="preserve"> </w:t>
      </w:r>
      <w:r w:rsidRPr="0029300F">
        <w:rPr>
          <w:lang w:val="en-US"/>
        </w:rPr>
        <w:t xml:space="preserve">and the dimensionless SThM probe sensitivity constant </w:t>
      </w:r>
      <w:r w:rsidRPr="0029300F">
        <w:rPr>
          <w:i/>
          <w:iCs/>
          <w:lang w:val="en-US"/>
        </w:rPr>
        <w:t>c</w:t>
      </w:r>
      <w:r w:rsidRPr="0029300F">
        <w:rPr>
          <w:vertAlign w:val="subscript"/>
          <w:lang w:val="en-US"/>
        </w:rPr>
        <w:t>e</w:t>
      </w:r>
      <w:r w:rsidRPr="0029300F">
        <w:rPr>
          <w:lang w:val="en-US"/>
        </w:rPr>
        <w:t xml:space="preserve">, which is the ratio of the probe response to the self-heating and heat transferred to the sample. These two parameters are determined in a single fit of the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data for the SiO</w:t>
      </w:r>
      <w:r w:rsidRPr="0029300F">
        <w:rPr>
          <w:vertAlign w:val="subscript"/>
          <w:lang w:val="en-US"/>
        </w:rPr>
        <w:t>2</w:t>
      </w:r>
      <w:r w:rsidRPr="0029300F">
        <w:rPr>
          <w:lang w:val="en-US"/>
        </w:rPr>
        <w:t xml:space="preserve">/Si layer using the analytical isotropic model described below. As we use the difference of the thermal resistance for thicknesses </w:t>
      </w:r>
      <w:r w:rsidRPr="0029300F">
        <w:rPr>
          <w:i/>
          <w:iCs/>
          <w:lang w:val="en-US"/>
        </w:rPr>
        <w:t>t</w:t>
      </w:r>
      <w:r w:rsidRPr="0029300F">
        <w:rPr>
          <w:lang w:val="en-US"/>
        </w:rPr>
        <w:t xml:space="preserve"> and </w:t>
      </w:r>
      <w:r w:rsidRPr="0029300F">
        <w:rPr>
          <w:i/>
          <w:iCs/>
          <w:lang w:val="en-US"/>
        </w:rPr>
        <w:t>t</w:t>
      </w:r>
      <w:r w:rsidRPr="0029300F">
        <w:rPr>
          <w:vertAlign w:val="subscript"/>
          <w:lang w:val="en-US"/>
        </w:rPr>
        <w:t>0</w:t>
      </w:r>
      <w:r w:rsidRPr="0029300F">
        <w:rPr>
          <w:lang w:val="en-US"/>
        </w:rPr>
        <w:t xml:space="preserve">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vertAlign w:val="subscript"/>
          <w:lang w:val="en-US"/>
        </w:rPr>
        <w:t>0</w:t>
      </w:r>
      <w:r w:rsidRPr="0029300F">
        <w:rPr>
          <w:iCs/>
          <w:lang w:val="en-US"/>
        </w:rPr>
        <w:t>)</w:t>
      </w:r>
      <w:r w:rsidRPr="0029300F">
        <w:rPr>
          <w:lang w:val="en-US"/>
        </w:rPr>
        <w:t xml:space="preserve">), we completely eliminate the unknown tip-sample thermal resistance. The values of </w:t>
      </w:r>
      <w:r w:rsidRPr="0029300F">
        <w:rPr>
          <w:i/>
          <w:iCs/>
          <w:lang w:val="en-US"/>
        </w:rPr>
        <w:t>a</w:t>
      </w:r>
      <w:r w:rsidRPr="0029300F">
        <w:rPr>
          <w:lang w:val="en-US"/>
        </w:rPr>
        <w:t xml:space="preserve"> and </w:t>
      </w:r>
      <w:r w:rsidRPr="0029300F">
        <w:rPr>
          <w:i/>
          <w:iCs/>
          <w:lang w:val="en-US"/>
        </w:rPr>
        <w:t>c</w:t>
      </w:r>
      <w:r w:rsidRPr="0029300F">
        <w:rPr>
          <w:vertAlign w:val="subscript"/>
          <w:lang w:val="en-US"/>
        </w:rPr>
        <w:t>e</w:t>
      </w:r>
      <w:r w:rsidRPr="0029300F">
        <w:rPr>
          <w:lang w:val="en-US"/>
        </w:rPr>
        <w:t xml:space="preserve"> obtained in the first step are then used for fitting the values of </w:t>
      </w:r>
      <w:r w:rsidRPr="0029300F">
        <w:rPr>
          <w:i/>
          <w:iCs/>
          <w:lang w:val="en-US"/>
        </w:rPr>
        <w:t>k</w:t>
      </w:r>
      <w:r w:rsidRPr="0029300F">
        <w:rPr>
          <w:vertAlign w:val="subscript"/>
          <w:lang w:val="en-US"/>
        </w:rPr>
        <w:t>xy</w:t>
      </w:r>
      <w:r w:rsidRPr="0029300F">
        <w:rPr>
          <w:lang w:val="en-US"/>
        </w:rPr>
        <w:t xml:space="preserve"> and </w:t>
      </w:r>
      <w:r w:rsidRPr="0029300F">
        <w:rPr>
          <w:i/>
          <w:iCs/>
          <w:lang w:val="en-US"/>
        </w:rPr>
        <w:t>k</w:t>
      </w:r>
      <w:r w:rsidRPr="0029300F">
        <w:rPr>
          <w:vertAlign w:val="subscript"/>
          <w:lang w:val="en-US"/>
        </w:rPr>
        <w:t>z</w:t>
      </w:r>
      <w:r w:rsidRPr="0029300F">
        <w:rPr>
          <w:lang w:val="en-US"/>
        </w:rPr>
        <w:t xml:space="preserve"> for the γ-InSe/Si sample in the second step, using a modified analytical model for anisotropic heat transport. The first step measurements (SiO</w:t>
      </w:r>
      <w:r w:rsidRPr="0029300F">
        <w:rPr>
          <w:vertAlign w:val="subscript"/>
          <w:lang w:val="en-US"/>
        </w:rPr>
        <w:t>2</w:t>
      </w:r>
      <w:r w:rsidRPr="0029300F">
        <w:rPr>
          <w:lang w:val="en-US"/>
        </w:rPr>
        <w:t xml:space="preserve">) were repeated after the γ-InSe measurements to confirm that the contact area was not physically altered. No change of the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dependence was observed at the typical range of normal contact forces for both SiO</w:t>
      </w:r>
      <w:r w:rsidRPr="0029300F">
        <w:rPr>
          <w:vertAlign w:val="subscript"/>
          <w:lang w:val="en-US"/>
        </w:rPr>
        <w:t>2</w:t>
      </w:r>
      <w:r w:rsidRPr="0029300F">
        <w:rPr>
          <w:lang w:val="en-US"/>
        </w:rPr>
        <w:t xml:space="preserve"> and γ-InSe samples, confirming the stable contact dimensions </w:t>
      </w:r>
      <w:r w:rsidRPr="0029300F">
        <w:rPr>
          <w:i/>
          <w:iCs/>
          <w:lang w:val="en-US"/>
        </w:rPr>
        <w:t>a</w:t>
      </w:r>
      <w:r w:rsidRPr="0029300F">
        <w:rPr>
          <w:lang w:val="en-US"/>
        </w:rPr>
        <w:t xml:space="preserve"> defined by the tip apex shape.</w:t>
      </w:r>
    </w:p>
    <w:p w14:paraId="4E3FA024" w14:textId="77777777" w:rsidR="00AA6917" w:rsidRPr="0029300F" w:rsidRDefault="00AA6917" w:rsidP="00A419D1">
      <w:pPr>
        <w:spacing w:after="0" w:line="360" w:lineRule="auto"/>
        <w:rPr>
          <w:lang w:val="en-US"/>
        </w:rPr>
      </w:pPr>
      <w:r w:rsidRPr="0029300F">
        <w:rPr>
          <w:lang w:val="en-US"/>
        </w:rPr>
        <w:t xml:space="preserve">As we demonstrate below, in the second step we also estimate the upper bound of the γ-InSe sample-substrate interfacial thermal resistivity, which does not strongly affect the results for </w:t>
      </w:r>
      <w:r w:rsidRPr="0029300F">
        <w:rPr>
          <w:i/>
          <w:iCs/>
          <w:lang w:val="en-US"/>
        </w:rPr>
        <w:t>k</w:t>
      </w:r>
      <w:r w:rsidRPr="0029300F">
        <w:rPr>
          <w:vertAlign w:val="subscript"/>
          <w:lang w:val="en-US"/>
        </w:rPr>
        <w:t>xy</w:t>
      </w:r>
      <w:r w:rsidRPr="0029300F">
        <w:rPr>
          <w:lang w:val="en-US"/>
        </w:rPr>
        <w:t xml:space="preserve"> and </w:t>
      </w:r>
      <w:r w:rsidRPr="0029300F">
        <w:rPr>
          <w:i/>
          <w:iCs/>
          <w:lang w:val="en-US"/>
        </w:rPr>
        <w:t>k</w:t>
      </w:r>
      <w:r w:rsidRPr="0029300F">
        <w:rPr>
          <w:vertAlign w:val="subscript"/>
          <w:lang w:val="en-US"/>
        </w:rPr>
        <w:t>z</w:t>
      </w:r>
      <w:r w:rsidRPr="0029300F">
        <w:rPr>
          <w:lang w:val="en-US"/>
        </w:rPr>
        <w:t>. Thus, at each step, there are effectively only two parameters to fit with a single curve.</w:t>
      </w:r>
    </w:p>
    <w:p w14:paraId="4E3FA025" w14:textId="77777777" w:rsidR="00AA6917" w:rsidRPr="0029300F" w:rsidRDefault="00AA6917" w:rsidP="00A419D1">
      <w:pPr>
        <w:spacing w:after="0" w:line="360" w:lineRule="auto"/>
        <w:rPr>
          <w:lang w:val="en-US"/>
        </w:rPr>
      </w:pPr>
      <w:r w:rsidRPr="0029300F">
        <w:rPr>
          <w:lang w:val="en-US"/>
        </w:rPr>
        <w:t>For isotropic heat transport of a top layer deposited on a substrate (representing the spreading thermal resistance of this material), we use the following fitting expression:</w:t>
      </w:r>
      <w:r w:rsidRPr="005A7543">
        <w:rPr>
          <w:noProof/>
          <w:vertAlign w:val="superscript"/>
          <w:lang w:val="en-US"/>
        </w:rPr>
        <w:t xml:space="preserve"> [49, 53-54, 75]</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firstRow="0" w:lastRow="0" w:firstColumn="0" w:lastColumn="0" w:noHBand="0" w:noVBand="0"/>
      </w:tblPr>
      <w:tblGrid>
        <w:gridCol w:w="8129"/>
        <w:gridCol w:w="231"/>
        <w:gridCol w:w="666"/>
      </w:tblGrid>
      <w:tr w:rsidR="00AA6917" w:rsidRPr="0029300F" w14:paraId="4E3FA029" w14:textId="77777777" w:rsidTr="00A419D1">
        <w:tc>
          <w:tcPr>
            <w:tcW w:w="4502" w:type="pct"/>
          </w:tcPr>
          <w:bookmarkStart w:id="30" w:name="_Hlk109387979"/>
          <w:p w14:paraId="4E3FA026" w14:textId="77777777" w:rsidR="00AA6917" w:rsidRPr="0029300F" w:rsidRDefault="000D65F4" w:rsidP="00A419D1">
            <w:pPr>
              <w:spacing w:line="360"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
                      <m:t>s</m:t>
                    </m:r>
                  </m:sub>
                </m:sSub>
                <m:d>
                  <m:dPr>
                    <m:ctrlPr>
                      <w:rPr>
                        <w:rFonts w:ascii="Cambria Math" w:hAnsi="Cambria Math"/>
                        <w:i/>
                        <w:lang w:val="en-US"/>
                      </w:rPr>
                    </m:ctrlPr>
                  </m:dPr>
                  <m:e>
                    <m:r>
                      <w:rPr>
                        <w:rFonts w:ascii="Cambria Math" w:hAnsi="Cambria Math"/>
                        <w:lang w:val="en-US"/>
                      </w:rPr>
                      <m:t>t</m:t>
                    </m:r>
                  </m:e>
                </m:d>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πka</m:t>
                    </m:r>
                  </m:den>
                </m:f>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m:t>
                    </m:r>
                  </m:sup>
                  <m:e>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1+K</m:t>
                            </m:r>
                            <m:sSup>
                              <m:sSupPr>
                                <m:ctrlPr>
                                  <w:rPr>
                                    <w:rFonts w:ascii="Cambria Math" w:hAnsi="Cambria Math"/>
                                    <w:i/>
                                    <w:lang w:val="en-US"/>
                                  </w:rPr>
                                </m:ctrlPr>
                              </m:sSupPr>
                              <m:e>
                                <m:r>
                                  <m:rPr>
                                    <m:sty m:val="p"/>
                                  </m:rPr>
                                  <w:rPr>
                                    <w:rFonts w:ascii="Cambria Math" w:hAnsi="Cambria Math"/>
                                    <w:lang w:val="en-US"/>
                                  </w:rPr>
                                  <m:t>e</m:t>
                                </m:r>
                              </m:e>
                              <m:sup>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-2ξ</m:t>
                                        </m:r>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
                                              <m:t>eff</m:t>
                                            </m:r>
                                          </m:sub>
                                        </m:sSub>
                                      </m:num>
                                      <m:den>
                                        <m:r>
                                          <w:rPr>
                                            <w:rFonts w:ascii="Cambria Math" w:hAnsi="Cambria Math"/>
                                            <w:lang w:val="en-US"/>
                                          </w:rPr>
                                          <m:t>a</m:t>
                                        </m:r>
                                      </m:den>
                                    </m:f>
                                  </m:e>
                                </m:d>
                              </m:sup>
                            </m:sSup>
                          </m:num>
                          <m:den>
                            <m:r>
                              <w:rPr>
                                <w:rFonts w:ascii="Cambria Math" w:hAnsi="Cambria Math"/>
                                <w:lang w:val="en-US"/>
                              </w:rPr>
                              <m:t>1-K</m:t>
                            </m:r>
                            <m:sSup>
                              <m:sSupPr>
                                <m:ctrlPr>
                                  <w:rPr>
                                    <w:rFonts w:ascii="Cambria Math" w:hAnsi="Cambria Math"/>
                                    <w:i/>
                                    <w:lang w:val="en-US"/>
                                  </w:rPr>
                                </m:ctrlPr>
                              </m:sSupPr>
                              <m:e>
                                <m:r>
                                  <m:rPr>
                                    <m:sty m:val="p"/>
                                  </m:rPr>
                                  <w:rPr>
                                    <w:rFonts w:ascii="Cambria Math" w:hAnsi="Cambria Math"/>
                                    <w:lang w:val="en-US"/>
                                  </w:rPr>
                                  <m:t>e</m:t>
                                </m:r>
                              </m:e>
                              <m:sup>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-2ξ</m:t>
                                        </m:r>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
                                              <m:t>eff</m:t>
                                            </m:r>
                                          </m:sub>
                                        </m:sSub>
                                      </m:num>
                                      <m:den>
                                        <m:r>
                                          <w:rPr>
                                            <w:rFonts w:ascii="Cambria Math" w:hAnsi="Cambria Math"/>
                                            <w:lang w:val="en-US"/>
                                          </w:rPr>
                                          <m:t>a</m:t>
                                        </m:r>
                                      </m:den>
                                    </m:f>
                                  </m:e>
                                </m:d>
                              </m:sup>
                            </m:sSup>
                          </m:den>
                        </m:f>
                      </m:e>
                    </m:d>
                  </m:e>
                </m:nary>
                <m:sSub>
                  <m:sSubPr>
                    <m:ctrlPr>
                      <w:rPr>
                        <w:rFonts w:ascii="Cambria Math" w:eastAsiaTheme="minorEastAsia" w:hAnsi="Cambria Math"/>
                        <w:i/>
                        <w:lang w:val="en-US"/>
                      </w:rPr>
                    </m:ctrlPr>
                  </m:sSubPr>
                  <m:e>
                    <m:r>
                      <w:rPr>
                        <w:rFonts w:ascii="Cambria Math" w:eastAsiaTheme="minorEastAsia" w:hAnsi="Cambria Math"/>
                        <w:lang w:val="en-US"/>
                      </w:rPr>
                      <m:t>J</m:t>
                    </m:r>
                  </m:e>
                  <m:sub>
                    <m:r>
                      <m:rPr>
                        <m:sty m:val="p"/>
                      </m:rPr>
                      <w:rPr>
                        <w:rFonts w:ascii="Cambria Math" w:eastAsiaTheme="minorEastAsia" w:hAnsi="Cambria Math"/>
                        <w:lang w:val="en-US"/>
                      </w:rPr>
                      <m:t>1</m:t>
                    </m:r>
                  </m:sub>
                </m:sSub>
                <m:d>
                  <m:dPr>
                    <m:ctrlPr>
                      <w:rPr>
                        <w:rFonts w:ascii="Cambria Math" w:eastAsiaTheme="minorEastAsia" w:hAnsi="Cambria Math"/>
                        <w:i/>
                        <w:lang w:val="en-US"/>
                      </w:rPr>
                    </m:ctrlPr>
                  </m:dPr>
                  <m:e>
                    <m:r>
                      <w:rPr>
                        <w:rFonts w:ascii="Cambria Math" w:hAnsi="Cambria Math"/>
                        <w:lang w:val="en-US"/>
                      </w:rPr>
                      <m:t>ξ</m:t>
                    </m:r>
                  </m:e>
                </m:d>
                <m:func>
                  <m:funcPr>
                    <m:ctrlPr>
                      <w:rPr>
                        <w:rFonts w:ascii="Cambria Math" w:eastAsiaTheme="minorEastAsia" w:hAnsi="Cambria Math"/>
                        <w:i/>
                        <w:lang w:val="en-US"/>
                      </w:rPr>
                    </m:ctrlPr>
                  </m:funcPr>
                  <m:fName>
                    <m:r>
                      <m:rPr>
                        <m:sty m:val="p"/>
                      </m:rPr>
                      <w:rPr>
                        <w:rFonts w:ascii="Cambria Math" w:hAnsi="Cambria Math"/>
                        <w:lang w:val="en-US"/>
                      </w:rPr>
                      <m:t>sin</m:t>
                    </m:r>
                  </m:fName>
                  <m:e>
                    <m:d>
                      <m:dPr>
                        <m:ctrlPr>
                          <w:rPr>
                            <w:rFonts w:ascii="Cambria Math" w:eastAsiaTheme="minorEastAsia" w:hAnsi="Cambria Math"/>
                            <w:i/>
                            <w:lang w:val="en-US"/>
                          </w:rPr>
                        </m:ctrlPr>
                      </m:dPr>
                      <m:e>
                        <m:r>
                          <w:rPr>
                            <w:rFonts w:ascii="Cambria Math" w:hAnsi="Cambria Math"/>
                            <w:lang w:val="en-US"/>
                          </w:rPr>
                          <m:t>ξ</m:t>
                        </m:r>
                      </m:e>
                    </m:d>
                    <m:f>
                      <m:fPr>
                        <m:ctrlPr>
                          <w:rPr>
                            <w:rFonts w:ascii="Cambria Math" w:eastAsiaTheme="minorEastAsia" w:hAnsi="Cambria Math"/>
                            <w:i/>
                            <w:lang w:val="en-US"/>
                          </w:rPr>
                        </m:ctrlPr>
                      </m:fPr>
                      <m:num>
                        <m:r>
                          <w:rPr>
                            <w:rFonts w:ascii="Cambria Math" w:eastAsiaTheme="minorEastAsia" w:hAnsi="Cambria Math"/>
                            <w:lang w:val="en-US"/>
                          </w:rPr>
                          <m:t>d</m:t>
                        </m:r>
                        <m:r>
                          <w:rPr>
                            <w:rFonts w:ascii="Cambria Math" w:hAnsi="Cambria Math"/>
                            <w:lang w:val="en-US"/>
                          </w:rPr>
                          <m:t>ξ</m:t>
                        </m:r>
                      </m:num>
                      <m:den>
                        <m:sSup>
                          <m:sSupPr>
                            <m:ctrlPr>
                              <w:rPr>
                                <w:rFonts w:ascii="Cambria Math" w:eastAsiaTheme="minorEastAsia" w:hAnsi="Cambria Math"/>
                                <w:i/>
                                <w:lang w:val="en-US"/>
                              </w:rPr>
                            </m:ctrlPr>
                          </m:sSupPr>
                          <m:e>
                            <m:r>
                              <w:rPr>
                                <w:rFonts w:ascii="Cambria Math" w:hAnsi="Cambria Math"/>
                                <w:lang w:val="en-US"/>
                              </w:rPr>
                              <m:t>ξ</m:t>
                            </m:r>
                          </m:e>
                          <m:sup>
                            <m:r>
                              <w:rPr>
                                <w:rFonts w:ascii="Cambria Math" w:eastAsiaTheme="minorEastAsia" w:hAnsi="Cambria Math"/>
                                <w:lang w:val="en-US"/>
                              </w:rPr>
                              <m:t>2</m:t>
                            </m:r>
                          </m:sup>
                        </m:sSup>
                      </m:den>
                    </m:f>
                  </m:e>
                </m:func>
              </m:oMath>
            </m:oMathPara>
            <w:bookmarkEnd w:id="30"/>
          </w:p>
        </w:tc>
        <w:tc>
          <w:tcPr>
            <w:tcW w:w="128" w:type="pct"/>
            <w:vAlign w:val="center"/>
          </w:tcPr>
          <w:p w14:paraId="4E3FA027" w14:textId="77777777" w:rsidR="00AA6917" w:rsidRPr="0029300F" w:rsidRDefault="00AA6917" w:rsidP="00A419D1">
            <w:pPr>
              <w:spacing w:line="360" w:lineRule="auto"/>
              <w:jc w:val="center"/>
              <w:rPr>
                <w:lang w:val="en-US"/>
              </w:rPr>
            </w:pPr>
          </w:p>
        </w:tc>
        <w:tc>
          <w:tcPr>
            <w:tcW w:w="369" w:type="pct"/>
            <w:vAlign w:val="center"/>
          </w:tcPr>
          <w:p w14:paraId="4E3FA028" w14:textId="77777777" w:rsidR="00AA6917" w:rsidRPr="0029300F" w:rsidRDefault="00AA6917" w:rsidP="00A419D1">
            <w:pPr>
              <w:spacing w:line="360" w:lineRule="auto"/>
              <w:jc w:val="right"/>
              <w:rPr>
                <w:lang w:val="en-US"/>
              </w:rPr>
            </w:pPr>
            <w:bookmarkStart w:id="31" w:name="_Ref94814694"/>
            <w:r w:rsidRPr="0029300F">
              <w:rPr>
                <w:lang w:val="en-US"/>
              </w:rPr>
              <w:t>(</w:t>
            </w:r>
            <w:r w:rsidRPr="0029300F">
              <w:rPr>
                <w:lang w:val="en-US"/>
              </w:rPr>
              <w:fldChar w:fldCharType="begin"/>
            </w:r>
            <w:r w:rsidRPr="0029300F">
              <w:rPr>
                <w:lang w:val="en-US"/>
              </w:rPr>
              <w:instrText xml:space="preserve"> SEQ Equation \* ARABIC </w:instrText>
            </w:r>
            <w:r w:rsidRPr="0029300F">
              <w:rPr>
                <w:lang w:val="en-US"/>
              </w:rPr>
              <w:fldChar w:fldCharType="separate"/>
            </w:r>
            <w:r w:rsidRPr="0029300F">
              <w:rPr>
                <w:noProof/>
                <w:lang w:val="en-US"/>
              </w:rPr>
              <w:t>2</w:t>
            </w:r>
            <w:r w:rsidRPr="0029300F">
              <w:rPr>
                <w:lang w:val="en-US"/>
              </w:rPr>
              <w:fldChar w:fldCharType="end"/>
            </w:r>
            <w:r w:rsidRPr="0029300F">
              <w:rPr>
                <w:lang w:val="en-US"/>
              </w:rPr>
              <w:t>)</w:t>
            </w:r>
            <w:bookmarkEnd w:id="31"/>
          </w:p>
        </w:tc>
      </w:tr>
    </w:tbl>
    <w:p w14:paraId="4E3FA02A" w14:textId="77777777" w:rsidR="00AA6917" w:rsidRPr="0029300F" w:rsidRDefault="00AA6917" w:rsidP="00A419D1">
      <w:pPr>
        <w:spacing w:after="0" w:line="360" w:lineRule="auto"/>
        <w:rPr>
          <w:lang w:val="en-US"/>
        </w:rPr>
      </w:pPr>
      <w:r w:rsidRPr="0029300F">
        <w:rPr>
          <w:lang w:val="en-US"/>
        </w:rPr>
        <w:t xml:space="preserve">where </w:t>
      </w:r>
      <w:r w:rsidRPr="0029300F">
        <w:rPr>
          <w:i/>
          <w:iCs/>
          <w:lang w:val="en-US"/>
        </w:rPr>
        <w:t>k</w:t>
      </w:r>
      <w:r w:rsidRPr="0029300F">
        <w:rPr>
          <w:lang w:val="en-US"/>
        </w:rPr>
        <w:t xml:space="preserve"> is the top layer isotropic thermal conductivity, </w:t>
      </w:r>
      <w:r w:rsidRPr="0029300F">
        <w:rPr>
          <w:i/>
          <w:iCs/>
          <w:lang w:val="en-US"/>
        </w:rPr>
        <w:t>J</w:t>
      </w:r>
      <w:r w:rsidRPr="0029300F">
        <w:rPr>
          <w:vertAlign w:val="subscript"/>
          <w:lang w:val="en-US"/>
        </w:rPr>
        <w:t>1</w:t>
      </w:r>
      <w:r w:rsidRPr="0029300F">
        <w:rPr>
          <w:lang w:val="en-US"/>
        </w:rPr>
        <w:t xml:space="preserve"> is the Bessel function of the first kind of order 1 and </w:t>
      </w:r>
      <w:r w:rsidRPr="0029300F">
        <w:rPr>
          <w:rFonts w:ascii="Cambria Math" w:hAnsi="Cambria Math" w:cs="Cambria Math"/>
          <w:i/>
          <w:lang w:val="en-US"/>
        </w:rPr>
        <w:t>𝜉</w:t>
      </w:r>
      <w:r w:rsidRPr="0029300F">
        <w:rPr>
          <w:lang w:val="en-US"/>
        </w:rPr>
        <w:t xml:space="preserve"> is the integration variable. </w:t>
      </w:r>
      <w:r w:rsidRPr="0029300F">
        <w:rPr>
          <w:i/>
          <w:iCs/>
          <w:lang w:val="en-US"/>
        </w:rPr>
        <w:t>K</w:t>
      </w:r>
      <w:r w:rsidRPr="0029300F">
        <w:rPr>
          <w:lang w:val="en-US"/>
        </w:rPr>
        <w:t xml:space="preserve"> and </w:t>
      </w:r>
      <w:r w:rsidRPr="0029300F">
        <w:rPr>
          <w:i/>
          <w:iCs/>
          <w:lang w:val="en-US"/>
        </w:rPr>
        <w:t>t</w:t>
      </w:r>
      <w:r w:rsidRPr="0029300F">
        <w:rPr>
          <w:vertAlign w:val="subscript"/>
          <w:lang w:val="en-US"/>
        </w:rPr>
        <w:t>eff</w:t>
      </w:r>
      <w:r w:rsidRPr="0029300F">
        <w:rPr>
          <w:lang w:val="en-US"/>
        </w:rPr>
        <w:t xml:space="preserve"> are defined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firstRow="0" w:lastRow="0" w:firstColumn="0" w:lastColumn="0" w:noHBand="0" w:noVBand="0"/>
      </w:tblPr>
      <w:tblGrid>
        <w:gridCol w:w="5253"/>
        <w:gridCol w:w="3035"/>
        <w:gridCol w:w="738"/>
      </w:tblGrid>
      <w:tr w:rsidR="00AA6917" w:rsidRPr="0029300F" w14:paraId="4E3FA02E" w14:textId="77777777" w:rsidTr="00A419D1">
        <w:tc>
          <w:tcPr>
            <w:tcW w:w="2910" w:type="pct"/>
          </w:tcPr>
          <w:p w14:paraId="4E3FA02B" w14:textId="77777777" w:rsidR="00AA6917" w:rsidRPr="0029300F" w:rsidRDefault="00AA6917" w:rsidP="00A419D1">
            <w:pPr>
              <w:spacing w:line="360" w:lineRule="auto"/>
              <w:rPr>
                <w:lang w:val="en-US"/>
              </w:rPr>
            </w:pPr>
            <m:oMathPara>
              <m:oMathParaPr>
                <m:jc m:val="left"/>
              </m:oMathParaPr>
              <m:oMath>
                <m:r>
                  <w:rPr>
                    <w:rFonts w:ascii="Cambria Math" w:hAnsi="Cambria Math"/>
                    <w:lang w:val="en-US"/>
                  </w:rPr>
                  <m:t>K=</m:t>
                </m:r>
                <m:f>
                  <m:fPr>
                    <m:type m:val="lin"/>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1-</m:t>
                        </m:r>
                        <m:f>
                          <m:fPr>
                            <m:type m:val="skw"/>
                            <m:ctrlPr>
                              <w:rPr>
                                <w:rFonts w:ascii="Cambria Math" w:hAnsi="Cambria Math"/>
                                <w:i/>
                                <w:lang w:val="en-US"/>
                              </w:rPr>
                            </m:ctrlPr>
                          </m:fPr>
                          <m:num>
                            <m:r>
                              <w:rPr>
                                <w:rFonts w:ascii="Cambria Math" w:hAnsi="Cambria Math"/>
                                <w:lang w:val="en-US"/>
                              </w:rPr>
                              <m:t>k</m:t>
                            </m:r>
                          </m:num>
                          <m:den>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s</m:t>
                                </m:r>
                              </m:sub>
                            </m:sSub>
                          </m:den>
                        </m:f>
                      </m:e>
                    </m:d>
                  </m:num>
                  <m:den>
                    <m:d>
                      <m:dPr>
                        <m:ctrlPr>
                          <w:rPr>
                            <w:rFonts w:ascii="Cambria Math" w:hAnsi="Cambria Math"/>
                            <w:i/>
                            <w:lang w:val="en-US"/>
                          </w:rPr>
                        </m:ctrlPr>
                      </m:dPr>
                      <m:e>
                        <m:r>
                          <w:rPr>
                            <w:rFonts w:ascii="Cambria Math" w:hAnsi="Cambria Math"/>
                            <w:lang w:val="en-US"/>
                          </w:rPr>
                          <m:t>1+</m:t>
                        </m:r>
                        <m:f>
                          <m:fPr>
                            <m:type m:val="skw"/>
                            <m:ctrlPr>
                              <w:rPr>
                                <w:rFonts w:ascii="Cambria Math" w:hAnsi="Cambria Math"/>
                                <w:i/>
                                <w:lang w:val="en-US"/>
                              </w:rPr>
                            </m:ctrlPr>
                          </m:fPr>
                          <m:num>
                            <m:r>
                              <w:rPr>
                                <w:rFonts w:ascii="Cambria Math" w:hAnsi="Cambria Math"/>
                                <w:lang w:val="en-US"/>
                              </w:rPr>
                              <m:t>k</m:t>
                            </m:r>
                          </m:num>
                          <m:den>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s</m:t>
                                </m:r>
                              </m:sub>
                            </m:sSub>
                          </m:den>
                        </m:f>
                      </m:e>
                    </m:d>
                  </m:den>
                </m:f>
              </m:oMath>
            </m:oMathPara>
          </w:p>
        </w:tc>
        <w:tc>
          <w:tcPr>
            <w:tcW w:w="1681" w:type="pct"/>
            <w:vAlign w:val="center"/>
          </w:tcPr>
          <w:p w14:paraId="4E3FA02C" w14:textId="77777777" w:rsidR="00AA6917" w:rsidRPr="0029300F" w:rsidRDefault="00AA6917" w:rsidP="00A419D1">
            <w:pPr>
              <w:spacing w:line="360" w:lineRule="auto"/>
              <w:jc w:val="center"/>
              <w:rPr>
                <w:lang w:val="en-US"/>
              </w:rPr>
            </w:pPr>
          </w:p>
        </w:tc>
        <w:tc>
          <w:tcPr>
            <w:tcW w:w="409" w:type="pct"/>
            <w:vAlign w:val="center"/>
          </w:tcPr>
          <w:p w14:paraId="4E3FA02D" w14:textId="77777777" w:rsidR="00AA6917" w:rsidRPr="0029300F" w:rsidRDefault="00AA6917" w:rsidP="00A419D1">
            <w:pPr>
              <w:spacing w:line="360" w:lineRule="auto"/>
              <w:jc w:val="right"/>
              <w:rPr>
                <w:lang w:val="en-US"/>
              </w:rPr>
            </w:pPr>
            <w:r w:rsidRPr="0029300F">
              <w:rPr>
                <w:lang w:val="en-US"/>
              </w:rPr>
              <w:t>(</w:t>
            </w:r>
            <w:r w:rsidRPr="0029300F">
              <w:rPr>
                <w:lang w:val="en-US"/>
              </w:rPr>
              <w:fldChar w:fldCharType="begin"/>
            </w:r>
            <w:r w:rsidRPr="0029300F">
              <w:rPr>
                <w:lang w:val="en-US"/>
              </w:rPr>
              <w:instrText xml:space="preserve"> SEQ Equation \* ARABIC </w:instrText>
            </w:r>
            <w:r w:rsidRPr="0029300F">
              <w:rPr>
                <w:lang w:val="en-US"/>
              </w:rPr>
              <w:fldChar w:fldCharType="separate"/>
            </w:r>
            <w:r w:rsidRPr="0029300F">
              <w:rPr>
                <w:noProof/>
                <w:lang w:val="en-US"/>
              </w:rPr>
              <w:t>3</w:t>
            </w:r>
            <w:r w:rsidRPr="0029300F">
              <w:rPr>
                <w:lang w:val="en-US"/>
              </w:rPr>
              <w:fldChar w:fldCharType="end"/>
            </w:r>
            <w:r w:rsidRPr="0029300F">
              <w:rPr>
                <w:lang w:val="en-US"/>
              </w:rPr>
              <w:t>)</w:t>
            </w:r>
          </w:p>
        </w:tc>
      </w:tr>
      <w:tr w:rsidR="00AA6917" w:rsidRPr="0029300F" w14:paraId="4E3FA032" w14:textId="77777777" w:rsidTr="00A419D1">
        <w:tc>
          <w:tcPr>
            <w:tcW w:w="2910" w:type="pct"/>
          </w:tcPr>
          <w:p w14:paraId="4E3FA02F" w14:textId="77777777" w:rsidR="00AA6917" w:rsidRPr="0029300F" w:rsidRDefault="000D65F4" w:rsidP="00A419D1">
            <w:pPr>
              <w:spacing w:line="360"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
                      <m:t>eff</m:t>
                    </m:r>
                  </m:sub>
                </m:sSub>
                <m:r>
                  <w:rPr>
                    <w:rFonts w:ascii="Cambria Math" w:hAnsi="Cambria Math"/>
                    <w:lang w:val="en-US"/>
                  </w:rPr>
                  <m:t>=t+</m:t>
                </m:r>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
                      <m:t>int</m:t>
                    </m:r>
                  </m:sub>
                </m:sSub>
                <m:r>
                  <w:rPr>
                    <w:rFonts w:ascii="Cambria Math" w:hAnsi="Cambria Math"/>
                    <w:lang w:val="en-US"/>
                  </w:rPr>
                  <m:t>k</m:t>
                </m:r>
              </m:oMath>
            </m:oMathPara>
          </w:p>
        </w:tc>
        <w:tc>
          <w:tcPr>
            <w:tcW w:w="1681" w:type="pct"/>
            <w:vAlign w:val="center"/>
          </w:tcPr>
          <w:p w14:paraId="4E3FA030" w14:textId="77777777" w:rsidR="00AA6917" w:rsidRPr="0029300F" w:rsidRDefault="00AA6917" w:rsidP="00A419D1">
            <w:pPr>
              <w:spacing w:line="360" w:lineRule="auto"/>
              <w:jc w:val="center"/>
              <w:rPr>
                <w:lang w:val="en-US"/>
              </w:rPr>
            </w:pPr>
          </w:p>
        </w:tc>
        <w:tc>
          <w:tcPr>
            <w:tcW w:w="409" w:type="pct"/>
            <w:vAlign w:val="center"/>
          </w:tcPr>
          <w:p w14:paraId="4E3FA031" w14:textId="77777777" w:rsidR="00AA6917" w:rsidRPr="0029300F" w:rsidRDefault="00AA6917" w:rsidP="00A419D1">
            <w:pPr>
              <w:spacing w:line="360" w:lineRule="auto"/>
              <w:jc w:val="right"/>
              <w:rPr>
                <w:lang w:val="en-US"/>
              </w:rPr>
            </w:pPr>
            <w:r w:rsidRPr="0029300F">
              <w:rPr>
                <w:lang w:val="en-US"/>
              </w:rPr>
              <w:t>(</w:t>
            </w:r>
            <w:r w:rsidRPr="0029300F">
              <w:rPr>
                <w:lang w:val="en-US"/>
              </w:rPr>
              <w:fldChar w:fldCharType="begin"/>
            </w:r>
            <w:r w:rsidRPr="0029300F">
              <w:rPr>
                <w:lang w:val="en-US"/>
              </w:rPr>
              <w:instrText xml:space="preserve"> SEQ Equation \* ARABIC </w:instrText>
            </w:r>
            <w:r w:rsidRPr="0029300F">
              <w:rPr>
                <w:lang w:val="en-US"/>
              </w:rPr>
              <w:fldChar w:fldCharType="separate"/>
            </w:r>
            <w:r w:rsidRPr="0029300F">
              <w:rPr>
                <w:noProof/>
                <w:lang w:val="en-US"/>
              </w:rPr>
              <w:t>4</w:t>
            </w:r>
            <w:r w:rsidRPr="0029300F">
              <w:rPr>
                <w:lang w:val="en-US"/>
              </w:rPr>
              <w:fldChar w:fldCharType="end"/>
            </w:r>
            <w:r w:rsidRPr="0029300F">
              <w:rPr>
                <w:lang w:val="en-US"/>
              </w:rPr>
              <w:t>)</w:t>
            </w:r>
          </w:p>
        </w:tc>
      </w:tr>
    </w:tbl>
    <w:p w14:paraId="4E3FA033" w14:textId="77777777" w:rsidR="00AA6917" w:rsidRPr="0029300F" w:rsidRDefault="00AA6917" w:rsidP="00A419D1">
      <w:pPr>
        <w:spacing w:after="0" w:line="360" w:lineRule="auto"/>
        <w:rPr>
          <w:lang w:val="en-US"/>
        </w:rPr>
      </w:pPr>
      <w:r w:rsidRPr="0029300F">
        <w:rPr>
          <w:lang w:val="en-US"/>
        </w:rPr>
        <w:t>This model can be applied to fit the SiO</w:t>
      </w:r>
      <w:r w:rsidRPr="0029300F">
        <w:rPr>
          <w:vertAlign w:val="subscript"/>
          <w:lang w:val="en-US"/>
        </w:rPr>
        <w:t>2</w:t>
      </w:r>
      <w:r w:rsidRPr="0029300F">
        <w:rPr>
          <w:lang w:val="en-US"/>
        </w:rPr>
        <w:t>/Si data where the top SiO</w:t>
      </w:r>
      <w:r w:rsidRPr="0029300F">
        <w:rPr>
          <w:vertAlign w:val="subscript"/>
          <w:lang w:val="en-US"/>
        </w:rPr>
        <w:t>2</w:t>
      </w:r>
      <w:r w:rsidRPr="0029300F">
        <w:rPr>
          <w:lang w:val="en-US"/>
        </w:rPr>
        <w:t xml:space="preserve"> layer is isotropic. For the transverse anisotropic γ-InSe/Si sample, Equation </w:t>
      </w:r>
      <w:r w:rsidRPr="0029300F">
        <w:rPr>
          <w:lang w:val="en-US"/>
        </w:rPr>
        <w:fldChar w:fldCharType="begin"/>
      </w:r>
      <w:r w:rsidRPr="0029300F">
        <w:rPr>
          <w:lang w:val="en-US"/>
        </w:rPr>
        <w:instrText xml:space="preserve"> REF _Ref94814694 \h  \* MERGEFORMAT </w:instrText>
      </w:r>
      <w:r w:rsidRPr="0029300F">
        <w:rPr>
          <w:lang w:val="en-US"/>
        </w:rPr>
      </w:r>
      <w:r w:rsidRPr="0029300F">
        <w:rPr>
          <w:lang w:val="en-US"/>
        </w:rPr>
        <w:fldChar w:fldCharType="separate"/>
      </w:r>
      <w:r w:rsidRPr="0029300F">
        <w:rPr>
          <w:noProof/>
          <w:lang w:val="en-US"/>
        </w:rPr>
        <w:t>(2</w:t>
      </w:r>
      <w:r w:rsidRPr="0029300F">
        <w:rPr>
          <w:lang w:val="en-US"/>
        </w:rPr>
        <w:t>)</w:t>
      </w:r>
      <w:r w:rsidRPr="0029300F">
        <w:rPr>
          <w:lang w:val="en-US"/>
        </w:rPr>
        <w:fldChar w:fldCharType="end"/>
      </w:r>
      <w:r w:rsidRPr="0029300F">
        <w:rPr>
          <w:lang w:val="en-US"/>
        </w:rPr>
        <w:t xml:space="preserve"> is modified to account for the anisotropic heat transport.</w:t>
      </w:r>
      <w:r w:rsidRPr="005A7543">
        <w:rPr>
          <w:noProof/>
          <w:vertAlign w:val="superscript"/>
          <w:lang w:val="en-US"/>
        </w:rPr>
        <w:t xml:space="preserve"> [53-54]</w:t>
      </w:r>
      <w:r w:rsidRPr="0029300F">
        <w:rPr>
          <w:lang w:val="en-US"/>
        </w:rPr>
        <w:t xml:space="preserve"> This is done, as shown by Muzychka </w:t>
      </w:r>
      <w:r w:rsidRPr="0029300F">
        <w:rPr>
          <w:iCs/>
          <w:lang w:val="en-US"/>
        </w:rPr>
        <w:t>et al.</w:t>
      </w:r>
      <w:r w:rsidRPr="0029300F">
        <w:rPr>
          <w:lang w:val="en-US"/>
        </w:rPr>
        <w:t xml:space="preserve"> elsewhere,</w:t>
      </w:r>
      <w:r w:rsidRPr="005A7543">
        <w:rPr>
          <w:noProof/>
          <w:vertAlign w:val="superscript"/>
          <w:lang w:val="en-US"/>
        </w:rPr>
        <w:t xml:space="preserve"> [53-54]</w:t>
      </w:r>
      <w:r w:rsidRPr="0029300F">
        <w:rPr>
          <w:lang w:val="en-US"/>
        </w:rPr>
        <w:t xml:space="preserve"> by scaling the thickness </w:t>
      </w:r>
      <w:r w:rsidRPr="0029300F">
        <w:rPr>
          <w:i/>
          <w:iCs/>
          <w:lang w:val="en-US"/>
        </w:rPr>
        <w:t>t</w:t>
      </w:r>
      <w:r w:rsidRPr="0029300F">
        <w:rPr>
          <w:lang w:val="en-US"/>
        </w:rPr>
        <w:t xml:space="preserve"> into an “anisotropic” thickness </w:t>
      </w:r>
      <w:r w:rsidRPr="0029300F">
        <w:rPr>
          <w:i/>
          <w:iCs/>
          <w:lang w:val="en-US"/>
        </w:rPr>
        <w:t>t</w:t>
      </w:r>
      <w:r w:rsidRPr="0029300F">
        <w:rPr>
          <w:vertAlign w:val="subscript"/>
          <w:lang w:val="en-US"/>
        </w:rPr>
        <w:t>a</w:t>
      </w:r>
      <w:r w:rsidRPr="0029300F">
        <w:rPr>
          <w:lang w:val="en-US"/>
        </w:rPr>
        <w:t xml:space="preserve"> and the isotropic top layer thermal conductivity </w:t>
      </w:r>
      <w:r w:rsidRPr="0029300F">
        <w:rPr>
          <w:i/>
          <w:iCs/>
          <w:lang w:val="en-US"/>
        </w:rPr>
        <w:t>k</w:t>
      </w:r>
      <w:r w:rsidRPr="0029300F">
        <w:rPr>
          <w:lang w:val="en-US"/>
        </w:rPr>
        <w:t xml:space="preserve"> to an average anisotropic thermal conductivity </w:t>
      </w:r>
      <w:r w:rsidRPr="0029300F">
        <w:rPr>
          <w:i/>
          <w:iCs/>
          <w:lang w:val="en-US"/>
        </w:rPr>
        <w:t>k</w:t>
      </w:r>
      <w:r w:rsidRPr="0029300F">
        <w:rPr>
          <w:vertAlign w:val="subscript"/>
          <w:lang w:val="en-US"/>
        </w:rPr>
        <w:t>a</w:t>
      </w:r>
      <w:r w:rsidRPr="0029300F">
        <w:rPr>
          <w:lang w:val="en-US"/>
        </w:rPr>
        <w:t xml:space="preserve">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firstRow="0" w:lastRow="0" w:firstColumn="0" w:lastColumn="0" w:noHBand="0" w:noVBand="0"/>
      </w:tblPr>
      <w:tblGrid>
        <w:gridCol w:w="6631"/>
        <w:gridCol w:w="617"/>
        <w:gridCol w:w="1778"/>
      </w:tblGrid>
      <w:tr w:rsidR="00AA6917" w:rsidRPr="0029300F" w14:paraId="4E3FA037" w14:textId="77777777" w:rsidTr="00A419D1">
        <w:tc>
          <w:tcPr>
            <w:tcW w:w="3673" w:type="pct"/>
          </w:tcPr>
          <w:p w14:paraId="4E3FA034" w14:textId="77777777" w:rsidR="00AA6917" w:rsidRPr="0029300F" w:rsidRDefault="000D65F4" w:rsidP="00A419D1">
            <w:pPr>
              <w:spacing w:line="360"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
                      <m:t>a</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t</m:t>
                    </m:r>
                  </m:num>
                  <m:den>
                    <m:rad>
                      <m:radPr>
                        <m:degHide m:val="1"/>
                        <m:ctrlPr>
                          <w:rPr>
                            <w:rFonts w:ascii="Cambria Math" w:hAnsi="Cambria Math"/>
                            <w:i/>
                            <w:lang w:val="en-US"/>
                          </w:rPr>
                        </m:ctrlPr>
                      </m:radPr>
                      <m:deg/>
                      <m:e>
                        <m:f>
                          <m:fPr>
                            <m:type m:val="lin"/>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z</m:t>
                                </m:r>
                              </m:sub>
                            </m:sSub>
                          </m:num>
                          <m:den>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xy</m:t>
                                </m:r>
                              </m:sub>
                            </m:sSub>
                          </m:den>
                        </m:f>
                      </m:e>
                    </m:rad>
                  </m:den>
                </m:f>
              </m:oMath>
            </m:oMathPara>
          </w:p>
        </w:tc>
        <w:tc>
          <w:tcPr>
            <w:tcW w:w="342" w:type="pct"/>
            <w:vAlign w:val="center"/>
          </w:tcPr>
          <w:p w14:paraId="4E3FA035" w14:textId="77777777" w:rsidR="00AA6917" w:rsidRPr="0029300F" w:rsidRDefault="00AA6917" w:rsidP="00A419D1">
            <w:pPr>
              <w:spacing w:line="360" w:lineRule="auto"/>
              <w:jc w:val="center"/>
              <w:rPr>
                <w:lang w:val="en-US"/>
              </w:rPr>
            </w:pPr>
          </w:p>
        </w:tc>
        <w:tc>
          <w:tcPr>
            <w:tcW w:w="985" w:type="pct"/>
            <w:vAlign w:val="center"/>
          </w:tcPr>
          <w:p w14:paraId="4E3FA036" w14:textId="77777777" w:rsidR="00AA6917" w:rsidRPr="0029300F" w:rsidRDefault="00AA6917" w:rsidP="00A419D1">
            <w:pPr>
              <w:spacing w:line="360" w:lineRule="auto"/>
              <w:jc w:val="right"/>
              <w:rPr>
                <w:lang w:val="en-US"/>
              </w:rPr>
            </w:pPr>
            <w:bookmarkStart w:id="32" w:name="_Ref94815026"/>
            <w:r w:rsidRPr="0029300F">
              <w:rPr>
                <w:lang w:val="en-US"/>
              </w:rPr>
              <w:t>(</w:t>
            </w:r>
            <w:r w:rsidRPr="0029300F">
              <w:rPr>
                <w:lang w:val="en-US"/>
              </w:rPr>
              <w:fldChar w:fldCharType="begin"/>
            </w:r>
            <w:r w:rsidRPr="0029300F">
              <w:rPr>
                <w:lang w:val="en-US"/>
              </w:rPr>
              <w:instrText xml:space="preserve"> SEQ Equation \* ARABIC </w:instrText>
            </w:r>
            <w:r w:rsidRPr="0029300F">
              <w:rPr>
                <w:lang w:val="en-US"/>
              </w:rPr>
              <w:fldChar w:fldCharType="separate"/>
            </w:r>
            <w:r w:rsidRPr="0029300F">
              <w:rPr>
                <w:noProof/>
                <w:lang w:val="en-US"/>
              </w:rPr>
              <w:t>5</w:t>
            </w:r>
            <w:r w:rsidRPr="0029300F">
              <w:rPr>
                <w:lang w:val="en-US"/>
              </w:rPr>
              <w:fldChar w:fldCharType="end"/>
            </w:r>
            <w:r w:rsidRPr="0029300F">
              <w:rPr>
                <w:lang w:val="en-US"/>
              </w:rPr>
              <w:t>)</w:t>
            </w:r>
            <w:bookmarkEnd w:id="32"/>
          </w:p>
        </w:tc>
      </w:tr>
      <w:tr w:rsidR="00AA6917" w:rsidRPr="0029300F" w14:paraId="4E3FA03B" w14:textId="77777777" w:rsidTr="00A419D1">
        <w:tc>
          <w:tcPr>
            <w:tcW w:w="3673" w:type="pct"/>
          </w:tcPr>
          <w:p w14:paraId="4E3FA038" w14:textId="77777777" w:rsidR="00AA6917" w:rsidRPr="0029300F" w:rsidRDefault="000D65F4" w:rsidP="00A419D1">
            <w:pPr>
              <w:spacing w:line="360"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a</m:t>
                    </m:r>
                  </m:sub>
                </m:sSub>
                <m:r>
                  <w:rPr>
                    <w:rFonts w:ascii="Cambria Math" w:hAnsi="Cambria Math"/>
                    <w:lang w:val="en-US"/>
                  </w:rPr>
                  <m:t>=</m:t>
                </m:r>
                <m:rad>
                  <m:radPr>
                    <m:degHide m:val="1"/>
                    <m:ctrlPr>
                      <w:rPr>
                        <w:rFonts w:ascii="Cambria Math" w:hAnsi="Cambria Math"/>
                        <w:i/>
                        <w:lang w:val="en-US"/>
                      </w:rPr>
                    </m:ctrlPr>
                  </m:radPr>
                  <m:deg/>
                  <m:e>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xy</m:t>
                        </m:r>
                      </m:sub>
                    </m:sSub>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z</m:t>
                        </m:r>
                      </m:sub>
                    </m:sSub>
                  </m:e>
                </m:rad>
              </m:oMath>
            </m:oMathPara>
          </w:p>
        </w:tc>
        <w:tc>
          <w:tcPr>
            <w:tcW w:w="342" w:type="pct"/>
            <w:vAlign w:val="center"/>
          </w:tcPr>
          <w:p w14:paraId="4E3FA039" w14:textId="77777777" w:rsidR="00AA6917" w:rsidRPr="0029300F" w:rsidRDefault="00AA6917" w:rsidP="00A419D1">
            <w:pPr>
              <w:spacing w:line="360" w:lineRule="auto"/>
              <w:jc w:val="center"/>
              <w:rPr>
                <w:lang w:val="en-US"/>
              </w:rPr>
            </w:pPr>
          </w:p>
        </w:tc>
        <w:tc>
          <w:tcPr>
            <w:tcW w:w="985" w:type="pct"/>
            <w:vAlign w:val="center"/>
          </w:tcPr>
          <w:p w14:paraId="4E3FA03A" w14:textId="77777777" w:rsidR="00AA6917" w:rsidRPr="0029300F" w:rsidRDefault="00AA6917" w:rsidP="00A419D1">
            <w:pPr>
              <w:spacing w:line="360" w:lineRule="auto"/>
              <w:jc w:val="right"/>
              <w:rPr>
                <w:lang w:val="en-US"/>
              </w:rPr>
            </w:pPr>
            <w:bookmarkStart w:id="33" w:name="_Ref94815032"/>
            <w:r w:rsidRPr="0029300F">
              <w:rPr>
                <w:lang w:val="en-US"/>
              </w:rPr>
              <w:t>(</w:t>
            </w:r>
            <w:r w:rsidRPr="0029300F">
              <w:rPr>
                <w:lang w:val="en-US"/>
              </w:rPr>
              <w:fldChar w:fldCharType="begin"/>
            </w:r>
            <w:r w:rsidRPr="0029300F">
              <w:rPr>
                <w:lang w:val="en-US"/>
              </w:rPr>
              <w:instrText xml:space="preserve"> SEQ Equation \* ARABIC </w:instrText>
            </w:r>
            <w:r w:rsidRPr="0029300F">
              <w:rPr>
                <w:lang w:val="en-US"/>
              </w:rPr>
              <w:fldChar w:fldCharType="separate"/>
            </w:r>
            <w:r w:rsidRPr="0029300F">
              <w:rPr>
                <w:noProof/>
                <w:lang w:val="en-US"/>
              </w:rPr>
              <w:t>6</w:t>
            </w:r>
            <w:r w:rsidRPr="0029300F">
              <w:rPr>
                <w:lang w:val="en-US"/>
              </w:rPr>
              <w:fldChar w:fldCharType="end"/>
            </w:r>
            <w:r w:rsidRPr="0029300F">
              <w:rPr>
                <w:lang w:val="en-US"/>
              </w:rPr>
              <w:t>)</w:t>
            </w:r>
            <w:bookmarkEnd w:id="33"/>
          </w:p>
        </w:tc>
      </w:tr>
    </w:tbl>
    <w:p w14:paraId="4E3FA03C" w14:textId="77777777" w:rsidR="00AA6917" w:rsidRPr="0029300F" w:rsidRDefault="00AA6917" w:rsidP="00A419D1">
      <w:pPr>
        <w:keepNext/>
        <w:spacing w:after="0" w:line="360" w:lineRule="auto"/>
        <w:jc w:val="center"/>
        <w:rPr>
          <w:lang w:val="en-US"/>
        </w:rPr>
      </w:pPr>
      <w:r w:rsidRPr="0029300F">
        <w:rPr>
          <w:noProof/>
          <w:lang w:eastAsia="zh-CN"/>
        </w:rPr>
        <w:drawing>
          <wp:inline distT="0" distB="0" distL="0" distR="0" wp14:anchorId="4E3FA102" wp14:editId="4E3FA103">
            <wp:extent cx="4735333" cy="5702400"/>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stretch>
                      <a:fillRect/>
                    </a:stretch>
                  </pic:blipFill>
                  <pic:spPr>
                    <a:xfrm>
                      <a:off x="0" y="0"/>
                      <a:ext cx="4735333" cy="5702400"/>
                    </a:xfrm>
                    <a:prstGeom prst="rect">
                      <a:avLst/>
                    </a:prstGeom>
                  </pic:spPr>
                </pic:pic>
              </a:graphicData>
            </a:graphic>
          </wp:inline>
        </w:drawing>
      </w:r>
    </w:p>
    <w:p w14:paraId="4E3FA03D" w14:textId="77777777" w:rsidR="00AA6917" w:rsidRPr="00342FBA" w:rsidRDefault="00AA6917" w:rsidP="00A419D1">
      <w:pPr>
        <w:pStyle w:val="Caption"/>
        <w:spacing w:after="0" w:line="360" w:lineRule="auto"/>
        <w:rPr>
          <w:i w:val="0"/>
          <w:iCs w:val="0"/>
          <w:color w:val="auto"/>
          <w:sz w:val="24"/>
          <w:szCs w:val="24"/>
          <w:lang w:val="en-US"/>
        </w:rPr>
      </w:pPr>
      <w:bookmarkStart w:id="34" w:name="_Ref87716042"/>
      <w:bookmarkStart w:id="35" w:name="_Ref99991677"/>
      <w:r w:rsidRPr="0029300F">
        <w:rPr>
          <w:b/>
          <w:bCs/>
          <w:i w:val="0"/>
          <w:iCs w:val="0"/>
          <w:color w:val="auto"/>
          <w:sz w:val="24"/>
          <w:szCs w:val="24"/>
          <w:lang w:val="en-US"/>
        </w:rPr>
        <w:t xml:space="preserve">Figure </w:t>
      </w:r>
      <w:r w:rsidRPr="0029300F">
        <w:rPr>
          <w:b/>
          <w:bCs/>
          <w:i w:val="0"/>
          <w:iCs w:val="0"/>
          <w:color w:val="auto"/>
          <w:sz w:val="24"/>
          <w:szCs w:val="24"/>
          <w:lang w:val="en-US"/>
        </w:rPr>
        <w:fldChar w:fldCharType="begin"/>
      </w:r>
      <w:r w:rsidRPr="0029300F">
        <w:rPr>
          <w:b/>
          <w:bCs/>
          <w:i w:val="0"/>
          <w:iCs w:val="0"/>
          <w:color w:val="auto"/>
          <w:sz w:val="24"/>
          <w:szCs w:val="24"/>
          <w:lang w:val="en-US"/>
        </w:rPr>
        <w:instrText xml:space="preserve"> SEQ Figure \* ARABIC </w:instrText>
      </w:r>
      <w:r w:rsidRPr="0029300F">
        <w:rPr>
          <w:b/>
          <w:bCs/>
          <w:i w:val="0"/>
          <w:iCs w:val="0"/>
          <w:color w:val="auto"/>
          <w:sz w:val="24"/>
          <w:szCs w:val="24"/>
          <w:lang w:val="en-US"/>
        </w:rPr>
        <w:fldChar w:fldCharType="separate"/>
      </w:r>
      <w:r w:rsidRPr="0029300F">
        <w:rPr>
          <w:b/>
          <w:bCs/>
          <w:i w:val="0"/>
          <w:iCs w:val="0"/>
          <w:noProof/>
          <w:color w:val="auto"/>
          <w:sz w:val="24"/>
          <w:szCs w:val="24"/>
          <w:lang w:val="en-US"/>
        </w:rPr>
        <w:t>4</w:t>
      </w:r>
      <w:r w:rsidRPr="0029300F">
        <w:rPr>
          <w:b/>
          <w:bCs/>
          <w:i w:val="0"/>
          <w:iCs w:val="0"/>
          <w:color w:val="auto"/>
          <w:sz w:val="24"/>
          <w:szCs w:val="24"/>
          <w:lang w:val="en-US"/>
        </w:rPr>
        <w:fldChar w:fldCharType="end"/>
      </w:r>
      <w:bookmarkEnd w:id="34"/>
      <w:r w:rsidRPr="0029300F">
        <w:rPr>
          <w:b/>
          <w:bCs/>
          <w:i w:val="0"/>
          <w:iCs w:val="0"/>
          <w:color w:val="auto"/>
          <w:sz w:val="24"/>
          <w:szCs w:val="24"/>
          <w:lang w:val="en-US"/>
        </w:rPr>
        <w:t>.</w:t>
      </w:r>
      <w:r w:rsidRPr="0029300F">
        <w:rPr>
          <w:i w:val="0"/>
          <w:iCs w:val="0"/>
          <w:color w:val="auto"/>
          <w:sz w:val="24"/>
          <w:szCs w:val="24"/>
          <w:lang w:val="en-US"/>
        </w:rPr>
        <w:t xml:space="preserve"> Comparison of simulated dependences of the spreading thermal resistance on the layer thickness </w:t>
      </w:r>
      <w:bookmarkStart w:id="36" w:name="_Hlk116571591"/>
      <w:r w:rsidRPr="0029300F">
        <w:rPr>
          <w:color w:val="auto"/>
          <w:sz w:val="24"/>
          <w:szCs w:val="24"/>
          <w:lang w:val="en-US"/>
        </w:rPr>
        <w:t>R</w:t>
      </w:r>
      <w:r w:rsidRPr="0029300F">
        <w:rPr>
          <w:i w:val="0"/>
          <w:iCs w:val="0"/>
          <w:color w:val="auto"/>
          <w:sz w:val="24"/>
          <w:szCs w:val="24"/>
          <w:vertAlign w:val="subscript"/>
          <w:lang w:val="en-US"/>
        </w:rPr>
        <w:t>dif</w:t>
      </w:r>
      <w:r w:rsidRPr="0029300F">
        <w:rPr>
          <w:i w:val="0"/>
          <w:color w:val="auto"/>
          <w:sz w:val="24"/>
          <w:szCs w:val="24"/>
          <w:lang w:val="en-US"/>
        </w:rPr>
        <w:t>(</w:t>
      </w:r>
      <w:r w:rsidRPr="0029300F">
        <w:rPr>
          <w:color w:val="auto"/>
          <w:sz w:val="24"/>
          <w:szCs w:val="24"/>
          <w:lang w:val="en-US"/>
        </w:rPr>
        <w:t>t</w:t>
      </w:r>
      <w:r w:rsidRPr="0029300F">
        <w:rPr>
          <w:i w:val="0"/>
          <w:color w:val="auto"/>
          <w:sz w:val="24"/>
          <w:szCs w:val="24"/>
          <w:lang w:val="en-US"/>
        </w:rPr>
        <w:t>)</w:t>
      </w:r>
      <w:bookmarkEnd w:id="36"/>
      <w:r w:rsidRPr="0029300F">
        <w:rPr>
          <w:i w:val="0"/>
          <w:iCs w:val="0"/>
          <w:color w:val="auto"/>
          <w:sz w:val="24"/>
          <w:szCs w:val="24"/>
          <w:lang w:val="en-US"/>
        </w:rPr>
        <w:t xml:space="preserve"> according to the “Muzychka-Spièce” model (colored markers) vs. experimental (black dotted lines) results for different physical parameters of the tested structures. a) Varying contact radius </w:t>
      </w:r>
      <w:r w:rsidRPr="0029300F">
        <w:rPr>
          <w:color w:val="auto"/>
          <w:sz w:val="24"/>
          <w:szCs w:val="24"/>
          <w:lang w:val="en-US"/>
        </w:rPr>
        <w:t>a</w:t>
      </w:r>
      <w:r w:rsidRPr="0029300F">
        <w:rPr>
          <w:i w:val="0"/>
          <w:iCs w:val="0"/>
          <w:color w:val="auto"/>
          <w:sz w:val="24"/>
          <w:szCs w:val="24"/>
          <w:lang w:val="en-US"/>
        </w:rPr>
        <w:t xml:space="preserve">. b) Varying interfacial thermal resistivity </w:t>
      </w:r>
      <w:r w:rsidRPr="0029300F">
        <w:rPr>
          <w:color w:val="auto"/>
          <w:sz w:val="24"/>
          <w:szCs w:val="24"/>
          <w:lang w:val="en-US"/>
        </w:rPr>
        <w:t>r</w:t>
      </w:r>
      <w:r w:rsidRPr="0029300F">
        <w:rPr>
          <w:i w:val="0"/>
          <w:iCs w:val="0"/>
          <w:color w:val="auto"/>
          <w:sz w:val="24"/>
          <w:szCs w:val="24"/>
          <w:vertAlign w:val="subscript"/>
          <w:lang w:val="en-US"/>
        </w:rPr>
        <w:t>int</w:t>
      </w:r>
      <w:r w:rsidRPr="0029300F">
        <w:rPr>
          <w:i w:val="0"/>
          <w:iCs w:val="0"/>
          <w:color w:val="auto"/>
          <w:sz w:val="24"/>
          <w:szCs w:val="24"/>
          <w:lang w:val="en-US"/>
        </w:rPr>
        <w:t xml:space="preserve">. c) Varying the anisotropic ratio </w:t>
      </w:r>
      <w:r w:rsidRPr="0029300F">
        <w:rPr>
          <w:color w:val="auto"/>
          <w:sz w:val="24"/>
          <w:szCs w:val="24"/>
          <w:lang w:val="en-US"/>
        </w:rPr>
        <w:t>a</w:t>
      </w:r>
      <w:r w:rsidRPr="0029300F">
        <w:rPr>
          <w:i w:val="0"/>
          <w:iCs w:val="0"/>
          <w:color w:val="auto"/>
          <w:sz w:val="24"/>
          <w:szCs w:val="24"/>
          <w:vertAlign w:val="subscript"/>
          <w:lang w:val="en-US"/>
        </w:rPr>
        <w:t>r</w:t>
      </w:r>
      <w:r w:rsidRPr="0029300F">
        <w:rPr>
          <w:i w:val="0"/>
          <w:iCs w:val="0"/>
          <w:color w:val="auto"/>
          <w:sz w:val="24"/>
          <w:szCs w:val="24"/>
          <w:lang w:val="en-US"/>
        </w:rPr>
        <w:t xml:space="preserve"> = </w:t>
      </w:r>
      <w:r w:rsidRPr="0029300F">
        <w:rPr>
          <w:color w:val="auto"/>
          <w:sz w:val="24"/>
          <w:szCs w:val="24"/>
          <w:lang w:val="en-US"/>
        </w:rPr>
        <w:t>k</w:t>
      </w:r>
      <w:r w:rsidRPr="0029300F">
        <w:rPr>
          <w:i w:val="0"/>
          <w:iCs w:val="0"/>
          <w:color w:val="auto"/>
          <w:sz w:val="24"/>
          <w:szCs w:val="24"/>
          <w:vertAlign w:val="subscript"/>
          <w:lang w:val="en-US"/>
        </w:rPr>
        <w:t>xy</w:t>
      </w:r>
      <w:r w:rsidRPr="0029300F">
        <w:rPr>
          <w:color w:val="auto"/>
          <w:sz w:val="24"/>
          <w:szCs w:val="24"/>
          <w:lang w:val="en-US"/>
        </w:rPr>
        <w:t>k</w:t>
      </w:r>
      <w:r w:rsidRPr="0029300F">
        <w:rPr>
          <w:i w:val="0"/>
          <w:iCs w:val="0"/>
          <w:color w:val="auto"/>
          <w:sz w:val="24"/>
          <w:szCs w:val="24"/>
          <w:vertAlign w:val="subscript"/>
          <w:lang w:val="en-US"/>
        </w:rPr>
        <w:t>z</w:t>
      </w:r>
      <w:r w:rsidRPr="0029300F">
        <w:rPr>
          <w:i w:val="0"/>
          <w:iCs w:val="0"/>
          <w:color w:val="auto"/>
          <w:sz w:val="24"/>
          <w:szCs w:val="24"/>
          <w:vertAlign w:val="superscript"/>
          <w:lang w:val="en-US"/>
        </w:rPr>
        <w:t>-1</w:t>
      </w:r>
      <w:r w:rsidRPr="0029300F">
        <w:rPr>
          <w:i w:val="0"/>
          <w:iCs w:val="0"/>
          <w:color w:val="auto"/>
          <w:sz w:val="24"/>
          <w:szCs w:val="24"/>
          <w:lang w:val="en-US"/>
        </w:rPr>
        <w:t xml:space="preserve"> maintaining the anisotropic average thermal conductivity </w:t>
      </w:r>
      <w:r w:rsidRPr="0029300F">
        <w:rPr>
          <w:color w:val="auto"/>
          <w:sz w:val="24"/>
          <w:szCs w:val="24"/>
          <w:lang w:val="en-US"/>
        </w:rPr>
        <w:t>k</w:t>
      </w:r>
      <w:r w:rsidRPr="0029300F">
        <w:rPr>
          <w:i w:val="0"/>
          <w:iCs w:val="0"/>
          <w:color w:val="auto"/>
          <w:sz w:val="24"/>
          <w:szCs w:val="24"/>
          <w:vertAlign w:val="subscript"/>
          <w:lang w:val="en-US"/>
        </w:rPr>
        <w:t>a</w:t>
      </w:r>
      <w:r w:rsidRPr="0029300F">
        <w:rPr>
          <w:i w:val="0"/>
          <w:iCs w:val="0"/>
          <w:color w:val="auto"/>
          <w:sz w:val="24"/>
          <w:szCs w:val="24"/>
          <w:lang w:val="en-US"/>
        </w:rPr>
        <w:t xml:space="preserve"> fixed. d) Varying the anisotropic average thermal conductivity </w:t>
      </w:r>
      <w:r w:rsidRPr="0029300F">
        <w:rPr>
          <w:color w:val="auto"/>
          <w:sz w:val="24"/>
          <w:szCs w:val="24"/>
          <w:lang w:val="en-US"/>
        </w:rPr>
        <w:t>k</w:t>
      </w:r>
      <w:r w:rsidRPr="0029300F">
        <w:rPr>
          <w:i w:val="0"/>
          <w:iCs w:val="0"/>
          <w:color w:val="auto"/>
          <w:sz w:val="24"/>
          <w:szCs w:val="24"/>
          <w:vertAlign w:val="subscript"/>
          <w:lang w:val="en-US"/>
        </w:rPr>
        <w:t>a</w:t>
      </w:r>
      <w:r w:rsidRPr="0029300F">
        <w:rPr>
          <w:i w:val="0"/>
          <w:iCs w:val="0"/>
          <w:color w:val="auto"/>
          <w:sz w:val="24"/>
          <w:szCs w:val="24"/>
          <w:lang w:val="en-US"/>
        </w:rPr>
        <w:t xml:space="preserve"> maintaining the anisotropic ratio </w:t>
      </w:r>
      <w:r w:rsidRPr="0029300F">
        <w:rPr>
          <w:color w:val="auto"/>
          <w:sz w:val="24"/>
          <w:szCs w:val="24"/>
          <w:lang w:val="en-US"/>
        </w:rPr>
        <w:t>a</w:t>
      </w:r>
      <w:r w:rsidRPr="0029300F">
        <w:rPr>
          <w:i w:val="0"/>
          <w:iCs w:val="0"/>
          <w:color w:val="auto"/>
          <w:sz w:val="24"/>
          <w:szCs w:val="24"/>
          <w:vertAlign w:val="subscript"/>
          <w:lang w:val="en-US"/>
        </w:rPr>
        <w:t>r</w:t>
      </w:r>
      <w:r w:rsidRPr="0029300F">
        <w:rPr>
          <w:i w:val="0"/>
          <w:iCs w:val="0"/>
          <w:color w:val="auto"/>
          <w:sz w:val="24"/>
          <w:szCs w:val="24"/>
          <w:lang w:val="en-US"/>
        </w:rPr>
        <w:t xml:space="preserve"> fixed. e) Best fit plot for the </w:t>
      </w:r>
      <w:bookmarkStart w:id="37" w:name="_Hlk99989489"/>
      <w:r w:rsidRPr="0029300F">
        <w:rPr>
          <w:i w:val="0"/>
          <w:iCs w:val="0"/>
          <w:color w:val="auto"/>
          <w:sz w:val="24"/>
          <w:szCs w:val="24"/>
          <w:lang w:val="en-US"/>
        </w:rPr>
        <w:t>SiO</w:t>
      </w:r>
      <w:r w:rsidRPr="0029300F">
        <w:rPr>
          <w:i w:val="0"/>
          <w:iCs w:val="0"/>
          <w:color w:val="auto"/>
          <w:sz w:val="24"/>
          <w:szCs w:val="24"/>
          <w:vertAlign w:val="subscript"/>
          <w:lang w:val="en-US"/>
        </w:rPr>
        <w:t>2</w:t>
      </w:r>
      <w:bookmarkEnd w:id="37"/>
      <w:r w:rsidRPr="0029300F">
        <w:rPr>
          <w:i w:val="0"/>
          <w:iCs w:val="0"/>
          <w:color w:val="auto"/>
          <w:sz w:val="24"/>
          <w:szCs w:val="24"/>
          <w:lang w:val="en-US"/>
        </w:rPr>
        <w:t xml:space="preserve">/Si interface used to obtain </w:t>
      </w:r>
      <w:r w:rsidRPr="0029300F">
        <w:rPr>
          <w:color w:val="auto"/>
          <w:sz w:val="24"/>
          <w:szCs w:val="24"/>
          <w:lang w:val="en-US"/>
        </w:rPr>
        <w:t>a</w:t>
      </w:r>
      <w:r w:rsidRPr="0029300F">
        <w:rPr>
          <w:i w:val="0"/>
          <w:iCs w:val="0"/>
          <w:color w:val="auto"/>
          <w:sz w:val="24"/>
          <w:szCs w:val="24"/>
          <w:lang w:val="en-US"/>
        </w:rPr>
        <w:t xml:space="preserve">, </w:t>
      </w:r>
      <w:r w:rsidRPr="0029300F">
        <w:rPr>
          <w:color w:val="auto"/>
          <w:sz w:val="24"/>
          <w:szCs w:val="24"/>
          <w:lang w:val="en-US"/>
        </w:rPr>
        <w:t>r</w:t>
      </w:r>
      <w:r w:rsidRPr="0029300F">
        <w:rPr>
          <w:i w:val="0"/>
          <w:iCs w:val="0"/>
          <w:color w:val="auto"/>
          <w:sz w:val="24"/>
          <w:szCs w:val="24"/>
          <w:vertAlign w:val="subscript"/>
          <w:lang w:val="en-US"/>
        </w:rPr>
        <w:t>int,</w:t>
      </w:r>
      <w:r w:rsidRPr="0029300F">
        <w:rPr>
          <w:i w:val="0"/>
          <w:iCs w:val="0"/>
          <w:color w:val="auto"/>
          <w:sz w:val="24"/>
          <w:szCs w:val="24"/>
          <w:lang w:val="en-US"/>
        </w:rPr>
        <w:t xml:space="preserve"> and </w:t>
      </w:r>
      <w:r w:rsidRPr="0029300F">
        <w:rPr>
          <w:color w:val="auto"/>
          <w:sz w:val="24"/>
          <w:szCs w:val="24"/>
          <w:lang w:val="en-US"/>
        </w:rPr>
        <w:t>c</w:t>
      </w:r>
      <w:r w:rsidRPr="0029300F">
        <w:rPr>
          <w:i w:val="0"/>
          <w:iCs w:val="0"/>
          <w:color w:val="auto"/>
          <w:sz w:val="24"/>
          <w:szCs w:val="24"/>
          <w:vertAlign w:val="subscript"/>
          <w:lang w:val="en-US"/>
        </w:rPr>
        <w:t>e</w:t>
      </w:r>
      <w:r w:rsidRPr="0029300F">
        <w:rPr>
          <w:i w:val="0"/>
          <w:iCs w:val="0"/>
          <w:color w:val="auto"/>
          <w:sz w:val="24"/>
          <w:szCs w:val="24"/>
          <w:lang w:val="en-US"/>
        </w:rPr>
        <w:t xml:space="preserve">. f) Best fit plot for the γ-InSe/Si interface used to obtain </w:t>
      </w:r>
      <w:r w:rsidRPr="0029300F">
        <w:rPr>
          <w:color w:val="auto"/>
          <w:sz w:val="24"/>
          <w:szCs w:val="24"/>
          <w:lang w:val="en-US"/>
        </w:rPr>
        <w:t>r</w:t>
      </w:r>
      <w:r w:rsidRPr="0029300F">
        <w:rPr>
          <w:i w:val="0"/>
          <w:iCs w:val="0"/>
          <w:color w:val="auto"/>
          <w:sz w:val="24"/>
          <w:szCs w:val="24"/>
          <w:vertAlign w:val="subscript"/>
          <w:lang w:val="en-US"/>
        </w:rPr>
        <w:t>int</w:t>
      </w:r>
      <w:r w:rsidRPr="0029300F">
        <w:rPr>
          <w:i w:val="0"/>
          <w:iCs w:val="0"/>
          <w:color w:val="auto"/>
          <w:sz w:val="24"/>
          <w:szCs w:val="24"/>
          <w:lang w:val="en-US"/>
        </w:rPr>
        <w:t xml:space="preserve">, </w:t>
      </w:r>
      <w:r w:rsidRPr="0029300F">
        <w:rPr>
          <w:color w:val="auto"/>
          <w:sz w:val="24"/>
          <w:szCs w:val="24"/>
          <w:lang w:val="en-US"/>
        </w:rPr>
        <w:t>k</w:t>
      </w:r>
      <w:r w:rsidRPr="0029300F">
        <w:rPr>
          <w:i w:val="0"/>
          <w:iCs w:val="0"/>
          <w:color w:val="auto"/>
          <w:sz w:val="24"/>
          <w:szCs w:val="24"/>
          <w:vertAlign w:val="subscript"/>
          <w:lang w:val="en-US"/>
        </w:rPr>
        <w:t>xy,</w:t>
      </w:r>
      <w:r w:rsidRPr="0029300F">
        <w:rPr>
          <w:i w:val="0"/>
          <w:iCs w:val="0"/>
          <w:color w:val="auto"/>
          <w:sz w:val="24"/>
          <w:szCs w:val="24"/>
          <w:lang w:val="en-US"/>
        </w:rPr>
        <w:t xml:space="preserve"> and </w:t>
      </w:r>
      <w:r w:rsidRPr="0029300F">
        <w:rPr>
          <w:color w:val="auto"/>
          <w:sz w:val="24"/>
          <w:szCs w:val="24"/>
          <w:lang w:val="en-US"/>
        </w:rPr>
        <w:t>k</w:t>
      </w:r>
      <w:r w:rsidRPr="0029300F">
        <w:rPr>
          <w:i w:val="0"/>
          <w:iCs w:val="0"/>
          <w:color w:val="auto"/>
          <w:sz w:val="24"/>
          <w:szCs w:val="24"/>
          <w:vertAlign w:val="subscript"/>
          <w:lang w:val="en-US"/>
        </w:rPr>
        <w:t>z</w:t>
      </w:r>
      <w:r w:rsidRPr="0029300F">
        <w:rPr>
          <w:i w:val="0"/>
          <w:iCs w:val="0"/>
          <w:color w:val="auto"/>
          <w:sz w:val="24"/>
          <w:szCs w:val="24"/>
          <w:lang w:val="en-US"/>
        </w:rPr>
        <w:t>.</w:t>
      </w:r>
      <w:bookmarkEnd w:id="35"/>
    </w:p>
    <w:p w14:paraId="4E3FA03E" w14:textId="77777777" w:rsidR="00AA6917" w:rsidRPr="00342FBA" w:rsidRDefault="00AA6917" w:rsidP="00A419D1">
      <w:pPr>
        <w:rPr>
          <w:lang w:val="en-US"/>
        </w:rPr>
      </w:pPr>
    </w:p>
    <w:p w14:paraId="4E3FA03F" w14:textId="77777777" w:rsidR="00AA6917" w:rsidRPr="0029300F" w:rsidRDefault="00AA6917" w:rsidP="00A419D1">
      <w:pPr>
        <w:spacing w:after="0" w:line="360" w:lineRule="auto"/>
        <w:rPr>
          <w:lang w:val="en-US"/>
        </w:rPr>
      </w:pPr>
      <w:r w:rsidRPr="0029300F">
        <w:rPr>
          <w:lang w:val="en-US"/>
        </w:rPr>
        <w:t xml:space="preserve">Specifically, we first use the experimental (Equation </w:t>
      </w:r>
      <w:r w:rsidRPr="0029300F">
        <w:rPr>
          <w:lang w:val="en-US"/>
        </w:rPr>
        <w:fldChar w:fldCharType="begin"/>
      </w:r>
      <w:r w:rsidRPr="0029300F">
        <w:rPr>
          <w:lang w:val="en-US"/>
        </w:rPr>
        <w:instrText xml:space="preserve"> REF _Ref94814648 \h  \* MERGEFORMAT </w:instrText>
      </w:r>
      <w:r w:rsidRPr="0029300F">
        <w:rPr>
          <w:lang w:val="en-US"/>
        </w:rPr>
      </w:r>
      <w:r w:rsidRPr="0029300F">
        <w:rPr>
          <w:lang w:val="en-US"/>
        </w:rPr>
        <w:fldChar w:fldCharType="separate"/>
      </w:r>
      <w:r w:rsidRPr="0029300F">
        <w:rPr>
          <w:noProof/>
          <w:lang w:val="en-US"/>
        </w:rPr>
        <w:t>(1</w:t>
      </w:r>
      <w:r w:rsidRPr="0029300F">
        <w:rPr>
          <w:lang w:val="en-US"/>
        </w:rPr>
        <w:t>)</w:t>
      </w:r>
      <w:r w:rsidRPr="0029300F">
        <w:rPr>
          <w:lang w:val="en-US"/>
        </w:rPr>
        <w:fldChar w:fldCharType="end"/>
      </w:r>
      <w:r w:rsidRPr="0029300F">
        <w:rPr>
          <w:lang w:val="en-US"/>
        </w:rPr>
        <w:t xml:space="preserve">) dependence of </w:t>
      </w:r>
      <w:bookmarkStart w:id="38" w:name="_Hlk115281179"/>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iCs/>
          <w:lang w:val="en-US"/>
        </w:rPr>
        <w:t>)</w:t>
      </w:r>
      <w:r w:rsidRPr="0029300F">
        <w:rPr>
          <w:lang w:val="en-US"/>
        </w:rPr>
        <w:t xml:space="preserve"> – </w:t>
      </w:r>
      <w:r w:rsidRPr="0029300F">
        <w:rPr>
          <w:i/>
          <w:iCs/>
          <w:lang w:val="en-US"/>
        </w:rPr>
        <w:t>R</w:t>
      </w:r>
      <w:r w:rsidRPr="0029300F">
        <w:rPr>
          <w:vertAlign w:val="subscript"/>
          <w:lang w:val="en-US"/>
        </w:rPr>
        <w:t>x</w:t>
      </w:r>
      <w:r w:rsidRPr="0029300F">
        <w:rPr>
          <w:iCs/>
          <w:lang w:val="en-US"/>
        </w:rPr>
        <w:t>(</w:t>
      </w:r>
      <w:r w:rsidRPr="0029300F">
        <w:rPr>
          <w:i/>
          <w:iCs/>
          <w:lang w:val="en-US"/>
        </w:rPr>
        <w:t>t</w:t>
      </w:r>
      <w:r w:rsidRPr="0029300F">
        <w:rPr>
          <w:vertAlign w:val="subscript"/>
          <w:lang w:val="en-US"/>
        </w:rPr>
        <w:t>0</w:t>
      </w:r>
      <w:r w:rsidRPr="0029300F">
        <w:rPr>
          <w:iCs/>
          <w:lang w:val="en-US"/>
        </w:rPr>
        <w:t>)</w:t>
      </w:r>
      <w:bookmarkEnd w:id="38"/>
      <w:r w:rsidRPr="0029300F">
        <w:rPr>
          <w:lang w:val="en-US"/>
        </w:rPr>
        <w:t xml:space="preserve"> </w:t>
      </w:r>
      <w:r w:rsidRPr="0029300F">
        <w:rPr>
          <w:rFonts w:eastAsiaTheme="minorEastAsia"/>
          <w:szCs w:val="24"/>
          <w:lang w:val="en-US"/>
        </w:rPr>
        <w:t xml:space="preserve">and the analytical (Equation </w:t>
      </w:r>
      <w:r w:rsidRPr="0029300F">
        <w:rPr>
          <w:rFonts w:eastAsiaTheme="minorEastAsia"/>
          <w:szCs w:val="24"/>
          <w:lang w:val="en-US"/>
        </w:rPr>
        <w:fldChar w:fldCharType="begin"/>
      </w:r>
      <w:r w:rsidRPr="0029300F">
        <w:rPr>
          <w:rFonts w:eastAsiaTheme="minorEastAsia"/>
          <w:szCs w:val="24"/>
          <w:lang w:val="en-US"/>
        </w:rPr>
        <w:instrText xml:space="preserve"> REF _Ref94814694 \h  \* MERGEFORMAT </w:instrText>
      </w:r>
      <w:r w:rsidRPr="0029300F">
        <w:rPr>
          <w:rFonts w:eastAsiaTheme="minorEastAsia"/>
          <w:szCs w:val="24"/>
          <w:lang w:val="en-US"/>
        </w:rPr>
      </w:r>
      <w:r w:rsidRPr="0029300F">
        <w:rPr>
          <w:rFonts w:eastAsiaTheme="minorEastAsia"/>
          <w:szCs w:val="24"/>
          <w:lang w:val="en-US"/>
        </w:rPr>
        <w:fldChar w:fldCharType="separate"/>
      </w:r>
      <w:r w:rsidRPr="0029300F">
        <w:rPr>
          <w:noProof/>
          <w:lang w:val="en-US"/>
        </w:rPr>
        <w:t>(2</w:t>
      </w:r>
      <w:r w:rsidRPr="0029300F">
        <w:rPr>
          <w:lang w:val="en-US"/>
        </w:rPr>
        <w:t>)</w:t>
      </w:r>
      <w:r w:rsidRPr="0029300F">
        <w:rPr>
          <w:rFonts w:eastAsiaTheme="minorEastAsia"/>
          <w:szCs w:val="24"/>
          <w:lang w:val="en-US"/>
        </w:rPr>
        <w:fldChar w:fldCharType="end"/>
      </w:r>
      <w:r w:rsidRPr="0029300F">
        <w:rPr>
          <w:rFonts w:eastAsiaTheme="minorEastAsia"/>
          <w:szCs w:val="24"/>
          <w:lang w:val="en-US"/>
        </w:rPr>
        <w:t xml:space="preserve">) dependence </w:t>
      </w:r>
      <w:bookmarkStart w:id="39" w:name="_Hlk115281282"/>
      <w:r w:rsidRPr="0029300F">
        <w:rPr>
          <w:i/>
          <w:iCs/>
          <w:lang w:val="en-US"/>
        </w:rPr>
        <w:t>R</w:t>
      </w:r>
      <w:r w:rsidRPr="0029300F">
        <w:rPr>
          <w:vertAlign w:val="subscript"/>
          <w:lang w:val="en-US"/>
        </w:rPr>
        <w:t>s</w:t>
      </w:r>
      <w:r w:rsidRPr="0029300F">
        <w:rPr>
          <w:iCs/>
          <w:lang w:val="en-US"/>
        </w:rPr>
        <w:t>(</w:t>
      </w:r>
      <w:r w:rsidRPr="0029300F">
        <w:rPr>
          <w:i/>
          <w:iCs/>
          <w:lang w:val="en-US"/>
        </w:rPr>
        <w:t>t</w:t>
      </w:r>
      <w:r w:rsidRPr="0029300F">
        <w:rPr>
          <w:iCs/>
          <w:lang w:val="en-US"/>
        </w:rPr>
        <w:t>)</w:t>
      </w:r>
      <w:r w:rsidRPr="0029300F">
        <w:rPr>
          <w:lang w:val="en-US"/>
        </w:rPr>
        <w:t xml:space="preserve"> – </w:t>
      </w:r>
      <w:r w:rsidRPr="0029300F">
        <w:rPr>
          <w:i/>
          <w:iCs/>
          <w:lang w:val="en-US"/>
        </w:rPr>
        <w:t>R</w:t>
      </w:r>
      <w:r w:rsidRPr="0029300F">
        <w:rPr>
          <w:vertAlign w:val="subscript"/>
          <w:lang w:val="en-US"/>
        </w:rPr>
        <w:t>s</w:t>
      </w:r>
      <w:r w:rsidRPr="0029300F">
        <w:rPr>
          <w:iCs/>
          <w:lang w:val="en-US"/>
        </w:rPr>
        <w:t>(</w:t>
      </w:r>
      <w:r w:rsidRPr="0029300F">
        <w:rPr>
          <w:i/>
          <w:iCs/>
          <w:lang w:val="en-US"/>
        </w:rPr>
        <w:t>t</w:t>
      </w:r>
      <w:r w:rsidRPr="0029300F">
        <w:rPr>
          <w:vertAlign w:val="subscript"/>
          <w:lang w:val="en-US"/>
        </w:rPr>
        <w:t>0</w:t>
      </w:r>
      <w:r w:rsidRPr="0029300F">
        <w:rPr>
          <w:iCs/>
          <w:lang w:val="en-US"/>
        </w:rPr>
        <w:t>)</w:t>
      </w:r>
      <w:bookmarkEnd w:id="39"/>
      <w:r w:rsidRPr="0029300F">
        <w:rPr>
          <w:rFonts w:eastAsiaTheme="minorEastAsia"/>
          <w:szCs w:val="24"/>
          <w:lang w:val="en-US"/>
        </w:rPr>
        <w:t xml:space="preserve"> for the SiO</w:t>
      </w:r>
      <w:r w:rsidRPr="0029300F">
        <w:rPr>
          <w:rFonts w:eastAsiaTheme="minorEastAsia"/>
          <w:szCs w:val="24"/>
          <w:vertAlign w:val="subscript"/>
          <w:lang w:val="en-US"/>
        </w:rPr>
        <w:t>2</w:t>
      </w:r>
      <w:r w:rsidRPr="0029300F">
        <w:rPr>
          <w:rFonts w:eastAsiaTheme="minorEastAsia"/>
          <w:szCs w:val="24"/>
          <w:lang w:val="en-US"/>
        </w:rPr>
        <w:t xml:space="preserve"> sample, finding </w:t>
      </w:r>
      <w:r w:rsidRPr="0029300F">
        <w:rPr>
          <w:rFonts w:eastAsiaTheme="minorEastAsia"/>
          <w:i/>
          <w:iCs/>
          <w:szCs w:val="24"/>
          <w:lang w:val="en-US"/>
        </w:rPr>
        <w:t>a</w:t>
      </w:r>
      <w:r w:rsidRPr="0029300F">
        <w:rPr>
          <w:rFonts w:eastAsiaTheme="minorEastAsia"/>
          <w:szCs w:val="24"/>
          <w:lang w:val="en-US"/>
        </w:rPr>
        <w:t xml:space="preserve"> and </w:t>
      </w:r>
      <w:r w:rsidRPr="0029300F">
        <w:rPr>
          <w:rFonts w:eastAsiaTheme="minorEastAsia"/>
          <w:i/>
          <w:iCs/>
          <w:szCs w:val="24"/>
          <w:lang w:val="en-US"/>
        </w:rPr>
        <w:t>c</w:t>
      </w:r>
      <w:r w:rsidRPr="0029300F">
        <w:rPr>
          <w:rFonts w:eastAsiaTheme="minorEastAsia"/>
          <w:szCs w:val="24"/>
          <w:vertAlign w:val="subscript"/>
          <w:lang w:val="en-US"/>
        </w:rPr>
        <w:t>e</w:t>
      </w:r>
      <w:r w:rsidRPr="0029300F">
        <w:rPr>
          <w:rFonts w:eastAsiaTheme="minorEastAsia"/>
          <w:szCs w:val="24"/>
          <w:lang w:val="en-US"/>
        </w:rPr>
        <w:t xml:space="preserve"> (single curve, two parameters obtained). Then, we use the values of </w:t>
      </w:r>
      <w:r w:rsidRPr="0029300F">
        <w:rPr>
          <w:rFonts w:eastAsiaTheme="minorEastAsia"/>
          <w:i/>
          <w:iCs/>
          <w:szCs w:val="24"/>
          <w:lang w:val="en-US"/>
        </w:rPr>
        <w:t>a</w:t>
      </w:r>
      <w:r w:rsidRPr="0029300F">
        <w:rPr>
          <w:rFonts w:eastAsiaTheme="minorEastAsia"/>
          <w:szCs w:val="24"/>
          <w:lang w:val="en-US"/>
        </w:rPr>
        <w:t xml:space="preserve"> and </w:t>
      </w:r>
      <w:r w:rsidRPr="0029300F">
        <w:rPr>
          <w:rFonts w:eastAsiaTheme="minorEastAsia"/>
          <w:i/>
          <w:iCs/>
          <w:szCs w:val="24"/>
          <w:lang w:val="en-US"/>
        </w:rPr>
        <w:t>c</w:t>
      </w:r>
      <w:r w:rsidRPr="0029300F">
        <w:rPr>
          <w:rFonts w:eastAsiaTheme="minorEastAsia"/>
          <w:szCs w:val="24"/>
          <w:vertAlign w:val="subscript"/>
          <w:lang w:val="en-US"/>
        </w:rPr>
        <w:t>e</w:t>
      </w:r>
      <w:r w:rsidRPr="0029300F">
        <w:rPr>
          <w:rFonts w:eastAsiaTheme="minorEastAsia"/>
          <w:szCs w:val="24"/>
          <w:lang w:val="en-US"/>
        </w:rPr>
        <w:t xml:space="preserve"> determined at the first step and the analytical Equation </w:t>
      </w:r>
      <w:r w:rsidRPr="0029300F">
        <w:rPr>
          <w:rFonts w:eastAsiaTheme="minorEastAsia"/>
          <w:szCs w:val="24"/>
          <w:lang w:val="en-US"/>
        </w:rPr>
        <w:fldChar w:fldCharType="begin"/>
      </w:r>
      <w:r w:rsidRPr="0029300F">
        <w:rPr>
          <w:rFonts w:eastAsiaTheme="minorEastAsia"/>
          <w:szCs w:val="24"/>
          <w:lang w:val="en-US"/>
        </w:rPr>
        <w:instrText xml:space="preserve"> REF _Ref94814694 \h  \* MERGEFORMAT </w:instrText>
      </w:r>
      <w:r w:rsidRPr="0029300F">
        <w:rPr>
          <w:rFonts w:eastAsiaTheme="minorEastAsia"/>
          <w:szCs w:val="24"/>
          <w:lang w:val="en-US"/>
        </w:rPr>
      </w:r>
      <w:r w:rsidRPr="0029300F">
        <w:rPr>
          <w:rFonts w:eastAsiaTheme="minorEastAsia"/>
          <w:szCs w:val="24"/>
          <w:lang w:val="en-US"/>
        </w:rPr>
        <w:fldChar w:fldCharType="separate"/>
      </w:r>
      <w:r w:rsidRPr="0029300F">
        <w:rPr>
          <w:noProof/>
          <w:lang w:val="en-US"/>
        </w:rPr>
        <w:t>(2</w:t>
      </w:r>
      <w:r w:rsidRPr="0029300F">
        <w:rPr>
          <w:lang w:val="en-US"/>
        </w:rPr>
        <w:t>)</w:t>
      </w:r>
      <w:r w:rsidRPr="0029300F">
        <w:rPr>
          <w:rFonts w:eastAsiaTheme="minorEastAsia"/>
          <w:szCs w:val="24"/>
          <w:lang w:val="en-US"/>
        </w:rPr>
        <w:fldChar w:fldCharType="end"/>
      </w:r>
      <w:r w:rsidRPr="0029300F">
        <w:rPr>
          <w:rFonts w:eastAsiaTheme="minorEastAsia"/>
          <w:szCs w:val="24"/>
          <w:lang w:val="en-US"/>
        </w:rPr>
        <w:t>-</w:t>
      </w:r>
      <w:r w:rsidRPr="0029300F">
        <w:rPr>
          <w:rFonts w:eastAsiaTheme="minorEastAsia"/>
          <w:szCs w:val="24"/>
          <w:lang w:val="en-US"/>
        </w:rPr>
        <w:fldChar w:fldCharType="begin"/>
      </w:r>
      <w:r w:rsidRPr="0029300F">
        <w:rPr>
          <w:rFonts w:eastAsiaTheme="minorEastAsia"/>
          <w:szCs w:val="24"/>
          <w:lang w:val="en-US"/>
        </w:rPr>
        <w:instrText xml:space="preserve"> REF _Ref94815032 \h  \* MERGEFORMAT </w:instrText>
      </w:r>
      <w:r w:rsidRPr="0029300F">
        <w:rPr>
          <w:rFonts w:eastAsiaTheme="minorEastAsia"/>
          <w:szCs w:val="24"/>
          <w:lang w:val="en-US"/>
        </w:rPr>
      </w:r>
      <w:r w:rsidRPr="0029300F">
        <w:rPr>
          <w:rFonts w:eastAsiaTheme="minorEastAsia"/>
          <w:szCs w:val="24"/>
          <w:lang w:val="en-US"/>
        </w:rPr>
        <w:fldChar w:fldCharType="separate"/>
      </w:r>
      <w:r w:rsidRPr="0029300F">
        <w:rPr>
          <w:noProof/>
          <w:lang w:val="en-US"/>
        </w:rPr>
        <w:t>(6</w:t>
      </w:r>
      <w:r w:rsidRPr="0029300F">
        <w:rPr>
          <w:lang w:val="en-US"/>
        </w:rPr>
        <w:t>)</w:t>
      </w:r>
      <w:r w:rsidRPr="0029300F">
        <w:rPr>
          <w:rFonts w:eastAsiaTheme="minorEastAsia"/>
          <w:szCs w:val="24"/>
          <w:lang w:val="en-US"/>
        </w:rPr>
        <w:fldChar w:fldCharType="end"/>
      </w:r>
      <w:r w:rsidRPr="0029300F">
        <w:rPr>
          <w:rFonts w:eastAsiaTheme="minorEastAsia"/>
          <w:szCs w:val="24"/>
          <w:lang w:val="en-US"/>
        </w:rPr>
        <w:t xml:space="preserve"> describing the anisotropic model to find </w:t>
      </w:r>
      <w:r w:rsidRPr="0029300F">
        <w:rPr>
          <w:rFonts w:eastAsiaTheme="minorEastAsia"/>
          <w:i/>
          <w:iCs/>
          <w:szCs w:val="24"/>
          <w:lang w:val="en-US"/>
        </w:rPr>
        <w:t>k</w:t>
      </w:r>
      <w:r w:rsidRPr="0029300F">
        <w:rPr>
          <w:rFonts w:eastAsiaTheme="minorEastAsia"/>
          <w:szCs w:val="24"/>
          <w:vertAlign w:val="subscript"/>
          <w:lang w:val="en-US"/>
        </w:rPr>
        <w:t>xy</w:t>
      </w:r>
      <w:r w:rsidRPr="0029300F">
        <w:rPr>
          <w:rFonts w:eastAsiaTheme="minorEastAsia"/>
          <w:szCs w:val="24"/>
          <w:lang w:val="en-US"/>
        </w:rPr>
        <w:t xml:space="preserve"> and </w:t>
      </w:r>
      <w:r w:rsidRPr="0029300F">
        <w:rPr>
          <w:rFonts w:eastAsiaTheme="minorEastAsia"/>
          <w:i/>
          <w:iCs/>
          <w:szCs w:val="24"/>
          <w:lang w:val="en-US"/>
        </w:rPr>
        <w:t>k</w:t>
      </w:r>
      <w:r w:rsidRPr="0029300F">
        <w:rPr>
          <w:rFonts w:eastAsiaTheme="minorEastAsia"/>
          <w:szCs w:val="24"/>
          <w:vertAlign w:val="subscript"/>
          <w:lang w:val="en-US"/>
        </w:rPr>
        <w:t>z</w:t>
      </w:r>
      <w:r w:rsidRPr="0029300F">
        <w:rPr>
          <w:rFonts w:eastAsiaTheme="minorEastAsia"/>
          <w:szCs w:val="24"/>
          <w:lang w:val="en-US"/>
        </w:rPr>
        <w:t xml:space="preserve"> for γ-InSe. We note that the interfacial thermal resistivity </w:t>
      </w:r>
      <w:r w:rsidRPr="0029300F">
        <w:rPr>
          <w:rFonts w:eastAsiaTheme="minorEastAsia"/>
          <w:i/>
          <w:iCs/>
          <w:szCs w:val="24"/>
          <w:lang w:val="en-US"/>
        </w:rPr>
        <w:t>r</w:t>
      </w:r>
      <w:r w:rsidRPr="0029300F">
        <w:rPr>
          <w:rFonts w:eastAsiaTheme="minorEastAsia"/>
          <w:szCs w:val="24"/>
          <w:vertAlign w:val="subscript"/>
          <w:lang w:val="en-US"/>
        </w:rPr>
        <w:t>int</w:t>
      </w:r>
      <w:r w:rsidRPr="0029300F">
        <w:rPr>
          <w:rFonts w:eastAsiaTheme="minorEastAsia"/>
          <w:szCs w:val="24"/>
          <w:lang w:val="en-US"/>
        </w:rPr>
        <w:t xml:space="preserve"> has a minor effect on the result of the fit (see the family of curves in </w:t>
      </w:r>
      <w:r w:rsidRPr="0029300F">
        <w:rPr>
          <w:rFonts w:eastAsiaTheme="minorEastAsia"/>
          <w:b/>
          <w:bCs/>
          <w:szCs w:val="24"/>
          <w:lang w:val="en-US"/>
        </w:rPr>
        <w:fldChar w:fldCharType="begin"/>
      </w:r>
      <w:r w:rsidRPr="0029300F">
        <w:rPr>
          <w:rFonts w:eastAsiaTheme="minorEastAsia"/>
          <w:b/>
          <w:bCs/>
          <w:szCs w:val="24"/>
          <w:lang w:val="en-US"/>
        </w:rPr>
        <w:instrText xml:space="preserve"> REF _Ref87716042 \h  \* MERGEFORMAT </w:instrText>
      </w:r>
      <w:r w:rsidRPr="0029300F">
        <w:rPr>
          <w:rFonts w:eastAsiaTheme="minorEastAsia"/>
          <w:b/>
          <w:bCs/>
          <w:szCs w:val="24"/>
          <w:lang w:val="en-US"/>
        </w:rPr>
      </w:r>
      <w:r w:rsidRPr="0029300F">
        <w:rPr>
          <w:rFonts w:eastAsiaTheme="minorEastAsia"/>
          <w:b/>
          <w:bCs/>
          <w:szCs w:val="24"/>
          <w:lang w:val="en-US"/>
        </w:rPr>
        <w:fldChar w:fldCharType="separate"/>
      </w:r>
      <w:r w:rsidRPr="0029300F">
        <w:rPr>
          <w:b/>
          <w:bCs/>
          <w:szCs w:val="24"/>
          <w:lang w:val="en-US"/>
        </w:rPr>
        <w:t xml:space="preserve">Figure </w:t>
      </w:r>
      <w:r w:rsidRPr="0029300F">
        <w:rPr>
          <w:b/>
          <w:bCs/>
          <w:noProof/>
          <w:szCs w:val="24"/>
          <w:lang w:val="en-US"/>
        </w:rPr>
        <w:t>4</w:t>
      </w:r>
      <w:r w:rsidRPr="0029300F">
        <w:rPr>
          <w:rFonts w:eastAsiaTheme="minorEastAsia"/>
          <w:b/>
          <w:bCs/>
          <w:szCs w:val="24"/>
          <w:lang w:val="en-US"/>
        </w:rPr>
        <w:fldChar w:fldCharType="end"/>
      </w:r>
      <w:r w:rsidRPr="0029300F">
        <w:rPr>
          <w:rFonts w:eastAsiaTheme="minorEastAsia"/>
          <w:szCs w:val="24"/>
          <w:lang w:val="en-US"/>
        </w:rPr>
        <w:t xml:space="preserve">b) compared with the absolute values of the average thermal conductivity (curves in </w:t>
      </w:r>
      <w:r w:rsidRPr="0029300F">
        <w:rPr>
          <w:rFonts w:eastAsiaTheme="minorEastAsia"/>
          <w:szCs w:val="24"/>
          <w:lang w:val="en-US"/>
        </w:rPr>
        <w:fldChar w:fldCharType="begin"/>
      </w:r>
      <w:r w:rsidRPr="0029300F">
        <w:rPr>
          <w:rFonts w:eastAsiaTheme="minorEastAsia"/>
          <w:szCs w:val="24"/>
          <w:lang w:val="en-US"/>
        </w:rPr>
        <w:instrText xml:space="preserve"> REF _Ref87716042 \h  \* MERGEFORMAT </w:instrText>
      </w:r>
      <w:r w:rsidRPr="0029300F">
        <w:rPr>
          <w:rFonts w:eastAsiaTheme="minorEastAsia"/>
          <w:szCs w:val="24"/>
          <w:lang w:val="en-US"/>
        </w:rPr>
      </w:r>
      <w:r w:rsidRPr="0029300F">
        <w:rPr>
          <w:rFonts w:eastAsiaTheme="minorEastAsia"/>
          <w:szCs w:val="24"/>
          <w:lang w:val="en-US"/>
        </w:rPr>
        <w:fldChar w:fldCharType="separate"/>
      </w:r>
      <w:r w:rsidRPr="0029300F">
        <w:rPr>
          <w:szCs w:val="24"/>
          <w:lang w:val="en-US"/>
        </w:rPr>
        <w:t xml:space="preserve">Figure </w:t>
      </w:r>
      <w:r w:rsidRPr="0029300F">
        <w:rPr>
          <w:noProof/>
          <w:szCs w:val="24"/>
          <w:lang w:val="en-US"/>
        </w:rPr>
        <w:t>4</w:t>
      </w:r>
      <w:r w:rsidRPr="0029300F">
        <w:rPr>
          <w:rFonts w:eastAsiaTheme="minorEastAsia"/>
          <w:szCs w:val="24"/>
          <w:lang w:val="en-US"/>
        </w:rPr>
        <w:fldChar w:fldCharType="end"/>
      </w:r>
      <w:r w:rsidRPr="0029300F">
        <w:rPr>
          <w:rFonts w:eastAsiaTheme="minorEastAsia"/>
          <w:szCs w:val="24"/>
          <w:lang w:val="en-US"/>
        </w:rPr>
        <w:t xml:space="preserve">d). More importantly, the variation of the interfacial thermal resistivity does not affect the “bending shape” of the </w:t>
      </w:r>
      <w:r w:rsidRPr="0029300F">
        <w:rPr>
          <w:i/>
          <w:iCs/>
          <w:szCs w:val="24"/>
          <w:lang w:val="en-US"/>
        </w:rPr>
        <w:t>R</w:t>
      </w:r>
      <w:r w:rsidRPr="0029300F">
        <w:rPr>
          <w:szCs w:val="24"/>
          <w:vertAlign w:val="subscript"/>
          <w:lang w:val="en-US"/>
        </w:rPr>
        <w:t>dif</w:t>
      </w:r>
      <w:r w:rsidRPr="0029300F">
        <w:rPr>
          <w:iCs/>
          <w:szCs w:val="24"/>
          <w:lang w:val="en-US"/>
        </w:rPr>
        <w:t>(</w:t>
      </w:r>
      <w:r w:rsidRPr="0029300F">
        <w:rPr>
          <w:i/>
          <w:iCs/>
          <w:szCs w:val="24"/>
          <w:lang w:val="en-US"/>
        </w:rPr>
        <w:t>t</w:t>
      </w:r>
      <w:r w:rsidRPr="0029300F">
        <w:rPr>
          <w:iCs/>
          <w:szCs w:val="24"/>
          <w:lang w:val="en-US"/>
        </w:rPr>
        <w:t>)</w:t>
      </w:r>
      <w:r w:rsidRPr="0029300F">
        <w:rPr>
          <w:szCs w:val="24"/>
          <w:lang w:val="en-US"/>
        </w:rPr>
        <w:t xml:space="preserve"> curves, which is determined by the anisotropy of the thermal transport (</w:t>
      </w:r>
      <w:r w:rsidRPr="0029300F">
        <w:rPr>
          <w:szCs w:val="24"/>
          <w:lang w:val="en-US"/>
        </w:rPr>
        <w:fldChar w:fldCharType="begin"/>
      </w:r>
      <w:r w:rsidRPr="0029300F">
        <w:rPr>
          <w:szCs w:val="24"/>
          <w:lang w:val="en-US"/>
        </w:rPr>
        <w:instrText xml:space="preserve"> REF _Ref87716042 \h  \* MERGEFORMAT </w:instrText>
      </w:r>
      <w:r w:rsidRPr="0029300F">
        <w:rPr>
          <w:szCs w:val="24"/>
          <w:lang w:val="en-US"/>
        </w:rPr>
      </w:r>
      <w:r w:rsidRPr="0029300F">
        <w:rPr>
          <w:szCs w:val="24"/>
          <w:lang w:val="en-US"/>
        </w:rPr>
        <w:fldChar w:fldCharType="separate"/>
      </w:r>
      <w:r w:rsidRPr="0029300F">
        <w:rPr>
          <w:szCs w:val="24"/>
          <w:lang w:val="en-US"/>
        </w:rPr>
        <w:t xml:space="preserve">Figure </w:t>
      </w:r>
      <w:r w:rsidRPr="0029300F">
        <w:rPr>
          <w:noProof/>
          <w:szCs w:val="24"/>
          <w:lang w:val="en-US"/>
        </w:rPr>
        <w:t>4</w:t>
      </w:r>
      <w:r w:rsidRPr="0029300F">
        <w:rPr>
          <w:szCs w:val="24"/>
          <w:lang w:val="en-US"/>
        </w:rPr>
        <w:fldChar w:fldCharType="end"/>
      </w:r>
      <w:r w:rsidRPr="0029300F">
        <w:rPr>
          <w:szCs w:val="24"/>
          <w:lang w:val="en-US"/>
        </w:rPr>
        <w:t>c)</w:t>
      </w:r>
      <w:r w:rsidRPr="0029300F">
        <w:rPr>
          <w:rFonts w:eastAsiaTheme="minorEastAsia"/>
          <w:szCs w:val="24"/>
          <w:lang w:val="en-US"/>
        </w:rPr>
        <w:t>.</w:t>
      </w:r>
    </w:p>
    <w:p w14:paraId="4E3FA040" w14:textId="77777777" w:rsidR="00AA6917" w:rsidRPr="0029300F" w:rsidRDefault="00AA6917" w:rsidP="00A419D1">
      <w:pPr>
        <w:spacing w:after="0" w:line="360" w:lineRule="auto"/>
        <w:rPr>
          <w:lang w:val="en-US"/>
        </w:rPr>
      </w:pPr>
      <w:r w:rsidRPr="0029300F">
        <w:rPr>
          <w:lang w:val="en-US"/>
        </w:rPr>
        <w:t xml:space="preserve">The “Muzychka-Spièce” analytical model also allows us to understand the details and the trends of how the sample parameters affect the measured thermal resistance </w:t>
      </w:r>
      <w:r w:rsidRPr="0029300F">
        <w:rPr>
          <w:i/>
          <w:iCs/>
          <w:lang w:val="en-US"/>
        </w:rPr>
        <w:t>R</w:t>
      </w:r>
      <w:r w:rsidRPr="0029300F">
        <w:rPr>
          <w:vertAlign w:val="subscript"/>
          <w:lang w:val="en-US"/>
        </w:rPr>
        <w:t>x</w:t>
      </w:r>
      <w:r w:rsidRPr="0029300F">
        <w:rPr>
          <w:lang w:val="en-US"/>
        </w:rPr>
        <w:t xml:space="preserve">. These behaviors are illustrated in a series of plots in </w:t>
      </w:r>
      <w:r w:rsidRPr="0029300F">
        <w:rPr>
          <w:lang w:val="en-US"/>
        </w:rPr>
        <w:fldChar w:fldCharType="begin"/>
      </w:r>
      <w:r w:rsidRPr="0029300F">
        <w:rPr>
          <w:lang w:val="en-US"/>
        </w:rPr>
        <w:instrText xml:space="preserve"> REF _Ref87716042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4</w:t>
      </w:r>
      <w:r w:rsidRPr="0029300F">
        <w:rPr>
          <w:lang w:val="en-US"/>
        </w:rPr>
        <w:fldChar w:fldCharType="end"/>
      </w:r>
      <w:r w:rsidRPr="0029300F">
        <w:rPr>
          <w:lang w:val="en-US"/>
        </w:rPr>
        <w:t xml:space="preserve">a-d. In the isotropic case of </w:t>
      </w:r>
      <w:r w:rsidRPr="0029300F">
        <w:rPr>
          <w:szCs w:val="24"/>
          <w:lang w:val="en-US"/>
        </w:rPr>
        <w:t>SiO</w:t>
      </w:r>
      <w:r w:rsidRPr="0029300F">
        <w:rPr>
          <w:szCs w:val="24"/>
          <w:vertAlign w:val="subscript"/>
          <w:lang w:val="en-US"/>
        </w:rPr>
        <w:t>2</w:t>
      </w:r>
      <w:r w:rsidRPr="0029300F">
        <w:rPr>
          <w:szCs w:val="24"/>
          <w:lang w:val="en-US"/>
        </w:rPr>
        <w:t xml:space="preserve">, </w:t>
      </w:r>
      <w:r w:rsidRPr="0029300F">
        <w:rPr>
          <w:szCs w:val="24"/>
          <w:lang w:val="en-US"/>
        </w:rPr>
        <w:fldChar w:fldCharType="begin"/>
      </w:r>
      <w:r w:rsidRPr="0029300F">
        <w:rPr>
          <w:szCs w:val="24"/>
          <w:lang w:val="en-US"/>
        </w:rPr>
        <w:instrText xml:space="preserve"> REF _Ref87716042 \h  \* MERGEFORMAT </w:instrText>
      </w:r>
      <w:r w:rsidRPr="0029300F">
        <w:rPr>
          <w:szCs w:val="24"/>
          <w:lang w:val="en-US"/>
        </w:rPr>
      </w:r>
      <w:r w:rsidRPr="0029300F">
        <w:rPr>
          <w:szCs w:val="24"/>
          <w:lang w:val="en-US"/>
        </w:rPr>
        <w:fldChar w:fldCharType="separate"/>
      </w:r>
      <w:r w:rsidRPr="0029300F">
        <w:rPr>
          <w:szCs w:val="24"/>
          <w:lang w:val="en-US"/>
        </w:rPr>
        <w:t xml:space="preserve">Figure </w:t>
      </w:r>
      <w:r w:rsidRPr="0029300F">
        <w:rPr>
          <w:noProof/>
          <w:szCs w:val="24"/>
          <w:lang w:val="en-US"/>
        </w:rPr>
        <w:t>4</w:t>
      </w:r>
      <w:r w:rsidRPr="0029300F">
        <w:rPr>
          <w:szCs w:val="24"/>
          <w:lang w:val="en-US"/>
        </w:rPr>
        <w:fldChar w:fldCharType="end"/>
      </w:r>
      <w:r w:rsidRPr="0029300F">
        <w:rPr>
          <w:szCs w:val="24"/>
          <w:lang w:val="en-US"/>
        </w:rPr>
        <w:t xml:space="preserve">a shows the change in the shape of the </w:t>
      </w:r>
      <w:r w:rsidRPr="0029300F">
        <w:rPr>
          <w:rFonts w:eastAsiaTheme="minorEastAsia"/>
          <w:i/>
          <w:iCs/>
          <w:szCs w:val="24"/>
          <w:lang w:val="en-US"/>
        </w:rPr>
        <w:t>R</w:t>
      </w:r>
      <w:r w:rsidRPr="0029300F">
        <w:rPr>
          <w:rFonts w:eastAsiaTheme="minorEastAsia"/>
          <w:szCs w:val="24"/>
          <w:vertAlign w:val="subscript"/>
          <w:lang w:val="en-US"/>
        </w:rPr>
        <w:t>dif</w:t>
      </w:r>
      <w:r w:rsidRPr="0029300F">
        <w:rPr>
          <w:rFonts w:eastAsiaTheme="minorEastAsia"/>
          <w:iCs/>
          <w:szCs w:val="24"/>
          <w:lang w:val="en-US"/>
        </w:rPr>
        <w:t>(</w:t>
      </w:r>
      <w:r w:rsidRPr="0029300F">
        <w:rPr>
          <w:rFonts w:eastAsiaTheme="minorEastAsia"/>
          <w:i/>
          <w:iCs/>
          <w:szCs w:val="24"/>
          <w:lang w:val="en-US"/>
        </w:rPr>
        <w:t>t</w:t>
      </w:r>
      <w:r w:rsidRPr="0029300F">
        <w:rPr>
          <w:rFonts w:eastAsiaTheme="minorEastAsia"/>
          <w:iCs/>
          <w:szCs w:val="24"/>
          <w:lang w:val="en-US"/>
        </w:rPr>
        <w:t>)</w:t>
      </w:r>
      <w:r w:rsidRPr="0029300F">
        <w:rPr>
          <w:rFonts w:eastAsiaTheme="minorEastAsia"/>
          <w:szCs w:val="24"/>
          <w:lang w:val="en-US"/>
        </w:rPr>
        <w:t xml:space="preserve"> curve with the variation of the probe-sample contact radius </w:t>
      </w:r>
      <w:r w:rsidRPr="0029300F">
        <w:rPr>
          <w:rFonts w:eastAsiaTheme="minorEastAsia"/>
          <w:i/>
          <w:iCs/>
          <w:szCs w:val="24"/>
          <w:lang w:val="en-US"/>
        </w:rPr>
        <w:t>a</w:t>
      </w:r>
      <w:r w:rsidRPr="0029300F">
        <w:rPr>
          <w:rFonts w:eastAsiaTheme="minorEastAsia"/>
          <w:szCs w:val="24"/>
          <w:lang w:val="en-US"/>
        </w:rPr>
        <w:t xml:space="preserve">. The increase of the contact radius leads to a smoother dependence on </w:t>
      </w:r>
      <w:r w:rsidRPr="0029300F">
        <w:rPr>
          <w:rFonts w:eastAsiaTheme="minorEastAsia"/>
          <w:i/>
          <w:iCs/>
          <w:szCs w:val="24"/>
          <w:lang w:val="en-US"/>
        </w:rPr>
        <w:t>t</w:t>
      </w:r>
      <w:r w:rsidRPr="0029300F">
        <w:rPr>
          <w:rFonts w:eastAsiaTheme="minorEastAsia"/>
          <w:szCs w:val="24"/>
          <w:lang w:val="en-US"/>
        </w:rPr>
        <w:t xml:space="preserve"> as well as to the decrease of the overall thermal resistance. One can see that the experimental data indicate that </w:t>
      </w:r>
      <w:r w:rsidRPr="0029300F">
        <w:rPr>
          <w:rFonts w:eastAsiaTheme="minorEastAsia"/>
          <w:i/>
          <w:iCs/>
          <w:szCs w:val="24"/>
          <w:lang w:val="en-US"/>
        </w:rPr>
        <w:t>a</w:t>
      </w:r>
      <w:r w:rsidRPr="0029300F">
        <w:rPr>
          <w:rFonts w:eastAsiaTheme="minorEastAsia"/>
          <w:szCs w:val="24"/>
          <w:lang w:val="en-US"/>
        </w:rPr>
        <w:t xml:space="preserve"> is between 20 and 30 nm, with precise fitting placing it at </w:t>
      </w:r>
      <w:r w:rsidRPr="0029300F">
        <w:rPr>
          <w:rFonts w:eastAsiaTheme="minorEastAsia"/>
          <w:i/>
          <w:iCs/>
          <w:szCs w:val="24"/>
          <w:lang w:val="en-US"/>
        </w:rPr>
        <w:t>a</w:t>
      </w:r>
      <w:r w:rsidRPr="0029300F">
        <w:rPr>
          <w:rFonts w:eastAsiaTheme="minorEastAsia"/>
          <w:szCs w:val="24"/>
          <w:lang w:val="en-US"/>
        </w:rPr>
        <w:t xml:space="preserve"> = 22.92 </w:t>
      </w:r>
      <w:r w:rsidRPr="0029300F">
        <w:rPr>
          <w:rFonts w:cs="Times New Roman"/>
          <w:lang w:val="en-US"/>
        </w:rPr>
        <w:t xml:space="preserve">± 0.28 nm. </w:t>
      </w:r>
      <w:r w:rsidRPr="0029300F">
        <w:rPr>
          <w:lang w:val="en-US"/>
        </w:rPr>
        <w:fldChar w:fldCharType="begin"/>
      </w:r>
      <w:r w:rsidRPr="0029300F">
        <w:rPr>
          <w:lang w:val="en-US"/>
        </w:rPr>
        <w:instrText xml:space="preserve"> REF _Ref87716042 \h  \* MERGEFORMAT </w:instrText>
      </w:r>
      <w:r w:rsidRPr="0029300F">
        <w:rPr>
          <w:lang w:val="en-US"/>
        </w:rPr>
      </w:r>
      <w:r w:rsidRPr="0029300F">
        <w:rPr>
          <w:lang w:val="en-US"/>
        </w:rPr>
        <w:fldChar w:fldCharType="separate"/>
      </w:r>
      <w:r w:rsidRPr="0029300F">
        <w:rPr>
          <w:lang w:val="en-US"/>
        </w:rPr>
        <w:t xml:space="preserve">Figure </w:t>
      </w:r>
      <w:r w:rsidRPr="0029300F">
        <w:rPr>
          <w:noProof/>
          <w:lang w:val="en-US"/>
        </w:rPr>
        <w:t>4</w:t>
      </w:r>
      <w:r w:rsidRPr="0029300F">
        <w:rPr>
          <w:lang w:val="en-US"/>
        </w:rPr>
        <w:fldChar w:fldCharType="end"/>
      </w:r>
      <w:r w:rsidRPr="0029300F">
        <w:rPr>
          <w:lang w:val="en-US"/>
        </w:rPr>
        <w:t>b, at the same time, shows that the interfacial thermal resistivity between SiO</w:t>
      </w:r>
      <w:r w:rsidRPr="0029300F">
        <w:rPr>
          <w:vertAlign w:val="subscript"/>
          <w:lang w:val="en-US"/>
        </w:rPr>
        <w:t>2</w:t>
      </w:r>
      <w:r w:rsidRPr="0029300F">
        <w:rPr>
          <w:lang w:val="en-US"/>
        </w:rPr>
        <w:t xml:space="preserve"> and Si does not change the character of the dependence, with multiparametric fitting shown in </w:t>
      </w:r>
      <w:r w:rsidRPr="0029300F">
        <w:rPr>
          <w:lang w:val="en-US"/>
        </w:rPr>
        <w:fldChar w:fldCharType="begin"/>
      </w:r>
      <w:r w:rsidRPr="0029300F">
        <w:rPr>
          <w:lang w:val="en-US"/>
        </w:rPr>
        <w:instrText xml:space="preserve"> REF _Ref87716042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4</w:t>
      </w:r>
      <w:r w:rsidRPr="0029300F">
        <w:rPr>
          <w:lang w:val="en-US"/>
        </w:rPr>
        <w:fldChar w:fldCharType="end"/>
      </w:r>
      <w:r w:rsidRPr="0029300F">
        <w:rPr>
          <w:lang w:val="en-US"/>
        </w:rPr>
        <w:t xml:space="preserve">e resulting in a value for </w:t>
      </w:r>
      <w:r w:rsidRPr="0029300F">
        <w:rPr>
          <w:i/>
          <w:iCs/>
          <w:lang w:val="en-US"/>
        </w:rPr>
        <w:t>r</w:t>
      </w:r>
      <w:r w:rsidRPr="0029300F">
        <w:rPr>
          <w:vertAlign w:val="subscript"/>
          <w:lang w:val="en-US"/>
        </w:rPr>
        <w:t>int</w:t>
      </w:r>
      <w:r w:rsidRPr="0029300F">
        <w:rPr>
          <w:lang w:val="en-US"/>
        </w:rPr>
        <w:t xml:space="preserve"> of 1.48×10</w:t>
      </w:r>
      <w:r w:rsidRPr="0029300F">
        <w:rPr>
          <w:vertAlign w:val="superscript"/>
          <w:lang w:val="en-US"/>
        </w:rPr>
        <w:t>-9</w:t>
      </w:r>
      <w:r w:rsidRPr="0029300F">
        <w:rPr>
          <w:lang w:val="en-US"/>
        </w:rPr>
        <w:t xml:space="preserve"> ± 0.20×10</w:t>
      </w:r>
      <w:r w:rsidRPr="0029300F">
        <w:rPr>
          <w:vertAlign w:val="superscript"/>
          <w:lang w:val="en-US"/>
        </w:rPr>
        <w:t>-9</w:t>
      </w:r>
      <w:r w:rsidRPr="0029300F">
        <w:rPr>
          <w:lang w:val="en-US"/>
        </w:rPr>
        <w:t xml:space="preserve"> Km</w:t>
      </w:r>
      <w:r w:rsidRPr="0029300F">
        <w:rPr>
          <w:vertAlign w:val="superscript"/>
          <w:lang w:val="en-US"/>
        </w:rPr>
        <w:t>2</w:t>
      </w:r>
      <w:r w:rsidRPr="0029300F">
        <w:rPr>
          <w:lang w:val="en-US"/>
        </w:rPr>
        <w:t>W</w:t>
      </w:r>
      <w:r w:rsidRPr="0029300F">
        <w:rPr>
          <w:vertAlign w:val="superscript"/>
          <w:lang w:val="en-US"/>
        </w:rPr>
        <w:t>-1</w:t>
      </w:r>
      <w:r w:rsidRPr="0029300F">
        <w:rPr>
          <w:lang w:val="en-US"/>
        </w:rPr>
        <w:t xml:space="preserve">, similar to the values reported in the literature </w:t>
      </w:r>
      <w:r w:rsidRPr="0029300F">
        <w:rPr>
          <w:rFonts w:cs="Times New Roman"/>
          <w:lang w:val="en-US"/>
        </w:rPr>
        <w:t>(</w:t>
      </w:r>
      <w:r w:rsidRPr="0029300F">
        <w:rPr>
          <w:lang w:val="en-US"/>
        </w:rPr>
        <w:t>~</w:t>
      </w:r>
      <w:r w:rsidRPr="0029300F">
        <w:rPr>
          <w:rFonts w:cs="Times New Roman"/>
          <w:lang w:val="en-US"/>
        </w:rPr>
        <w:t>1 Km</w:t>
      </w:r>
      <w:r w:rsidRPr="0029300F">
        <w:rPr>
          <w:rFonts w:cs="Times New Roman"/>
          <w:vertAlign w:val="superscript"/>
          <w:lang w:val="en-US"/>
        </w:rPr>
        <w:t>2</w:t>
      </w:r>
      <w:r w:rsidRPr="0029300F">
        <w:rPr>
          <w:rFonts w:cs="Times New Roman"/>
          <w:lang w:val="en-US"/>
        </w:rPr>
        <w:t>W</w:t>
      </w:r>
      <w:r w:rsidRPr="0029300F">
        <w:rPr>
          <w:rFonts w:cs="Times New Roman"/>
          <w:vertAlign w:val="superscript"/>
          <w:lang w:val="en-US"/>
        </w:rPr>
        <w:t>-1</w:t>
      </w:r>
      <w:r w:rsidRPr="0029300F">
        <w:rPr>
          <w:lang w:val="en-US"/>
        </w:rPr>
        <w:t xml:space="preserve">) for the </w:t>
      </w:r>
      <w:r w:rsidRPr="0029300F">
        <w:rPr>
          <w:rFonts w:eastAsiaTheme="minorEastAsia"/>
          <w:szCs w:val="24"/>
          <w:lang w:val="en-US"/>
        </w:rPr>
        <w:t>SiO</w:t>
      </w:r>
      <w:r w:rsidRPr="0029300F">
        <w:rPr>
          <w:rFonts w:eastAsiaTheme="minorEastAsia"/>
          <w:szCs w:val="24"/>
          <w:vertAlign w:val="subscript"/>
          <w:lang w:val="en-US"/>
        </w:rPr>
        <w:t>2</w:t>
      </w:r>
      <w:r w:rsidRPr="0029300F">
        <w:rPr>
          <w:rFonts w:eastAsiaTheme="minorEastAsia"/>
          <w:szCs w:val="24"/>
          <w:lang w:val="en-US"/>
        </w:rPr>
        <w:t>/Si interface</w:t>
      </w:r>
      <w:r w:rsidRPr="0029300F">
        <w:rPr>
          <w:lang w:val="en-US"/>
        </w:rPr>
        <w:t>.</w:t>
      </w:r>
      <w:r w:rsidRPr="005A7543">
        <w:rPr>
          <w:noProof/>
          <w:vertAlign w:val="superscript"/>
          <w:lang w:val="en-US"/>
        </w:rPr>
        <w:t xml:space="preserve"> [76]</w:t>
      </w:r>
      <w:r w:rsidRPr="0029300F">
        <w:rPr>
          <w:lang w:val="en-US"/>
        </w:rPr>
        <w:t xml:space="preserve"> As the heat conductivity of the SiO</w:t>
      </w:r>
      <w:r w:rsidRPr="0029300F">
        <w:rPr>
          <w:vertAlign w:val="subscript"/>
          <w:lang w:val="en-US"/>
        </w:rPr>
        <w:t>2</w:t>
      </w:r>
      <w:r w:rsidRPr="0029300F">
        <w:rPr>
          <w:lang w:val="en-US"/>
        </w:rPr>
        <w:t xml:space="preserve"> thermal oxide layer is well known, the reference sample also allows the determination of the sensitivity coefficient </w:t>
      </w:r>
      <w:r w:rsidRPr="0029300F">
        <w:rPr>
          <w:i/>
          <w:iCs/>
          <w:lang w:val="en-US"/>
        </w:rPr>
        <w:t>c</w:t>
      </w:r>
      <w:r w:rsidRPr="0029300F">
        <w:rPr>
          <w:vertAlign w:val="subscript"/>
          <w:lang w:val="en-US"/>
        </w:rPr>
        <w:t>e</w:t>
      </w:r>
      <w:r w:rsidRPr="0029300F">
        <w:rPr>
          <w:lang w:val="en-US"/>
        </w:rPr>
        <w:t>. This factor originates in the difference in the temperature distribution in the SThM sensing resistive element when it is self-heated compared to when the heat is removed at the end of the probe in contact with the sample.</w:t>
      </w:r>
      <w:r w:rsidRPr="005A7543">
        <w:rPr>
          <w:noProof/>
          <w:vertAlign w:val="superscript"/>
          <w:lang w:val="en-US"/>
        </w:rPr>
        <w:t xml:space="preserve"> [51]</w:t>
      </w:r>
      <w:r w:rsidRPr="0029300F">
        <w:rPr>
          <w:lang w:val="en-US"/>
        </w:rPr>
        <w:t xml:space="preserve"> The latter results in the localized temperature variation near the probe apex, hence a smaller effect on the overall sensor resistance is reflected by </w:t>
      </w:r>
      <w:r w:rsidRPr="0029300F">
        <w:rPr>
          <w:i/>
          <w:iCs/>
          <w:lang w:val="en-US"/>
        </w:rPr>
        <w:t>c</w:t>
      </w:r>
      <w:r w:rsidRPr="0029300F">
        <w:rPr>
          <w:vertAlign w:val="subscript"/>
          <w:lang w:val="en-US"/>
        </w:rPr>
        <w:t>e</w:t>
      </w:r>
      <w:r w:rsidRPr="0029300F">
        <w:rPr>
          <w:lang w:val="en-US"/>
        </w:rPr>
        <w:t xml:space="preserve"> = 8.29 ± 0.11 (see details in SI, section S6).</w:t>
      </w:r>
    </w:p>
    <w:p w14:paraId="4E3FA041" w14:textId="77777777" w:rsidR="00AA6917" w:rsidRPr="0029300F" w:rsidRDefault="00AA6917" w:rsidP="00A419D1">
      <w:pPr>
        <w:spacing w:after="0" w:line="360" w:lineRule="auto"/>
        <w:rPr>
          <w:rFonts w:eastAsiaTheme="minorEastAsia"/>
          <w:szCs w:val="24"/>
          <w:lang w:val="en-US"/>
        </w:rPr>
      </w:pPr>
      <w:r w:rsidRPr="0029300F">
        <w:rPr>
          <w:lang w:val="en-US"/>
        </w:rPr>
        <w:t xml:space="preserve">For the anisotropic material, the increase of the layer anisotropic ratio of in-plane to cross-plane thermal conductivities </w:t>
      </w:r>
      <w:r w:rsidRPr="0029300F">
        <w:rPr>
          <w:i/>
          <w:iCs/>
          <w:lang w:val="en-US"/>
        </w:rPr>
        <w:t>a</w:t>
      </w:r>
      <w:r w:rsidRPr="0029300F">
        <w:rPr>
          <w:vertAlign w:val="subscript"/>
          <w:lang w:val="en-US"/>
        </w:rPr>
        <w:t>r</w:t>
      </w:r>
      <w:r w:rsidRPr="0029300F">
        <w:rPr>
          <w:lang w:val="en-US"/>
        </w:rPr>
        <w:t xml:space="preserve"> in </w:t>
      </w:r>
      <w:r w:rsidRPr="0029300F">
        <w:rPr>
          <w:lang w:val="en-US"/>
        </w:rPr>
        <w:fldChar w:fldCharType="begin"/>
      </w:r>
      <w:r w:rsidRPr="0029300F">
        <w:rPr>
          <w:lang w:val="en-US"/>
        </w:rPr>
        <w:instrText xml:space="preserve"> REF _Ref87716042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4</w:t>
      </w:r>
      <w:r w:rsidRPr="0029300F">
        <w:rPr>
          <w:lang w:val="en-US"/>
        </w:rPr>
        <w:fldChar w:fldCharType="end"/>
      </w:r>
      <w:r w:rsidRPr="0029300F">
        <w:rPr>
          <w:lang w:val="en-US"/>
        </w:rPr>
        <w:t xml:space="preserve">c from 1 (isotropic) to 6 (highly anisotropic) leads to the steeper rise of the thermal resistance followed by a “plateau”. Such “plateau” is expected, as, at large layer thickness, the thermal conductance should not depend on the thickness of the layer and the thermal conductivity of the substrate. Such transition happens when the sample thickness becomes much larger than the tip-sample contact radius </w:t>
      </w:r>
      <w:r w:rsidRPr="0029300F">
        <w:rPr>
          <w:i/>
          <w:iCs/>
          <w:lang w:val="en-US"/>
        </w:rPr>
        <w:t>a</w:t>
      </w:r>
      <w:r w:rsidRPr="0029300F">
        <w:rPr>
          <w:lang w:val="en-US"/>
        </w:rPr>
        <w:t xml:space="preserve">, and, as we specified above, its sharpness depends on the heat transport anisotropy of the layer. This matches with both the theoretical predictions in the analytical model as well as the FEA simulation. Our analysis shows that, for the anisotropic samples, such transition is sharper. At the same time, the increase of the direction-averaged thermal conductivity </w:t>
      </w:r>
      <w:r w:rsidRPr="0029300F">
        <w:rPr>
          <w:i/>
          <w:iCs/>
          <w:lang w:val="en-US"/>
        </w:rPr>
        <w:t>k</w:t>
      </w:r>
      <w:r w:rsidRPr="0029300F">
        <w:rPr>
          <w:vertAlign w:val="subscript"/>
          <w:lang w:val="en-US"/>
        </w:rPr>
        <w:t>a</w:t>
      </w:r>
      <w:r w:rsidRPr="0029300F">
        <w:rPr>
          <w:lang w:val="en-US"/>
        </w:rPr>
        <w:t xml:space="preserve"> results in a monotonous drop in the thermal resistance as seen in </w:t>
      </w:r>
      <w:r w:rsidRPr="0029300F">
        <w:rPr>
          <w:lang w:val="en-US"/>
        </w:rPr>
        <w:fldChar w:fldCharType="begin"/>
      </w:r>
      <w:r w:rsidRPr="0029300F">
        <w:rPr>
          <w:lang w:val="en-US"/>
        </w:rPr>
        <w:instrText xml:space="preserve"> REF _Ref87716042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4</w:t>
      </w:r>
      <w:r w:rsidRPr="0029300F">
        <w:rPr>
          <w:lang w:val="en-US"/>
        </w:rPr>
        <w:fldChar w:fldCharType="end"/>
      </w:r>
      <w:r w:rsidRPr="0029300F">
        <w:rPr>
          <w:lang w:val="en-US"/>
        </w:rPr>
        <w:t xml:space="preserve">d without a notable change in the shape. Once the values of </w:t>
      </w:r>
      <w:r w:rsidRPr="0029300F">
        <w:rPr>
          <w:i/>
          <w:iCs/>
          <w:lang w:val="en-US"/>
        </w:rPr>
        <w:t>a</w:t>
      </w:r>
      <w:r w:rsidRPr="0029300F">
        <w:rPr>
          <w:lang w:val="en-US"/>
        </w:rPr>
        <w:t xml:space="preserve"> and </w:t>
      </w:r>
      <w:r w:rsidRPr="0029300F">
        <w:rPr>
          <w:i/>
          <w:iCs/>
          <w:lang w:val="en-US"/>
        </w:rPr>
        <w:t>c</w:t>
      </w:r>
      <w:r w:rsidRPr="0029300F">
        <w:rPr>
          <w:vertAlign w:val="subscript"/>
          <w:lang w:val="en-US"/>
        </w:rPr>
        <w:t>e</w:t>
      </w:r>
      <w:r w:rsidRPr="0029300F">
        <w:rPr>
          <w:lang w:val="en-US"/>
        </w:rPr>
        <w:t xml:space="preserve"> are determined from the measurement of the reference </w:t>
      </w:r>
      <w:r w:rsidRPr="0029300F">
        <w:rPr>
          <w:szCs w:val="24"/>
          <w:lang w:val="en-US"/>
        </w:rPr>
        <w:t>SiO</w:t>
      </w:r>
      <w:r w:rsidRPr="0029300F">
        <w:rPr>
          <w:szCs w:val="24"/>
          <w:vertAlign w:val="subscript"/>
          <w:lang w:val="en-US"/>
        </w:rPr>
        <w:t>2</w:t>
      </w:r>
      <w:r w:rsidRPr="0029300F">
        <w:rPr>
          <w:szCs w:val="24"/>
          <w:lang w:val="en-US"/>
        </w:rPr>
        <w:t xml:space="preserve">/Si sample, these data are then used to fit the experimental measurement for the </w:t>
      </w:r>
      <w:r w:rsidRPr="0029300F">
        <w:rPr>
          <w:rFonts w:eastAsiaTheme="minorEastAsia"/>
          <w:szCs w:val="24"/>
          <w:lang w:val="en-US"/>
        </w:rPr>
        <w:t>γ-InSe/Si sample, which is known to be anisotropic.</w:t>
      </w:r>
      <w:r w:rsidRPr="005A7543">
        <w:rPr>
          <w:noProof/>
          <w:vertAlign w:val="superscript"/>
          <w:lang w:val="en-US"/>
        </w:rPr>
        <w:t xml:space="preserve"> [41-42, 73]</w:t>
      </w:r>
      <w:r w:rsidRPr="0029300F">
        <w:rPr>
          <w:lang w:val="en-US"/>
        </w:rPr>
        <w:t xml:space="preserve"> The model uses the transformations as in Equation </w:t>
      </w:r>
      <w:r w:rsidRPr="0029300F">
        <w:rPr>
          <w:lang w:val="en-US"/>
        </w:rPr>
        <w:fldChar w:fldCharType="begin"/>
      </w:r>
      <w:r w:rsidRPr="0029300F">
        <w:rPr>
          <w:lang w:val="en-US"/>
        </w:rPr>
        <w:instrText xml:space="preserve"> REF _Ref94815026 \h  \* MERGEFORMAT </w:instrText>
      </w:r>
      <w:r w:rsidRPr="0029300F">
        <w:rPr>
          <w:lang w:val="en-US"/>
        </w:rPr>
      </w:r>
      <w:r w:rsidRPr="0029300F">
        <w:rPr>
          <w:lang w:val="en-US"/>
        </w:rPr>
        <w:fldChar w:fldCharType="separate"/>
      </w:r>
      <w:r w:rsidRPr="0029300F">
        <w:rPr>
          <w:noProof/>
          <w:lang w:val="en-US"/>
        </w:rPr>
        <w:t>(5</w:t>
      </w:r>
      <w:r w:rsidRPr="0029300F">
        <w:rPr>
          <w:lang w:val="en-US"/>
        </w:rPr>
        <w:t>)</w:t>
      </w:r>
      <w:r w:rsidRPr="0029300F">
        <w:rPr>
          <w:lang w:val="en-US"/>
        </w:rPr>
        <w:fldChar w:fldCharType="end"/>
      </w:r>
      <w:r w:rsidRPr="0029300F">
        <w:rPr>
          <w:lang w:val="en-US"/>
        </w:rPr>
        <w:t xml:space="preserve"> and </w:t>
      </w:r>
      <w:r w:rsidRPr="0029300F">
        <w:rPr>
          <w:lang w:val="en-US"/>
        </w:rPr>
        <w:fldChar w:fldCharType="begin"/>
      </w:r>
      <w:r w:rsidRPr="0029300F">
        <w:rPr>
          <w:lang w:val="en-US"/>
        </w:rPr>
        <w:instrText xml:space="preserve"> REF _Ref94815032 \h  \* MERGEFORMAT </w:instrText>
      </w:r>
      <w:r w:rsidRPr="0029300F">
        <w:rPr>
          <w:lang w:val="en-US"/>
        </w:rPr>
      </w:r>
      <w:r w:rsidRPr="0029300F">
        <w:rPr>
          <w:lang w:val="en-US"/>
        </w:rPr>
        <w:fldChar w:fldCharType="separate"/>
      </w:r>
      <w:r w:rsidRPr="0029300F">
        <w:rPr>
          <w:noProof/>
          <w:lang w:val="en-US"/>
        </w:rPr>
        <w:t>(6</w:t>
      </w:r>
      <w:r w:rsidRPr="0029300F">
        <w:rPr>
          <w:lang w:val="en-US"/>
        </w:rPr>
        <w:t>)</w:t>
      </w:r>
      <w:r w:rsidRPr="0029300F">
        <w:rPr>
          <w:lang w:val="en-US"/>
        </w:rPr>
        <w:fldChar w:fldCharType="end"/>
      </w:r>
      <w:r w:rsidRPr="0029300F">
        <w:rPr>
          <w:lang w:val="en-US"/>
        </w:rPr>
        <w:t xml:space="preserve">, allowing to obtain values for </w:t>
      </w:r>
      <w:r w:rsidRPr="0029300F">
        <w:rPr>
          <w:i/>
          <w:iCs/>
          <w:lang w:val="en-US"/>
        </w:rPr>
        <w:t>r</w:t>
      </w:r>
      <w:r w:rsidRPr="0029300F">
        <w:rPr>
          <w:vertAlign w:val="subscript"/>
          <w:lang w:val="en-US"/>
        </w:rPr>
        <w:t>int</w:t>
      </w:r>
      <w:r w:rsidRPr="0029300F">
        <w:rPr>
          <w:lang w:val="en-US"/>
        </w:rPr>
        <w:t xml:space="preserve">, </w:t>
      </w:r>
      <w:r w:rsidRPr="0029300F">
        <w:rPr>
          <w:i/>
          <w:iCs/>
          <w:lang w:val="en-US"/>
        </w:rPr>
        <w:t>k</w:t>
      </w:r>
      <w:r w:rsidRPr="0029300F">
        <w:rPr>
          <w:vertAlign w:val="subscript"/>
          <w:lang w:val="en-US"/>
        </w:rPr>
        <w:t>xy,</w:t>
      </w:r>
      <w:r w:rsidRPr="0029300F">
        <w:rPr>
          <w:lang w:val="en-US"/>
        </w:rPr>
        <w:t xml:space="preserve"> and </w:t>
      </w:r>
      <w:r w:rsidRPr="0029300F">
        <w:rPr>
          <w:i/>
          <w:iCs/>
          <w:lang w:val="en-US"/>
        </w:rPr>
        <w:t>k</w:t>
      </w:r>
      <w:r w:rsidRPr="0029300F">
        <w:rPr>
          <w:vertAlign w:val="subscript"/>
          <w:lang w:val="en-US"/>
        </w:rPr>
        <w:t>z</w:t>
      </w:r>
      <w:r w:rsidRPr="0029300F">
        <w:rPr>
          <w:lang w:val="en-US"/>
        </w:rPr>
        <w:t xml:space="preserve">, with the typical fitting results shown in </w:t>
      </w:r>
      <w:r w:rsidRPr="0029300F">
        <w:rPr>
          <w:lang w:val="en-US"/>
        </w:rPr>
        <w:fldChar w:fldCharType="begin"/>
      </w:r>
      <w:r w:rsidRPr="0029300F">
        <w:rPr>
          <w:lang w:val="en-US"/>
        </w:rPr>
        <w:instrText xml:space="preserve"> REF _Ref87716042 \h  \* MERGEFORMAT </w:instrText>
      </w:r>
      <w:r w:rsidRPr="0029300F">
        <w:rPr>
          <w:lang w:val="en-US"/>
        </w:rPr>
      </w:r>
      <w:r w:rsidRPr="0029300F">
        <w:rPr>
          <w:lang w:val="en-US"/>
        </w:rPr>
        <w:fldChar w:fldCharType="separate"/>
      </w:r>
      <w:r w:rsidRPr="0029300F">
        <w:rPr>
          <w:lang w:val="en-US"/>
        </w:rPr>
        <w:t xml:space="preserve">Figure </w:t>
      </w:r>
      <w:r w:rsidRPr="0029300F">
        <w:rPr>
          <w:noProof/>
          <w:lang w:val="en-US"/>
        </w:rPr>
        <w:t>4</w:t>
      </w:r>
      <w:r w:rsidRPr="0029300F">
        <w:rPr>
          <w:lang w:val="en-US"/>
        </w:rPr>
        <w:fldChar w:fldCharType="end"/>
      </w:r>
      <w:r w:rsidRPr="0029300F">
        <w:rPr>
          <w:lang w:val="en-US"/>
        </w:rPr>
        <w:t xml:space="preserve">f and </w:t>
      </w:r>
      <w:r w:rsidRPr="0029300F">
        <w:rPr>
          <w:b/>
          <w:bCs/>
          <w:lang w:val="en-US"/>
        </w:rPr>
        <w:fldChar w:fldCharType="begin"/>
      </w:r>
      <w:r w:rsidRPr="0029300F">
        <w:rPr>
          <w:b/>
          <w:bCs/>
          <w:lang w:val="en-US"/>
        </w:rPr>
        <w:instrText xml:space="preserve"> REF _Ref94794444 \h  \* MERGEFORMAT </w:instrText>
      </w:r>
      <w:r w:rsidRPr="0029300F">
        <w:rPr>
          <w:b/>
          <w:bCs/>
          <w:lang w:val="en-US"/>
        </w:rPr>
      </w:r>
      <w:r w:rsidRPr="0029300F">
        <w:rPr>
          <w:b/>
          <w:bCs/>
          <w:lang w:val="en-US"/>
        </w:rPr>
        <w:fldChar w:fldCharType="separate"/>
      </w:r>
      <w:r w:rsidRPr="0029300F">
        <w:rPr>
          <w:b/>
          <w:bCs/>
          <w:szCs w:val="24"/>
          <w:lang w:val="en-US"/>
        </w:rPr>
        <w:t xml:space="preserve">Table </w:t>
      </w:r>
      <w:r w:rsidRPr="0029300F">
        <w:rPr>
          <w:b/>
          <w:bCs/>
          <w:noProof/>
          <w:szCs w:val="24"/>
          <w:lang w:val="en-US"/>
        </w:rPr>
        <w:t>1</w:t>
      </w:r>
      <w:r w:rsidRPr="0029300F">
        <w:rPr>
          <w:b/>
          <w:bCs/>
          <w:lang w:val="en-US"/>
        </w:rPr>
        <w:fldChar w:fldCharType="end"/>
      </w:r>
      <w:r w:rsidRPr="0029300F">
        <w:rPr>
          <w:lang w:val="en-US"/>
        </w:rPr>
        <w:t>. While the quality of this fitting is not as good as in the reference sample, the goodness of fit value (</w:t>
      </w:r>
      <w:r w:rsidRPr="0029300F">
        <w:rPr>
          <w:i/>
          <w:iCs/>
          <w:lang w:val="en-US"/>
        </w:rPr>
        <w:t>R</w:t>
      </w:r>
      <w:r w:rsidRPr="0029300F">
        <w:rPr>
          <w:i/>
          <w:iCs/>
          <w:vertAlign w:val="superscript"/>
          <w:lang w:val="en-US"/>
        </w:rPr>
        <w:t>2</w:t>
      </w:r>
      <w:r w:rsidRPr="0029300F">
        <w:rPr>
          <w:lang w:val="en-US"/>
        </w:rPr>
        <w:t xml:space="preserve"> &gt; 0.94) was sufficient to obtain a reasonable confidence interval. The decrease in the fitting efficacy is probably due to the spatial variation of the thermal signal, likely due to step-like structures at the wedge cut of the 2D material, which was also observable in the nanomechanical maps using Ultrasonic Force Microscopy (UFM),</w:t>
      </w:r>
      <w:r w:rsidRPr="005A7543">
        <w:rPr>
          <w:noProof/>
          <w:vertAlign w:val="superscript"/>
          <w:lang w:val="en-US"/>
        </w:rPr>
        <w:t xml:space="preserve"> [77-78]</w:t>
      </w:r>
      <w:r w:rsidRPr="0029300F">
        <w:rPr>
          <w:lang w:val="en-US"/>
        </w:rPr>
        <w:t xml:space="preserve"> while they are practically absent in the Si substrate and the SiO</w:t>
      </w:r>
      <w:r w:rsidRPr="0029300F">
        <w:rPr>
          <w:vertAlign w:val="subscript"/>
          <w:lang w:val="en-US"/>
        </w:rPr>
        <w:t>2</w:t>
      </w:r>
      <w:r w:rsidRPr="0029300F">
        <w:rPr>
          <w:lang w:val="en-US"/>
        </w:rPr>
        <w:t xml:space="preserve"> layer. Also, this may indicate other heat transport phenomena in anisotropic media such as bulk-to-layer mode conversion or a certain degree of ballistic transport, even for thicknesses above the mean free path. These would require a separate and more detailed study beyond the measurements of the anisotropic thermal conductivities considered here. Significantly, in our measurements and analysis, there was no observed thermal discontinuity at the interface between the substrate and the </w:t>
      </w:r>
      <w:bookmarkStart w:id="40" w:name="_Hlk101956845"/>
      <w:r w:rsidRPr="0029300F">
        <w:rPr>
          <w:rFonts w:eastAsiaTheme="minorEastAsia"/>
          <w:szCs w:val="24"/>
          <w:lang w:val="en-US"/>
        </w:rPr>
        <w:t>γ-InSe</w:t>
      </w:r>
      <w:bookmarkEnd w:id="40"/>
      <w:r w:rsidRPr="0029300F">
        <w:rPr>
          <w:rFonts w:eastAsiaTheme="minorEastAsia"/>
          <w:szCs w:val="24"/>
          <w:lang w:val="en-US"/>
        </w:rPr>
        <w:t xml:space="preserve"> layer. Moreover, the fitting model is ultimately valid for uniform thermal conductivities, but in this material, this feature is likely to vary with the layer thickness increasing from 2D material to bulk. </w:t>
      </w:r>
      <w:bookmarkStart w:id="41" w:name="_Hlk109403569"/>
      <w:r w:rsidRPr="0029300F">
        <w:rPr>
          <w:rFonts w:eastAsiaTheme="minorEastAsia"/>
          <w:szCs w:val="24"/>
          <w:lang w:val="en-US"/>
        </w:rPr>
        <w:t>We acknowledge that further measurements on other materials are needed to fully understand the disagreement after the saturation point between the experimental and fitting curves.</w:t>
      </w:r>
      <w:bookmarkEnd w:id="41"/>
      <w:r w:rsidRPr="0029300F">
        <w:rPr>
          <w:rFonts w:eastAsiaTheme="minorEastAsia"/>
          <w:szCs w:val="24"/>
          <w:lang w:val="en-US"/>
        </w:rPr>
        <w:t xml:space="preserve"> Nevertheless, </w:t>
      </w:r>
      <w:bookmarkStart w:id="42" w:name="_Hlk109404414"/>
      <w:r w:rsidRPr="0029300F">
        <w:rPr>
          <w:rFonts w:eastAsiaTheme="minorEastAsia"/>
          <w:szCs w:val="24"/>
          <w:lang w:val="en-US"/>
        </w:rPr>
        <w:t xml:space="preserve">the anisotropic values measured are still reliable given that the range of thicknesses used for the fitting and the introduced weighting factors prioritize the fitting of the initial slope and bending area and diminish the saturation influence on this fitting. In fact, these weighting factors have been considered since it is the initial and bending part of the curve that mostly reveals the thermal transport anisotropic degree (as also seen in </w:t>
      </w:r>
      <w:r w:rsidRPr="0029300F">
        <w:rPr>
          <w:rFonts w:eastAsiaTheme="minorEastAsia"/>
          <w:szCs w:val="24"/>
          <w:lang w:val="en-US"/>
        </w:rPr>
        <w:fldChar w:fldCharType="begin"/>
      </w:r>
      <w:r w:rsidRPr="0029300F">
        <w:rPr>
          <w:rFonts w:eastAsiaTheme="minorEastAsia"/>
          <w:szCs w:val="24"/>
          <w:lang w:val="en-US"/>
        </w:rPr>
        <w:instrText xml:space="preserve"> REF _Ref87716042 \h  \* MERGEFORMAT </w:instrText>
      </w:r>
      <w:r w:rsidRPr="0029300F">
        <w:rPr>
          <w:rFonts w:eastAsiaTheme="minorEastAsia"/>
          <w:szCs w:val="24"/>
          <w:lang w:val="en-US"/>
        </w:rPr>
      </w:r>
      <w:r w:rsidRPr="0029300F">
        <w:rPr>
          <w:rFonts w:eastAsiaTheme="minorEastAsia"/>
          <w:szCs w:val="24"/>
          <w:lang w:val="en-US"/>
        </w:rPr>
        <w:fldChar w:fldCharType="separate"/>
      </w:r>
      <w:r w:rsidRPr="0029300F">
        <w:rPr>
          <w:szCs w:val="24"/>
          <w:lang w:val="en-US"/>
        </w:rPr>
        <w:t xml:space="preserve">Figure </w:t>
      </w:r>
      <w:r w:rsidRPr="0029300F">
        <w:rPr>
          <w:noProof/>
          <w:szCs w:val="24"/>
          <w:lang w:val="en-US"/>
        </w:rPr>
        <w:t>4</w:t>
      </w:r>
      <w:r w:rsidRPr="0029300F">
        <w:rPr>
          <w:rFonts w:eastAsiaTheme="minorEastAsia"/>
          <w:szCs w:val="24"/>
          <w:lang w:val="en-US"/>
        </w:rPr>
        <w:fldChar w:fldCharType="end"/>
      </w:r>
      <w:r w:rsidRPr="0029300F">
        <w:rPr>
          <w:rFonts w:eastAsiaTheme="minorEastAsia"/>
          <w:szCs w:val="24"/>
          <w:lang w:val="en-US"/>
        </w:rPr>
        <w:t>c).</w:t>
      </w:r>
      <w:bookmarkEnd w:id="42"/>
    </w:p>
    <w:p w14:paraId="4E3FA042" w14:textId="77777777" w:rsidR="00AA6917" w:rsidRPr="0029300F" w:rsidRDefault="00AA6917" w:rsidP="00A419D1">
      <w:pPr>
        <w:pStyle w:val="Caption"/>
        <w:keepNext/>
        <w:spacing w:after="0" w:line="360" w:lineRule="auto"/>
        <w:rPr>
          <w:i w:val="0"/>
          <w:iCs w:val="0"/>
          <w:color w:val="auto"/>
          <w:sz w:val="24"/>
          <w:szCs w:val="24"/>
          <w:lang w:val="en-US"/>
        </w:rPr>
      </w:pPr>
      <w:bookmarkStart w:id="43" w:name="_Ref94794444"/>
      <w:r w:rsidRPr="0029300F">
        <w:rPr>
          <w:b/>
          <w:bCs/>
          <w:i w:val="0"/>
          <w:iCs w:val="0"/>
          <w:color w:val="auto"/>
          <w:sz w:val="24"/>
          <w:szCs w:val="24"/>
          <w:lang w:val="en-US"/>
        </w:rPr>
        <w:t xml:space="preserve">Table </w:t>
      </w:r>
      <w:r w:rsidRPr="0029300F">
        <w:rPr>
          <w:b/>
          <w:bCs/>
          <w:i w:val="0"/>
          <w:iCs w:val="0"/>
          <w:color w:val="auto"/>
          <w:sz w:val="24"/>
          <w:szCs w:val="24"/>
          <w:lang w:val="en-US"/>
        </w:rPr>
        <w:fldChar w:fldCharType="begin"/>
      </w:r>
      <w:r w:rsidRPr="0029300F">
        <w:rPr>
          <w:b/>
          <w:bCs/>
          <w:i w:val="0"/>
          <w:iCs w:val="0"/>
          <w:color w:val="auto"/>
          <w:sz w:val="24"/>
          <w:szCs w:val="24"/>
          <w:lang w:val="en-US"/>
        </w:rPr>
        <w:instrText xml:space="preserve"> SEQ Table \* ARABIC </w:instrText>
      </w:r>
      <w:r w:rsidRPr="0029300F">
        <w:rPr>
          <w:b/>
          <w:bCs/>
          <w:i w:val="0"/>
          <w:iCs w:val="0"/>
          <w:color w:val="auto"/>
          <w:sz w:val="24"/>
          <w:szCs w:val="24"/>
          <w:lang w:val="en-US"/>
        </w:rPr>
        <w:fldChar w:fldCharType="separate"/>
      </w:r>
      <w:r w:rsidRPr="0029300F">
        <w:rPr>
          <w:b/>
          <w:bCs/>
          <w:i w:val="0"/>
          <w:iCs w:val="0"/>
          <w:noProof/>
          <w:color w:val="auto"/>
          <w:sz w:val="24"/>
          <w:szCs w:val="24"/>
          <w:lang w:val="en-US"/>
        </w:rPr>
        <w:t>1</w:t>
      </w:r>
      <w:r w:rsidRPr="0029300F">
        <w:rPr>
          <w:b/>
          <w:bCs/>
          <w:i w:val="0"/>
          <w:iCs w:val="0"/>
          <w:color w:val="auto"/>
          <w:sz w:val="24"/>
          <w:szCs w:val="24"/>
          <w:lang w:val="en-US"/>
        </w:rPr>
        <w:fldChar w:fldCharType="end"/>
      </w:r>
      <w:bookmarkEnd w:id="43"/>
      <w:r w:rsidRPr="0029300F">
        <w:rPr>
          <w:b/>
          <w:bCs/>
          <w:i w:val="0"/>
          <w:iCs w:val="0"/>
          <w:color w:val="auto"/>
          <w:sz w:val="24"/>
          <w:szCs w:val="24"/>
          <w:lang w:val="en-US"/>
        </w:rPr>
        <w:t>.</w:t>
      </w:r>
      <w:r w:rsidRPr="0029300F">
        <w:rPr>
          <w:i w:val="0"/>
          <w:iCs w:val="0"/>
          <w:color w:val="auto"/>
          <w:sz w:val="24"/>
          <w:szCs w:val="24"/>
          <w:lang w:val="en-US"/>
        </w:rPr>
        <w:t xml:space="preserve"> Experimental and fitting heat transport parameters of SiO</w:t>
      </w:r>
      <w:r w:rsidRPr="0029300F">
        <w:rPr>
          <w:i w:val="0"/>
          <w:iCs w:val="0"/>
          <w:color w:val="auto"/>
          <w:sz w:val="24"/>
          <w:szCs w:val="24"/>
          <w:vertAlign w:val="subscript"/>
          <w:lang w:val="en-US"/>
        </w:rPr>
        <w:t>2</w:t>
      </w:r>
      <w:r w:rsidRPr="0029300F">
        <w:rPr>
          <w:i w:val="0"/>
          <w:iCs w:val="0"/>
          <w:color w:val="auto"/>
          <w:sz w:val="24"/>
          <w:szCs w:val="24"/>
          <w:lang w:val="en-US"/>
        </w:rPr>
        <w:t xml:space="preserve"> and γ-InSe obtained using xSThM and the “Muzychka-Spièce” 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28" w:type="dxa"/>
        </w:tblCellMar>
        <w:tblLook w:val="04A0" w:firstRow="1" w:lastRow="0" w:firstColumn="1" w:lastColumn="0" w:noHBand="0" w:noVBand="1"/>
      </w:tblPr>
      <w:tblGrid>
        <w:gridCol w:w="866"/>
        <w:gridCol w:w="1826"/>
        <w:gridCol w:w="944"/>
        <w:gridCol w:w="1016"/>
        <w:gridCol w:w="1759"/>
        <w:gridCol w:w="1016"/>
        <w:gridCol w:w="1016"/>
      </w:tblGrid>
      <w:tr w:rsidR="00AA6917" w:rsidRPr="0029300F" w14:paraId="4E3FA04A" w14:textId="77777777" w:rsidTr="00A419D1">
        <w:trPr>
          <w:trHeight w:val="276"/>
        </w:trPr>
        <w:tc>
          <w:tcPr>
            <w:tcW w:w="0" w:type="auto"/>
            <w:vMerge w:val="restart"/>
            <w:tcBorders>
              <w:top w:val="single" w:sz="4" w:space="0" w:color="auto"/>
            </w:tcBorders>
            <w:vAlign w:val="center"/>
          </w:tcPr>
          <w:p w14:paraId="4E3FA043"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Material</w:t>
            </w:r>
          </w:p>
        </w:tc>
        <w:tc>
          <w:tcPr>
            <w:tcW w:w="0" w:type="auto"/>
            <w:tcBorders>
              <w:top w:val="single" w:sz="4" w:space="0" w:color="auto"/>
            </w:tcBorders>
            <w:vAlign w:val="center"/>
          </w:tcPr>
          <w:p w14:paraId="4E3FA044" w14:textId="77777777" w:rsidR="00AA6917" w:rsidRPr="0029300F" w:rsidRDefault="00AA6917" w:rsidP="00A419D1">
            <w:pPr>
              <w:jc w:val="center"/>
              <w:rPr>
                <w:rFonts w:ascii="Arial" w:hAnsi="Arial" w:cs="Arial"/>
                <w:i/>
                <w:iCs/>
                <w:sz w:val="16"/>
                <w:szCs w:val="16"/>
                <w:lang w:val="en-US"/>
              </w:rPr>
            </w:pPr>
            <w:r w:rsidRPr="0029300F">
              <w:rPr>
                <w:rFonts w:ascii="Arial" w:hAnsi="Arial" w:cs="Arial"/>
                <w:i/>
                <w:iCs/>
                <w:sz w:val="16"/>
                <w:szCs w:val="16"/>
                <w:lang w:val="en-US"/>
              </w:rPr>
              <w:t>a</w:t>
            </w:r>
          </w:p>
        </w:tc>
        <w:tc>
          <w:tcPr>
            <w:tcW w:w="0" w:type="auto"/>
            <w:tcBorders>
              <w:top w:val="single" w:sz="4" w:space="0" w:color="auto"/>
            </w:tcBorders>
            <w:vAlign w:val="center"/>
          </w:tcPr>
          <w:p w14:paraId="4E3FA045" w14:textId="77777777" w:rsidR="00AA6917" w:rsidRPr="0029300F" w:rsidRDefault="00AA6917" w:rsidP="00A419D1">
            <w:pPr>
              <w:jc w:val="center"/>
              <w:rPr>
                <w:rFonts w:ascii="Arial" w:hAnsi="Arial" w:cs="Arial"/>
                <w:sz w:val="16"/>
                <w:szCs w:val="16"/>
                <w:lang w:val="en-US"/>
              </w:rPr>
            </w:pPr>
            <w:r w:rsidRPr="0029300F">
              <w:rPr>
                <w:rFonts w:ascii="Arial" w:hAnsi="Arial" w:cs="Arial"/>
                <w:i/>
                <w:iCs/>
                <w:sz w:val="16"/>
                <w:szCs w:val="16"/>
                <w:lang w:val="en-US"/>
              </w:rPr>
              <w:t>r</w:t>
            </w:r>
            <w:r w:rsidRPr="0029300F">
              <w:rPr>
                <w:rFonts w:ascii="Arial" w:hAnsi="Arial" w:cs="Arial"/>
                <w:sz w:val="16"/>
                <w:szCs w:val="16"/>
                <w:vertAlign w:val="subscript"/>
                <w:lang w:val="en-US"/>
              </w:rPr>
              <w:t>int</w:t>
            </w:r>
          </w:p>
        </w:tc>
        <w:tc>
          <w:tcPr>
            <w:tcW w:w="0" w:type="auto"/>
            <w:vMerge w:val="restart"/>
            <w:tcBorders>
              <w:top w:val="single" w:sz="4" w:space="0" w:color="auto"/>
            </w:tcBorders>
            <w:vAlign w:val="center"/>
          </w:tcPr>
          <w:p w14:paraId="4E3FA046" w14:textId="77777777" w:rsidR="00AA6917" w:rsidRPr="0029300F" w:rsidRDefault="00AA6917" w:rsidP="00A419D1">
            <w:pPr>
              <w:jc w:val="center"/>
              <w:rPr>
                <w:rFonts w:ascii="Arial" w:hAnsi="Arial" w:cs="Arial"/>
                <w:sz w:val="16"/>
                <w:szCs w:val="16"/>
                <w:lang w:val="en-US"/>
              </w:rPr>
            </w:pPr>
            <w:r w:rsidRPr="0029300F">
              <w:rPr>
                <w:rFonts w:ascii="Arial" w:hAnsi="Arial" w:cs="Arial"/>
                <w:i/>
                <w:iCs/>
                <w:sz w:val="16"/>
                <w:szCs w:val="16"/>
                <w:lang w:val="en-US"/>
              </w:rPr>
              <w:t>c</w:t>
            </w:r>
            <w:r w:rsidRPr="0029300F">
              <w:rPr>
                <w:rFonts w:ascii="Arial" w:hAnsi="Arial" w:cs="Arial"/>
                <w:sz w:val="16"/>
                <w:szCs w:val="16"/>
                <w:vertAlign w:val="subscript"/>
                <w:lang w:val="en-US"/>
              </w:rPr>
              <w:t>e</w:t>
            </w:r>
          </w:p>
        </w:tc>
        <w:tc>
          <w:tcPr>
            <w:tcW w:w="0" w:type="auto"/>
            <w:tcBorders>
              <w:top w:val="single" w:sz="4" w:space="0" w:color="auto"/>
            </w:tcBorders>
            <w:vAlign w:val="center"/>
          </w:tcPr>
          <w:p w14:paraId="4E3FA047" w14:textId="77777777" w:rsidR="00AA6917" w:rsidRPr="0029300F" w:rsidRDefault="00AA6917" w:rsidP="00A419D1">
            <w:pPr>
              <w:jc w:val="center"/>
              <w:rPr>
                <w:rFonts w:ascii="Arial" w:hAnsi="Arial" w:cs="Arial"/>
                <w:sz w:val="16"/>
                <w:szCs w:val="16"/>
                <w:vertAlign w:val="superscript"/>
                <w:lang w:val="en-US"/>
              </w:rPr>
            </w:pPr>
            <w:r w:rsidRPr="0029300F">
              <w:rPr>
                <w:rFonts w:ascii="Arial" w:hAnsi="Arial" w:cs="Arial"/>
                <w:i/>
                <w:iCs/>
                <w:sz w:val="16"/>
                <w:szCs w:val="16"/>
                <w:lang w:val="en-US"/>
              </w:rPr>
              <w:t>R</w:t>
            </w:r>
            <w:r w:rsidRPr="0029300F">
              <w:rPr>
                <w:rFonts w:ascii="Arial" w:hAnsi="Arial" w:cs="Arial"/>
                <w:sz w:val="16"/>
                <w:szCs w:val="16"/>
                <w:vertAlign w:val="subscript"/>
                <w:lang w:val="en-US"/>
              </w:rPr>
              <w:t>c</w:t>
            </w:r>
            <w:r w:rsidRPr="0029300F">
              <w:rPr>
                <w:rFonts w:ascii="Arial" w:hAnsi="Arial" w:cs="Arial"/>
                <w:sz w:val="16"/>
                <w:szCs w:val="16"/>
                <w:vertAlign w:val="superscript"/>
                <w:lang w:val="en-US"/>
              </w:rPr>
              <w:t>a)</w:t>
            </w:r>
          </w:p>
        </w:tc>
        <w:tc>
          <w:tcPr>
            <w:tcW w:w="0" w:type="auto"/>
            <w:tcBorders>
              <w:top w:val="single" w:sz="4" w:space="0" w:color="auto"/>
            </w:tcBorders>
            <w:vAlign w:val="center"/>
          </w:tcPr>
          <w:p w14:paraId="4E3FA048" w14:textId="77777777" w:rsidR="00AA6917" w:rsidRPr="0029300F" w:rsidRDefault="00AA6917" w:rsidP="00A419D1">
            <w:pPr>
              <w:jc w:val="center"/>
              <w:rPr>
                <w:rFonts w:ascii="Arial" w:hAnsi="Arial" w:cs="Arial"/>
                <w:sz w:val="16"/>
                <w:szCs w:val="16"/>
                <w:lang w:val="en-US"/>
              </w:rPr>
            </w:pPr>
            <w:r w:rsidRPr="0029300F">
              <w:rPr>
                <w:rFonts w:ascii="Arial" w:hAnsi="Arial" w:cs="Arial"/>
                <w:i/>
                <w:iCs/>
                <w:sz w:val="16"/>
                <w:szCs w:val="16"/>
                <w:lang w:val="en-US"/>
              </w:rPr>
              <w:t>k</w:t>
            </w:r>
            <w:r w:rsidRPr="0029300F">
              <w:rPr>
                <w:rFonts w:ascii="Arial" w:hAnsi="Arial" w:cs="Arial"/>
                <w:sz w:val="16"/>
                <w:szCs w:val="16"/>
                <w:vertAlign w:val="subscript"/>
                <w:lang w:val="en-US"/>
              </w:rPr>
              <w:t>xy</w:t>
            </w:r>
          </w:p>
        </w:tc>
        <w:tc>
          <w:tcPr>
            <w:tcW w:w="0" w:type="auto"/>
            <w:tcBorders>
              <w:top w:val="single" w:sz="4" w:space="0" w:color="auto"/>
            </w:tcBorders>
            <w:vAlign w:val="center"/>
          </w:tcPr>
          <w:p w14:paraId="4E3FA049" w14:textId="77777777" w:rsidR="00AA6917" w:rsidRPr="0029300F" w:rsidRDefault="00AA6917" w:rsidP="00A419D1">
            <w:pPr>
              <w:jc w:val="center"/>
              <w:rPr>
                <w:rFonts w:ascii="Arial" w:hAnsi="Arial" w:cs="Arial"/>
                <w:sz w:val="16"/>
                <w:szCs w:val="16"/>
                <w:lang w:val="en-US"/>
              </w:rPr>
            </w:pPr>
            <w:r w:rsidRPr="0029300F">
              <w:rPr>
                <w:rFonts w:ascii="Arial" w:hAnsi="Arial" w:cs="Arial"/>
                <w:i/>
                <w:iCs/>
                <w:sz w:val="16"/>
                <w:szCs w:val="16"/>
                <w:lang w:val="en-US"/>
              </w:rPr>
              <w:t>k</w:t>
            </w:r>
            <w:r w:rsidRPr="0029300F">
              <w:rPr>
                <w:rFonts w:ascii="Arial" w:hAnsi="Arial" w:cs="Arial"/>
                <w:sz w:val="16"/>
                <w:szCs w:val="16"/>
                <w:vertAlign w:val="subscript"/>
                <w:lang w:val="en-US"/>
              </w:rPr>
              <w:t>z</w:t>
            </w:r>
          </w:p>
        </w:tc>
      </w:tr>
      <w:tr w:rsidR="00AA6917" w:rsidRPr="0029300F" w14:paraId="4E3FA052" w14:textId="77777777" w:rsidTr="00A419D1">
        <w:trPr>
          <w:trHeight w:val="276"/>
        </w:trPr>
        <w:tc>
          <w:tcPr>
            <w:tcW w:w="0" w:type="auto"/>
            <w:vMerge/>
            <w:tcBorders>
              <w:bottom w:val="single" w:sz="4" w:space="0" w:color="auto"/>
            </w:tcBorders>
            <w:vAlign w:val="center"/>
          </w:tcPr>
          <w:p w14:paraId="4E3FA04B" w14:textId="77777777" w:rsidR="00AA6917" w:rsidRPr="0029300F" w:rsidRDefault="00AA6917" w:rsidP="00A419D1">
            <w:pPr>
              <w:jc w:val="center"/>
              <w:rPr>
                <w:rFonts w:ascii="Arial" w:hAnsi="Arial" w:cs="Arial"/>
                <w:sz w:val="16"/>
                <w:szCs w:val="16"/>
                <w:lang w:val="en-US"/>
              </w:rPr>
            </w:pPr>
          </w:p>
        </w:tc>
        <w:tc>
          <w:tcPr>
            <w:tcW w:w="0" w:type="auto"/>
            <w:tcBorders>
              <w:bottom w:val="single" w:sz="4" w:space="0" w:color="auto"/>
            </w:tcBorders>
            <w:vAlign w:val="center"/>
          </w:tcPr>
          <w:p w14:paraId="4E3FA04C"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[m]</w:t>
            </w:r>
          </w:p>
        </w:tc>
        <w:tc>
          <w:tcPr>
            <w:tcW w:w="0" w:type="auto"/>
            <w:tcBorders>
              <w:bottom w:val="single" w:sz="4" w:space="0" w:color="auto"/>
            </w:tcBorders>
            <w:vAlign w:val="center"/>
          </w:tcPr>
          <w:p w14:paraId="4E3FA04D"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[Km</w:t>
            </w:r>
            <w:r w:rsidRPr="0029300F">
              <w:rPr>
                <w:rFonts w:ascii="Arial" w:hAnsi="Arial" w:cs="Arial"/>
                <w:sz w:val="16"/>
                <w:szCs w:val="16"/>
                <w:vertAlign w:val="superscript"/>
                <w:lang w:val="en-US"/>
              </w:rPr>
              <w:t>2</w:t>
            </w:r>
            <w:r w:rsidRPr="0029300F">
              <w:rPr>
                <w:rFonts w:ascii="Arial" w:hAnsi="Arial" w:cs="Arial"/>
                <w:sz w:val="16"/>
                <w:szCs w:val="16"/>
                <w:lang w:val="en-US"/>
              </w:rPr>
              <w:t>W</w:t>
            </w:r>
            <w:r w:rsidRPr="0029300F">
              <w:rPr>
                <w:rFonts w:ascii="Arial" w:hAnsi="Arial" w:cs="Arial"/>
                <w:sz w:val="16"/>
                <w:szCs w:val="16"/>
                <w:vertAlign w:val="superscript"/>
                <w:lang w:val="en-US"/>
              </w:rPr>
              <w:t>-1</w:t>
            </w:r>
            <w:r w:rsidRPr="0029300F">
              <w:rPr>
                <w:rFonts w:ascii="Arial" w:hAnsi="Arial" w:cs="Arial"/>
                <w:sz w:val="16"/>
                <w:szCs w:val="16"/>
                <w:lang w:val="en-US"/>
              </w:rPr>
              <w:t>]</w:t>
            </w:r>
          </w:p>
        </w:tc>
        <w:tc>
          <w:tcPr>
            <w:tcW w:w="0" w:type="auto"/>
            <w:vMerge/>
            <w:tcBorders>
              <w:bottom w:val="single" w:sz="4" w:space="0" w:color="auto"/>
            </w:tcBorders>
            <w:vAlign w:val="center"/>
          </w:tcPr>
          <w:p w14:paraId="4E3FA04E" w14:textId="77777777" w:rsidR="00AA6917" w:rsidRPr="0029300F" w:rsidRDefault="00AA6917" w:rsidP="00A419D1">
            <w:pPr>
              <w:jc w:val="center"/>
              <w:rPr>
                <w:rFonts w:ascii="Arial" w:hAnsi="Arial" w:cs="Arial"/>
                <w:sz w:val="16"/>
                <w:szCs w:val="16"/>
                <w:lang w:val="en-US"/>
              </w:rPr>
            </w:pPr>
          </w:p>
        </w:tc>
        <w:tc>
          <w:tcPr>
            <w:tcW w:w="0" w:type="auto"/>
            <w:tcBorders>
              <w:bottom w:val="single" w:sz="4" w:space="0" w:color="auto"/>
            </w:tcBorders>
            <w:vAlign w:val="center"/>
          </w:tcPr>
          <w:p w14:paraId="4E3FA04F"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[KW</w:t>
            </w:r>
            <w:r w:rsidRPr="0029300F">
              <w:rPr>
                <w:rFonts w:ascii="Arial" w:hAnsi="Arial" w:cs="Arial"/>
                <w:sz w:val="16"/>
                <w:szCs w:val="16"/>
                <w:vertAlign w:val="superscript"/>
                <w:lang w:val="en-US"/>
              </w:rPr>
              <w:t>-1</w:t>
            </w:r>
            <w:r w:rsidRPr="0029300F">
              <w:rPr>
                <w:rFonts w:ascii="Arial" w:hAnsi="Arial" w:cs="Arial"/>
                <w:sz w:val="16"/>
                <w:szCs w:val="16"/>
                <w:lang w:val="en-US"/>
              </w:rPr>
              <w:t>]</w:t>
            </w:r>
          </w:p>
        </w:tc>
        <w:tc>
          <w:tcPr>
            <w:tcW w:w="0" w:type="auto"/>
            <w:tcBorders>
              <w:bottom w:val="single" w:sz="4" w:space="0" w:color="auto"/>
            </w:tcBorders>
            <w:vAlign w:val="center"/>
          </w:tcPr>
          <w:p w14:paraId="4E3FA050"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[Wm</w:t>
            </w:r>
            <w:r w:rsidRPr="0029300F">
              <w:rPr>
                <w:rFonts w:ascii="Arial" w:hAnsi="Arial" w:cs="Arial"/>
                <w:sz w:val="16"/>
                <w:szCs w:val="16"/>
                <w:vertAlign w:val="superscript"/>
                <w:lang w:val="en-US"/>
              </w:rPr>
              <w:t>-1</w:t>
            </w:r>
            <w:r w:rsidRPr="0029300F">
              <w:rPr>
                <w:rFonts w:ascii="Arial" w:hAnsi="Arial" w:cs="Arial"/>
                <w:sz w:val="16"/>
                <w:szCs w:val="16"/>
                <w:lang w:val="en-US"/>
              </w:rPr>
              <w:t>K</w:t>
            </w:r>
            <w:r w:rsidRPr="0029300F">
              <w:rPr>
                <w:rFonts w:ascii="Arial" w:hAnsi="Arial" w:cs="Arial"/>
                <w:sz w:val="16"/>
                <w:szCs w:val="16"/>
                <w:vertAlign w:val="superscript"/>
                <w:lang w:val="en-US"/>
              </w:rPr>
              <w:t>-1</w:t>
            </w:r>
            <w:r w:rsidRPr="0029300F">
              <w:rPr>
                <w:rFonts w:ascii="Arial" w:hAnsi="Arial" w:cs="Arial"/>
                <w:sz w:val="16"/>
                <w:szCs w:val="16"/>
                <w:lang w:val="en-US"/>
              </w:rPr>
              <w:t>]</w:t>
            </w:r>
          </w:p>
        </w:tc>
        <w:tc>
          <w:tcPr>
            <w:tcW w:w="0" w:type="auto"/>
            <w:tcBorders>
              <w:bottom w:val="single" w:sz="4" w:space="0" w:color="auto"/>
            </w:tcBorders>
            <w:vAlign w:val="center"/>
          </w:tcPr>
          <w:p w14:paraId="4E3FA051"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[Wm</w:t>
            </w:r>
            <w:r w:rsidRPr="0029300F">
              <w:rPr>
                <w:rFonts w:ascii="Arial" w:hAnsi="Arial" w:cs="Arial"/>
                <w:sz w:val="16"/>
                <w:szCs w:val="16"/>
                <w:vertAlign w:val="superscript"/>
                <w:lang w:val="en-US"/>
              </w:rPr>
              <w:t>-1</w:t>
            </w:r>
            <w:r w:rsidRPr="0029300F">
              <w:rPr>
                <w:rFonts w:ascii="Arial" w:hAnsi="Arial" w:cs="Arial"/>
                <w:sz w:val="16"/>
                <w:szCs w:val="16"/>
                <w:lang w:val="en-US"/>
              </w:rPr>
              <w:t>K</w:t>
            </w:r>
            <w:r w:rsidRPr="0029300F">
              <w:rPr>
                <w:rFonts w:ascii="Arial" w:hAnsi="Arial" w:cs="Arial"/>
                <w:sz w:val="16"/>
                <w:szCs w:val="16"/>
                <w:vertAlign w:val="superscript"/>
                <w:lang w:val="en-US"/>
              </w:rPr>
              <w:t>-1</w:t>
            </w:r>
            <w:r w:rsidRPr="0029300F">
              <w:rPr>
                <w:rFonts w:ascii="Arial" w:hAnsi="Arial" w:cs="Arial"/>
                <w:sz w:val="16"/>
                <w:szCs w:val="16"/>
                <w:lang w:val="en-US"/>
              </w:rPr>
              <w:t>]</w:t>
            </w:r>
          </w:p>
        </w:tc>
      </w:tr>
      <w:tr w:rsidR="00AA6917" w:rsidRPr="0029300F" w14:paraId="4E3FA05A" w14:textId="77777777" w:rsidTr="00A419D1">
        <w:trPr>
          <w:trHeight w:val="276"/>
        </w:trPr>
        <w:tc>
          <w:tcPr>
            <w:tcW w:w="0" w:type="auto"/>
            <w:tcBorders>
              <w:top w:val="single" w:sz="4" w:space="0" w:color="auto"/>
            </w:tcBorders>
            <w:vAlign w:val="center"/>
          </w:tcPr>
          <w:p w14:paraId="4E3FA053"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SiO</w:t>
            </w:r>
            <w:r w:rsidRPr="0029300F">
              <w:rPr>
                <w:rFonts w:ascii="Arial" w:hAnsi="Arial" w:cs="Arial"/>
                <w:sz w:val="16"/>
                <w:szCs w:val="16"/>
                <w:vertAlign w:val="subscript"/>
                <w:lang w:val="en-US"/>
              </w:rPr>
              <w:t>2</w:t>
            </w:r>
            <w:r w:rsidRPr="0029300F">
              <w:rPr>
                <w:rFonts w:ascii="Arial" w:hAnsi="Arial" w:cs="Arial"/>
                <w:sz w:val="16"/>
                <w:szCs w:val="16"/>
                <w:lang w:val="en-US"/>
              </w:rPr>
              <w:t>/Si</w:t>
            </w:r>
          </w:p>
        </w:tc>
        <w:tc>
          <w:tcPr>
            <w:tcW w:w="0" w:type="auto"/>
            <w:vMerge w:val="restart"/>
            <w:tcBorders>
              <w:top w:val="single" w:sz="4" w:space="0" w:color="auto"/>
              <w:bottom w:val="single" w:sz="4" w:space="0" w:color="auto"/>
            </w:tcBorders>
            <w:vAlign w:val="center"/>
          </w:tcPr>
          <w:p w14:paraId="4E3FA054"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22.92×10</w:t>
            </w:r>
            <w:r w:rsidRPr="0029300F">
              <w:rPr>
                <w:rFonts w:ascii="Arial" w:hAnsi="Arial" w:cs="Arial"/>
                <w:sz w:val="16"/>
                <w:szCs w:val="16"/>
                <w:vertAlign w:val="superscript"/>
                <w:lang w:val="en-US"/>
              </w:rPr>
              <w:t>-9</w:t>
            </w:r>
            <w:r w:rsidRPr="0029300F">
              <w:rPr>
                <w:rFonts w:ascii="Arial" w:hAnsi="Arial" w:cs="Arial"/>
                <w:sz w:val="16"/>
                <w:szCs w:val="16"/>
                <w:lang w:val="en-US"/>
              </w:rPr>
              <w:t xml:space="preserve"> ± 0.28×10</w:t>
            </w:r>
            <w:r w:rsidRPr="0029300F">
              <w:rPr>
                <w:rFonts w:ascii="Arial" w:hAnsi="Arial" w:cs="Arial"/>
                <w:sz w:val="16"/>
                <w:szCs w:val="16"/>
                <w:vertAlign w:val="superscript"/>
                <w:lang w:val="en-US"/>
              </w:rPr>
              <w:t>-9</w:t>
            </w:r>
          </w:p>
        </w:tc>
        <w:tc>
          <w:tcPr>
            <w:tcW w:w="0" w:type="auto"/>
            <w:tcBorders>
              <w:top w:val="single" w:sz="4" w:space="0" w:color="auto"/>
            </w:tcBorders>
            <w:vAlign w:val="center"/>
          </w:tcPr>
          <w:p w14:paraId="4E3FA055"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1.48×10</w:t>
            </w:r>
            <w:r w:rsidRPr="0029300F">
              <w:rPr>
                <w:rFonts w:ascii="Arial" w:hAnsi="Arial" w:cs="Arial"/>
                <w:sz w:val="16"/>
                <w:szCs w:val="16"/>
                <w:vertAlign w:val="superscript"/>
                <w:lang w:val="en-US"/>
              </w:rPr>
              <w:t>-9</w:t>
            </w:r>
          </w:p>
        </w:tc>
        <w:tc>
          <w:tcPr>
            <w:tcW w:w="0" w:type="auto"/>
            <w:vMerge w:val="restart"/>
            <w:tcBorders>
              <w:top w:val="single" w:sz="4" w:space="0" w:color="auto"/>
              <w:bottom w:val="single" w:sz="4" w:space="0" w:color="auto"/>
            </w:tcBorders>
            <w:vAlign w:val="center"/>
          </w:tcPr>
          <w:p w14:paraId="4E3FA056"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8.29 ± 0.11</w:t>
            </w:r>
          </w:p>
        </w:tc>
        <w:tc>
          <w:tcPr>
            <w:tcW w:w="0" w:type="auto"/>
            <w:tcBorders>
              <w:top w:val="single" w:sz="4" w:space="0" w:color="auto"/>
            </w:tcBorders>
            <w:vAlign w:val="center"/>
          </w:tcPr>
          <w:p w14:paraId="4E3FA057"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54.47×10</w:t>
            </w:r>
            <w:r w:rsidRPr="0029300F">
              <w:rPr>
                <w:rFonts w:ascii="Arial" w:hAnsi="Arial" w:cs="Arial"/>
                <w:sz w:val="16"/>
                <w:szCs w:val="16"/>
                <w:vertAlign w:val="superscript"/>
                <w:lang w:val="en-US"/>
              </w:rPr>
              <w:t>6</w:t>
            </w:r>
            <w:r w:rsidRPr="0029300F">
              <w:rPr>
                <w:rFonts w:ascii="Arial" w:hAnsi="Arial" w:cs="Arial"/>
                <w:sz w:val="16"/>
                <w:szCs w:val="16"/>
                <w:lang w:val="en-US"/>
              </w:rPr>
              <w:t xml:space="preserve"> ± 1.10×10</w:t>
            </w:r>
            <w:r w:rsidRPr="0029300F">
              <w:rPr>
                <w:rFonts w:ascii="Arial" w:hAnsi="Arial" w:cs="Arial"/>
                <w:sz w:val="16"/>
                <w:szCs w:val="16"/>
                <w:vertAlign w:val="superscript"/>
                <w:lang w:val="en-US"/>
              </w:rPr>
              <w:t>6</w:t>
            </w:r>
          </w:p>
        </w:tc>
        <w:tc>
          <w:tcPr>
            <w:tcW w:w="0" w:type="auto"/>
            <w:tcBorders>
              <w:top w:val="single" w:sz="4" w:space="0" w:color="auto"/>
            </w:tcBorders>
            <w:vAlign w:val="center"/>
          </w:tcPr>
          <w:p w14:paraId="4E3FA058"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n/a</w:t>
            </w:r>
          </w:p>
        </w:tc>
        <w:tc>
          <w:tcPr>
            <w:tcW w:w="0" w:type="auto"/>
            <w:tcBorders>
              <w:top w:val="single" w:sz="4" w:space="0" w:color="auto"/>
            </w:tcBorders>
            <w:vAlign w:val="center"/>
          </w:tcPr>
          <w:p w14:paraId="4E3FA059"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n/a</w:t>
            </w:r>
          </w:p>
        </w:tc>
      </w:tr>
      <w:tr w:rsidR="00AA6917" w:rsidRPr="0029300F" w14:paraId="4E3FA062" w14:textId="77777777" w:rsidTr="00A419D1">
        <w:trPr>
          <w:trHeight w:val="276"/>
        </w:trPr>
        <w:tc>
          <w:tcPr>
            <w:tcW w:w="0" w:type="auto"/>
            <w:tcBorders>
              <w:bottom w:val="single" w:sz="4" w:space="0" w:color="auto"/>
            </w:tcBorders>
            <w:vAlign w:val="center"/>
          </w:tcPr>
          <w:p w14:paraId="4E3FA05B"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γ-InSe/Si</w:t>
            </w:r>
          </w:p>
        </w:tc>
        <w:tc>
          <w:tcPr>
            <w:tcW w:w="0" w:type="auto"/>
            <w:vMerge/>
            <w:tcBorders>
              <w:bottom w:val="single" w:sz="4" w:space="0" w:color="auto"/>
            </w:tcBorders>
            <w:vAlign w:val="center"/>
          </w:tcPr>
          <w:p w14:paraId="4E3FA05C" w14:textId="77777777" w:rsidR="00AA6917" w:rsidRPr="0029300F" w:rsidRDefault="00AA6917" w:rsidP="00A419D1">
            <w:pPr>
              <w:jc w:val="center"/>
              <w:rPr>
                <w:rFonts w:ascii="Arial" w:hAnsi="Arial" w:cs="Arial"/>
                <w:sz w:val="16"/>
                <w:szCs w:val="16"/>
                <w:lang w:val="en-US"/>
              </w:rPr>
            </w:pPr>
          </w:p>
        </w:tc>
        <w:tc>
          <w:tcPr>
            <w:tcW w:w="0" w:type="auto"/>
            <w:tcBorders>
              <w:bottom w:val="single" w:sz="4" w:space="0" w:color="auto"/>
            </w:tcBorders>
            <w:vAlign w:val="center"/>
          </w:tcPr>
          <w:p w14:paraId="4E3FA05D"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9.60×10</w:t>
            </w:r>
            <w:r w:rsidRPr="0029300F">
              <w:rPr>
                <w:rFonts w:ascii="Arial" w:hAnsi="Arial" w:cs="Arial"/>
                <w:sz w:val="16"/>
                <w:szCs w:val="16"/>
                <w:vertAlign w:val="superscript"/>
                <w:lang w:val="en-US"/>
              </w:rPr>
              <w:t>-11</w:t>
            </w:r>
          </w:p>
        </w:tc>
        <w:tc>
          <w:tcPr>
            <w:tcW w:w="0" w:type="auto"/>
            <w:vMerge/>
            <w:tcBorders>
              <w:top w:val="single" w:sz="4" w:space="0" w:color="auto"/>
              <w:bottom w:val="single" w:sz="4" w:space="0" w:color="auto"/>
            </w:tcBorders>
            <w:vAlign w:val="center"/>
          </w:tcPr>
          <w:p w14:paraId="4E3FA05E" w14:textId="77777777" w:rsidR="00AA6917" w:rsidRPr="0029300F" w:rsidRDefault="00AA6917" w:rsidP="00A419D1">
            <w:pPr>
              <w:jc w:val="center"/>
              <w:rPr>
                <w:rFonts w:ascii="Arial" w:hAnsi="Arial" w:cs="Arial"/>
                <w:sz w:val="16"/>
                <w:szCs w:val="16"/>
                <w:lang w:val="en-US"/>
              </w:rPr>
            </w:pPr>
          </w:p>
        </w:tc>
        <w:tc>
          <w:tcPr>
            <w:tcW w:w="0" w:type="auto"/>
            <w:tcBorders>
              <w:bottom w:val="single" w:sz="4" w:space="0" w:color="auto"/>
            </w:tcBorders>
            <w:vAlign w:val="center"/>
          </w:tcPr>
          <w:p w14:paraId="4E3FA05F"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45.81×10</w:t>
            </w:r>
            <w:r w:rsidRPr="0029300F">
              <w:rPr>
                <w:rFonts w:ascii="Arial" w:hAnsi="Arial" w:cs="Arial"/>
                <w:sz w:val="16"/>
                <w:szCs w:val="16"/>
                <w:vertAlign w:val="superscript"/>
                <w:lang w:val="en-US"/>
              </w:rPr>
              <w:t>6</w:t>
            </w:r>
            <w:r w:rsidRPr="0029300F">
              <w:rPr>
                <w:rFonts w:ascii="Arial" w:hAnsi="Arial" w:cs="Arial"/>
                <w:sz w:val="16"/>
                <w:szCs w:val="16"/>
                <w:lang w:val="en-US"/>
              </w:rPr>
              <w:t xml:space="preserve"> ± 1.30×10</w:t>
            </w:r>
            <w:r w:rsidRPr="0029300F">
              <w:rPr>
                <w:rFonts w:ascii="Arial" w:hAnsi="Arial" w:cs="Arial"/>
                <w:sz w:val="16"/>
                <w:szCs w:val="16"/>
                <w:vertAlign w:val="superscript"/>
                <w:lang w:val="en-US"/>
              </w:rPr>
              <w:t>6</w:t>
            </w:r>
          </w:p>
        </w:tc>
        <w:tc>
          <w:tcPr>
            <w:tcW w:w="0" w:type="auto"/>
            <w:tcBorders>
              <w:bottom w:val="single" w:sz="4" w:space="0" w:color="auto"/>
            </w:tcBorders>
            <w:vAlign w:val="center"/>
          </w:tcPr>
          <w:p w14:paraId="4E3FA060"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2.16 ± 0.35</w:t>
            </w:r>
          </w:p>
        </w:tc>
        <w:tc>
          <w:tcPr>
            <w:tcW w:w="0" w:type="auto"/>
            <w:tcBorders>
              <w:bottom w:val="single" w:sz="4" w:space="0" w:color="auto"/>
            </w:tcBorders>
            <w:vAlign w:val="center"/>
          </w:tcPr>
          <w:p w14:paraId="4E3FA061" w14:textId="77777777" w:rsidR="00AA6917" w:rsidRPr="0029300F" w:rsidRDefault="00AA6917" w:rsidP="00A419D1">
            <w:pPr>
              <w:jc w:val="center"/>
              <w:rPr>
                <w:rFonts w:ascii="Arial" w:hAnsi="Arial" w:cs="Arial"/>
                <w:sz w:val="16"/>
                <w:szCs w:val="16"/>
                <w:lang w:val="en-US"/>
              </w:rPr>
            </w:pPr>
            <w:r w:rsidRPr="0029300F">
              <w:rPr>
                <w:rFonts w:ascii="Arial" w:hAnsi="Arial" w:cs="Arial"/>
                <w:sz w:val="16"/>
                <w:szCs w:val="16"/>
                <w:lang w:val="en-US"/>
              </w:rPr>
              <w:t>0.89 ± 0.09</w:t>
            </w:r>
          </w:p>
        </w:tc>
      </w:tr>
    </w:tbl>
    <w:p w14:paraId="4E3FA063" w14:textId="77777777" w:rsidR="00AA6917" w:rsidRPr="0029300F" w:rsidRDefault="00AA6917" w:rsidP="00A419D1">
      <w:pPr>
        <w:pStyle w:val="Caption"/>
        <w:keepNext/>
        <w:spacing w:after="0" w:line="360" w:lineRule="auto"/>
        <w:rPr>
          <w:i w:val="0"/>
          <w:iCs w:val="0"/>
          <w:color w:val="auto"/>
          <w:sz w:val="24"/>
          <w:szCs w:val="24"/>
          <w:lang w:val="en-US"/>
        </w:rPr>
      </w:pPr>
      <w:r w:rsidRPr="0029300F">
        <w:rPr>
          <w:i w:val="0"/>
          <w:iCs w:val="0"/>
          <w:color w:val="auto"/>
          <w:sz w:val="24"/>
          <w:szCs w:val="24"/>
          <w:vertAlign w:val="superscript"/>
          <w:lang w:val="en-US"/>
        </w:rPr>
        <w:t>a)</w:t>
      </w:r>
      <w:r w:rsidRPr="0029300F">
        <w:rPr>
          <w:i w:val="0"/>
          <w:iCs w:val="0"/>
          <w:color w:val="auto"/>
          <w:sz w:val="24"/>
          <w:szCs w:val="24"/>
          <w:lang w:val="en-US"/>
        </w:rPr>
        <w:t xml:space="preserve"> See SI, section S5.</w:t>
      </w:r>
    </w:p>
    <w:p w14:paraId="4E3FA064" w14:textId="77777777" w:rsidR="00AA6917" w:rsidRPr="0029300F" w:rsidRDefault="00AA6917" w:rsidP="00A419D1">
      <w:pPr>
        <w:rPr>
          <w:lang w:val="en-US"/>
        </w:rPr>
      </w:pPr>
    </w:p>
    <w:p w14:paraId="4E3FA065" w14:textId="77777777" w:rsidR="00AA6917" w:rsidRPr="0029300F" w:rsidRDefault="00AA6917" w:rsidP="00A419D1">
      <w:pPr>
        <w:spacing w:before="160" w:after="0" w:line="360" w:lineRule="auto"/>
        <w:rPr>
          <w:lang w:val="en-US"/>
        </w:rPr>
      </w:pPr>
      <w:bookmarkStart w:id="44" w:name="_Ref94193762"/>
      <w:r w:rsidRPr="0029300F">
        <w:rPr>
          <w:lang w:val="en-US"/>
        </w:rPr>
        <w:t xml:space="preserve">The most significant outcome is that this xSThM approach allows for the first time to obtain direct measurements of both components of the anisotropic thermal conductivity of </w:t>
      </w:r>
      <w:r w:rsidRPr="0029300F">
        <w:rPr>
          <w:rFonts w:eastAsiaTheme="minorEastAsia"/>
          <w:szCs w:val="24"/>
          <w:lang w:val="en-US"/>
        </w:rPr>
        <w:t xml:space="preserve">γ-InSe, with in-plane and cross-plane thermal conductivities of </w:t>
      </w:r>
      <w:r w:rsidRPr="0029300F">
        <w:rPr>
          <w:rFonts w:eastAsiaTheme="minorEastAsia"/>
          <w:i/>
          <w:iCs/>
          <w:szCs w:val="24"/>
          <w:lang w:val="en-US"/>
        </w:rPr>
        <w:t>k</w:t>
      </w:r>
      <w:r w:rsidRPr="0029300F">
        <w:rPr>
          <w:rFonts w:eastAsiaTheme="minorEastAsia"/>
          <w:szCs w:val="24"/>
          <w:vertAlign w:val="subscript"/>
          <w:lang w:val="en-US"/>
        </w:rPr>
        <w:t>xy</w:t>
      </w:r>
      <w:r w:rsidRPr="0029300F">
        <w:rPr>
          <w:rFonts w:eastAsiaTheme="minorEastAsia"/>
          <w:szCs w:val="24"/>
          <w:lang w:val="en-US"/>
        </w:rPr>
        <w:t xml:space="preserve"> = 2.16 </w:t>
      </w:r>
      <w:r w:rsidRPr="0029300F">
        <w:rPr>
          <w:lang w:val="en-US"/>
        </w:rPr>
        <w:t>Wm</w:t>
      </w:r>
      <w:r w:rsidRPr="0029300F">
        <w:rPr>
          <w:vertAlign w:val="superscript"/>
          <w:lang w:val="en-US"/>
        </w:rPr>
        <w:t>-1</w:t>
      </w:r>
      <w:r w:rsidRPr="0029300F">
        <w:rPr>
          <w:lang w:val="en-US"/>
        </w:rPr>
        <w:t>K</w:t>
      </w:r>
      <w:r w:rsidRPr="0029300F">
        <w:rPr>
          <w:vertAlign w:val="superscript"/>
          <w:lang w:val="en-US"/>
        </w:rPr>
        <w:t>-1</w:t>
      </w:r>
      <w:r w:rsidRPr="0029300F">
        <w:rPr>
          <w:lang w:val="en-US"/>
        </w:rPr>
        <w:t xml:space="preserve"> and </w:t>
      </w:r>
      <w:r w:rsidRPr="0029300F">
        <w:rPr>
          <w:rFonts w:eastAsiaTheme="minorEastAsia"/>
          <w:i/>
          <w:iCs/>
          <w:szCs w:val="24"/>
          <w:lang w:val="en-US"/>
        </w:rPr>
        <w:t>k</w:t>
      </w:r>
      <w:r w:rsidRPr="0029300F">
        <w:rPr>
          <w:rFonts w:eastAsiaTheme="minorEastAsia"/>
          <w:szCs w:val="24"/>
          <w:vertAlign w:val="subscript"/>
          <w:lang w:val="en-US"/>
        </w:rPr>
        <w:t>z</w:t>
      </w:r>
      <w:r w:rsidRPr="0029300F">
        <w:rPr>
          <w:rFonts w:eastAsiaTheme="minorEastAsia"/>
          <w:szCs w:val="24"/>
          <w:lang w:val="en-US"/>
        </w:rPr>
        <w:t xml:space="preserve"> = 0.89 </w:t>
      </w:r>
      <w:r w:rsidRPr="0029300F">
        <w:rPr>
          <w:lang w:val="en-US"/>
        </w:rPr>
        <w:t>Wm</w:t>
      </w:r>
      <w:r w:rsidRPr="0029300F">
        <w:rPr>
          <w:vertAlign w:val="superscript"/>
          <w:lang w:val="en-US"/>
        </w:rPr>
        <w:t>-1</w:t>
      </w:r>
      <w:r w:rsidRPr="0029300F">
        <w:rPr>
          <w:lang w:val="en-US"/>
        </w:rPr>
        <w:t>K</w:t>
      </w:r>
      <w:r w:rsidRPr="0029300F">
        <w:rPr>
          <w:vertAlign w:val="superscript"/>
          <w:lang w:val="en-US"/>
        </w:rPr>
        <w:t>-1</w:t>
      </w:r>
      <w:r w:rsidRPr="0029300F">
        <w:rPr>
          <w:lang w:val="en-US"/>
        </w:rPr>
        <w:t>, respectively, with an uncertainty of approximately 10%. These values are lower compared to the literature ones</w:t>
      </w:r>
      <w:r w:rsidRPr="005A7543">
        <w:rPr>
          <w:noProof/>
          <w:vertAlign w:val="superscript"/>
          <w:lang w:val="en-US"/>
        </w:rPr>
        <w:t xml:space="preserve"> [41-42]</w:t>
      </w:r>
      <w:r w:rsidRPr="0029300F">
        <w:rPr>
          <w:lang w:val="en-US"/>
        </w:rPr>
        <w:t xml:space="preserve"> for bulk crystals of </w:t>
      </w:r>
      <w:r w:rsidRPr="0029300F">
        <w:rPr>
          <w:i/>
          <w:iCs/>
          <w:lang w:val="en-US"/>
        </w:rPr>
        <w:t>k</w:t>
      </w:r>
      <w:r w:rsidRPr="0029300F">
        <w:rPr>
          <w:vertAlign w:val="subscript"/>
          <w:lang w:val="en-US"/>
        </w:rPr>
        <w:t>xy</w:t>
      </w:r>
      <w:r w:rsidRPr="0029300F">
        <w:rPr>
          <w:lang w:val="en-US"/>
        </w:rPr>
        <w:t xml:space="preserve"> = 10.42 Wm</w:t>
      </w:r>
      <w:r w:rsidRPr="0029300F">
        <w:rPr>
          <w:vertAlign w:val="superscript"/>
          <w:lang w:val="en-US"/>
        </w:rPr>
        <w:t>-1</w:t>
      </w:r>
      <w:r w:rsidRPr="0029300F">
        <w:rPr>
          <w:lang w:val="en-US"/>
        </w:rPr>
        <w:t>K</w:t>
      </w:r>
      <w:r w:rsidRPr="0029300F">
        <w:rPr>
          <w:vertAlign w:val="superscript"/>
          <w:lang w:val="en-US"/>
        </w:rPr>
        <w:t>-1</w:t>
      </w:r>
      <w:r w:rsidRPr="0029300F">
        <w:rPr>
          <w:lang w:val="en-US"/>
        </w:rPr>
        <w:t xml:space="preserve"> and </w:t>
      </w:r>
      <w:r w:rsidRPr="0029300F">
        <w:rPr>
          <w:i/>
          <w:iCs/>
          <w:lang w:val="en-US"/>
        </w:rPr>
        <w:t>k</w:t>
      </w:r>
      <w:r w:rsidRPr="0029300F">
        <w:rPr>
          <w:vertAlign w:val="subscript"/>
          <w:lang w:val="en-US"/>
        </w:rPr>
        <w:t>z</w:t>
      </w:r>
      <w:r w:rsidRPr="0029300F">
        <w:rPr>
          <w:lang w:val="en-US"/>
        </w:rPr>
        <w:t xml:space="preserve"> = 1.74 Wm</w:t>
      </w:r>
      <w:r w:rsidRPr="0029300F">
        <w:rPr>
          <w:vertAlign w:val="superscript"/>
          <w:lang w:val="en-US"/>
        </w:rPr>
        <w:t>-1</w:t>
      </w:r>
      <w:r w:rsidRPr="0029300F">
        <w:rPr>
          <w:lang w:val="en-US"/>
        </w:rPr>
        <w:t>K</w:t>
      </w:r>
      <w:r w:rsidRPr="0029300F">
        <w:rPr>
          <w:vertAlign w:val="superscript"/>
          <w:lang w:val="en-US"/>
        </w:rPr>
        <w:t>-1</w:t>
      </w:r>
      <w:r w:rsidRPr="0029300F">
        <w:rPr>
          <w:lang w:val="en-US"/>
        </w:rPr>
        <w:t>, possibly due to the effect of the boundaries that may impede phonon transport in the nanoscale flake. As the thermal transport in 2D materials is dominated by phonons, stiffer in-plane covalent bonds result in a higher phonon group velocity and, hence, higher in-plane thermal conductivity compared to the weaker vdW bonds present in the cross-plane direction.</w:t>
      </w:r>
      <w:r w:rsidRPr="005A7543">
        <w:rPr>
          <w:noProof/>
          <w:vertAlign w:val="superscript"/>
          <w:lang w:val="en-US"/>
        </w:rPr>
        <w:t xml:space="preserve"> [79]</w:t>
      </w:r>
      <w:r w:rsidRPr="0029300F">
        <w:rPr>
          <w:lang w:val="en-US"/>
        </w:rPr>
        <w:t xml:space="preserve"> The average thermal conductivity (</w:t>
      </w:r>
      <w:r w:rsidRPr="0029300F">
        <w:rPr>
          <w:i/>
          <w:iCs/>
          <w:lang w:val="en-US"/>
        </w:rPr>
        <w:t>k</w:t>
      </w:r>
      <w:r w:rsidRPr="0029300F">
        <w:rPr>
          <w:vertAlign w:val="subscript"/>
          <w:lang w:val="en-US"/>
        </w:rPr>
        <w:t>a</w:t>
      </w:r>
      <w:r w:rsidRPr="0029300F">
        <w:rPr>
          <w:lang w:val="en-US"/>
        </w:rPr>
        <w:t xml:space="preserve"> = 1.39 Wm</w:t>
      </w:r>
      <w:r w:rsidRPr="0029300F">
        <w:rPr>
          <w:vertAlign w:val="superscript"/>
          <w:lang w:val="en-US"/>
        </w:rPr>
        <w:t>-1</w:t>
      </w:r>
      <w:r w:rsidRPr="0029300F">
        <w:rPr>
          <w:lang w:val="en-US"/>
        </w:rPr>
        <w:t>K</w:t>
      </w:r>
      <w:r w:rsidRPr="0029300F">
        <w:rPr>
          <w:vertAlign w:val="superscript"/>
          <w:lang w:val="en-US"/>
        </w:rPr>
        <w:t>-1</w:t>
      </w:r>
      <w:r w:rsidRPr="0029300F">
        <w:rPr>
          <w:lang w:val="en-US"/>
        </w:rPr>
        <w:t>) is similar to that of SiO</w:t>
      </w:r>
      <w:r w:rsidRPr="0029300F">
        <w:rPr>
          <w:vertAlign w:val="subscript"/>
          <w:lang w:val="en-US"/>
        </w:rPr>
        <w:t>2</w:t>
      </w:r>
      <w:r w:rsidRPr="0029300F">
        <w:rPr>
          <w:lang w:val="en-US"/>
        </w:rPr>
        <w:t xml:space="preserve">, being consistent with the qualitative thermal maps in </w:t>
      </w:r>
      <w:r w:rsidRPr="0029300F">
        <w:rPr>
          <w:lang w:val="en-US"/>
        </w:rPr>
        <w:fldChar w:fldCharType="begin"/>
      </w:r>
      <w:r w:rsidRPr="0029300F">
        <w:rPr>
          <w:lang w:val="en-US"/>
        </w:rPr>
        <w:instrText xml:space="preserve"> REF _Ref94359903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3</w:t>
      </w:r>
      <w:r w:rsidRPr="0029300F">
        <w:rPr>
          <w:lang w:val="en-US"/>
        </w:rPr>
        <w:fldChar w:fldCharType="end"/>
      </w:r>
      <w:r w:rsidRPr="0029300F">
        <w:rPr>
          <w:lang w:val="en-US"/>
        </w:rPr>
        <w:t>. It is interesting to note that the fitted interfacial thermal resistivity between the γ-InSe and the Si layers (</w:t>
      </w:r>
      <w:r w:rsidRPr="0029300F">
        <w:rPr>
          <w:i/>
          <w:iCs/>
          <w:lang w:val="en-US"/>
        </w:rPr>
        <w:t>r</w:t>
      </w:r>
      <w:r w:rsidRPr="0029300F">
        <w:rPr>
          <w:vertAlign w:val="subscript"/>
          <w:lang w:val="en-US"/>
        </w:rPr>
        <w:t>int</w:t>
      </w:r>
      <w:r w:rsidRPr="0029300F">
        <w:rPr>
          <w:lang w:val="en-US"/>
        </w:rPr>
        <w:t xml:space="preserve"> = 9.60</w:t>
      </w:r>
      <w:r w:rsidRPr="0029300F">
        <w:rPr>
          <w:rFonts w:cs="Times New Roman"/>
          <w:lang w:val="en-US"/>
        </w:rPr>
        <w:t>×10</w:t>
      </w:r>
      <w:r w:rsidRPr="0029300F">
        <w:rPr>
          <w:rFonts w:cs="Times New Roman"/>
          <w:vertAlign w:val="superscript"/>
          <w:lang w:val="en-US"/>
        </w:rPr>
        <w:t>-11</w:t>
      </w:r>
      <w:r w:rsidRPr="0029300F">
        <w:rPr>
          <w:rFonts w:cs="Times New Roman"/>
          <w:lang w:val="en-US"/>
        </w:rPr>
        <w:t xml:space="preserve"> </w:t>
      </w:r>
      <w:r w:rsidRPr="0029300F">
        <w:rPr>
          <w:lang w:val="en-US"/>
        </w:rPr>
        <w:t>Km</w:t>
      </w:r>
      <w:r w:rsidRPr="0029300F">
        <w:rPr>
          <w:vertAlign w:val="superscript"/>
          <w:lang w:val="en-US"/>
        </w:rPr>
        <w:t>2</w:t>
      </w:r>
      <w:r w:rsidRPr="0029300F">
        <w:rPr>
          <w:lang w:val="en-US"/>
        </w:rPr>
        <w:t>W</w:t>
      </w:r>
      <w:r w:rsidRPr="0029300F">
        <w:rPr>
          <w:vertAlign w:val="superscript"/>
          <w:lang w:val="en-US"/>
        </w:rPr>
        <w:t>-1</w:t>
      </w:r>
      <w:r w:rsidRPr="0029300F">
        <w:rPr>
          <w:lang w:val="en-US"/>
        </w:rPr>
        <w:t xml:space="preserve">) is small, suggesting a good thermal contact with the underlying substrate. At the same time, we note that the xSThM thermal conductance is generally not sensitive to thermal resistivities below </w:t>
      </w:r>
      <w:r w:rsidRPr="0029300F">
        <w:rPr>
          <w:rFonts w:cs="Times New Roman"/>
          <w:lang w:val="en-US"/>
        </w:rPr>
        <w:t>10</w:t>
      </w:r>
      <w:r w:rsidRPr="0029300F">
        <w:rPr>
          <w:rFonts w:cs="Times New Roman"/>
          <w:vertAlign w:val="superscript"/>
          <w:lang w:val="en-US"/>
        </w:rPr>
        <w:t>-10</w:t>
      </w:r>
      <w:r w:rsidRPr="0029300F">
        <w:rPr>
          <w:rFonts w:cs="Times New Roman"/>
          <w:lang w:val="en-US"/>
        </w:rPr>
        <w:t xml:space="preserve"> </w:t>
      </w:r>
      <w:r w:rsidRPr="0029300F">
        <w:rPr>
          <w:lang w:val="en-US"/>
        </w:rPr>
        <w:t>Km</w:t>
      </w:r>
      <w:r w:rsidRPr="0029300F">
        <w:rPr>
          <w:vertAlign w:val="superscript"/>
          <w:lang w:val="en-US"/>
        </w:rPr>
        <w:t>2</w:t>
      </w:r>
      <w:r w:rsidRPr="0029300F">
        <w:rPr>
          <w:lang w:val="en-US"/>
        </w:rPr>
        <w:t>W</w:t>
      </w:r>
      <w:r w:rsidRPr="0029300F">
        <w:rPr>
          <w:vertAlign w:val="superscript"/>
          <w:lang w:val="en-US"/>
        </w:rPr>
        <w:t>-1</w:t>
      </w:r>
      <w:r w:rsidRPr="0029300F">
        <w:rPr>
          <w:lang w:val="en-US"/>
        </w:rPr>
        <w:t xml:space="preserve">, which can be regarded as an upper boundary of thermal resistivity in this case. This low </w:t>
      </w:r>
      <w:r w:rsidRPr="0029300F">
        <w:rPr>
          <w:i/>
          <w:iCs/>
          <w:lang w:val="en-US"/>
        </w:rPr>
        <w:t>r</w:t>
      </w:r>
      <w:r w:rsidRPr="0029300F">
        <w:rPr>
          <w:vertAlign w:val="subscript"/>
          <w:lang w:val="en-US"/>
        </w:rPr>
        <w:t>int</w:t>
      </w:r>
      <w:r w:rsidRPr="0029300F">
        <w:rPr>
          <w:lang w:val="en-US"/>
        </w:rPr>
        <w:t xml:space="preserve"> value may have been achieved due to the plasma etching (see </w:t>
      </w:r>
      <w:r w:rsidRPr="0029300F">
        <w:rPr>
          <w:lang w:val="en-US"/>
        </w:rPr>
        <w:fldChar w:fldCharType="begin"/>
      </w:r>
      <w:r w:rsidRPr="0029300F">
        <w:rPr>
          <w:lang w:val="en-US"/>
        </w:rPr>
        <w:instrText xml:space="preserve"> REF _Ref121611013 \h </w:instrText>
      </w:r>
      <w:r>
        <w:rPr>
          <w:lang w:val="en-US"/>
        </w:rPr>
        <w:instrText xml:space="preserve"> \* MERGEFORMAT </w:instrText>
      </w:r>
      <w:r w:rsidRPr="0029300F">
        <w:rPr>
          <w:lang w:val="en-US"/>
        </w:rPr>
      </w:r>
      <w:r w:rsidRPr="0029300F">
        <w:rPr>
          <w:lang w:val="en-US"/>
        </w:rPr>
        <w:fldChar w:fldCharType="separate"/>
      </w:r>
      <w:r w:rsidRPr="0029300F">
        <w:rPr>
          <w:lang w:val="en-US"/>
        </w:rPr>
        <w:t>Experimental Section</w:t>
      </w:r>
      <w:r w:rsidRPr="0029300F">
        <w:rPr>
          <w:lang w:val="en-US"/>
        </w:rPr>
        <w:fldChar w:fldCharType="end"/>
      </w:r>
      <w:r w:rsidRPr="0029300F">
        <w:rPr>
          <w:lang w:val="en-US"/>
        </w:rPr>
        <w:t>), which improved adhesion between the γ-InSe and the Si and removed the majority of the intrinsic thin (</w:t>
      </w:r>
      <w:r w:rsidRPr="0029300F">
        <w:rPr>
          <w:rFonts w:cs="Times New Roman"/>
          <w:lang w:val="en-US"/>
        </w:rPr>
        <w:t>~</w:t>
      </w:r>
      <w:r w:rsidRPr="0029300F">
        <w:rPr>
          <w:lang w:val="en-US"/>
        </w:rPr>
        <w:t xml:space="preserve">2-4 </w:t>
      </w:r>
      <w:r w:rsidRPr="0029300F">
        <w:rPr>
          <w:rFonts w:asciiTheme="minorBidi" w:hAnsiTheme="minorBidi"/>
          <w:lang w:val="en-US"/>
        </w:rPr>
        <w:t>Å</w:t>
      </w:r>
      <w:r w:rsidRPr="0029300F">
        <w:rPr>
          <w:lang w:val="en-US"/>
        </w:rPr>
        <w:t xml:space="preserve">) native oxide layer on the substrate. </w:t>
      </w:r>
      <w:bookmarkStart w:id="45" w:name="_Hlk109402498"/>
      <w:r w:rsidRPr="0029300F">
        <w:rPr>
          <w:lang w:val="en-US"/>
        </w:rPr>
        <w:t xml:space="preserve">Furthermore, several fittings were performed with different </w:t>
      </w:r>
      <w:r w:rsidRPr="0029300F">
        <w:rPr>
          <w:i/>
          <w:iCs/>
          <w:lang w:val="en-US"/>
        </w:rPr>
        <w:t>r</w:t>
      </w:r>
      <w:r w:rsidRPr="0029300F">
        <w:rPr>
          <w:vertAlign w:val="subscript"/>
          <w:lang w:val="en-US"/>
        </w:rPr>
        <w:t>int</w:t>
      </w:r>
      <w:r w:rsidRPr="0029300F">
        <w:rPr>
          <w:lang w:val="en-US"/>
        </w:rPr>
        <w:t xml:space="preserve"> values. These led to very similar thermal conductivities of </w:t>
      </w:r>
      <w:r w:rsidRPr="0029300F">
        <w:rPr>
          <w:rFonts w:eastAsiaTheme="minorEastAsia"/>
          <w:szCs w:val="24"/>
          <w:lang w:val="en-US"/>
        </w:rPr>
        <w:t>γ-InSe</w:t>
      </w:r>
      <w:r w:rsidRPr="0029300F">
        <w:rPr>
          <w:lang w:val="en-US"/>
        </w:rPr>
        <w:t xml:space="preserve">, suggesting that this parameter is not critical in the determination of </w:t>
      </w:r>
      <w:r w:rsidRPr="0029300F">
        <w:rPr>
          <w:rFonts w:eastAsiaTheme="minorEastAsia"/>
          <w:i/>
          <w:iCs/>
          <w:szCs w:val="24"/>
          <w:lang w:val="en-US"/>
        </w:rPr>
        <w:t>k</w:t>
      </w:r>
      <w:r w:rsidRPr="0029300F">
        <w:rPr>
          <w:rFonts w:eastAsiaTheme="minorEastAsia"/>
          <w:szCs w:val="24"/>
          <w:vertAlign w:val="subscript"/>
          <w:lang w:val="en-US"/>
        </w:rPr>
        <w:t>xy</w:t>
      </w:r>
      <w:r w:rsidRPr="0029300F">
        <w:rPr>
          <w:rFonts w:eastAsiaTheme="minorEastAsia"/>
          <w:szCs w:val="24"/>
          <w:lang w:val="en-US"/>
        </w:rPr>
        <w:t xml:space="preserve"> </w:t>
      </w:r>
      <w:r w:rsidRPr="0029300F">
        <w:rPr>
          <w:lang w:val="en-US"/>
        </w:rPr>
        <w:t xml:space="preserve">and </w:t>
      </w:r>
      <w:r w:rsidRPr="0029300F">
        <w:rPr>
          <w:rFonts w:eastAsiaTheme="minorEastAsia"/>
          <w:i/>
          <w:iCs/>
          <w:szCs w:val="24"/>
          <w:lang w:val="en-US"/>
        </w:rPr>
        <w:t>k</w:t>
      </w:r>
      <w:r w:rsidRPr="0029300F">
        <w:rPr>
          <w:rFonts w:eastAsiaTheme="minorEastAsia"/>
          <w:szCs w:val="24"/>
          <w:vertAlign w:val="subscript"/>
          <w:lang w:val="en-US"/>
        </w:rPr>
        <w:t>z</w:t>
      </w:r>
      <w:r w:rsidRPr="0029300F">
        <w:rPr>
          <w:lang w:val="en-US"/>
        </w:rPr>
        <w:t>.</w:t>
      </w:r>
      <w:bookmarkEnd w:id="45"/>
      <w:r w:rsidRPr="0029300F">
        <w:rPr>
          <w:lang w:val="en-US"/>
        </w:rPr>
        <w:t xml:space="preserve"> </w:t>
      </w:r>
      <w:bookmarkStart w:id="46" w:name="_Hlk128590591"/>
      <w:r w:rsidRPr="0029300F">
        <w:rPr>
          <w:lang w:val="en-US"/>
        </w:rPr>
        <w:t>More precisely, thermal conductivity has two components, the electronic (</w:t>
      </w:r>
      <w:r w:rsidRPr="0029300F">
        <w:rPr>
          <w:i/>
          <w:iCs/>
          <w:lang w:val="en-US"/>
        </w:rPr>
        <w:t>k</w:t>
      </w:r>
      <w:r w:rsidRPr="0029300F">
        <w:rPr>
          <w:vertAlign w:val="subscript"/>
          <w:lang w:val="en-US"/>
        </w:rPr>
        <w:t>e</w:t>
      </w:r>
      <w:r w:rsidRPr="0029300F">
        <w:rPr>
          <w:lang w:val="en-US"/>
        </w:rPr>
        <w:t>) and phononic (</w:t>
      </w:r>
      <w:r w:rsidRPr="0029300F">
        <w:rPr>
          <w:i/>
          <w:iCs/>
          <w:lang w:val="en-US"/>
        </w:rPr>
        <w:t>k</w:t>
      </w:r>
      <w:r w:rsidRPr="0029300F">
        <w:rPr>
          <w:vertAlign w:val="subscript"/>
          <w:lang w:val="en-US"/>
        </w:rPr>
        <w:t>p</w:t>
      </w:r>
      <w:r w:rsidRPr="0029300F">
        <w:rPr>
          <w:lang w:val="en-US"/>
        </w:rPr>
        <w:t xml:space="preserve">) components. Due to the low density of electrons in nominally undoped InSe (carrier density </w:t>
      </w:r>
      <w:r w:rsidRPr="0029300F">
        <w:rPr>
          <w:i/>
          <w:iCs/>
          <w:lang w:val="en-US"/>
        </w:rPr>
        <w:t>n</w:t>
      </w:r>
      <w:r w:rsidRPr="0029300F">
        <w:rPr>
          <w:lang w:val="en-US"/>
        </w:rPr>
        <w:t xml:space="preserve"> ~ 10</w:t>
      </w:r>
      <w:r w:rsidRPr="0029300F">
        <w:rPr>
          <w:vertAlign w:val="superscript"/>
          <w:lang w:val="en-US"/>
        </w:rPr>
        <w:t>15</w:t>
      </w:r>
      <w:r w:rsidRPr="0029300F">
        <w:rPr>
          <w:lang w:val="en-US"/>
        </w:rPr>
        <w:t xml:space="preserve"> cm</w:t>
      </w:r>
      <w:r w:rsidRPr="0029300F">
        <w:rPr>
          <w:vertAlign w:val="superscript"/>
          <w:lang w:val="en-US"/>
        </w:rPr>
        <w:t>–3</w:t>
      </w:r>
      <w:r w:rsidRPr="0029300F">
        <w:rPr>
          <w:lang w:val="en-US"/>
        </w:rPr>
        <w:t>),</w:t>
      </w:r>
      <w:r w:rsidRPr="005A7543">
        <w:rPr>
          <w:noProof/>
          <w:vertAlign w:val="superscript"/>
          <w:lang w:val="en-US"/>
        </w:rPr>
        <w:t xml:space="preserve"> [80]</w:t>
      </w:r>
      <w:r w:rsidRPr="0029300F">
        <w:rPr>
          <w:lang w:val="en-US"/>
        </w:rPr>
        <w:t xml:space="preserve"> phonons tend to dominate the thermal conduction. Additionally, the current implementation of the SThM is mostly sensitive to phononic thermal conductivity.</w:t>
      </w:r>
      <w:r w:rsidRPr="005A7543">
        <w:rPr>
          <w:noProof/>
          <w:vertAlign w:val="superscript"/>
          <w:lang w:val="en-US"/>
        </w:rPr>
        <w:t xml:space="preserve"> [52]</w:t>
      </w:r>
      <w:r w:rsidRPr="0029300F">
        <w:rPr>
          <w:lang w:val="en-US"/>
        </w:rPr>
        <w:t xml:space="preserve"> Using Wiedemann–Franz law, we estimate the electronic component </w:t>
      </w:r>
      <w:r w:rsidRPr="0029300F">
        <w:rPr>
          <w:i/>
          <w:iCs/>
          <w:lang w:val="en-US"/>
        </w:rPr>
        <w:t>k</w:t>
      </w:r>
      <w:r w:rsidRPr="0029300F">
        <w:rPr>
          <w:vertAlign w:val="subscript"/>
          <w:lang w:val="en-US"/>
        </w:rPr>
        <w:t>e</w:t>
      </w:r>
      <w:r w:rsidRPr="0029300F">
        <w:rPr>
          <w:lang w:val="en-US"/>
        </w:rPr>
        <w:t xml:space="preserve"> = </w:t>
      </w:r>
      <w:r w:rsidRPr="0029300F">
        <w:rPr>
          <w:i/>
          <w:iCs/>
          <w:lang w:val="en-US"/>
        </w:rPr>
        <w:t>σLT</w:t>
      </w:r>
      <w:r w:rsidRPr="0029300F">
        <w:rPr>
          <w:lang w:val="en-US"/>
        </w:rPr>
        <w:t xml:space="preserve">, where </w:t>
      </w:r>
      <w:r w:rsidRPr="0029300F">
        <w:rPr>
          <w:i/>
          <w:iCs/>
          <w:lang w:val="en-US"/>
        </w:rPr>
        <w:t>L</w:t>
      </w:r>
      <w:r w:rsidRPr="0029300F">
        <w:rPr>
          <w:lang w:val="en-US"/>
        </w:rPr>
        <w:t xml:space="preserve"> is the Lorenz number (2.44×10</w:t>
      </w:r>
      <w:r w:rsidRPr="0029300F">
        <w:rPr>
          <w:vertAlign w:val="superscript"/>
          <w:lang w:val="en-US"/>
        </w:rPr>
        <w:t>-8</w:t>
      </w:r>
      <w:r w:rsidRPr="0029300F">
        <w:rPr>
          <w:lang w:val="en-US"/>
        </w:rPr>
        <w:t xml:space="preserve"> V</w:t>
      </w:r>
      <w:r w:rsidRPr="0029300F">
        <w:rPr>
          <w:vertAlign w:val="superscript"/>
          <w:lang w:val="en-US"/>
        </w:rPr>
        <w:t>2</w:t>
      </w:r>
      <w:r w:rsidRPr="0029300F">
        <w:rPr>
          <w:lang w:val="en-US"/>
        </w:rPr>
        <w:t>K</w:t>
      </w:r>
      <w:r w:rsidRPr="0029300F">
        <w:rPr>
          <w:vertAlign w:val="superscript"/>
          <w:lang w:val="en-US"/>
        </w:rPr>
        <w:t>-2</w:t>
      </w:r>
      <w:r w:rsidRPr="0029300F">
        <w:rPr>
          <w:lang w:val="en-US"/>
        </w:rPr>
        <w:t xml:space="preserve">), </w:t>
      </w:r>
      <w:r w:rsidRPr="0029300F">
        <w:rPr>
          <w:i/>
          <w:iCs/>
          <w:lang w:val="en-US"/>
        </w:rPr>
        <w:t>σ</w:t>
      </w:r>
      <w:r w:rsidRPr="0029300F">
        <w:rPr>
          <w:lang w:val="en-US"/>
        </w:rPr>
        <w:t xml:space="preserve"> is the material’s electrical conductivity and </w:t>
      </w:r>
      <w:r w:rsidRPr="0029300F">
        <w:rPr>
          <w:i/>
          <w:iCs/>
          <w:lang w:val="en-US"/>
        </w:rPr>
        <w:t>T</w:t>
      </w:r>
      <w:r w:rsidRPr="0029300F">
        <w:rPr>
          <w:lang w:val="en-US"/>
        </w:rPr>
        <w:t xml:space="preserve"> is the temperature. Here, we have used an electron mobility of </w:t>
      </w:r>
      <w:r w:rsidRPr="0029300F">
        <w:rPr>
          <w:i/>
          <w:iCs/>
          <w:lang w:val="en-US"/>
        </w:rPr>
        <w:t>μ</w:t>
      </w:r>
      <w:r w:rsidRPr="0029300F">
        <w:rPr>
          <w:lang w:val="en-US"/>
        </w:rPr>
        <w:t xml:space="preserve"> = 0.1 m</w:t>
      </w:r>
      <w:r w:rsidRPr="0029300F">
        <w:rPr>
          <w:vertAlign w:val="superscript"/>
          <w:lang w:val="en-US"/>
        </w:rPr>
        <w:t>2</w:t>
      </w:r>
      <w:r w:rsidRPr="0029300F">
        <w:rPr>
          <w:lang w:val="en-US"/>
        </w:rPr>
        <w:t>V</w:t>
      </w:r>
      <w:r w:rsidRPr="0029300F">
        <w:rPr>
          <w:vertAlign w:val="superscript"/>
          <w:lang w:val="en-US"/>
        </w:rPr>
        <w:t>-1</w:t>
      </w:r>
      <w:r w:rsidRPr="0029300F">
        <w:rPr>
          <w:lang w:val="en-US"/>
        </w:rPr>
        <w:t>s</w:t>
      </w:r>
      <w:r w:rsidRPr="0029300F">
        <w:rPr>
          <w:vertAlign w:val="superscript"/>
          <w:lang w:val="en-US"/>
        </w:rPr>
        <w:t>-1</w:t>
      </w:r>
      <w:r w:rsidRPr="0029300F">
        <w:rPr>
          <w:lang w:val="en-US"/>
        </w:rPr>
        <w:t xml:space="preserve"> and </w:t>
      </w:r>
      <w:r w:rsidRPr="0029300F">
        <w:rPr>
          <w:i/>
          <w:iCs/>
          <w:lang w:val="en-US"/>
        </w:rPr>
        <w:t>n</w:t>
      </w:r>
      <w:r w:rsidRPr="0029300F">
        <w:rPr>
          <w:lang w:val="en-US"/>
        </w:rPr>
        <w:t xml:space="preserve"> = 10</w:t>
      </w:r>
      <w:r w:rsidRPr="0029300F">
        <w:rPr>
          <w:vertAlign w:val="superscript"/>
          <w:lang w:val="en-US"/>
        </w:rPr>
        <w:t>15</w:t>
      </w:r>
      <w:r w:rsidRPr="0029300F">
        <w:rPr>
          <w:lang w:val="en-US"/>
        </w:rPr>
        <w:t xml:space="preserve"> cm</w:t>
      </w:r>
      <w:r w:rsidRPr="0029300F">
        <w:rPr>
          <w:vertAlign w:val="superscript"/>
          <w:lang w:val="en-US"/>
        </w:rPr>
        <w:t>–3</w:t>
      </w:r>
      <w:r w:rsidRPr="0029300F">
        <w:rPr>
          <w:lang w:val="en-US"/>
        </w:rPr>
        <w:t xml:space="preserve"> to calculate the electrical conductivity as </w:t>
      </w:r>
      <w:r w:rsidRPr="0029300F">
        <w:rPr>
          <w:i/>
          <w:iCs/>
          <w:lang w:val="en-US"/>
        </w:rPr>
        <w:t>σ</w:t>
      </w:r>
      <w:r w:rsidRPr="0029300F">
        <w:rPr>
          <w:lang w:val="en-US"/>
        </w:rPr>
        <w:t xml:space="preserve"> = </w:t>
      </w:r>
      <w:r w:rsidRPr="0029300F">
        <w:rPr>
          <w:i/>
          <w:iCs/>
          <w:lang w:val="en-US"/>
        </w:rPr>
        <w:t>neμ</w:t>
      </w:r>
      <w:r w:rsidRPr="0029300F">
        <w:rPr>
          <w:lang w:val="en-US"/>
        </w:rPr>
        <w:t xml:space="preserve">, where </w:t>
      </w:r>
      <w:r w:rsidRPr="0029300F">
        <w:rPr>
          <w:i/>
          <w:iCs/>
          <w:lang w:val="en-US"/>
        </w:rPr>
        <w:t>e</w:t>
      </w:r>
      <w:r w:rsidRPr="0029300F">
        <w:rPr>
          <w:lang w:val="en-US"/>
        </w:rPr>
        <w:t xml:space="preserve"> is the carrier’s charge value (1.60×10</w:t>
      </w:r>
      <w:r w:rsidRPr="0029300F">
        <w:rPr>
          <w:vertAlign w:val="superscript"/>
          <w:lang w:val="en-US"/>
        </w:rPr>
        <w:t>-19</w:t>
      </w:r>
      <w:r w:rsidRPr="0029300F">
        <w:rPr>
          <w:lang w:val="en-US"/>
        </w:rPr>
        <w:t xml:space="preserve"> C), resulting in </w:t>
      </w:r>
      <w:r w:rsidRPr="0029300F">
        <w:rPr>
          <w:i/>
          <w:iCs/>
          <w:lang w:val="en-US"/>
        </w:rPr>
        <w:t>σ</w:t>
      </w:r>
      <w:r w:rsidRPr="0029300F">
        <w:rPr>
          <w:lang w:val="en-US"/>
        </w:rPr>
        <w:t xml:space="preserve"> = 16.02 Sm</w:t>
      </w:r>
      <w:r w:rsidRPr="0029300F">
        <w:rPr>
          <w:vertAlign w:val="superscript"/>
          <w:lang w:val="en-US"/>
        </w:rPr>
        <w:t>-1</w:t>
      </w:r>
      <w:r w:rsidRPr="0029300F">
        <w:rPr>
          <w:lang w:val="en-US"/>
        </w:rPr>
        <w:t>.</w:t>
      </w:r>
      <w:r w:rsidRPr="005A7543">
        <w:rPr>
          <w:noProof/>
          <w:vertAlign w:val="superscript"/>
          <w:lang w:val="en-US"/>
        </w:rPr>
        <w:t xml:space="preserve"> [80]</w:t>
      </w:r>
      <w:r w:rsidRPr="0029300F">
        <w:rPr>
          <w:lang w:val="en-US"/>
        </w:rPr>
        <w:t xml:space="preserve"> At </w:t>
      </w:r>
      <w:r w:rsidRPr="0029300F">
        <w:rPr>
          <w:i/>
          <w:iCs/>
          <w:lang w:val="en-US"/>
        </w:rPr>
        <w:t>T</w:t>
      </w:r>
      <w:r w:rsidRPr="0029300F">
        <w:rPr>
          <w:lang w:val="en-US"/>
        </w:rPr>
        <w:t xml:space="preserve"> = 300 K, we estimate </w:t>
      </w:r>
      <w:r w:rsidRPr="0029300F">
        <w:rPr>
          <w:i/>
          <w:iCs/>
          <w:lang w:val="en-US"/>
        </w:rPr>
        <w:t>k</w:t>
      </w:r>
      <w:r w:rsidRPr="0029300F">
        <w:rPr>
          <w:vertAlign w:val="subscript"/>
          <w:lang w:val="en-US"/>
        </w:rPr>
        <w:t>e</w:t>
      </w:r>
      <w:r w:rsidRPr="0029300F">
        <w:rPr>
          <w:lang w:val="en-US"/>
        </w:rPr>
        <w:t xml:space="preserve"> ~ 1×10</w:t>
      </w:r>
      <w:r w:rsidRPr="0029300F">
        <w:rPr>
          <w:vertAlign w:val="superscript"/>
          <w:lang w:val="en-US"/>
        </w:rPr>
        <w:t>-4</w:t>
      </w:r>
      <w:r w:rsidRPr="0029300F">
        <w:rPr>
          <w:lang w:val="en-US"/>
        </w:rPr>
        <w:t xml:space="preserve"> Wm</w:t>
      </w:r>
      <w:r w:rsidRPr="0029300F">
        <w:rPr>
          <w:vertAlign w:val="superscript"/>
          <w:lang w:val="en-US"/>
        </w:rPr>
        <w:t>-1</w:t>
      </w:r>
      <w:r w:rsidRPr="0029300F">
        <w:rPr>
          <w:lang w:val="en-US"/>
        </w:rPr>
        <w:t>K</w:t>
      </w:r>
      <w:r w:rsidRPr="0029300F">
        <w:rPr>
          <w:vertAlign w:val="superscript"/>
          <w:lang w:val="en-US"/>
        </w:rPr>
        <w:t>-1</w:t>
      </w:r>
      <w:r w:rsidRPr="0029300F">
        <w:rPr>
          <w:lang w:val="en-US"/>
        </w:rPr>
        <w:t>, which is much smaller than the measured thermal conductivity of InSe (&gt; 1 Wm</w:t>
      </w:r>
      <w:r w:rsidRPr="0029300F">
        <w:rPr>
          <w:vertAlign w:val="superscript"/>
          <w:lang w:val="en-US"/>
        </w:rPr>
        <w:t>-1</w:t>
      </w:r>
      <w:r w:rsidRPr="0029300F">
        <w:rPr>
          <w:lang w:val="en-US"/>
        </w:rPr>
        <w:t>K</w:t>
      </w:r>
      <w:r w:rsidRPr="0029300F">
        <w:rPr>
          <w:vertAlign w:val="superscript"/>
          <w:lang w:val="en-US"/>
        </w:rPr>
        <w:t>-1</w:t>
      </w:r>
      <w:r w:rsidRPr="0029300F">
        <w:rPr>
          <w:lang w:val="en-US"/>
        </w:rPr>
        <w:t>).</w:t>
      </w:r>
    </w:p>
    <w:p w14:paraId="4E3FA066" w14:textId="77777777" w:rsidR="00AA6917" w:rsidRPr="0029300F" w:rsidRDefault="00AA6917" w:rsidP="00A419D1">
      <w:pPr>
        <w:spacing w:before="160" w:after="0" w:line="360" w:lineRule="auto"/>
        <w:rPr>
          <w:lang w:val="en-US"/>
        </w:rPr>
      </w:pPr>
      <w:bookmarkStart w:id="47" w:name="_Hlk128576516"/>
      <w:bookmarkEnd w:id="46"/>
      <w:r w:rsidRPr="0029300F">
        <w:rPr>
          <w:lang w:val="en-US"/>
        </w:rPr>
        <w:t>The measurements of the anisotropic thermal conductivity of InSe are directly comparable with similar studies done on other layered materials like Sb</w:t>
      </w:r>
      <w:r w:rsidRPr="0029300F">
        <w:rPr>
          <w:vertAlign w:val="subscript"/>
          <w:lang w:val="en-US"/>
        </w:rPr>
        <w:t>2</w:t>
      </w:r>
      <w:r w:rsidRPr="0029300F">
        <w:rPr>
          <w:lang w:val="en-US"/>
        </w:rPr>
        <w:t>Te</w:t>
      </w:r>
      <w:r w:rsidRPr="0029300F">
        <w:rPr>
          <w:vertAlign w:val="subscript"/>
          <w:lang w:val="en-US"/>
        </w:rPr>
        <w:t>3</w:t>
      </w:r>
      <w:r w:rsidRPr="0029300F">
        <w:rPr>
          <w:lang w:val="en-US"/>
        </w:rPr>
        <w:t>/MoS</w:t>
      </w:r>
      <w:r w:rsidRPr="0029300F">
        <w:rPr>
          <w:vertAlign w:val="subscript"/>
          <w:lang w:val="en-US"/>
        </w:rPr>
        <w:t>2</w:t>
      </w:r>
      <w:r w:rsidRPr="0029300F">
        <w:rPr>
          <w:lang w:val="en-US"/>
        </w:rPr>
        <w:t xml:space="preserve"> superlattices</w:t>
      </w:r>
      <w:r w:rsidRPr="005A7543">
        <w:rPr>
          <w:noProof/>
          <w:vertAlign w:val="superscript"/>
          <w:lang w:val="en-US"/>
        </w:rPr>
        <w:t xml:space="preserve"> [67]</w:t>
      </w:r>
      <w:r w:rsidRPr="0029300F">
        <w:rPr>
          <w:lang w:val="en-US"/>
        </w:rPr>
        <w:t xml:space="preserve"> and perovskites.</w:t>
      </w:r>
      <w:r w:rsidRPr="005A7543">
        <w:rPr>
          <w:noProof/>
          <w:vertAlign w:val="superscript"/>
          <w:lang w:val="en-US"/>
        </w:rPr>
        <w:t xml:space="preserve"> [81]</w:t>
      </w:r>
      <w:r w:rsidRPr="0029300F">
        <w:rPr>
          <w:lang w:val="en-US"/>
        </w:rPr>
        <w:t xml:space="preserve"> These provided a similar range of heat parameters with a ratio of in-plane to cross-plane thermal conductivities ranging from 1.0 to 3.0, as well as other layered materials with a higher range of thermal conductivities such as a SiGe composition gradient alloy,</w:t>
      </w:r>
      <w:r w:rsidRPr="005A7543">
        <w:rPr>
          <w:noProof/>
          <w:vertAlign w:val="superscript"/>
          <w:lang w:val="en-US"/>
        </w:rPr>
        <w:t xml:space="preserve"> [49]</w:t>
      </w:r>
      <w:r w:rsidRPr="0029300F">
        <w:rPr>
          <w:lang w:val="en-US"/>
        </w:rPr>
        <w:t xml:space="preserve"> furtherly validating our approach.</w:t>
      </w:r>
      <w:bookmarkEnd w:id="47"/>
    </w:p>
    <w:p w14:paraId="4E3FA067" w14:textId="77777777" w:rsidR="00AA6917" w:rsidRPr="0029300F" w:rsidRDefault="00AA6917" w:rsidP="00A419D1">
      <w:pPr>
        <w:spacing w:before="160" w:after="0" w:line="360" w:lineRule="auto"/>
        <w:rPr>
          <w:lang w:val="en-US"/>
        </w:rPr>
      </w:pPr>
    </w:p>
    <w:p w14:paraId="4E3FA068" w14:textId="77777777" w:rsidR="00AA6917" w:rsidRPr="0029300F" w:rsidRDefault="00AA6917" w:rsidP="00A419D1">
      <w:pPr>
        <w:pStyle w:val="Heading2"/>
        <w:rPr>
          <w:lang w:val="en-US"/>
        </w:rPr>
      </w:pPr>
      <w:r w:rsidRPr="0029300F">
        <w:rPr>
          <w:lang w:val="en-US"/>
        </w:rPr>
        <w:t>Finite elements analysis</w:t>
      </w:r>
      <w:bookmarkEnd w:id="44"/>
      <w:r w:rsidRPr="0029300F">
        <w:rPr>
          <w:lang w:val="en-US"/>
        </w:rPr>
        <w:t xml:space="preserve"> of heat transport in the vdW structure</w:t>
      </w:r>
    </w:p>
    <w:p w14:paraId="4E3FA069" w14:textId="77777777" w:rsidR="00AA6917" w:rsidRPr="0029300F" w:rsidRDefault="00AA6917" w:rsidP="00A419D1">
      <w:pPr>
        <w:spacing w:after="0" w:line="360" w:lineRule="auto"/>
        <w:rPr>
          <w:lang w:val="en-US"/>
        </w:rPr>
      </w:pPr>
      <w:bookmarkStart w:id="48" w:name="_Hlk101374324"/>
      <w:r w:rsidRPr="0029300F">
        <w:rPr>
          <w:lang w:val="en-US"/>
        </w:rPr>
        <w:t xml:space="preserve">The analytical results of the “Muzychka-Spièce” measurements of the anisotropic heat transport in the vdW material were also validated using finite element analysis (FEA) simulations. We used COMSOL Multiphysics (see </w:t>
      </w:r>
      <w:r w:rsidRPr="0029300F">
        <w:rPr>
          <w:lang w:val="en-US"/>
        </w:rPr>
        <w:fldChar w:fldCharType="begin"/>
      </w:r>
      <w:r w:rsidRPr="0029300F">
        <w:rPr>
          <w:lang w:val="en-US"/>
        </w:rPr>
        <w:instrText xml:space="preserve"> REF _Ref121611013 \h </w:instrText>
      </w:r>
      <w:r>
        <w:rPr>
          <w:lang w:val="en-US"/>
        </w:rPr>
        <w:instrText xml:space="preserve"> \* MERGEFORMAT </w:instrText>
      </w:r>
      <w:r w:rsidRPr="0029300F">
        <w:rPr>
          <w:lang w:val="en-US"/>
        </w:rPr>
      </w:r>
      <w:r w:rsidRPr="0029300F">
        <w:rPr>
          <w:lang w:val="en-US"/>
        </w:rPr>
        <w:fldChar w:fldCharType="separate"/>
      </w:r>
      <w:r w:rsidRPr="0029300F">
        <w:rPr>
          <w:lang w:val="en-US"/>
        </w:rPr>
        <w:t>Experimental Section</w:t>
      </w:r>
      <w:r w:rsidRPr="0029300F">
        <w:rPr>
          <w:lang w:val="en-US"/>
        </w:rPr>
        <w:fldChar w:fldCharType="end"/>
      </w:r>
      <w:r w:rsidRPr="0029300F">
        <w:rPr>
          <w:lang w:val="en-US"/>
        </w:rPr>
        <w:t>) to simulate heat transport in the wedge-like as well as in the flat layer-on-substrate samples. We confirmed that the thermal resistances of the low-angle wedge sample (3-10º, typical for xSThM) for the values of the thermal conductivities expected for the isotropic SiO</w:t>
      </w:r>
      <w:r w:rsidRPr="0029300F">
        <w:rPr>
          <w:vertAlign w:val="subscript"/>
          <w:lang w:val="en-US"/>
        </w:rPr>
        <w:t>2</w:t>
      </w:r>
      <w:r w:rsidRPr="0029300F">
        <w:rPr>
          <w:lang w:val="en-US"/>
        </w:rPr>
        <w:t xml:space="preserve"> and the anisotropic γ-InSe deviate by less than 1% from the resistance values obtained for the flat layer on the substrate (see SI, section S8). The flat layer simulation (more computationally efficient) allowed us to explore a whole space of the layer-substrate interfacial thermal resistivity </w:t>
      </w:r>
      <w:r w:rsidRPr="0029300F">
        <w:rPr>
          <w:i/>
          <w:iCs/>
          <w:lang w:val="en-US"/>
        </w:rPr>
        <w:t>r</w:t>
      </w:r>
      <w:r w:rsidRPr="0029300F">
        <w:rPr>
          <w:vertAlign w:val="subscript"/>
          <w:lang w:val="en-US"/>
        </w:rPr>
        <w:t>int</w:t>
      </w:r>
      <w:r w:rsidRPr="0029300F">
        <w:rPr>
          <w:lang w:val="en-US"/>
        </w:rPr>
        <w:t xml:space="preserve">, tip-sample contact radius </w:t>
      </w:r>
      <w:r w:rsidRPr="0029300F">
        <w:rPr>
          <w:i/>
          <w:iCs/>
          <w:lang w:val="en-US"/>
        </w:rPr>
        <w:t>a,</w:t>
      </w:r>
      <w:r w:rsidRPr="0029300F">
        <w:rPr>
          <w:lang w:val="en-US"/>
        </w:rPr>
        <w:t xml:space="preserve"> and thermal conductivities of the layer (see SI, section S9). For the SiO</w:t>
      </w:r>
      <w:r w:rsidRPr="0029300F">
        <w:rPr>
          <w:vertAlign w:val="subscript"/>
          <w:lang w:val="en-US"/>
        </w:rPr>
        <w:t>2</w:t>
      </w:r>
      <w:r w:rsidRPr="0029300F">
        <w:rPr>
          <w:lang w:val="en-US"/>
        </w:rPr>
        <w:t xml:space="preserve"> layer, in </w:t>
      </w:r>
      <w:r w:rsidRPr="0029300F">
        <w:rPr>
          <w:b/>
          <w:bCs/>
          <w:lang w:val="en-US"/>
        </w:rPr>
        <w:fldChar w:fldCharType="begin"/>
      </w:r>
      <w:r w:rsidRPr="0029300F">
        <w:rPr>
          <w:b/>
          <w:bCs/>
          <w:lang w:val="en-US"/>
        </w:rPr>
        <w:instrText xml:space="preserve"> REF _Ref94044451 \h  \* MERGEFORMAT </w:instrText>
      </w:r>
      <w:r w:rsidRPr="0029300F">
        <w:rPr>
          <w:b/>
          <w:bCs/>
          <w:lang w:val="en-US"/>
        </w:rPr>
      </w:r>
      <w:r w:rsidRPr="0029300F">
        <w:rPr>
          <w:b/>
          <w:bCs/>
          <w:lang w:val="en-US"/>
        </w:rPr>
        <w:fldChar w:fldCharType="separate"/>
      </w:r>
      <w:r w:rsidRPr="0029300F">
        <w:rPr>
          <w:b/>
          <w:bCs/>
          <w:szCs w:val="24"/>
          <w:lang w:val="en-US"/>
        </w:rPr>
        <w:t xml:space="preserve">Figure </w:t>
      </w:r>
      <w:r w:rsidRPr="0029300F">
        <w:rPr>
          <w:b/>
          <w:bCs/>
          <w:noProof/>
          <w:szCs w:val="24"/>
          <w:lang w:val="en-US"/>
        </w:rPr>
        <w:t>5</w:t>
      </w:r>
      <w:r w:rsidRPr="0029300F">
        <w:rPr>
          <w:b/>
          <w:bCs/>
          <w:lang w:val="en-US"/>
        </w:rPr>
        <w:fldChar w:fldCharType="end"/>
      </w:r>
      <w:r w:rsidRPr="0029300F">
        <w:rPr>
          <w:lang w:val="en-US"/>
        </w:rPr>
        <w:t xml:space="preserve">a, the experimental </w:t>
      </w:r>
      <w:r w:rsidRPr="0029300F">
        <w:rPr>
          <w:i/>
          <w:iCs/>
          <w:lang w:val="en-US"/>
        </w:rPr>
        <w:t>R</w:t>
      </w:r>
      <w:r w:rsidRPr="0029300F">
        <w:rPr>
          <w:vertAlign w:val="subscript"/>
          <w:lang w:val="en-US"/>
        </w:rPr>
        <w:t>dif</w:t>
      </w:r>
      <w:r w:rsidRPr="0029300F">
        <w:rPr>
          <w:lang w:val="en-US"/>
        </w:rPr>
        <w:t xml:space="preserve"> curve was located between the simulated 20 and 30 nm contact radius curves, and by using linear interpolation a contact radius of 22 </w:t>
      </w:r>
      <w:r w:rsidRPr="0029300F">
        <w:rPr>
          <w:rFonts w:cs="Times New Roman"/>
          <w:lang w:val="en-US"/>
        </w:rPr>
        <w:t xml:space="preserve">± </w:t>
      </w:r>
      <w:r w:rsidRPr="0029300F">
        <w:rPr>
          <w:lang w:val="en-US"/>
        </w:rPr>
        <w:t>2</w:t>
      </w:r>
      <w:r w:rsidRPr="0029300F">
        <w:rPr>
          <w:rFonts w:eastAsiaTheme="minorEastAsia"/>
          <w:lang w:val="en-US"/>
        </w:rPr>
        <w:t xml:space="preserve"> nm was obtained, corresponding to exactly the data obtained using the analytical “Muzychka-Spièce” model. </w:t>
      </w:r>
      <w:bookmarkStart w:id="49" w:name="_Hlk109400627"/>
      <w:r w:rsidRPr="0029300F">
        <w:rPr>
          <w:rFonts w:eastAsiaTheme="minorEastAsia"/>
          <w:lang w:val="en-US"/>
        </w:rPr>
        <w:t xml:space="preserve">By studying the effect of the interfacial thermal resistivity </w:t>
      </w:r>
      <w:r w:rsidRPr="0029300F">
        <w:rPr>
          <w:i/>
          <w:iCs/>
          <w:lang w:val="en-US"/>
        </w:rPr>
        <w:t>r</w:t>
      </w:r>
      <w:r w:rsidRPr="0029300F">
        <w:rPr>
          <w:vertAlign w:val="subscript"/>
          <w:lang w:val="en-US"/>
        </w:rPr>
        <w:t>int</w:t>
      </w:r>
      <w:r w:rsidRPr="0029300F">
        <w:rPr>
          <w:lang w:val="en-US"/>
        </w:rPr>
        <w:t xml:space="preserve"> (</w:t>
      </w:r>
      <w:r w:rsidRPr="0029300F">
        <w:rPr>
          <w:lang w:val="en-US"/>
        </w:rPr>
        <w:fldChar w:fldCharType="begin"/>
      </w:r>
      <w:r w:rsidRPr="0029300F">
        <w:rPr>
          <w:lang w:val="en-US"/>
        </w:rPr>
        <w:instrText xml:space="preserve"> REF _Ref94044451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5</w:t>
      </w:r>
      <w:r w:rsidRPr="0029300F">
        <w:rPr>
          <w:lang w:val="en-US"/>
        </w:rPr>
        <w:fldChar w:fldCharType="end"/>
      </w:r>
      <w:r w:rsidRPr="0029300F">
        <w:rPr>
          <w:lang w:val="en-US"/>
        </w:rPr>
        <w:t xml:space="preserve">b) compared to the other parameters, we confirmed that the interfacial thermal resistivities on the order and below </w:t>
      </w:r>
      <w:r w:rsidRPr="0029300F">
        <w:rPr>
          <w:rFonts w:cs="Times New Roman"/>
          <w:lang w:val="en-US"/>
        </w:rPr>
        <w:t>10</w:t>
      </w:r>
      <w:r w:rsidRPr="0029300F">
        <w:rPr>
          <w:rFonts w:cs="Times New Roman"/>
          <w:vertAlign w:val="superscript"/>
          <w:lang w:val="en-US"/>
        </w:rPr>
        <w:t>-9</w:t>
      </w:r>
      <w:r w:rsidRPr="0029300F">
        <w:rPr>
          <w:rFonts w:cs="Times New Roman"/>
          <w:lang w:val="en-US"/>
        </w:rPr>
        <w:t xml:space="preserve"> </w:t>
      </w:r>
      <w:r w:rsidRPr="0029300F">
        <w:rPr>
          <w:lang w:val="en-US"/>
        </w:rPr>
        <w:t>Km</w:t>
      </w:r>
      <w:r w:rsidRPr="0029300F">
        <w:rPr>
          <w:vertAlign w:val="superscript"/>
          <w:lang w:val="en-US"/>
        </w:rPr>
        <w:t>2</w:t>
      </w:r>
      <w:r w:rsidRPr="0029300F">
        <w:rPr>
          <w:lang w:val="en-US"/>
        </w:rPr>
        <w:t>W</w:t>
      </w:r>
      <w:r w:rsidRPr="0029300F">
        <w:rPr>
          <w:vertAlign w:val="superscript"/>
          <w:lang w:val="en-US"/>
        </w:rPr>
        <w:t>-1</w:t>
      </w:r>
      <w:r w:rsidRPr="0029300F">
        <w:rPr>
          <w:lang w:val="en-US"/>
        </w:rPr>
        <w:t xml:space="preserve"> have practically no effect on the total thermal resistance</w:t>
      </w:r>
      <w:bookmarkEnd w:id="49"/>
      <w:r w:rsidRPr="0029300F">
        <w:rPr>
          <w:lang w:val="en-US"/>
        </w:rPr>
        <w:t>, being consistent with the analytical model. Essentially, for the anisotropic γ-InSe, of both small and larger thicknesses, the heat flow in the structure with the low thermal conductivity substrate, such as SiO</w:t>
      </w:r>
      <w:r w:rsidRPr="0029300F">
        <w:rPr>
          <w:vertAlign w:val="subscript"/>
          <w:lang w:val="en-US"/>
        </w:rPr>
        <w:t>2</w:t>
      </w:r>
      <w:r w:rsidRPr="0029300F">
        <w:rPr>
          <w:lang w:val="en-US"/>
        </w:rPr>
        <w:t>, is predominantly directed in-plane, while for the higher conductivity</w:t>
      </w:r>
      <w:r w:rsidRPr="00342FBA">
        <w:rPr>
          <w:lang w:val="en-US"/>
        </w:rPr>
        <w:t xml:space="preserve"> </w:t>
      </w:r>
      <w:r w:rsidRPr="0029300F">
        <w:rPr>
          <w:lang w:val="en-US"/>
        </w:rPr>
        <w:t xml:space="preserve">substrate (Si), the heat flow does change from cross-plane at low thicknesses to in-plane at layer thicknesses larger than the radius of the contact. It is exactly this transition that allows xSThM to measure independently each component of the anisotropic thermal conductivity of the studied material. </w:t>
      </w:r>
      <w:bookmarkStart w:id="50" w:name="_Hlk116574574"/>
      <w:bookmarkStart w:id="51" w:name="_Hlk128501734"/>
      <w:r w:rsidRPr="0029300F">
        <w:rPr>
          <w:lang w:val="en-US"/>
        </w:rPr>
        <w:t>Thus, high thermal conductivity substrates such as Si, or more specifically, flat low-roughness substrates with higher thermal conductivity than the studied material (ideally at least 50% higher), are needed to measure the anisotropy of the thermal transport in anisotropic layered 2D materials (see a more detailed explanation in SI, section S7).</w:t>
      </w:r>
      <w:bookmarkEnd w:id="50"/>
      <w:r w:rsidRPr="0029300F">
        <w:rPr>
          <w:lang w:val="en-US"/>
        </w:rPr>
        <w:t xml:space="preserve"> At the same time, there are no specific requirements for the layered material apart from the thickness and the surface quality of the cut explained above, as well as good thermal contact to ensure the continuity of the temperature at the substrate-layer interface. For instance, transition metal dichalcogenides – bulk materials heterostructures and perovskites nanolayers were effectively studied similarly with the appropriate choice of substrate.</w:t>
      </w:r>
      <w:bookmarkStart w:id="52" w:name="_Hlk128570633"/>
      <w:bookmarkStart w:id="53" w:name="_Hlk128507231"/>
      <w:bookmarkEnd w:id="51"/>
      <w:r w:rsidRPr="005A7543">
        <w:rPr>
          <w:noProof/>
          <w:vertAlign w:val="superscript"/>
          <w:lang w:val="en-US"/>
        </w:rPr>
        <w:t xml:space="preserve"> [67, 81]</w:t>
      </w:r>
    </w:p>
    <w:bookmarkEnd w:id="52"/>
    <w:p w14:paraId="4E3FA06A" w14:textId="77777777" w:rsidR="00AA6917" w:rsidRPr="0029300F" w:rsidRDefault="00AA6917" w:rsidP="00A419D1">
      <w:pPr>
        <w:spacing w:after="0" w:line="360" w:lineRule="auto"/>
        <w:rPr>
          <w:lang w:val="en-US"/>
        </w:rPr>
      </w:pPr>
      <w:r w:rsidRPr="0029300F">
        <w:rPr>
          <w:lang w:val="en-US"/>
        </w:rPr>
        <w:t>While the InSe polytype studied here is the γ-InSe, which has a rhombohedral crystal structure, InSe can also exist in two other polytypes (ε and β), with hexagonal symmetry. This could result in a difference in the thermal transport direction, as the main anisotropy is due to the difference in covalent intralayer bonds vs. the weaker vdW interlayer links, as observed in our measurements. To the best of our knowledge, no experimental studies have been conducted targeting the heat transport anisotropy of the ε and β polytypes, with only some reports on the heat transport of composites of the polytypes with other materials.</w:t>
      </w:r>
      <w:r w:rsidRPr="005A7543">
        <w:rPr>
          <w:noProof/>
          <w:vertAlign w:val="superscript"/>
          <w:lang w:val="en-US"/>
        </w:rPr>
        <w:t xml:space="preserve"> [82-84]</w:t>
      </w:r>
      <w:r w:rsidRPr="0029300F">
        <w:rPr>
          <w:lang w:val="en-US"/>
        </w:rPr>
        <w:t xml:space="preserve"> </w:t>
      </w:r>
      <w:bookmarkEnd w:id="53"/>
      <w:r w:rsidRPr="0029300F">
        <w:rPr>
          <w:lang w:val="en-US"/>
        </w:rPr>
        <w:t>At the same time, the study of these materials with the methodology used herein would be of much interest to reveal the details of the anisotropic thermal transport in various InSe polytypes.</w:t>
      </w:r>
    </w:p>
    <w:p w14:paraId="4E3FA06B" w14:textId="77777777" w:rsidR="00AA6917" w:rsidRPr="0029300F" w:rsidRDefault="00AA6917" w:rsidP="00A419D1">
      <w:pPr>
        <w:keepNext/>
        <w:spacing w:after="0" w:line="360" w:lineRule="auto"/>
        <w:jc w:val="center"/>
        <w:rPr>
          <w:lang w:val="en-US"/>
        </w:rPr>
      </w:pPr>
      <w:r w:rsidRPr="0029300F">
        <w:rPr>
          <w:noProof/>
          <w:lang w:eastAsia="zh-CN"/>
        </w:rPr>
        <w:drawing>
          <wp:inline distT="0" distB="0" distL="0" distR="0" wp14:anchorId="4E3FA104" wp14:editId="4E3FA105">
            <wp:extent cx="5284800" cy="4699893"/>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3"/>
                    <a:stretch>
                      <a:fillRect/>
                    </a:stretch>
                  </pic:blipFill>
                  <pic:spPr>
                    <a:xfrm>
                      <a:off x="0" y="0"/>
                      <a:ext cx="5284800" cy="4699893"/>
                    </a:xfrm>
                    <a:prstGeom prst="rect">
                      <a:avLst/>
                    </a:prstGeom>
                  </pic:spPr>
                </pic:pic>
              </a:graphicData>
            </a:graphic>
          </wp:inline>
        </w:drawing>
      </w:r>
    </w:p>
    <w:p w14:paraId="4E3FA06C" w14:textId="77777777" w:rsidR="00AA6917" w:rsidRPr="0029300F" w:rsidRDefault="00AA6917" w:rsidP="00A419D1">
      <w:pPr>
        <w:pStyle w:val="Caption"/>
        <w:spacing w:after="0" w:line="360" w:lineRule="auto"/>
        <w:rPr>
          <w:i w:val="0"/>
          <w:iCs w:val="0"/>
          <w:color w:val="auto"/>
          <w:sz w:val="24"/>
          <w:szCs w:val="24"/>
          <w:lang w:val="en-US"/>
        </w:rPr>
      </w:pPr>
      <w:bookmarkStart w:id="54" w:name="_Ref94044451"/>
      <w:r w:rsidRPr="0029300F">
        <w:rPr>
          <w:b/>
          <w:bCs/>
          <w:i w:val="0"/>
          <w:iCs w:val="0"/>
          <w:color w:val="auto"/>
          <w:sz w:val="24"/>
          <w:szCs w:val="24"/>
          <w:lang w:val="en-US"/>
        </w:rPr>
        <w:t xml:space="preserve">Figure </w:t>
      </w:r>
      <w:r w:rsidRPr="0029300F">
        <w:rPr>
          <w:b/>
          <w:bCs/>
          <w:i w:val="0"/>
          <w:iCs w:val="0"/>
          <w:color w:val="auto"/>
          <w:sz w:val="24"/>
          <w:szCs w:val="24"/>
          <w:lang w:val="en-US"/>
        </w:rPr>
        <w:fldChar w:fldCharType="begin"/>
      </w:r>
      <w:r w:rsidRPr="0029300F">
        <w:rPr>
          <w:b/>
          <w:bCs/>
          <w:i w:val="0"/>
          <w:iCs w:val="0"/>
          <w:color w:val="auto"/>
          <w:sz w:val="24"/>
          <w:szCs w:val="24"/>
          <w:lang w:val="en-US"/>
        </w:rPr>
        <w:instrText xml:space="preserve"> SEQ Figure \* ARABIC </w:instrText>
      </w:r>
      <w:r w:rsidRPr="0029300F">
        <w:rPr>
          <w:b/>
          <w:bCs/>
          <w:i w:val="0"/>
          <w:iCs w:val="0"/>
          <w:color w:val="auto"/>
          <w:sz w:val="24"/>
          <w:szCs w:val="24"/>
          <w:lang w:val="en-US"/>
        </w:rPr>
        <w:fldChar w:fldCharType="separate"/>
      </w:r>
      <w:r w:rsidRPr="0029300F">
        <w:rPr>
          <w:b/>
          <w:bCs/>
          <w:i w:val="0"/>
          <w:iCs w:val="0"/>
          <w:noProof/>
          <w:color w:val="auto"/>
          <w:sz w:val="24"/>
          <w:szCs w:val="24"/>
          <w:lang w:val="en-US"/>
        </w:rPr>
        <w:t>5</w:t>
      </w:r>
      <w:r w:rsidRPr="0029300F">
        <w:rPr>
          <w:b/>
          <w:bCs/>
          <w:i w:val="0"/>
          <w:iCs w:val="0"/>
          <w:color w:val="auto"/>
          <w:sz w:val="24"/>
          <w:szCs w:val="24"/>
          <w:lang w:val="en-US"/>
        </w:rPr>
        <w:fldChar w:fldCharType="end"/>
      </w:r>
      <w:bookmarkEnd w:id="54"/>
      <w:r w:rsidRPr="0029300F">
        <w:rPr>
          <w:b/>
          <w:bCs/>
          <w:i w:val="0"/>
          <w:iCs w:val="0"/>
          <w:color w:val="auto"/>
          <w:sz w:val="24"/>
          <w:szCs w:val="24"/>
          <w:lang w:val="en-US"/>
        </w:rPr>
        <w:t>.</w:t>
      </w:r>
      <w:r w:rsidRPr="0029300F">
        <w:rPr>
          <w:i w:val="0"/>
          <w:iCs w:val="0"/>
          <w:color w:val="auto"/>
          <w:sz w:val="24"/>
          <w:szCs w:val="24"/>
          <w:lang w:val="en-US"/>
        </w:rPr>
        <w:t xml:space="preserve"> FEA simulation results (hollow markers) vs. experimental (filled black circles) results of the contact thermal resistance </w:t>
      </w:r>
      <w:r w:rsidRPr="0029300F">
        <w:rPr>
          <w:color w:val="auto"/>
          <w:sz w:val="24"/>
          <w:szCs w:val="24"/>
          <w:lang w:val="en-US"/>
        </w:rPr>
        <w:t>R</w:t>
      </w:r>
      <w:r w:rsidRPr="0029300F">
        <w:rPr>
          <w:i w:val="0"/>
          <w:iCs w:val="0"/>
          <w:color w:val="auto"/>
          <w:sz w:val="24"/>
          <w:szCs w:val="24"/>
          <w:vertAlign w:val="subscript"/>
          <w:lang w:val="en-US"/>
        </w:rPr>
        <w:t>dif</w:t>
      </w:r>
      <w:r w:rsidRPr="0029300F">
        <w:rPr>
          <w:i w:val="0"/>
          <w:iCs w:val="0"/>
          <w:color w:val="auto"/>
          <w:sz w:val="24"/>
          <w:szCs w:val="24"/>
          <w:lang w:val="en-US"/>
        </w:rPr>
        <w:t xml:space="preserve"> dependence on the sample thickness </w:t>
      </w:r>
      <w:r w:rsidRPr="0029300F">
        <w:rPr>
          <w:color w:val="auto"/>
          <w:sz w:val="24"/>
          <w:szCs w:val="24"/>
          <w:lang w:val="en-US"/>
        </w:rPr>
        <w:t>t</w:t>
      </w:r>
      <w:r w:rsidRPr="0029300F">
        <w:rPr>
          <w:i w:val="0"/>
          <w:iCs w:val="0"/>
          <w:color w:val="auto"/>
          <w:sz w:val="24"/>
          <w:szCs w:val="24"/>
          <w:lang w:val="en-US"/>
        </w:rPr>
        <w:t xml:space="preserve"> for different physical parameters of SiO</w:t>
      </w:r>
      <w:r w:rsidRPr="0029300F">
        <w:rPr>
          <w:i w:val="0"/>
          <w:iCs w:val="0"/>
          <w:color w:val="auto"/>
          <w:sz w:val="24"/>
          <w:szCs w:val="24"/>
          <w:vertAlign w:val="subscript"/>
          <w:lang w:val="en-US"/>
        </w:rPr>
        <w:t>2</w:t>
      </w:r>
      <w:r w:rsidRPr="0029300F">
        <w:rPr>
          <w:i w:val="0"/>
          <w:iCs w:val="0"/>
          <w:color w:val="auto"/>
          <w:sz w:val="24"/>
          <w:szCs w:val="24"/>
          <w:lang w:val="en-US"/>
        </w:rPr>
        <w:t>/Si (a), b)) and γ-InSe/Si (c), d)) interfaces.</w:t>
      </w:r>
      <w:r w:rsidRPr="0029300F">
        <w:rPr>
          <w:i w:val="0"/>
          <w:iCs w:val="0"/>
          <w:lang w:val="en-US"/>
        </w:rPr>
        <w:t xml:space="preserve"> </w:t>
      </w:r>
      <w:r w:rsidRPr="0029300F">
        <w:rPr>
          <w:i w:val="0"/>
          <w:iCs w:val="0"/>
          <w:color w:val="auto"/>
          <w:sz w:val="24"/>
          <w:szCs w:val="24"/>
          <w:lang w:val="en-US"/>
        </w:rPr>
        <w:t xml:space="preserve">a) Varying contact radius </w:t>
      </w:r>
      <w:r w:rsidRPr="0029300F">
        <w:rPr>
          <w:color w:val="auto"/>
          <w:sz w:val="24"/>
          <w:szCs w:val="24"/>
          <w:lang w:val="en-US"/>
        </w:rPr>
        <w:t>a</w:t>
      </w:r>
      <w:r w:rsidRPr="0029300F">
        <w:rPr>
          <w:i w:val="0"/>
          <w:iCs w:val="0"/>
          <w:color w:val="auto"/>
          <w:sz w:val="24"/>
          <w:szCs w:val="24"/>
          <w:lang w:val="en-US"/>
        </w:rPr>
        <w:t xml:space="preserve">. b) Varying interfacial thermal resistivity </w:t>
      </w:r>
      <w:r w:rsidRPr="0029300F">
        <w:rPr>
          <w:color w:val="auto"/>
          <w:sz w:val="24"/>
          <w:szCs w:val="24"/>
          <w:lang w:val="en-US"/>
        </w:rPr>
        <w:t>r</w:t>
      </w:r>
      <w:r w:rsidRPr="0029300F">
        <w:rPr>
          <w:i w:val="0"/>
          <w:iCs w:val="0"/>
          <w:color w:val="auto"/>
          <w:sz w:val="24"/>
          <w:szCs w:val="24"/>
          <w:vertAlign w:val="subscript"/>
          <w:lang w:val="en-US"/>
        </w:rPr>
        <w:t>int</w:t>
      </w:r>
      <w:r w:rsidRPr="0029300F">
        <w:rPr>
          <w:i w:val="0"/>
          <w:iCs w:val="0"/>
          <w:color w:val="auto"/>
          <w:sz w:val="24"/>
          <w:szCs w:val="24"/>
          <w:lang w:val="en-US"/>
        </w:rPr>
        <w:t xml:space="preserve">. c) Varying anisotropic average thermal conductivity </w:t>
      </w:r>
      <w:r w:rsidRPr="0029300F">
        <w:rPr>
          <w:color w:val="auto"/>
          <w:sz w:val="24"/>
          <w:szCs w:val="24"/>
          <w:lang w:val="en-US"/>
        </w:rPr>
        <w:t>k</w:t>
      </w:r>
      <w:r w:rsidRPr="0029300F">
        <w:rPr>
          <w:i w:val="0"/>
          <w:iCs w:val="0"/>
          <w:color w:val="auto"/>
          <w:sz w:val="24"/>
          <w:szCs w:val="24"/>
          <w:vertAlign w:val="subscript"/>
          <w:lang w:val="en-US"/>
        </w:rPr>
        <w:t>a</w:t>
      </w:r>
      <w:r w:rsidRPr="0029300F">
        <w:rPr>
          <w:i w:val="0"/>
          <w:iCs w:val="0"/>
          <w:color w:val="auto"/>
          <w:sz w:val="24"/>
          <w:szCs w:val="24"/>
          <w:lang w:val="en-US"/>
        </w:rPr>
        <w:t xml:space="preserve"> with anisotropic ratio </w:t>
      </w:r>
      <w:r w:rsidRPr="0029300F">
        <w:rPr>
          <w:color w:val="auto"/>
          <w:sz w:val="24"/>
          <w:szCs w:val="24"/>
          <w:lang w:val="en-US"/>
        </w:rPr>
        <w:t>a</w:t>
      </w:r>
      <w:r w:rsidRPr="0029300F">
        <w:rPr>
          <w:i w:val="0"/>
          <w:iCs w:val="0"/>
          <w:color w:val="auto"/>
          <w:sz w:val="24"/>
          <w:szCs w:val="24"/>
          <w:vertAlign w:val="subscript"/>
          <w:lang w:val="en-US"/>
        </w:rPr>
        <w:t>r</w:t>
      </w:r>
      <w:r w:rsidRPr="0029300F">
        <w:rPr>
          <w:i w:val="0"/>
          <w:iCs w:val="0"/>
          <w:color w:val="auto"/>
          <w:sz w:val="24"/>
          <w:szCs w:val="24"/>
          <w:lang w:val="en-US"/>
        </w:rPr>
        <w:t xml:space="preserve"> fixed. d) Varying anisotropic ratio </w:t>
      </w:r>
      <w:r w:rsidRPr="0029300F">
        <w:rPr>
          <w:color w:val="auto"/>
          <w:sz w:val="24"/>
          <w:szCs w:val="24"/>
          <w:lang w:val="en-US"/>
        </w:rPr>
        <w:t>a</w:t>
      </w:r>
      <w:r w:rsidRPr="0029300F">
        <w:rPr>
          <w:i w:val="0"/>
          <w:iCs w:val="0"/>
          <w:color w:val="auto"/>
          <w:sz w:val="24"/>
          <w:szCs w:val="24"/>
          <w:vertAlign w:val="subscript"/>
          <w:lang w:val="en-US"/>
        </w:rPr>
        <w:t>r</w:t>
      </w:r>
      <w:r w:rsidRPr="0029300F">
        <w:rPr>
          <w:i w:val="0"/>
          <w:iCs w:val="0"/>
          <w:color w:val="auto"/>
          <w:sz w:val="24"/>
          <w:szCs w:val="24"/>
          <w:lang w:val="en-US"/>
        </w:rPr>
        <w:t xml:space="preserve"> with average thermal conductivity </w:t>
      </w:r>
      <w:r w:rsidRPr="0029300F">
        <w:rPr>
          <w:color w:val="auto"/>
          <w:sz w:val="24"/>
          <w:szCs w:val="24"/>
          <w:lang w:val="en-US"/>
        </w:rPr>
        <w:t>k</w:t>
      </w:r>
      <w:r w:rsidRPr="0029300F">
        <w:rPr>
          <w:i w:val="0"/>
          <w:iCs w:val="0"/>
          <w:color w:val="auto"/>
          <w:sz w:val="24"/>
          <w:szCs w:val="24"/>
          <w:vertAlign w:val="subscript"/>
          <w:lang w:val="en-US"/>
        </w:rPr>
        <w:t>a</w:t>
      </w:r>
      <w:r w:rsidRPr="0029300F">
        <w:rPr>
          <w:i w:val="0"/>
          <w:iCs w:val="0"/>
          <w:color w:val="auto"/>
          <w:sz w:val="24"/>
          <w:szCs w:val="24"/>
          <w:lang w:val="en-US"/>
        </w:rPr>
        <w:t xml:space="preserve"> fixed. Inset) Heat flow geometry and temperature distribution plot from the FEA simulation. Scale bar 100 nm. (See also SI, section S9).</w:t>
      </w:r>
    </w:p>
    <w:p w14:paraId="4E3FA06D" w14:textId="77777777" w:rsidR="00AA6917" w:rsidRPr="0029300F" w:rsidRDefault="00AA6917" w:rsidP="00A419D1">
      <w:pPr>
        <w:rPr>
          <w:lang w:val="en-US"/>
        </w:rPr>
      </w:pPr>
    </w:p>
    <w:p w14:paraId="4E3FA06E" w14:textId="77777777" w:rsidR="00AA6917" w:rsidRPr="0029300F" w:rsidRDefault="00AA6917" w:rsidP="00A419D1">
      <w:pPr>
        <w:spacing w:after="0" w:line="360" w:lineRule="auto"/>
        <w:rPr>
          <w:lang w:val="en-US"/>
        </w:rPr>
      </w:pPr>
      <w:r w:rsidRPr="0029300F">
        <w:rPr>
          <w:lang w:val="en-US"/>
        </w:rPr>
        <w:t xml:space="preserve">In </w:t>
      </w:r>
      <w:r w:rsidRPr="0029300F">
        <w:rPr>
          <w:lang w:val="en-US"/>
        </w:rPr>
        <w:fldChar w:fldCharType="begin"/>
      </w:r>
      <w:r w:rsidRPr="0029300F">
        <w:rPr>
          <w:lang w:val="en-US"/>
        </w:rPr>
        <w:instrText xml:space="preserve"> REF _Ref94044451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5</w:t>
      </w:r>
      <w:r w:rsidRPr="0029300F">
        <w:rPr>
          <w:lang w:val="en-US"/>
        </w:rPr>
        <w:fldChar w:fldCharType="end"/>
      </w:r>
      <w:r w:rsidRPr="0029300F">
        <w:rPr>
          <w:lang w:val="en-US"/>
        </w:rPr>
        <w:t xml:space="preserve">c, the experimental γ-InSe/Si data are compared and fitted with the different average top layer thermal conductivities, placing </w:t>
      </w:r>
      <w:r w:rsidRPr="0029300F">
        <w:rPr>
          <w:i/>
          <w:iCs/>
          <w:lang w:val="en-US"/>
        </w:rPr>
        <w:t>k</w:t>
      </w:r>
      <w:r w:rsidRPr="0029300F">
        <w:rPr>
          <w:vertAlign w:val="subscript"/>
          <w:lang w:val="en-US"/>
        </w:rPr>
        <w:t>a</w:t>
      </w:r>
      <w:r w:rsidRPr="0029300F">
        <w:rPr>
          <w:lang w:val="en-US"/>
        </w:rPr>
        <w:t xml:space="preserve"> close to 1 Wm</w:t>
      </w:r>
      <w:r w:rsidRPr="0029300F">
        <w:rPr>
          <w:vertAlign w:val="superscript"/>
          <w:lang w:val="en-US"/>
        </w:rPr>
        <w:t>-1</w:t>
      </w:r>
      <w:r w:rsidRPr="0029300F">
        <w:rPr>
          <w:lang w:val="en-US"/>
        </w:rPr>
        <w:t>K</w:t>
      </w:r>
      <w:r w:rsidRPr="0029300F">
        <w:rPr>
          <w:vertAlign w:val="superscript"/>
          <w:lang w:val="en-US"/>
        </w:rPr>
        <w:t>-1</w:t>
      </w:r>
      <w:r w:rsidRPr="0029300F">
        <w:rPr>
          <w:lang w:val="en-US"/>
        </w:rPr>
        <w:t xml:space="preserve">, similar to the analytical solution. For the anisotropic ratio </w:t>
      </w:r>
      <w:r w:rsidRPr="0029300F">
        <w:rPr>
          <w:i/>
          <w:iCs/>
          <w:lang w:val="en-US"/>
        </w:rPr>
        <w:t>a</w:t>
      </w:r>
      <w:r w:rsidRPr="0029300F">
        <w:rPr>
          <w:vertAlign w:val="subscript"/>
          <w:lang w:val="en-US"/>
        </w:rPr>
        <w:t>r</w:t>
      </w:r>
      <w:r w:rsidRPr="0029300F">
        <w:rPr>
          <w:lang w:val="en-US"/>
        </w:rPr>
        <w:t xml:space="preserve">, the “eyeballing” selection of the best-fit curve in </w:t>
      </w:r>
      <w:r w:rsidRPr="0029300F">
        <w:rPr>
          <w:lang w:val="en-US"/>
        </w:rPr>
        <w:fldChar w:fldCharType="begin"/>
      </w:r>
      <w:r w:rsidRPr="0029300F">
        <w:rPr>
          <w:lang w:val="en-US"/>
        </w:rPr>
        <w:instrText xml:space="preserve"> REF _Ref94044451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5</w:t>
      </w:r>
      <w:r w:rsidRPr="0029300F">
        <w:rPr>
          <w:lang w:val="en-US"/>
        </w:rPr>
        <w:fldChar w:fldCharType="end"/>
      </w:r>
      <w:r w:rsidRPr="0029300F">
        <w:rPr>
          <w:lang w:val="en-US"/>
        </w:rPr>
        <w:t xml:space="preserve">d is less clear, between 2 and 4, but using the iterative fit, we obtain for the </w:t>
      </w:r>
      <w:r w:rsidRPr="0029300F">
        <w:rPr>
          <w:i/>
          <w:iCs/>
          <w:lang w:val="en-US"/>
        </w:rPr>
        <w:t>k</w:t>
      </w:r>
      <w:r w:rsidRPr="0029300F">
        <w:rPr>
          <w:vertAlign w:val="subscript"/>
          <w:lang w:val="en-US"/>
        </w:rPr>
        <w:t>a</w:t>
      </w:r>
      <w:r w:rsidRPr="0029300F">
        <w:rPr>
          <w:lang w:val="en-US"/>
        </w:rPr>
        <w:t xml:space="preserve"> value of 1.4 Wm</w:t>
      </w:r>
      <w:r w:rsidRPr="0029300F">
        <w:rPr>
          <w:vertAlign w:val="superscript"/>
          <w:lang w:val="en-US"/>
        </w:rPr>
        <w:t>-1</w:t>
      </w:r>
      <w:r w:rsidRPr="0029300F">
        <w:rPr>
          <w:lang w:val="en-US"/>
        </w:rPr>
        <w:t>K</w:t>
      </w:r>
      <w:r w:rsidRPr="0029300F">
        <w:rPr>
          <w:vertAlign w:val="superscript"/>
          <w:lang w:val="en-US"/>
        </w:rPr>
        <w:t>-1</w:t>
      </w:r>
      <w:r w:rsidRPr="0029300F">
        <w:rPr>
          <w:lang w:val="en-US"/>
        </w:rPr>
        <w:t xml:space="preserve"> an anisotropic ratio of 2.4. These values are the same as the ones obtained from the fit using the analytical model.</w:t>
      </w:r>
      <w:bookmarkEnd w:id="48"/>
      <w:r w:rsidRPr="0029300F">
        <w:rPr>
          <w:lang w:val="en-US"/>
        </w:rPr>
        <w:t xml:space="preserve"> We note that, while both approaches provide a similar result, there is a certain deviation between the experimental and calculated data, especially at small thicknesses. This may indicate a deviation of the thermal transport from the diffusive regime as well as a proximity effect of the substrate that requires a different approach beyond the scope of this paper.</w:t>
      </w:r>
    </w:p>
    <w:p w14:paraId="4E3FA06F" w14:textId="77777777" w:rsidR="00AA6917" w:rsidRPr="0029300F" w:rsidRDefault="00AA6917" w:rsidP="00A419D1">
      <w:pPr>
        <w:spacing w:after="0" w:line="360" w:lineRule="auto"/>
        <w:rPr>
          <w:lang w:val="en-US"/>
        </w:rPr>
      </w:pPr>
    </w:p>
    <w:p w14:paraId="4E3FA070" w14:textId="77777777" w:rsidR="00AA6917" w:rsidRPr="0029300F" w:rsidRDefault="00AA6917" w:rsidP="00A419D1">
      <w:pPr>
        <w:pStyle w:val="Heading1"/>
        <w:rPr>
          <w:lang w:val="en-US"/>
        </w:rPr>
      </w:pPr>
      <w:r w:rsidRPr="0029300F">
        <w:rPr>
          <w:lang w:val="en-US"/>
        </w:rPr>
        <w:t>Conclusions</w:t>
      </w:r>
    </w:p>
    <w:p w14:paraId="4E3FA071" w14:textId="77777777" w:rsidR="00AA6917" w:rsidRPr="0029300F" w:rsidRDefault="00AA6917" w:rsidP="00A419D1">
      <w:pPr>
        <w:spacing w:after="0" w:line="360" w:lineRule="auto"/>
        <w:rPr>
          <w:lang w:val="en-US"/>
        </w:rPr>
      </w:pPr>
      <w:r w:rsidRPr="0029300F">
        <w:rPr>
          <w:lang w:val="en-US"/>
        </w:rPr>
        <w:t xml:space="preserve">In summary, here we address an essential need to measure the anisotropic heat transport in the two-dimensional vdW nanostructure γ-InSe, which shows high thermoelectric potential. We used cross-sectional scanning thermal microscopy to independently measure the absolute values of the in-plane and cross-plane thermal conductivities of a vdW flake with thickness range varying from 5 to 80 nm and evaluate its limits of interfacial thermal resistivity with the supporting substrate. xSThM directly assesses the heat transport of vdW materials on the substrate they are deposited or grown upon without the need for any additional layers to facilitate the measurements. The core of the approach is the measurement of the sample shaped as a low-angle wedge structure using Ar-ion nanopolishing, followed by the mapping of the thermal conductance across the interface between the vdW material and the known substrate using high vacuum SThM. A straightforward analytical model (validated by the detailed FEA simulations) was developed, providing independently the in-plane </w:t>
      </w:r>
      <w:r w:rsidRPr="0029300F">
        <w:rPr>
          <w:i/>
          <w:iCs/>
          <w:lang w:val="en-US"/>
        </w:rPr>
        <w:t>k</w:t>
      </w:r>
      <w:r w:rsidRPr="0029300F">
        <w:rPr>
          <w:vertAlign w:val="subscript"/>
          <w:lang w:val="en-US"/>
        </w:rPr>
        <w:t>xy</w:t>
      </w:r>
      <w:r w:rsidRPr="0029300F">
        <w:rPr>
          <w:lang w:val="en-US"/>
        </w:rPr>
        <w:t xml:space="preserve"> and cross-plane </w:t>
      </w:r>
      <w:r w:rsidRPr="0029300F">
        <w:rPr>
          <w:i/>
          <w:iCs/>
          <w:lang w:val="en-US"/>
        </w:rPr>
        <w:t>k</w:t>
      </w:r>
      <w:r w:rsidRPr="0029300F">
        <w:rPr>
          <w:vertAlign w:val="subscript"/>
          <w:lang w:val="en-US"/>
        </w:rPr>
        <w:t>z</w:t>
      </w:r>
      <w:r w:rsidRPr="0029300F">
        <w:rPr>
          <w:lang w:val="en-US"/>
        </w:rPr>
        <w:t xml:space="preserve"> thermal conductivities of the vdW material and estimating the upper bounds of the thermal resistivity of the vdW material-substrate </w:t>
      </w:r>
      <w:r w:rsidRPr="0029300F">
        <w:rPr>
          <w:i/>
          <w:iCs/>
          <w:lang w:val="en-US"/>
        </w:rPr>
        <w:t>r</w:t>
      </w:r>
      <w:r w:rsidRPr="0029300F">
        <w:rPr>
          <w:vertAlign w:val="subscript"/>
          <w:lang w:val="en-US"/>
        </w:rPr>
        <w:t>int</w:t>
      </w:r>
      <w:r w:rsidRPr="0029300F">
        <w:rPr>
          <w:lang w:val="en-US"/>
        </w:rPr>
        <w:t xml:space="preserve">. The approach eliminates a major challenge when using SThM for the nanoscale thermal measurements linked with the unknown probe-sample thermal resistance. We directly obtain absolute values of the anisotropic thermal conductivities for a thin nanoflake of γ-InSe of </w:t>
      </w:r>
      <w:r w:rsidRPr="0029300F">
        <w:rPr>
          <w:i/>
          <w:iCs/>
          <w:lang w:val="en-US"/>
        </w:rPr>
        <w:t>k</w:t>
      </w:r>
      <w:r w:rsidRPr="0029300F">
        <w:rPr>
          <w:vertAlign w:val="subscript"/>
          <w:lang w:val="en-US"/>
        </w:rPr>
        <w:t>xy</w:t>
      </w:r>
      <w:r w:rsidRPr="0029300F">
        <w:rPr>
          <w:lang w:val="en-US"/>
        </w:rPr>
        <w:t xml:space="preserve"> = 2.16 </w:t>
      </w:r>
      <w:r w:rsidRPr="0029300F">
        <w:rPr>
          <w:rFonts w:cs="Times New Roman"/>
          <w:lang w:val="en-US"/>
        </w:rPr>
        <w:t xml:space="preserve">± 0.35 </w:t>
      </w:r>
      <w:r w:rsidRPr="0029300F">
        <w:rPr>
          <w:lang w:val="en-US"/>
        </w:rPr>
        <w:t>Wm</w:t>
      </w:r>
      <w:r w:rsidRPr="0029300F">
        <w:rPr>
          <w:vertAlign w:val="superscript"/>
          <w:lang w:val="en-US"/>
        </w:rPr>
        <w:noBreakHyphen/>
        <w:t>1</w:t>
      </w:r>
      <w:r w:rsidRPr="0029300F">
        <w:rPr>
          <w:lang w:val="en-US"/>
        </w:rPr>
        <w:t>K</w:t>
      </w:r>
      <w:r w:rsidRPr="0029300F">
        <w:rPr>
          <w:vertAlign w:val="superscript"/>
          <w:lang w:val="en-US"/>
        </w:rPr>
        <w:noBreakHyphen/>
        <w:t>1</w:t>
      </w:r>
      <w:r w:rsidRPr="0029300F">
        <w:rPr>
          <w:lang w:val="en-US"/>
        </w:rPr>
        <w:t xml:space="preserve"> and </w:t>
      </w:r>
      <w:r w:rsidRPr="0029300F">
        <w:rPr>
          <w:i/>
          <w:iCs/>
          <w:lang w:val="en-US"/>
        </w:rPr>
        <w:t>k</w:t>
      </w:r>
      <w:r w:rsidRPr="0029300F">
        <w:rPr>
          <w:vertAlign w:val="subscript"/>
          <w:lang w:val="en-US"/>
        </w:rPr>
        <w:t>z</w:t>
      </w:r>
      <w:r w:rsidRPr="0029300F">
        <w:rPr>
          <w:lang w:val="en-US"/>
        </w:rPr>
        <w:t xml:space="preserve"> = 0.89 </w:t>
      </w:r>
      <w:r w:rsidRPr="0029300F">
        <w:rPr>
          <w:rFonts w:cs="Times New Roman"/>
          <w:lang w:val="en-US"/>
        </w:rPr>
        <w:t xml:space="preserve">± 0.09 </w:t>
      </w:r>
      <w:r w:rsidRPr="0029300F">
        <w:rPr>
          <w:lang w:val="en-US"/>
        </w:rPr>
        <w:t>Wm</w:t>
      </w:r>
      <w:r w:rsidRPr="0029300F">
        <w:rPr>
          <w:vertAlign w:val="superscript"/>
          <w:lang w:val="en-US"/>
        </w:rPr>
        <w:noBreakHyphen/>
        <w:t>1</w:t>
      </w:r>
      <w:r w:rsidRPr="0029300F">
        <w:rPr>
          <w:lang w:val="en-US"/>
        </w:rPr>
        <w:t>K</w:t>
      </w:r>
      <w:r w:rsidRPr="0029300F">
        <w:rPr>
          <w:vertAlign w:val="superscript"/>
          <w:lang w:val="en-US"/>
        </w:rPr>
        <w:noBreakHyphen/>
        <w:t>1</w:t>
      </w:r>
      <w:r w:rsidRPr="0029300F">
        <w:rPr>
          <w:lang w:val="en-US"/>
        </w:rPr>
        <w:t>, confirming the anomalously low thermal conductivity for this material.</w:t>
      </w:r>
    </w:p>
    <w:p w14:paraId="4E3FA072" w14:textId="77777777" w:rsidR="00AA6917" w:rsidRPr="0029300F" w:rsidRDefault="00AA6917" w:rsidP="00A419D1">
      <w:pPr>
        <w:spacing w:after="0" w:line="360" w:lineRule="auto"/>
        <w:rPr>
          <w:lang w:val="en-US"/>
        </w:rPr>
      </w:pPr>
      <w:r w:rsidRPr="0029300F">
        <w:rPr>
          <w:lang w:val="en-US"/>
        </w:rPr>
        <w:t>This xSThM approach provides true nanoscale lateral resolution and can be crucial for both understanding the thermal properties of novel vdW materials and their heterostructures as well as for the application of such materials in the heat spreading, thermoelectric and other passive and active nanothermal devices. In particular, by manipulating the thermal conductivity of InSe and other 2D materials via their heterostructuring</w:t>
      </w:r>
      <w:r w:rsidRPr="0029300F">
        <w:rPr>
          <w:noProof/>
          <w:vertAlign w:val="superscript"/>
          <w:lang w:val="en-US"/>
        </w:rPr>
        <w:t xml:space="preserve"> [5]</w:t>
      </w:r>
      <w:r w:rsidRPr="0029300F">
        <w:rPr>
          <w:lang w:val="en-US"/>
        </w:rPr>
        <w:t xml:space="preserve"> and combination of 2D-3D materials’ layers</w:t>
      </w:r>
      <w:r w:rsidRPr="005A7543">
        <w:rPr>
          <w:noProof/>
          <w:vertAlign w:val="superscript"/>
          <w:lang w:val="en-US"/>
        </w:rPr>
        <w:t xml:space="preserve"> [67]</w:t>
      </w:r>
      <w:r w:rsidRPr="0029300F">
        <w:rPr>
          <w:lang w:val="en-US"/>
        </w:rPr>
        <w:t xml:space="preserve"> and providing a reliable measurement of these, it is possible to create high-performance thermoelectrics for the in-plane and cross-plane operation.</w:t>
      </w:r>
    </w:p>
    <w:p w14:paraId="4E3FA073" w14:textId="77777777" w:rsidR="00AA6917" w:rsidRPr="0029300F" w:rsidRDefault="00AA6917" w:rsidP="00A419D1">
      <w:pPr>
        <w:spacing w:after="0" w:line="360" w:lineRule="auto"/>
        <w:rPr>
          <w:lang w:val="en-US"/>
        </w:rPr>
      </w:pPr>
    </w:p>
    <w:p w14:paraId="4E3FA074" w14:textId="77777777" w:rsidR="00AA6917" w:rsidRPr="0029300F" w:rsidRDefault="00AA6917" w:rsidP="00A419D1">
      <w:pPr>
        <w:pStyle w:val="Heading1"/>
        <w:rPr>
          <w:lang w:val="en-US"/>
        </w:rPr>
      </w:pPr>
      <w:bookmarkStart w:id="55" w:name="_Ref121611013"/>
      <w:bookmarkStart w:id="56" w:name="_Hlk94809205"/>
      <w:r w:rsidRPr="0029300F">
        <w:rPr>
          <w:lang w:val="en-US"/>
        </w:rPr>
        <w:t>Experimental Section</w:t>
      </w:r>
      <w:bookmarkEnd w:id="55"/>
    </w:p>
    <w:p w14:paraId="4E3FA075" w14:textId="77777777" w:rsidR="00AA6917" w:rsidRPr="0029300F" w:rsidRDefault="00AA6917" w:rsidP="00A419D1">
      <w:pPr>
        <w:spacing w:after="0" w:line="360" w:lineRule="auto"/>
        <w:rPr>
          <w:color w:val="92D050"/>
          <w:lang w:val="en-US"/>
        </w:rPr>
      </w:pPr>
      <w:r w:rsidRPr="0029300F">
        <w:rPr>
          <w:i/>
          <w:iCs/>
          <w:lang w:val="en-US"/>
        </w:rPr>
        <w:t>Sample Preparation</w:t>
      </w:r>
      <w:r w:rsidRPr="0029300F">
        <w:rPr>
          <w:lang w:val="en-US"/>
        </w:rPr>
        <w:t>: The InSe crystals were grown using the Bridgman method from a polycrystalline melt of In</w:t>
      </w:r>
      <w:r w:rsidRPr="0029300F">
        <w:rPr>
          <w:vertAlign w:val="subscript"/>
          <w:lang w:val="en-US"/>
        </w:rPr>
        <w:t>1.03</w:t>
      </w:r>
      <w:r w:rsidRPr="0029300F">
        <w:rPr>
          <w:lang w:val="en-US"/>
        </w:rPr>
        <w:t>Se</w:t>
      </w:r>
      <w:r w:rsidRPr="0029300F">
        <w:rPr>
          <w:vertAlign w:val="subscript"/>
          <w:lang w:val="en-US"/>
        </w:rPr>
        <w:t>0.97</w:t>
      </w:r>
      <w:r w:rsidRPr="0029300F">
        <w:rPr>
          <w:lang w:val="en-US"/>
        </w:rPr>
        <w:t xml:space="preserve">. The crystal structure and γ-phase were assessed by X-ray diffraction studies: the rhombohedral unit cell has lattice parameters of </w:t>
      </w:r>
      <w:r w:rsidRPr="0029300F">
        <w:rPr>
          <w:i/>
          <w:iCs/>
          <w:lang w:val="en-US"/>
        </w:rPr>
        <w:t>A</w:t>
      </w:r>
      <w:r w:rsidRPr="0029300F">
        <w:rPr>
          <w:lang w:val="en-US"/>
        </w:rPr>
        <w:t xml:space="preserve"> = </w:t>
      </w:r>
      <w:r w:rsidRPr="0029300F">
        <w:rPr>
          <w:i/>
          <w:iCs/>
          <w:lang w:val="en-US"/>
        </w:rPr>
        <w:t>B</w:t>
      </w:r>
      <w:r w:rsidRPr="0029300F">
        <w:rPr>
          <w:lang w:val="en-US"/>
        </w:rPr>
        <w:t xml:space="preserve"> = 4.002 Å and </w:t>
      </w:r>
      <w:r w:rsidRPr="0029300F">
        <w:rPr>
          <w:i/>
          <w:iCs/>
          <w:lang w:val="en-US"/>
        </w:rPr>
        <w:t>C</w:t>
      </w:r>
      <w:r w:rsidRPr="0029300F">
        <w:rPr>
          <w:lang w:val="en-US"/>
        </w:rPr>
        <w:t xml:space="preserve"> = 24.961 Å. The bulk crystals are n-type with a concentration of electrons of 10</w:t>
      </w:r>
      <w:r w:rsidRPr="0029300F">
        <w:rPr>
          <w:vertAlign w:val="superscript"/>
          <w:lang w:val="en-US"/>
        </w:rPr>
        <w:t>15</w:t>
      </w:r>
      <w:r w:rsidRPr="0029300F">
        <w:rPr>
          <w:lang w:val="en-US"/>
        </w:rPr>
        <w:t xml:space="preserve"> cm</w:t>
      </w:r>
      <w:r w:rsidRPr="0029300F">
        <w:rPr>
          <w:vertAlign w:val="superscript"/>
          <w:lang w:val="en-US"/>
        </w:rPr>
        <w:t>–3</w:t>
      </w:r>
      <w:r w:rsidRPr="0029300F">
        <w:rPr>
          <w:lang w:val="en-US"/>
        </w:rPr>
        <w:t xml:space="preserve">, as determined from Hall effect measurements. </w:t>
      </w:r>
      <w:bookmarkStart w:id="57" w:name="_Hlk128591830"/>
      <w:r w:rsidRPr="0029300F">
        <w:rPr>
          <w:lang w:val="en-US"/>
        </w:rPr>
        <w:t>γ-InSe thick layers with thicknesses ranging from 0 to ~</w:t>
      </w:r>
      <w:bookmarkEnd w:id="57"/>
      <w:r w:rsidRPr="0029300F">
        <w:rPr>
          <w:lang w:val="en-US"/>
        </w:rPr>
        <w:t>100 nm were mechanically exfoliated from the single-crystal bulk material using adhesive film (WF-60/1.5-X4, Gel-Pak) by repeated exfoliation and subsequently deposited on a 10x10 mm</w:t>
      </w:r>
      <w:r w:rsidRPr="0029300F">
        <w:rPr>
          <w:vertAlign w:val="superscript"/>
          <w:lang w:val="en-US"/>
        </w:rPr>
        <w:t>2</w:t>
      </w:r>
      <w:r w:rsidRPr="0029300F">
        <w:rPr>
          <w:lang w:val="en-US"/>
        </w:rPr>
        <w:t xml:space="preserve"> chip cleaved from a standard 300 nm SiO</w:t>
      </w:r>
      <w:r w:rsidRPr="0029300F">
        <w:rPr>
          <w:vertAlign w:val="subscript"/>
          <w:lang w:val="en-US"/>
        </w:rPr>
        <w:t>2</w:t>
      </w:r>
      <w:r w:rsidRPr="0029300F">
        <w:rPr>
          <w:lang w:val="en-US"/>
        </w:rPr>
        <w:t xml:space="preserve"> wafer. The substrate was preliminary activated using Ar/O</w:t>
      </w:r>
      <w:r w:rsidRPr="0029300F">
        <w:rPr>
          <w:vertAlign w:val="subscript"/>
          <w:lang w:val="en-US"/>
        </w:rPr>
        <w:t>2</w:t>
      </w:r>
      <w:r w:rsidRPr="0029300F">
        <w:rPr>
          <w:lang w:val="en-US"/>
        </w:rPr>
        <w:t xml:space="preserve"> (98/2%) plasma cleaner for 15 min to increase adhesion. The flakes were deposited by exfoliation close to the edge of the substrate and baked at 343 K to enhance the contact between the layered material and the substrate. Afterwards, beam exit cross-sectional polishing (BEXP) was employed to cut the flakes at a small angle. The technique was performed with a Leica EM TIC 3X Triple Ion Beam Cutter system</w:t>
      </w:r>
      <w:r w:rsidRPr="005A7543">
        <w:rPr>
          <w:noProof/>
          <w:vertAlign w:val="superscript"/>
          <w:lang w:val="en-US"/>
        </w:rPr>
        <w:t xml:space="preserve"> [85]</w:t>
      </w:r>
      <w:r w:rsidRPr="0029300F">
        <w:rPr>
          <w:lang w:val="en-US"/>
        </w:rPr>
        <w:t xml:space="preserve"> using a custom-made sample stage to achieve a low-angle wedge cut as illustrated in </w:t>
      </w:r>
      <w:r w:rsidRPr="0029300F">
        <w:rPr>
          <w:lang w:val="en-US"/>
        </w:rPr>
        <w:fldChar w:fldCharType="begin"/>
      </w:r>
      <w:r w:rsidRPr="0029300F">
        <w:rPr>
          <w:lang w:val="en-US"/>
        </w:rPr>
        <w:instrText xml:space="preserve"> REF _Ref94811572 \h  \* MERGEFORMAT </w:instrText>
      </w:r>
      <w:r w:rsidRPr="0029300F">
        <w:rPr>
          <w:lang w:val="en-US"/>
        </w:rPr>
      </w:r>
      <w:r w:rsidRPr="0029300F">
        <w:rPr>
          <w:lang w:val="en-US"/>
        </w:rPr>
        <w:fldChar w:fldCharType="separate"/>
      </w:r>
      <w:r w:rsidRPr="0029300F">
        <w:rPr>
          <w:szCs w:val="24"/>
          <w:lang w:val="en-US"/>
        </w:rPr>
        <w:t xml:space="preserve">Figure </w:t>
      </w:r>
      <w:r w:rsidRPr="0029300F">
        <w:rPr>
          <w:noProof/>
          <w:szCs w:val="24"/>
          <w:lang w:val="en-US"/>
        </w:rPr>
        <w:t>1</w:t>
      </w:r>
      <w:r w:rsidRPr="0029300F">
        <w:rPr>
          <w:lang w:val="en-US"/>
        </w:rPr>
        <w:fldChar w:fldCharType="end"/>
      </w:r>
      <w:r w:rsidRPr="0029300F">
        <w:rPr>
          <w:lang w:val="en-US"/>
        </w:rPr>
        <w:t>. The cutting was performed at different steps, starting with 5 kV for 15 min of warm-up, followed by a 7 kV for 7 h of precise cut, and ending with a post-polishing at 5 kV for 30 min and 1 kV for 1 h.</w:t>
      </w:r>
    </w:p>
    <w:p w14:paraId="4E3FA076" w14:textId="77777777" w:rsidR="00AA6917" w:rsidRPr="0029300F" w:rsidRDefault="00AA6917" w:rsidP="00A419D1">
      <w:pPr>
        <w:spacing w:after="0" w:line="360" w:lineRule="auto"/>
        <w:rPr>
          <w:lang w:val="en-US"/>
        </w:rPr>
      </w:pPr>
      <w:r w:rsidRPr="0029300F">
        <w:rPr>
          <w:i/>
          <w:iCs/>
          <w:lang w:val="en-US"/>
        </w:rPr>
        <w:t>xSThM Experimental Characterization</w:t>
      </w:r>
      <w:r w:rsidRPr="0029300F">
        <w:rPr>
          <w:lang w:val="en-US"/>
        </w:rPr>
        <w:t>: The xSThM measurements were performed with an HV NT-MDT scanning thermal microscope with custom-built electronics (see SI, section S2) at a pressure of approximately 2×10</w:t>
      </w:r>
      <w:r w:rsidRPr="0029300F">
        <w:rPr>
          <w:vertAlign w:val="superscript"/>
          <w:lang w:val="en-US"/>
        </w:rPr>
        <w:t>-6</w:t>
      </w:r>
      <w:r w:rsidRPr="0029300F">
        <w:rPr>
          <w:lang w:val="en-US"/>
        </w:rPr>
        <w:t xml:space="preserve"> mbar and ambient temperature. A microfabricated Si</w:t>
      </w:r>
      <w:r w:rsidRPr="0029300F">
        <w:rPr>
          <w:vertAlign w:val="subscript"/>
          <w:lang w:val="en-US"/>
        </w:rPr>
        <w:t>3</w:t>
      </w:r>
      <w:r w:rsidRPr="0029300F">
        <w:rPr>
          <w:lang w:val="en-US"/>
        </w:rPr>
        <w:t>N</w:t>
      </w:r>
      <w:r w:rsidRPr="0029300F">
        <w:rPr>
          <w:vertAlign w:val="subscript"/>
          <w:lang w:val="en-US"/>
        </w:rPr>
        <w:t>4</w:t>
      </w:r>
      <w:r w:rsidRPr="0029300F">
        <w:rPr>
          <w:lang w:val="en-US"/>
        </w:rPr>
        <w:t xml:space="preserve"> SThM probe with a resistive palladium (Pd) heater with 0.4 Nm</w:t>
      </w:r>
      <w:r w:rsidRPr="0029300F">
        <w:rPr>
          <w:vertAlign w:val="superscript"/>
          <w:lang w:val="en-US"/>
        </w:rPr>
        <w:t>-1</w:t>
      </w:r>
      <w:r w:rsidRPr="0029300F">
        <w:rPr>
          <w:lang w:val="en-US"/>
        </w:rPr>
        <w:t xml:space="preserve"> spring constant and ~100 nm </w:t>
      </w:r>
      <w:bookmarkStart w:id="58" w:name="_Hlk109401144"/>
      <w:r w:rsidRPr="0029300F">
        <w:rPr>
          <w:lang w:val="en-US"/>
        </w:rPr>
        <w:t xml:space="preserve">tip radius was used at a minimal indentation setpoint to avoid mechanical influence on the scans </w:t>
      </w:r>
      <w:bookmarkEnd w:id="58"/>
      <w:r w:rsidRPr="0029300F">
        <w:rPr>
          <w:lang w:val="en-US"/>
        </w:rPr>
        <w:t xml:space="preserve">(KNT-SThM-2an, Kelvin Nanotechnology SThM probe). The probe heater formed part of the balanced Wheatstone bridge that was energized with 3 V DC and 4 V AC voltage with an AC frequency of 91 kHz. The output voltage was measured </w:t>
      </w:r>
      <w:r w:rsidRPr="0029300F">
        <w:rPr>
          <w:iCs/>
          <w:lang w:val="en-US"/>
        </w:rPr>
        <w:t>via</w:t>
      </w:r>
      <w:r w:rsidRPr="0029300F">
        <w:rPr>
          <w:lang w:val="en-US"/>
        </w:rPr>
        <w:t xml:space="preserve"> a lock-in amplifier (SRS 830), resulting in the xSThM thermal signal proportional to the temperature rise of the probe due to Joule heating with respect to ambient temperature (see details of the calibration in the SI, section S1).</w:t>
      </w:r>
    </w:p>
    <w:bookmarkEnd w:id="56"/>
    <w:p w14:paraId="4E3FA077" w14:textId="77777777" w:rsidR="00AA6917" w:rsidRPr="0029300F" w:rsidRDefault="00AA6917" w:rsidP="00A419D1">
      <w:pPr>
        <w:spacing w:after="0" w:line="360" w:lineRule="auto"/>
        <w:rPr>
          <w:lang w:val="en-US"/>
        </w:rPr>
      </w:pPr>
      <w:r w:rsidRPr="0029300F">
        <w:rPr>
          <w:i/>
          <w:iCs/>
          <w:lang w:val="en-US"/>
        </w:rPr>
        <w:t>Finite Element Analysis (FEA) Modelling</w:t>
      </w:r>
      <w:r w:rsidRPr="0029300F">
        <w:rPr>
          <w:lang w:val="en-US"/>
        </w:rPr>
        <w:t>: For the finite element simulation, we used COMSOL Multiphysics 5.6 software with the Heat Transfer module. Two geometries of the low-angle wedge as well as a single flat layer on the substrate were used. The comparison has shown that both models produced identical results for the wide range of</w:t>
      </w:r>
      <w:r w:rsidRPr="00342FBA">
        <w:rPr>
          <w:lang w:val="en-US"/>
        </w:rPr>
        <w:t xml:space="preserve"> </w:t>
      </w:r>
      <w:r w:rsidRPr="0029300F">
        <w:rPr>
          <w:lang w:val="en-US"/>
        </w:rPr>
        <w:t>the layer thermal conductivities (from 0.5 to 10 Wm</w:t>
      </w:r>
      <w:r w:rsidRPr="0029300F">
        <w:rPr>
          <w:vertAlign w:val="superscript"/>
          <w:lang w:val="en-US"/>
        </w:rPr>
        <w:t>-1</w:t>
      </w:r>
      <w:r w:rsidRPr="0029300F">
        <w:rPr>
          <w:lang w:val="en-US"/>
        </w:rPr>
        <w:t>K</w:t>
      </w:r>
      <w:r w:rsidRPr="0029300F">
        <w:rPr>
          <w:vertAlign w:val="superscript"/>
          <w:lang w:val="en-US"/>
        </w:rPr>
        <w:t>-1</w:t>
      </w:r>
      <w:r w:rsidRPr="0029300F">
        <w:rPr>
          <w:lang w:val="en-US"/>
        </w:rPr>
        <w:t xml:space="preserve">) within a 1% deviation. We used several mesh sizes and confirmed that the difference between them falls well within this error limit. Then, the single-layer model was used to simulate the thermal resistance of the sample for the multiparametric simulation, varying sample thickness from 2 to 256 nm, averaged thermal conductivity </w:t>
      </w:r>
      <w:r w:rsidRPr="0029300F">
        <w:rPr>
          <w:i/>
          <w:iCs/>
          <w:lang w:val="en-US"/>
        </w:rPr>
        <w:t>k</w:t>
      </w:r>
      <w:r w:rsidRPr="0029300F">
        <w:rPr>
          <w:vertAlign w:val="subscript"/>
          <w:lang w:val="en-US"/>
        </w:rPr>
        <w:t>a</w:t>
      </w:r>
      <w:r w:rsidRPr="0029300F">
        <w:rPr>
          <w:lang w:val="en-US"/>
        </w:rPr>
        <w:t xml:space="preserve"> from 0.5 to 10 Wm</w:t>
      </w:r>
      <w:r w:rsidRPr="0029300F">
        <w:rPr>
          <w:vertAlign w:val="superscript"/>
          <w:lang w:val="en-US"/>
        </w:rPr>
        <w:t>-1</w:t>
      </w:r>
      <w:r w:rsidRPr="0029300F">
        <w:rPr>
          <w:lang w:val="en-US"/>
        </w:rPr>
        <w:t>K</w:t>
      </w:r>
      <w:r w:rsidRPr="0029300F">
        <w:rPr>
          <w:vertAlign w:val="superscript"/>
          <w:lang w:val="en-US"/>
        </w:rPr>
        <w:t>-1</w:t>
      </w:r>
      <w:r w:rsidRPr="0029300F">
        <w:rPr>
          <w:lang w:val="en-US"/>
        </w:rPr>
        <w:t xml:space="preserve">, thermal anisotropy coefficient </w:t>
      </w:r>
      <w:r w:rsidRPr="0029300F">
        <w:rPr>
          <w:i/>
          <w:iCs/>
          <w:lang w:val="en-US"/>
        </w:rPr>
        <w:t>a</w:t>
      </w:r>
      <w:r w:rsidRPr="0029300F">
        <w:rPr>
          <w:vertAlign w:val="subscript"/>
          <w:lang w:val="en-US"/>
        </w:rPr>
        <w:t>r</w:t>
      </w:r>
      <w:r w:rsidRPr="0029300F">
        <w:rPr>
          <w:lang w:val="en-US"/>
        </w:rPr>
        <w:t xml:space="preserve"> from 1 to 10 and several values of the interfacial thermal resistivity from very low to 10</w:t>
      </w:r>
      <w:r w:rsidRPr="0029300F">
        <w:rPr>
          <w:vertAlign w:val="superscript"/>
          <w:lang w:val="en-US"/>
        </w:rPr>
        <w:t>-8</w:t>
      </w:r>
      <w:r w:rsidRPr="0029300F">
        <w:rPr>
          <w:lang w:val="en-US"/>
        </w:rPr>
        <w:t xml:space="preserve"> Km</w:t>
      </w:r>
      <w:r w:rsidRPr="0029300F">
        <w:rPr>
          <w:vertAlign w:val="superscript"/>
          <w:lang w:val="en-US"/>
        </w:rPr>
        <w:t>2</w:t>
      </w:r>
      <w:r w:rsidRPr="0029300F">
        <w:rPr>
          <w:lang w:val="en-US"/>
        </w:rPr>
        <w:t>W</w:t>
      </w:r>
      <w:r w:rsidRPr="0029300F">
        <w:rPr>
          <w:vertAlign w:val="superscript"/>
          <w:lang w:val="en-US"/>
        </w:rPr>
        <w:t>-1</w:t>
      </w:r>
      <w:r w:rsidRPr="0029300F">
        <w:rPr>
          <w:lang w:val="en-US"/>
        </w:rPr>
        <w:t xml:space="preserve"> (for details see SI, sections S3 and S8).</w:t>
      </w:r>
    </w:p>
    <w:p w14:paraId="4E3FA078" w14:textId="77777777" w:rsidR="00AA6917" w:rsidRPr="0029300F" w:rsidRDefault="00AA6917" w:rsidP="00A419D1">
      <w:pPr>
        <w:spacing w:after="0" w:line="360" w:lineRule="auto"/>
        <w:rPr>
          <w:lang w:val="en-US"/>
        </w:rPr>
      </w:pPr>
      <w:r w:rsidRPr="0029300F">
        <w:rPr>
          <w:i/>
          <w:iCs/>
          <w:lang w:val="en-US"/>
        </w:rPr>
        <w:t>Statistical Analysis</w:t>
      </w:r>
      <w:r w:rsidRPr="0029300F">
        <w:rPr>
          <w:lang w:val="en-US"/>
        </w:rPr>
        <w:t>: The data from the xSThM scans were processed only via offset flattening and noise elimination. The sample size was a reference SiO</w:t>
      </w:r>
      <w:r w:rsidRPr="0029300F">
        <w:rPr>
          <w:vertAlign w:val="subscript"/>
          <w:lang w:val="en-US"/>
        </w:rPr>
        <w:t>2</w:t>
      </w:r>
      <w:r w:rsidRPr="0029300F">
        <w:rPr>
          <w:lang w:val="en-US"/>
        </w:rPr>
        <w:t xml:space="preserve"> on Si structure for the isotropic and calibration measurements and a γ-InSe on Si sample for the main measurements and analysis.</w:t>
      </w:r>
    </w:p>
    <w:p w14:paraId="4E3FA079" w14:textId="77777777" w:rsidR="00AA6917" w:rsidRPr="0029300F" w:rsidRDefault="00AA6917" w:rsidP="00A419D1">
      <w:pPr>
        <w:spacing w:after="0" w:line="360" w:lineRule="auto"/>
        <w:rPr>
          <w:lang w:val="en-US"/>
        </w:rPr>
      </w:pPr>
    </w:p>
    <w:p w14:paraId="4E3FA07A" w14:textId="77777777" w:rsidR="00AA6917" w:rsidRPr="0029300F" w:rsidRDefault="00AA6917" w:rsidP="00A419D1">
      <w:pPr>
        <w:pStyle w:val="Ttulosinnumeracin"/>
        <w:rPr>
          <w:lang w:val="en-US"/>
        </w:rPr>
      </w:pPr>
      <w:r w:rsidRPr="0029300F">
        <w:rPr>
          <w:lang w:val="en-US"/>
        </w:rPr>
        <w:t>Supporting Information</w:t>
      </w:r>
    </w:p>
    <w:p w14:paraId="4E3FA07B" w14:textId="77777777" w:rsidR="00AA6917" w:rsidRPr="0029300F" w:rsidRDefault="00AA6917" w:rsidP="00A419D1">
      <w:pPr>
        <w:spacing w:after="0" w:line="360" w:lineRule="auto"/>
        <w:rPr>
          <w:lang w:val="en-US"/>
        </w:rPr>
      </w:pPr>
      <w:r w:rsidRPr="0029300F">
        <w:rPr>
          <w:lang w:val="en-US"/>
        </w:rPr>
        <w:t>Supporting Information is available from the Wiley Online Library or from the author.</w:t>
      </w:r>
    </w:p>
    <w:p w14:paraId="4E3FA07C" w14:textId="77777777" w:rsidR="00AA6917" w:rsidRPr="0029300F" w:rsidRDefault="00AA6917" w:rsidP="00A419D1">
      <w:pPr>
        <w:spacing w:after="0" w:line="360" w:lineRule="auto"/>
        <w:rPr>
          <w:lang w:val="en-US"/>
        </w:rPr>
      </w:pPr>
    </w:p>
    <w:p w14:paraId="4E3FA07D" w14:textId="77777777" w:rsidR="00AA6917" w:rsidRPr="0029300F" w:rsidRDefault="00AA6917" w:rsidP="00A419D1">
      <w:pPr>
        <w:pStyle w:val="Ttulosinnumeracin"/>
        <w:rPr>
          <w:lang w:val="en-US"/>
        </w:rPr>
      </w:pPr>
      <w:r w:rsidRPr="0029300F">
        <w:rPr>
          <w:lang w:val="en-US"/>
        </w:rPr>
        <w:t>Acknowledgements</w:t>
      </w:r>
    </w:p>
    <w:p w14:paraId="4E3FA07E" w14:textId="77777777" w:rsidR="00AA6917" w:rsidRPr="0029300F" w:rsidRDefault="00AA6917" w:rsidP="00A419D1">
      <w:pPr>
        <w:spacing w:after="0" w:line="360" w:lineRule="auto"/>
        <w:rPr>
          <w:lang w:val="en-US"/>
        </w:rPr>
      </w:pPr>
      <w:r w:rsidRPr="0029300F">
        <w:rPr>
          <w:lang w:val="en-US"/>
        </w:rPr>
        <w:t>Authors are grateful to Dr. Charalambos Evangeli from the University of Oxford and Dr. Yue Chen and Dr. Alexander Robson from Lancaster University for an insightful discussion on the SThM and BEXP measurements. We also acknowledge the financial and technical support from Bruker, NT-MDT, and LEICA Microsystems. The support of the European Graphene Flagship Core3 project (grant agreement no. 881603), NPL Quantum Programme (BEIS), EPSRC EP/V00767X/1 HiWiN project, UKRI Nexgenna project, and Paul Instrument Fund (c/o The Royal Society) is fully appreciated.</w:t>
      </w:r>
    </w:p>
    <w:p w14:paraId="4E3FA07F" w14:textId="77777777" w:rsidR="00AA6917" w:rsidRPr="0029300F" w:rsidRDefault="00AA6917" w:rsidP="00A419D1">
      <w:pPr>
        <w:spacing w:after="0" w:line="360" w:lineRule="auto"/>
        <w:rPr>
          <w:lang w:val="en-US"/>
        </w:rPr>
      </w:pPr>
    </w:p>
    <w:p w14:paraId="4E3FA080" w14:textId="77777777" w:rsidR="00AA6917" w:rsidRPr="0029300F" w:rsidRDefault="00AA6917" w:rsidP="00A419D1">
      <w:pPr>
        <w:pStyle w:val="Ttulosinnumeracin"/>
        <w:rPr>
          <w:lang w:val="en-US"/>
        </w:rPr>
      </w:pPr>
      <w:r w:rsidRPr="0029300F">
        <w:rPr>
          <w:lang w:val="en-US"/>
        </w:rPr>
        <w:t>Conflict of Interest</w:t>
      </w:r>
    </w:p>
    <w:p w14:paraId="4E3FA081" w14:textId="77777777" w:rsidR="00AA6917" w:rsidRPr="0029300F" w:rsidRDefault="00AA6917" w:rsidP="00A419D1">
      <w:pPr>
        <w:spacing w:after="0" w:line="360" w:lineRule="auto"/>
        <w:rPr>
          <w:lang w:val="en-US"/>
        </w:rPr>
      </w:pPr>
      <w:r w:rsidRPr="0029300F">
        <w:rPr>
          <w:lang w:val="en-US"/>
        </w:rPr>
        <w:t>The authors declare no conflict of interest.</w:t>
      </w:r>
    </w:p>
    <w:p w14:paraId="4E3FA082" w14:textId="77777777" w:rsidR="00AA6917" w:rsidRPr="0029300F" w:rsidRDefault="00AA6917" w:rsidP="00A419D1">
      <w:pPr>
        <w:spacing w:after="0" w:line="360" w:lineRule="auto"/>
        <w:rPr>
          <w:lang w:val="en-US"/>
        </w:rPr>
      </w:pPr>
    </w:p>
    <w:p w14:paraId="4E3FA083" w14:textId="77777777" w:rsidR="00AA6917" w:rsidRPr="0029300F" w:rsidRDefault="00AA6917" w:rsidP="00A419D1">
      <w:pPr>
        <w:pStyle w:val="Ttulosinnumeracin"/>
        <w:rPr>
          <w:lang w:val="en-US"/>
        </w:rPr>
      </w:pPr>
      <w:r w:rsidRPr="0029300F">
        <w:rPr>
          <w:lang w:val="en-US"/>
        </w:rPr>
        <w:t>Author Contributions</w:t>
      </w:r>
    </w:p>
    <w:p w14:paraId="4E3FA084" w14:textId="77777777" w:rsidR="00AA6917" w:rsidRPr="0029300F" w:rsidRDefault="00AA6917" w:rsidP="00A419D1">
      <w:pPr>
        <w:spacing w:after="0" w:line="360" w:lineRule="auto"/>
        <w:rPr>
          <w:lang w:val="en-US"/>
        </w:rPr>
      </w:pPr>
      <w:r w:rsidRPr="0029300F">
        <w:rPr>
          <w:lang w:val="en-US"/>
        </w:rPr>
        <w:t>S.G.M., O.V.K., K.A., and E.G.C. conceived the study, the development steps, and its realization. Z.D.K. and Z.R.K. synthesized the bulk γ-InSe crystal. Z.R.K., O.K., and A.P. provided the analysis of the γ-InSe sample structure, physical behavior, and nanoscale heat transport. S.G.M. prepared the γ-InSe/Si sample with the help of E.G.C. and performed the BEXP cut on SiO</w:t>
      </w:r>
      <w:r w:rsidRPr="0029300F">
        <w:rPr>
          <w:vertAlign w:val="subscript"/>
          <w:lang w:val="en-US"/>
        </w:rPr>
        <w:t>2</w:t>
      </w:r>
      <w:r w:rsidRPr="0029300F">
        <w:rPr>
          <w:lang w:val="en-US"/>
        </w:rPr>
        <w:t xml:space="preserve">/Si and γ-InSe/Si samples. S.G.M., K.A., E.G.C., and O.V.K. performed the xSThM measurements on both samples. K.A. performed the probe calibration, the ambient </w:t>
      </w:r>
      <w:r w:rsidRPr="0029300F">
        <w:rPr>
          <w:i/>
          <w:iCs/>
          <w:lang w:val="en-US"/>
        </w:rPr>
        <w:t>V</w:t>
      </w:r>
      <w:r w:rsidRPr="0029300F">
        <w:rPr>
          <w:vertAlign w:val="subscript"/>
          <w:lang w:val="en-US"/>
        </w:rPr>
        <w:t>nc</w:t>
      </w:r>
      <w:r w:rsidRPr="0029300F">
        <w:rPr>
          <w:lang w:val="en-US"/>
        </w:rPr>
        <w:t xml:space="preserve"> measurements, and, jointly with E.G.C. and S.G.M., the flat layers measurements. S.G.M. performed the data analysis and analytical modeling with the contribution of J.S., O.V.K., and K.A.. S.G.M. and O.V.K. performed the FEA modeling. S.G.M., O.V.K., and K.A. provided the interpretation of the obtained results from the experiments, the analytical model, and the FEA simulation. S.G.M. provided the initial draft of the manuscript. All authors contributed to the discussions and modification of the draft, its final version, and a revision.</w:t>
      </w:r>
    </w:p>
    <w:p w14:paraId="4E3FA085" w14:textId="77777777" w:rsidR="00AA6917" w:rsidRPr="0029300F" w:rsidRDefault="00AA6917" w:rsidP="00A419D1">
      <w:pPr>
        <w:spacing w:after="0" w:line="360" w:lineRule="auto"/>
        <w:rPr>
          <w:lang w:val="en-US"/>
        </w:rPr>
      </w:pPr>
    </w:p>
    <w:p w14:paraId="4E3FA086" w14:textId="77777777" w:rsidR="00AA6917" w:rsidRPr="0029300F" w:rsidRDefault="00AA6917" w:rsidP="00A419D1">
      <w:pPr>
        <w:pStyle w:val="Ttulosinnumeracin"/>
        <w:rPr>
          <w:lang w:val="en-US"/>
        </w:rPr>
      </w:pPr>
      <w:r w:rsidRPr="0029300F">
        <w:rPr>
          <w:lang w:val="en-US"/>
        </w:rPr>
        <w:t>Data Availability Statement</w:t>
      </w:r>
    </w:p>
    <w:p w14:paraId="4E3FA087" w14:textId="77777777" w:rsidR="00AA6917" w:rsidRPr="00342FBA" w:rsidRDefault="00AA6917" w:rsidP="00A419D1">
      <w:pPr>
        <w:spacing w:after="0" w:line="360" w:lineRule="auto"/>
        <w:rPr>
          <w:lang w:val="en-US"/>
        </w:rPr>
      </w:pPr>
      <w:r w:rsidRPr="0029300F">
        <w:rPr>
          <w:lang w:val="en-US"/>
        </w:rPr>
        <w:t>The data that support the findings of this study are available from the corresponding author upon reasonable request.</w:t>
      </w:r>
    </w:p>
    <w:p w14:paraId="4E3FA088" w14:textId="77777777" w:rsidR="00AA6917" w:rsidRPr="00342FBA" w:rsidRDefault="00AA6917" w:rsidP="00A419D1">
      <w:pPr>
        <w:spacing w:after="0" w:line="360" w:lineRule="auto"/>
        <w:rPr>
          <w:lang w:val="en-US"/>
        </w:rPr>
      </w:pPr>
    </w:p>
    <w:p w14:paraId="4E3FA089" w14:textId="77777777" w:rsidR="00AA6917" w:rsidRPr="00342FBA" w:rsidRDefault="00AA6917" w:rsidP="00A419D1">
      <w:pPr>
        <w:rPr>
          <w:lang w:val="en-US"/>
        </w:rPr>
      </w:pPr>
      <w:r w:rsidRPr="00342FBA">
        <w:rPr>
          <w:lang w:val="en-US"/>
        </w:rPr>
        <w:t>References</w:t>
      </w:r>
    </w:p>
    <w:p w14:paraId="4E3FA08A" w14:textId="77777777" w:rsidR="00AA6917" w:rsidRPr="005A7543" w:rsidRDefault="00AA6917" w:rsidP="00A419D1">
      <w:pPr>
        <w:pStyle w:val="EndNoteBibliography"/>
        <w:spacing w:after="0"/>
        <w:ind w:left="720" w:hanging="720"/>
      </w:pPr>
      <w:bookmarkStart w:id="59" w:name="_ENREF_1"/>
      <w:r w:rsidRPr="005A7543">
        <w:t>[1]</w:t>
      </w:r>
      <w:r w:rsidRPr="005A7543">
        <w:tab/>
        <w:t xml:space="preserve">D. Akinwande, C. J. Brennan, J. S. Bunch, P. Egberts, J. R. Felts, H. Gao, R. Huang, J.-S. Kim, T. Li, Y. Li, K. M. Liechti, N. Lu, H. S. Park, E. J. Reed, P. Wang, B. I. Yakobson, T. Zhang, Y.-W. Zhang, Y. Zhou, Y. Zhu, </w:t>
      </w:r>
      <w:r w:rsidRPr="005A7543">
        <w:rPr>
          <w:i/>
        </w:rPr>
        <w:t>Extreme Mechanics Letters</w:t>
      </w:r>
      <w:r w:rsidRPr="005A7543">
        <w:t xml:space="preserve"> </w:t>
      </w:r>
      <w:r w:rsidRPr="005A7543">
        <w:rPr>
          <w:b/>
        </w:rPr>
        <w:t>2017</w:t>
      </w:r>
      <w:r w:rsidRPr="005A7543">
        <w:t>, 13, 42.</w:t>
      </w:r>
      <w:bookmarkEnd w:id="59"/>
    </w:p>
    <w:p w14:paraId="4E3FA08B" w14:textId="77777777" w:rsidR="00AA6917" w:rsidRPr="005A7543" w:rsidRDefault="00AA6917" w:rsidP="00A419D1">
      <w:pPr>
        <w:pStyle w:val="EndNoteBibliography"/>
        <w:spacing w:after="0"/>
        <w:ind w:left="720" w:hanging="720"/>
      </w:pPr>
      <w:bookmarkStart w:id="60" w:name="_ENREF_2"/>
      <w:r w:rsidRPr="005A7543">
        <w:t>[2]</w:t>
      </w:r>
      <w:r w:rsidRPr="005A7543">
        <w:tab/>
        <w:t xml:space="preserve">M. Bernardi, C. Ataca, M. Palummo, J. C. Grossman, </w:t>
      </w:r>
      <w:r w:rsidRPr="005A7543">
        <w:rPr>
          <w:i/>
        </w:rPr>
        <w:t>Nanophotonics</w:t>
      </w:r>
      <w:r w:rsidRPr="005A7543">
        <w:t xml:space="preserve"> </w:t>
      </w:r>
      <w:r w:rsidRPr="005A7543">
        <w:rPr>
          <w:b/>
        </w:rPr>
        <w:t>2017</w:t>
      </w:r>
      <w:r w:rsidRPr="005A7543">
        <w:t>, 6, 479.</w:t>
      </w:r>
      <w:bookmarkEnd w:id="60"/>
    </w:p>
    <w:p w14:paraId="4E3FA08C" w14:textId="77777777" w:rsidR="00AA6917" w:rsidRPr="005A7543" w:rsidRDefault="00AA6917" w:rsidP="00A419D1">
      <w:pPr>
        <w:pStyle w:val="EndNoteBibliography"/>
        <w:spacing w:after="0"/>
        <w:ind w:left="720" w:hanging="720"/>
      </w:pPr>
      <w:bookmarkStart w:id="61" w:name="_ENREF_3"/>
      <w:r w:rsidRPr="005A7543">
        <w:t>[3]</w:t>
      </w:r>
      <w:r w:rsidRPr="005A7543">
        <w:tab/>
        <w:t xml:space="preserve">H. Wang, G. Qin, G. Li, Q. Wang, M. Hu, </w:t>
      </w:r>
      <w:r w:rsidRPr="005A7543">
        <w:rPr>
          <w:i/>
        </w:rPr>
        <w:t>Phys. Chem. Chem. Phys.</w:t>
      </w:r>
      <w:r w:rsidRPr="005A7543">
        <w:t xml:space="preserve"> </w:t>
      </w:r>
      <w:r w:rsidRPr="005A7543">
        <w:rPr>
          <w:b/>
        </w:rPr>
        <w:t>2017</w:t>
      </w:r>
      <w:r w:rsidRPr="005A7543">
        <w:t>, 19, 12882.</w:t>
      </w:r>
      <w:bookmarkEnd w:id="61"/>
    </w:p>
    <w:p w14:paraId="4E3FA08D" w14:textId="77777777" w:rsidR="00AA6917" w:rsidRPr="005A7543" w:rsidRDefault="00AA6917" w:rsidP="00A419D1">
      <w:pPr>
        <w:pStyle w:val="EndNoteBibliography"/>
        <w:spacing w:after="0"/>
        <w:ind w:left="720" w:hanging="720"/>
      </w:pPr>
      <w:bookmarkStart w:id="62" w:name="_ENREF_4"/>
      <w:r w:rsidRPr="005A7543">
        <w:t>[4]</w:t>
      </w:r>
      <w:r w:rsidRPr="005A7543">
        <w:tab/>
        <w:t xml:space="preserve">Z. Tong, T. Dumitrică, T. Frauenheim, </w:t>
      </w:r>
      <w:r w:rsidRPr="005A7543">
        <w:rPr>
          <w:i/>
        </w:rPr>
        <w:t>Nano Lett.</w:t>
      </w:r>
      <w:r w:rsidRPr="005A7543">
        <w:t xml:space="preserve"> </w:t>
      </w:r>
      <w:r w:rsidRPr="005A7543">
        <w:rPr>
          <w:b/>
        </w:rPr>
        <w:t>2021</w:t>
      </w:r>
      <w:r w:rsidRPr="005A7543">
        <w:t>, 21, 4351.</w:t>
      </w:r>
      <w:bookmarkEnd w:id="62"/>
    </w:p>
    <w:p w14:paraId="4E3FA08E" w14:textId="77777777" w:rsidR="00AA6917" w:rsidRPr="005A7543" w:rsidRDefault="00AA6917" w:rsidP="00A419D1">
      <w:pPr>
        <w:pStyle w:val="EndNoteBibliography"/>
        <w:spacing w:after="0"/>
        <w:ind w:left="720" w:hanging="720"/>
      </w:pPr>
      <w:bookmarkStart w:id="63" w:name="_ENREF_5"/>
      <w:r w:rsidRPr="005A7543">
        <w:t>[5]</w:t>
      </w:r>
      <w:r w:rsidRPr="005A7543">
        <w:tab/>
        <w:t xml:space="preserve">K. S. Novoselov, A. Mishchenko, A. Carvalho, A. H. Castro Neto, </w:t>
      </w:r>
      <w:r w:rsidRPr="005A7543">
        <w:rPr>
          <w:i/>
        </w:rPr>
        <w:t>Science</w:t>
      </w:r>
      <w:r w:rsidRPr="005A7543">
        <w:t xml:space="preserve"> </w:t>
      </w:r>
      <w:r w:rsidRPr="005A7543">
        <w:rPr>
          <w:b/>
        </w:rPr>
        <w:t>2016</w:t>
      </w:r>
      <w:r w:rsidRPr="005A7543">
        <w:t>, 353, aac9439.</w:t>
      </w:r>
      <w:bookmarkEnd w:id="63"/>
    </w:p>
    <w:p w14:paraId="4E3FA08F" w14:textId="77777777" w:rsidR="00AA6917" w:rsidRPr="005A7543" w:rsidRDefault="00AA6917" w:rsidP="00A419D1">
      <w:pPr>
        <w:pStyle w:val="EndNoteBibliography"/>
        <w:spacing w:after="0"/>
        <w:ind w:left="720" w:hanging="720"/>
      </w:pPr>
      <w:bookmarkStart w:id="64" w:name="_ENREF_6"/>
      <w:r w:rsidRPr="005A7543">
        <w:t>[6]</w:t>
      </w:r>
      <w:r w:rsidRPr="005A7543">
        <w:tab/>
        <w:t xml:space="preserve">B. V. Lotsch, </w:t>
      </w:r>
      <w:r w:rsidRPr="005A7543">
        <w:rPr>
          <w:i/>
        </w:rPr>
        <w:t>Annu. Rev. Mater. Res.</w:t>
      </w:r>
      <w:r w:rsidRPr="005A7543">
        <w:t xml:space="preserve"> </w:t>
      </w:r>
      <w:r w:rsidRPr="005A7543">
        <w:rPr>
          <w:b/>
        </w:rPr>
        <w:t>2015</w:t>
      </w:r>
      <w:r w:rsidRPr="005A7543">
        <w:t>, 45, 85.</w:t>
      </w:r>
      <w:bookmarkEnd w:id="64"/>
    </w:p>
    <w:p w14:paraId="4E3FA090" w14:textId="77777777" w:rsidR="00AA6917" w:rsidRPr="005A7543" w:rsidRDefault="00AA6917" w:rsidP="00A419D1">
      <w:pPr>
        <w:pStyle w:val="EndNoteBibliography"/>
        <w:spacing w:after="0"/>
        <w:ind w:left="720" w:hanging="720"/>
      </w:pPr>
      <w:bookmarkStart w:id="65" w:name="_ENREF_7"/>
      <w:r w:rsidRPr="005A7543">
        <w:t>[7]</w:t>
      </w:r>
      <w:r w:rsidRPr="005A7543">
        <w:tab/>
        <w:t xml:space="preserve">K. S. Novoselov, D. Jiang, F. Schedin, T. J. Booth, V. V. Khotkevich, S. V. Morozov, A. K. Geim, </w:t>
      </w:r>
      <w:r w:rsidRPr="005A7543">
        <w:rPr>
          <w:i/>
        </w:rPr>
        <w:t>Proc. Natl. Acad. Sci. U. S. A.</w:t>
      </w:r>
      <w:r w:rsidRPr="005A7543">
        <w:t xml:space="preserve"> </w:t>
      </w:r>
      <w:r w:rsidRPr="005A7543">
        <w:rPr>
          <w:b/>
        </w:rPr>
        <w:t>2005</w:t>
      </w:r>
      <w:r w:rsidRPr="005A7543">
        <w:t>, 102, 10451.</w:t>
      </w:r>
      <w:bookmarkEnd w:id="65"/>
    </w:p>
    <w:p w14:paraId="4E3FA091" w14:textId="77777777" w:rsidR="00AA6917" w:rsidRPr="005A7543" w:rsidRDefault="00AA6917" w:rsidP="00A419D1">
      <w:pPr>
        <w:pStyle w:val="EndNoteBibliography"/>
        <w:spacing w:after="0"/>
        <w:ind w:left="720" w:hanging="720"/>
      </w:pPr>
      <w:bookmarkStart w:id="66" w:name="_ENREF_8"/>
      <w:r w:rsidRPr="005A7543">
        <w:t>[8]</w:t>
      </w:r>
      <w:r w:rsidRPr="005A7543">
        <w:tab/>
        <w:t xml:space="preserve">K. S. Novoselov, A. K. Geim, S. V. Morozov, D. Jiang, Y. Zhang, S. V. Dubonos, I. V. Grigorieva, A. A. Firsov, </w:t>
      </w:r>
      <w:r w:rsidRPr="005A7543">
        <w:rPr>
          <w:i/>
        </w:rPr>
        <w:t>Science</w:t>
      </w:r>
      <w:r w:rsidRPr="005A7543">
        <w:t xml:space="preserve"> </w:t>
      </w:r>
      <w:r w:rsidRPr="005A7543">
        <w:rPr>
          <w:b/>
        </w:rPr>
        <w:t>2004</w:t>
      </w:r>
      <w:r w:rsidRPr="005A7543">
        <w:t>, 306, 666.</w:t>
      </w:r>
      <w:bookmarkEnd w:id="66"/>
    </w:p>
    <w:p w14:paraId="4E3FA092" w14:textId="77777777" w:rsidR="00AA6917" w:rsidRPr="005A7543" w:rsidRDefault="00AA6917" w:rsidP="00A419D1">
      <w:pPr>
        <w:pStyle w:val="EndNoteBibliography"/>
        <w:spacing w:after="0"/>
        <w:ind w:left="720" w:hanging="720"/>
      </w:pPr>
      <w:bookmarkStart w:id="67" w:name="_ENREF_9"/>
      <w:r w:rsidRPr="005A7543">
        <w:t>[9]</w:t>
      </w:r>
      <w:r w:rsidRPr="005A7543">
        <w:tab/>
        <w:t xml:space="preserve">X.-Y. Fang, X.-X. Yu, H.-M. Zheng, H.-B. Jin, L. Wang, M.-S. Cao, </w:t>
      </w:r>
      <w:r w:rsidRPr="005A7543">
        <w:rPr>
          <w:i/>
        </w:rPr>
        <w:t>Phys. Lett. A</w:t>
      </w:r>
      <w:r w:rsidRPr="005A7543">
        <w:t xml:space="preserve"> </w:t>
      </w:r>
      <w:r w:rsidRPr="005A7543">
        <w:rPr>
          <w:b/>
        </w:rPr>
        <w:t>2015</w:t>
      </w:r>
      <w:r w:rsidRPr="005A7543">
        <w:t>, 379, 2245.</w:t>
      </w:r>
      <w:bookmarkEnd w:id="67"/>
    </w:p>
    <w:p w14:paraId="4E3FA093" w14:textId="77777777" w:rsidR="00AA6917" w:rsidRPr="005A7543" w:rsidRDefault="00AA6917" w:rsidP="00A419D1">
      <w:pPr>
        <w:pStyle w:val="EndNoteBibliography"/>
        <w:spacing w:after="0"/>
        <w:ind w:left="720" w:hanging="720"/>
      </w:pPr>
      <w:bookmarkStart w:id="68" w:name="_ENREF_10"/>
      <w:r w:rsidRPr="005A7543">
        <w:t>[10]</w:t>
      </w:r>
      <w:r w:rsidRPr="005A7543">
        <w:tab/>
        <w:t xml:space="preserve">R. S. Chen, C. C. Tang, W. C. Shen, Y. S. Huang, </w:t>
      </w:r>
      <w:r w:rsidRPr="005A7543">
        <w:rPr>
          <w:i/>
        </w:rPr>
        <w:t>Nanotechnology</w:t>
      </w:r>
      <w:r w:rsidRPr="005A7543">
        <w:t xml:space="preserve"> </w:t>
      </w:r>
      <w:r w:rsidRPr="005A7543">
        <w:rPr>
          <w:b/>
        </w:rPr>
        <w:t>2014</w:t>
      </w:r>
      <w:r w:rsidRPr="005A7543">
        <w:t>, 25, 9.</w:t>
      </w:r>
      <w:bookmarkEnd w:id="68"/>
    </w:p>
    <w:p w14:paraId="4E3FA094" w14:textId="77777777" w:rsidR="00AA6917" w:rsidRPr="005A7543" w:rsidRDefault="00AA6917" w:rsidP="00A419D1">
      <w:pPr>
        <w:pStyle w:val="EndNoteBibliography"/>
        <w:spacing w:after="0"/>
        <w:ind w:left="720" w:hanging="720"/>
      </w:pPr>
      <w:bookmarkStart w:id="69" w:name="_ENREF_11"/>
      <w:r w:rsidRPr="005A7543">
        <w:t>[11]</w:t>
      </w:r>
      <w:r w:rsidRPr="005A7543">
        <w:tab/>
        <w:t xml:space="preserve">S. Zhou, X. Tao, Y. Gu, </w:t>
      </w:r>
      <w:r w:rsidRPr="005A7543">
        <w:rPr>
          <w:i/>
        </w:rPr>
        <w:t>J. Phys. Chem. C</w:t>
      </w:r>
      <w:r w:rsidRPr="005A7543">
        <w:t xml:space="preserve"> </w:t>
      </w:r>
      <w:r w:rsidRPr="005A7543">
        <w:rPr>
          <w:b/>
        </w:rPr>
        <w:t>2016</w:t>
      </w:r>
      <w:r w:rsidRPr="005A7543">
        <w:t>, 120, 4753.</w:t>
      </w:r>
      <w:bookmarkEnd w:id="69"/>
    </w:p>
    <w:p w14:paraId="4E3FA095" w14:textId="77777777" w:rsidR="00AA6917" w:rsidRPr="005A7543" w:rsidRDefault="00AA6917" w:rsidP="00A419D1">
      <w:pPr>
        <w:pStyle w:val="EndNoteBibliography"/>
        <w:spacing w:after="0"/>
        <w:ind w:left="720" w:hanging="720"/>
      </w:pPr>
      <w:bookmarkStart w:id="70" w:name="_ENREF_12"/>
      <w:r w:rsidRPr="005A7543">
        <w:t>[12]</w:t>
      </w:r>
      <w:r w:rsidRPr="005A7543">
        <w:tab/>
        <w:t xml:space="preserve">W. Jang, Z. Chen, W. Bao, C. N. Lau, C. Dames, </w:t>
      </w:r>
      <w:r w:rsidRPr="005A7543">
        <w:rPr>
          <w:i/>
        </w:rPr>
        <w:t>Nano Letters</w:t>
      </w:r>
      <w:r w:rsidRPr="005A7543">
        <w:t xml:space="preserve"> </w:t>
      </w:r>
      <w:r w:rsidRPr="005A7543">
        <w:rPr>
          <w:b/>
        </w:rPr>
        <w:t>2010</w:t>
      </w:r>
      <w:r w:rsidRPr="005A7543">
        <w:t>, 10, 3909.</w:t>
      </w:r>
      <w:bookmarkEnd w:id="70"/>
    </w:p>
    <w:p w14:paraId="4E3FA096" w14:textId="77777777" w:rsidR="00AA6917" w:rsidRPr="005A7543" w:rsidRDefault="00AA6917" w:rsidP="00A419D1">
      <w:pPr>
        <w:pStyle w:val="EndNoteBibliography"/>
        <w:spacing w:after="0"/>
        <w:ind w:left="720" w:hanging="720"/>
      </w:pPr>
      <w:bookmarkStart w:id="71" w:name="_ENREF_13"/>
      <w:r w:rsidRPr="005A7543">
        <w:t>[13]</w:t>
      </w:r>
      <w:r w:rsidRPr="005A7543">
        <w:tab/>
        <w:t xml:space="preserve">B. J. Robinson, C. E. Giusca, Y. T. Gonzalez, N. D. Kay, O. Kazakova, O. V. Kolosov, </w:t>
      </w:r>
      <w:r w:rsidRPr="005A7543">
        <w:rPr>
          <w:i/>
        </w:rPr>
        <w:t>2D Materials</w:t>
      </w:r>
      <w:r w:rsidRPr="005A7543">
        <w:t xml:space="preserve"> </w:t>
      </w:r>
      <w:r w:rsidRPr="005A7543">
        <w:rPr>
          <w:b/>
        </w:rPr>
        <w:t>2015</w:t>
      </w:r>
      <w:r w:rsidRPr="005A7543">
        <w:t>, 2.</w:t>
      </w:r>
      <w:bookmarkEnd w:id="71"/>
    </w:p>
    <w:p w14:paraId="4E3FA097" w14:textId="77777777" w:rsidR="00AA6917" w:rsidRPr="005A7543" w:rsidRDefault="00AA6917" w:rsidP="00A419D1">
      <w:pPr>
        <w:pStyle w:val="EndNoteBibliography"/>
        <w:spacing w:after="0"/>
        <w:ind w:left="720" w:hanging="720"/>
      </w:pPr>
      <w:bookmarkStart w:id="72" w:name="_ENREF_14"/>
      <w:r w:rsidRPr="005A7543">
        <w:t>[14]</w:t>
      </w:r>
      <w:r w:rsidRPr="005A7543">
        <w:tab/>
        <w:t xml:space="preserve">L. M. Sandonas, G. Cuba-Supanta, R. Gutierrez, A. Dianat, C. V. Landauro, G. Cuniberti, </w:t>
      </w:r>
      <w:r w:rsidRPr="005A7543">
        <w:rPr>
          <w:i/>
        </w:rPr>
        <w:t>Carbon</w:t>
      </w:r>
      <w:r w:rsidRPr="005A7543">
        <w:t xml:space="preserve"> </w:t>
      </w:r>
      <w:r w:rsidRPr="005A7543">
        <w:rPr>
          <w:b/>
        </w:rPr>
        <w:t>2017</w:t>
      </w:r>
      <w:r w:rsidRPr="005A7543">
        <w:t>, 124, 642.</w:t>
      </w:r>
      <w:bookmarkEnd w:id="72"/>
    </w:p>
    <w:p w14:paraId="4E3FA098" w14:textId="77777777" w:rsidR="00AA6917" w:rsidRPr="005A7543" w:rsidRDefault="00AA6917" w:rsidP="00A419D1">
      <w:pPr>
        <w:pStyle w:val="EndNoteBibliography"/>
        <w:spacing w:after="0"/>
        <w:ind w:left="720" w:hanging="720"/>
      </w:pPr>
      <w:bookmarkStart w:id="73" w:name="_ENREF_15"/>
      <w:r w:rsidRPr="005A7543">
        <w:t>[15]</w:t>
      </w:r>
      <w:r w:rsidRPr="005A7543">
        <w:tab/>
        <w:t xml:space="preserve">Z. Lin, A. McNamara, Y. Liu, K.-s. Moon, C.-P. Wong, </w:t>
      </w:r>
      <w:r w:rsidRPr="005A7543">
        <w:rPr>
          <w:i/>
        </w:rPr>
        <w:t>Composites Science and Technology</w:t>
      </w:r>
      <w:r w:rsidRPr="005A7543">
        <w:t xml:space="preserve"> </w:t>
      </w:r>
      <w:r w:rsidRPr="005A7543">
        <w:rPr>
          <w:b/>
        </w:rPr>
        <w:t>2014</w:t>
      </w:r>
      <w:r w:rsidRPr="005A7543">
        <w:t>, 90, 123.</w:t>
      </w:r>
      <w:bookmarkEnd w:id="73"/>
    </w:p>
    <w:p w14:paraId="4E3FA099" w14:textId="77777777" w:rsidR="00AA6917" w:rsidRPr="005A7543" w:rsidRDefault="00AA6917" w:rsidP="00A419D1">
      <w:pPr>
        <w:pStyle w:val="EndNoteBibliography"/>
        <w:spacing w:after="0"/>
        <w:ind w:left="720" w:hanging="720"/>
      </w:pPr>
      <w:bookmarkStart w:id="74" w:name="_ENREF_16"/>
      <w:r w:rsidRPr="005A7543">
        <w:t>[16]</w:t>
      </w:r>
      <w:r w:rsidRPr="005A7543">
        <w:tab/>
        <w:t xml:space="preserve">E. Fleming, I. Kholmanov, L. Shi, </w:t>
      </w:r>
      <w:r w:rsidRPr="005A7543">
        <w:rPr>
          <w:i/>
        </w:rPr>
        <w:t>Carbon</w:t>
      </w:r>
      <w:r w:rsidRPr="005A7543">
        <w:t xml:space="preserve"> </w:t>
      </w:r>
      <w:r w:rsidRPr="005A7543">
        <w:rPr>
          <w:b/>
        </w:rPr>
        <w:t>2018</w:t>
      </w:r>
      <w:r w:rsidRPr="005A7543">
        <w:t>, 136, 380.</w:t>
      </w:r>
      <w:bookmarkEnd w:id="74"/>
    </w:p>
    <w:p w14:paraId="4E3FA09A" w14:textId="77777777" w:rsidR="00AA6917" w:rsidRPr="005A7543" w:rsidRDefault="00AA6917" w:rsidP="00A419D1">
      <w:pPr>
        <w:pStyle w:val="EndNoteBibliography"/>
        <w:spacing w:after="0"/>
        <w:ind w:left="720" w:hanging="720"/>
      </w:pPr>
      <w:bookmarkStart w:id="75" w:name="_ENREF_17"/>
      <w:r w:rsidRPr="005A7543">
        <w:t>[17]</w:t>
      </w:r>
      <w:r w:rsidRPr="005A7543">
        <w:tab/>
        <w:t xml:space="preserve">Z. Zhang, S. Hu, J. Chen, B. Li, </w:t>
      </w:r>
      <w:r w:rsidRPr="005A7543">
        <w:rPr>
          <w:i/>
        </w:rPr>
        <w:t>Nanotechnology</w:t>
      </w:r>
      <w:r w:rsidRPr="005A7543">
        <w:t xml:space="preserve"> </w:t>
      </w:r>
      <w:r w:rsidRPr="005A7543">
        <w:rPr>
          <w:b/>
        </w:rPr>
        <w:t>2017</w:t>
      </w:r>
      <w:r w:rsidRPr="005A7543">
        <w:t>, 28, 225704.</w:t>
      </w:r>
      <w:bookmarkEnd w:id="75"/>
    </w:p>
    <w:p w14:paraId="4E3FA09B" w14:textId="77777777" w:rsidR="00AA6917" w:rsidRPr="005A7543" w:rsidRDefault="00AA6917" w:rsidP="00A419D1">
      <w:pPr>
        <w:pStyle w:val="EndNoteBibliography"/>
        <w:spacing w:after="0"/>
        <w:ind w:left="720" w:hanging="720"/>
      </w:pPr>
      <w:bookmarkStart w:id="76" w:name="_ENREF_18"/>
      <w:r w:rsidRPr="005A7543">
        <w:t>[18]</w:t>
      </w:r>
      <w:r w:rsidRPr="005A7543">
        <w:tab/>
        <w:t xml:space="preserve">H. G. Zhang, H. Y. Wang, S. Y. Xiong, H. X. Han, S. T. Volz, Y. X. Ni, </w:t>
      </w:r>
      <w:r w:rsidRPr="005A7543">
        <w:rPr>
          <w:i/>
        </w:rPr>
        <w:t>Journal of Physical Chemistry C</w:t>
      </w:r>
      <w:r w:rsidRPr="005A7543">
        <w:t xml:space="preserve"> </w:t>
      </w:r>
      <w:r w:rsidRPr="005A7543">
        <w:rPr>
          <w:b/>
        </w:rPr>
        <w:t>2018</w:t>
      </w:r>
      <w:r w:rsidRPr="005A7543">
        <w:t>, 122, 2641.</w:t>
      </w:r>
      <w:bookmarkEnd w:id="76"/>
    </w:p>
    <w:p w14:paraId="4E3FA09C" w14:textId="77777777" w:rsidR="00AA6917" w:rsidRPr="005A7543" w:rsidRDefault="00AA6917" w:rsidP="00A419D1">
      <w:pPr>
        <w:pStyle w:val="EndNoteBibliography"/>
        <w:spacing w:after="0"/>
        <w:ind w:left="720" w:hanging="720"/>
      </w:pPr>
      <w:bookmarkStart w:id="77" w:name="_ENREF_19"/>
      <w:r w:rsidRPr="005A7543">
        <w:t>[19]</w:t>
      </w:r>
      <w:r w:rsidRPr="005A7543">
        <w:tab/>
        <w:t xml:space="preserve">A. Soudi, R. D. Dawson, Y. Gu, </w:t>
      </w:r>
      <w:r w:rsidRPr="005A7543">
        <w:rPr>
          <w:i/>
        </w:rPr>
        <w:t>Acs Nano</w:t>
      </w:r>
      <w:r w:rsidRPr="005A7543">
        <w:t xml:space="preserve"> </w:t>
      </w:r>
      <w:r w:rsidRPr="005A7543">
        <w:rPr>
          <w:b/>
        </w:rPr>
        <w:t>2011</w:t>
      </w:r>
      <w:r w:rsidRPr="005A7543">
        <w:t>, 5, 255.</w:t>
      </w:r>
      <w:bookmarkEnd w:id="77"/>
    </w:p>
    <w:p w14:paraId="4E3FA09D" w14:textId="77777777" w:rsidR="00AA6917" w:rsidRPr="005A7543" w:rsidRDefault="00AA6917" w:rsidP="00A419D1">
      <w:pPr>
        <w:pStyle w:val="EndNoteBibliography"/>
        <w:spacing w:after="0"/>
        <w:ind w:left="720" w:hanging="720"/>
      </w:pPr>
      <w:bookmarkStart w:id="78" w:name="_ENREF_20"/>
      <w:r w:rsidRPr="005A7543">
        <w:t>[20]</w:t>
      </w:r>
      <w:r w:rsidRPr="005A7543">
        <w:tab/>
        <w:t xml:space="preserve">M. Zare, B. Z. Rameshti, F. G. Ghamsari, R. Asgari, </w:t>
      </w:r>
      <w:r w:rsidRPr="005A7543">
        <w:rPr>
          <w:i/>
        </w:rPr>
        <w:t>Phys. Rev. B</w:t>
      </w:r>
      <w:r w:rsidRPr="005A7543">
        <w:t xml:space="preserve"> </w:t>
      </w:r>
      <w:r w:rsidRPr="005A7543">
        <w:rPr>
          <w:b/>
        </w:rPr>
        <w:t>2017</w:t>
      </w:r>
      <w:r w:rsidRPr="005A7543">
        <w:t>, 95, 045422.</w:t>
      </w:r>
      <w:bookmarkEnd w:id="78"/>
    </w:p>
    <w:p w14:paraId="4E3FA09E" w14:textId="77777777" w:rsidR="00AA6917" w:rsidRPr="005A7543" w:rsidRDefault="00AA6917" w:rsidP="00A419D1">
      <w:pPr>
        <w:pStyle w:val="EndNoteBibliography"/>
        <w:spacing w:after="0"/>
        <w:ind w:left="720" w:hanging="720"/>
      </w:pPr>
      <w:bookmarkStart w:id="79" w:name="_ENREF_21"/>
      <w:r w:rsidRPr="005A7543">
        <w:t>[21]</w:t>
      </w:r>
      <w:r w:rsidRPr="005A7543">
        <w:tab/>
        <w:t xml:space="preserve">Y. Xu, Z. Y. Li, W. H. Duan, </w:t>
      </w:r>
      <w:r w:rsidRPr="005A7543">
        <w:rPr>
          <w:i/>
        </w:rPr>
        <w:t>Small</w:t>
      </w:r>
      <w:r w:rsidRPr="005A7543">
        <w:t xml:space="preserve"> </w:t>
      </w:r>
      <w:r w:rsidRPr="005A7543">
        <w:rPr>
          <w:b/>
        </w:rPr>
        <w:t>2014</w:t>
      </w:r>
      <w:r w:rsidRPr="005A7543">
        <w:t>, 10, 2182.</w:t>
      </w:r>
      <w:bookmarkEnd w:id="79"/>
    </w:p>
    <w:p w14:paraId="4E3FA09F" w14:textId="77777777" w:rsidR="00AA6917" w:rsidRPr="005A7543" w:rsidRDefault="00AA6917" w:rsidP="00A419D1">
      <w:pPr>
        <w:pStyle w:val="EndNoteBibliography"/>
        <w:spacing w:after="0"/>
        <w:ind w:left="720" w:hanging="720"/>
      </w:pPr>
      <w:bookmarkStart w:id="80" w:name="_ENREF_22"/>
      <w:r w:rsidRPr="005A7543">
        <w:t>[22]</w:t>
      </w:r>
      <w:r w:rsidRPr="005A7543">
        <w:tab/>
        <w:t xml:space="preserve">J. Wu, Y. B. Chen, J. Q. Wu, K. Hippalgaonkar, </w:t>
      </w:r>
      <w:r w:rsidRPr="005A7543">
        <w:rPr>
          <w:i/>
        </w:rPr>
        <w:t>Advanced Electronic Materials</w:t>
      </w:r>
      <w:r w:rsidRPr="005A7543">
        <w:t xml:space="preserve"> </w:t>
      </w:r>
      <w:r w:rsidRPr="005A7543">
        <w:rPr>
          <w:b/>
        </w:rPr>
        <w:t>2018</w:t>
      </w:r>
      <w:r w:rsidRPr="005A7543">
        <w:t>, 4.</w:t>
      </w:r>
      <w:bookmarkEnd w:id="80"/>
    </w:p>
    <w:p w14:paraId="4E3FA0A0" w14:textId="77777777" w:rsidR="00AA6917" w:rsidRPr="005A7543" w:rsidRDefault="00AA6917" w:rsidP="00A419D1">
      <w:pPr>
        <w:pStyle w:val="EndNoteBibliography"/>
        <w:spacing w:after="0"/>
        <w:ind w:left="720" w:hanging="720"/>
      </w:pPr>
      <w:bookmarkStart w:id="81" w:name="_ENREF_23"/>
      <w:r w:rsidRPr="005A7543">
        <w:t>[23]</w:t>
      </w:r>
      <w:r w:rsidRPr="005A7543">
        <w:tab/>
        <w:t xml:space="preserve">I. Pallecchi, N. Manca, B. Patil, L. Pellegrino, D. Marre, </w:t>
      </w:r>
      <w:r w:rsidRPr="005A7543">
        <w:rPr>
          <w:i/>
        </w:rPr>
        <w:t>Nano Futures</w:t>
      </w:r>
      <w:r w:rsidRPr="005A7543">
        <w:t xml:space="preserve"> </w:t>
      </w:r>
      <w:r w:rsidRPr="005A7543">
        <w:rPr>
          <w:b/>
        </w:rPr>
        <w:t>2020</w:t>
      </w:r>
      <w:r w:rsidRPr="005A7543">
        <w:t>, 4, 032008.</w:t>
      </w:r>
      <w:bookmarkEnd w:id="81"/>
    </w:p>
    <w:p w14:paraId="4E3FA0A1" w14:textId="77777777" w:rsidR="00AA6917" w:rsidRPr="005A7543" w:rsidRDefault="00AA6917" w:rsidP="00A419D1">
      <w:pPr>
        <w:pStyle w:val="EndNoteBibliography"/>
        <w:spacing w:after="0"/>
        <w:ind w:left="720" w:hanging="720"/>
      </w:pPr>
      <w:bookmarkStart w:id="82" w:name="_ENREF_24"/>
      <w:r w:rsidRPr="005A7543">
        <w:t>[24]</w:t>
      </w:r>
      <w:r w:rsidRPr="005A7543">
        <w:tab/>
        <w:t xml:space="preserve">T. A. Amollo, G. T. Mola, M. S. K. Kirui, V. O. Nyamori, </w:t>
      </w:r>
      <w:r w:rsidRPr="005A7543">
        <w:rPr>
          <w:i/>
        </w:rPr>
        <w:t>Critical Reviews in Solid State and Materials Sciences</w:t>
      </w:r>
      <w:r w:rsidRPr="005A7543">
        <w:t xml:space="preserve"> </w:t>
      </w:r>
      <w:r w:rsidRPr="005A7543">
        <w:rPr>
          <w:b/>
        </w:rPr>
        <w:t>2018</w:t>
      </w:r>
      <w:r w:rsidRPr="005A7543">
        <w:t>, 43, 133.</w:t>
      </w:r>
      <w:bookmarkEnd w:id="82"/>
    </w:p>
    <w:p w14:paraId="4E3FA0A2" w14:textId="77777777" w:rsidR="00AA6917" w:rsidRPr="005A7543" w:rsidRDefault="00AA6917" w:rsidP="00A419D1">
      <w:pPr>
        <w:pStyle w:val="EndNoteBibliography"/>
        <w:spacing w:after="0"/>
        <w:ind w:left="720" w:hanging="720"/>
      </w:pPr>
      <w:bookmarkStart w:id="83" w:name="_ENREF_25"/>
      <w:r w:rsidRPr="005A7543">
        <w:t>[25]</w:t>
      </w:r>
      <w:r w:rsidRPr="005A7543">
        <w:tab/>
        <w:t xml:space="preserve">K. F. Mak, C. Lee, J. Hone, J. Shan, T. F. Heinz, </w:t>
      </w:r>
      <w:r w:rsidRPr="005A7543">
        <w:rPr>
          <w:i/>
        </w:rPr>
        <w:t>Phys. Rev. Lett.</w:t>
      </w:r>
      <w:r w:rsidRPr="005A7543">
        <w:t xml:space="preserve"> </w:t>
      </w:r>
      <w:r w:rsidRPr="005A7543">
        <w:rPr>
          <w:b/>
        </w:rPr>
        <w:t>2010</w:t>
      </w:r>
      <w:r w:rsidRPr="005A7543">
        <w:t>, 105, 136805.</w:t>
      </w:r>
      <w:bookmarkEnd w:id="83"/>
    </w:p>
    <w:p w14:paraId="4E3FA0A3" w14:textId="77777777" w:rsidR="00AA6917" w:rsidRPr="005A7543" w:rsidRDefault="00AA6917" w:rsidP="00A419D1">
      <w:pPr>
        <w:pStyle w:val="EndNoteBibliography"/>
        <w:spacing w:after="0"/>
        <w:ind w:left="720" w:hanging="720"/>
      </w:pPr>
      <w:bookmarkStart w:id="84" w:name="_ENREF_26"/>
      <w:r w:rsidRPr="005A7543">
        <w:t>[26]</w:t>
      </w:r>
      <w:r w:rsidRPr="005A7543">
        <w:tab/>
        <w:t xml:space="preserve">S. Hasegawa, F. Grey, </w:t>
      </w:r>
      <w:r w:rsidRPr="005A7543">
        <w:rPr>
          <w:i/>
        </w:rPr>
        <w:t>Surface Science</w:t>
      </w:r>
      <w:r w:rsidRPr="005A7543">
        <w:t xml:space="preserve"> </w:t>
      </w:r>
      <w:r w:rsidRPr="005A7543">
        <w:rPr>
          <w:b/>
        </w:rPr>
        <w:t>2002</w:t>
      </w:r>
      <w:r w:rsidRPr="005A7543">
        <w:t>, 500, 84.</w:t>
      </w:r>
      <w:bookmarkEnd w:id="84"/>
    </w:p>
    <w:p w14:paraId="4E3FA0A4" w14:textId="77777777" w:rsidR="00AA6917" w:rsidRPr="005A7543" w:rsidRDefault="00AA6917" w:rsidP="00A419D1">
      <w:pPr>
        <w:pStyle w:val="EndNoteBibliography"/>
        <w:spacing w:after="0"/>
        <w:ind w:left="720" w:hanging="720"/>
      </w:pPr>
      <w:bookmarkStart w:id="85" w:name="_ENREF_27"/>
      <w:r w:rsidRPr="005A7543">
        <w:t>[27]</w:t>
      </w:r>
      <w:r w:rsidRPr="005A7543">
        <w:tab/>
        <w:t xml:space="preserve">Y. Zhao, Y. Cai, L. Zhang, B. Li, G. Zhang, J. T. L. Thong, </w:t>
      </w:r>
      <w:r w:rsidRPr="005A7543">
        <w:rPr>
          <w:i/>
        </w:rPr>
        <w:t>Adv. Funct. Mater.</w:t>
      </w:r>
      <w:r w:rsidRPr="005A7543">
        <w:t xml:space="preserve"> </w:t>
      </w:r>
      <w:r w:rsidRPr="005A7543">
        <w:rPr>
          <w:b/>
        </w:rPr>
        <w:t>2020</w:t>
      </w:r>
      <w:r w:rsidRPr="005A7543">
        <w:t>, 30, 1903929.</w:t>
      </w:r>
      <w:bookmarkEnd w:id="85"/>
    </w:p>
    <w:p w14:paraId="4E3FA0A5" w14:textId="77777777" w:rsidR="00AA6917" w:rsidRPr="005A7543" w:rsidRDefault="00AA6917" w:rsidP="00A419D1">
      <w:pPr>
        <w:pStyle w:val="EndNoteBibliography"/>
        <w:spacing w:after="0"/>
        <w:ind w:left="720" w:hanging="720"/>
      </w:pPr>
      <w:bookmarkStart w:id="86" w:name="_ENREF_28"/>
      <w:r w:rsidRPr="005A7543">
        <w:t>[28]</w:t>
      </w:r>
      <w:r w:rsidRPr="005A7543">
        <w:tab/>
        <w:t xml:space="preserve">C.-H. Ho, H.-H. Chen, </w:t>
      </w:r>
      <w:r w:rsidRPr="005A7543">
        <w:rPr>
          <w:i/>
        </w:rPr>
        <w:t>Sci Rep</w:t>
      </w:r>
      <w:r w:rsidRPr="005A7543">
        <w:t xml:space="preserve"> </w:t>
      </w:r>
      <w:r w:rsidRPr="005A7543">
        <w:rPr>
          <w:b/>
        </w:rPr>
        <w:t>2014</w:t>
      </w:r>
      <w:r w:rsidRPr="005A7543">
        <w:t>, 4, 6143.</w:t>
      </w:r>
      <w:bookmarkEnd w:id="86"/>
    </w:p>
    <w:p w14:paraId="4E3FA0A6" w14:textId="77777777" w:rsidR="00AA6917" w:rsidRPr="005A7543" w:rsidRDefault="00AA6917" w:rsidP="00A419D1">
      <w:pPr>
        <w:pStyle w:val="EndNoteBibliography"/>
        <w:spacing w:after="0"/>
        <w:ind w:left="720" w:hanging="720"/>
      </w:pPr>
      <w:bookmarkStart w:id="87" w:name="_ENREF_29"/>
      <w:r w:rsidRPr="005A7543">
        <w:t>[29]</w:t>
      </w:r>
      <w:r w:rsidRPr="005A7543">
        <w:tab/>
        <w:t xml:space="preserve">S. Xie, A. Dey, W. Yan, Z. R. Kudrynskyi, N. Balakrishnan, O. Makarovsky, Z. D. Kovalyuk, E. G. Castanon, O. Kolosov, K. Wang, A. Patanè, </w:t>
      </w:r>
      <w:r w:rsidRPr="005A7543">
        <w:rPr>
          <w:i/>
        </w:rPr>
        <w:t>2D Materials</w:t>
      </w:r>
      <w:r w:rsidRPr="005A7543">
        <w:t xml:space="preserve"> </w:t>
      </w:r>
      <w:r w:rsidRPr="005A7543">
        <w:rPr>
          <w:b/>
        </w:rPr>
        <w:t>2021</w:t>
      </w:r>
      <w:r w:rsidRPr="005A7543">
        <w:t>, 8, 045020.</w:t>
      </w:r>
      <w:bookmarkEnd w:id="87"/>
    </w:p>
    <w:p w14:paraId="4E3FA0A7" w14:textId="77777777" w:rsidR="00AA6917" w:rsidRPr="005A7543" w:rsidRDefault="00AA6917" w:rsidP="00A419D1">
      <w:pPr>
        <w:pStyle w:val="EndNoteBibliography"/>
        <w:spacing w:after="0"/>
        <w:ind w:left="720" w:hanging="720"/>
      </w:pPr>
      <w:bookmarkStart w:id="88" w:name="_ENREF_30"/>
      <w:r w:rsidRPr="005A7543">
        <w:t>[30]</w:t>
      </w:r>
      <w:r w:rsidRPr="005A7543">
        <w:tab/>
        <w:t xml:space="preserve">C.-H. Ho, </w:t>
      </w:r>
      <w:r w:rsidRPr="005A7543">
        <w:rPr>
          <w:i/>
        </w:rPr>
        <w:t>Sci Rep</w:t>
      </w:r>
      <w:r w:rsidRPr="005A7543">
        <w:t xml:space="preserve"> </w:t>
      </w:r>
      <w:r w:rsidRPr="005A7543">
        <w:rPr>
          <w:b/>
        </w:rPr>
        <w:t>2014</w:t>
      </w:r>
      <w:r w:rsidRPr="005A7543">
        <w:t>, 4, 4764.</w:t>
      </w:r>
      <w:bookmarkEnd w:id="88"/>
    </w:p>
    <w:p w14:paraId="4E3FA0A8" w14:textId="77777777" w:rsidR="00AA6917" w:rsidRPr="005A7543" w:rsidRDefault="00AA6917" w:rsidP="00A419D1">
      <w:pPr>
        <w:pStyle w:val="EndNoteBibliography"/>
        <w:spacing w:after="0"/>
        <w:ind w:left="720" w:hanging="720"/>
      </w:pPr>
      <w:bookmarkStart w:id="89" w:name="_ENREF_31"/>
      <w:r w:rsidRPr="005A7543">
        <w:t>[31]</w:t>
      </w:r>
      <w:r w:rsidRPr="005A7543">
        <w:tab/>
        <w:t xml:space="preserve">C.-H. Ho, M.-H. Lin, Y.-P. Wang, Y.-S. Huang, </w:t>
      </w:r>
      <w:r w:rsidRPr="005A7543">
        <w:rPr>
          <w:i/>
        </w:rPr>
        <w:t>Sensors and Actuators A: Physical</w:t>
      </w:r>
      <w:r w:rsidRPr="005A7543">
        <w:t xml:space="preserve"> </w:t>
      </w:r>
      <w:r w:rsidRPr="005A7543">
        <w:rPr>
          <w:b/>
        </w:rPr>
        <w:t>2016</w:t>
      </w:r>
      <w:r w:rsidRPr="005A7543">
        <w:t>, 245, 119.</w:t>
      </w:r>
      <w:bookmarkEnd w:id="89"/>
    </w:p>
    <w:p w14:paraId="4E3FA0A9" w14:textId="77777777" w:rsidR="00AA6917" w:rsidRPr="005A7543" w:rsidRDefault="00AA6917" w:rsidP="00A419D1">
      <w:pPr>
        <w:pStyle w:val="EndNoteBibliography"/>
        <w:spacing w:after="0"/>
        <w:ind w:left="720" w:hanging="720"/>
      </w:pPr>
      <w:bookmarkStart w:id="90" w:name="_ENREF_32"/>
      <w:r w:rsidRPr="005A7543">
        <w:t>[32]</w:t>
      </w:r>
      <w:r w:rsidRPr="005A7543">
        <w:tab/>
        <w:t xml:space="preserve">Q. Zhao, R. Frisenda, T. Wang, A. Castellanos-Gomez, </w:t>
      </w:r>
      <w:r w:rsidRPr="005A7543">
        <w:rPr>
          <w:i/>
        </w:rPr>
        <w:t>Nanoscale</w:t>
      </w:r>
      <w:r w:rsidRPr="005A7543">
        <w:t xml:space="preserve"> </w:t>
      </w:r>
      <w:r w:rsidRPr="005A7543">
        <w:rPr>
          <w:b/>
        </w:rPr>
        <w:t>2019</w:t>
      </w:r>
      <w:r w:rsidRPr="005A7543">
        <w:t>, 11, 9845.</w:t>
      </w:r>
      <w:bookmarkEnd w:id="90"/>
    </w:p>
    <w:p w14:paraId="4E3FA0AA" w14:textId="77777777" w:rsidR="00AA6917" w:rsidRPr="005A7543" w:rsidRDefault="00AA6917" w:rsidP="00A419D1">
      <w:pPr>
        <w:pStyle w:val="EndNoteBibliography"/>
        <w:spacing w:after="0"/>
        <w:ind w:left="720" w:hanging="720"/>
      </w:pPr>
      <w:bookmarkStart w:id="91" w:name="_ENREF_33"/>
      <w:r w:rsidRPr="005A7543">
        <w:t>[33]</w:t>
      </w:r>
      <w:r w:rsidRPr="005A7543">
        <w:tab/>
        <w:t xml:space="preserve">Y. Li, C. Yu, Y. Gan, Y. Kong, P. Jiang, D.-F. Zou, P. Li, X.-F. Yu, R. Wu, H. Zhao, C.-F. Gao, J. Li, </w:t>
      </w:r>
      <w:r w:rsidRPr="005A7543">
        <w:rPr>
          <w:i/>
        </w:rPr>
        <w:t>Nanotechnology</w:t>
      </w:r>
      <w:r w:rsidRPr="005A7543">
        <w:t xml:space="preserve"> </w:t>
      </w:r>
      <w:r w:rsidRPr="005A7543">
        <w:rPr>
          <w:b/>
        </w:rPr>
        <w:t>2019</w:t>
      </w:r>
      <w:r w:rsidRPr="005A7543">
        <w:t>, 30, 335703.</w:t>
      </w:r>
      <w:bookmarkEnd w:id="91"/>
    </w:p>
    <w:p w14:paraId="4E3FA0AB" w14:textId="77777777" w:rsidR="00AA6917" w:rsidRPr="005A7543" w:rsidRDefault="00AA6917" w:rsidP="00A419D1">
      <w:pPr>
        <w:pStyle w:val="EndNoteBibliography"/>
        <w:spacing w:after="0"/>
        <w:ind w:left="720" w:hanging="720"/>
      </w:pPr>
      <w:bookmarkStart w:id="92" w:name="_ENREF_34"/>
      <w:r w:rsidRPr="005A7543">
        <w:t>[34]</w:t>
      </w:r>
      <w:r w:rsidRPr="005A7543">
        <w:tab/>
        <w:t xml:space="preserve">W. J. Ding, J. B. Zhu, Z. Wang, Y. F. Gao, D. Xiao, Y. Gu, Z. Y. Zhang, W. G. Zhu, </w:t>
      </w:r>
      <w:r w:rsidRPr="005A7543">
        <w:rPr>
          <w:i/>
        </w:rPr>
        <w:t>Nature Communications</w:t>
      </w:r>
      <w:r w:rsidRPr="005A7543">
        <w:t xml:space="preserve"> </w:t>
      </w:r>
      <w:r w:rsidRPr="005A7543">
        <w:rPr>
          <w:b/>
        </w:rPr>
        <w:t>2017</w:t>
      </w:r>
      <w:r w:rsidRPr="005A7543">
        <w:t>, 8.</w:t>
      </w:r>
      <w:bookmarkEnd w:id="92"/>
    </w:p>
    <w:p w14:paraId="4E3FA0AC" w14:textId="77777777" w:rsidR="00AA6917" w:rsidRPr="005A7543" w:rsidRDefault="00AA6917" w:rsidP="00A419D1">
      <w:pPr>
        <w:pStyle w:val="EndNoteBibliography"/>
        <w:spacing w:after="0"/>
        <w:ind w:left="720" w:hanging="720"/>
      </w:pPr>
      <w:bookmarkStart w:id="93" w:name="_ENREF_35"/>
      <w:r w:rsidRPr="005A7543">
        <w:t>[35]</w:t>
      </w:r>
      <w:r w:rsidRPr="005A7543">
        <w:tab/>
        <w:t xml:space="preserve">G. W. Mudd, S. A. Svatek, T. Ren, A. Patanè, O. Makarovsky, L. Eaves, P. H. Beton, Z. D. Kovalyuk, G. V. Lashkarev, Z. R. Kudrynskyi, A. I. Dmitriev, </w:t>
      </w:r>
      <w:r w:rsidRPr="005A7543">
        <w:rPr>
          <w:i/>
        </w:rPr>
        <w:t>Adv. Mater.</w:t>
      </w:r>
      <w:r w:rsidRPr="005A7543">
        <w:t xml:space="preserve"> </w:t>
      </w:r>
      <w:r w:rsidRPr="005A7543">
        <w:rPr>
          <w:b/>
        </w:rPr>
        <w:t>2013</w:t>
      </w:r>
      <w:r w:rsidRPr="005A7543">
        <w:t>, 25, 5714.</w:t>
      </w:r>
      <w:bookmarkEnd w:id="93"/>
    </w:p>
    <w:p w14:paraId="4E3FA0AD" w14:textId="77777777" w:rsidR="00AA6917" w:rsidRPr="005A7543" w:rsidRDefault="00AA6917" w:rsidP="00A419D1">
      <w:pPr>
        <w:pStyle w:val="EndNoteBibliography"/>
        <w:spacing w:after="0"/>
        <w:ind w:left="720" w:hanging="720"/>
      </w:pPr>
      <w:bookmarkStart w:id="94" w:name="_ENREF_36"/>
      <w:r w:rsidRPr="005A7543">
        <w:t>[36]</w:t>
      </w:r>
      <w:r w:rsidRPr="005A7543">
        <w:tab/>
        <w:t xml:space="preserve">J. F. Sánchez-Royo, G. Muñoz-Matutano, M. Brotons-Gisbert, J. P. Martínez-Pastor, A. Segura, A. Cantarero, R. Mata, J. Canet-Ferrer, G. Tobias, E. Canadell, J. Marqués-Hueso, B. D. Gerardot, </w:t>
      </w:r>
      <w:r w:rsidRPr="005A7543">
        <w:rPr>
          <w:i/>
        </w:rPr>
        <w:t>Nano Res.</w:t>
      </w:r>
      <w:r w:rsidRPr="005A7543">
        <w:t xml:space="preserve"> </w:t>
      </w:r>
      <w:r w:rsidRPr="005A7543">
        <w:rPr>
          <w:b/>
        </w:rPr>
        <w:t>2014</w:t>
      </w:r>
      <w:r w:rsidRPr="005A7543">
        <w:t>, 7, 1556.</w:t>
      </w:r>
      <w:bookmarkEnd w:id="94"/>
    </w:p>
    <w:p w14:paraId="4E3FA0AE" w14:textId="77777777" w:rsidR="00AA6917" w:rsidRPr="005A7543" w:rsidRDefault="00AA6917" w:rsidP="00A419D1">
      <w:pPr>
        <w:pStyle w:val="EndNoteBibliography"/>
        <w:spacing w:after="0"/>
        <w:ind w:left="720" w:hanging="720"/>
      </w:pPr>
      <w:bookmarkStart w:id="95" w:name="_ENREF_37"/>
      <w:r w:rsidRPr="005A7543">
        <w:t>[37]</w:t>
      </w:r>
      <w:r w:rsidRPr="005A7543">
        <w:tab/>
        <w:t xml:space="preserve">K. Li, Y. Hong, Z. Li, X. Liu, </w:t>
      </w:r>
      <w:r w:rsidRPr="005A7543">
        <w:rPr>
          <w:i/>
        </w:rPr>
        <w:t>Appl. Phys. Lett.</w:t>
      </w:r>
      <w:r w:rsidRPr="005A7543">
        <w:t xml:space="preserve"> </w:t>
      </w:r>
      <w:r w:rsidRPr="005A7543">
        <w:rPr>
          <w:b/>
        </w:rPr>
        <w:t>2018</w:t>
      </w:r>
      <w:r w:rsidRPr="005A7543">
        <w:t>, 113, 021903.</w:t>
      </w:r>
      <w:bookmarkEnd w:id="95"/>
    </w:p>
    <w:p w14:paraId="4E3FA0AF" w14:textId="77777777" w:rsidR="00AA6917" w:rsidRPr="005A7543" w:rsidRDefault="00AA6917" w:rsidP="00A419D1">
      <w:pPr>
        <w:pStyle w:val="EndNoteBibliography"/>
        <w:spacing w:after="0"/>
        <w:ind w:left="720" w:hanging="720"/>
      </w:pPr>
      <w:bookmarkStart w:id="96" w:name="_ENREF_38"/>
      <w:r w:rsidRPr="005A7543">
        <w:t>[38]</w:t>
      </w:r>
      <w:r w:rsidRPr="005A7543">
        <w:tab/>
        <w:t xml:space="preserve">S. R. Tamalampudi, Y.-Y. Lu, R. K. U, R. Sankar, C.-D. Liao, K. M. B, C.-H. Cheng, F. C. Chou, Y.-T. Chen, </w:t>
      </w:r>
      <w:r w:rsidRPr="005A7543">
        <w:rPr>
          <w:i/>
        </w:rPr>
        <w:t>Nano Lett.</w:t>
      </w:r>
      <w:r w:rsidRPr="005A7543">
        <w:t xml:space="preserve"> </w:t>
      </w:r>
      <w:r w:rsidRPr="005A7543">
        <w:rPr>
          <w:b/>
        </w:rPr>
        <w:t>2014</w:t>
      </w:r>
      <w:r w:rsidRPr="005A7543">
        <w:t>, 14, 2800.</w:t>
      </w:r>
      <w:bookmarkEnd w:id="96"/>
    </w:p>
    <w:p w14:paraId="4E3FA0B0" w14:textId="77777777" w:rsidR="00AA6917" w:rsidRPr="005A7543" w:rsidRDefault="00AA6917" w:rsidP="00A419D1">
      <w:pPr>
        <w:pStyle w:val="EndNoteBibliography"/>
        <w:spacing w:after="0"/>
        <w:ind w:left="720" w:hanging="720"/>
      </w:pPr>
      <w:bookmarkStart w:id="97" w:name="_ENREF_39"/>
      <w:r w:rsidRPr="005A7543">
        <w:t>[39]</w:t>
      </w:r>
      <w:r w:rsidRPr="005A7543">
        <w:tab/>
        <w:t xml:space="preserve">C. Song, S. Huang, C. Wang, J. Luo, H. Yan, </w:t>
      </w:r>
      <w:r w:rsidRPr="005A7543">
        <w:rPr>
          <w:i/>
        </w:rPr>
        <w:t>J. Appl. Phys.</w:t>
      </w:r>
      <w:r w:rsidRPr="005A7543">
        <w:t xml:space="preserve"> </w:t>
      </w:r>
      <w:r w:rsidRPr="005A7543">
        <w:rPr>
          <w:b/>
        </w:rPr>
        <w:t>2020</w:t>
      </w:r>
      <w:r w:rsidRPr="005A7543">
        <w:t>, 128, 060901.</w:t>
      </w:r>
      <w:bookmarkEnd w:id="97"/>
    </w:p>
    <w:p w14:paraId="4E3FA0B1" w14:textId="77777777" w:rsidR="00AA6917" w:rsidRPr="005A7543" w:rsidRDefault="00AA6917" w:rsidP="00A419D1">
      <w:pPr>
        <w:pStyle w:val="EndNoteBibliography"/>
        <w:spacing w:after="0"/>
        <w:ind w:left="720" w:hanging="720"/>
      </w:pPr>
      <w:bookmarkStart w:id="98" w:name="_ENREF_40"/>
      <w:r w:rsidRPr="005A7543">
        <w:t>[40]</w:t>
      </w:r>
      <w:r w:rsidRPr="005A7543">
        <w:tab/>
        <w:t xml:space="preserve">W. Feng, W. Zheng, W. Cao, P. Hu, </w:t>
      </w:r>
      <w:r w:rsidRPr="005A7543">
        <w:rPr>
          <w:i/>
        </w:rPr>
        <w:t>Adv. Mater.</w:t>
      </w:r>
      <w:r w:rsidRPr="005A7543">
        <w:t xml:space="preserve"> </w:t>
      </w:r>
      <w:r w:rsidRPr="005A7543">
        <w:rPr>
          <w:b/>
        </w:rPr>
        <w:t>2014</w:t>
      </w:r>
      <w:r w:rsidRPr="005A7543">
        <w:t>, 26, 6587.</w:t>
      </w:r>
      <w:bookmarkEnd w:id="98"/>
    </w:p>
    <w:p w14:paraId="4E3FA0B2" w14:textId="77777777" w:rsidR="00AA6917" w:rsidRPr="005A7543" w:rsidRDefault="00AA6917" w:rsidP="00A419D1">
      <w:pPr>
        <w:pStyle w:val="EndNoteBibliography"/>
        <w:spacing w:after="0"/>
        <w:ind w:left="720" w:hanging="720"/>
      </w:pPr>
      <w:bookmarkStart w:id="99" w:name="_ENREF_41"/>
      <w:r w:rsidRPr="005A7543">
        <w:t>[41]</w:t>
      </w:r>
      <w:r w:rsidRPr="005A7543">
        <w:tab/>
        <w:t xml:space="preserve">D. Buckley, Z. R. Kudrynskyi, N. Balakrishnan, T. Vincent, D. Mazumder, E. Castanon, Z. D. Kovalyuk, O. Kolosov, O. Kazakova, A. Tzalenchuk, A. Patanè, </w:t>
      </w:r>
      <w:r w:rsidRPr="005A7543">
        <w:rPr>
          <w:i/>
        </w:rPr>
        <w:t>Adv. Funct. Mater.</w:t>
      </w:r>
      <w:r w:rsidRPr="005A7543">
        <w:t xml:space="preserve"> </w:t>
      </w:r>
      <w:r w:rsidRPr="005A7543">
        <w:rPr>
          <w:b/>
        </w:rPr>
        <w:t>2021</w:t>
      </w:r>
      <w:r w:rsidRPr="005A7543">
        <w:t>, 31, 2008967.</w:t>
      </w:r>
      <w:bookmarkEnd w:id="99"/>
    </w:p>
    <w:p w14:paraId="4E3FA0B3" w14:textId="77777777" w:rsidR="00AA6917" w:rsidRPr="005A7543" w:rsidRDefault="00AA6917" w:rsidP="00A419D1">
      <w:pPr>
        <w:pStyle w:val="EndNoteBibliography"/>
        <w:spacing w:after="0"/>
        <w:ind w:left="720" w:hanging="720"/>
      </w:pPr>
      <w:bookmarkStart w:id="100" w:name="_ENREF_42"/>
      <w:r w:rsidRPr="005A7543">
        <w:t>[42]</w:t>
      </w:r>
      <w:r w:rsidRPr="005A7543">
        <w:tab/>
        <w:t xml:space="preserve">S. M. Atakishiev, D. S. Abdinov, G. A. Akhundov, </w:t>
      </w:r>
      <w:r w:rsidRPr="005A7543">
        <w:rPr>
          <w:i/>
        </w:rPr>
        <w:t>Phys. Status Solidi B</w:t>
      </w:r>
      <w:r w:rsidRPr="005A7543">
        <w:t xml:space="preserve"> </w:t>
      </w:r>
      <w:r w:rsidRPr="005A7543">
        <w:rPr>
          <w:b/>
        </w:rPr>
        <w:t>1968</w:t>
      </w:r>
      <w:r w:rsidRPr="005A7543">
        <w:t>, 28, K47.</w:t>
      </w:r>
      <w:bookmarkEnd w:id="100"/>
    </w:p>
    <w:p w14:paraId="4E3FA0B4" w14:textId="77777777" w:rsidR="00AA6917" w:rsidRPr="005A7543" w:rsidRDefault="00AA6917" w:rsidP="00A419D1">
      <w:pPr>
        <w:pStyle w:val="EndNoteBibliography"/>
        <w:spacing w:after="0"/>
        <w:ind w:left="720" w:hanging="720"/>
      </w:pPr>
      <w:bookmarkStart w:id="101" w:name="_ENREF_43"/>
      <w:r w:rsidRPr="005A7543">
        <w:t>[43]</w:t>
      </w:r>
      <w:r w:rsidRPr="005A7543">
        <w:tab/>
        <w:t xml:space="preserve">H. Zhou, Y. Cai, G. Zhang, Y. W. Zhang, </w:t>
      </w:r>
      <w:r w:rsidRPr="005A7543">
        <w:rPr>
          <w:i/>
        </w:rPr>
        <w:t>Nanoscale</w:t>
      </w:r>
      <w:r w:rsidRPr="005A7543">
        <w:t xml:space="preserve"> </w:t>
      </w:r>
      <w:r w:rsidRPr="005A7543">
        <w:rPr>
          <w:b/>
        </w:rPr>
        <w:t>2018</w:t>
      </w:r>
      <w:r w:rsidRPr="005A7543">
        <w:t>, 10, 480.</w:t>
      </w:r>
      <w:bookmarkEnd w:id="101"/>
    </w:p>
    <w:p w14:paraId="4E3FA0B5" w14:textId="77777777" w:rsidR="00AA6917" w:rsidRPr="005A7543" w:rsidRDefault="00AA6917" w:rsidP="00A419D1">
      <w:pPr>
        <w:pStyle w:val="EndNoteBibliography"/>
        <w:spacing w:after="0"/>
        <w:ind w:left="720" w:hanging="720"/>
      </w:pPr>
      <w:bookmarkStart w:id="102" w:name="_ENREF_44"/>
      <w:r w:rsidRPr="005A7543">
        <w:t>[44]</w:t>
      </w:r>
      <w:r w:rsidRPr="005A7543">
        <w:tab/>
        <w:t xml:space="preserve">D. A. Bandurin, A. V. Tyurnina, G. L. Yu, A. Mishchenko, V. Zólyomi, S. V. Morozov, R. K. Kumar, R. V. Gorbachev, Z. R. Kudrynskyi, S. Pezzini, Z. D. Kovalyuk, U. Zeitler, K. S. Novoselov, A. Patanè, L. Eaves, I. V. Grigorieva, V. I. Fal'ko, A. K. Geim, Y. Cao, </w:t>
      </w:r>
      <w:r w:rsidRPr="005A7543">
        <w:rPr>
          <w:i/>
        </w:rPr>
        <w:t>Nat. Nanotechnol.</w:t>
      </w:r>
      <w:r w:rsidRPr="005A7543">
        <w:t xml:space="preserve"> </w:t>
      </w:r>
      <w:r w:rsidRPr="005A7543">
        <w:rPr>
          <w:b/>
        </w:rPr>
        <w:t>2017</w:t>
      </w:r>
      <w:r w:rsidRPr="005A7543">
        <w:t>, 12, 223.</w:t>
      </w:r>
      <w:bookmarkEnd w:id="102"/>
    </w:p>
    <w:p w14:paraId="4E3FA0B6" w14:textId="77777777" w:rsidR="00AA6917" w:rsidRPr="005A7543" w:rsidRDefault="00AA6917" w:rsidP="00A419D1">
      <w:pPr>
        <w:pStyle w:val="EndNoteBibliography"/>
        <w:spacing w:after="0"/>
        <w:ind w:left="720" w:hanging="720"/>
      </w:pPr>
      <w:bookmarkStart w:id="103" w:name="_ENREF_45"/>
      <w:r w:rsidRPr="005A7543">
        <w:t>[45]</w:t>
      </w:r>
      <w:r w:rsidRPr="005A7543">
        <w:tab/>
        <w:t xml:space="preserve">Y. Zhang, W. Zhu, F. Hui, M. Lanza, T. Borca‐Tasciuc, M. Muñoz Rojo, </w:t>
      </w:r>
      <w:r w:rsidRPr="005A7543">
        <w:rPr>
          <w:i/>
        </w:rPr>
        <w:t>Adv. Funct. Mater.</w:t>
      </w:r>
      <w:r w:rsidRPr="005A7543">
        <w:t xml:space="preserve"> </w:t>
      </w:r>
      <w:r w:rsidRPr="005A7543">
        <w:rPr>
          <w:b/>
        </w:rPr>
        <w:t>2019</w:t>
      </w:r>
      <w:r w:rsidRPr="005A7543">
        <w:t>, 30, 1900892.</w:t>
      </w:r>
      <w:bookmarkEnd w:id="103"/>
    </w:p>
    <w:p w14:paraId="4E3FA0B7" w14:textId="77777777" w:rsidR="00AA6917" w:rsidRPr="005A7543" w:rsidRDefault="00AA6917" w:rsidP="00A419D1">
      <w:pPr>
        <w:pStyle w:val="EndNoteBibliography"/>
        <w:spacing w:after="0"/>
        <w:ind w:left="720" w:hanging="720"/>
      </w:pPr>
      <w:bookmarkStart w:id="104" w:name="_ENREF_46"/>
      <w:r w:rsidRPr="005A7543">
        <w:t>[46]</w:t>
      </w:r>
      <w:r w:rsidRPr="005A7543">
        <w:tab/>
        <w:t xml:space="preserve">S. Gomès, A. Assy, P.-O. Chapuis, </w:t>
      </w:r>
      <w:r w:rsidRPr="005A7543">
        <w:rPr>
          <w:i/>
        </w:rPr>
        <w:t>physica status solidi (a)</w:t>
      </w:r>
      <w:r w:rsidRPr="005A7543">
        <w:t xml:space="preserve"> </w:t>
      </w:r>
      <w:r w:rsidRPr="005A7543">
        <w:rPr>
          <w:b/>
        </w:rPr>
        <w:t>2015</w:t>
      </w:r>
      <w:r w:rsidRPr="005A7543">
        <w:t>, 212, 477.</w:t>
      </w:r>
      <w:bookmarkEnd w:id="104"/>
    </w:p>
    <w:p w14:paraId="4E3FA0B8" w14:textId="77777777" w:rsidR="00AA6917" w:rsidRPr="005A7543" w:rsidRDefault="00AA6917" w:rsidP="00A419D1">
      <w:pPr>
        <w:pStyle w:val="EndNoteBibliography"/>
        <w:spacing w:after="0"/>
        <w:ind w:left="720" w:hanging="720"/>
      </w:pPr>
      <w:bookmarkStart w:id="105" w:name="_ENREF_47"/>
      <w:r w:rsidRPr="005A7543">
        <w:t>[47]</w:t>
      </w:r>
      <w:r w:rsidRPr="005A7543">
        <w:tab/>
        <w:t xml:space="preserve">A. Majumdar, </w:t>
      </w:r>
      <w:r w:rsidRPr="005A7543">
        <w:rPr>
          <w:i/>
        </w:rPr>
        <w:t>Annu. Rev. Mater. Sci.</w:t>
      </w:r>
      <w:r w:rsidRPr="005A7543">
        <w:t xml:space="preserve"> </w:t>
      </w:r>
      <w:r w:rsidRPr="005A7543">
        <w:rPr>
          <w:b/>
        </w:rPr>
        <w:t>1999</w:t>
      </w:r>
      <w:r w:rsidRPr="005A7543">
        <w:t>, 29, 505.</w:t>
      </w:r>
      <w:bookmarkEnd w:id="105"/>
    </w:p>
    <w:p w14:paraId="4E3FA0B9" w14:textId="77777777" w:rsidR="00AA6917" w:rsidRPr="005A7543" w:rsidRDefault="00AA6917" w:rsidP="00A419D1">
      <w:pPr>
        <w:pStyle w:val="EndNoteBibliography"/>
        <w:spacing w:after="0"/>
        <w:ind w:left="720" w:hanging="720"/>
      </w:pPr>
      <w:bookmarkStart w:id="106" w:name="_ENREF_48"/>
      <w:r w:rsidRPr="005A7543">
        <w:t>[48]</w:t>
      </w:r>
      <w:r w:rsidRPr="005A7543">
        <w:tab/>
        <w:t xml:space="preserve">P. Tovee, M. Pumarol, D. Zeze, K. Kjoller, O. Kolosov, </w:t>
      </w:r>
      <w:r w:rsidRPr="005A7543">
        <w:rPr>
          <w:i/>
        </w:rPr>
        <w:t>Journal of Applied Physics</w:t>
      </w:r>
      <w:r w:rsidRPr="005A7543">
        <w:t xml:space="preserve"> </w:t>
      </w:r>
      <w:r w:rsidRPr="005A7543">
        <w:rPr>
          <w:b/>
        </w:rPr>
        <w:t>2012</w:t>
      </w:r>
      <w:r w:rsidRPr="005A7543">
        <w:t>, 112, 114317.</w:t>
      </w:r>
      <w:bookmarkEnd w:id="106"/>
    </w:p>
    <w:p w14:paraId="4E3FA0BA" w14:textId="77777777" w:rsidR="00AA6917" w:rsidRPr="005A7543" w:rsidRDefault="00AA6917" w:rsidP="00A419D1">
      <w:pPr>
        <w:pStyle w:val="EndNoteBibliography"/>
        <w:spacing w:after="0"/>
        <w:ind w:left="720" w:hanging="720"/>
      </w:pPr>
      <w:bookmarkStart w:id="107" w:name="_ENREF_49"/>
      <w:r w:rsidRPr="005A7543">
        <w:t>[49]</w:t>
      </w:r>
      <w:r w:rsidRPr="005A7543">
        <w:tab/>
        <w:t xml:space="preserve">J. Spièce, C. Evangeli, A. J. Robson, A. El Sachat, L. Haenel, M. I. Alonso, M. Garriga, B. J. Robinson, M. Oehme, J. Schulze, F. Alzina, C. Sotomayor Torres, O. V. Kolosov, </w:t>
      </w:r>
      <w:r w:rsidRPr="005A7543">
        <w:rPr>
          <w:i/>
        </w:rPr>
        <w:t>Nanoscale</w:t>
      </w:r>
      <w:r w:rsidRPr="005A7543">
        <w:t xml:space="preserve"> </w:t>
      </w:r>
      <w:r w:rsidRPr="005A7543">
        <w:rPr>
          <w:b/>
        </w:rPr>
        <w:t>2021</w:t>
      </w:r>
      <w:r w:rsidRPr="005A7543">
        <w:t>, 13, 10829.</w:t>
      </w:r>
      <w:bookmarkEnd w:id="107"/>
    </w:p>
    <w:p w14:paraId="4E3FA0BB" w14:textId="77777777" w:rsidR="00AA6917" w:rsidRPr="005A7543" w:rsidRDefault="00AA6917" w:rsidP="00A419D1">
      <w:pPr>
        <w:pStyle w:val="EndNoteBibliography"/>
        <w:spacing w:after="0"/>
        <w:ind w:left="720" w:hanging="720"/>
      </w:pPr>
      <w:bookmarkStart w:id="108" w:name="_ENREF_50"/>
      <w:r w:rsidRPr="005A7543">
        <w:t>[50]</w:t>
      </w:r>
      <w:r w:rsidRPr="005A7543">
        <w:tab/>
        <w:t>S. Poon, J. Spièce, A. Robson, O. V. Kolosov, S. Thompson, presented at</w:t>
      </w:r>
      <w:r w:rsidRPr="005A7543">
        <w:rPr>
          <w:i/>
        </w:rPr>
        <w:t xml:space="preserve"> </w:t>
      </w:r>
      <w:r w:rsidRPr="005A7543">
        <w:t xml:space="preserve">2017 IEEE International Magnetics Conference (INTERMAG), 24-28 April 2017, </w:t>
      </w:r>
      <w:r w:rsidRPr="005A7543">
        <w:rPr>
          <w:b/>
        </w:rPr>
        <w:t>2017</w:t>
      </w:r>
      <w:r w:rsidRPr="005A7543">
        <w:t>.</w:t>
      </w:r>
      <w:bookmarkEnd w:id="108"/>
    </w:p>
    <w:p w14:paraId="4E3FA0BC" w14:textId="77777777" w:rsidR="00AA6917" w:rsidRPr="005A7543" w:rsidRDefault="00AA6917" w:rsidP="00A419D1">
      <w:pPr>
        <w:pStyle w:val="EndNoteBibliography"/>
        <w:spacing w:after="0"/>
        <w:ind w:left="720" w:hanging="720"/>
      </w:pPr>
      <w:bookmarkStart w:id="109" w:name="_ENREF_51"/>
      <w:r w:rsidRPr="005A7543">
        <w:t>[51]</w:t>
      </w:r>
      <w:r w:rsidRPr="005A7543">
        <w:tab/>
        <w:t xml:space="preserve">J. Spiece, C. Evangeli, K. Lulla, A. Robson, B. Robinson, O. Kolosov, </w:t>
      </w:r>
      <w:r w:rsidRPr="005A7543">
        <w:rPr>
          <w:i/>
        </w:rPr>
        <w:t>Journal of Applied Physics</w:t>
      </w:r>
      <w:r w:rsidRPr="005A7543">
        <w:t xml:space="preserve"> </w:t>
      </w:r>
      <w:r w:rsidRPr="005A7543">
        <w:rPr>
          <w:b/>
        </w:rPr>
        <w:t>2018</w:t>
      </w:r>
      <w:r w:rsidRPr="005A7543">
        <w:t>, 124, 015101.</w:t>
      </w:r>
      <w:bookmarkEnd w:id="109"/>
    </w:p>
    <w:p w14:paraId="4E3FA0BD" w14:textId="77777777" w:rsidR="00AA6917" w:rsidRPr="005A7543" w:rsidRDefault="00AA6917" w:rsidP="00A419D1">
      <w:pPr>
        <w:pStyle w:val="EndNoteBibliography"/>
        <w:spacing w:after="0"/>
        <w:ind w:left="720" w:hanging="720"/>
      </w:pPr>
      <w:bookmarkStart w:id="110" w:name="_ENREF_52"/>
      <w:r w:rsidRPr="005A7543">
        <w:t>[52]</w:t>
      </w:r>
      <w:r w:rsidRPr="005A7543">
        <w:tab/>
        <w:t xml:space="preserve">C. Evangeli, J. Spiece, S. Sangtarash, A. J. Molina-Mendoza, M. Mucientes, T. Mueller, C. Lambert, H. Sadeghi, O. Kolosov, </w:t>
      </w:r>
      <w:r w:rsidRPr="005A7543">
        <w:rPr>
          <w:i/>
        </w:rPr>
        <w:t>Adv. Electron. Mater.</w:t>
      </w:r>
      <w:r w:rsidRPr="005A7543">
        <w:t xml:space="preserve"> </w:t>
      </w:r>
      <w:r w:rsidRPr="005A7543">
        <w:rPr>
          <w:b/>
        </w:rPr>
        <w:t>2019</w:t>
      </w:r>
      <w:r w:rsidRPr="005A7543">
        <w:t>, 5, 1900331.</w:t>
      </w:r>
      <w:bookmarkEnd w:id="110"/>
    </w:p>
    <w:p w14:paraId="4E3FA0BE" w14:textId="77777777" w:rsidR="00AA6917" w:rsidRPr="005A7543" w:rsidRDefault="00AA6917" w:rsidP="00A419D1">
      <w:pPr>
        <w:pStyle w:val="EndNoteBibliography"/>
        <w:spacing w:after="0"/>
        <w:ind w:left="720" w:hanging="720"/>
      </w:pPr>
      <w:bookmarkStart w:id="111" w:name="_ENREF_53"/>
      <w:r w:rsidRPr="005A7543">
        <w:t>[53]</w:t>
      </w:r>
      <w:r w:rsidRPr="005A7543">
        <w:tab/>
        <w:t xml:space="preserve">Y. S. Muzychka, M. M. Yovanovich, J. R. Culham, </w:t>
      </w:r>
      <w:r w:rsidRPr="005A7543">
        <w:rPr>
          <w:i/>
        </w:rPr>
        <w:t>Journal of Thermophysics and Heat Transfer</w:t>
      </w:r>
      <w:r w:rsidRPr="005A7543">
        <w:t xml:space="preserve"> </w:t>
      </w:r>
      <w:r w:rsidRPr="005A7543">
        <w:rPr>
          <w:b/>
        </w:rPr>
        <w:t>2004</w:t>
      </w:r>
      <w:r w:rsidRPr="005A7543">
        <w:t>, 18, 45.</w:t>
      </w:r>
      <w:bookmarkEnd w:id="111"/>
    </w:p>
    <w:p w14:paraId="4E3FA0BF" w14:textId="77777777" w:rsidR="00AA6917" w:rsidRPr="005A7543" w:rsidRDefault="00AA6917" w:rsidP="00A419D1">
      <w:pPr>
        <w:pStyle w:val="EndNoteBibliography"/>
        <w:spacing w:after="0"/>
        <w:ind w:left="720" w:hanging="720"/>
      </w:pPr>
      <w:bookmarkStart w:id="112" w:name="_ENREF_54"/>
      <w:r w:rsidRPr="005A7543">
        <w:t>[54]</w:t>
      </w:r>
      <w:r w:rsidRPr="005A7543">
        <w:tab/>
        <w:t xml:space="preserve">Y. S. Muzychka, </w:t>
      </w:r>
      <w:r w:rsidRPr="005A7543">
        <w:rPr>
          <w:i/>
        </w:rPr>
        <w:t>Journal of Thermophysics and Heat Transfer</w:t>
      </w:r>
      <w:r w:rsidRPr="005A7543">
        <w:t xml:space="preserve"> </w:t>
      </w:r>
      <w:r w:rsidRPr="005A7543">
        <w:rPr>
          <w:b/>
        </w:rPr>
        <w:t>2014</w:t>
      </w:r>
      <w:r w:rsidRPr="005A7543">
        <w:t>, 28, 313.</w:t>
      </w:r>
      <w:bookmarkEnd w:id="112"/>
    </w:p>
    <w:p w14:paraId="4E3FA0C0" w14:textId="77777777" w:rsidR="00AA6917" w:rsidRPr="005A7543" w:rsidRDefault="00AA6917" w:rsidP="00A419D1">
      <w:pPr>
        <w:pStyle w:val="EndNoteBibliography"/>
        <w:spacing w:after="0"/>
        <w:ind w:left="720" w:hanging="720"/>
      </w:pPr>
      <w:bookmarkStart w:id="113" w:name="_ENREF_55"/>
      <w:r w:rsidRPr="005A7543">
        <w:t>[55]</w:t>
      </w:r>
      <w:r w:rsidRPr="005A7543">
        <w:tab/>
        <w:t xml:space="preserve">O. V. Kolosov, I. Grishin, R. Jones, </w:t>
      </w:r>
      <w:r w:rsidRPr="005A7543">
        <w:rPr>
          <w:i/>
        </w:rPr>
        <w:t>Nanotechnology</w:t>
      </w:r>
      <w:r w:rsidRPr="005A7543">
        <w:t xml:space="preserve"> </w:t>
      </w:r>
      <w:r w:rsidRPr="005A7543">
        <w:rPr>
          <w:b/>
        </w:rPr>
        <w:t>2011</w:t>
      </w:r>
      <w:r w:rsidRPr="005A7543">
        <w:t>, 22, 185702.</w:t>
      </w:r>
      <w:bookmarkEnd w:id="113"/>
    </w:p>
    <w:p w14:paraId="4E3FA0C1" w14:textId="77777777" w:rsidR="00AA6917" w:rsidRPr="005A7543" w:rsidRDefault="00AA6917" w:rsidP="00A419D1">
      <w:pPr>
        <w:pStyle w:val="EndNoteBibliography"/>
        <w:spacing w:after="0"/>
        <w:ind w:left="720" w:hanging="720"/>
      </w:pPr>
      <w:bookmarkStart w:id="114" w:name="_ENREF_56"/>
      <w:r w:rsidRPr="005A7543">
        <w:t>[56]</w:t>
      </w:r>
      <w:r w:rsidRPr="005A7543">
        <w:tab/>
        <w:t xml:space="preserve">I. Grishin, B. D. Huey, O. V. Kolosov, </w:t>
      </w:r>
      <w:r w:rsidRPr="005A7543">
        <w:rPr>
          <w:i/>
        </w:rPr>
        <w:t>Acs Applied Materials &amp; Interfaces</w:t>
      </w:r>
      <w:r w:rsidRPr="005A7543">
        <w:t xml:space="preserve"> </w:t>
      </w:r>
      <w:r w:rsidRPr="005A7543">
        <w:rPr>
          <w:b/>
        </w:rPr>
        <w:t>2013</w:t>
      </w:r>
      <w:r w:rsidRPr="005A7543">
        <w:t>, 5, 11441.</w:t>
      </w:r>
      <w:bookmarkEnd w:id="114"/>
    </w:p>
    <w:p w14:paraId="4E3FA0C2" w14:textId="77777777" w:rsidR="00AA6917" w:rsidRPr="005A7543" w:rsidRDefault="00AA6917" w:rsidP="00A419D1">
      <w:pPr>
        <w:pStyle w:val="EndNoteBibliography"/>
        <w:spacing w:after="0"/>
        <w:ind w:left="720" w:hanging="720"/>
      </w:pPr>
      <w:bookmarkStart w:id="115" w:name="_ENREF_57"/>
      <w:r w:rsidRPr="005A7543">
        <w:t>[57]</w:t>
      </w:r>
      <w:r w:rsidRPr="005A7543">
        <w:tab/>
        <w:t xml:space="preserve">J. L. Bosse, I. Grishin, B. D. Huey, O. V. Kolosov, </w:t>
      </w:r>
      <w:r w:rsidRPr="005A7543">
        <w:rPr>
          <w:i/>
        </w:rPr>
        <w:t>Appl. Surf. Sci.</w:t>
      </w:r>
      <w:r w:rsidRPr="005A7543">
        <w:t xml:space="preserve"> </w:t>
      </w:r>
      <w:r w:rsidRPr="005A7543">
        <w:rPr>
          <w:b/>
        </w:rPr>
        <w:t>2014</w:t>
      </w:r>
      <w:r w:rsidRPr="005A7543">
        <w:t>, 314, 151.</w:t>
      </w:r>
      <w:bookmarkEnd w:id="115"/>
    </w:p>
    <w:p w14:paraId="4E3FA0C3" w14:textId="77777777" w:rsidR="00AA6917" w:rsidRPr="005A7543" w:rsidRDefault="00AA6917" w:rsidP="00A419D1">
      <w:pPr>
        <w:pStyle w:val="EndNoteBibliography"/>
        <w:spacing w:after="0"/>
        <w:ind w:left="720" w:hanging="720"/>
      </w:pPr>
      <w:bookmarkStart w:id="116" w:name="_ENREF_58"/>
      <w:r w:rsidRPr="005A7543">
        <w:t>[58]</w:t>
      </w:r>
      <w:r w:rsidRPr="005A7543">
        <w:tab/>
        <w:t xml:space="preserve">A. J. Robson, I. Grishin, R. J. Young, A. M. Sanchez, O. V. Kolosov, M. Hayne, </w:t>
      </w:r>
      <w:r w:rsidRPr="005A7543">
        <w:rPr>
          <w:i/>
        </w:rPr>
        <w:t>Acs Applied Materials &amp; Interfaces</w:t>
      </w:r>
      <w:r w:rsidRPr="005A7543">
        <w:t xml:space="preserve"> </w:t>
      </w:r>
      <w:r w:rsidRPr="005A7543">
        <w:rPr>
          <w:b/>
        </w:rPr>
        <w:t>2013</w:t>
      </w:r>
      <w:r w:rsidRPr="005A7543">
        <w:t>, 5, 3241.</w:t>
      </w:r>
      <w:bookmarkEnd w:id="116"/>
    </w:p>
    <w:p w14:paraId="4E3FA0C4" w14:textId="77777777" w:rsidR="00AA6917" w:rsidRPr="005A7543" w:rsidRDefault="00AA6917" w:rsidP="00A419D1">
      <w:pPr>
        <w:pStyle w:val="EndNoteBibliography"/>
        <w:spacing w:after="0"/>
        <w:ind w:left="720" w:hanging="720"/>
      </w:pPr>
      <w:bookmarkStart w:id="117" w:name="_ENREF_59"/>
      <w:r w:rsidRPr="005A7543">
        <w:t>[59]</w:t>
      </w:r>
      <w:r w:rsidRPr="005A7543">
        <w:tab/>
        <w:t xml:space="preserve">M. Timofeeva, A. Bolshakov, P. D. Tovee, D. A. Zeze, V. G. Dubrovskii, O. V. Kolosov, </w:t>
      </w:r>
      <w:r w:rsidRPr="005A7543">
        <w:rPr>
          <w:i/>
        </w:rPr>
        <w:t>Ultramicroscopy</w:t>
      </w:r>
      <w:r w:rsidRPr="005A7543">
        <w:t xml:space="preserve"> </w:t>
      </w:r>
      <w:r w:rsidRPr="005A7543">
        <w:rPr>
          <w:b/>
        </w:rPr>
        <w:t>2016</w:t>
      </w:r>
      <w:r w:rsidRPr="005A7543">
        <w:t>, 162, 42.</w:t>
      </w:r>
      <w:bookmarkEnd w:id="117"/>
    </w:p>
    <w:p w14:paraId="4E3FA0C5" w14:textId="77777777" w:rsidR="00AA6917" w:rsidRPr="005A7543" w:rsidRDefault="00AA6917" w:rsidP="00A419D1">
      <w:pPr>
        <w:pStyle w:val="EndNoteBibliography"/>
        <w:spacing w:after="0"/>
        <w:ind w:left="720" w:hanging="720"/>
      </w:pPr>
      <w:bookmarkStart w:id="118" w:name="_ENREF_60"/>
      <w:r w:rsidRPr="005A7543">
        <w:t>[60]</w:t>
      </w:r>
      <w:r w:rsidRPr="005A7543">
        <w:tab/>
        <w:t xml:space="preserve">P. Janus, D. Szmigiel, M. Weisheit, G. Wielgoszewski, Y. Ritz, P. Grabiec, M. Hecker, T. Gotszalk, P. Sulecki, E. Zschech, </w:t>
      </w:r>
      <w:r w:rsidRPr="005A7543">
        <w:rPr>
          <w:i/>
        </w:rPr>
        <w:t>Microelectronic Engineering</w:t>
      </w:r>
      <w:r w:rsidRPr="005A7543">
        <w:t xml:space="preserve"> </w:t>
      </w:r>
      <w:r w:rsidRPr="005A7543">
        <w:rPr>
          <w:b/>
        </w:rPr>
        <w:t>2010</w:t>
      </w:r>
      <w:r w:rsidRPr="005A7543">
        <w:t>, 87, 1370.</w:t>
      </w:r>
      <w:bookmarkEnd w:id="118"/>
    </w:p>
    <w:p w14:paraId="4E3FA0C6" w14:textId="77777777" w:rsidR="00AA6917" w:rsidRPr="005A7543" w:rsidRDefault="00AA6917" w:rsidP="00A419D1">
      <w:pPr>
        <w:pStyle w:val="EndNoteBibliography"/>
        <w:spacing w:after="0"/>
        <w:ind w:left="720" w:hanging="720"/>
      </w:pPr>
      <w:bookmarkStart w:id="119" w:name="_ENREF_61"/>
      <w:r w:rsidRPr="005A7543">
        <w:t>[61]</w:t>
      </w:r>
      <w:r w:rsidRPr="005A7543">
        <w:tab/>
        <w:t xml:space="preserve">E. Gmelin, R. Fischer, R. Stitzinger, </w:t>
      </w:r>
      <w:r w:rsidRPr="005A7543">
        <w:rPr>
          <w:i/>
        </w:rPr>
        <w:t>Thermochim. Acta</w:t>
      </w:r>
      <w:r w:rsidRPr="005A7543">
        <w:t xml:space="preserve"> </w:t>
      </w:r>
      <w:r w:rsidRPr="005A7543">
        <w:rPr>
          <w:b/>
        </w:rPr>
        <w:t>1998</w:t>
      </w:r>
      <w:r w:rsidRPr="005A7543">
        <w:t>, 310, 1.</w:t>
      </w:r>
      <w:bookmarkEnd w:id="119"/>
    </w:p>
    <w:p w14:paraId="4E3FA0C7" w14:textId="77777777" w:rsidR="00AA6917" w:rsidRPr="005A7543" w:rsidRDefault="00AA6917" w:rsidP="00A419D1">
      <w:pPr>
        <w:pStyle w:val="EndNoteBibliography"/>
        <w:spacing w:after="0"/>
        <w:ind w:left="720" w:hanging="720"/>
      </w:pPr>
      <w:bookmarkStart w:id="120" w:name="_ENREF_62"/>
      <w:r w:rsidRPr="005A7543">
        <w:t>[62]</w:t>
      </w:r>
      <w:r w:rsidRPr="005A7543">
        <w:tab/>
        <w:t xml:space="preserve">P. S. Dobson, J. M. R. Weaver, G. Mills, Ieee, in </w:t>
      </w:r>
      <w:r w:rsidRPr="005A7543">
        <w:rPr>
          <w:i/>
        </w:rPr>
        <w:t>2007 Ieee Sensors, Vols 1-3</w:t>
      </w:r>
      <w:r w:rsidRPr="005A7543">
        <w:t xml:space="preserve">, DOI: 10.1109/icsens.2007.4388498, Ieee, New York </w:t>
      </w:r>
      <w:r w:rsidRPr="005A7543">
        <w:rPr>
          <w:b/>
        </w:rPr>
        <w:t>2007</w:t>
      </w:r>
      <w:r w:rsidRPr="005A7543">
        <w:t>, p. 708.</w:t>
      </w:r>
      <w:bookmarkEnd w:id="120"/>
    </w:p>
    <w:p w14:paraId="4E3FA0C8" w14:textId="77777777" w:rsidR="00AA6917" w:rsidRPr="005A7543" w:rsidRDefault="00AA6917" w:rsidP="00A419D1">
      <w:pPr>
        <w:pStyle w:val="EndNoteBibliography"/>
        <w:spacing w:after="0"/>
        <w:ind w:left="720" w:hanging="720"/>
      </w:pPr>
      <w:bookmarkStart w:id="121" w:name="_ENREF_63"/>
      <w:r w:rsidRPr="005A7543">
        <w:t>[63]</w:t>
      </w:r>
      <w:r w:rsidRPr="005A7543">
        <w:tab/>
        <w:t xml:space="preserve">W. Zhu, G. Zheng, S. Cao, H. He, </w:t>
      </w:r>
      <w:r w:rsidRPr="005A7543">
        <w:rPr>
          <w:i/>
        </w:rPr>
        <w:t>Sci. Rep.</w:t>
      </w:r>
      <w:r w:rsidRPr="005A7543">
        <w:t xml:space="preserve"> </w:t>
      </w:r>
      <w:r w:rsidRPr="005A7543">
        <w:rPr>
          <w:b/>
        </w:rPr>
        <w:t>2018</w:t>
      </w:r>
      <w:r w:rsidRPr="005A7543">
        <w:t>, 8, 10537.</w:t>
      </w:r>
      <w:bookmarkEnd w:id="121"/>
    </w:p>
    <w:p w14:paraId="4E3FA0C9" w14:textId="77777777" w:rsidR="00AA6917" w:rsidRPr="005A7543" w:rsidRDefault="00AA6917" w:rsidP="00A419D1">
      <w:pPr>
        <w:pStyle w:val="EndNoteBibliography"/>
        <w:spacing w:after="0"/>
        <w:ind w:left="720" w:hanging="720"/>
      </w:pPr>
      <w:bookmarkStart w:id="122" w:name="_ENREF_64"/>
      <w:r w:rsidRPr="005A7543">
        <w:t>[64]</w:t>
      </w:r>
      <w:r w:rsidRPr="005A7543">
        <w:tab/>
        <w:t xml:space="preserve">F. R. Brotzen, P. J. Loos, D. P. Brady, </w:t>
      </w:r>
      <w:r w:rsidRPr="005A7543">
        <w:rPr>
          <w:i/>
        </w:rPr>
        <w:t>Thin Solid Films</w:t>
      </w:r>
      <w:r w:rsidRPr="005A7543">
        <w:t xml:space="preserve"> </w:t>
      </w:r>
      <w:r w:rsidRPr="005A7543">
        <w:rPr>
          <w:b/>
        </w:rPr>
        <w:t>1992</w:t>
      </w:r>
      <w:r w:rsidRPr="005A7543">
        <w:t>, 207, 197.</w:t>
      </w:r>
      <w:bookmarkEnd w:id="122"/>
    </w:p>
    <w:p w14:paraId="4E3FA0CA" w14:textId="77777777" w:rsidR="00AA6917" w:rsidRPr="005A7543" w:rsidRDefault="00AA6917" w:rsidP="00A419D1">
      <w:pPr>
        <w:pStyle w:val="EndNoteBibliography"/>
        <w:spacing w:after="0"/>
        <w:ind w:left="720" w:hanging="720"/>
      </w:pPr>
      <w:bookmarkStart w:id="123" w:name="_ENREF_65"/>
      <w:r w:rsidRPr="005A7543">
        <w:t>[65]</w:t>
      </w:r>
      <w:r w:rsidRPr="005A7543">
        <w:tab/>
        <w:t xml:space="preserve">H. R. Shanks, P. D. Maycock, P. H. Sidles, G. C. Danielson, </w:t>
      </w:r>
      <w:r w:rsidRPr="005A7543">
        <w:rPr>
          <w:i/>
        </w:rPr>
        <w:t>Phys. Rev.</w:t>
      </w:r>
      <w:r w:rsidRPr="005A7543">
        <w:t xml:space="preserve"> </w:t>
      </w:r>
      <w:r w:rsidRPr="005A7543">
        <w:rPr>
          <w:b/>
        </w:rPr>
        <w:t>1963</w:t>
      </w:r>
      <w:r w:rsidRPr="005A7543">
        <w:t>, 130, 1743.</w:t>
      </w:r>
      <w:bookmarkEnd w:id="123"/>
    </w:p>
    <w:p w14:paraId="4E3FA0CB" w14:textId="77777777" w:rsidR="00AA6917" w:rsidRPr="005A7543" w:rsidRDefault="00AA6917" w:rsidP="00A419D1">
      <w:pPr>
        <w:pStyle w:val="EndNoteBibliography"/>
        <w:spacing w:after="0"/>
        <w:ind w:left="720" w:hanging="720"/>
      </w:pPr>
      <w:bookmarkStart w:id="124" w:name="_ENREF_66"/>
      <w:r w:rsidRPr="005A7543">
        <w:t>[66]</w:t>
      </w:r>
      <w:r w:rsidRPr="005A7543">
        <w:tab/>
        <w:t xml:space="preserve">X. Li, Y. Yan, L. Dong, J. Guo, A. Aiyiti, X. Xu, B. Li, </w:t>
      </w:r>
      <w:r w:rsidRPr="005A7543">
        <w:rPr>
          <w:i/>
        </w:rPr>
        <w:t>J. Phys. D: Appl. Phys.</w:t>
      </w:r>
      <w:r w:rsidRPr="005A7543">
        <w:t xml:space="preserve"> </w:t>
      </w:r>
      <w:r w:rsidRPr="005A7543">
        <w:rPr>
          <w:b/>
        </w:rPr>
        <w:t>2017</w:t>
      </w:r>
      <w:r w:rsidRPr="005A7543">
        <w:t>, 50, 104002.</w:t>
      </w:r>
      <w:bookmarkEnd w:id="124"/>
    </w:p>
    <w:p w14:paraId="4E3FA0CC" w14:textId="77777777" w:rsidR="00AA6917" w:rsidRPr="005A7543" w:rsidRDefault="00AA6917" w:rsidP="00A419D1">
      <w:pPr>
        <w:pStyle w:val="EndNoteBibliography"/>
        <w:spacing w:after="0"/>
        <w:ind w:left="720" w:hanging="720"/>
      </w:pPr>
      <w:bookmarkStart w:id="125" w:name="_ENREF_67"/>
      <w:r w:rsidRPr="005A7543">
        <w:t>[67]</w:t>
      </w:r>
      <w:r w:rsidRPr="005A7543">
        <w:tab/>
        <w:t xml:space="preserve">M. Ahmad, K. Agarwal, S. Gonzalez Munoz, A. Ghosh, N. Kodan, O. V. Kolosov, B. R. Mehta, </w:t>
      </w:r>
      <w:r w:rsidRPr="005A7543">
        <w:rPr>
          <w:i/>
        </w:rPr>
        <w:t>Adv. Funct. Mater.</w:t>
      </w:r>
      <w:r w:rsidRPr="005A7543">
        <w:t xml:space="preserve"> </w:t>
      </w:r>
      <w:r w:rsidRPr="005A7543">
        <w:rPr>
          <w:b/>
        </w:rPr>
        <w:t>2022</w:t>
      </w:r>
      <w:r w:rsidRPr="005A7543">
        <w:t>, 32, 2206384.</w:t>
      </w:r>
      <w:bookmarkEnd w:id="125"/>
    </w:p>
    <w:p w14:paraId="4E3FA0CD" w14:textId="77777777" w:rsidR="00AA6917" w:rsidRPr="005A7543" w:rsidRDefault="00AA6917" w:rsidP="00A419D1">
      <w:pPr>
        <w:pStyle w:val="EndNoteBibliography"/>
        <w:spacing w:after="0"/>
        <w:ind w:left="720" w:hanging="720"/>
      </w:pPr>
      <w:bookmarkStart w:id="126" w:name="_ENREF_68"/>
      <w:r w:rsidRPr="005A7543">
        <w:t>[68]</w:t>
      </w:r>
      <w:r w:rsidRPr="005A7543">
        <w:tab/>
        <w:t xml:space="preserve">J. L. Bosse, M. Timofeeva, P. D. Tovee, B. J. Robinson, B. D. Huey, O. V. Kolosov, </w:t>
      </w:r>
      <w:r w:rsidRPr="005A7543">
        <w:rPr>
          <w:i/>
        </w:rPr>
        <w:t>Journal of Applied Physics</w:t>
      </w:r>
      <w:r w:rsidRPr="005A7543">
        <w:t xml:space="preserve"> </w:t>
      </w:r>
      <w:r w:rsidRPr="005A7543">
        <w:rPr>
          <w:b/>
        </w:rPr>
        <w:t>2014</w:t>
      </w:r>
      <w:r w:rsidRPr="005A7543">
        <w:t>, 116, 134904.</w:t>
      </w:r>
      <w:bookmarkEnd w:id="126"/>
    </w:p>
    <w:p w14:paraId="4E3FA0CE" w14:textId="77777777" w:rsidR="00AA6917" w:rsidRPr="005A7543" w:rsidRDefault="00AA6917" w:rsidP="00A419D1">
      <w:pPr>
        <w:pStyle w:val="EndNoteBibliography"/>
        <w:spacing w:after="0"/>
        <w:ind w:left="720" w:hanging="720"/>
      </w:pPr>
      <w:bookmarkStart w:id="127" w:name="_ENREF_69"/>
      <w:r w:rsidRPr="005A7543">
        <w:t>[69]</w:t>
      </w:r>
      <w:r w:rsidRPr="005A7543">
        <w:tab/>
        <w:t xml:space="preserve">P. D. Tovee, M. E. Pumarol, M. C. Rosamond, R. Jones, M. C. Petty, D. A. Zeze, O. V. Kolosov, </w:t>
      </w:r>
      <w:r w:rsidRPr="005A7543">
        <w:rPr>
          <w:i/>
        </w:rPr>
        <w:t>Phys. Chem. Chem. Phys.</w:t>
      </w:r>
      <w:r w:rsidRPr="005A7543">
        <w:t xml:space="preserve"> </w:t>
      </w:r>
      <w:r w:rsidRPr="005A7543">
        <w:rPr>
          <w:b/>
        </w:rPr>
        <w:t>2014</w:t>
      </w:r>
      <w:r w:rsidRPr="005A7543">
        <w:t>, 16, 1174.</w:t>
      </w:r>
      <w:bookmarkEnd w:id="127"/>
    </w:p>
    <w:p w14:paraId="4E3FA0CF" w14:textId="77777777" w:rsidR="00AA6917" w:rsidRPr="005A7543" w:rsidRDefault="00AA6917" w:rsidP="00A419D1">
      <w:pPr>
        <w:pStyle w:val="EndNoteBibliography"/>
        <w:spacing w:after="0"/>
        <w:ind w:left="720" w:hanging="720"/>
      </w:pPr>
      <w:bookmarkStart w:id="128" w:name="_ENREF_70"/>
      <w:r w:rsidRPr="005A7543">
        <w:t>[70]</w:t>
      </w:r>
      <w:r w:rsidRPr="005A7543">
        <w:tab/>
        <w:t xml:space="preserve">J. Song, Y. Zhou, N. P. Padture, B. D. Huey, </w:t>
      </w:r>
      <w:r w:rsidRPr="005A7543">
        <w:rPr>
          <w:i/>
        </w:rPr>
        <w:t>Nature Communications</w:t>
      </w:r>
      <w:r w:rsidRPr="005A7543">
        <w:t xml:space="preserve"> </w:t>
      </w:r>
      <w:r w:rsidRPr="005A7543">
        <w:rPr>
          <w:b/>
        </w:rPr>
        <w:t>2020</w:t>
      </w:r>
      <w:r w:rsidRPr="005A7543">
        <w:t>, 11, 3308.</w:t>
      </w:r>
      <w:bookmarkEnd w:id="128"/>
    </w:p>
    <w:p w14:paraId="4E3FA0D0" w14:textId="77777777" w:rsidR="00AA6917" w:rsidRPr="005A7543" w:rsidRDefault="00AA6917" w:rsidP="00A419D1">
      <w:pPr>
        <w:pStyle w:val="EndNoteBibliography"/>
        <w:spacing w:after="0"/>
        <w:ind w:left="720" w:hanging="720"/>
      </w:pPr>
      <w:bookmarkStart w:id="129" w:name="_ENREF_71"/>
      <w:r w:rsidRPr="005A7543">
        <w:t>[71]</w:t>
      </w:r>
      <w:r w:rsidRPr="005A7543">
        <w:tab/>
        <w:t xml:space="preserve">W. Zhang, Y. Chen, C. Xu, C. Lin, J. Tao, Y. Lin, J. Li, O. V. Kolosov, Z. Huang, </w:t>
      </w:r>
      <w:r w:rsidRPr="005A7543">
        <w:rPr>
          <w:i/>
        </w:rPr>
        <w:t>Nano Energy</w:t>
      </w:r>
      <w:r w:rsidRPr="005A7543">
        <w:t xml:space="preserve"> </w:t>
      </w:r>
      <w:r w:rsidRPr="005A7543">
        <w:rPr>
          <w:b/>
        </w:rPr>
        <w:t>2023</w:t>
      </w:r>
      <w:r w:rsidRPr="005A7543">
        <w:t>, 108, 108199.</w:t>
      </w:r>
      <w:bookmarkEnd w:id="129"/>
    </w:p>
    <w:p w14:paraId="4E3FA0D1" w14:textId="77777777" w:rsidR="00AA6917" w:rsidRPr="005A7543" w:rsidRDefault="00AA6917" w:rsidP="00A419D1">
      <w:pPr>
        <w:pStyle w:val="EndNoteBibliography"/>
        <w:spacing w:after="0"/>
        <w:ind w:left="720" w:hanging="720"/>
      </w:pPr>
      <w:bookmarkStart w:id="130" w:name="_ENREF_72"/>
      <w:r w:rsidRPr="005A7543">
        <w:t>[72]</w:t>
      </w:r>
      <w:r w:rsidRPr="005A7543">
        <w:tab/>
        <w:t xml:space="preserve">H. Shi, D. Wang, Y. Xiao, L.-D. Zhao, </w:t>
      </w:r>
      <w:r w:rsidRPr="005A7543">
        <w:rPr>
          <w:i/>
        </w:rPr>
        <w:t>Aggregate</w:t>
      </w:r>
      <w:r w:rsidRPr="005A7543">
        <w:t xml:space="preserve"> </w:t>
      </w:r>
      <w:r w:rsidRPr="005A7543">
        <w:rPr>
          <w:b/>
        </w:rPr>
        <w:t>2021</w:t>
      </w:r>
      <w:r w:rsidRPr="005A7543">
        <w:t>, 2, e92.</w:t>
      </w:r>
      <w:bookmarkEnd w:id="130"/>
    </w:p>
    <w:p w14:paraId="4E3FA0D2" w14:textId="77777777" w:rsidR="00AA6917" w:rsidRPr="005A7543" w:rsidRDefault="00AA6917" w:rsidP="00A419D1">
      <w:pPr>
        <w:pStyle w:val="EndNoteBibliography"/>
        <w:spacing w:after="0"/>
        <w:ind w:left="720" w:hanging="720"/>
      </w:pPr>
      <w:bookmarkStart w:id="131" w:name="_ENREF_73"/>
      <w:r w:rsidRPr="005A7543">
        <w:t>[73]</w:t>
      </w:r>
      <w:r w:rsidRPr="005A7543">
        <w:tab/>
        <w:t xml:space="preserve">A. Rai, V. K. Sangwan, J. T. Gish, M. C. Hersam, D. G. Cahill, </w:t>
      </w:r>
      <w:r w:rsidRPr="005A7543">
        <w:rPr>
          <w:i/>
        </w:rPr>
        <w:t>Appl. Phys. Lett.</w:t>
      </w:r>
      <w:r w:rsidRPr="005A7543">
        <w:t xml:space="preserve"> </w:t>
      </w:r>
      <w:r w:rsidRPr="005A7543">
        <w:rPr>
          <w:b/>
        </w:rPr>
        <w:t>2021</w:t>
      </w:r>
      <w:r w:rsidRPr="005A7543">
        <w:t>, 118, 073101.</w:t>
      </w:r>
      <w:bookmarkEnd w:id="131"/>
    </w:p>
    <w:p w14:paraId="4E3FA0D3" w14:textId="77777777" w:rsidR="00AA6917" w:rsidRPr="005A7543" w:rsidRDefault="00AA6917" w:rsidP="00A419D1">
      <w:pPr>
        <w:pStyle w:val="EndNoteBibliography"/>
        <w:spacing w:after="0"/>
        <w:ind w:left="720" w:hanging="720"/>
      </w:pPr>
      <w:bookmarkStart w:id="132" w:name="_ENREF_74"/>
      <w:r w:rsidRPr="005A7543">
        <w:t>[74]</w:t>
      </w:r>
      <w:r w:rsidRPr="005A7543">
        <w:tab/>
        <w:t xml:space="preserve">H. L. Li, B. Y. Cao, </w:t>
      </w:r>
      <w:r w:rsidRPr="005A7543">
        <w:rPr>
          <w:i/>
        </w:rPr>
        <w:t>Nanoscale and Microscale Thermophysical Engineering</w:t>
      </w:r>
      <w:r w:rsidRPr="005A7543">
        <w:t xml:space="preserve"> </w:t>
      </w:r>
      <w:r w:rsidRPr="005A7543">
        <w:rPr>
          <w:b/>
        </w:rPr>
        <w:t>2019</w:t>
      </w:r>
      <w:r w:rsidRPr="005A7543">
        <w:t>, 23, 10.</w:t>
      </w:r>
      <w:bookmarkEnd w:id="132"/>
    </w:p>
    <w:p w14:paraId="4E3FA0D4" w14:textId="77777777" w:rsidR="00AA6917" w:rsidRPr="005A7543" w:rsidRDefault="00AA6917" w:rsidP="00A419D1">
      <w:pPr>
        <w:pStyle w:val="EndNoteBibliography"/>
        <w:spacing w:after="0"/>
        <w:ind w:left="720" w:hanging="720"/>
      </w:pPr>
      <w:bookmarkStart w:id="133" w:name="_ENREF_75"/>
      <w:r w:rsidRPr="005A7543">
        <w:t>[75]</w:t>
      </w:r>
      <w:r w:rsidRPr="005A7543">
        <w:tab/>
        <w:t xml:space="preserve">M. M. Yovanovich, J. R. Culham, P. Teertstra, </w:t>
      </w:r>
      <w:r w:rsidRPr="005A7543">
        <w:rPr>
          <w:i/>
        </w:rPr>
        <w:t>IEEE Trans. Compon., Packag., Manuf. Technol., Part A</w:t>
      </w:r>
      <w:r w:rsidRPr="005A7543">
        <w:t xml:space="preserve"> </w:t>
      </w:r>
      <w:r w:rsidRPr="005A7543">
        <w:rPr>
          <w:b/>
        </w:rPr>
        <w:t>1998</w:t>
      </w:r>
      <w:r w:rsidRPr="005A7543">
        <w:t>, 21, 168.</w:t>
      </w:r>
      <w:bookmarkEnd w:id="133"/>
    </w:p>
    <w:p w14:paraId="4E3FA0D5" w14:textId="77777777" w:rsidR="00AA6917" w:rsidRPr="005A7543" w:rsidRDefault="00AA6917" w:rsidP="00A419D1">
      <w:pPr>
        <w:pStyle w:val="EndNoteBibliography"/>
        <w:spacing w:after="0"/>
        <w:ind w:left="720" w:hanging="720"/>
      </w:pPr>
      <w:bookmarkStart w:id="134" w:name="_ENREF_76"/>
      <w:r w:rsidRPr="005A7543">
        <w:t>[76]</w:t>
      </w:r>
      <w:r w:rsidRPr="005A7543">
        <w:tab/>
        <w:t xml:space="preserve">J. Chen, G. Zhang, B. Li, </w:t>
      </w:r>
      <w:r w:rsidRPr="005A7543">
        <w:rPr>
          <w:i/>
        </w:rPr>
        <w:t>Journal of Applied Physics</w:t>
      </w:r>
      <w:r w:rsidRPr="005A7543">
        <w:t xml:space="preserve"> </w:t>
      </w:r>
      <w:r w:rsidRPr="005A7543">
        <w:rPr>
          <w:b/>
        </w:rPr>
        <w:t>2012</w:t>
      </w:r>
      <w:r w:rsidRPr="005A7543">
        <w:t>, 112, 064319.</w:t>
      </w:r>
      <w:bookmarkEnd w:id="134"/>
    </w:p>
    <w:p w14:paraId="4E3FA0D6" w14:textId="77777777" w:rsidR="00AA6917" w:rsidRPr="005A7543" w:rsidRDefault="00AA6917" w:rsidP="00A419D1">
      <w:pPr>
        <w:pStyle w:val="EndNoteBibliography"/>
        <w:spacing w:after="0"/>
        <w:ind w:left="720" w:hanging="720"/>
      </w:pPr>
      <w:bookmarkStart w:id="135" w:name="_ENREF_77"/>
      <w:r w:rsidRPr="005A7543">
        <w:t>[77]</w:t>
      </w:r>
      <w:r w:rsidRPr="005A7543">
        <w:tab/>
        <w:t xml:space="preserve">N. Tapia-Ruiz, A. R. Armstrong, H. Alptekin, M. A. Amores, H. Au, J. Barker, R. Boston, W. R. Brant, J. M. Brittain, Y. Chen, M. Chhowalla, Y.-S. Choi, S. I. R. Costa, M. Crespo Ribadeneyra, S. A. Cussen, E. J. Cussen, W. I. F. David, A. V. Desai, S. A. M. Dickson, E. I. Eweka, J. D. Forero-Saboya, C. P. Grey, J. M. Griffin, P. Gross, X. Hua, J. T. S. Irvine, P. Johansson, M. O. Jones, M. Karlsmo, E. Kendrick, E. Kim, O. V. Kolosov, Z. Li, S. F. L. Mertens, R. Mogensen, L. Monconduit, R. E. Morris, A. J. Naylor, S. Nikman, C. A. O’Keefe, D. M. C. Ould, R. G. Palgrave, P. Poizot, A. Ponrouch, S. Renault, E. M. Reynolds, A. Rudola, R. Sayers, D. O. Scanlon, S. Sen, V. R. Seymour, B. Silván, M. T. Sougrati, L. Stievano, G. S. Stone, C. I. Thomas, M.-M. Titirici, J. Tong, T. J. Wood, D. S. Wright, R. Younesi, </w:t>
      </w:r>
      <w:r w:rsidRPr="005A7543">
        <w:rPr>
          <w:i/>
        </w:rPr>
        <w:t>JPhys Energy</w:t>
      </w:r>
      <w:r w:rsidRPr="005A7543">
        <w:t xml:space="preserve"> </w:t>
      </w:r>
      <w:r w:rsidRPr="005A7543">
        <w:rPr>
          <w:b/>
        </w:rPr>
        <w:t>2021</w:t>
      </w:r>
      <w:r w:rsidRPr="005A7543">
        <w:t>, 3, 031503.</w:t>
      </w:r>
      <w:bookmarkEnd w:id="135"/>
    </w:p>
    <w:p w14:paraId="4E3FA0D7" w14:textId="77777777" w:rsidR="00AA6917" w:rsidRPr="005A7543" w:rsidRDefault="00AA6917" w:rsidP="00A419D1">
      <w:pPr>
        <w:pStyle w:val="EndNoteBibliography"/>
        <w:spacing w:after="0"/>
        <w:ind w:left="720" w:hanging="720"/>
      </w:pPr>
      <w:bookmarkStart w:id="136" w:name="_ENREF_78"/>
      <w:r w:rsidRPr="005A7543">
        <w:t>[78]</w:t>
      </w:r>
      <w:r w:rsidRPr="005A7543">
        <w:tab/>
        <w:t xml:space="preserve">J. L. Bosse, P. D. Tovee, B. D. Huey, O. V. Kolosov, </w:t>
      </w:r>
      <w:r w:rsidRPr="005A7543">
        <w:rPr>
          <w:i/>
        </w:rPr>
        <w:t>Journal of Applied Physics</w:t>
      </w:r>
      <w:r w:rsidRPr="005A7543">
        <w:t xml:space="preserve"> </w:t>
      </w:r>
      <w:r w:rsidRPr="005A7543">
        <w:rPr>
          <w:b/>
        </w:rPr>
        <w:t>2014</w:t>
      </w:r>
      <w:r w:rsidRPr="005A7543">
        <w:t>, 115, 144304.</w:t>
      </w:r>
      <w:bookmarkEnd w:id="136"/>
    </w:p>
    <w:p w14:paraId="4E3FA0D8" w14:textId="77777777" w:rsidR="00AA6917" w:rsidRPr="005A7543" w:rsidRDefault="00AA6917" w:rsidP="00A419D1">
      <w:pPr>
        <w:pStyle w:val="EndNoteBibliography"/>
        <w:spacing w:after="0"/>
        <w:ind w:left="720" w:hanging="720"/>
      </w:pPr>
      <w:bookmarkStart w:id="137" w:name="_ENREF_79"/>
      <w:r w:rsidRPr="005A7543">
        <w:t>[79]</w:t>
      </w:r>
      <w:r w:rsidRPr="005A7543">
        <w:tab/>
        <w:t xml:space="preserve">F. Vialla, N. Del Fatti, </w:t>
      </w:r>
      <w:r w:rsidRPr="005A7543">
        <w:rPr>
          <w:i/>
        </w:rPr>
        <w:t>Nanomaterials</w:t>
      </w:r>
      <w:r w:rsidRPr="005A7543">
        <w:t xml:space="preserve"> </w:t>
      </w:r>
      <w:r w:rsidRPr="005A7543">
        <w:rPr>
          <w:b/>
        </w:rPr>
        <w:t>2020</w:t>
      </w:r>
      <w:r w:rsidRPr="005A7543">
        <w:t>, 10, 2543.</w:t>
      </w:r>
      <w:bookmarkEnd w:id="137"/>
    </w:p>
    <w:p w14:paraId="4E3FA0D9" w14:textId="77777777" w:rsidR="00AA6917" w:rsidRPr="005A7543" w:rsidRDefault="00AA6917" w:rsidP="00A419D1">
      <w:pPr>
        <w:pStyle w:val="EndNoteBibliography"/>
        <w:spacing w:after="0"/>
        <w:ind w:left="720" w:hanging="720"/>
      </w:pPr>
      <w:bookmarkStart w:id="138" w:name="_ENREF_80"/>
      <w:r w:rsidRPr="005A7543">
        <w:t>[80]</w:t>
      </w:r>
      <w:r w:rsidRPr="005A7543">
        <w:tab/>
        <w:t xml:space="preserve">A. V. Zaslonkin, V. M. Kaminskii, Z. D. Kovalyuk, I. V. Mintyanskii, M. V. Tovarnitskii, </w:t>
      </w:r>
      <w:r w:rsidRPr="005A7543">
        <w:rPr>
          <w:i/>
        </w:rPr>
        <w:t>Inorg. Mater.</w:t>
      </w:r>
      <w:r w:rsidRPr="005A7543">
        <w:t xml:space="preserve"> </w:t>
      </w:r>
      <w:r w:rsidRPr="005A7543">
        <w:rPr>
          <w:b/>
        </w:rPr>
        <w:t>2006</w:t>
      </w:r>
      <w:r w:rsidRPr="005A7543">
        <w:t>, 42, 1308.</w:t>
      </w:r>
      <w:bookmarkEnd w:id="138"/>
    </w:p>
    <w:p w14:paraId="4E3FA0DA" w14:textId="77777777" w:rsidR="00AA6917" w:rsidRPr="005A7543" w:rsidRDefault="00AA6917" w:rsidP="00A419D1">
      <w:pPr>
        <w:pStyle w:val="EndNoteBibliography"/>
        <w:spacing w:after="0"/>
        <w:ind w:left="720" w:hanging="720"/>
      </w:pPr>
      <w:bookmarkStart w:id="139" w:name="_ENREF_81"/>
      <w:r w:rsidRPr="005A7543">
        <w:t>[81]</w:t>
      </w:r>
      <w:r w:rsidRPr="005A7543">
        <w:tab/>
        <w:t xml:space="preserve">A. Maiti, K. Agarwal, S. Gonzalez-Munoz, O. V. Kolosov, </w:t>
      </w:r>
      <w:r w:rsidRPr="005A7543">
        <w:rPr>
          <w:i/>
        </w:rPr>
        <w:t>Phys. Rev. Mater.</w:t>
      </w:r>
      <w:r w:rsidRPr="005A7543">
        <w:t xml:space="preserve"> </w:t>
      </w:r>
      <w:r w:rsidRPr="005A7543">
        <w:rPr>
          <w:b/>
        </w:rPr>
        <w:t>2023</w:t>
      </w:r>
      <w:r w:rsidRPr="005A7543">
        <w:t>, 7, 023801.</w:t>
      </w:r>
      <w:bookmarkEnd w:id="139"/>
    </w:p>
    <w:p w14:paraId="4E3FA0DB" w14:textId="77777777" w:rsidR="00AA6917" w:rsidRPr="005A7543" w:rsidRDefault="00AA6917" w:rsidP="00A419D1">
      <w:pPr>
        <w:pStyle w:val="EndNoteBibliography"/>
        <w:spacing w:after="0"/>
        <w:ind w:left="720" w:hanging="720"/>
      </w:pPr>
      <w:bookmarkStart w:id="140" w:name="_ENREF_82"/>
      <w:r w:rsidRPr="005A7543">
        <w:t>[82]</w:t>
      </w:r>
      <w:r w:rsidRPr="005A7543">
        <w:tab/>
        <w:t xml:space="preserve">B. Zhang, H. Wu, K. Peng, X. Shen, X. Gong, S. Zheng, X. Lu, G. Wang, X. Zhou, </w:t>
      </w:r>
      <w:r w:rsidRPr="005A7543">
        <w:rPr>
          <w:i/>
        </w:rPr>
        <w:t>Chin. Phys. B</w:t>
      </w:r>
      <w:r w:rsidRPr="005A7543">
        <w:t xml:space="preserve"> </w:t>
      </w:r>
      <w:r w:rsidRPr="005A7543">
        <w:rPr>
          <w:b/>
        </w:rPr>
        <w:t>2021</w:t>
      </w:r>
      <w:r w:rsidRPr="005A7543">
        <w:t>, 30, 078101.</w:t>
      </w:r>
      <w:bookmarkEnd w:id="140"/>
    </w:p>
    <w:p w14:paraId="4E3FA0DC" w14:textId="77777777" w:rsidR="00AA6917" w:rsidRPr="005A7543" w:rsidRDefault="00AA6917" w:rsidP="00A419D1">
      <w:pPr>
        <w:pStyle w:val="EndNoteBibliography"/>
        <w:spacing w:after="0"/>
        <w:ind w:left="720" w:hanging="720"/>
      </w:pPr>
      <w:bookmarkStart w:id="141" w:name="_ENREF_83"/>
      <w:r w:rsidRPr="005A7543">
        <w:t>[83]</w:t>
      </w:r>
      <w:r w:rsidRPr="005A7543">
        <w:tab/>
        <w:t xml:space="preserve">V. D. Botcha, M. Zhang, K. Li, H. Gu, Z. Huang, J. Cai, Y. Lu, W. Yu, X. Liu, </w:t>
      </w:r>
      <w:r w:rsidRPr="005A7543">
        <w:rPr>
          <w:i/>
        </w:rPr>
        <w:t>J. Alloys Compd.</w:t>
      </w:r>
      <w:r w:rsidRPr="005A7543">
        <w:t xml:space="preserve"> </w:t>
      </w:r>
      <w:r w:rsidRPr="005A7543">
        <w:rPr>
          <w:b/>
        </w:rPr>
        <w:t>2018</w:t>
      </w:r>
      <w:r w:rsidRPr="005A7543">
        <w:t>, 735, 594.</w:t>
      </w:r>
      <w:bookmarkEnd w:id="141"/>
    </w:p>
    <w:p w14:paraId="4E3FA0DD" w14:textId="77777777" w:rsidR="00AA6917" w:rsidRPr="005A7543" w:rsidRDefault="00AA6917" w:rsidP="00A419D1">
      <w:pPr>
        <w:pStyle w:val="EndNoteBibliography"/>
        <w:spacing w:after="0"/>
        <w:ind w:left="720" w:hanging="720"/>
      </w:pPr>
      <w:bookmarkStart w:id="142" w:name="_ENREF_84"/>
      <w:r w:rsidRPr="005A7543">
        <w:t>[84]</w:t>
      </w:r>
      <w:r w:rsidRPr="005A7543">
        <w:tab/>
        <w:t xml:space="preserve">D. K. Sang, H. Wang, M. Qiu, R. Cao, Z. Guo, J. Zhao, Y. Li, Q. Xiao, D. Fan, H. Zhang, </w:t>
      </w:r>
      <w:r w:rsidRPr="005A7543">
        <w:rPr>
          <w:i/>
        </w:rPr>
        <w:t>Nanomaterials</w:t>
      </w:r>
      <w:r w:rsidRPr="005A7543">
        <w:t xml:space="preserve"> </w:t>
      </w:r>
      <w:r w:rsidRPr="005A7543">
        <w:rPr>
          <w:b/>
        </w:rPr>
        <w:t>2019</w:t>
      </w:r>
      <w:r w:rsidRPr="005A7543">
        <w:t>, 9, 82.</w:t>
      </w:r>
      <w:bookmarkEnd w:id="142"/>
    </w:p>
    <w:p w14:paraId="4E3FA0DE" w14:textId="77777777" w:rsidR="00AA6917" w:rsidRPr="005A7543" w:rsidRDefault="00AA6917" w:rsidP="00A419D1">
      <w:pPr>
        <w:pStyle w:val="EndNoteBibliography"/>
        <w:ind w:left="720" w:hanging="720"/>
      </w:pPr>
      <w:bookmarkStart w:id="143" w:name="_ENREF_85"/>
      <w:r w:rsidRPr="005A7543">
        <w:t>[85]</w:t>
      </w:r>
      <w:r w:rsidRPr="005A7543">
        <w:tab/>
        <w:t xml:space="preserve">L. Microsystems, Ion Beam Milling System Leica EM TIC 3X, </w:t>
      </w:r>
      <w:r w:rsidRPr="00AA6917">
        <w:t>https://www.leica-microsystems.com/products/sample-preparation-for-electron-microscopy/p/leica-em-tic-3x/</w:t>
      </w:r>
      <w:r w:rsidRPr="005A7543">
        <w:t>, accessed: May, 2022.</w:t>
      </w:r>
      <w:bookmarkEnd w:id="143"/>
    </w:p>
    <w:p w14:paraId="4E3FA0DF" w14:textId="77777777" w:rsidR="00AA6917" w:rsidRPr="00342FBA" w:rsidRDefault="00AA6917" w:rsidP="00A419D1">
      <w:pPr>
        <w:pStyle w:val="EndNoteBibliography"/>
      </w:pPr>
      <w:r w:rsidRPr="00342FBA">
        <w:br w:type="page"/>
      </w:r>
    </w:p>
    <w:p w14:paraId="4E3FA0E0" w14:textId="77777777" w:rsidR="00AA6917" w:rsidRPr="00342FBA" w:rsidRDefault="00AA6917" w:rsidP="00A419D1">
      <w:pPr>
        <w:spacing w:after="0" w:line="360" w:lineRule="auto"/>
        <w:rPr>
          <w:lang w:val="en-US"/>
        </w:rPr>
      </w:pPr>
      <w:r w:rsidRPr="00342FBA">
        <w:rPr>
          <w:rFonts w:eastAsia="MS Mincho" w:cs="Times New Roman"/>
          <w:szCs w:val="24"/>
          <w:lang w:val="en-US" w:eastAsia="ja-JP"/>
        </w:rPr>
        <w:t>One of the thermal transport and thermoelectric applications requires unambiguous characterization of the thermal transport anisotropy. Here, a potent methodology for direct measurements of nanoscale anisotropic and interfacial heat transport of a promising vdW thermoelectric crystal (InSe) is reported, finding anomalously low and anisotropic thermal conductivity.</w:t>
      </w:r>
    </w:p>
    <w:p w14:paraId="4E3FA0E1" w14:textId="77777777" w:rsidR="00AA6917" w:rsidRDefault="00AA6917" w:rsidP="00A419D1">
      <w:pPr>
        <w:spacing w:after="0" w:line="360" w:lineRule="auto"/>
        <w:jc w:val="center"/>
        <w:rPr>
          <w:lang w:val="en-US"/>
        </w:rPr>
      </w:pPr>
      <w:r w:rsidRPr="00342FBA">
        <w:rPr>
          <w:noProof/>
          <w:lang w:eastAsia="zh-CN"/>
        </w:rPr>
        <w:drawing>
          <wp:inline distT="0" distB="0" distL="0" distR="0" wp14:anchorId="4E3FA106" wp14:editId="4E3FA107">
            <wp:extent cx="1979930" cy="1800000"/>
            <wp:effectExtent l="0" t="0" r="1270" b="0"/>
            <wp:docPr id="27" name="Imagen 27"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Gráfico&#10;&#10;Descripción generada automáticamente"/>
                    <pic:cNvPicPr/>
                  </pic:nvPicPr>
                  <pic:blipFill rotWithShape="1">
                    <a:blip r:embed="rId14"/>
                    <a:srcRect l="11021" t="16188" r="8079" b="13372"/>
                    <a:stretch/>
                  </pic:blipFill>
                  <pic:spPr bwMode="auto">
                    <a:xfrm>
                      <a:off x="0" y="0"/>
                      <a:ext cx="1980440" cy="1800464"/>
                    </a:xfrm>
                    <a:prstGeom prst="rect">
                      <a:avLst/>
                    </a:prstGeom>
                    <a:ln>
                      <a:noFill/>
                    </a:ln>
                    <a:extLst>
                      <a:ext uri="{53640926-AAD7-44D8-BBD7-CCE9431645EC}">
                        <a14:shadowObscured xmlns:a14="http://schemas.microsoft.com/office/drawing/2010/main"/>
                      </a:ext>
                    </a:extLst>
                  </pic:spPr>
                </pic:pic>
              </a:graphicData>
            </a:graphic>
          </wp:inline>
        </w:drawing>
      </w:r>
    </w:p>
    <w:p w14:paraId="4E3FA0E2" w14:textId="77777777" w:rsidR="00AA6917" w:rsidRDefault="00AA6917" w:rsidP="00A419D1">
      <w:pPr>
        <w:spacing w:after="0" w:line="360" w:lineRule="auto"/>
        <w:jc w:val="center"/>
        <w:rPr>
          <w:lang w:val="en-US"/>
        </w:rPr>
      </w:pPr>
    </w:p>
    <w:p w14:paraId="4E3FA0E3" w14:textId="77777777" w:rsidR="00AA6917" w:rsidRDefault="00AA6917" w:rsidP="00A419D1">
      <w:pPr>
        <w:spacing w:after="0" w:line="360" w:lineRule="auto"/>
        <w:jc w:val="center"/>
        <w:rPr>
          <w:lang w:val="en-US"/>
        </w:rPr>
      </w:pPr>
    </w:p>
    <w:p w14:paraId="4E3FA0E4" w14:textId="77777777" w:rsidR="00AA6917" w:rsidRDefault="00AA6917" w:rsidP="00A419D1">
      <w:pPr>
        <w:spacing w:after="0" w:line="360" w:lineRule="auto"/>
        <w:jc w:val="center"/>
        <w:rPr>
          <w:lang w:val="en-US"/>
        </w:rPr>
      </w:pPr>
    </w:p>
    <w:p w14:paraId="4E3FA0E5" w14:textId="77777777" w:rsidR="00AA6917" w:rsidRDefault="00AA6917" w:rsidP="00A419D1">
      <w:pPr>
        <w:spacing w:after="0" w:line="360" w:lineRule="auto"/>
        <w:jc w:val="center"/>
        <w:rPr>
          <w:lang w:val="en-US"/>
        </w:rPr>
      </w:pPr>
    </w:p>
    <w:p w14:paraId="4E3FA0E6" w14:textId="77777777" w:rsidR="00AA6917" w:rsidRDefault="00AA6917" w:rsidP="00A419D1">
      <w:pPr>
        <w:spacing w:after="0" w:line="360" w:lineRule="auto"/>
        <w:jc w:val="center"/>
        <w:rPr>
          <w:lang w:val="en-US"/>
        </w:rPr>
      </w:pPr>
    </w:p>
    <w:p w14:paraId="4E3FA0E7" w14:textId="77777777" w:rsidR="00AA6917" w:rsidRDefault="00AA6917" w:rsidP="00A419D1">
      <w:pPr>
        <w:spacing w:after="0" w:line="360" w:lineRule="auto"/>
        <w:jc w:val="center"/>
        <w:rPr>
          <w:lang w:val="en-US"/>
        </w:rPr>
      </w:pPr>
    </w:p>
    <w:p w14:paraId="4E3FA0E8" w14:textId="77777777" w:rsidR="00AA6917" w:rsidRDefault="00AA6917" w:rsidP="00A419D1">
      <w:pPr>
        <w:spacing w:after="0" w:line="360" w:lineRule="auto"/>
        <w:jc w:val="center"/>
        <w:rPr>
          <w:lang w:val="en-US"/>
        </w:rPr>
      </w:pPr>
    </w:p>
    <w:p w14:paraId="4E3FA0E9" w14:textId="77777777" w:rsidR="00AA6917" w:rsidRDefault="00AA6917" w:rsidP="00A419D1">
      <w:pPr>
        <w:spacing w:after="0" w:line="360" w:lineRule="auto"/>
        <w:jc w:val="center"/>
        <w:rPr>
          <w:lang w:val="en-US"/>
        </w:rPr>
      </w:pPr>
    </w:p>
    <w:p w14:paraId="4E3FA0EA" w14:textId="77777777" w:rsidR="00AA6917" w:rsidRDefault="00AA6917" w:rsidP="00A419D1">
      <w:pPr>
        <w:spacing w:after="0" w:line="360" w:lineRule="auto"/>
        <w:jc w:val="center"/>
        <w:rPr>
          <w:lang w:val="en-US"/>
        </w:rPr>
      </w:pPr>
    </w:p>
    <w:p w14:paraId="4E3FA0EB" w14:textId="77777777" w:rsidR="00AA6917" w:rsidRDefault="00AA6917" w:rsidP="00A419D1">
      <w:pPr>
        <w:spacing w:after="0" w:line="360" w:lineRule="auto"/>
        <w:jc w:val="center"/>
        <w:rPr>
          <w:lang w:val="en-US"/>
        </w:rPr>
      </w:pPr>
    </w:p>
    <w:p w14:paraId="4E3FA0EC" w14:textId="77777777" w:rsidR="00AA6917" w:rsidRDefault="00AA6917" w:rsidP="00A419D1">
      <w:pPr>
        <w:spacing w:after="0" w:line="360" w:lineRule="auto"/>
        <w:jc w:val="center"/>
        <w:rPr>
          <w:lang w:val="en-US"/>
        </w:rPr>
      </w:pPr>
    </w:p>
    <w:p w14:paraId="4E3FA0ED" w14:textId="77777777" w:rsidR="00AA6917" w:rsidRDefault="00AA6917" w:rsidP="00A419D1">
      <w:pPr>
        <w:spacing w:after="0" w:line="360" w:lineRule="auto"/>
        <w:jc w:val="center"/>
        <w:rPr>
          <w:lang w:val="en-US"/>
        </w:rPr>
      </w:pPr>
    </w:p>
    <w:p w14:paraId="4E3FA0EE" w14:textId="77777777" w:rsidR="00AA6917" w:rsidRDefault="00AA6917" w:rsidP="00A419D1">
      <w:pPr>
        <w:spacing w:after="0" w:line="360" w:lineRule="auto"/>
        <w:jc w:val="center"/>
        <w:rPr>
          <w:lang w:val="en-US"/>
        </w:rPr>
      </w:pPr>
    </w:p>
    <w:p w14:paraId="4E3FA0EF" w14:textId="77777777" w:rsidR="00AA6917" w:rsidRDefault="00AA6917" w:rsidP="00A419D1">
      <w:pPr>
        <w:spacing w:after="0" w:line="360" w:lineRule="auto"/>
        <w:jc w:val="center"/>
        <w:rPr>
          <w:lang w:val="en-US"/>
        </w:rPr>
      </w:pPr>
    </w:p>
    <w:p w14:paraId="4E3FA0F0" w14:textId="77777777" w:rsidR="00AA6917" w:rsidRDefault="00AA6917" w:rsidP="00A419D1">
      <w:pPr>
        <w:spacing w:after="0" w:line="360" w:lineRule="auto"/>
        <w:jc w:val="center"/>
        <w:rPr>
          <w:lang w:val="en-US"/>
        </w:rPr>
      </w:pPr>
    </w:p>
    <w:p w14:paraId="4E3FA0F1" w14:textId="77777777" w:rsidR="00AA6917" w:rsidRDefault="00AA6917" w:rsidP="00A419D1">
      <w:pPr>
        <w:spacing w:after="0" w:line="360" w:lineRule="auto"/>
        <w:jc w:val="center"/>
        <w:rPr>
          <w:lang w:val="en-US"/>
        </w:rPr>
      </w:pPr>
    </w:p>
    <w:p w14:paraId="4E3FA0F2" w14:textId="77777777" w:rsidR="00AA6917" w:rsidRDefault="00AA6917" w:rsidP="00A419D1">
      <w:pPr>
        <w:spacing w:after="0" w:line="360" w:lineRule="auto"/>
        <w:jc w:val="center"/>
        <w:rPr>
          <w:lang w:val="en-US"/>
        </w:rPr>
      </w:pPr>
    </w:p>
    <w:p w14:paraId="4E3FA0F3" w14:textId="77777777" w:rsidR="00AA6917" w:rsidRDefault="00AA6917" w:rsidP="00A419D1">
      <w:pPr>
        <w:spacing w:after="0" w:line="360" w:lineRule="auto"/>
        <w:jc w:val="center"/>
        <w:rPr>
          <w:lang w:val="en-US"/>
        </w:rPr>
      </w:pPr>
    </w:p>
    <w:p w14:paraId="4E3FA0F4" w14:textId="77777777" w:rsidR="00AA6917" w:rsidRDefault="00AA6917" w:rsidP="00A419D1">
      <w:pPr>
        <w:spacing w:after="0" w:line="360" w:lineRule="auto"/>
        <w:jc w:val="center"/>
        <w:rPr>
          <w:lang w:val="en-US"/>
        </w:rPr>
      </w:pPr>
    </w:p>
    <w:p w14:paraId="4E3FA0F5" w14:textId="77777777" w:rsidR="00AA6917" w:rsidRDefault="00AA6917" w:rsidP="00A419D1">
      <w:pPr>
        <w:spacing w:after="0" w:line="360" w:lineRule="auto"/>
        <w:jc w:val="center"/>
        <w:rPr>
          <w:lang w:val="en-US"/>
        </w:rPr>
      </w:pPr>
    </w:p>
    <w:p w14:paraId="4E3FA0F6" w14:textId="77777777" w:rsidR="00AA6917" w:rsidRDefault="00AA6917" w:rsidP="00A419D1">
      <w:pPr>
        <w:spacing w:after="0" w:line="360" w:lineRule="auto"/>
        <w:jc w:val="center"/>
        <w:rPr>
          <w:lang w:val="en-US"/>
        </w:rPr>
      </w:pPr>
    </w:p>
    <w:p w14:paraId="4E3FA0F7" w14:textId="77777777" w:rsidR="00AA6917" w:rsidRDefault="00AA6917" w:rsidP="00A419D1">
      <w:pPr>
        <w:spacing w:after="0" w:line="360" w:lineRule="auto"/>
        <w:jc w:val="center"/>
        <w:rPr>
          <w:lang w:val="en-US"/>
        </w:rPr>
      </w:pPr>
    </w:p>
    <w:p w14:paraId="4E3FA0F8" w14:textId="77777777" w:rsidR="00AA6917" w:rsidRDefault="00AA6917" w:rsidP="00A419D1">
      <w:pPr>
        <w:spacing w:after="0" w:line="360" w:lineRule="auto"/>
        <w:jc w:val="center"/>
        <w:rPr>
          <w:lang w:val="en-US"/>
        </w:rPr>
      </w:pPr>
    </w:p>
    <w:p w14:paraId="4E3FA0F9" w14:textId="77777777" w:rsidR="00AA6917" w:rsidRDefault="00AA6917" w:rsidP="00A419D1">
      <w:pPr>
        <w:spacing w:after="0" w:line="360" w:lineRule="auto"/>
        <w:jc w:val="center"/>
        <w:rPr>
          <w:lang w:val="en-US"/>
        </w:rPr>
      </w:pPr>
    </w:p>
    <w:p w14:paraId="4E3FA0FA" w14:textId="77777777" w:rsidR="00AA6917" w:rsidRPr="00342FBA" w:rsidRDefault="00AA6917" w:rsidP="00A419D1">
      <w:pPr>
        <w:spacing w:after="0" w:line="360" w:lineRule="auto"/>
        <w:jc w:val="center"/>
        <w:rPr>
          <w:lang w:val="en-US"/>
        </w:rPr>
      </w:pPr>
    </w:p>
    <w:p w14:paraId="4E3FA0FB" w14:textId="77777777" w:rsidR="00CC0130" w:rsidRDefault="00CC0130"/>
    <w:sectPr w:rsidR="00CC0130" w:rsidSect="00FB614F">
      <w:headerReference w:type="default" r:id="rId15"/>
      <w:footerReference w:type="default" r:id="rId16"/>
      <w:pgSz w:w="11906" w:h="16838"/>
      <w:pgMar w:top="1440" w:right="1440" w:bottom="1440" w:left="1440" w:header="708" w:footer="708" w:gutter="0"/>
      <w:lnNumType w:countBy="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3FA10F" w14:textId="77777777" w:rsidR="00A419D1" w:rsidRDefault="00A419D1">
      <w:pPr>
        <w:spacing w:after="0" w:line="240" w:lineRule="auto"/>
      </w:pPr>
      <w:r>
        <w:separator/>
      </w:r>
    </w:p>
  </w:endnote>
  <w:endnote w:type="continuationSeparator" w:id="0">
    <w:p w14:paraId="4E3FA111" w14:textId="77777777" w:rsidR="00A419D1" w:rsidRDefault="00A419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EFF" w:usb1="F9DFFFFF" w:usb2="0000007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0497569"/>
      <w:docPartObj>
        <w:docPartGallery w:val="Page Numbers (Bottom of Page)"/>
        <w:docPartUnique/>
      </w:docPartObj>
    </w:sdtPr>
    <w:sdtEndPr/>
    <w:sdtContent>
      <w:p w14:paraId="4E3FA109" w14:textId="02CBD401" w:rsidR="00A419D1" w:rsidRDefault="00A419D1" w:rsidP="00A419D1">
        <w:pPr>
          <w:pStyle w:val="Footer"/>
          <w:jc w:val="center"/>
        </w:pPr>
        <w:r>
          <w:fldChar w:fldCharType="begin"/>
        </w:r>
        <w:r>
          <w:instrText>PAGE   \* MERGEFORMAT</w:instrText>
        </w:r>
        <w:r>
          <w:fldChar w:fldCharType="separate"/>
        </w:r>
        <w:r w:rsidR="000D65F4" w:rsidRPr="000D65F4">
          <w:rPr>
            <w:noProof/>
            <w:lang w:val="es-ES"/>
          </w:rPr>
          <w:t>3</w:t>
        </w:r>
        <w:r>
          <w:fldChar w:fldCharType="end"/>
        </w:r>
      </w:p>
    </w:sdtContent>
  </w:sdt>
  <w:p w14:paraId="4E3FA10A" w14:textId="77777777" w:rsidR="00A419D1" w:rsidRDefault="00A419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3FA10B" w14:textId="77777777" w:rsidR="00A419D1" w:rsidRDefault="00A419D1">
      <w:pPr>
        <w:spacing w:after="0" w:line="240" w:lineRule="auto"/>
      </w:pPr>
      <w:r>
        <w:separator/>
      </w:r>
    </w:p>
  </w:footnote>
  <w:footnote w:type="continuationSeparator" w:id="0">
    <w:p w14:paraId="4E3FA10D" w14:textId="77777777" w:rsidR="00A419D1" w:rsidRDefault="00A419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FA108" w14:textId="77777777" w:rsidR="00A419D1" w:rsidRDefault="00A419D1" w:rsidP="00A419D1">
    <w:pPr>
      <w:pStyle w:val="Header"/>
      <w:jc w:val="right"/>
    </w:pPr>
    <w:r>
      <w:rPr>
        <w:noProof/>
        <w:lang w:eastAsia="zh-CN"/>
      </w:rPr>
      <w:drawing>
        <wp:inline distT="0" distB="0" distL="0" distR="0" wp14:anchorId="4E3FA10B" wp14:editId="4E3FA10C">
          <wp:extent cx="1488440" cy="414655"/>
          <wp:effectExtent l="0" t="0" r="0" b="4445"/>
          <wp:docPr id="1"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Wiley-VCH_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DC9442E"/>
    <w:multiLevelType w:val="multilevel"/>
    <w:tmpl w:val="A19ED5EA"/>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2F091AD1"/>
    <w:multiLevelType w:val="multilevel"/>
    <w:tmpl w:val="24620E86"/>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357" w:hanging="35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44412E5A"/>
    <w:multiLevelType w:val="multilevel"/>
    <w:tmpl w:val="614873D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4F1F30A7"/>
    <w:multiLevelType w:val="multilevel"/>
    <w:tmpl w:val="17E6281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5B7435B9"/>
    <w:multiLevelType w:val="hybridMultilevel"/>
    <w:tmpl w:val="0F429D9C"/>
    <w:lvl w:ilvl="0" w:tplc="BC3E450A">
      <w:start w:val="5"/>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ED423CB"/>
    <w:multiLevelType w:val="hybridMultilevel"/>
    <w:tmpl w:val="5F7EC78C"/>
    <w:lvl w:ilvl="0" w:tplc="4BCADB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5FE4084A"/>
    <w:multiLevelType w:val="hybridMultilevel"/>
    <w:tmpl w:val="DB74A292"/>
    <w:lvl w:ilvl="0" w:tplc="699CDF8C">
      <w:numFmt w:val="bullet"/>
      <w:lvlText w:val="-"/>
      <w:lvlJc w:val="left"/>
      <w:pPr>
        <w:ind w:left="720" w:hanging="360"/>
      </w:pPr>
      <w:rPr>
        <w:rFonts w:ascii="Times New Roman" w:eastAsiaTheme="minorHAnsi" w:hAnsi="Times New Roman" w:cs="Times New Roman" w:hint="default"/>
        <w:color w:val="FF0000"/>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729D2F7E"/>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6"/>
  </w:num>
  <w:num w:numId="2">
    <w:abstractNumId w:val="5"/>
  </w:num>
  <w:num w:numId="3">
    <w:abstractNumId w:val="7"/>
  </w:num>
  <w:num w:numId="4">
    <w:abstractNumId w:val="3"/>
  </w:num>
  <w:num w:numId="5">
    <w:abstractNumId w:val="4"/>
  </w:num>
  <w:num w:numId="6">
    <w:abstractNumId w:val="0"/>
  </w:num>
  <w:num w:numId="7">
    <w:abstractNumId w:val="2"/>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AA6917"/>
    <w:rsid w:val="0002596A"/>
    <w:rsid w:val="000C33AC"/>
    <w:rsid w:val="000D65F4"/>
    <w:rsid w:val="001209E5"/>
    <w:rsid w:val="002E5573"/>
    <w:rsid w:val="002F1D24"/>
    <w:rsid w:val="003F60DE"/>
    <w:rsid w:val="009B53E8"/>
    <w:rsid w:val="00A419D1"/>
    <w:rsid w:val="00A71D32"/>
    <w:rsid w:val="00AA6917"/>
    <w:rsid w:val="00CC0130"/>
    <w:rsid w:val="00FB614F"/>
    <w:rsid w:val="00FF5CDE"/>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3F9FE7"/>
  <w15:chartTrackingRefBased/>
  <w15:docId w15:val="{24B3CFAB-36EC-4EDB-93E4-166D84F77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Arial Unicode MS" w:hAnsi="Calibri" w:cstheme="minorBidi"/>
        <w:sz w:val="24"/>
        <w:szCs w:val="24"/>
        <w:lang w:val="en-GB"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6917"/>
    <w:pPr>
      <w:spacing w:after="160" w:line="259" w:lineRule="auto"/>
      <w:jc w:val="both"/>
    </w:pPr>
    <w:rPr>
      <w:rFonts w:ascii="Times New Roman" w:eastAsiaTheme="minorHAnsi" w:hAnsi="Times New Roman"/>
      <w:szCs w:val="22"/>
      <w:lang w:eastAsia="en-US"/>
    </w:rPr>
  </w:style>
  <w:style w:type="paragraph" w:styleId="Heading1">
    <w:name w:val="heading 1"/>
    <w:basedOn w:val="Normal"/>
    <w:next w:val="Normal"/>
    <w:link w:val="Heading1Char"/>
    <w:autoRedefine/>
    <w:uiPriority w:val="9"/>
    <w:qFormat/>
    <w:rsid w:val="00AA6917"/>
    <w:pPr>
      <w:keepNext/>
      <w:keepLines/>
      <w:numPr>
        <w:numId w:val="8"/>
      </w:numPr>
      <w:tabs>
        <w:tab w:val="left" w:pos="255"/>
      </w:tabs>
      <w:spacing w:after="0" w:line="360" w:lineRule="auto"/>
      <w:ind w:left="357" w:hanging="357"/>
      <w:outlineLvl w:val="0"/>
    </w:pPr>
    <w:rPr>
      <w:rFonts w:eastAsiaTheme="majorEastAsia" w:cstheme="majorBidi"/>
      <w:b/>
      <w:bCs/>
      <w:color w:val="000000" w:themeColor="text1"/>
      <w:szCs w:val="28"/>
    </w:rPr>
  </w:style>
  <w:style w:type="paragraph" w:styleId="Heading2">
    <w:name w:val="heading 2"/>
    <w:basedOn w:val="Normal"/>
    <w:next w:val="Normal"/>
    <w:link w:val="Heading2Char"/>
    <w:autoRedefine/>
    <w:uiPriority w:val="9"/>
    <w:unhideWhenUsed/>
    <w:qFormat/>
    <w:rsid w:val="00AA6917"/>
    <w:pPr>
      <w:keepNext/>
      <w:keepLines/>
      <w:numPr>
        <w:ilvl w:val="1"/>
        <w:numId w:val="8"/>
      </w:numPr>
      <w:tabs>
        <w:tab w:val="left" w:pos="255"/>
      </w:tabs>
      <w:spacing w:after="0" w:line="360" w:lineRule="auto"/>
      <w:outlineLvl w:val="1"/>
    </w:pPr>
    <w:rPr>
      <w:rFonts w:eastAsiaTheme="majorEastAsia" w:cstheme="majorBidi"/>
      <w:b/>
      <w:bCs/>
      <w:color w:val="000000" w:themeColor="text1"/>
      <w:szCs w:val="26"/>
    </w:rPr>
  </w:style>
  <w:style w:type="paragraph" w:styleId="Heading3">
    <w:name w:val="heading 3"/>
    <w:basedOn w:val="Normal"/>
    <w:next w:val="Normal"/>
    <w:link w:val="Heading3Char"/>
    <w:autoRedefine/>
    <w:uiPriority w:val="9"/>
    <w:unhideWhenUsed/>
    <w:qFormat/>
    <w:rsid w:val="00AA6917"/>
    <w:pPr>
      <w:keepNext/>
      <w:keepLines/>
      <w:spacing w:before="40" w:after="0"/>
      <w:ind w:left="720" w:hanging="720"/>
      <w:outlineLvl w:val="2"/>
    </w:pPr>
    <w:rPr>
      <w:rFonts w:eastAsiaTheme="majorEastAsia" w:cstheme="majorBidi"/>
      <w:color w:val="1F4D78" w:themeColor="accent1" w:themeShade="7F"/>
      <w:szCs w:val="24"/>
    </w:rPr>
  </w:style>
  <w:style w:type="paragraph" w:styleId="Heading4">
    <w:name w:val="heading 4"/>
    <w:basedOn w:val="Normal"/>
    <w:next w:val="Normal"/>
    <w:link w:val="Heading4Char"/>
    <w:autoRedefine/>
    <w:uiPriority w:val="9"/>
    <w:unhideWhenUsed/>
    <w:qFormat/>
    <w:rsid w:val="00AA6917"/>
    <w:pPr>
      <w:keepNext/>
      <w:keepLines/>
      <w:spacing w:before="40" w:after="0"/>
      <w:ind w:left="864" w:hanging="864"/>
      <w:outlineLvl w:val="3"/>
    </w:pPr>
    <w:rPr>
      <w:rFonts w:eastAsiaTheme="majorEastAsia" w:cstheme="majorBidi"/>
      <w:i/>
      <w:iCs/>
      <w:color w:val="2E74B5" w:themeColor="accent1" w:themeShade="BF"/>
    </w:rPr>
  </w:style>
  <w:style w:type="paragraph" w:styleId="Heading5">
    <w:name w:val="heading 5"/>
    <w:basedOn w:val="Normal"/>
    <w:next w:val="Normal"/>
    <w:link w:val="Heading5Char"/>
    <w:autoRedefine/>
    <w:uiPriority w:val="9"/>
    <w:unhideWhenUsed/>
    <w:qFormat/>
    <w:rsid w:val="00AA6917"/>
    <w:pPr>
      <w:keepNext/>
      <w:keepLines/>
      <w:spacing w:before="40" w:after="0"/>
      <w:ind w:left="1008" w:hanging="1008"/>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AA6917"/>
    <w:pPr>
      <w:keepNext/>
      <w:keepLines/>
      <w:spacing w:before="40" w:after="0"/>
      <w:ind w:left="1152" w:hanging="1152"/>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AA6917"/>
    <w:pPr>
      <w:keepNext/>
      <w:keepLines/>
      <w:spacing w:before="40" w:after="0"/>
      <w:ind w:left="1296" w:hanging="1296"/>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AA6917"/>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A6917"/>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A6917"/>
    <w:rPr>
      <w:rFonts w:ascii="Times New Roman" w:eastAsiaTheme="majorEastAsia" w:hAnsi="Times New Roman" w:cstheme="majorBidi"/>
      <w:b/>
      <w:bCs/>
      <w:color w:val="000000" w:themeColor="text1"/>
      <w:szCs w:val="28"/>
      <w:lang w:eastAsia="en-US"/>
    </w:rPr>
  </w:style>
  <w:style w:type="character" w:customStyle="1" w:styleId="Heading2Char">
    <w:name w:val="Heading 2 Char"/>
    <w:basedOn w:val="DefaultParagraphFont"/>
    <w:link w:val="Heading2"/>
    <w:uiPriority w:val="9"/>
    <w:rsid w:val="00AA6917"/>
    <w:rPr>
      <w:rFonts w:ascii="Times New Roman" w:eastAsiaTheme="majorEastAsia" w:hAnsi="Times New Roman" w:cstheme="majorBidi"/>
      <w:b/>
      <w:bCs/>
      <w:color w:val="000000" w:themeColor="text1"/>
      <w:szCs w:val="26"/>
      <w:lang w:eastAsia="en-US"/>
    </w:rPr>
  </w:style>
  <w:style w:type="character" w:customStyle="1" w:styleId="Heading3Char">
    <w:name w:val="Heading 3 Char"/>
    <w:basedOn w:val="DefaultParagraphFont"/>
    <w:link w:val="Heading3"/>
    <w:uiPriority w:val="9"/>
    <w:rsid w:val="00AA6917"/>
    <w:rPr>
      <w:rFonts w:ascii="Times New Roman" w:eastAsiaTheme="majorEastAsia" w:hAnsi="Times New Roman" w:cstheme="majorBidi"/>
      <w:color w:val="1F4D78" w:themeColor="accent1" w:themeShade="7F"/>
      <w:lang w:eastAsia="en-US"/>
    </w:rPr>
  </w:style>
  <w:style w:type="character" w:customStyle="1" w:styleId="Heading4Char">
    <w:name w:val="Heading 4 Char"/>
    <w:basedOn w:val="DefaultParagraphFont"/>
    <w:link w:val="Heading4"/>
    <w:uiPriority w:val="9"/>
    <w:rsid w:val="00AA6917"/>
    <w:rPr>
      <w:rFonts w:ascii="Times New Roman" w:eastAsiaTheme="majorEastAsia" w:hAnsi="Times New Roman" w:cstheme="majorBidi"/>
      <w:i/>
      <w:iCs/>
      <w:color w:val="2E74B5" w:themeColor="accent1" w:themeShade="BF"/>
      <w:szCs w:val="22"/>
      <w:lang w:eastAsia="en-US"/>
    </w:rPr>
  </w:style>
  <w:style w:type="character" w:customStyle="1" w:styleId="Heading5Char">
    <w:name w:val="Heading 5 Char"/>
    <w:basedOn w:val="DefaultParagraphFont"/>
    <w:link w:val="Heading5"/>
    <w:uiPriority w:val="9"/>
    <w:rsid w:val="00AA6917"/>
    <w:rPr>
      <w:rFonts w:ascii="Times New Roman" w:eastAsiaTheme="majorEastAsia" w:hAnsi="Times New Roman" w:cstheme="majorBidi"/>
      <w:color w:val="2E74B5" w:themeColor="accent1" w:themeShade="BF"/>
      <w:szCs w:val="22"/>
      <w:lang w:eastAsia="en-US"/>
    </w:rPr>
  </w:style>
  <w:style w:type="character" w:customStyle="1" w:styleId="Heading6Char">
    <w:name w:val="Heading 6 Char"/>
    <w:basedOn w:val="DefaultParagraphFont"/>
    <w:link w:val="Heading6"/>
    <w:uiPriority w:val="9"/>
    <w:semiHidden/>
    <w:rsid w:val="00AA6917"/>
    <w:rPr>
      <w:rFonts w:asciiTheme="majorHAnsi" w:eastAsiaTheme="majorEastAsia" w:hAnsiTheme="majorHAnsi" w:cstheme="majorBidi"/>
      <w:color w:val="1F4D78" w:themeColor="accent1" w:themeShade="7F"/>
      <w:szCs w:val="22"/>
      <w:lang w:eastAsia="en-US"/>
    </w:rPr>
  </w:style>
  <w:style w:type="character" w:customStyle="1" w:styleId="Heading7Char">
    <w:name w:val="Heading 7 Char"/>
    <w:basedOn w:val="DefaultParagraphFont"/>
    <w:link w:val="Heading7"/>
    <w:uiPriority w:val="9"/>
    <w:semiHidden/>
    <w:rsid w:val="00AA6917"/>
    <w:rPr>
      <w:rFonts w:asciiTheme="majorHAnsi" w:eastAsiaTheme="majorEastAsia" w:hAnsiTheme="majorHAnsi" w:cstheme="majorBidi"/>
      <w:i/>
      <w:iCs/>
      <w:color w:val="1F4D78" w:themeColor="accent1" w:themeShade="7F"/>
      <w:szCs w:val="22"/>
      <w:lang w:eastAsia="en-US"/>
    </w:rPr>
  </w:style>
  <w:style w:type="character" w:customStyle="1" w:styleId="Heading8Char">
    <w:name w:val="Heading 8 Char"/>
    <w:basedOn w:val="DefaultParagraphFont"/>
    <w:link w:val="Heading8"/>
    <w:uiPriority w:val="9"/>
    <w:semiHidden/>
    <w:rsid w:val="00AA691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AA6917"/>
    <w:rPr>
      <w:rFonts w:asciiTheme="majorHAnsi" w:eastAsiaTheme="majorEastAsia" w:hAnsiTheme="majorHAnsi" w:cstheme="majorBidi"/>
      <w:i/>
      <w:iCs/>
      <w:color w:val="272727" w:themeColor="text1" w:themeTint="D8"/>
      <w:sz w:val="21"/>
      <w:szCs w:val="21"/>
      <w:lang w:eastAsia="en-US"/>
    </w:rPr>
  </w:style>
  <w:style w:type="paragraph" w:styleId="Title">
    <w:name w:val="Title"/>
    <w:basedOn w:val="Normal"/>
    <w:next w:val="Normal"/>
    <w:link w:val="TitleChar"/>
    <w:autoRedefine/>
    <w:uiPriority w:val="10"/>
    <w:qFormat/>
    <w:rsid w:val="00AA6917"/>
    <w:pPr>
      <w:spacing w:after="0"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AA6917"/>
    <w:rPr>
      <w:rFonts w:ascii="Times New Roman" w:eastAsiaTheme="majorEastAsia" w:hAnsi="Times New Roman" w:cstheme="majorBidi"/>
      <w:spacing w:val="-10"/>
      <w:kern w:val="28"/>
      <w:sz w:val="56"/>
      <w:szCs w:val="56"/>
      <w:lang w:eastAsia="en-US"/>
    </w:rPr>
  </w:style>
  <w:style w:type="paragraph" w:styleId="Subtitle">
    <w:name w:val="Subtitle"/>
    <w:basedOn w:val="Normal"/>
    <w:next w:val="Normal"/>
    <w:link w:val="SubtitleChar"/>
    <w:autoRedefine/>
    <w:uiPriority w:val="11"/>
    <w:qFormat/>
    <w:rsid w:val="00AA6917"/>
    <w:pPr>
      <w:numPr>
        <w:ilvl w:val="1"/>
      </w:numPr>
      <w:spacing w:after="0" w:line="360" w:lineRule="auto"/>
    </w:pPr>
    <w:rPr>
      <w:rFonts w:eastAsiaTheme="minorEastAsia"/>
      <w:i/>
    </w:rPr>
  </w:style>
  <w:style w:type="character" w:customStyle="1" w:styleId="SubtitleChar">
    <w:name w:val="Subtitle Char"/>
    <w:basedOn w:val="DefaultParagraphFont"/>
    <w:link w:val="Subtitle"/>
    <w:uiPriority w:val="11"/>
    <w:rsid w:val="00AA6917"/>
    <w:rPr>
      <w:rFonts w:ascii="Times New Roman" w:eastAsiaTheme="minorEastAsia" w:hAnsi="Times New Roman"/>
      <w:i/>
      <w:szCs w:val="22"/>
      <w:lang w:eastAsia="en-US"/>
    </w:rPr>
  </w:style>
  <w:style w:type="character" w:styleId="SubtleEmphasis">
    <w:name w:val="Subtle Emphasis"/>
    <w:basedOn w:val="DefaultParagraphFont"/>
    <w:uiPriority w:val="19"/>
    <w:qFormat/>
    <w:rsid w:val="00AA6917"/>
    <w:rPr>
      <w:rFonts w:ascii="Times New Roman" w:hAnsi="Times New Roman"/>
      <w:i/>
      <w:iCs/>
      <w:color w:val="404040" w:themeColor="text1" w:themeTint="BF"/>
    </w:rPr>
  </w:style>
  <w:style w:type="character" w:styleId="Emphasis">
    <w:name w:val="Emphasis"/>
    <w:basedOn w:val="DefaultParagraphFont"/>
    <w:uiPriority w:val="20"/>
    <w:qFormat/>
    <w:rsid w:val="00AA6917"/>
    <w:rPr>
      <w:rFonts w:ascii="Times New Roman" w:hAnsi="Times New Roman"/>
      <w:i/>
      <w:iCs/>
    </w:rPr>
  </w:style>
  <w:style w:type="character" w:styleId="IntenseEmphasis">
    <w:name w:val="Intense Emphasis"/>
    <w:basedOn w:val="DefaultParagraphFont"/>
    <w:uiPriority w:val="21"/>
    <w:qFormat/>
    <w:rsid w:val="00AA6917"/>
    <w:rPr>
      <w:rFonts w:ascii="Times New Roman" w:hAnsi="Times New Roman"/>
      <w:i/>
      <w:iCs/>
      <w:color w:val="5B9BD5" w:themeColor="accent1"/>
    </w:rPr>
  </w:style>
  <w:style w:type="character" w:styleId="Strong">
    <w:name w:val="Strong"/>
    <w:basedOn w:val="DefaultParagraphFont"/>
    <w:uiPriority w:val="22"/>
    <w:qFormat/>
    <w:rsid w:val="00AA6917"/>
    <w:rPr>
      <w:rFonts w:ascii="Times New Roman" w:hAnsi="Times New Roman"/>
      <w:b/>
      <w:bCs/>
    </w:rPr>
  </w:style>
  <w:style w:type="character" w:styleId="SubtleReference">
    <w:name w:val="Subtle Reference"/>
    <w:basedOn w:val="DefaultParagraphFont"/>
    <w:uiPriority w:val="31"/>
    <w:qFormat/>
    <w:rsid w:val="00AA6917"/>
    <w:rPr>
      <w:rFonts w:ascii="Times New Roman" w:hAnsi="Times New Roman"/>
      <w:smallCaps/>
      <w:color w:val="5A5A5A" w:themeColor="text1" w:themeTint="A5"/>
    </w:rPr>
  </w:style>
  <w:style w:type="character" w:styleId="IntenseReference">
    <w:name w:val="Intense Reference"/>
    <w:basedOn w:val="DefaultParagraphFont"/>
    <w:uiPriority w:val="32"/>
    <w:qFormat/>
    <w:rsid w:val="00AA6917"/>
    <w:rPr>
      <w:rFonts w:ascii="Times New Roman" w:hAnsi="Times New Roman"/>
      <w:b/>
      <w:bCs/>
      <w:smallCaps/>
      <w:color w:val="5B9BD5" w:themeColor="accent1"/>
      <w:spacing w:val="5"/>
    </w:rPr>
  </w:style>
  <w:style w:type="character" w:styleId="BookTitle">
    <w:name w:val="Book Title"/>
    <w:basedOn w:val="DefaultParagraphFont"/>
    <w:uiPriority w:val="33"/>
    <w:qFormat/>
    <w:rsid w:val="00AA6917"/>
    <w:rPr>
      <w:rFonts w:ascii="Times New Roman" w:hAnsi="Times New Roman"/>
      <w:b/>
      <w:bCs/>
      <w:i/>
      <w:iCs/>
      <w:spacing w:val="5"/>
    </w:rPr>
  </w:style>
  <w:style w:type="paragraph" w:styleId="TableofFigures">
    <w:name w:val="table of figures"/>
    <w:basedOn w:val="Normal"/>
    <w:next w:val="Normal"/>
    <w:autoRedefine/>
    <w:uiPriority w:val="99"/>
    <w:unhideWhenUsed/>
    <w:rsid w:val="00AA6917"/>
    <w:rPr>
      <w:rFonts w:cs="Calibri"/>
    </w:rPr>
  </w:style>
  <w:style w:type="paragraph" w:styleId="ListParagraph">
    <w:name w:val="List Paragraph"/>
    <w:basedOn w:val="Normal"/>
    <w:uiPriority w:val="34"/>
    <w:qFormat/>
    <w:rsid w:val="00AA6917"/>
    <w:pPr>
      <w:ind w:left="720"/>
      <w:contextualSpacing/>
    </w:pPr>
  </w:style>
  <w:style w:type="table" w:styleId="TableGrid">
    <w:name w:val="Table Grid"/>
    <w:basedOn w:val="TableNormal"/>
    <w:uiPriority w:val="39"/>
    <w:rsid w:val="00AA6917"/>
    <w:rPr>
      <w:rFonts w:asciiTheme="minorHAnsi" w:eastAsiaTheme="minorHAnsi" w:hAnsiTheme="minorHAns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A6917"/>
    <w:rPr>
      <w:color w:val="808080"/>
    </w:rPr>
  </w:style>
  <w:style w:type="paragraph" w:styleId="Caption">
    <w:name w:val="caption"/>
    <w:basedOn w:val="Normal"/>
    <w:next w:val="Normal"/>
    <w:uiPriority w:val="35"/>
    <w:unhideWhenUsed/>
    <w:qFormat/>
    <w:rsid w:val="00AA6917"/>
    <w:pPr>
      <w:spacing w:after="200" w:line="240" w:lineRule="auto"/>
    </w:pPr>
    <w:rPr>
      <w:i/>
      <w:iCs/>
      <w:color w:val="44546A" w:themeColor="text2"/>
      <w:sz w:val="18"/>
      <w:szCs w:val="18"/>
    </w:rPr>
  </w:style>
  <w:style w:type="paragraph" w:customStyle="1" w:styleId="EndNoteBibliographyTitle">
    <w:name w:val="EndNote Bibliography Title"/>
    <w:basedOn w:val="Normal"/>
    <w:link w:val="EndNoteBibliographyTitleCar"/>
    <w:rsid w:val="00AA6917"/>
    <w:pPr>
      <w:spacing w:after="0"/>
      <w:jc w:val="center"/>
    </w:pPr>
    <w:rPr>
      <w:rFonts w:cs="Times New Roman"/>
      <w:noProof/>
      <w:lang w:val="en-US"/>
    </w:rPr>
  </w:style>
  <w:style w:type="character" w:customStyle="1" w:styleId="EndNoteBibliographyTitleCar">
    <w:name w:val="EndNote Bibliography Title Car"/>
    <w:basedOn w:val="DefaultParagraphFont"/>
    <w:link w:val="EndNoteBibliographyTitle"/>
    <w:rsid w:val="00AA6917"/>
    <w:rPr>
      <w:rFonts w:ascii="Times New Roman" w:eastAsiaTheme="minorHAnsi" w:hAnsi="Times New Roman" w:cs="Times New Roman"/>
      <w:noProof/>
      <w:szCs w:val="22"/>
      <w:lang w:val="en-US" w:eastAsia="en-US"/>
    </w:rPr>
  </w:style>
  <w:style w:type="paragraph" w:customStyle="1" w:styleId="EndNoteBibliography">
    <w:name w:val="EndNote Bibliography"/>
    <w:basedOn w:val="Normal"/>
    <w:link w:val="EndNoteBibliographyCar"/>
    <w:rsid w:val="00AA6917"/>
    <w:pPr>
      <w:spacing w:line="360" w:lineRule="auto"/>
    </w:pPr>
    <w:rPr>
      <w:rFonts w:cs="Times New Roman"/>
      <w:noProof/>
      <w:lang w:val="en-US"/>
    </w:rPr>
  </w:style>
  <w:style w:type="character" w:customStyle="1" w:styleId="EndNoteBibliographyCar">
    <w:name w:val="EndNote Bibliography Car"/>
    <w:basedOn w:val="DefaultParagraphFont"/>
    <w:link w:val="EndNoteBibliography"/>
    <w:rsid w:val="00AA6917"/>
    <w:rPr>
      <w:rFonts w:ascii="Times New Roman" w:eastAsiaTheme="minorHAnsi" w:hAnsi="Times New Roman" w:cs="Times New Roman"/>
      <w:noProof/>
      <w:szCs w:val="22"/>
      <w:lang w:val="en-US" w:eastAsia="en-US"/>
    </w:rPr>
  </w:style>
  <w:style w:type="paragraph" w:styleId="Header">
    <w:name w:val="header"/>
    <w:basedOn w:val="Normal"/>
    <w:link w:val="HeaderChar"/>
    <w:uiPriority w:val="99"/>
    <w:unhideWhenUsed/>
    <w:rsid w:val="00AA6917"/>
    <w:pPr>
      <w:tabs>
        <w:tab w:val="center" w:pos="4252"/>
        <w:tab w:val="right" w:pos="8504"/>
      </w:tabs>
      <w:spacing w:after="0" w:line="240" w:lineRule="auto"/>
    </w:pPr>
  </w:style>
  <w:style w:type="character" w:customStyle="1" w:styleId="HeaderChar">
    <w:name w:val="Header Char"/>
    <w:basedOn w:val="DefaultParagraphFont"/>
    <w:link w:val="Header"/>
    <w:uiPriority w:val="99"/>
    <w:rsid w:val="00AA6917"/>
    <w:rPr>
      <w:rFonts w:ascii="Times New Roman" w:eastAsiaTheme="minorHAnsi" w:hAnsi="Times New Roman"/>
      <w:szCs w:val="22"/>
      <w:lang w:eastAsia="en-US"/>
    </w:rPr>
  </w:style>
  <w:style w:type="paragraph" w:styleId="Footer">
    <w:name w:val="footer"/>
    <w:basedOn w:val="Normal"/>
    <w:link w:val="FooterChar"/>
    <w:uiPriority w:val="99"/>
    <w:unhideWhenUsed/>
    <w:rsid w:val="00AA6917"/>
    <w:pPr>
      <w:tabs>
        <w:tab w:val="center" w:pos="4252"/>
        <w:tab w:val="right" w:pos="8504"/>
      </w:tabs>
      <w:spacing w:after="0" w:line="240" w:lineRule="auto"/>
    </w:pPr>
  </w:style>
  <w:style w:type="character" w:customStyle="1" w:styleId="FooterChar">
    <w:name w:val="Footer Char"/>
    <w:basedOn w:val="DefaultParagraphFont"/>
    <w:link w:val="Footer"/>
    <w:uiPriority w:val="99"/>
    <w:rsid w:val="00AA6917"/>
    <w:rPr>
      <w:rFonts w:ascii="Times New Roman" w:eastAsiaTheme="minorHAnsi" w:hAnsi="Times New Roman"/>
      <w:szCs w:val="22"/>
      <w:lang w:eastAsia="en-US"/>
    </w:rPr>
  </w:style>
  <w:style w:type="character" w:styleId="Hyperlink">
    <w:name w:val="Hyperlink"/>
    <w:basedOn w:val="DefaultParagraphFont"/>
    <w:uiPriority w:val="99"/>
    <w:unhideWhenUsed/>
    <w:rsid w:val="00AA6917"/>
    <w:rPr>
      <w:color w:val="0563C1" w:themeColor="hyperlink"/>
      <w:u w:val="single"/>
    </w:rPr>
  </w:style>
  <w:style w:type="character" w:customStyle="1" w:styleId="Mencinsinresolver1">
    <w:name w:val="Mención sin resolver1"/>
    <w:basedOn w:val="DefaultParagraphFont"/>
    <w:uiPriority w:val="99"/>
    <w:semiHidden/>
    <w:unhideWhenUsed/>
    <w:rsid w:val="00AA6917"/>
    <w:rPr>
      <w:color w:val="605E5C"/>
      <w:shd w:val="clear" w:color="auto" w:fill="E1DFDD"/>
    </w:rPr>
  </w:style>
  <w:style w:type="paragraph" w:styleId="BalloonText">
    <w:name w:val="Balloon Text"/>
    <w:basedOn w:val="Normal"/>
    <w:link w:val="BalloonTextChar"/>
    <w:uiPriority w:val="99"/>
    <w:semiHidden/>
    <w:unhideWhenUsed/>
    <w:rsid w:val="00AA691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6917"/>
    <w:rPr>
      <w:rFonts w:ascii="Segoe UI" w:eastAsiaTheme="minorHAnsi" w:hAnsi="Segoe UI" w:cs="Segoe UI"/>
      <w:sz w:val="18"/>
      <w:szCs w:val="18"/>
      <w:lang w:eastAsia="en-US"/>
    </w:rPr>
  </w:style>
  <w:style w:type="paragraph" w:styleId="Revision">
    <w:name w:val="Revision"/>
    <w:hidden/>
    <w:uiPriority w:val="99"/>
    <w:semiHidden/>
    <w:rsid w:val="00AA6917"/>
    <w:rPr>
      <w:rFonts w:ascii="Times New Roman" w:eastAsiaTheme="minorHAnsi" w:hAnsi="Times New Roman"/>
      <w:szCs w:val="22"/>
      <w:lang w:eastAsia="en-US"/>
    </w:rPr>
  </w:style>
  <w:style w:type="character" w:styleId="LineNumber">
    <w:name w:val="line number"/>
    <w:basedOn w:val="DefaultParagraphFont"/>
    <w:uiPriority w:val="99"/>
    <w:semiHidden/>
    <w:unhideWhenUsed/>
    <w:rsid w:val="00AA6917"/>
  </w:style>
  <w:style w:type="character" w:styleId="CommentReference">
    <w:name w:val="annotation reference"/>
    <w:basedOn w:val="DefaultParagraphFont"/>
    <w:uiPriority w:val="99"/>
    <w:semiHidden/>
    <w:unhideWhenUsed/>
    <w:rsid w:val="00AA6917"/>
    <w:rPr>
      <w:sz w:val="16"/>
      <w:szCs w:val="16"/>
    </w:rPr>
  </w:style>
  <w:style w:type="paragraph" w:styleId="CommentText">
    <w:name w:val="annotation text"/>
    <w:basedOn w:val="Normal"/>
    <w:link w:val="CommentTextChar"/>
    <w:uiPriority w:val="99"/>
    <w:semiHidden/>
    <w:unhideWhenUsed/>
    <w:rsid w:val="00AA6917"/>
    <w:pPr>
      <w:spacing w:line="240" w:lineRule="auto"/>
    </w:pPr>
    <w:rPr>
      <w:sz w:val="20"/>
      <w:szCs w:val="20"/>
    </w:rPr>
  </w:style>
  <w:style w:type="character" w:customStyle="1" w:styleId="CommentTextChar">
    <w:name w:val="Comment Text Char"/>
    <w:basedOn w:val="DefaultParagraphFont"/>
    <w:link w:val="CommentText"/>
    <w:uiPriority w:val="99"/>
    <w:semiHidden/>
    <w:rsid w:val="00AA6917"/>
    <w:rPr>
      <w:rFonts w:ascii="Times New Roman" w:eastAsiaTheme="minorHAnsi" w:hAnsi="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AA6917"/>
    <w:rPr>
      <w:b/>
      <w:bCs/>
    </w:rPr>
  </w:style>
  <w:style w:type="character" w:customStyle="1" w:styleId="CommentSubjectChar">
    <w:name w:val="Comment Subject Char"/>
    <w:basedOn w:val="CommentTextChar"/>
    <w:link w:val="CommentSubject"/>
    <w:uiPriority w:val="99"/>
    <w:semiHidden/>
    <w:rsid w:val="00AA6917"/>
    <w:rPr>
      <w:rFonts w:ascii="Times New Roman" w:eastAsiaTheme="minorHAnsi" w:hAnsi="Times New Roman"/>
      <w:b/>
      <w:bCs/>
      <w:sz w:val="20"/>
      <w:szCs w:val="20"/>
      <w:lang w:eastAsia="en-US"/>
    </w:rPr>
  </w:style>
  <w:style w:type="character" w:customStyle="1" w:styleId="UnresolvedMention">
    <w:name w:val="Unresolved Mention"/>
    <w:basedOn w:val="DefaultParagraphFont"/>
    <w:uiPriority w:val="99"/>
    <w:semiHidden/>
    <w:unhideWhenUsed/>
    <w:rsid w:val="00AA6917"/>
    <w:rPr>
      <w:color w:val="605E5C"/>
      <w:shd w:val="clear" w:color="auto" w:fill="E1DFDD"/>
    </w:rPr>
  </w:style>
  <w:style w:type="character" w:styleId="FollowedHyperlink">
    <w:name w:val="FollowedHyperlink"/>
    <w:basedOn w:val="DefaultParagraphFont"/>
    <w:uiPriority w:val="99"/>
    <w:semiHidden/>
    <w:unhideWhenUsed/>
    <w:rsid w:val="00AA6917"/>
    <w:rPr>
      <w:color w:val="954F72" w:themeColor="followedHyperlink"/>
      <w:u w:val="single"/>
    </w:rPr>
  </w:style>
  <w:style w:type="paragraph" w:styleId="FootnoteText">
    <w:name w:val="footnote text"/>
    <w:basedOn w:val="Normal"/>
    <w:link w:val="FootnoteTextChar"/>
    <w:uiPriority w:val="99"/>
    <w:semiHidden/>
    <w:unhideWhenUsed/>
    <w:rsid w:val="00AA691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A6917"/>
    <w:rPr>
      <w:rFonts w:ascii="Times New Roman" w:eastAsiaTheme="minorHAnsi" w:hAnsi="Times New Roman"/>
      <w:sz w:val="20"/>
      <w:szCs w:val="20"/>
      <w:lang w:eastAsia="en-US"/>
    </w:rPr>
  </w:style>
  <w:style w:type="character" w:styleId="FootnoteReference">
    <w:name w:val="footnote reference"/>
    <w:basedOn w:val="DefaultParagraphFont"/>
    <w:uiPriority w:val="99"/>
    <w:semiHidden/>
    <w:unhideWhenUsed/>
    <w:rsid w:val="00AA6917"/>
    <w:rPr>
      <w:vertAlign w:val="superscript"/>
    </w:rPr>
  </w:style>
  <w:style w:type="paragraph" w:customStyle="1" w:styleId="Ttulosinnumeracin">
    <w:name w:val="Título sin numeración"/>
    <w:basedOn w:val="Heading1"/>
    <w:qFormat/>
    <w:rsid w:val="00AA6917"/>
    <w:pPr>
      <w:numPr>
        <w:numId w:val="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Relationship Id="rId18" Type="http://schemas.openxmlformats.org/officeDocument/2006/relationships/theme" Target="theme/theme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tif"/><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tif"/><Relationship Id="rId4" Type="http://schemas.openxmlformats.org/officeDocument/2006/relationships/styles" Target="styles.xml"/><Relationship Id="rId9" Type="http://schemas.openxmlformats.org/officeDocument/2006/relationships/image" Target="media/image1.tif"/><Relationship Id="rId14" Type="http://schemas.openxmlformats.org/officeDocument/2006/relationships/image" Target="media/image6.tif"/></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5B06778BE8CB94BA6734D8C02A6C66F" ma:contentTypeVersion="15" ma:contentTypeDescription="Create a new document." ma:contentTypeScope="" ma:versionID="1a67ae5d979d55db1d4628921765e7aa">
  <xsd:schema xmlns:xsd="http://www.w3.org/2001/XMLSchema" xmlns:xs="http://www.w3.org/2001/XMLSchema" xmlns:p="http://schemas.microsoft.com/office/2006/metadata/properties" xmlns:ns2="63fd6146-8132-427d-b10c-fcb286ea3cec" xmlns:ns3="bd375610-767a-49a1-86ba-487dcf1ccabb" targetNamespace="http://schemas.microsoft.com/office/2006/metadata/properties" ma:root="true" ma:fieldsID="0546e04d1438eeec3cc96c61a85eb4d4" ns2:_="" ns3:_="">
    <xsd:import namespace="63fd6146-8132-427d-b10c-fcb286ea3cec"/>
    <xsd:import namespace="bd375610-767a-49a1-86ba-487dcf1ccab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fd6146-8132-427d-b10c-fcb286ea3c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1bb35676-0bdf-4ed4-88f9-e2f8379240d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d375610-767a-49a1-86ba-487dcf1ccabb"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4377d9b2-6e54-42c0-8267-079e09c763e1}" ma:internalName="TaxCatchAll" ma:showField="CatchAllData" ma:web="bd375610-767a-49a1-86ba-487dcf1ccab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A4BA80E-EBBD-436C-B1B7-FAB95590B6E2}">
  <ds:schemaRefs>
    <ds:schemaRef ds:uri="http://schemas.microsoft.com/sharepoint/v3/contenttype/forms"/>
  </ds:schemaRefs>
</ds:datastoreItem>
</file>

<file path=customXml/itemProps2.xml><?xml version="1.0" encoding="utf-8"?>
<ds:datastoreItem xmlns:ds="http://schemas.openxmlformats.org/officeDocument/2006/customXml" ds:itemID="{9B9B9040-09B6-40D4-9A15-5CA5D6F8D0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fd6146-8132-427d-b10c-fcb286ea3cec"/>
    <ds:schemaRef ds:uri="bd375610-767a-49a1-86ba-487dcf1cca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30</Pages>
  <Words>9680</Words>
  <Characters>55176</Characters>
  <Application>Microsoft Office Word</Application>
  <DocSecurity>0</DocSecurity>
  <Lines>459</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Kolosov, Oleg</dc:creator>
  <cp:keywords/>
  <dc:description/>
  <cp:lastModifiedBy>Kolosov, Oleg</cp:lastModifiedBy>
  <cp:revision>7</cp:revision>
  <dcterms:created xsi:type="dcterms:W3CDTF">2023-03-21T14:59:00Z</dcterms:created>
  <dcterms:modified xsi:type="dcterms:W3CDTF">2023-03-21T15:46:00Z</dcterms:modified>
</cp:coreProperties>
</file>