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EBA68" w14:textId="77777777" w:rsidR="00A11CF6" w:rsidRPr="006453D9" w:rsidRDefault="00A11CF6" w:rsidP="00A11CF6">
      <w:pPr>
        <w:pStyle w:val="MDPI11articletype"/>
      </w:pPr>
      <w:r w:rsidRPr="006453D9">
        <w:t>Artic</w:t>
      </w:r>
      <w:r w:rsidR="009F6C82">
        <w:t>le</w:t>
      </w:r>
    </w:p>
    <w:p w14:paraId="3CC2225D" w14:textId="77777777" w:rsidR="00A11CF6" w:rsidRPr="003B1AF1" w:rsidRDefault="00C36913" w:rsidP="00A11CF6">
      <w:pPr>
        <w:pStyle w:val="MDPI12title"/>
      </w:pPr>
      <w:r>
        <w:t>Whey protein isolate/calcium silicate hydrogels for bone tis</w:t>
      </w:r>
      <w:r w:rsidR="000C0848">
        <w:t xml:space="preserve">sue engineering applications – </w:t>
      </w:r>
      <w:r w:rsidR="000C0848" w:rsidRPr="000C0848">
        <w:rPr>
          <w:color w:val="FF0000"/>
        </w:rPr>
        <w:t>preliminary</w:t>
      </w:r>
      <w:r w:rsidR="000C0848">
        <w:t xml:space="preserve"> </w:t>
      </w:r>
      <w:r w:rsidR="000C0848">
        <w:rPr>
          <w:color w:val="FF0000"/>
        </w:rPr>
        <w:t>e</w:t>
      </w:r>
      <w:r>
        <w:t xml:space="preserve">valuation </w:t>
      </w:r>
      <w:r w:rsidRPr="00C36913">
        <w:rPr>
          <w:i/>
        </w:rPr>
        <w:t>in vitro</w:t>
      </w:r>
      <w:r>
        <w:t xml:space="preserve"> </w:t>
      </w:r>
    </w:p>
    <w:p w14:paraId="7EAD29EA" w14:textId="77777777" w:rsidR="00C35A6C" w:rsidRPr="009F6C82" w:rsidRDefault="009F6C82" w:rsidP="00A11CF6">
      <w:pPr>
        <w:pStyle w:val="MDPI13authornames"/>
      </w:pPr>
      <w:r w:rsidRPr="009F6C82">
        <w:t>Tayla Ivory-Cousins</w:t>
      </w:r>
      <w:r w:rsidR="00A11CF6" w:rsidRPr="009F6C82">
        <w:t xml:space="preserve"> </w:t>
      </w:r>
      <w:r w:rsidR="00A11CF6" w:rsidRPr="009F6C82">
        <w:rPr>
          <w:vertAlign w:val="superscript"/>
        </w:rPr>
        <w:t>1</w:t>
      </w:r>
      <w:r w:rsidRPr="009F6C82">
        <w:t xml:space="preserve">, Aleksandra </w:t>
      </w:r>
      <w:proofErr w:type="spellStart"/>
      <w:r w:rsidRPr="009F6C82">
        <w:t>Nurzynska</w:t>
      </w:r>
      <w:proofErr w:type="spellEnd"/>
      <w:r w:rsidR="00A11CF6" w:rsidRPr="009F6C82">
        <w:t xml:space="preserve"> </w:t>
      </w:r>
      <w:r w:rsidR="005051E4">
        <w:rPr>
          <w:vertAlign w:val="superscript"/>
        </w:rPr>
        <w:t>2</w:t>
      </w:r>
      <w:r w:rsidRPr="009F6C82">
        <w:t xml:space="preserve">, </w:t>
      </w:r>
      <w:r w:rsidR="00B57A19" w:rsidRPr="009F6C82">
        <w:t>Katarzyna Klimek</w:t>
      </w:r>
      <w:r w:rsidR="00B57A19">
        <w:t xml:space="preserve"> </w:t>
      </w:r>
      <w:r w:rsidR="005051E4">
        <w:rPr>
          <w:vertAlign w:val="superscript"/>
        </w:rPr>
        <w:t>2</w:t>
      </w:r>
      <w:r w:rsidR="00B57A19" w:rsidRPr="00B57A19">
        <w:rPr>
          <w:vertAlign w:val="subscript"/>
        </w:rPr>
        <w:t>,</w:t>
      </w:r>
      <w:r w:rsidR="00B57A19" w:rsidRPr="009F6C82">
        <w:t xml:space="preserve"> </w:t>
      </w:r>
      <w:r w:rsidR="005051E4">
        <w:t>Daniel</w:t>
      </w:r>
      <w:r w:rsidR="00A44C3B">
        <w:t xml:space="preserve"> K.</w:t>
      </w:r>
      <w:r w:rsidR="005051E4">
        <w:t xml:space="preserve"> Baines</w:t>
      </w:r>
      <w:r w:rsidR="005051E4" w:rsidRPr="009F6C82">
        <w:t xml:space="preserve"> </w:t>
      </w:r>
      <w:r w:rsidR="005051E4" w:rsidRPr="009F6C82">
        <w:rPr>
          <w:vertAlign w:val="superscript"/>
        </w:rPr>
        <w:t>1</w:t>
      </w:r>
      <w:r w:rsidR="005051E4" w:rsidRPr="009F6C82">
        <w:t xml:space="preserve">, </w:t>
      </w:r>
      <w:r w:rsidRPr="009F6C82">
        <w:t xml:space="preserve">Wieslaw Truszkiewicz </w:t>
      </w:r>
      <w:r w:rsidR="005051E4">
        <w:rPr>
          <w:vertAlign w:val="superscript"/>
        </w:rPr>
        <w:t>2</w:t>
      </w:r>
      <w:r w:rsidRPr="009F6C82">
        <w:t>,</w:t>
      </w:r>
      <w:r w:rsidR="00007ADD">
        <w:t xml:space="preserve"> Krzysztof </w:t>
      </w:r>
      <w:proofErr w:type="spellStart"/>
      <w:r w:rsidR="00007ADD">
        <w:t>Pałka</w:t>
      </w:r>
      <w:proofErr w:type="spellEnd"/>
      <w:r w:rsidR="00007ADD">
        <w:t xml:space="preserve"> </w:t>
      </w:r>
      <w:r w:rsidR="005051E4">
        <w:rPr>
          <w:vertAlign w:val="superscript"/>
        </w:rPr>
        <w:t>3</w:t>
      </w:r>
      <w:r w:rsidR="00007ADD">
        <w:t>,</w:t>
      </w:r>
      <w:r w:rsidRPr="009F6C82">
        <w:t xml:space="preserve"> and Timothy </w:t>
      </w:r>
      <w:r w:rsidR="00D97684">
        <w:t xml:space="preserve">E. </w:t>
      </w:r>
      <w:r w:rsidRPr="009F6C82">
        <w:t>L.</w:t>
      </w:r>
      <w:r>
        <w:t xml:space="preserve"> Douglas</w:t>
      </w:r>
      <w:r w:rsidR="00A11CF6" w:rsidRPr="009F6C82">
        <w:t xml:space="preserve"> </w:t>
      </w:r>
      <w:r w:rsidRPr="009F6C82">
        <w:rPr>
          <w:vertAlign w:val="superscript"/>
        </w:rPr>
        <w:t>1</w:t>
      </w:r>
      <w:r w:rsidR="00A11CF6" w:rsidRPr="009F6C82">
        <w:t>*</w:t>
      </w:r>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C35A6C" w:rsidRPr="000802ED" w14:paraId="6E3620C2" w14:textId="77777777" w:rsidTr="00243DB9">
        <w:tc>
          <w:tcPr>
            <w:tcW w:w="2410" w:type="dxa"/>
            <w:shd w:val="clear" w:color="auto" w:fill="auto"/>
          </w:tcPr>
          <w:p w14:paraId="542DF7EF" w14:textId="77777777" w:rsidR="00C35A6C" w:rsidRPr="00227C97" w:rsidRDefault="00C35A6C" w:rsidP="00243DB9">
            <w:pPr>
              <w:pStyle w:val="MDPI61Citation"/>
              <w:spacing w:after="120" w:line="240" w:lineRule="exact"/>
            </w:pPr>
            <w:r w:rsidRPr="0099140B">
              <w:rPr>
                <w:b/>
              </w:rPr>
              <w:t>Citation:</w:t>
            </w:r>
            <w:r>
              <w:rPr>
                <w:b/>
              </w:rPr>
              <w:t xml:space="preserve"> </w:t>
            </w:r>
            <w:r>
              <w:t>To be added by editorial staff during production.</w:t>
            </w:r>
          </w:p>
          <w:p w14:paraId="028D6478" w14:textId="77777777" w:rsidR="00C35A6C" w:rsidRDefault="00C35A6C" w:rsidP="00243DB9">
            <w:pPr>
              <w:pStyle w:val="MDPI14history"/>
              <w:spacing w:before="120" w:after="120"/>
              <w:rPr>
                <w:rFonts w:ascii="SimSun" w:eastAsia="SimSun" w:hAnsi="SimSun" w:cs="SimSun"/>
                <w:lang w:eastAsia="zh-CN"/>
              </w:rPr>
            </w:pPr>
            <w:r>
              <w:t xml:space="preserve">Academic Editor: </w:t>
            </w:r>
            <w:proofErr w:type="spellStart"/>
            <w:r w:rsidRPr="00562097">
              <w:t>Firstname</w:t>
            </w:r>
            <w:proofErr w:type="spellEnd"/>
            <w:r w:rsidRPr="00562097">
              <w:t xml:space="preserve"> Lastname</w:t>
            </w:r>
          </w:p>
          <w:p w14:paraId="0553FE81" w14:textId="77777777" w:rsidR="00C35A6C" w:rsidRPr="00D30D71" w:rsidRDefault="00C35A6C" w:rsidP="00243DB9">
            <w:pPr>
              <w:pStyle w:val="MDPI14history"/>
              <w:spacing w:before="120"/>
              <w:rPr>
                <w:rFonts w:ascii="SimSun" w:eastAsia="SimSun" w:hAnsi="SimSun" w:cs="SimSun"/>
              </w:rPr>
            </w:pPr>
            <w:r w:rsidRPr="00550626">
              <w:rPr>
                <w:szCs w:val="14"/>
              </w:rPr>
              <w:t xml:space="preserve">Received: </w:t>
            </w:r>
            <w:r w:rsidRPr="00D945EC">
              <w:rPr>
                <w:szCs w:val="14"/>
              </w:rPr>
              <w:t>date</w:t>
            </w:r>
          </w:p>
          <w:p w14:paraId="0257431B" w14:textId="77777777" w:rsidR="00C35A6C" w:rsidRDefault="00C35A6C" w:rsidP="00243DB9">
            <w:pPr>
              <w:pStyle w:val="MDPI14history"/>
              <w:rPr>
                <w:szCs w:val="14"/>
              </w:rPr>
            </w:pPr>
            <w:r>
              <w:rPr>
                <w:szCs w:val="14"/>
              </w:rPr>
              <w:t>Revised: date</w:t>
            </w:r>
          </w:p>
          <w:p w14:paraId="68B61BAB" w14:textId="77777777" w:rsidR="00C35A6C" w:rsidRPr="00550626" w:rsidRDefault="00C35A6C" w:rsidP="00243DB9">
            <w:pPr>
              <w:pStyle w:val="MDPI14history"/>
              <w:rPr>
                <w:szCs w:val="14"/>
              </w:rPr>
            </w:pPr>
            <w:r>
              <w:rPr>
                <w:szCs w:val="14"/>
              </w:rPr>
              <w:t>Accepted: date</w:t>
            </w:r>
          </w:p>
          <w:p w14:paraId="2D505AE6" w14:textId="77777777" w:rsidR="00C35A6C" w:rsidRPr="00550626" w:rsidRDefault="00C35A6C" w:rsidP="00243DB9">
            <w:pPr>
              <w:pStyle w:val="MDPI14history"/>
              <w:spacing w:after="120"/>
              <w:rPr>
                <w:szCs w:val="14"/>
              </w:rPr>
            </w:pPr>
            <w:r w:rsidRPr="00550626">
              <w:rPr>
                <w:szCs w:val="14"/>
              </w:rPr>
              <w:t xml:space="preserve">Published: </w:t>
            </w:r>
            <w:r w:rsidRPr="00D945EC">
              <w:rPr>
                <w:szCs w:val="14"/>
              </w:rPr>
              <w:t>date</w:t>
            </w:r>
          </w:p>
          <w:p w14:paraId="7EBC0317" w14:textId="77777777" w:rsidR="00C35A6C" w:rsidRPr="000802ED" w:rsidRDefault="00C35A6C" w:rsidP="00243DB9">
            <w:pPr>
              <w:adjustRightInd w:val="0"/>
              <w:snapToGrid w:val="0"/>
              <w:spacing w:before="120" w:line="240" w:lineRule="atLeast"/>
              <w:ind w:right="113"/>
              <w:jc w:val="left"/>
              <w:rPr>
                <w:rFonts w:eastAsia="DengXian"/>
                <w:bCs/>
                <w:sz w:val="14"/>
                <w:szCs w:val="14"/>
                <w:lang w:bidi="en-US"/>
              </w:rPr>
            </w:pPr>
            <w:r w:rsidRPr="000802ED">
              <w:rPr>
                <w:rFonts w:eastAsia="DengXian"/>
                <w:lang w:val="pl-PL" w:eastAsia="pl-PL"/>
              </w:rPr>
              <w:drawing>
                <wp:inline distT="0" distB="0" distL="0" distR="0" wp14:anchorId="15AA66EA" wp14:editId="453AE4FE">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0DCF8BE2" w14:textId="77777777" w:rsidR="00C35A6C" w:rsidRPr="000802ED" w:rsidRDefault="00C35A6C" w:rsidP="00E47CE8">
            <w:pPr>
              <w:pStyle w:val="MDPI72Copyright"/>
              <w:rPr>
                <w:rFonts w:eastAsia="DengXian"/>
                <w:lang w:bidi="en-US"/>
              </w:rPr>
            </w:pPr>
            <w:r w:rsidRPr="000802ED">
              <w:rPr>
                <w:rFonts w:eastAsia="DengXian"/>
                <w:b/>
                <w:lang w:bidi="en-US"/>
              </w:rPr>
              <w:t>Copyright:</w:t>
            </w:r>
            <w:r w:rsidRPr="000802ED">
              <w:rPr>
                <w:rFonts w:eastAsia="DengXian"/>
                <w:lang w:bidi="en-US"/>
              </w:rPr>
              <w:t xml:space="preserve"> </w:t>
            </w:r>
            <w:r w:rsidR="00E47CE8">
              <w:rPr>
                <w:rFonts w:eastAsia="DengXian"/>
                <w:lang w:bidi="en-US"/>
              </w:rPr>
              <w:t>© 2023</w:t>
            </w:r>
            <w:r w:rsidRPr="000802ED">
              <w:rPr>
                <w:rFonts w:eastAsia="DengXian"/>
                <w:lang w:bidi="en-US"/>
              </w:rPr>
              <w:t xml:space="preserve"> </w:t>
            </w:r>
            <w:r>
              <w:rPr>
                <w:rFonts w:eastAsia="DengXian"/>
                <w:lang w:bidi="en-US"/>
              </w:rPr>
              <w:t xml:space="preserve">by the authors. Submitted for possible open access publication under the terms and conditions of the Creative Commons </w:t>
            </w:r>
            <w:r w:rsidRPr="000802ED">
              <w:rPr>
                <w:rFonts w:eastAsia="DengXian"/>
                <w:lang w:bidi="en-US"/>
              </w:rPr>
              <w:t>Attribution (CC BY) license (</w:t>
            </w:r>
            <w:r>
              <w:rPr>
                <w:rFonts w:eastAsia="DengXian"/>
                <w:lang w:bidi="en-US"/>
              </w:rPr>
              <w:t>https://</w:t>
            </w:r>
            <w:r w:rsidRPr="000802ED">
              <w:rPr>
                <w:rFonts w:eastAsia="DengXian"/>
                <w:lang w:bidi="en-US"/>
              </w:rPr>
              <w:t>creativecommons.org/licenses/by/4.0/).</w:t>
            </w:r>
          </w:p>
        </w:tc>
      </w:tr>
    </w:tbl>
    <w:p w14:paraId="2D93B381" w14:textId="77777777" w:rsidR="00A11CF6" w:rsidRPr="00D945EC" w:rsidRDefault="00F848A6" w:rsidP="00A11CF6">
      <w:pPr>
        <w:pStyle w:val="MDPI16affiliation"/>
      </w:pPr>
      <w:r w:rsidRPr="00F848A6">
        <w:rPr>
          <w:vertAlign w:val="superscript"/>
        </w:rPr>
        <w:t>1</w:t>
      </w:r>
      <w:r w:rsidR="00D97684">
        <w:tab/>
        <w:t xml:space="preserve">School of Engineering Lancaster University, Gillow Avenue, Lancaster LA1 4YW, UK; </w:t>
      </w:r>
      <w:hyperlink r:id="rId9" w:history="1">
        <w:r w:rsidR="00D97684" w:rsidRPr="00695B87">
          <w:rPr>
            <w:rStyle w:val="Hyperlink"/>
          </w:rPr>
          <w:t>t.ivory-cousins@lancaster.ac.uk</w:t>
        </w:r>
      </w:hyperlink>
      <w:r w:rsidR="00D97684">
        <w:t xml:space="preserve">; </w:t>
      </w:r>
      <w:hyperlink r:id="rId10" w:history="1">
        <w:r w:rsidR="00426A02" w:rsidRPr="006B013D">
          <w:rPr>
            <w:rStyle w:val="Hyperlink"/>
          </w:rPr>
          <w:t>d.baines3@lancaster.ac.uk</w:t>
        </w:r>
      </w:hyperlink>
      <w:r w:rsidR="00426A02">
        <w:t xml:space="preserve">  </w:t>
      </w:r>
    </w:p>
    <w:p w14:paraId="165A2D9D" w14:textId="77777777" w:rsidR="00C36913" w:rsidRDefault="00A11CF6" w:rsidP="00A11CF6">
      <w:pPr>
        <w:pStyle w:val="MDPI16affiliation"/>
      </w:pPr>
      <w:r w:rsidRPr="00D945EC">
        <w:rPr>
          <w:vertAlign w:val="superscript"/>
        </w:rPr>
        <w:t>2</w:t>
      </w:r>
      <w:r w:rsidR="00D97684">
        <w:tab/>
      </w:r>
      <w:r w:rsidR="00C36913">
        <w:rPr>
          <w:vertAlign w:val="superscript"/>
        </w:rPr>
        <w:tab/>
      </w:r>
      <w:r w:rsidR="00C36913">
        <w:t xml:space="preserve">Chair and Department of Biochemistry and Biotechnology, Medical University of Lublin, </w:t>
      </w:r>
      <w:proofErr w:type="spellStart"/>
      <w:r w:rsidR="00C36913">
        <w:t>Chodzki</w:t>
      </w:r>
      <w:proofErr w:type="spellEnd"/>
      <w:r w:rsidR="00C36913">
        <w:t xml:space="preserve"> 1 Street, 20-093 Lublin, Poland; </w:t>
      </w:r>
      <w:hyperlink r:id="rId11" w:history="1">
        <w:r w:rsidR="00C36913" w:rsidRPr="00695B87">
          <w:rPr>
            <w:rStyle w:val="Hyperlink"/>
          </w:rPr>
          <w:t>aleksandra.nurzynska@umlub.pl</w:t>
        </w:r>
      </w:hyperlink>
      <w:r w:rsidR="00C36913">
        <w:t xml:space="preserve">; </w:t>
      </w:r>
      <w:hyperlink r:id="rId12" w:history="1">
        <w:r w:rsidR="00D12D75" w:rsidRPr="00695B87">
          <w:rPr>
            <w:rStyle w:val="Hyperlink"/>
          </w:rPr>
          <w:t>katarzyna.klimek@umlub.pl</w:t>
        </w:r>
      </w:hyperlink>
      <w:r w:rsidR="00D12D75">
        <w:t xml:space="preserve"> </w:t>
      </w:r>
      <w:hyperlink r:id="rId13" w:history="1">
        <w:r w:rsidR="00C36913" w:rsidRPr="00695B87">
          <w:rPr>
            <w:rStyle w:val="Hyperlink"/>
          </w:rPr>
          <w:t>wieslaw.truszkiewicz@umlub.pl</w:t>
        </w:r>
      </w:hyperlink>
      <w:r w:rsidR="00C36913">
        <w:t xml:space="preserve">; </w:t>
      </w:r>
    </w:p>
    <w:p w14:paraId="1C949A08" w14:textId="77777777" w:rsidR="00007ADD" w:rsidRPr="00007ADD" w:rsidRDefault="005051E4" w:rsidP="00A11CF6">
      <w:pPr>
        <w:pStyle w:val="MDPI16affiliation"/>
      </w:pPr>
      <w:r>
        <w:rPr>
          <w:vertAlign w:val="superscript"/>
        </w:rPr>
        <w:t>3</w:t>
      </w:r>
      <w:r w:rsidR="00007ADD">
        <w:tab/>
        <w:t>Faculty of Mechanical Engineering, Lu</w:t>
      </w:r>
      <w:r w:rsidR="00DE7030">
        <w:t xml:space="preserve">blin University of Technology, </w:t>
      </w:r>
      <w:proofErr w:type="spellStart"/>
      <w:r w:rsidR="00DE7030">
        <w:t>N</w:t>
      </w:r>
      <w:r w:rsidR="00007ADD">
        <w:t>adbystrzycka</w:t>
      </w:r>
      <w:proofErr w:type="spellEnd"/>
      <w:r w:rsidR="00007ADD">
        <w:t xml:space="preserve"> 26 Street, 20-618 Lublin, Poland; </w:t>
      </w:r>
      <w:hyperlink r:id="rId14" w:history="1">
        <w:r w:rsidR="00007ADD" w:rsidRPr="002576CD">
          <w:rPr>
            <w:rStyle w:val="Hyperlink"/>
          </w:rPr>
          <w:t>k.palka@pollub.pl</w:t>
        </w:r>
      </w:hyperlink>
      <w:r w:rsidR="00007ADD">
        <w:t xml:space="preserve"> </w:t>
      </w:r>
    </w:p>
    <w:p w14:paraId="0BE5EF04" w14:textId="77777777" w:rsidR="00A11CF6" w:rsidRPr="00550626" w:rsidRDefault="00A11CF6" w:rsidP="00A11CF6">
      <w:pPr>
        <w:pStyle w:val="MDPI16affiliation"/>
      </w:pPr>
      <w:r w:rsidRPr="00E16280">
        <w:rPr>
          <w:b/>
        </w:rPr>
        <w:t>*</w:t>
      </w:r>
      <w:r w:rsidRPr="00D945EC">
        <w:tab/>
        <w:t>Corr</w:t>
      </w:r>
      <w:r w:rsidR="00C36913">
        <w:t xml:space="preserve">espondence: </w:t>
      </w:r>
      <w:hyperlink r:id="rId15" w:history="1">
        <w:r w:rsidR="00C36913" w:rsidRPr="00695B87">
          <w:rPr>
            <w:rStyle w:val="Hyperlink"/>
          </w:rPr>
          <w:t>t.douglas@lancaster.ac.uk</w:t>
        </w:r>
      </w:hyperlink>
    </w:p>
    <w:p w14:paraId="0F0F1238" w14:textId="6252AB19" w:rsidR="00A11CF6" w:rsidRPr="007D734D" w:rsidRDefault="00A11CF6" w:rsidP="00A11CF6">
      <w:pPr>
        <w:pStyle w:val="MDPI17abstract"/>
        <w:rPr>
          <w:sz w:val="20"/>
          <w:szCs w:val="20"/>
        </w:rPr>
      </w:pPr>
      <w:r w:rsidRPr="00550626">
        <w:rPr>
          <w:b/>
          <w:szCs w:val="18"/>
        </w:rPr>
        <w:t xml:space="preserve">Abstract: </w:t>
      </w:r>
      <w:r w:rsidR="00BB1882" w:rsidRPr="00BB1882">
        <w:rPr>
          <w:sz w:val="20"/>
          <w:szCs w:val="20"/>
        </w:rPr>
        <w:t>Whey protein isolate</w:t>
      </w:r>
      <w:r w:rsidR="00BB1882">
        <w:rPr>
          <w:sz w:val="20"/>
          <w:szCs w:val="20"/>
        </w:rPr>
        <w:t xml:space="preserve"> (WPI)</w:t>
      </w:r>
      <w:r w:rsidR="0089714B" w:rsidRPr="00BB1882">
        <w:rPr>
          <w:sz w:val="20"/>
          <w:szCs w:val="20"/>
        </w:rPr>
        <w:t xml:space="preserve"> hydrogel</w:t>
      </w:r>
      <w:r w:rsidR="00911008" w:rsidRPr="00911008">
        <w:rPr>
          <w:color w:val="FF0000"/>
          <w:sz w:val="20"/>
          <w:szCs w:val="20"/>
        </w:rPr>
        <w:t>s</w:t>
      </w:r>
      <w:r w:rsidR="00911008">
        <w:rPr>
          <w:sz w:val="20"/>
          <w:szCs w:val="20"/>
        </w:rPr>
        <w:t xml:space="preserve"> are </w:t>
      </w:r>
      <w:r w:rsidR="0089714B" w:rsidRPr="00BB1882">
        <w:rPr>
          <w:sz w:val="20"/>
          <w:szCs w:val="20"/>
        </w:rPr>
        <w:t>attractive biomaterial</w:t>
      </w:r>
      <w:r w:rsidR="00911008">
        <w:rPr>
          <w:color w:val="FF0000"/>
          <w:sz w:val="20"/>
          <w:szCs w:val="20"/>
        </w:rPr>
        <w:t>s</w:t>
      </w:r>
      <w:r w:rsidR="0089714B" w:rsidRPr="00BB1882">
        <w:rPr>
          <w:sz w:val="20"/>
          <w:szCs w:val="20"/>
        </w:rPr>
        <w:t xml:space="preserve"> for applications in bone repair and regeneration. </w:t>
      </w:r>
      <w:r w:rsidR="0016525F" w:rsidRPr="0016525F">
        <w:rPr>
          <w:color w:val="FF0000"/>
          <w:sz w:val="20"/>
          <w:szCs w:val="20"/>
        </w:rPr>
        <w:t xml:space="preserve">However, their main </w:t>
      </w:r>
      <w:r w:rsidR="003633EE">
        <w:rPr>
          <w:color w:val="FF0000"/>
          <w:sz w:val="20"/>
          <w:szCs w:val="20"/>
        </w:rPr>
        <w:t>limitation</w:t>
      </w:r>
      <w:r w:rsidR="0016525F" w:rsidRPr="0016525F">
        <w:rPr>
          <w:color w:val="FF0000"/>
          <w:sz w:val="20"/>
          <w:szCs w:val="20"/>
        </w:rPr>
        <w:t xml:space="preserve"> is</w:t>
      </w:r>
      <w:r w:rsidR="003633EE">
        <w:rPr>
          <w:color w:val="FF0000"/>
          <w:sz w:val="20"/>
          <w:szCs w:val="20"/>
        </w:rPr>
        <w:t xml:space="preserve"> </w:t>
      </w:r>
      <w:r w:rsidR="0016525F" w:rsidRPr="0016525F">
        <w:rPr>
          <w:color w:val="FF0000"/>
          <w:sz w:val="20"/>
          <w:szCs w:val="20"/>
        </w:rPr>
        <w:t>low mechanical strength</w:t>
      </w:r>
      <w:r w:rsidR="0089714B" w:rsidRPr="00BB1882">
        <w:rPr>
          <w:sz w:val="20"/>
          <w:szCs w:val="20"/>
        </w:rPr>
        <w:t xml:space="preserve">. Therefore, </w:t>
      </w:r>
      <w:r w:rsidR="00911008" w:rsidRPr="00911008">
        <w:rPr>
          <w:color w:val="FF0000"/>
          <w:sz w:val="20"/>
          <w:szCs w:val="20"/>
        </w:rPr>
        <w:t>to improve these properties</w:t>
      </w:r>
      <w:r w:rsidR="00911008">
        <w:rPr>
          <w:sz w:val="20"/>
          <w:szCs w:val="20"/>
        </w:rPr>
        <w:t xml:space="preserve">, </w:t>
      </w:r>
      <w:r w:rsidR="0089714B" w:rsidRPr="00BB1882">
        <w:rPr>
          <w:sz w:val="20"/>
          <w:szCs w:val="20"/>
        </w:rPr>
        <w:t>incorporation of ceramic phases into hydrogel matrices is currently being</w:t>
      </w:r>
      <w:r w:rsidR="00911008">
        <w:rPr>
          <w:color w:val="FF0000"/>
          <w:sz w:val="20"/>
          <w:szCs w:val="20"/>
        </w:rPr>
        <w:t xml:space="preserve"> </w:t>
      </w:r>
      <w:r w:rsidR="00523DD1">
        <w:rPr>
          <w:color w:val="FF0000"/>
          <w:sz w:val="20"/>
          <w:szCs w:val="20"/>
        </w:rPr>
        <w:t>performed</w:t>
      </w:r>
      <w:r w:rsidR="0089714B" w:rsidRPr="00BB1882">
        <w:rPr>
          <w:sz w:val="20"/>
          <w:szCs w:val="20"/>
        </w:rPr>
        <w:t xml:space="preserve">. In this study novel </w:t>
      </w:r>
      <w:r w:rsidR="00BB1882">
        <w:rPr>
          <w:sz w:val="20"/>
          <w:szCs w:val="20"/>
        </w:rPr>
        <w:t>whey protein isolate/calcium silicate (WPI/CaSiO</w:t>
      </w:r>
      <w:r w:rsidR="00BB1882">
        <w:rPr>
          <w:sz w:val="20"/>
          <w:szCs w:val="20"/>
          <w:vertAlign w:val="subscript"/>
        </w:rPr>
        <w:t>3</w:t>
      </w:r>
      <w:r w:rsidR="00BB1882">
        <w:rPr>
          <w:sz w:val="20"/>
          <w:szCs w:val="20"/>
        </w:rPr>
        <w:t>)</w:t>
      </w:r>
      <w:r w:rsidR="0089714B" w:rsidRPr="00BB1882">
        <w:rPr>
          <w:sz w:val="20"/>
          <w:szCs w:val="20"/>
        </w:rPr>
        <w:t xml:space="preserve"> hydrogel</w:t>
      </w:r>
      <w:r w:rsidR="00A44C3B">
        <w:rPr>
          <w:sz w:val="20"/>
          <w:szCs w:val="20"/>
        </w:rPr>
        <w:t xml:space="preserve"> biomaterial</w:t>
      </w:r>
      <w:r w:rsidR="0089714B" w:rsidRPr="00BB1882">
        <w:rPr>
          <w:sz w:val="20"/>
          <w:szCs w:val="20"/>
        </w:rPr>
        <w:t xml:space="preserve">s were prepared with </w:t>
      </w:r>
      <w:r w:rsidR="00BB1882">
        <w:rPr>
          <w:sz w:val="20"/>
          <w:szCs w:val="20"/>
        </w:rPr>
        <w:t>varying concentrations of</w:t>
      </w:r>
      <w:r w:rsidR="00B57A19">
        <w:rPr>
          <w:sz w:val="20"/>
          <w:szCs w:val="20"/>
        </w:rPr>
        <w:t xml:space="preserve"> </w:t>
      </w:r>
      <w:r w:rsidR="00A44C3B">
        <w:rPr>
          <w:sz w:val="20"/>
          <w:szCs w:val="20"/>
        </w:rPr>
        <w:t xml:space="preserve">the </w:t>
      </w:r>
      <w:r w:rsidR="00BB1882">
        <w:rPr>
          <w:sz w:val="20"/>
          <w:szCs w:val="20"/>
        </w:rPr>
        <w:t>ceramic phase</w:t>
      </w:r>
      <w:r w:rsidR="00614D6B">
        <w:rPr>
          <w:sz w:val="20"/>
          <w:szCs w:val="20"/>
        </w:rPr>
        <w:t xml:space="preserve"> (</w:t>
      </w:r>
      <w:r w:rsidR="00A44C3B">
        <w:rPr>
          <w:sz w:val="20"/>
          <w:szCs w:val="20"/>
        </w:rPr>
        <w:t>CaSiO</w:t>
      </w:r>
      <w:r w:rsidR="00A44C3B">
        <w:rPr>
          <w:sz w:val="20"/>
          <w:szCs w:val="20"/>
          <w:vertAlign w:val="subscript"/>
        </w:rPr>
        <w:t>3</w:t>
      </w:r>
      <w:r w:rsidR="00614D6B">
        <w:rPr>
          <w:sz w:val="20"/>
          <w:szCs w:val="20"/>
        </w:rPr>
        <w:t>)</w:t>
      </w:r>
      <w:r w:rsidR="00BB1882">
        <w:rPr>
          <w:sz w:val="20"/>
          <w:szCs w:val="20"/>
        </w:rPr>
        <w:t>. The</w:t>
      </w:r>
      <w:r w:rsidR="0089714B" w:rsidRPr="00BB1882">
        <w:rPr>
          <w:sz w:val="20"/>
          <w:szCs w:val="20"/>
        </w:rPr>
        <w:t xml:space="preserve"> aim of </w:t>
      </w:r>
      <w:r w:rsidR="00BB1882">
        <w:rPr>
          <w:sz w:val="20"/>
          <w:szCs w:val="20"/>
        </w:rPr>
        <w:t>this study was to investigate</w:t>
      </w:r>
      <w:r w:rsidR="00A44C3B">
        <w:rPr>
          <w:sz w:val="20"/>
          <w:szCs w:val="20"/>
        </w:rPr>
        <w:t xml:space="preserve"> the e</w:t>
      </w:r>
      <w:r w:rsidR="00911008">
        <w:rPr>
          <w:sz w:val="20"/>
          <w:szCs w:val="20"/>
        </w:rPr>
        <w:t xml:space="preserve">ffect of the introduction of </w:t>
      </w:r>
      <w:r w:rsidR="00911008" w:rsidRPr="00911008">
        <w:rPr>
          <w:color w:val="FF0000"/>
          <w:sz w:val="20"/>
          <w:szCs w:val="20"/>
        </w:rPr>
        <w:t>CaSiO</w:t>
      </w:r>
      <w:r w:rsidR="00911008" w:rsidRPr="00911008">
        <w:rPr>
          <w:color w:val="FF0000"/>
          <w:sz w:val="20"/>
          <w:szCs w:val="20"/>
          <w:vertAlign w:val="subscript"/>
        </w:rPr>
        <w:t>3</w:t>
      </w:r>
      <w:r w:rsidR="00911008">
        <w:rPr>
          <w:sz w:val="20"/>
          <w:szCs w:val="20"/>
        </w:rPr>
        <w:t xml:space="preserve"> </w:t>
      </w:r>
      <w:r w:rsidR="00911008" w:rsidRPr="00911008">
        <w:rPr>
          <w:color w:val="FF0000"/>
          <w:sz w:val="20"/>
          <w:szCs w:val="20"/>
        </w:rPr>
        <w:t xml:space="preserve">to WPI </w:t>
      </w:r>
      <w:r w:rsidR="00911008">
        <w:rPr>
          <w:color w:val="FF0000"/>
          <w:sz w:val="20"/>
          <w:szCs w:val="20"/>
        </w:rPr>
        <w:t xml:space="preserve">hydrogel </w:t>
      </w:r>
      <w:r w:rsidR="00911008" w:rsidRPr="00911008">
        <w:rPr>
          <w:color w:val="FF0000"/>
          <w:sz w:val="20"/>
          <w:szCs w:val="20"/>
        </w:rPr>
        <w:t>matrix on</w:t>
      </w:r>
      <w:r w:rsidR="00911008">
        <w:rPr>
          <w:sz w:val="20"/>
          <w:szCs w:val="20"/>
        </w:rPr>
        <w:t xml:space="preserve"> </w:t>
      </w:r>
      <w:r w:rsidR="0089714B" w:rsidRPr="00BB1882">
        <w:rPr>
          <w:sz w:val="20"/>
          <w:szCs w:val="20"/>
        </w:rPr>
        <w:t xml:space="preserve">physicochemical, </w:t>
      </w:r>
      <w:r w:rsidR="00BB1882" w:rsidRPr="00BB1882">
        <w:rPr>
          <w:sz w:val="20"/>
          <w:szCs w:val="20"/>
        </w:rPr>
        <w:t>mechanical, and biolog</w:t>
      </w:r>
      <w:r w:rsidR="00911008">
        <w:rPr>
          <w:sz w:val="20"/>
          <w:szCs w:val="20"/>
        </w:rPr>
        <w:t>ical properties</w:t>
      </w:r>
      <w:r w:rsidR="00BB1882" w:rsidRPr="00BB1882">
        <w:rPr>
          <w:sz w:val="20"/>
          <w:szCs w:val="20"/>
        </w:rPr>
        <w:t xml:space="preserve">. </w:t>
      </w:r>
      <w:r w:rsidR="00BB1882">
        <w:rPr>
          <w:sz w:val="20"/>
          <w:szCs w:val="20"/>
        </w:rPr>
        <w:t>Fourier Transform Infrared Spectroscopy re</w:t>
      </w:r>
      <w:r w:rsidR="00291732">
        <w:rPr>
          <w:sz w:val="20"/>
          <w:szCs w:val="20"/>
        </w:rPr>
        <w:t>sults showed that CaSiO</w:t>
      </w:r>
      <w:r w:rsidR="00291732">
        <w:rPr>
          <w:sz w:val="20"/>
          <w:szCs w:val="20"/>
          <w:vertAlign w:val="subscript"/>
        </w:rPr>
        <w:t>3</w:t>
      </w:r>
      <w:r w:rsidR="00BB1882" w:rsidRPr="00BB1882">
        <w:rPr>
          <w:sz w:val="20"/>
          <w:szCs w:val="20"/>
        </w:rPr>
        <w:t xml:space="preserve"> was successfully incorpo</w:t>
      </w:r>
      <w:r w:rsidR="00BB1882">
        <w:rPr>
          <w:sz w:val="20"/>
          <w:szCs w:val="20"/>
        </w:rPr>
        <w:t xml:space="preserve">rated into the </w:t>
      </w:r>
      <w:r w:rsidR="00291732">
        <w:rPr>
          <w:sz w:val="20"/>
          <w:szCs w:val="20"/>
        </w:rPr>
        <w:t>WPI</w:t>
      </w:r>
      <w:r w:rsidR="00BB1882" w:rsidRPr="00BB1882">
        <w:rPr>
          <w:sz w:val="20"/>
          <w:szCs w:val="20"/>
        </w:rPr>
        <w:t xml:space="preserve"> hydrogel ma</w:t>
      </w:r>
      <w:r w:rsidR="00BB1882">
        <w:rPr>
          <w:sz w:val="20"/>
          <w:szCs w:val="20"/>
        </w:rPr>
        <w:t>trix</w:t>
      </w:r>
      <w:r w:rsidR="00A44C3B">
        <w:rPr>
          <w:sz w:val="20"/>
          <w:szCs w:val="20"/>
        </w:rPr>
        <w:t xml:space="preserve"> to create composite biomaterials</w:t>
      </w:r>
      <w:r w:rsidR="00BB1882">
        <w:rPr>
          <w:sz w:val="20"/>
          <w:szCs w:val="20"/>
        </w:rPr>
        <w:t xml:space="preserve">. </w:t>
      </w:r>
      <w:r w:rsidR="00291732">
        <w:rPr>
          <w:sz w:val="20"/>
          <w:szCs w:val="20"/>
        </w:rPr>
        <w:t>Swelling tests indicated</w:t>
      </w:r>
      <w:r w:rsidR="00BB1882" w:rsidRPr="00BB1882">
        <w:rPr>
          <w:sz w:val="20"/>
          <w:szCs w:val="20"/>
        </w:rPr>
        <w:t xml:space="preserve"> that</w:t>
      </w:r>
      <w:r w:rsidR="00F82F15">
        <w:rPr>
          <w:sz w:val="20"/>
          <w:szCs w:val="20"/>
        </w:rPr>
        <w:t xml:space="preserve"> addition of 5% (w/v)</w:t>
      </w:r>
      <w:r w:rsidR="003B3DA9">
        <w:rPr>
          <w:sz w:val="20"/>
          <w:szCs w:val="20"/>
        </w:rPr>
        <w:t xml:space="preserve"> </w:t>
      </w:r>
      <w:r w:rsidR="00BB1882" w:rsidRPr="00BB1882">
        <w:rPr>
          <w:sz w:val="20"/>
          <w:szCs w:val="20"/>
        </w:rPr>
        <w:t>CaSiO</w:t>
      </w:r>
      <w:r w:rsidR="00291732" w:rsidRPr="00291732">
        <w:rPr>
          <w:sz w:val="20"/>
          <w:szCs w:val="20"/>
          <w:vertAlign w:val="subscript"/>
        </w:rPr>
        <w:t>3</w:t>
      </w:r>
      <w:r w:rsidR="00BB1882" w:rsidRPr="00291732">
        <w:rPr>
          <w:sz w:val="20"/>
          <w:szCs w:val="20"/>
          <w:vertAlign w:val="subscript"/>
        </w:rPr>
        <w:t xml:space="preserve"> </w:t>
      </w:r>
      <w:r w:rsidR="00F82F15">
        <w:rPr>
          <w:sz w:val="20"/>
          <w:szCs w:val="20"/>
        </w:rPr>
        <w:t xml:space="preserve">caused greater </w:t>
      </w:r>
      <w:r w:rsidR="00BB1882" w:rsidRPr="00BB1882">
        <w:rPr>
          <w:sz w:val="20"/>
          <w:szCs w:val="20"/>
        </w:rPr>
        <w:t>swell</w:t>
      </w:r>
      <w:r w:rsidR="00F82F15">
        <w:rPr>
          <w:sz w:val="20"/>
          <w:szCs w:val="20"/>
        </w:rPr>
        <w:t>ing</w:t>
      </w:r>
      <w:r w:rsidR="00D12D75">
        <w:rPr>
          <w:sz w:val="20"/>
          <w:szCs w:val="20"/>
        </w:rPr>
        <w:t xml:space="preserve"> </w:t>
      </w:r>
      <w:r w:rsidR="00291732">
        <w:rPr>
          <w:sz w:val="20"/>
          <w:szCs w:val="20"/>
        </w:rPr>
        <w:t xml:space="preserve">compared to </w:t>
      </w:r>
      <w:r w:rsidR="004B786C">
        <w:rPr>
          <w:sz w:val="20"/>
          <w:szCs w:val="20"/>
        </w:rPr>
        <w:t>biomaterials</w:t>
      </w:r>
      <w:r w:rsidR="00F82F15">
        <w:rPr>
          <w:sz w:val="20"/>
          <w:szCs w:val="20"/>
        </w:rPr>
        <w:t xml:space="preserve"> </w:t>
      </w:r>
      <w:r w:rsidR="00291732">
        <w:rPr>
          <w:sz w:val="20"/>
          <w:szCs w:val="20"/>
        </w:rPr>
        <w:t>without CaSiO</w:t>
      </w:r>
      <w:r w:rsidR="00291732" w:rsidRPr="00291732">
        <w:rPr>
          <w:sz w:val="20"/>
          <w:szCs w:val="20"/>
          <w:vertAlign w:val="subscript"/>
        </w:rPr>
        <w:t>3</w:t>
      </w:r>
      <w:r w:rsidR="00BB1882" w:rsidRPr="00BB1882">
        <w:rPr>
          <w:sz w:val="20"/>
          <w:szCs w:val="20"/>
        </w:rPr>
        <w:t xml:space="preserve"> </w:t>
      </w:r>
      <w:r w:rsidR="00F82F15">
        <w:rPr>
          <w:sz w:val="20"/>
          <w:szCs w:val="20"/>
        </w:rPr>
        <w:t>and ultimate compressive strength and strain at break</w:t>
      </w:r>
      <w:r w:rsidR="00BB1882" w:rsidRPr="00BB1882">
        <w:rPr>
          <w:sz w:val="20"/>
          <w:szCs w:val="20"/>
        </w:rPr>
        <w:t>.</w:t>
      </w:r>
      <w:r w:rsidR="00291732">
        <w:rPr>
          <w:sz w:val="20"/>
          <w:szCs w:val="20"/>
        </w:rPr>
        <w:t xml:space="preserve"> Cell culture experiments demonstrated </w:t>
      </w:r>
      <w:r w:rsidR="00F200DF">
        <w:rPr>
          <w:sz w:val="20"/>
          <w:szCs w:val="20"/>
        </w:rPr>
        <w:t>that WPI</w:t>
      </w:r>
      <w:r w:rsidR="003B3DA9">
        <w:rPr>
          <w:sz w:val="20"/>
          <w:szCs w:val="20"/>
          <w:vertAlign w:val="subscript"/>
        </w:rPr>
        <w:t xml:space="preserve"> </w:t>
      </w:r>
      <w:r w:rsidR="00F200DF">
        <w:rPr>
          <w:sz w:val="20"/>
          <w:szCs w:val="20"/>
        </w:rPr>
        <w:t>hydrogel</w:t>
      </w:r>
      <w:r w:rsidR="00F82F15">
        <w:rPr>
          <w:sz w:val="20"/>
          <w:szCs w:val="20"/>
        </w:rPr>
        <w:t xml:space="preserve"> biomaterial</w:t>
      </w:r>
      <w:r w:rsidR="00F200DF">
        <w:rPr>
          <w:sz w:val="20"/>
          <w:szCs w:val="20"/>
        </w:rPr>
        <w:t xml:space="preserve">s </w:t>
      </w:r>
      <w:r w:rsidR="00F82F15">
        <w:rPr>
          <w:sz w:val="20"/>
          <w:szCs w:val="20"/>
        </w:rPr>
        <w:t>enriched with CaSiO</w:t>
      </w:r>
      <w:r w:rsidR="00F82F15">
        <w:rPr>
          <w:sz w:val="20"/>
          <w:szCs w:val="20"/>
          <w:vertAlign w:val="subscript"/>
        </w:rPr>
        <w:t xml:space="preserve">3 </w:t>
      </w:r>
      <w:r w:rsidR="00F82F15">
        <w:rPr>
          <w:sz w:val="20"/>
          <w:szCs w:val="20"/>
        </w:rPr>
        <w:t>demonstrated superior</w:t>
      </w:r>
      <w:r w:rsidR="00291732">
        <w:rPr>
          <w:sz w:val="20"/>
          <w:szCs w:val="20"/>
        </w:rPr>
        <w:t xml:space="preserve"> cytocompatibility </w:t>
      </w:r>
      <w:r w:rsidR="00291732" w:rsidRPr="00291732">
        <w:rPr>
          <w:i/>
          <w:sz w:val="20"/>
          <w:szCs w:val="20"/>
        </w:rPr>
        <w:t>in vitro</w:t>
      </w:r>
      <w:r w:rsidR="00007ADD">
        <w:rPr>
          <w:sz w:val="20"/>
          <w:szCs w:val="20"/>
        </w:rPr>
        <w:t xml:space="preserve"> </w:t>
      </w:r>
      <w:r w:rsidR="00291732">
        <w:rPr>
          <w:sz w:val="20"/>
          <w:szCs w:val="20"/>
        </w:rPr>
        <w:t>compared to control hydrogel</w:t>
      </w:r>
      <w:r w:rsidR="00F82F15">
        <w:rPr>
          <w:sz w:val="20"/>
          <w:szCs w:val="20"/>
        </w:rPr>
        <w:t xml:space="preserve"> biomaterials without CaSiO</w:t>
      </w:r>
      <w:r w:rsidR="00F82F15">
        <w:rPr>
          <w:sz w:val="20"/>
          <w:szCs w:val="20"/>
          <w:vertAlign w:val="subscript"/>
        </w:rPr>
        <w:t>3</w:t>
      </w:r>
      <w:r w:rsidR="00291732">
        <w:rPr>
          <w:sz w:val="20"/>
          <w:szCs w:val="20"/>
        </w:rPr>
        <w:t xml:space="preserve">. </w:t>
      </w:r>
      <w:r w:rsidR="00F200DF">
        <w:rPr>
          <w:sz w:val="20"/>
          <w:szCs w:val="20"/>
        </w:rPr>
        <w:t xml:space="preserve">Thus, this study </w:t>
      </w:r>
      <w:r w:rsidR="007D734D">
        <w:rPr>
          <w:sz w:val="20"/>
          <w:szCs w:val="20"/>
        </w:rPr>
        <w:t xml:space="preserve">revealed that </w:t>
      </w:r>
      <w:r w:rsidR="00F82F15">
        <w:rPr>
          <w:sz w:val="20"/>
          <w:szCs w:val="20"/>
        </w:rPr>
        <w:t xml:space="preserve">the addition of </w:t>
      </w:r>
      <w:r w:rsidR="007D734D">
        <w:rPr>
          <w:sz w:val="20"/>
          <w:szCs w:val="20"/>
        </w:rPr>
        <w:t>CaSiO</w:t>
      </w:r>
      <w:r w:rsidR="007D734D">
        <w:rPr>
          <w:sz w:val="20"/>
          <w:szCs w:val="20"/>
          <w:vertAlign w:val="subscript"/>
        </w:rPr>
        <w:t>3</w:t>
      </w:r>
      <w:r w:rsidR="007D734D">
        <w:rPr>
          <w:sz w:val="20"/>
          <w:szCs w:val="20"/>
        </w:rPr>
        <w:t xml:space="preserve"> </w:t>
      </w:r>
      <w:r w:rsidR="00F82F15">
        <w:rPr>
          <w:sz w:val="20"/>
          <w:szCs w:val="20"/>
        </w:rPr>
        <w:t xml:space="preserve">to </w:t>
      </w:r>
      <w:r w:rsidR="00614D6B" w:rsidRPr="00614D6B">
        <w:rPr>
          <w:color w:val="FF0000"/>
          <w:sz w:val="20"/>
          <w:szCs w:val="20"/>
        </w:rPr>
        <w:t>WPI-based</w:t>
      </w:r>
      <w:r w:rsidR="00614D6B">
        <w:rPr>
          <w:sz w:val="20"/>
          <w:szCs w:val="20"/>
        </w:rPr>
        <w:t xml:space="preserve"> </w:t>
      </w:r>
      <w:r w:rsidR="007D734D">
        <w:rPr>
          <w:sz w:val="20"/>
          <w:szCs w:val="20"/>
        </w:rPr>
        <w:t>hydrogel</w:t>
      </w:r>
      <w:r w:rsidR="00F82F15">
        <w:rPr>
          <w:sz w:val="20"/>
          <w:szCs w:val="20"/>
        </w:rPr>
        <w:t xml:space="preserve"> biomaterial</w:t>
      </w:r>
      <w:r w:rsidR="007D734D">
        <w:rPr>
          <w:sz w:val="20"/>
          <w:szCs w:val="20"/>
        </w:rPr>
        <w:t xml:space="preserve">s </w:t>
      </w:r>
      <w:r w:rsidR="00F82F15">
        <w:rPr>
          <w:sz w:val="20"/>
          <w:szCs w:val="20"/>
        </w:rPr>
        <w:t xml:space="preserve">renders them more </w:t>
      </w:r>
      <w:r w:rsidR="007D734D">
        <w:rPr>
          <w:sz w:val="20"/>
          <w:szCs w:val="20"/>
        </w:rPr>
        <w:t>promising for bone tissue engineering applications.</w:t>
      </w:r>
    </w:p>
    <w:p w14:paraId="503AB6CC" w14:textId="77777777" w:rsidR="00A11CF6" w:rsidRPr="00C36913" w:rsidRDefault="00A11CF6" w:rsidP="00A11CF6">
      <w:pPr>
        <w:pStyle w:val="MDPI18keywords"/>
        <w:rPr>
          <w:szCs w:val="18"/>
        </w:rPr>
      </w:pPr>
      <w:r w:rsidRPr="00550626">
        <w:rPr>
          <w:b/>
          <w:szCs w:val="18"/>
        </w:rPr>
        <w:t xml:space="preserve">Keywords: </w:t>
      </w:r>
      <w:r w:rsidR="00F82F15">
        <w:rPr>
          <w:szCs w:val="18"/>
        </w:rPr>
        <w:t>whey protein</w:t>
      </w:r>
      <w:r w:rsidR="00C36913">
        <w:rPr>
          <w:szCs w:val="18"/>
        </w:rPr>
        <w:t>;</w:t>
      </w:r>
      <w:r w:rsidR="00F82F15">
        <w:rPr>
          <w:szCs w:val="18"/>
        </w:rPr>
        <w:t xml:space="preserve"> calcium silicate</w:t>
      </w:r>
      <w:r w:rsidR="00C36913">
        <w:rPr>
          <w:szCs w:val="18"/>
        </w:rPr>
        <w:t>; bone scaffolds;</w:t>
      </w:r>
      <w:r w:rsidR="0089714B">
        <w:rPr>
          <w:szCs w:val="18"/>
        </w:rPr>
        <w:t xml:space="preserve"> </w:t>
      </w:r>
      <w:r w:rsidR="00007ADD">
        <w:rPr>
          <w:szCs w:val="18"/>
        </w:rPr>
        <w:t xml:space="preserve">SEM; </w:t>
      </w:r>
      <w:r w:rsidR="0089714B">
        <w:rPr>
          <w:szCs w:val="18"/>
        </w:rPr>
        <w:t>FTIR</w:t>
      </w:r>
      <w:r w:rsidR="007D734D">
        <w:rPr>
          <w:szCs w:val="18"/>
        </w:rPr>
        <w:t xml:space="preserve">; swelling; </w:t>
      </w:r>
      <w:r w:rsidR="0089714B">
        <w:rPr>
          <w:szCs w:val="18"/>
        </w:rPr>
        <w:t>osteoblasts; cytocompatibility</w:t>
      </w:r>
    </w:p>
    <w:p w14:paraId="7783A2BF" w14:textId="77777777" w:rsidR="00A11CF6" w:rsidRPr="00550626" w:rsidRDefault="00A11CF6" w:rsidP="00A11CF6">
      <w:pPr>
        <w:pStyle w:val="MDPI19line"/>
      </w:pPr>
    </w:p>
    <w:p w14:paraId="10077625" w14:textId="77777777" w:rsidR="0089714B" w:rsidRPr="001707D4" w:rsidRDefault="00A11CF6" w:rsidP="001707D4">
      <w:pPr>
        <w:pStyle w:val="MDPI21heading1"/>
        <w:rPr>
          <w:lang w:eastAsia="zh-CN"/>
        </w:rPr>
      </w:pPr>
      <w:r w:rsidRPr="007F2582">
        <w:rPr>
          <w:lang w:eastAsia="zh-CN"/>
        </w:rPr>
        <w:t>1. Introduction</w:t>
      </w:r>
    </w:p>
    <w:p w14:paraId="094C2D8E" w14:textId="2E224EB4" w:rsidR="00C67129" w:rsidRDefault="00614D6B" w:rsidP="00917A41">
      <w:pPr>
        <w:pStyle w:val="MDPI31text"/>
        <w:rPr>
          <w:szCs w:val="20"/>
        </w:rPr>
      </w:pPr>
      <w:bookmarkStart w:id="0" w:name="_Hlk145963190"/>
      <w:r w:rsidRPr="00614D6B">
        <w:rPr>
          <w:color w:val="FF0000"/>
          <w:szCs w:val="20"/>
        </w:rPr>
        <w:t>Hydrogels are water-swollen polymeric materials that have similar porous struc</w:t>
      </w:r>
      <w:r w:rsidR="00134842">
        <w:rPr>
          <w:color w:val="FF0000"/>
          <w:szCs w:val="20"/>
        </w:rPr>
        <w:t>ture</w:t>
      </w:r>
      <w:r w:rsidR="007F7CDB">
        <w:rPr>
          <w:color w:val="FF0000"/>
          <w:szCs w:val="20"/>
        </w:rPr>
        <w:t xml:space="preserve"> as</w:t>
      </w:r>
      <w:r w:rsidRPr="00614D6B">
        <w:rPr>
          <w:color w:val="FF0000"/>
          <w:szCs w:val="20"/>
        </w:rPr>
        <w:t xml:space="preserve"> the</w:t>
      </w:r>
      <w:r w:rsidR="00134842">
        <w:rPr>
          <w:color w:val="FF0000"/>
          <w:szCs w:val="20"/>
        </w:rPr>
        <w:t xml:space="preserve"> extracellular matrix (ECM). </w:t>
      </w:r>
      <w:r w:rsidR="004F5433">
        <w:rPr>
          <w:color w:val="FF0000"/>
          <w:szCs w:val="20"/>
        </w:rPr>
        <w:t>Moreover</w:t>
      </w:r>
      <w:r w:rsidR="00134842">
        <w:rPr>
          <w:color w:val="FF0000"/>
          <w:szCs w:val="20"/>
        </w:rPr>
        <w:t xml:space="preserve">, they </w:t>
      </w:r>
      <w:r w:rsidRPr="00614D6B">
        <w:rPr>
          <w:color w:val="FF0000"/>
          <w:szCs w:val="20"/>
        </w:rPr>
        <w:t>easily facilitate the transport of nutri</w:t>
      </w:r>
      <w:r w:rsidR="00134842">
        <w:rPr>
          <w:color w:val="FF0000"/>
          <w:szCs w:val="20"/>
        </w:rPr>
        <w:t>ents</w:t>
      </w:r>
      <w:r w:rsidR="004F5433">
        <w:rPr>
          <w:color w:val="FF0000"/>
          <w:szCs w:val="20"/>
        </w:rPr>
        <w:t xml:space="preserve"> and </w:t>
      </w:r>
      <w:r w:rsidR="00134842">
        <w:rPr>
          <w:color w:val="FF0000"/>
          <w:szCs w:val="20"/>
        </w:rPr>
        <w:t xml:space="preserve">they are </w:t>
      </w:r>
      <w:r w:rsidR="004F5433">
        <w:rPr>
          <w:color w:val="FF0000"/>
          <w:szCs w:val="20"/>
        </w:rPr>
        <w:t xml:space="preserve">also </w:t>
      </w:r>
      <w:r w:rsidR="00483728">
        <w:rPr>
          <w:color w:val="FF0000"/>
          <w:szCs w:val="20"/>
        </w:rPr>
        <w:t xml:space="preserve">considered </w:t>
      </w:r>
      <w:r w:rsidR="00134842">
        <w:rPr>
          <w:color w:val="FF0000"/>
          <w:szCs w:val="20"/>
        </w:rPr>
        <w:t>non-toxic</w:t>
      </w:r>
      <w:r w:rsidR="00483728">
        <w:rPr>
          <w:color w:val="FF0000"/>
          <w:szCs w:val="20"/>
        </w:rPr>
        <w:t xml:space="preserve"> to</w:t>
      </w:r>
      <w:r w:rsidR="00BF2AF7">
        <w:rPr>
          <w:color w:val="FF0000"/>
          <w:szCs w:val="20"/>
        </w:rPr>
        <w:t>wards</w:t>
      </w:r>
      <w:r w:rsidR="00134842">
        <w:rPr>
          <w:color w:val="FF0000"/>
          <w:szCs w:val="20"/>
        </w:rPr>
        <w:t xml:space="preserve"> cells</w:t>
      </w:r>
      <w:r w:rsidR="004F5433">
        <w:rPr>
          <w:color w:val="FF0000"/>
          <w:szCs w:val="20"/>
        </w:rPr>
        <w:t xml:space="preserve"> </w:t>
      </w:r>
      <w:r w:rsidR="00BF2AF7">
        <w:rPr>
          <w:color w:val="FF0000"/>
          <w:szCs w:val="20"/>
        </w:rPr>
        <w:fldChar w:fldCharType="begin" w:fldLock="1"/>
      </w:r>
      <w:r w:rsidR="00BF2AF7">
        <w:rPr>
          <w:color w:val="FF0000"/>
          <w:szCs w:val="20"/>
        </w:rPr>
        <w:instrText>ADDIN CSL_CITATION {"citationItems":[{"id":"ITEM-1","itemData":{"DOI":"10.1016/j.bioactmat.2018.05.006","ISSN":"2452199X","abstract":"Bone self-healing is limited and generally requires external intervention to augment bone repair and regeneration. While traditional methods for repairing bone defects such as autografts, allografts, and xenografts have been widely used, they all have corresponding disadvantages, thus limiting their clinical use. Despite the development of a variety of biomaterials, including metal implants, calcium phosphate cements (CPC), hydroxyapatite, etc., the desired therapeutic effect is not fully achieved. Currently, polymeric scaffolds, particularly hydrogels, are of interest and their unique configurations and tunable physicochemical properties have been extensively studied. This review will focus on the applications of various cutting-edge bioactive hydrogels systems in bone regeneration, as well as their advantages and limitations. We will examine the composition and defects of the bone, discuss the current biomaterials for bone regeneration, and classify recently developed polymeric materials for hydrogel synthesis. We will also elaborate on the properties of desirable hydrogels as well as the fabrication techniques and different delivery strategies. Finally, the existing challenges, considerations, and the future prospective of hydrogels in bone regeneration will be outlined.","author":[{"dropping-particle":"","family":"Bai","given":"Xin","non-dropping-particle":"","parse-names":false,"suffix":""},{"dropping-particle":"","family":"Gao","given":"Mingzhu","non-dropping-particle":"","parse-names":false,"suffix":""},{"dropping-particle":"","family":"Syed","given":"Sahla","non-dropping-particle":"","parse-names":false,"suffix":""},{"dropping-particle":"","family":"Zhuang","given":"Jerry","non-dropping-particle":"","parse-names":false,"suffix":""},{"dropping-particle":"","family":"Xu","given":"Xiaoyang","non-dropping-particle":"","parse-names":false,"suffix":""},{"dropping-particle":"","family":"Zhang","given":"Xue Qing","non-dropping-particle":"","parse-names":false,"suffix":""}],"container-title":"Bioactive Materials","id":"ITEM-1","issue":"4","issued":{"date-parts":[["2018"]]},"page":"401-417","publisher":"Elsevier Ltd","title":"Bioactive hydrogels for bone regeneration","type":"article-journal","volume":"3"},"uris":["http://www.mendeley.com/documents/?uuid=527a3156-aa11-4a5c-82c7-205a12dc2381"]},{"id":"ITEM-2","itemData":{"DOI":"10.3389/fphar.2023.1050954","ISSN":"16639812","abstract":"Bone tissue engineering (BTE) has become a hopeful potential treatment strategy for large bone defects, including bone tumors, trauma, and extensive fractures, where the self-healing property of bone cannot repair the defect. Bone tissue engineering is composed of three main elements: progenitor/stem cells, scaffold, and growth factors/biochemical cues. Among the various biomaterial scaffolds, hydrogels are broadly used in bone tissue engineering owing to their biocompatibility, controllable mechanical characteristics, osteoconductive, and osteoinductive properties. During bone tissue engineering, angiogenesis plays a central role in the failure or success of bone reconstruction via discarding wastes and providing oxygen, minerals, nutrients, and growth factors to the injured microenvironment. This review presents an overview of bone tissue engineering and its requirements, hydrogel structure and characterization, the applications of hydrogels in bone regeneration, and the promising roles of hydrogels in bone angiogenesis during bone tissue engineering.","author":[{"dropping-particle":"","family":"Liu","given":"Jun","non-dropping-particle":"","parse-names":false,"suffix":""},{"dropping-particle":"","family":"Yang","given":"Lili","non-dropping-particle":"","parse-names":false,"suffix":""},{"dropping-particle":"","family":"Liu","given":"Kexin","non-dropping-particle":"","parse-names":false,"suffix":""},{"dropping-particle":"","family":"Gao","given":"Feng","non-dropping-particle":"","parse-names":false,"suffix":""}],"container-title":"Frontiers in Pharmacology","id":"ITEM-2","issue":"February","issued":{"date-parts":[["2023"]]},"page":"1-14","title":"Hydrogel scaffolds in bone regeneration: Their promising roles in angiogenesis","type":"article-journal","volume":"14"},"uris":["http://www.mendeley.com/documents/?uuid=020d0830-dc27-44db-891e-6d06203fd1af"]},{"id":"ITEM-3","itemData":{"DOI":"10.3390/nano10081511","ISSN":"20794991","abstract":"Severe bone damage from diseases, including extensive trauma, fractures, and bone tumors, cannot self‐heal, while traditional surgical treatment may bring side effects such as infection, inflammation, and pain. As a new biomaterial with controllable mechanical properties and biocompatibility, hydrogel is widely used in bone tissue engineering (BTE) as a scaffold for growth factor transport and cell adhesion. In order to make hydrogel more suitable for the local treatment of bone diseases, hydrogel preparation methods should be combined with synthetic materials with excellent properties and advanced technologies in different fields to better control drug release in time and orientation. It is necessary to establish a complete method to evaluate the hydrogel’s properties and biocompatibility with the human body. Moreover, establishment of standard animal models of bone defects helps in studying the therapeutic effect of hydrogels on bone repair, as well as to evaluate the safety and suitability of hydrogels. Thus, this review aims to systematically summarize current studies of hydrogels in BTE, including the mechanisms for promoting bone synthesis, design, and preparation; characterization and evaluation methods; as well as to explore future applications of hydrogels in BTE.","author":[{"dropping-particle":"","family":"Yue","given":"Shuai","non-dropping-particle":"","parse-names":false,"suffix":""},{"dropping-particle":"","family":"He","given":"Hui","non-dropping-particle":"","parse-names":false,"suffix":""},{"dropping-particle":"","family":"Li","given":"Bin","non-dropping-particle":"","parse-names":false,"suffix":""},{"dropping-particle":"","family":"Hou","given":"Tao","non-dropping-particle":"","parse-names":false,"suffix":""}],"container-title":"Nanomaterials","id":"ITEM-3","issue":"8","issued":{"date-parts":[["2020"]]},"page":"1-25","title":"Hydrogel as a biomaterial for bone tissue engineering: A review","type":"article-journal","volume":"10"},"uris":["http://www.mendeley.com/documents/?uuid=6c5aa075-409c-480f-9e53-31cbe1fd3c19"]},{"id":"ITEM-4","itemData":{"DOI":"10.1016/j.molliq.2023.122001","ISSN":"01677322","abstract":"Hydrogels are insoluble and often in the form of a three-dimensional polymer network and can absorb body fluids in the biological environment. Such materials are created from hydrophilic monomers and sometimes from another type of monomers called hydrophobic monomers for use in special applications. Synthetic polymers are inherently hydrophobic and have better chemical stability than natural polymers. In this research, the TP (thermal properties) and MP (mechanical properties) of methacrylic acid porous hydrogels in an aqueous medium have been studied using molecular dynamics (MD) simulation. The results showed the hydrogel's thermal conductivity (TC) increased from 0.103 to 0.114 W/m.K by increasing the volume fraction (VF) from 5 to 15%. Also, Young's modulus (YM) and ultimate strength (US) increased from 247 MPa and 131 to 274 MPa and 146 MPa, respectively. The TC of hydrogel increased from 0.103 to 0.116 W/m.K with increasing initial temperature (IT) from 300 to 350 K. The strength of the sample decreased from 131.78 to 115.97 MPa by increasing the IT to 350 K at a stress of 32%. It is expected that various medical and industrial applications will be improved by investigating and optimizing the investigated parameters in hydrogels.","author":[{"dropping-particle":"","family":"Shahshahani","given":"Sahar","non-dropping-particle":"","parse-names":false,"suffix":""},{"dropping-particle":"","family":"Shahgholi","given":"Mohamad","non-dropping-particle":"","parse-names":false,"suffix":""},{"dropping-particle":"","family":"Karimipour","given":"Arash","non-dropping-particle":"","parse-names":false,"suffix":""}],"container-title":"Journal of Molecular Liquids","id":"ITEM-4","issue":"April","issued":{"date-parts":[["2023"]]},"page":"122001","publisher":"Elsevier B.V.","title":"The thermal performance and mechanical stability of methacrylic acid porous hydrogels in an aqueous medium at different initial temperatures and hydrogel volume fraction using the molecular dynamics simulation","type":"article-journal","volume":"382"},"uris":["http://www.mendeley.com/documents/?uuid=38e081ff-539a-4ec1-a290-1a16901191e7"]}],"mendeley":{"formattedCitation":"[1–4]","plainTextFormattedCitation":"[1–4]","previouslyFormattedCitation":"[1–4]"},"properties":{"noteIndex":0},"schema":"https://github.com/citation-style-language/schema/raw/master/csl-citation.json"}</w:instrText>
      </w:r>
      <w:r w:rsidR="00BF2AF7">
        <w:rPr>
          <w:color w:val="FF0000"/>
          <w:szCs w:val="20"/>
        </w:rPr>
        <w:fldChar w:fldCharType="separate"/>
      </w:r>
      <w:r w:rsidR="00BF2AF7" w:rsidRPr="00BF2AF7">
        <w:rPr>
          <w:noProof/>
          <w:color w:val="FF0000"/>
          <w:szCs w:val="20"/>
        </w:rPr>
        <w:t>[1–4]</w:t>
      </w:r>
      <w:r w:rsidR="00BF2AF7">
        <w:rPr>
          <w:color w:val="FF0000"/>
          <w:szCs w:val="20"/>
        </w:rPr>
        <w:fldChar w:fldCharType="end"/>
      </w:r>
      <w:r w:rsidRPr="004F5433">
        <w:rPr>
          <w:color w:val="FF0000"/>
          <w:szCs w:val="20"/>
        </w:rPr>
        <w:t>.</w:t>
      </w:r>
      <w:r w:rsidR="007F7CDB">
        <w:rPr>
          <w:szCs w:val="20"/>
        </w:rPr>
        <w:t xml:space="preserve"> </w:t>
      </w:r>
      <w:r w:rsidR="007F7CDB">
        <w:rPr>
          <w:color w:val="FF0000"/>
          <w:szCs w:val="20"/>
        </w:rPr>
        <w:t>Thanks to these advantageous proper</w:t>
      </w:r>
      <w:r w:rsidR="00BF2AF7">
        <w:rPr>
          <w:color w:val="FF0000"/>
          <w:szCs w:val="20"/>
        </w:rPr>
        <w:t>ties, many naturally-derived (e.g. carbohydrate-based, protein-based) and syn</w:t>
      </w:r>
      <w:r w:rsidR="00794A72">
        <w:rPr>
          <w:color w:val="FF0000"/>
          <w:szCs w:val="20"/>
        </w:rPr>
        <w:t>thetically-derived</w:t>
      </w:r>
      <w:r w:rsidR="00BF2AF7">
        <w:rPr>
          <w:color w:val="FF0000"/>
          <w:szCs w:val="20"/>
        </w:rPr>
        <w:t xml:space="preserve"> hydrogels</w:t>
      </w:r>
      <w:r w:rsidR="007F7CDB">
        <w:rPr>
          <w:color w:val="FF0000"/>
          <w:szCs w:val="20"/>
        </w:rPr>
        <w:t xml:space="preserve"> are used in </w:t>
      </w:r>
      <w:r w:rsidR="004F5433">
        <w:rPr>
          <w:color w:val="FF0000"/>
          <w:szCs w:val="20"/>
        </w:rPr>
        <w:t>various biomedical application</w:t>
      </w:r>
      <w:r w:rsidR="00D14E1C">
        <w:rPr>
          <w:color w:val="FF0000"/>
          <w:szCs w:val="20"/>
        </w:rPr>
        <w:t>s</w:t>
      </w:r>
      <w:r w:rsidR="004F5433">
        <w:rPr>
          <w:color w:val="FF0000"/>
          <w:szCs w:val="20"/>
        </w:rPr>
        <w:t xml:space="preserve">, including </w:t>
      </w:r>
      <w:r w:rsidR="007F7CDB">
        <w:rPr>
          <w:color w:val="FF0000"/>
          <w:szCs w:val="20"/>
        </w:rPr>
        <w:t>skin tissue engineering</w:t>
      </w:r>
      <w:r w:rsidR="00C67129">
        <w:rPr>
          <w:color w:val="FF0000"/>
          <w:szCs w:val="20"/>
        </w:rPr>
        <w:t xml:space="preserve"> (STE)</w:t>
      </w:r>
      <w:r w:rsidR="007F7CDB">
        <w:rPr>
          <w:color w:val="FF0000"/>
          <w:szCs w:val="20"/>
        </w:rPr>
        <w:t xml:space="preserve">, </w:t>
      </w:r>
      <w:r w:rsidR="00C67129">
        <w:rPr>
          <w:color w:val="FF0000"/>
          <w:szCs w:val="20"/>
        </w:rPr>
        <w:t>nerve tissue</w:t>
      </w:r>
      <w:r w:rsidR="007F7CDB">
        <w:rPr>
          <w:color w:val="FF0000"/>
          <w:szCs w:val="20"/>
        </w:rPr>
        <w:t xml:space="preserve"> engineering</w:t>
      </w:r>
      <w:r w:rsidR="00C67129">
        <w:rPr>
          <w:color w:val="FF0000"/>
          <w:szCs w:val="20"/>
        </w:rPr>
        <w:t xml:space="preserve"> (NTE)</w:t>
      </w:r>
      <w:r w:rsidR="007F7CDB">
        <w:rPr>
          <w:color w:val="FF0000"/>
          <w:szCs w:val="20"/>
        </w:rPr>
        <w:t>, carti</w:t>
      </w:r>
      <w:r w:rsidR="00C67129">
        <w:rPr>
          <w:color w:val="FF0000"/>
          <w:szCs w:val="20"/>
        </w:rPr>
        <w:t>lage tissue</w:t>
      </w:r>
      <w:r w:rsidR="007F7CDB">
        <w:rPr>
          <w:color w:val="FF0000"/>
          <w:szCs w:val="20"/>
        </w:rPr>
        <w:t xml:space="preserve"> engineering</w:t>
      </w:r>
      <w:r w:rsidR="00C67129">
        <w:rPr>
          <w:color w:val="FF0000"/>
          <w:szCs w:val="20"/>
        </w:rPr>
        <w:t xml:space="preserve"> (CTE)</w:t>
      </w:r>
      <w:r w:rsidR="007F7CDB">
        <w:rPr>
          <w:color w:val="FF0000"/>
          <w:szCs w:val="20"/>
        </w:rPr>
        <w:t xml:space="preserve"> </w:t>
      </w:r>
      <w:r w:rsidR="00D14E1C">
        <w:rPr>
          <w:color w:val="FF0000"/>
          <w:szCs w:val="20"/>
        </w:rPr>
        <w:t>and</w:t>
      </w:r>
      <w:r w:rsidR="007F7CDB">
        <w:rPr>
          <w:color w:val="FF0000"/>
          <w:szCs w:val="20"/>
        </w:rPr>
        <w:t xml:space="preserve"> bone tissue engineering</w:t>
      </w:r>
      <w:r w:rsidR="00C67129">
        <w:rPr>
          <w:color w:val="FF0000"/>
          <w:szCs w:val="20"/>
        </w:rPr>
        <w:t xml:space="preserve"> (BTE)</w:t>
      </w:r>
      <w:r w:rsidR="00BF2AF7">
        <w:rPr>
          <w:color w:val="FF0000"/>
          <w:szCs w:val="20"/>
        </w:rPr>
        <w:t xml:space="preserve"> </w:t>
      </w:r>
      <w:r w:rsidR="00BF2AF7">
        <w:rPr>
          <w:color w:val="FF0000"/>
          <w:szCs w:val="20"/>
        </w:rPr>
        <w:fldChar w:fldCharType="begin" w:fldLock="1"/>
      </w:r>
      <w:r w:rsidR="00BF2AF7">
        <w:rPr>
          <w:color w:val="FF0000"/>
          <w:szCs w:val="20"/>
        </w:rPr>
        <w:instrText>ADDIN CSL_CITATION {"citationItems":[{"id":"ITEM-1","itemData":{"DOI":"10.3390/nano10081511","ISSN":"20794991","abstract":"Severe bone damage from diseases, including extensive trauma, fractures, and bone tumors, cannot self‐heal, while traditional surgical treatment may bring side effects such as infection, inflammation, and pain. As a new biomaterial with controllable mechanical properties and biocompatibility, hydrogel is widely used in bone tissue engineering (BTE) as a scaffold for growth factor transport and cell adhesion. In order to make hydrogel more suitable for the local treatment of bone diseases, hydrogel preparation methods should be combined with synthetic materials with excellent properties and advanced technologies in different fields to better control drug release in time and orientation. It is necessary to establish a complete method to evaluate the hydrogel’s properties and biocompatibility with the human body. Moreover, establishment of standard animal models of bone defects helps in studying the therapeutic effect of hydrogels on bone repair, as well as to evaluate the safety and suitability of hydrogels. Thus, this review aims to systematically summarize current studies of hydrogels in BTE, including the mechanisms for promoting bone synthesis, design, and preparation; characterization and evaluation methods; as well as to explore future applications of hydrogels in BTE.","author":[{"dropping-particle":"","family":"Yue","given":"Shuai","non-dropping-particle":"","parse-names":false,"suffix":""},{"dropping-particle":"","family":"He","given":"Hui","non-dropping-particle":"","parse-names":false,"suffix":""},{"dropping-particle":"","family":"Li","given":"Bin","non-dropping-particle":"","parse-names":false,"suffix":""},{"dropping-particle":"","family":"Hou","given":"Tao","non-dropping-particle":"","parse-names":false,"suffix":""}],"container-title":"Nanomaterials","id":"ITEM-1","issue":"8","issued":{"date-parts":[["2020"]]},"page":"1-25","title":"Hydrogel as a biomaterial for bone tissue engineering: A review","type":"article-journal","volume":"10"},"uris":["http://www.mendeley.com/documents/?uuid=6c5aa075-409c-480f-9e53-31cbe1fd3c19"]},{"id":"ITEM-2","itemData":{"DOI":"10.3390/polym13234199","ISBN":"8415683111","ISSN":"20734360","abstract":"Cartilage is a tension-and load-bearing tissue and has a limited capacity for intrinsic self-healing. While microfracture and arthroplasty are the conventional methods for cartilage repair, these methods are unable to completely heal the damaged tissue. The need to overcome the restrictions of these therapies for cartilage regeneration has expanded the field of cartilage tissue engineering (CTE), in which novel engineering and biological approaches are introduced to accelerate the development of new biomimetic cartilage to replace the injured tissue. Until now, a wide range of hydrogels and cell sources have been employed for CTE to either recapitulate microenvironmental cues during a new tissue growth or to compel the recovery of cartilaginous structures via manipulating biochemical and biomechanical properties of the original tissue. Towards modifying current cartilage treatments, advanced hydrogels have been designed and synthesized in recent years to improve network crosslinking and self-recovery of implanted scaffolds after damage in vivo. This review focused on the recent advances in CTE, especially self-healing hydrogels. The article firstly presents the cartilage tissue, its defects, and treatments. Subsequently, introduces CTE and summarizes the polymeric hydrogels and their advances. Furthermore, characterizations, the advantages, and disadvantages of advanced hydrogels such as multi-materials, IPNs, nanomaterials, and supramolecular are discussed. Afterward, the self-healing hydrogels in CTE, mechanisms, and the physical and chemical methods for the synthesis of such hydrogels for improving the reformation of CTE are introduced. The article then briefly describes the fabrication methods in CTE. Finally, this review presents a conclusion of prevalent challenges and future outlooks for self-healing hydrogels in CTE applications.","author":[{"dropping-particle":"","family":"Hafezi","given":"Mahshid","non-dropping-particle":"","parse-names":false,"suffix":""},{"dropping-particle":"","family":"Khorasani","given":"Saied Nouri","non-dropping-particle":"","parse-names":false,"suffix":""},{"dropping-particle":"","family":"Zare","given":"Mohadeseh","non-dropping-particle":"","parse-names":false,"suffix":""},{"dropping-particle":"","family":"Neisiany","given":"Rasoul Esmaeely","non-dropping-particle":"","parse-names":false,"suffix":""},{"dropping-particle":"","family":"Davoodi","given":"Pooya","non-dropping-particle":"","parse-names":false,"suffix":""}],"container-title":"Polymers","id":"ITEM-2","issue":"23","issued":{"date-parts":[["2021"]]},"number-of-pages":"1-35","title":"Advanced hydrogels for cartilage tissue engineering: Recent progress and future directions","type":"book","volume":"13"},"uris":["http://www.mendeley.com/documents/?uuid=d26a3145-d8d3-4676-8397-ed8555d54035"]},{"id":"ITEM-3","itemData":{"DOI":"10.1098/rsif.2019.0505","ISSN":"17425662","PMID":"31910776","abstract":"Neural tissue engineering (NTE) is a rapidly progressing field that promises to address several serious neurological conditions that are currently difficult to treat. Selecting the right scaffolding material to promote neural and non-neural cell differentiation as well as axonal growth is essential for the overall design strategy for NTE. Among the varieties of scaffolds, hydrogels have proved to be excellent candidates for culturing and differentiating cells of neural origin. Considering the intrinsic resistance of the nervous system against regeneration, hydrogels have been abundantly used in applications that involve the release of neurotrophic factors, antagonists of neural growth inhibitors and other neural growth-promoting agents. Recent developments in the field include the utilization of encapsulating hydrogels in neural cell therapy for providing localized trophic support and shielding neural cells from immune activity. In this review, we categorize and discuss the various hydrogel-based strategies that have been examined for neural-specific applications and also highlight their strengths and weaknesses. We also discuss future prospects and challenges ahead for the utilization of hydrogels in NTE.","author":[{"dropping-particle":"","family":"Madhusudanan","given":"Pallavi","non-dropping-particle":"","parse-names":false,"suffix":""},{"dropping-particle":"","family":"Raju","given":"Gayathri","non-dropping-particle":"","parse-names":false,"suffix":""},{"dropping-particle":"","family":"Shankarappa","given":"Sahadev","non-dropping-particle":"","parse-names":false,"suffix":""}],"container-title":"Journal of the Royal Society Interface","id":"ITEM-3","issue":"162","issued":{"date-parts":[["2020"]]},"title":"Hydrogel systems and their role in neural tissue engineering","type":"article-journal","volume":"17"},"uris":["http://www.mendeley.com/documents/?uuid=b3d76c38-33e9-408e-8bfd-a96673c97fa2"]},{"id":"ITEM-4","itemData":{"DOI":"10.34172/apb.2022.069","ISSN":"22517308","abstract":"Tissue engineering is a novel regenerative approach in the medicinal field that promises the regeneration of damaged tissues. Moreover, tissue engineering involves synthetic and natural biomaterials that facilitate tissue or organ growth outside the body. Not surprisingly, the demand for polymer-based therapeutical approaches in skin tissue defects has increased at an effective rate, despite the pressing clinical need. Among the 3D scaffolds for tissue engineering and regeneration approaches, hydrogel scaffolds have shown significant importance for their use as 3D cross-linked scaffolds in skin tissue regeneration due to their ideal moisture retention property and porosity biocompatibility, biodegradable, and biomimetic characteristics. In this review, we demonstrated the choice of ideal biomaterials to fabricate the novel hydrogel scaffolds for skin tissue engineering. After a short introduction to the bioactive and drug-loaded polymeric hydrogels, the discussion turns to fabrication and characterisation techniques of the polymeric hydrogel scaffolds. In conclusion, we discuss the excellent wound healing potential of stem cell-loaded hydrogels and Nano-based approaches to designing hydrogel scaffolds for skin tissue engineering.","author":[{"dropping-particle":"","family":"Arjun Uppuluri","given":"Varuna Naga Venkata","non-dropping-particle":"","parse-names":false,"suffix":""},{"dropping-particle":"","family":"Sathanantham","given":"Shanmugarajan Thukani","non-dropping-particle":"","parse-names":false,"suffix":""},{"dropping-particle":"","family":"Bhimavarapu","given":"Sai Krishna","non-dropping-particle":"","parse-names":false,"suffix":""},{"dropping-particle":"","family":"Elumalai","given":"Lokesh","non-dropping-particle":"","parse-names":false,"suffix":""}],"container-title":"Advanced Pharmaceutical Bulletin","id":"ITEM-4","issue":"3","issued":{"date-parts":[["2022"]]},"page":"437-448","title":"Polymeric Hydrogel Scaffolds: Skin Tissue Engineering and Regeneration","type":"article-journal","volume":"12"},"uris":["http://www.mendeley.com/documents/?uuid=d7f7f792-75dd-4221-b547-f427570987d2"]},{"id":"ITEM-5","itemData":{"DOI":"10.1016/j.enganabound.2023.02.055","ISSN":"09557997","abstract":"Wound healing can be improved via various materials in clinical cases. Today, nanocomposites are regarded as promising structures for this purpose. In the current computational study, we introduced Polyethylene glycol (PEG) hydrogel-cellulose nanocomposite to improve wound healing. For this purpose, molecular dynamics (MD) simulations were used to analyze hydrogel-cellulose nanocomposite at standard conditions. Therefore, the present paper investigates the mechanical stability of PEG hydrogel reinforced with cellulose nanofibrils. MD simulations were done in two main phases: equilibrium and deformation process as initial and final phases, respectively. Our simulation results show the defined samples' physical stability at 300 K and 1 bar. This procedure predicted from temperature and total energy convergence after 10 ns. The results of the mechanical test outputs show that inserting cellulose into pure PEG hydrogel leads to improving their mechanical performance. Numerically, the ultimate strength and Young's modulus of the designed nanocomposite increased to 0.26 MPa and 0.39 MPa (respectively) in the presence of 3% cellulose nanofibrils. The increased mechanical strength shows hydrogel-cellulose nanocomposite can be used for wound healing in clinical applications.","author":[{"dropping-particle":"","family":"Koochaki","given":"Amin","non-dropping-particle":"","parse-names":false,"suffix":""},{"dropping-particle":"","family":"Shahgholi","given":"Mohamad","non-dropping-particle":"","parse-names":false,"suffix":""},{"dropping-particle":"","family":"Sajadi","given":"S. Mohammad","non-dropping-particle":"","parse-names":false,"suffix":""},{"dropping-particle":"","family":"Babadi","given":"Elmira","non-dropping-particle":"","parse-names":false,"suffix":""},{"dropping-particle":"","family":"Inc","given":"Mustafa","non-dropping-particle":"","parse-names":false,"suffix":""}],"container-title":"Engineering Analysis with Boundary Elements","id":"ITEM-5","issue":"March","issued":{"date-parts":[["2023"]]},"page":"1-7","publisher":"Elsevier Ltd","title":"Investigation of the mechanical stability of polyethylene glycol hydrogel reinforced with cellulose nanofibrils for wound healing: Molecular dynamics simulation","type":"article-journal","volume":"151"},"uris":["http://www.mendeley.com/documents/?uuid=77826097-6328-47c6-9031-84545fa20337"]}],"mendeley":{"formattedCitation":"[3,5–8]","plainTextFormattedCitation":"[3,5–8]","previouslyFormattedCitation":"[3,5–8]"},"properties":{"noteIndex":0},"schema":"https://github.com/citation-style-language/schema/raw/master/csl-citation.json"}</w:instrText>
      </w:r>
      <w:r w:rsidR="00BF2AF7">
        <w:rPr>
          <w:color w:val="FF0000"/>
          <w:szCs w:val="20"/>
        </w:rPr>
        <w:fldChar w:fldCharType="separate"/>
      </w:r>
      <w:r w:rsidR="00BF2AF7" w:rsidRPr="00BF2AF7">
        <w:rPr>
          <w:noProof/>
          <w:color w:val="FF0000"/>
          <w:szCs w:val="20"/>
        </w:rPr>
        <w:t>[3,5–8]</w:t>
      </w:r>
      <w:r w:rsidR="00BF2AF7">
        <w:rPr>
          <w:color w:val="FF0000"/>
          <w:szCs w:val="20"/>
        </w:rPr>
        <w:fldChar w:fldCharType="end"/>
      </w:r>
      <w:r w:rsidR="00BF2AF7">
        <w:rPr>
          <w:color w:val="FF0000"/>
          <w:szCs w:val="20"/>
        </w:rPr>
        <w:t>.</w:t>
      </w:r>
    </w:p>
    <w:bookmarkEnd w:id="0"/>
    <w:p w14:paraId="4A7C5855" w14:textId="77777777" w:rsidR="00FA7264" w:rsidRPr="00917A41" w:rsidRDefault="001707D4" w:rsidP="00917A41">
      <w:pPr>
        <w:pStyle w:val="MDPI31text"/>
        <w:rPr>
          <w:szCs w:val="20"/>
        </w:rPr>
      </w:pPr>
      <w:r>
        <w:rPr>
          <w:szCs w:val="20"/>
        </w:rPr>
        <w:t>Among protein-based hydrogels</w:t>
      </w:r>
      <w:r w:rsidR="00917A41">
        <w:rPr>
          <w:szCs w:val="20"/>
        </w:rPr>
        <w:t xml:space="preserve">, </w:t>
      </w:r>
      <w:r>
        <w:rPr>
          <w:szCs w:val="20"/>
        </w:rPr>
        <w:t>th</w:t>
      </w:r>
      <w:r w:rsidR="006D7508">
        <w:rPr>
          <w:szCs w:val="20"/>
        </w:rPr>
        <w:t>o</w:t>
      </w:r>
      <w:r>
        <w:rPr>
          <w:szCs w:val="20"/>
        </w:rPr>
        <w:t>se</w:t>
      </w:r>
      <w:r w:rsidR="00917A41">
        <w:rPr>
          <w:szCs w:val="20"/>
        </w:rPr>
        <w:t xml:space="preserve"> composed of whey proteins seem </w:t>
      </w:r>
      <w:r>
        <w:rPr>
          <w:szCs w:val="20"/>
        </w:rPr>
        <w:t xml:space="preserve">especially </w:t>
      </w:r>
      <w:r w:rsidR="00917A41">
        <w:rPr>
          <w:szCs w:val="20"/>
        </w:rPr>
        <w:t xml:space="preserve">interesting for BTE applications. </w:t>
      </w:r>
      <w:r w:rsidR="00FA7264" w:rsidRPr="00917A41">
        <w:rPr>
          <w:szCs w:val="20"/>
        </w:rPr>
        <w:t>Whey pro</w:t>
      </w:r>
      <w:r w:rsidR="00794A72">
        <w:rPr>
          <w:szCs w:val="20"/>
        </w:rPr>
        <w:t xml:space="preserve">teins are </w:t>
      </w:r>
      <w:r w:rsidR="00FA7264" w:rsidRPr="00917A41">
        <w:rPr>
          <w:szCs w:val="20"/>
        </w:rPr>
        <w:t xml:space="preserve">a waste product in the dairy industry (from cheese </w:t>
      </w:r>
      <w:r w:rsidR="00FA7264" w:rsidRPr="00794A72">
        <w:rPr>
          <w:color w:val="FF0000"/>
          <w:szCs w:val="20"/>
        </w:rPr>
        <w:t>ma</w:t>
      </w:r>
      <w:r w:rsidR="00794A72" w:rsidRPr="00794A72">
        <w:rPr>
          <w:color w:val="FF0000"/>
          <w:szCs w:val="20"/>
        </w:rPr>
        <w:t>nufacturing</w:t>
      </w:r>
      <w:r w:rsidR="00FA7264" w:rsidRPr="00794A72">
        <w:rPr>
          <w:color w:val="FF0000"/>
          <w:szCs w:val="20"/>
        </w:rPr>
        <w:t>)</w:t>
      </w:r>
      <w:r w:rsidR="00C67129">
        <w:rPr>
          <w:color w:val="FF0000"/>
          <w:szCs w:val="20"/>
        </w:rPr>
        <w:t>, which</w:t>
      </w:r>
      <w:r w:rsidR="00974A5E">
        <w:rPr>
          <w:szCs w:val="20"/>
        </w:rPr>
        <w:t xml:space="preserve"> </w:t>
      </w:r>
      <w:r w:rsidR="00974A5E" w:rsidRPr="00974A5E">
        <w:rPr>
          <w:color w:val="FF0000"/>
          <w:szCs w:val="20"/>
        </w:rPr>
        <w:t>makes</w:t>
      </w:r>
      <w:r w:rsidR="00974A5E">
        <w:rPr>
          <w:szCs w:val="20"/>
        </w:rPr>
        <w:t xml:space="preserve"> them</w:t>
      </w:r>
      <w:r w:rsidR="00FA7264" w:rsidRPr="00917A41">
        <w:rPr>
          <w:szCs w:val="20"/>
        </w:rPr>
        <w:t xml:space="preserve"> inexpensive, </w:t>
      </w:r>
      <w:r w:rsidR="006D7508">
        <w:rPr>
          <w:szCs w:val="20"/>
        </w:rPr>
        <w:t xml:space="preserve">available </w:t>
      </w:r>
      <w:r w:rsidR="00FA7264" w:rsidRPr="00917A41">
        <w:rPr>
          <w:szCs w:val="20"/>
        </w:rPr>
        <w:t xml:space="preserve">in copious amounts, and easily accessible. There are many forms of whey protein such as reduced-lactose whey, demineralized whey, whey protein concentrates, and whey protein </w:t>
      </w:r>
      <w:r w:rsidR="00FA7264" w:rsidRPr="00917A41">
        <w:rPr>
          <w:szCs w:val="20"/>
        </w:rPr>
        <w:lastRenderedPageBreak/>
        <w:t xml:space="preserve">isolates </w:t>
      </w:r>
      <w:r w:rsidR="00590160">
        <w:rPr>
          <w:szCs w:val="20"/>
        </w:rPr>
        <w:fldChar w:fldCharType="begin" w:fldLock="1"/>
      </w:r>
      <w:r w:rsidR="00BF2AF7">
        <w:rPr>
          <w:szCs w:val="20"/>
        </w:rPr>
        <w:instrText>ADDIN CSL_CITATION {"citationItems":[{"id":"ITEM-1","itemData":{"DOI":"10.3168/jds.2017-13119","ISSN":"15253198","PMID":"29128214","abstract":"Recently, milk-derived proteins have attracted attention for applications in the biomedical field such as tissue regeneration. Whey protein isolate (WPI), especially its main component β-lactoglobulin, can modulate immunity and acts as an antioxidant, antitumor, antiviral, and antibacterial agent. There are very few reports of the application of WPI in tissue engineering, especially in bone tissue engineering. In this study, we tested the influence of different concentrations of WPI on behavior of human osteoblast-like Saos-2 cells, human adipose tissue-derived stem cells (ASC), and human neonatal dermal fibroblasts (FIB). The positive effect on growth was apparent for Saos-2 cells and FIB but not for ASC. However, the expression of markers characteristic for early osteogenic cell differentiation [type-I collagen (COL1) and alkaline phosphatase (ALP)] as well as ALP activity, increased dose-dependently in ASC. Importantly, Saos-2 cells were able to deposit calcium in the presence of WPI, even in a proliferation medium without other supplements that support osteogenic cell differentiation. The results indicate that, depending on the cell type, WPI can act as an enhancer of cell proliferation and osteogenic differentiation. Therefore, enrichment of biomaterials for bone regeneration with WPI seems a promising approach, especially due to the low cost of WPI.","author":[{"dropping-particle":"","family":"Douglas","given":"Timothy E.L.","non-dropping-particle":"","parse-names":false,"suffix":""},{"dropping-particle":"","family":"Vandrovcová","given":"Marta","non-dropping-particle":"","parse-names":false,"suffix":""},{"dropping-particle":"","family":"Kročilová","given":"Nikola","non-dropping-particle":"","parse-names":false,"suffix":""},{"dropping-particle":"","family":"Keppler","given":"Julia K.","non-dropping-particle":"","parse-names":false,"suffix":""},{"dropping-particle":"","family":"Zárubová","given":"Jana","non-dropping-particle":"","parse-names":false,"suffix":""},{"dropping-particle":"","family":"Skirtach","given":"Andre G.","non-dropping-particle":"","parse-names":false,"suffix":""},{"dropping-particle":"","family":"Bačáková","given":"Lucie","non-dropping-particle":"","parse-names":false,"suffix":""}],"container-title":"Journal of Dairy Science","id":"ITEM-1","issue":"1","issued":{"date-parts":[["2018"]]},"page":"28-36","title":"Application of whey protein isolate in bone regeneration: Effects on growth and osteogenic differentiation of bone-forming cells","type":"article-journal","volume":"101"},"uris":["http://www.mendeley.com/documents/?uuid=584c1f5f-7410-4268-966b-978d1a6300e1"]},{"id":"ITEM-2","itemData":{"DOI":"10.1016/j.matdes.2019.108408","ISSN":"18734197","abstract":"This work explores novel biocomposite hydrogels fabricated using 40% (wt/vol) solution of whey protein isolate (WPI, from the food industry) mixed with increasing concentrations of synthetic aragonite rod-like powder of 0, 100, 200 and 300 mg/ml (named WPI0, WPI100, WPI200 and WPI300). FTIR results showed that aragonite was successfully incorporated into the WPI hydrogel network. SEM and micro-CT investigations revealed that aragonite was mainly concentrated near the edges of the composite samples, except in WPI300, which had homogeneous aragonite distribution. The pore diameters ranged from 18 to 778 μm while averaged pore size was the lowest for WPI0 at 30 μm and highest for WPI200 at 103 μm. The mean compression modulus was highest for WPI300 at 3.16 MPa. After 28 days in physiological conditions WPI300 had maximum mean swelling of 4.3% and there was the highest degradation rate for WPI200 and WPI300 and lowest for WPI100 and WPI0. The osteoblast-like MG63 cell metabolic and alkaline phosphatase activities in direct contact experiments with composites increased with increasing aragonite content over 3 weeks. Moreover, the degradation products of these composites were non-cytotoxic and led to mineral-like deposits in extracellular matrix. These WPI-aragonite biocomposite hydrogels are potent candidates for bone repair applications.","author":[{"dropping-particle":"","family":"Gupta","given":"Dhanak","non-dropping-particle":"","parse-names":false,"suffix":""},{"dropping-particle":"","family":"Kocot","given":"Magdalena","non-dropping-particle":"","parse-names":false,"suffix":""},{"dropping-particle":"","family":"Tryba","given":"Anna Maria","non-dropping-particle":"","parse-names":false,"suffix":""},{"dropping-particle":"","family":"Serafim","given":"Andrada","non-dropping-particle":"","parse-names":false,"suffix":""},{"dropping-particle":"","family":"Stancu","given":"Izabela C.","non-dropping-particle":"","parse-names":false,"suffix":""},{"dropping-particle":"","family":"Jaegermann","given":"Zbigniew","non-dropping-particle":"","parse-names":false,"suffix":""},{"dropping-particle":"","family":"Pamuła","given":"Elżbieta","non-dropping-particle":"","parse-names":false,"suffix":""},{"dropping-particle":"","family":"Reilly","given":"Gwendolen C.","non-dropping-particle":"","parse-names":false,"suffix":""},{"dropping-particle":"","family":"Douglas","given":"Timothy E.L.","non-dropping-particle":"","parse-names":false,"suffix":""}],"container-title":"Materials and Design","id":"ITEM-2","issued":{"date-parts":[["2020"]]},"title":"Novel naturally derived whey protein isolate and aragonite biocomposite hydrogels have potential for bone regeneration","type":"article-journal","volume":"188"},"uris":["http://www.mendeley.com/documents/?uuid=533b2d15-5f68-4ec3-8400-77edeb443ac8"]}],"mendeley":{"formattedCitation":"[9,10]","plainTextFormattedCitation":"[9,10]","previouslyFormattedCitation":"[9,10]"},"properties":{"noteIndex":0},"schema":"https://github.com/citation-style-language/schema/raw/master/csl-citation.json"}</w:instrText>
      </w:r>
      <w:r w:rsidR="00590160">
        <w:rPr>
          <w:szCs w:val="20"/>
        </w:rPr>
        <w:fldChar w:fldCharType="separate"/>
      </w:r>
      <w:r w:rsidR="00BF2AF7" w:rsidRPr="00BF2AF7">
        <w:rPr>
          <w:noProof/>
          <w:szCs w:val="20"/>
        </w:rPr>
        <w:t>[9,10]</w:t>
      </w:r>
      <w:r w:rsidR="00590160">
        <w:rPr>
          <w:szCs w:val="20"/>
        </w:rPr>
        <w:fldChar w:fldCharType="end"/>
      </w:r>
      <w:r w:rsidR="00FA7264" w:rsidRPr="00917A41">
        <w:rPr>
          <w:szCs w:val="20"/>
        </w:rPr>
        <w:t>. The composition of whey protein consists of mainly β-lactoglobulin (β-Lg), α-</w:t>
      </w:r>
      <w:proofErr w:type="spellStart"/>
      <w:r w:rsidR="00FA7264" w:rsidRPr="00917A41">
        <w:rPr>
          <w:szCs w:val="20"/>
        </w:rPr>
        <w:t>lact</w:t>
      </w:r>
      <w:r w:rsidR="00974A5E">
        <w:rPr>
          <w:szCs w:val="20"/>
        </w:rPr>
        <w:t>o</w:t>
      </w:r>
      <w:r w:rsidR="00FA7264" w:rsidRPr="00917A41">
        <w:rPr>
          <w:szCs w:val="20"/>
        </w:rPr>
        <w:t>albumin</w:t>
      </w:r>
      <w:proofErr w:type="spellEnd"/>
      <w:r w:rsidR="00FA7264" w:rsidRPr="00917A41">
        <w:rPr>
          <w:szCs w:val="20"/>
        </w:rPr>
        <w:t xml:space="preserve"> (α-La)</w:t>
      </w:r>
      <w:r w:rsidR="00794A72" w:rsidRPr="00794A72">
        <w:rPr>
          <w:color w:val="FF0000"/>
          <w:szCs w:val="20"/>
        </w:rPr>
        <w:t>,</w:t>
      </w:r>
      <w:r w:rsidR="00794A72">
        <w:rPr>
          <w:szCs w:val="20"/>
        </w:rPr>
        <w:t xml:space="preserve"> and small</w:t>
      </w:r>
      <w:r w:rsidR="00FA7264" w:rsidRPr="00917A41">
        <w:rPr>
          <w:szCs w:val="20"/>
        </w:rPr>
        <w:t xml:space="preserve"> amounts of </w:t>
      </w:r>
      <w:proofErr w:type="spellStart"/>
      <w:r w:rsidR="00FA7264" w:rsidRPr="00917A41">
        <w:rPr>
          <w:szCs w:val="20"/>
        </w:rPr>
        <w:t>glycomacropeptide</w:t>
      </w:r>
      <w:proofErr w:type="spellEnd"/>
      <w:r w:rsidR="00FA7264" w:rsidRPr="00917A41">
        <w:rPr>
          <w:szCs w:val="20"/>
        </w:rPr>
        <w:t xml:space="preserve"> (GMP), immunoglobulins (</w:t>
      </w:r>
      <w:proofErr w:type="spellStart"/>
      <w:r w:rsidR="00FA7264" w:rsidRPr="00917A41">
        <w:rPr>
          <w:szCs w:val="20"/>
        </w:rPr>
        <w:t>Igs</w:t>
      </w:r>
      <w:proofErr w:type="spellEnd"/>
      <w:r w:rsidR="00FA7264" w:rsidRPr="00917A41">
        <w:rPr>
          <w:szCs w:val="20"/>
        </w:rPr>
        <w:t xml:space="preserve">), bovine serum albumin (BSA), lactoferrin (LF), </w:t>
      </w:r>
      <w:proofErr w:type="spellStart"/>
      <w:r w:rsidR="00FA7264" w:rsidRPr="00917A41">
        <w:rPr>
          <w:szCs w:val="20"/>
        </w:rPr>
        <w:t>lactoperoxidase</w:t>
      </w:r>
      <w:proofErr w:type="spellEnd"/>
      <w:r w:rsidR="00FA7264" w:rsidRPr="00917A41">
        <w:rPr>
          <w:szCs w:val="20"/>
        </w:rPr>
        <w:t xml:space="preserve"> (LP), and proteose peptone (PP) </w:t>
      </w:r>
      <w:r w:rsidR="00590160">
        <w:rPr>
          <w:szCs w:val="20"/>
        </w:rPr>
        <w:fldChar w:fldCharType="begin" w:fldLock="1"/>
      </w:r>
      <w:r w:rsidR="00BF2AF7">
        <w:rPr>
          <w:szCs w:val="20"/>
        </w:rPr>
        <w:instrText>ADDIN CSL_CITATION {"citationItems":[{"id":"ITEM-1","itemData":{"DOI":"10.1002/jbm.a.36754","ISSN":"15524965","PMID":"31298796","abstract":"The present work focuses on the development of novel multicomponent organic–inorganic hydrogel composites for bone tissue engineering. For the first time, combination of the organic components commonly used in food industry, namely whey protein isolate (WPI) and gelatin from bovine skin, as well as inorganic material commonly used as a major component of hydraulic bone cements, namely α-TCP in various concentrations (0–70 wt%) was proposed. The results showed that α-TCP underwent incomplete transformation to calcium-deficient hydroxyapatite (CDHA) during preparation process of the hydrogels. Microcomputer tomography showed inhomogeneous distribution of the calcium phosphate (CaP) phase in the resulting composites. Nevertheless, hydrogels containing 30–70 wt% α-TCP showed significantly improved mechanical properties. The values of Young's modulus and the stresses corresponding to compression of a sample by 50% increased almost linearly with increasing concentration of ceramic phase. Incomplete transformation of α-TCP to CDHA during preparation process of composites provides them high reactivity in simulated body fluid during 14-day incubation. Preliminary in vitro studies revealed that the WPI/gelatin/CaP composite hydrogels support the adhesion, spreading, and proliferation of human osteoblast-like MG-63 cells. The WPI/gelatin/CaP composite hydrogels obtained in this work showed great potential for the use in bone tissue engineering and regenerative medicine applications.","author":[{"dropping-particle":"","family":"Dziadek","given":"Michal","non-dropping-particle":"","parse-names":false,"suffix":""},{"dropping-particle":"","family":"Kudlackova","given":"Radmila","non-dropping-particle":"","parse-names":false,"suffix":""},{"dropping-particle":"","family":"Zima","given":"Aneta","non-dropping-particle":"","parse-names":false,"suffix":""},{"dropping-particle":"","family":"Slosarczyk","given":"Anna","non-dropping-particle":"","parse-names":false,"suffix":""},{"dropping-particle":"","family":"Ziabka","given":"Magdalena","non-dropping-particle":"","parse-names":false,"suffix":""},{"dropping-particle":"","family":"Jelen","given":"Piotr","non-dropping-particle":"","parse-names":false,"suffix":""},{"dropping-particle":"","family":"Shkarina","given":"Svetlana","non-dropping-particle":"","parse-names":false,"suffix":""},{"dropping-particle":"","family":"Cecilia","given":"Angelica","non-dropping-particle":"","parse-names":false,"suffix":""},{"dropping-particle":"","family":"Zuber","given":"Marcus","non-dropping-particle":"","parse-names":false,"suffix":""},{"dropping-particle":"","family":"Baumbach","given":"Tilo","non-dropping-particle":"","parse-names":false,"suffix":""},{"dropping-particle":"","family":"Surmeneva","given":"Maria A.","non-dropping-particle":"","parse-names":false,"suffix":""},{"dropping-particle":"","family":"Surmenev","given":"Roman A.","non-dropping-particle":"","parse-names":false,"suffix":""},{"dropping-particle":"","family":"Bacakova","given":"Lucie","non-dropping-particle":"","parse-names":false,"suffix":""},{"dropping-particle":"","family":"Cholewa-Kowalska","given":"Katarzyna","non-dropping-particle":"","parse-names":false,"suffix":""},{"dropping-particle":"","family":"Douglas","given":"Timothy E.L.","non-dropping-particle":"","parse-names":false,"suffix":""}],"container-title":"Journal of Biomedical Materials Research - Part A","id":"ITEM-1","issue":"11","issued":{"date-parts":[["2019"]]},"page":"2479-2491","title":"Novel multicomponent organic–inorganic WPI/gelatin/CaP hydrogel composites for bone tissue engineering","type":"article-journal","volume":"107"},"uris":["http://www.mendeley.com/documents/?uuid=4a4f46e8-3909-40ac-8f93-71e936dc561e"]}],"mendeley":{"formattedCitation":"[11]","plainTextFormattedCitation":"[11]","previouslyFormattedCitation":"[11]"},"properties":{"noteIndex":0},"schema":"https://github.com/citation-style-language/schema/raw/master/csl-citation.json"}</w:instrText>
      </w:r>
      <w:r w:rsidR="00590160">
        <w:rPr>
          <w:szCs w:val="20"/>
        </w:rPr>
        <w:fldChar w:fldCharType="separate"/>
      </w:r>
      <w:r w:rsidR="00BF2AF7" w:rsidRPr="00BF2AF7">
        <w:rPr>
          <w:noProof/>
          <w:szCs w:val="20"/>
        </w:rPr>
        <w:t>[11]</w:t>
      </w:r>
      <w:r w:rsidR="00590160">
        <w:rPr>
          <w:szCs w:val="20"/>
        </w:rPr>
        <w:fldChar w:fldCharType="end"/>
      </w:r>
      <w:r w:rsidR="00FA7264" w:rsidRPr="00917A41">
        <w:rPr>
          <w:szCs w:val="20"/>
        </w:rPr>
        <w:t xml:space="preserve">. </w:t>
      </w:r>
    </w:p>
    <w:p w14:paraId="1F55941D" w14:textId="77777777" w:rsidR="00FA7264" w:rsidRPr="00917A41" w:rsidRDefault="00FA7264" w:rsidP="001707D4">
      <w:pPr>
        <w:pStyle w:val="MDPI31text"/>
      </w:pPr>
      <w:r w:rsidRPr="00917A41">
        <w:t>Whey protein isolate</w:t>
      </w:r>
      <w:r w:rsidR="00917A41">
        <w:t xml:space="preserve"> (WPI)</w:t>
      </w:r>
      <w:r w:rsidRPr="00917A41">
        <w:t xml:space="preserve"> contains at least 90% </w:t>
      </w:r>
      <w:r w:rsidR="00794A72" w:rsidRPr="00794A72">
        <w:rPr>
          <w:color w:val="FF0000"/>
        </w:rPr>
        <w:t>of</w:t>
      </w:r>
      <w:r w:rsidR="00794A72">
        <w:t xml:space="preserve"> </w:t>
      </w:r>
      <w:r w:rsidRPr="00917A41">
        <w:t xml:space="preserve">protein and its main component </w:t>
      </w:r>
      <w:r w:rsidR="00794A72" w:rsidRPr="00794A72">
        <w:rPr>
          <w:color w:val="FF0000"/>
        </w:rPr>
        <w:t>(</w:t>
      </w:r>
      <w:r w:rsidR="00917A41" w:rsidRPr="00917A41">
        <w:t>β</w:t>
      </w:r>
      <w:r w:rsidR="00243DB9">
        <w:t>-Lg</w:t>
      </w:r>
      <w:r w:rsidR="00794A72" w:rsidRPr="00794A72">
        <w:rPr>
          <w:color w:val="FF0000"/>
        </w:rPr>
        <w:t>)</w:t>
      </w:r>
      <w:r w:rsidRPr="00917A41">
        <w:t xml:space="preserve"> can enhance</w:t>
      </w:r>
      <w:r w:rsidR="00794A72">
        <w:t xml:space="preserve"> human immune responses and act</w:t>
      </w:r>
      <w:r w:rsidR="00974A5E" w:rsidRPr="00974A5E">
        <w:rPr>
          <w:color w:val="FF0000"/>
        </w:rPr>
        <w:t>s</w:t>
      </w:r>
      <w:r w:rsidRPr="00917A41">
        <w:t xml:space="preserve"> as an antioxidant, antitumor, antiviral, and antibacterial agent </w:t>
      </w:r>
      <w:r w:rsidR="00590160">
        <w:fldChar w:fldCharType="begin" w:fldLock="1"/>
      </w:r>
      <w:r w:rsidR="00BF2AF7">
        <w:instrText>ADDIN CSL_CITATION {"citationItems":[{"id":"ITEM-1","itemData":{"DOI":"10.1016/j.matdes.2019.108408","ISSN":"18734197","abstract":"This work explores novel biocomposite hydrogels fabricated using 40% (wt/vol) solution of whey protein isolate (WPI, from the food industry) mixed with increasing concentrations of synthetic aragonite rod-like powder of 0, 100, 200 and 300 mg/ml (named WPI0, WPI100, WPI200 and WPI300). FTIR results showed that aragonite was successfully incorporated into the WPI hydrogel network. SEM and micro-CT investigations revealed that aragonite was mainly concentrated near the edges of the composite samples, except in WPI300, which had homogeneous aragonite distribution. The pore diameters ranged from 18 to 778 μm while averaged pore size was the lowest for WPI0 at 30 μm and highest for WPI200 at 103 μm. The mean compression modulus was highest for WPI300 at 3.16 MPa. After 28 days in physiological conditions WPI300 had maximum mean swelling of 4.3% and there was the highest degradation rate for WPI200 and WPI300 and lowest for WPI100 and WPI0. The osteoblast-like MG63 cell metabolic and alkaline phosphatase activities in direct contact experiments with composites increased with increasing aragonite content over 3 weeks. Moreover, the degradation products of these composites were non-cytotoxic and led to mineral-like deposits in extracellular matrix. These WPI-aragonite biocomposite hydrogels are potent candidates for bone repair applications.","author":[{"dropping-particle":"","family":"Gupta","given":"Dhanak","non-dropping-particle":"","parse-names":false,"suffix":""},{"dropping-particle":"","family":"Kocot","given":"Magdalena","non-dropping-particle":"","parse-names":false,"suffix":""},{"dropping-particle":"","family":"Tryba","given":"Anna Maria","non-dropping-particle":"","parse-names":false,"suffix":""},{"dropping-particle":"","family":"Serafim","given":"Andrada","non-dropping-particle":"","parse-names":false,"suffix":""},{"dropping-particle":"","family":"Stancu","given":"Izabela C.","non-dropping-particle":"","parse-names":false,"suffix":""},{"dropping-particle":"","family":"Jaegermann","given":"Zbigniew","non-dropping-particle":"","parse-names":false,"suffix":""},{"dropping-particle":"","family":"Pamuła","given":"Elżbieta","non-dropping-particle":"","parse-names":false,"suffix":""},{"dropping-particle":"","family":"Reilly","given":"Gwendolen C.","non-dropping-particle":"","parse-names":false,"suffix":""},{"dropping-particle":"","family":"Douglas","given":"Timothy E.L.","non-dropping-particle":"","parse-names":false,"suffix":""}],"container-title":"Materials and Design","id":"ITEM-1","issued":{"date-parts":[["2020"]]},"title":"Novel naturally derived whey protein isolate and aragonite biocomposite hydrogels have potential for bone regeneration","type":"article-journal","volume":"188"},"uris":["http://www.mendeley.com/documents/?uuid=533b2d15-5f68-4ec3-8400-77edeb443ac8"]},{"id":"ITEM-2","itemData":{"DOI":"10.3168/jds.2017-13119","ISSN":"15253198","PMID":"29128214","abstract":"Recently, milk-derived proteins have attracted attention for applications in the biomedical field such as tissue regeneration. Whey protein isolate (WPI), especially its main component β-lactoglobulin, can modulate immunity and acts as an antioxidant, antitumor, antiviral, and antibacterial agent. There are very few reports of the application of WPI in tissue engineering, especially in bone tissue engineering. In this study, we tested the influence of different concentrations of WPI on behavior of human osteoblast-like Saos-2 cells, human adipose tissue-derived stem cells (ASC), and human neonatal dermal fibroblasts (FIB). The positive effect on growth was apparent for Saos-2 cells and FIB but not for ASC. However, the expression of markers characteristic for early osteogenic cell differentiation [type-I collagen (COL1) and alkaline phosphatase (ALP)] as well as ALP activity, increased dose-dependently in ASC. Importantly, Saos-2 cells were able to deposit calcium in the presence of WPI, even in a proliferation medium without other supplements that support osteogenic cell differentiation. The results indicate that, depending on the cell type, WPI can act as an enhancer of cell proliferation and osteogenic differentiation. Therefore, enrichment of biomaterials for bone regeneration with WPI seems a promising approach, especially due to the low cost of WPI.","author":[{"dropping-particle":"","family":"Douglas","given":"Timothy E.L.","non-dropping-particle":"","parse-names":false,"suffix":""},{"dropping-particle":"","family":"Vandrovcová","given":"Marta","non-dropping-particle":"","parse-names":false,"suffix":""},{"dropping-particle":"","family":"Kročilová","given":"Nikola","non-dropping-particle":"","parse-names":false,"suffix":""},{"dropping-particle":"","family":"Keppler","given":"Julia K.","non-dropping-particle":"","parse-names":false,"suffix":""},{"dropping-particle":"","family":"Zárubová","given":"Jana","non-dropping-particle":"","parse-names":false,"suffix":""},{"dropping-particle":"","family":"Skirtach","given":"Andre G.","non-dropping-particle":"","parse-names":false,"suffix":""},{"dropping-particle":"","family":"Bačáková","given":"Lucie","non-dropping-particle":"","parse-names":false,"suffix":""}],"container-title":"Journal of Dairy Science","id":"ITEM-2","issue":"1","issued":{"date-parts":[["2018"]]},"page":"28-36","title":"Application of whey protein isolate in bone regeneration: Effects on growth and osteogenic differentiation of bone-forming cells","type":"article-journal","volume":"101"},"uris":["http://www.mendeley.com/documents/?uuid=584c1f5f-7410-4268-966b-978d1a6300e1"]}],"mendeley":{"formattedCitation":"[9,10]","plainTextFormattedCitation":"[9,10]","previouslyFormattedCitation":"[9,10]"},"properties":{"noteIndex":0},"schema":"https://github.com/citation-style-language/schema/raw/master/csl-citation.json"}</w:instrText>
      </w:r>
      <w:r w:rsidR="00590160">
        <w:fldChar w:fldCharType="separate"/>
      </w:r>
      <w:r w:rsidR="00BF2AF7" w:rsidRPr="00BF2AF7">
        <w:rPr>
          <w:noProof/>
        </w:rPr>
        <w:t>[9,10]</w:t>
      </w:r>
      <w:r w:rsidR="00590160">
        <w:fldChar w:fldCharType="end"/>
      </w:r>
      <w:r w:rsidRPr="00917A41">
        <w:t>. Tai, Chen, and Chen proved that β-Lg is the major protein in bovine milk that stimulates cell proliferation by showing that cell proliferation was not stimulated</w:t>
      </w:r>
      <w:r w:rsidR="006D7508">
        <w:t xml:space="preserve"> </w:t>
      </w:r>
      <w:r w:rsidR="006D7508" w:rsidRPr="00917A41">
        <w:t>in β-Lg-depleted milk</w:t>
      </w:r>
      <w:r w:rsidRPr="00917A41">
        <w:t xml:space="preserve"> </w:t>
      </w:r>
      <w:r w:rsidR="00590160">
        <w:fldChar w:fldCharType="begin" w:fldLock="1"/>
      </w:r>
      <w:r w:rsidR="00BF2AF7">
        <w:instrText>ADDIN CSL_CITATION {"citationItems":[{"id":"ITEM-1","itemData":{"DOI":"10.1155/2016/7123587","ISSN":"23146141","PMID":"27957499","abstract":"β-Lactoglobulin (LG) is suspected to enhance or modulate human immune responses. Moreover, LG is also hypothesized to increase human cell proliferation. However, these potential functions of LG have not been directly or thoroughly addressed. In this study, we demonstrated that LG is a potent stimulator of cell proliferation using a hybridoma cell (a splenocyte fused with a myeloma cell) model. LG's ability to promote cell proliferation was lost when the protein is denatured. To further investigate the influence of LG's conformation on cell proliferation, we chemically modified LG by either carboxymethylation (CM) or acetylation and observed significantly reduced cell proliferation when the protein structure was altered. Furthermore, we proved that LG enhances cell proliferation via receptor-mediated membrane IgM receptor. These data indicated that nondenatured LG is the major component in milk that modulates cell proliferation. Collectively, our study showed that LG plays a key role in enhancing immune responses by promoting cell proliferation through IgM receptor.","author":[{"dropping-particle":"","family":"Tai","given":"Chun San","non-dropping-particle":"","parse-names":false,"suffix":""},{"dropping-particle":"","family":"Chen","given":"Yi Yun","non-dropping-particle":"","parse-names":false,"suffix":""},{"dropping-particle":"","family":"Chen","given":"Wen Liang","non-dropping-particle":"","parse-names":false,"suffix":""}],"container-title":"BioMed Research International","id":"ITEM-1","issued":{"date-parts":[["2016"]]},"publisher":"Hindawi Publishing Corporation","title":"β -Lactoglobulin Influences Human Immunity and Promotes Cell Proliferation","type":"article-journal","volume":"2016"},"uris":["http://www.mendeley.com/documents/?uuid=97e33281-db0b-404e-a4b3-8a216338acfc"]}],"mendeley":{"formattedCitation":"[12]","plainTextFormattedCitation":"[12]","previouslyFormattedCitation":"[12]"},"properties":{"noteIndex":0},"schema":"https://github.com/citation-style-language/schema/raw/master/csl-citation.json"}</w:instrText>
      </w:r>
      <w:r w:rsidR="00590160">
        <w:fldChar w:fldCharType="separate"/>
      </w:r>
      <w:r w:rsidR="00BF2AF7" w:rsidRPr="00BF2AF7">
        <w:rPr>
          <w:noProof/>
        </w:rPr>
        <w:t>[12]</w:t>
      </w:r>
      <w:r w:rsidR="00590160">
        <w:fldChar w:fldCharType="end"/>
      </w:r>
      <w:r w:rsidRPr="00917A41">
        <w:t xml:space="preserve">. </w:t>
      </w:r>
    </w:p>
    <w:p w14:paraId="311FF135" w14:textId="14ECA635" w:rsidR="001707D4" w:rsidRDefault="00917A41" w:rsidP="001707D4">
      <w:pPr>
        <w:pStyle w:val="MDPI31text"/>
      </w:pPr>
      <w:r>
        <w:t>The</w:t>
      </w:r>
      <w:r w:rsidR="005D56BB">
        <w:t xml:space="preserve"> investigation of the</w:t>
      </w:r>
      <w:r>
        <w:t xml:space="preserve"> </w:t>
      </w:r>
      <w:r w:rsidR="005D56BB">
        <w:t xml:space="preserve">influence of </w:t>
      </w:r>
      <w:r>
        <w:t>WPI</w:t>
      </w:r>
      <w:r w:rsidR="005D56BB">
        <w:t xml:space="preserve"> on different human cells is the first step in assessing its potential in </w:t>
      </w:r>
      <w:r w:rsidR="000377AE">
        <w:t>B</w:t>
      </w:r>
      <w:r w:rsidR="005D56BB">
        <w:t xml:space="preserve">TE. </w:t>
      </w:r>
      <w:r w:rsidR="00FA7264" w:rsidRPr="00917A41">
        <w:t xml:space="preserve">Douglas, et al. </w:t>
      </w:r>
      <w:r w:rsidR="00590160">
        <w:fldChar w:fldCharType="begin" w:fldLock="1"/>
      </w:r>
      <w:r w:rsidR="00BF2AF7">
        <w:instrText>ADDIN CSL_CITATION {"citationItems":[{"id":"ITEM-1","itemData":{"DOI":"10.3168/jds.2017-13119","ISSN":"15253198","PMID":"29128214","abstract":"Recently, milk-derived proteins have attracted attention for applications in the biomedical field such as tissue regeneration. Whey protein isolate (WPI), especially its main component β-lactoglobulin, can modulate immunity and acts as an antioxidant, antitumor, antiviral, and antibacterial agent. There are very few reports of the application of WPI in tissue engineering, especially in bone tissue engineering. In this study, we tested the influence of different concentrations of WPI on behavior of human osteoblast-like Saos-2 cells, human adipose tissue-derived stem cells (ASC), and human neonatal dermal fibroblasts (FIB). The positive effect on growth was apparent for Saos-2 cells and FIB but not for ASC. However, the expression of markers characteristic for early osteogenic cell differentiation [type-I collagen (COL1) and alkaline phosphatase (ALP)] as well as ALP activity, increased dose-dependently in ASC. Importantly, Saos-2 cells were able to deposit calcium in the presence of WPI, even in a proliferation medium without other supplements that support osteogenic cell differentiation. The results indicate that, depending on the cell type, WPI can act as an enhancer of cell proliferation and osteogenic differentiation. Therefore, enrichment of biomaterials for bone regeneration with WPI seems a promising approach, especially due to the low cost of WPI.","author":[{"dropping-particle":"","family":"Douglas","given":"Timothy E.L.","non-dropping-particle":"","parse-names":false,"suffix":""},{"dropping-particle":"","family":"Vandrovcová","given":"Marta","non-dropping-particle":"","parse-names":false,"suffix":""},{"dropping-particle":"","family":"Kročilová","given":"Nikola","non-dropping-particle":"","parse-names":false,"suffix":""},{"dropping-particle":"","family":"Keppler","given":"Julia K.","non-dropping-particle":"","parse-names":false,"suffix":""},{"dropping-particle":"","family":"Zárubová","given":"Jana","non-dropping-particle":"","parse-names":false,"suffix":""},{"dropping-particle":"","family":"Skirtach","given":"Andre G.","non-dropping-particle":"","parse-names":false,"suffix":""},{"dropping-particle":"","family":"Bačáková","given":"Lucie","non-dropping-particle":"","parse-names":false,"suffix":""}],"container-title":"Journal of Dairy Science","id":"ITEM-1","issue":"1","issued":{"date-parts":[["2018"]]},"page":"28-36","title":"Application of whey protein isolate in bone regeneration: Effects on growth and osteogenic differentiation of bone-forming cells","type":"article-journal","volume":"101"},"uris":["http://www.mendeley.com/documents/?uuid=584c1f5f-7410-4268-966b-978d1a6300e1"]}],"mendeley":{"formattedCitation":"[9]","plainTextFormattedCitation":"[9]","previouslyFormattedCitation":"[9]"},"properties":{"noteIndex":0},"schema":"https://github.com/citation-style-language/schema/raw/master/csl-citation.json"}</w:instrText>
      </w:r>
      <w:r w:rsidR="00590160">
        <w:fldChar w:fldCharType="separate"/>
      </w:r>
      <w:r w:rsidR="00BF2AF7" w:rsidRPr="00BF2AF7">
        <w:rPr>
          <w:noProof/>
        </w:rPr>
        <w:t>[9]</w:t>
      </w:r>
      <w:r w:rsidR="00590160">
        <w:fldChar w:fldCharType="end"/>
      </w:r>
      <w:r w:rsidR="00C0127D">
        <w:t xml:space="preserve"> </w:t>
      </w:r>
      <w:r w:rsidR="00FA7264" w:rsidRPr="00917A41">
        <w:t xml:space="preserve">tested </w:t>
      </w:r>
      <w:r w:rsidR="00BD4CF8" w:rsidRPr="00BD4CF8">
        <w:rPr>
          <w:color w:val="FF0000"/>
        </w:rPr>
        <w:t xml:space="preserve">the effect of </w:t>
      </w:r>
      <w:r w:rsidR="00FA7264" w:rsidRPr="00917A41">
        <w:t xml:space="preserve">different WPI concentrations on </w:t>
      </w:r>
      <w:r w:rsidR="00794A72" w:rsidRPr="00794A72">
        <w:rPr>
          <w:color w:val="FF0000"/>
        </w:rPr>
        <w:t>response of</w:t>
      </w:r>
      <w:r w:rsidR="00794A72">
        <w:t xml:space="preserve"> </w:t>
      </w:r>
      <w:r w:rsidR="00FA7264" w:rsidRPr="00917A41">
        <w:t>human osteoblast-like Saos-2 cells, human adi</w:t>
      </w:r>
      <w:r>
        <w:t>pose tissue-</w:t>
      </w:r>
      <w:r w:rsidR="00FA7264" w:rsidRPr="00917A41">
        <w:t>derived stem cells (A</w:t>
      </w:r>
      <w:r>
        <w:t>D</w:t>
      </w:r>
      <w:r w:rsidR="00FA7264" w:rsidRPr="00917A41">
        <w:t>SC</w:t>
      </w:r>
      <w:r>
        <w:t>s</w:t>
      </w:r>
      <w:r w:rsidR="00FA7264" w:rsidRPr="00917A41">
        <w:t>), and human neonatal dermal fibroblasts (FIB). From this study, in which cell adhesion and</w:t>
      </w:r>
      <w:r w:rsidR="00243DB9">
        <w:t xml:space="preserve"> proliferation, osteogenic </w:t>
      </w:r>
      <w:r w:rsidR="00FA7264" w:rsidRPr="00917A41">
        <w:t>differen</w:t>
      </w:r>
      <w:r w:rsidR="001707D4">
        <w:t xml:space="preserve">tiation, </w:t>
      </w:r>
      <w:r w:rsidR="00FA7264" w:rsidRPr="00917A41">
        <w:t>and c</w:t>
      </w:r>
      <w:r w:rsidR="00794A72">
        <w:t xml:space="preserve">alcium deposition were </w:t>
      </w:r>
      <w:r w:rsidR="00794A72" w:rsidRPr="00794A72">
        <w:rPr>
          <w:color w:val="FF0000"/>
        </w:rPr>
        <w:t>evaluated</w:t>
      </w:r>
      <w:r w:rsidR="00FA7264" w:rsidRPr="00917A41">
        <w:t xml:space="preserve"> and quantified, many positive results were achieved. With promising conclusions drawn on all three cell types</w:t>
      </w:r>
      <w:r w:rsidR="00794A72">
        <w:t>,</w:t>
      </w:r>
      <w:r w:rsidR="00FA7264" w:rsidRPr="00917A41">
        <w:t xml:space="preserve"> the most positive effects of WPI were seen on proliferation of Saos-2 </w:t>
      </w:r>
      <w:r w:rsidR="005D56BB">
        <w:t>osteoblast-like cells and fi</w:t>
      </w:r>
      <w:r w:rsidR="000377AE">
        <w:t>b</w:t>
      </w:r>
      <w:r w:rsidR="005D56BB">
        <w:t>roblasts</w:t>
      </w:r>
      <w:r w:rsidR="00FA7264" w:rsidRPr="00917A41">
        <w:t xml:space="preserve"> and the osteogenic differentiation of A</w:t>
      </w:r>
      <w:r w:rsidR="001707D4">
        <w:t>D</w:t>
      </w:r>
      <w:r w:rsidR="00FA7264" w:rsidRPr="00917A41">
        <w:t>SC</w:t>
      </w:r>
      <w:r w:rsidR="001707D4">
        <w:t>s</w:t>
      </w:r>
      <w:r w:rsidR="00FA7264" w:rsidRPr="00917A41">
        <w:t xml:space="preserve">. </w:t>
      </w:r>
      <w:proofErr w:type="gramStart"/>
      <w:r w:rsidR="005D56BB">
        <w:t>On the basis of</w:t>
      </w:r>
      <w:proofErr w:type="gramEnd"/>
      <w:r w:rsidR="00FA7264" w:rsidRPr="00917A41">
        <w:t xml:space="preserve"> this research</w:t>
      </w:r>
      <w:r w:rsidR="005D56BB">
        <w:t xml:space="preserve">, </w:t>
      </w:r>
      <w:r w:rsidR="00FA7264" w:rsidRPr="00917A41">
        <w:t>WPI was considered a promising component for hydrogels, specifically for bone tissue regeneration and</w:t>
      </w:r>
      <w:r w:rsidR="005D56BB">
        <w:t xml:space="preserve"> hence</w:t>
      </w:r>
      <w:r w:rsidR="00FA7264" w:rsidRPr="00917A41">
        <w:t xml:space="preserve"> subsequent research was </w:t>
      </w:r>
      <w:r w:rsidR="005D56BB">
        <w:t>performed</w:t>
      </w:r>
      <w:r w:rsidR="00FA7264" w:rsidRPr="00917A41">
        <w:t>.</w:t>
      </w:r>
      <w:r w:rsidR="001707D4">
        <w:t xml:space="preserve"> Moreover, t</w:t>
      </w:r>
      <w:r w:rsidR="001707D4" w:rsidRPr="001707D4">
        <w:t>o form a WPI hydrogel</w:t>
      </w:r>
      <w:r w:rsidR="00794A72">
        <w:t>,</w:t>
      </w:r>
      <w:r w:rsidR="001707D4" w:rsidRPr="001707D4">
        <w:t xml:space="preserve"> no chemical crosslinking agents are </w:t>
      </w:r>
      <w:r w:rsidR="001707D4" w:rsidRPr="00BD4CF8">
        <w:rPr>
          <w:color w:val="FF0000"/>
        </w:rPr>
        <w:t>required</w:t>
      </w:r>
      <w:r w:rsidR="00BD4CF8" w:rsidRPr="00BD4CF8">
        <w:rPr>
          <w:color w:val="FF0000"/>
        </w:rPr>
        <w:t>. This</w:t>
      </w:r>
      <w:r w:rsidR="005D56BB" w:rsidRPr="00BD4CF8">
        <w:rPr>
          <w:color w:val="FF0000"/>
        </w:rPr>
        <w:t xml:space="preserve"> </w:t>
      </w:r>
      <w:r w:rsidR="001707D4" w:rsidRPr="00BD4CF8">
        <w:rPr>
          <w:color w:val="FF0000"/>
        </w:rPr>
        <w:t>make</w:t>
      </w:r>
      <w:r w:rsidR="005D56BB" w:rsidRPr="00BD4CF8">
        <w:rPr>
          <w:color w:val="FF0000"/>
        </w:rPr>
        <w:t>s</w:t>
      </w:r>
      <w:r w:rsidR="001707D4" w:rsidRPr="00BD4CF8">
        <w:rPr>
          <w:color w:val="FF0000"/>
        </w:rPr>
        <w:t xml:space="preserve"> it</w:t>
      </w:r>
      <w:r w:rsidR="001707D4" w:rsidRPr="001707D4">
        <w:t xml:space="preserve"> very attractive for biomedical applications. Heat treatment of an aqueous solution of whey protein isolate </w:t>
      </w:r>
      <w:r w:rsidR="00794A72" w:rsidRPr="00794A72">
        <w:rPr>
          <w:color w:val="FF0000"/>
        </w:rPr>
        <w:t>(</w:t>
      </w:r>
      <w:r w:rsidR="001707D4" w:rsidRPr="001707D4">
        <w:t>above 60°C</w:t>
      </w:r>
      <w:r w:rsidR="00794A72" w:rsidRPr="00794A72">
        <w:rPr>
          <w:color w:val="FF0000"/>
        </w:rPr>
        <w:t>)</w:t>
      </w:r>
      <w:r w:rsidR="001707D4" w:rsidRPr="001707D4">
        <w:t xml:space="preserve"> results in unfolding of the proteins followed by the formation of </w:t>
      </w:r>
      <w:r w:rsidR="00BD4CF8" w:rsidRPr="00BD4CF8">
        <w:rPr>
          <w:color w:val="FF0000"/>
        </w:rPr>
        <w:t xml:space="preserve">interprotein </w:t>
      </w:r>
      <w:r w:rsidR="001707D4" w:rsidRPr="00BD4CF8">
        <w:rPr>
          <w:color w:val="FF0000"/>
        </w:rPr>
        <w:t>bonds, leading to</w:t>
      </w:r>
      <w:r w:rsidR="001707D4" w:rsidRPr="001707D4">
        <w:t xml:space="preserve"> the formation of a three-dimensional network filled by water i.e., a WPI hydrogel </w:t>
      </w:r>
      <w:r w:rsidR="00590160">
        <w:fldChar w:fldCharType="begin" w:fldLock="1"/>
      </w:r>
      <w:r w:rsidR="00BF2AF7">
        <w:instrText>ADDIN CSL_CITATION {"citationItems":[{"id":"ITEM-1","itemData":{"DOI":"10.1002/jbm.a.36754","ISSN":"15524965","PMID":"31298796","abstract":"The present work focuses on the development of novel multicomponent organic–inorganic hydrogel composites for bone tissue engineering. For the first time, combination of the organic components commonly used in food industry, namely whey protein isolate (WPI) and gelatin from bovine skin, as well as inorganic material commonly used as a major component of hydraulic bone cements, namely α-TCP in various concentrations (0–70 wt%) was proposed. The results showed that α-TCP underwent incomplete transformation to calcium-deficient hydroxyapatite (CDHA) during preparation process of the hydrogels. Microcomputer tomography showed inhomogeneous distribution of the calcium phosphate (CaP) phase in the resulting composites. Nevertheless, hydrogels containing 30–70 wt% α-TCP showed significantly improved mechanical properties. The values of Young's modulus and the stresses corresponding to compression of a sample by 50% increased almost linearly with increasing concentration of ceramic phase. Incomplete transformation of α-TCP to CDHA during preparation process of composites provides them high reactivity in simulated body fluid during 14-day incubation. Preliminary in vitro studies revealed that the WPI/gelatin/CaP composite hydrogels support the adhesion, spreading, and proliferation of human osteoblast-like MG-63 cells. The WPI/gelatin/CaP composite hydrogels obtained in this work showed great potential for the use in bone tissue engineering and regenerative medicine applications.","author":[{"dropping-particle":"","family":"Dziadek","given":"Michal","non-dropping-particle":"","parse-names":false,"suffix":""},{"dropping-particle":"","family":"Kudlackova","given":"Radmila","non-dropping-particle":"","parse-names":false,"suffix":""},{"dropping-particle":"","family":"Zima","given":"Aneta","non-dropping-particle":"","parse-names":false,"suffix":""},{"dropping-particle":"","family":"Slosarczyk","given":"Anna","non-dropping-particle":"","parse-names":false,"suffix":""},{"dropping-particle":"","family":"Ziabka","given":"Magdalena","non-dropping-particle":"","parse-names":false,"suffix":""},{"dropping-particle":"","family":"Jelen","given":"Piotr","non-dropping-particle":"","parse-names":false,"suffix":""},{"dropping-particle":"","family":"Shkarina","given":"Svetlana","non-dropping-particle":"","parse-names":false,"suffix":""},{"dropping-particle":"","family":"Cecilia","given":"Angelica","non-dropping-particle":"","parse-names":false,"suffix":""},{"dropping-particle":"","family":"Zuber","given":"Marcus","non-dropping-particle":"","parse-names":false,"suffix":""},{"dropping-particle":"","family":"Baumbach","given":"Tilo","non-dropping-particle":"","parse-names":false,"suffix":""},{"dropping-particle":"","family":"Surmeneva","given":"Maria A.","non-dropping-particle":"","parse-names":false,"suffix":""},{"dropping-particle":"","family":"Surmenev","given":"Roman A.","non-dropping-particle":"","parse-names":false,"suffix":""},{"dropping-particle":"","family":"Bacakova","given":"Lucie","non-dropping-particle":"","parse-names":false,"suffix":""},{"dropping-particle":"","family":"Cholewa-Kowalska","given":"Katarzyna","non-dropping-particle":"","parse-names":false,"suffix":""},{"dropping-particle":"","family":"Douglas","given":"Timothy E.L.","non-dropping-particle":"","parse-names":false,"suffix":""}],"container-title":"Journal of Biomedical Materials Research - Part A","id":"ITEM-1","issue":"11","issued":{"date-parts":[["2019"]]},"page":"2479-2491","title":"Novel multicomponent organic–inorganic WPI/gelatin/CaP hydrogel composites for bone tissue engineering","type":"article-journal","volume":"107"},"uris":["http://www.mendeley.com/documents/?uuid=4a4f46e8-3909-40ac-8f93-71e936dc561e"]}],"mendeley":{"formattedCitation":"[11]","plainTextFormattedCitation":"[11]","previouslyFormattedCitation":"[11]"},"properties":{"noteIndex":0},"schema":"https://github.com/citation-style-language/schema/raw/master/csl-citation.json"}</w:instrText>
      </w:r>
      <w:r w:rsidR="00590160">
        <w:fldChar w:fldCharType="separate"/>
      </w:r>
      <w:r w:rsidR="00BF2AF7" w:rsidRPr="00BF2AF7">
        <w:rPr>
          <w:noProof/>
        </w:rPr>
        <w:t>[11]</w:t>
      </w:r>
      <w:r w:rsidR="00590160">
        <w:fldChar w:fldCharType="end"/>
      </w:r>
      <w:r w:rsidR="001707D4" w:rsidRPr="001707D4">
        <w:t>.</w:t>
      </w:r>
      <w:r w:rsidR="007152E3">
        <w:rPr>
          <w:szCs w:val="20"/>
        </w:rPr>
        <w:t xml:space="preserve"> </w:t>
      </w:r>
      <w:r w:rsidR="00D27569" w:rsidRPr="001707D4">
        <w:rPr>
          <w:szCs w:val="20"/>
        </w:rPr>
        <w:t>Nevertheless,</w:t>
      </w:r>
      <w:r w:rsidR="00243DB9" w:rsidRPr="00243DB9">
        <w:rPr>
          <w:szCs w:val="20"/>
        </w:rPr>
        <w:t xml:space="preserve"> </w:t>
      </w:r>
      <w:r w:rsidR="00243DB9">
        <w:rPr>
          <w:szCs w:val="20"/>
        </w:rPr>
        <w:t>despite high cytocompatibility</w:t>
      </w:r>
      <w:r w:rsidR="001707D4" w:rsidRPr="001707D4">
        <w:rPr>
          <w:szCs w:val="20"/>
        </w:rPr>
        <w:t>, WPI hydrogels</w:t>
      </w:r>
      <w:r w:rsidR="00243DB9">
        <w:rPr>
          <w:szCs w:val="20"/>
        </w:rPr>
        <w:t xml:space="preserve"> </w:t>
      </w:r>
      <w:r w:rsidR="001707D4" w:rsidRPr="001707D4">
        <w:rPr>
          <w:szCs w:val="20"/>
        </w:rPr>
        <w:t>possessed relatively low mechanical properties in the context of BTE applications</w:t>
      </w:r>
      <w:r w:rsidR="005D56BB">
        <w:rPr>
          <w:szCs w:val="20"/>
        </w:rPr>
        <w:t xml:space="preserve"> compared to </w:t>
      </w:r>
      <w:r w:rsidR="005D56BB" w:rsidRPr="00D27569">
        <w:rPr>
          <w:color w:val="FF0000"/>
          <w:szCs w:val="20"/>
        </w:rPr>
        <w:t>ceramic biomaterials</w:t>
      </w:r>
      <w:r w:rsidR="00D27569" w:rsidRPr="00D27569">
        <w:rPr>
          <w:color w:val="FF0000"/>
          <w:szCs w:val="20"/>
        </w:rPr>
        <w:t xml:space="preserve"> such as calcium phosphate (</w:t>
      </w:r>
      <w:proofErr w:type="spellStart"/>
      <w:r w:rsidR="00D27569" w:rsidRPr="00D27569">
        <w:rPr>
          <w:color w:val="FF0000"/>
          <w:szCs w:val="20"/>
        </w:rPr>
        <w:t>CaP</w:t>
      </w:r>
      <w:proofErr w:type="spellEnd"/>
      <w:r w:rsidR="00D27569" w:rsidRPr="00D27569">
        <w:rPr>
          <w:color w:val="FF0000"/>
          <w:szCs w:val="20"/>
        </w:rPr>
        <w:t>)</w:t>
      </w:r>
      <w:r w:rsidR="005D56BB">
        <w:rPr>
          <w:szCs w:val="20"/>
        </w:rPr>
        <w:t xml:space="preserve">. These might be improved </w:t>
      </w:r>
      <w:r w:rsidR="001707D4" w:rsidRPr="001707D4">
        <w:rPr>
          <w:szCs w:val="20"/>
        </w:rPr>
        <w:t xml:space="preserve">by </w:t>
      </w:r>
      <w:proofErr w:type="gramStart"/>
      <w:r w:rsidR="001707D4" w:rsidRPr="001707D4">
        <w:rPr>
          <w:szCs w:val="20"/>
        </w:rPr>
        <w:t>introduction</w:t>
      </w:r>
      <w:proofErr w:type="gramEnd"/>
      <w:r w:rsidR="001707D4" w:rsidRPr="001707D4">
        <w:rPr>
          <w:szCs w:val="20"/>
        </w:rPr>
        <w:t xml:space="preserve"> of ceramic phases. </w:t>
      </w:r>
      <w:r w:rsidR="001707D4" w:rsidRPr="001707D4">
        <w:t>An example is a WPI/gelatin/</w:t>
      </w:r>
      <w:proofErr w:type="spellStart"/>
      <w:r w:rsidR="001707D4" w:rsidRPr="001707D4">
        <w:t>CaP</w:t>
      </w:r>
      <w:proofErr w:type="spellEnd"/>
      <w:r w:rsidR="001707D4" w:rsidRPr="001707D4">
        <w:t xml:space="preserve"> composite hydrogel prepared by Dziadek, et al</w:t>
      </w:r>
      <w:r w:rsidR="00794A72">
        <w:t>.</w:t>
      </w:r>
      <w:r w:rsidR="000B25AF">
        <w:t xml:space="preserve"> </w:t>
      </w:r>
      <w:r w:rsidR="00590160">
        <w:fldChar w:fldCharType="begin" w:fldLock="1"/>
      </w:r>
      <w:r w:rsidR="00BF2AF7">
        <w:instrText>ADDIN CSL_CITATION {"citationItems":[{"id":"ITEM-1","itemData":{"DOI":"10.1002/jbm.a.36754","ISSN":"15524965","PMID":"31298796","abstract":"The present work focuses on the development of novel multicomponent organic–inorganic hydrogel composites for bone tissue engineering. For the first time, combination of the organic components commonly used in food industry, namely whey protein isolate (WPI) and gelatin from bovine skin, as well as inorganic material commonly used as a major component of hydraulic bone cements, namely α-TCP in various concentrations (0–70 wt%) was proposed. The results showed that α-TCP underwent incomplete transformation to calcium-deficient hydroxyapatite (CDHA) during preparation process of the hydrogels. Microcomputer tomography showed inhomogeneous distribution of the calcium phosphate (CaP) phase in the resulting composites. Nevertheless, hydrogels containing 30–70 wt% α-TCP showed significantly improved mechanical properties. The values of Young's modulus and the stresses corresponding to compression of a sample by 50% increased almost linearly with increasing concentration of ceramic phase. Incomplete transformation of α-TCP to CDHA during preparation process of composites provides them high reactivity in simulated body fluid during 14-day incubation. Preliminary in vitro studies revealed that the WPI/gelatin/CaP composite hydrogels support the adhesion, spreading, and proliferation of human osteoblast-like MG-63 cells. The WPI/gelatin/CaP composite hydrogels obtained in this work showed great potential for the use in bone tissue engineering and regenerative medicine applications.","author":[{"dropping-particle":"","family":"Dziadek","given":"Michal","non-dropping-particle":"","parse-names":false,"suffix":""},{"dropping-particle":"","family":"Kudlackova","given":"Radmila","non-dropping-particle":"","parse-names":false,"suffix":""},{"dropping-particle":"","family":"Zima","given":"Aneta","non-dropping-particle":"","parse-names":false,"suffix":""},{"dropping-particle":"","family":"Slosarczyk","given":"Anna","non-dropping-particle":"","parse-names":false,"suffix":""},{"dropping-particle":"","family":"Ziabka","given":"Magdalena","non-dropping-particle":"","parse-names":false,"suffix":""},{"dropping-particle":"","family":"Jelen","given":"Piotr","non-dropping-particle":"","parse-names":false,"suffix":""},{"dropping-particle":"","family":"Shkarina","given":"Svetlana","non-dropping-particle":"","parse-names":false,"suffix":""},{"dropping-particle":"","family":"Cecilia","given":"Angelica","non-dropping-particle":"","parse-names":false,"suffix":""},{"dropping-particle":"","family":"Zuber","given":"Marcus","non-dropping-particle":"","parse-names":false,"suffix":""},{"dropping-particle":"","family":"Baumbach","given":"Tilo","non-dropping-particle":"","parse-names":false,"suffix":""},{"dropping-particle":"","family":"Surmeneva","given":"Maria A.","non-dropping-particle":"","parse-names":false,"suffix":""},{"dropping-particle":"","family":"Surmenev","given":"Roman A.","non-dropping-particle":"","parse-names":false,"suffix":""},{"dropping-particle":"","family":"Bacakova","given":"Lucie","non-dropping-particle":"","parse-names":false,"suffix":""},{"dropping-particle":"","family":"Cholewa-Kowalska","given":"Katarzyna","non-dropping-particle":"","parse-names":false,"suffix":""},{"dropping-particle":"","family":"Douglas","given":"Timothy E.L.","non-dropping-particle":"","parse-names":false,"suffix":""}],"container-title":"Journal of Biomedical Materials Research - Part A","id":"ITEM-1","issue":"11","issued":{"date-parts":[["2019"]]},"page":"2479-2491","title":"Novel multicomponent organic–inorganic WPI/gelatin/CaP hydrogel composites for bone tissue engineering","type":"article-journal","volume":"107"},"uris":["http://www.mendeley.com/documents/?uuid=4a4f46e8-3909-40ac-8f93-71e936dc561e"]}],"mendeley":{"formattedCitation":"[11]","plainTextFormattedCitation":"[11]","previouslyFormattedCitation":"[11]"},"properties":{"noteIndex":0},"schema":"https://github.com/citation-style-language/schema/raw/master/csl-citation.json"}</w:instrText>
      </w:r>
      <w:r w:rsidR="00590160">
        <w:fldChar w:fldCharType="separate"/>
      </w:r>
      <w:r w:rsidR="00BF2AF7" w:rsidRPr="00BF2AF7">
        <w:rPr>
          <w:noProof/>
        </w:rPr>
        <w:t>[11]</w:t>
      </w:r>
      <w:r w:rsidR="00590160">
        <w:fldChar w:fldCharType="end"/>
      </w:r>
      <w:r w:rsidR="001707D4" w:rsidRPr="001707D4">
        <w:t xml:space="preserve">. This </w:t>
      </w:r>
      <w:r w:rsidR="00794A72" w:rsidRPr="001707D4">
        <w:t xml:space="preserve">composite </w:t>
      </w:r>
      <w:r w:rsidR="001707D4" w:rsidRPr="001707D4">
        <w:t>hydrogel aimed to improve the mechanical pro</w:t>
      </w:r>
      <w:r w:rsidR="00794A72">
        <w:t xml:space="preserve">perties and biological </w:t>
      </w:r>
      <w:r w:rsidR="00794A72" w:rsidRPr="00794A72">
        <w:rPr>
          <w:color w:val="FF0000"/>
        </w:rPr>
        <w:t>features</w:t>
      </w:r>
      <w:r w:rsidR="001707D4" w:rsidRPr="001707D4">
        <w:t xml:space="preserve"> of WPI hydro</w:t>
      </w:r>
      <w:r w:rsidR="00CF45AB">
        <w:t xml:space="preserve">gels </w:t>
      </w:r>
      <w:r w:rsidR="00CF45AB" w:rsidRPr="00CF45AB">
        <w:rPr>
          <w:color w:val="FF0000"/>
        </w:rPr>
        <w:t>for</w:t>
      </w:r>
      <w:r w:rsidR="001707D4" w:rsidRPr="001707D4">
        <w:t xml:space="preserve"> application</w:t>
      </w:r>
      <w:r w:rsidR="00D14E1C">
        <w:t>s</w:t>
      </w:r>
      <w:r w:rsidR="001707D4" w:rsidRPr="001707D4">
        <w:t xml:space="preserve"> in BTE. A combination of two techniques was used to produce this hydro</w:t>
      </w:r>
      <w:r w:rsidR="00457573">
        <w:t>gel.</w:t>
      </w:r>
      <w:r w:rsidR="00CF45AB">
        <w:t xml:space="preserve"> </w:t>
      </w:r>
      <w:r w:rsidR="00D14E1C">
        <w:rPr>
          <w:color w:val="FF0000"/>
        </w:rPr>
        <w:t>The f</w:t>
      </w:r>
      <w:r w:rsidR="00CF45AB" w:rsidRPr="00CF45AB">
        <w:rPr>
          <w:color w:val="FF0000"/>
        </w:rPr>
        <w:t>irst</w:t>
      </w:r>
      <w:r w:rsidR="001707D4" w:rsidRPr="001707D4">
        <w:t xml:space="preserve"> </w:t>
      </w:r>
      <w:r w:rsidR="00CF45AB" w:rsidRPr="00CF45AB">
        <w:rPr>
          <w:color w:val="FF0000"/>
        </w:rPr>
        <w:t>includ</w:t>
      </w:r>
      <w:r w:rsidR="00457573">
        <w:rPr>
          <w:color w:val="FF0000"/>
        </w:rPr>
        <w:t>es</w:t>
      </w:r>
      <w:r w:rsidR="00D14E1C">
        <w:rPr>
          <w:color w:val="FF0000"/>
        </w:rPr>
        <w:t xml:space="preserve"> a</w:t>
      </w:r>
      <w:r w:rsidR="00CF45AB" w:rsidRPr="00CF45AB">
        <w:rPr>
          <w:color w:val="FF0000"/>
        </w:rPr>
        <w:t xml:space="preserve"> </w:t>
      </w:r>
      <w:r w:rsidR="001707D4" w:rsidRPr="00CF45AB">
        <w:rPr>
          <w:color w:val="FF0000"/>
        </w:rPr>
        <w:t>combin</w:t>
      </w:r>
      <w:r w:rsidR="00CF45AB" w:rsidRPr="00CF45AB">
        <w:rPr>
          <w:color w:val="FF0000"/>
        </w:rPr>
        <w:t>ation</w:t>
      </w:r>
      <w:r w:rsidR="00CF45AB">
        <w:t xml:space="preserve"> </w:t>
      </w:r>
      <w:r w:rsidR="00CF45AB" w:rsidRPr="00CF45AB">
        <w:rPr>
          <w:color w:val="FF0000"/>
        </w:rPr>
        <w:t>of</w:t>
      </w:r>
      <w:r w:rsidR="001707D4" w:rsidRPr="00CF45AB">
        <w:rPr>
          <w:color w:val="FF0000"/>
        </w:rPr>
        <w:t xml:space="preserve"> various</w:t>
      </w:r>
      <w:r w:rsidR="001707D4" w:rsidRPr="001707D4">
        <w:t xml:space="preserve"> materials to obtain multicomponent hy</w:t>
      </w:r>
      <w:r w:rsidR="00CF45AB">
        <w:t>drogels</w:t>
      </w:r>
      <w:r w:rsidR="00D14E1C">
        <w:t>.</w:t>
      </w:r>
      <w:r w:rsidR="00CF45AB">
        <w:t xml:space="preserve"> </w:t>
      </w:r>
      <w:r w:rsidR="00D14E1C">
        <w:rPr>
          <w:color w:val="FF0000"/>
        </w:rPr>
        <w:t>The sec</w:t>
      </w:r>
      <w:r w:rsidR="00CF45AB" w:rsidRPr="00CF45AB">
        <w:rPr>
          <w:color w:val="FF0000"/>
        </w:rPr>
        <w:t xml:space="preserve">ond </w:t>
      </w:r>
      <w:r w:rsidR="00D14E1C">
        <w:rPr>
          <w:color w:val="FF0000"/>
        </w:rPr>
        <w:t>is the modification of the</w:t>
      </w:r>
      <w:r w:rsidR="001707D4" w:rsidRPr="001707D4">
        <w:t xml:space="preserve"> hydrogel matrix with ceramic particles. This led to the hydrogel consisting of WPI as </w:t>
      </w:r>
      <w:r w:rsidR="00D14E1C" w:rsidRPr="00D14E1C">
        <w:rPr>
          <w:color w:val="FF0000"/>
        </w:rPr>
        <w:t>the</w:t>
      </w:r>
      <w:r w:rsidR="001707D4" w:rsidRPr="001707D4">
        <w:t xml:space="preserve"> main hydrogel matrix component (for the first time), gelatin as a matrix modifier, and alpha-tricalcium phosphate (α-TCP) as </w:t>
      </w:r>
      <w:r w:rsidR="00D27569" w:rsidRPr="00D27569">
        <w:rPr>
          <w:color w:val="FF0000"/>
        </w:rPr>
        <w:t xml:space="preserve">a </w:t>
      </w:r>
      <w:r w:rsidR="001707D4" w:rsidRPr="001707D4">
        <w:t>ceramic filler. It was discovered from this research that increasing the α-TCP concentration linearly improved the mechanical properties of the composite in compar</w:t>
      </w:r>
      <w:r w:rsidR="00CB198A">
        <w:t>ison to control hydrogels</w:t>
      </w:r>
      <w:r w:rsidR="001707D4" w:rsidRPr="001707D4">
        <w:t xml:space="preserve">. </w:t>
      </w:r>
    </w:p>
    <w:p w14:paraId="31753B79" w14:textId="5CEF079C" w:rsidR="001707D4" w:rsidRDefault="001707D4" w:rsidP="005D56BB">
      <w:pPr>
        <w:pStyle w:val="MDPI31text"/>
      </w:pPr>
      <w:r w:rsidRPr="001707D4">
        <w:t>Another example</w:t>
      </w:r>
      <w:r w:rsidR="000F370B">
        <w:t xml:space="preserve"> is WPI and aragonite </w:t>
      </w:r>
      <w:r w:rsidR="005D56BB">
        <w:t xml:space="preserve">composite </w:t>
      </w:r>
      <w:r w:rsidR="000F370B">
        <w:t>hydrogel</w:t>
      </w:r>
      <w:r w:rsidR="005D56BB">
        <w:t xml:space="preserve"> biomaterial</w:t>
      </w:r>
      <w:r w:rsidR="000F370B">
        <w:t>s. A</w:t>
      </w:r>
      <w:r w:rsidRPr="001707D4">
        <w:t>ragonite is a form of calcium carbonate</w:t>
      </w:r>
      <w:r w:rsidR="00CF45AB">
        <w:t>,</w:t>
      </w:r>
      <w:r w:rsidRPr="001707D4">
        <w:t xml:space="preserve"> which </w:t>
      </w:r>
      <w:r w:rsidR="005D56BB">
        <w:t>occurs</w:t>
      </w:r>
      <w:r w:rsidRPr="001707D4">
        <w:t xml:space="preserve"> naturally </w:t>
      </w:r>
      <w:r w:rsidR="005D56BB">
        <w:t xml:space="preserve">in </w:t>
      </w:r>
      <w:r w:rsidRPr="001707D4">
        <w:t xml:space="preserve">marine coral. The preparation of these WPI/aragonite hydrogels </w:t>
      </w:r>
      <w:r w:rsidR="00D27569">
        <w:t>involved incorporation of</w:t>
      </w:r>
      <w:r w:rsidRPr="001707D4">
        <w:t xml:space="preserve"> synthetic aragonite rod-like powder in three di</w:t>
      </w:r>
      <w:r w:rsidR="00B57A19">
        <w:t>fferent concentrations 100 mg/mL, 200 mg/mL, and 300 mg/</w:t>
      </w:r>
      <w:proofErr w:type="spellStart"/>
      <w:r w:rsidR="00B57A19">
        <w:t>mL</w:t>
      </w:r>
      <w:r w:rsidRPr="001707D4">
        <w:t>.</w:t>
      </w:r>
      <w:proofErr w:type="spellEnd"/>
      <w:r w:rsidRPr="001707D4">
        <w:t xml:space="preserve"> It was found that as </w:t>
      </w:r>
      <w:r w:rsidR="00D27569">
        <w:t xml:space="preserve">the </w:t>
      </w:r>
      <w:r w:rsidRPr="001707D4">
        <w:t>concentration of aragonite increased, the composites swelled more and released more protein under physiologically relevant degrad</w:t>
      </w:r>
      <w:r w:rsidR="00EA3F39">
        <w:t>ation</w:t>
      </w:r>
      <w:r w:rsidRPr="001707D4">
        <w:t xml:space="preserve"> conditions. Mechanical strength did increase due to the addition of aragonite</w:t>
      </w:r>
      <w:r w:rsidR="00CF45AB">
        <w:t>,</w:t>
      </w:r>
      <w:r w:rsidRPr="001707D4">
        <w:t xml:space="preserve"> howev</w:t>
      </w:r>
      <w:r w:rsidR="00CF45AB">
        <w:t xml:space="preserve">er this was not a linear </w:t>
      </w:r>
      <w:r w:rsidR="00CF45AB" w:rsidRPr="00D27569">
        <w:rPr>
          <w:color w:val="FF0000"/>
        </w:rPr>
        <w:t>trend</w:t>
      </w:r>
      <w:r w:rsidR="00D27569" w:rsidRPr="00D27569">
        <w:rPr>
          <w:color w:val="FF0000"/>
        </w:rPr>
        <w:t xml:space="preserve">; the increase was only significant for </w:t>
      </w:r>
      <w:r w:rsidRPr="00D27569">
        <w:rPr>
          <w:color w:val="FF0000"/>
        </w:rPr>
        <w:t>th</w:t>
      </w:r>
      <w:r w:rsidR="00B57A19" w:rsidRPr="00D27569">
        <w:rPr>
          <w:color w:val="FF0000"/>
        </w:rPr>
        <w:t>e</w:t>
      </w:r>
      <w:r w:rsidR="00B57A19">
        <w:t xml:space="preserve"> 300 mg/ml hydrogel composite </w:t>
      </w:r>
      <w:r w:rsidR="00590160">
        <w:fldChar w:fldCharType="begin" w:fldLock="1"/>
      </w:r>
      <w:r w:rsidR="00BF2AF7">
        <w:instrText>ADDIN CSL_CITATION {"citationItems":[{"id":"ITEM-1","itemData":{"DOI":"10.1016/j.matdes.2019.108408","ISSN":"18734197","abstract":"This work explores novel biocomposite hydrogels fabricated using 40% (wt/vol) solution of whey protein isolate (WPI, from the food industry) mixed with increasing concentrations of synthetic aragonite rod-like powder of 0, 100, 200 and 300 mg/ml (named WPI0, WPI100, WPI200 and WPI300). FTIR results showed that aragonite was successfully incorporated into the WPI hydrogel network. SEM and micro-CT investigations revealed that aragonite was mainly concentrated near the edges of the composite samples, except in WPI300, which had homogeneous aragonite distribution. The pore diameters ranged from 18 to 778 μm while averaged pore size was the lowest for WPI0 at 30 μm and highest for WPI200 at 103 μm. The mean compression modulus was highest for WPI300 at 3.16 MPa. After 28 days in physiological conditions WPI300 had maximum mean swelling of 4.3% and there was the highest degradation rate for WPI200 and WPI300 and lowest for WPI100 and WPI0. The osteoblast-like MG63 cell metabolic and alkaline phosphatase activities in direct contact experiments with composites increased with increasing aragonite content over 3 weeks. Moreover, the degradation products of these composites were non-cytotoxic and led to mineral-like deposits in extracellular matrix. These WPI-aragonite biocomposite hydrogels are potent candidates for bone repair applications.","author":[{"dropping-particle":"","family":"Gupta","given":"Dhanak","non-dropping-particle":"","parse-names":false,"suffix":""},{"dropping-particle":"","family":"Kocot","given":"Magdalena","non-dropping-particle":"","parse-names":false,"suffix":""},{"dropping-particle":"","family":"Tryba","given":"Anna Maria","non-dropping-particle":"","parse-names":false,"suffix":""},{"dropping-particle":"","family":"Serafim","given":"Andrada","non-dropping-particle":"","parse-names":false,"suffix":""},{"dropping-particle":"","family":"Stancu","given":"Izabela C.","non-dropping-particle":"","parse-names":false,"suffix":""},{"dropping-particle":"","family":"Jaegermann","given":"Zbigniew","non-dropping-particle":"","parse-names":false,"suffix":""},{"dropping-particle":"","family":"Pamuła","given":"Elżbieta","non-dropping-particle":"","parse-names":false,"suffix":""},{"dropping-particle":"","family":"Reilly","given":"Gwendolen C.","non-dropping-particle":"","parse-names":false,"suffix":""},{"dropping-particle":"","family":"Douglas","given":"Timothy E.L.","non-dropping-particle":"","parse-names":false,"suffix":""}],"container-title":"Materials and Design","id":"ITEM-1","issued":{"date-parts":[["2020"]]},"title":"Novel naturally derived whey protein isolate and aragonite biocomposite hydrogels have potential for bone regeneration","type":"article-journal","volume":"188"},"uris":["http://www.mendeley.com/documents/?uuid=533b2d15-5f68-4ec3-8400-77edeb443ac8"]}],"mendeley":{"formattedCitation":"[10]","plainTextFormattedCitation":"[10]","previouslyFormattedCitation":"[10]"},"properties":{"noteIndex":0},"schema":"https://github.com/citation-style-language/schema/raw/master/csl-citation.json"}</w:instrText>
      </w:r>
      <w:r w:rsidR="00590160">
        <w:fldChar w:fldCharType="separate"/>
      </w:r>
      <w:r w:rsidR="00BF2AF7" w:rsidRPr="00BF2AF7">
        <w:rPr>
          <w:noProof/>
        </w:rPr>
        <w:t>[10]</w:t>
      </w:r>
      <w:r w:rsidR="00590160">
        <w:fldChar w:fldCharType="end"/>
      </w:r>
      <w:r w:rsidRPr="001707D4">
        <w:t xml:space="preserve">. </w:t>
      </w:r>
    </w:p>
    <w:p w14:paraId="797753CA" w14:textId="506E9848" w:rsidR="00FA7264" w:rsidRPr="00B93779" w:rsidRDefault="00CB198A" w:rsidP="00917A41">
      <w:pPr>
        <w:pStyle w:val="MDPI31text"/>
        <w:rPr>
          <w:color w:val="FF0000"/>
          <w:szCs w:val="20"/>
        </w:rPr>
      </w:pPr>
      <w:proofErr w:type="gramStart"/>
      <w:r>
        <w:t xml:space="preserve">Taking into </w:t>
      </w:r>
      <w:r w:rsidR="00B57A19" w:rsidRPr="00D27569">
        <w:rPr>
          <w:color w:val="FF0000"/>
        </w:rPr>
        <w:t>account</w:t>
      </w:r>
      <w:proofErr w:type="gramEnd"/>
      <w:r w:rsidR="00B57A19" w:rsidRPr="00D27569">
        <w:rPr>
          <w:color w:val="FF0000"/>
        </w:rPr>
        <w:t xml:space="preserve"> </w:t>
      </w:r>
      <w:r w:rsidR="00D27569" w:rsidRPr="00D27569">
        <w:rPr>
          <w:color w:val="FF0000"/>
        </w:rPr>
        <w:t>the afore</w:t>
      </w:r>
      <w:r w:rsidR="00B57A19" w:rsidRPr="00D27569">
        <w:rPr>
          <w:color w:val="FF0000"/>
        </w:rPr>
        <w:t>mentioned results</w:t>
      </w:r>
      <w:r>
        <w:t xml:space="preserve"> associated with the use of </w:t>
      </w:r>
      <w:proofErr w:type="spellStart"/>
      <w:r>
        <w:t>CaP</w:t>
      </w:r>
      <w:proofErr w:type="spellEnd"/>
      <w:r>
        <w:t xml:space="preserve"> and aragonite, </w:t>
      </w:r>
      <w:r w:rsidR="00EA3F39">
        <w:t>it was</w:t>
      </w:r>
      <w:r>
        <w:t xml:space="preserve"> decided to develop WPI hydrogel</w:t>
      </w:r>
      <w:r w:rsidR="00EA3F39">
        <w:t xml:space="preserve"> biomaterial</w:t>
      </w:r>
      <w:r>
        <w:t xml:space="preserve">s enriched with </w:t>
      </w:r>
      <w:r w:rsidR="00EA3F39">
        <w:t>an</w:t>
      </w:r>
      <w:r>
        <w:t>other ceramic phase, namely calcium silicate (CaSiO</w:t>
      </w:r>
      <w:r>
        <w:rPr>
          <w:vertAlign w:val="subscript"/>
        </w:rPr>
        <w:t>3</w:t>
      </w:r>
      <w:r>
        <w:t>).</w:t>
      </w:r>
      <w:r w:rsidR="00B57A19">
        <w:t xml:space="preserve"> </w:t>
      </w:r>
      <w:r w:rsidR="00CF45AB" w:rsidRPr="00CF45AB">
        <w:rPr>
          <w:color w:val="FF0000"/>
        </w:rPr>
        <w:t>CaSiO</w:t>
      </w:r>
      <w:r w:rsidR="00CF45AB" w:rsidRPr="00CF45AB">
        <w:rPr>
          <w:color w:val="FF0000"/>
          <w:vertAlign w:val="subscript"/>
        </w:rPr>
        <w:t>3</w:t>
      </w:r>
      <w:r w:rsidR="00782E71">
        <w:t xml:space="preserve"> </w:t>
      </w:r>
      <w:proofErr w:type="spellStart"/>
      <w:r w:rsidR="00782E71">
        <w:t>bioceramics</w:t>
      </w:r>
      <w:proofErr w:type="spellEnd"/>
      <w:r w:rsidR="00782E71">
        <w:t xml:space="preserve"> were used in this study due to their beneficial properties in the context of bone tissue as both calcium (Ca) and silic</w:t>
      </w:r>
      <w:r w:rsidR="00EA3F39">
        <w:t>on</w:t>
      </w:r>
      <w:r w:rsidR="00782E71">
        <w:t xml:space="preserve"> (Si) ions being involved in ma</w:t>
      </w:r>
      <w:r w:rsidR="00CF45AB">
        <w:t xml:space="preserve">ny biological processes. </w:t>
      </w:r>
      <w:r w:rsidR="00CF45AB" w:rsidRPr="00CF45AB">
        <w:rPr>
          <w:color w:val="FF0000"/>
        </w:rPr>
        <w:t>Ca</w:t>
      </w:r>
      <w:r w:rsidR="00782E71">
        <w:t xml:space="preserve"> is essential in bo</w:t>
      </w:r>
      <w:r w:rsidR="007D5956">
        <w:t>ne growth and blood vessels</w:t>
      </w:r>
      <w:r w:rsidR="00CF45AB">
        <w:t>,</w:t>
      </w:r>
      <w:r w:rsidR="007D5956">
        <w:t xml:space="preserve"> and moreover</w:t>
      </w:r>
      <w:r w:rsidR="00782E71">
        <w:t xml:space="preserve"> </w:t>
      </w:r>
      <w:r w:rsidR="00894061">
        <w:t>favors</w:t>
      </w:r>
      <w:r w:rsidR="00782E71">
        <w:t xml:space="preserve"> osteo</w:t>
      </w:r>
      <w:r w:rsidR="00894061">
        <w:t>blast proliferation, differentiatio</w:t>
      </w:r>
      <w:r w:rsidR="00CF45AB">
        <w:t xml:space="preserve">n, and ECM mineralization. </w:t>
      </w:r>
      <w:r w:rsidR="00CF45AB" w:rsidRPr="00CF45AB">
        <w:rPr>
          <w:color w:val="FF0000"/>
        </w:rPr>
        <w:t>Si</w:t>
      </w:r>
      <w:r w:rsidR="00894061">
        <w:t xml:space="preserve"> is extremely important in the calcification of bone</w:t>
      </w:r>
      <w:r w:rsidR="00CF45AB">
        <w:t>,</w:t>
      </w:r>
      <w:r w:rsidR="00894061">
        <w:t xml:space="preserve"> specifically </w:t>
      </w:r>
      <w:r w:rsidR="00CF45AB" w:rsidRPr="00CF45AB">
        <w:rPr>
          <w:color w:val="FF0000"/>
        </w:rPr>
        <w:t>in</w:t>
      </w:r>
      <w:r w:rsidR="00CF45AB">
        <w:t xml:space="preserve"> </w:t>
      </w:r>
      <w:r w:rsidR="00894061">
        <w:t xml:space="preserve">the metabolic process. </w:t>
      </w:r>
      <w:r w:rsidR="000F370B">
        <w:t>Furthermore</w:t>
      </w:r>
      <w:r w:rsidR="00894061">
        <w:t xml:space="preserve">, Si can help to enhance bone density and </w:t>
      </w:r>
      <w:r w:rsidR="000F370B">
        <w:t>inhibit</w:t>
      </w:r>
      <w:r w:rsidR="00894061">
        <w:t xml:space="preserve"> osteoporosis</w:t>
      </w:r>
      <w:r w:rsidR="00DE7030">
        <w:t xml:space="preserve"> </w:t>
      </w:r>
      <w:r w:rsidR="00590160">
        <w:fldChar w:fldCharType="begin" w:fldLock="1"/>
      </w:r>
      <w:r w:rsidR="00BF2AF7">
        <w:instrText>ADDIN CSL_CITATION {"citationItems":[{"id":"ITEM-1","itemData":{"DOI":"10.1111/ijac.13577","ISSN":"17447402","abstract":"Calcium (Ca) and silica (Si) ions have attracted intense interest in biomedical applications. The two ions are directly involved in many biological processes; for instance, Ca plays a key role in regulating cellular responses to bioceramics, promoting cell growth, and differentiation into osteoblasts. Si plays a significant role in bone calcification and is helpful for bone density improvement and inhibiting osteoporosis. Calcium silicate ceramics including a large group of trace metal containing calcium silicate-based compounds are involved in biomedical applications such as repairing hard tissue texture, bone scaffolds, bone cements, or implant coatings. The aim of the study is to provide a comprehensive overview of developments in research on calcium silicate-based ceramics, such as wollastonite (CaSiO3), diopside (CaMgSi2O6), akermanite (Ca2MgSi2O7), bredigite (Ca7Mg(SiO4)4), merwinite (Ca3MgSi2O8), monticellite (CaMgSiO4), hardystonite (Ca2Zn(Si2O7), and baghdadite (Ca3ZrSi2O9), including degradation, apatite mineralization, and mechanical properties. Finally, the biological in vitro and in vivo presentation for bone tissue repair are summarized, which show promise with regard to application of calcium silicate-based ceramics as bone repair and replacement materials.","author":[{"dropping-particle":"","family":"Srinath","given":"Palakurthy","non-dropping-particle":"","parse-names":false,"suffix":""},{"dropping-particle":"","family":"Abdul Azeem","given":"P.","non-dropping-particle":"","parse-names":false,"suffix":""},{"dropping-particle":"","family":"Venugopal Reddy","given":"K.","non-dropping-particle":"","parse-names":false,"suffix":""}],"container-title":"International Journal of Applied Ceramic Technology","id":"ITEM-1","issue":"5","issued":{"date-parts":[["2020"]]},"page":"2450-2464","title":"Review on calcium silicate-based bioceramics in bone tissue engineering","type":"article-journal","volume":"17"},"uris":["http://www.mendeley.com/documents/?uuid=54e62db5-5f92-44fe-8344-6d818a9aaac7"]},{"id":"ITEM-2","itemData":{"DOI":"10.1016/j.ceramint.2023.03.063","ISSN":"02728842","abstract":"As the main means of treating bone defects, bone grafts are in high demand. Recently, the development of suitable bone graft replacement materials has received significant research attention because of the drawbacks of autologous and allogeneic bone grafts. The applications of ceramic bone graft materials, such as calcium phosphate, calcium sulfate, and hydroxyapatite, are limited by various factors. Calcium silicate,a new bone graft material, exhibits high biocompatibility and osteoinductivity. This paper summarizes the main methods for synthesizing calcium silicate and compares their advantages and disadvantages in detail. The mechanical and antimicrobial properties of calcium silicate can be improved to fulfil the biological and mechanical requirements of bone graft materials by adding materials such as B2O3, SiO2, Ag, Zn, Ti, and chitosan. Recent research progress in calcium silicate ceramics in preliminary clinical applications as well as 3D printing applications is also reviewed, which provide the impetus for the clinical application of calcium silicate ceramics. Finally, the article suggests future directions for the development of calcium silicate-based materials and offer prospects for their application as bone repair and replacement materials.","author":[{"dropping-particle":"","family":"Liu","given":"Zhihua","non-dropping-particle":"","parse-names":false,"suffix":""},{"dropping-particle":"","family":"He","given":"Xiaoyu","non-dropping-particle":"","parse-names":false,"suffix":""},{"dropping-particle":"","family":"Chen","given":"Shupeng","non-dropping-particle":"","parse-names":false,"suffix":""},{"dropping-particle":"","family":"Yu","given":"Haiming","non-dropping-particle":"","parse-names":false,"suffix":""}],"container-title":"Ceramics International","id":"ITEM-2","issue":"11","issued":{"date-parts":[["2023"]]},"page":"19355-19363","publisher":"Elsevier Ltd","title":"Advances in the use of calcium silicate-based materials in bone tissue engineering","type":"article-journal","volume":"49"},"uris":["http://www.mendeley.com/documents/?uuid=d6ac9d31-2ca8-4839-96a4-d76856b40f82"]},{"id":"ITEM-3","itemData":{"DOI":"10.1002/jbm.a.36925","ISSN":"15524965","PMID":"32170908","abstract":"Bone is a self-engineered structural component of the human body with multifaceted mechanical strength, which provides indomitable support to the effective functioning of the human body. It is indispensable to find a suitable biomaterial for substituting the bone as the bone substitute material requirement is very high due to the rate of bone fracture and infection lead to osteoporosis in human beings increases rapidly. It is not an easy task to design a material with good apatite deposition ability, a faster rate of dissolution, superior resorbability, high mechanical strength, and significant bactericidal activity. Since the synthetic hydroxyapatite was not able to achieve the dahlite phase of hydroxyapatite (natural bone mineral phase), silicates emerged as an alternate biomaterial to meet the need for bone graft substitutes. All silicates do not exhibit the properties required for bone graft substitutes, as their composition and methodology adopted for the synthesis are different. Calcium, magnesium, and silicon play a major role in the formation of bone mineral and their metabolism during bone formation. In this review, the relationship between composition and activity of calcium, magnesium-based silicates have been discussed along with the future scope of these materials for hard tissue engineering applications.","author":[{"dropping-particle":"","family":"Venkatraman","given":"Senthil Kumar","non-dropping-particle":"","parse-names":false,"suffix":""},{"dropping-particle":"","family":"Swamiappan","given":"Sasikumar","non-dropping-particle":"","parse-names":false,"suffix":""}],"container-title":"Journal of Biomedical Materials Research - Part A","id":"ITEM-3","issue":"7","issued":{"date-parts":[["2020"]]},"page":"1546-1562","title":"Review on calcium- and magnesium-based silicates for bone tissue engineering applications","type":"article-journal","volume":"108"},"uris":["http://www.mendeley.com/documents/?uuid=c42eaa6b-e27d-46b7-9d41-1084abe4285e"]},{"id":"ITEM-4","itemData":{"DOI":"10.1007/s12633-022-02207-3","ISBN":"0123456789","ISSN":"18769918","abstract":"The bone, being an essential tissue in the human body, not only protects the organs inside the body but also provides mechanical support, haematopoiesis, mineral storage and mobility. Although bone may regenerate and heal itself, significant bone defects caused by severe trauma, tumour removal, malignancy, or congenital diseases can only be corrected via bone grafting. Bone biomaterials, also known as bone graft alternatives, have seen an increase in demand in recent years. Over 2 million procedures are performed in the United States each year to restore damaged/fractured bones by grafting. The number of patients in China with reduced limb function owing to bone abnormalities has risen to 10 million. Traditional bone defect repair materials include autogenous bone, allogeneic bone, xenogeneic bone, decalcified bone matrix, bioceramics, and metal materials, which are easily available and processed. Calcium silicate (Ca-Si) ceramic is among the most promising bioceramics for these purposes due to their amazing characteristics such as bioactivity, biocompatibility and osteoinductivity. Unfortunately, its high biodegradation rate along with its poor strength represents major limitations that limit its use in clinical applications significantly. In light of the above, this article briefly discussed the different types of bone substitute materials, the properties of Ca-Si ceramic, the advantages, limitations and potential solutions to overcome these drawbacks and its biomedical applications such as orthopedic, dental, wound healing and drug delivery.","author":[{"dropping-particle":"","family":"Youness","given":"Rasha A.","non-dropping-particle":"","parse-names":false,"suffix":""},{"dropping-particle":"","family":"Tag El-deen","given":"Doha M.","non-dropping-particle":"","parse-names":false,"suffix":""},{"dropping-particle":"","family":"Taha","given":"Mohammed A.","non-dropping-particle":"","parse-names":false,"suffix":""}],"container-title":"Silicon","id":"ITEM-4","issue":"6","issued":{"date-parts":[["2023"]]},"page":"2493-2505","publisher":"Springer Netherlands","title":"A Review on Calcium Silicate Ceramics: Properties, Limitations, and Solutions for Their Use in Biomedical Applications","type":"article-journal","volume":"15"},"uris":["http://www.mendeley.com/documents/?uuid=ed32b190-377b-4e21-bced-29fb4b29aaab"]}],"mendeley":{"formattedCitation":"[13–16]","plainTextFormattedCitation":"[13–16]","previouslyFormattedCitation":"[13–16]"},"properties":{"noteIndex":0},"schema":"https://github.com/citation-style-language/schema/raw/master/csl-citation.json"}</w:instrText>
      </w:r>
      <w:r w:rsidR="00590160">
        <w:fldChar w:fldCharType="separate"/>
      </w:r>
      <w:r w:rsidR="00BF2AF7" w:rsidRPr="00BF2AF7">
        <w:rPr>
          <w:noProof/>
        </w:rPr>
        <w:t>[13–16]</w:t>
      </w:r>
      <w:r w:rsidR="00590160">
        <w:fldChar w:fldCharType="end"/>
      </w:r>
      <w:r w:rsidR="00894061">
        <w:t xml:space="preserve">. </w:t>
      </w:r>
      <w:r w:rsidR="00894061" w:rsidRPr="00894061">
        <w:rPr>
          <w:i/>
        </w:rPr>
        <w:t>In vitro</w:t>
      </w:r>
      <w:r w:rsidR="00894061">
        <w:t xml:space="preserve"> cell culture studies have shown that </w:t>
      </w:r>
      <w:proofErr w:type="spellStart"/>
      <w:r w:rsidR="00894061">
        <w:t>CaSi</w:t>
      </w:r>
      <w:proofErr w:type="spellEnd"/>
      <w:r w:rsidR="00894061">
        <w:t>-based mate</w:t>
      </w:r>
      <w:r w:rsidR="00894061">
        <w:lastRenderedPageBreak/>
        <w:t>rials can support the attachment, proliferation, and differentiation of human bone mesenchymal stem cells (</w:t>
      </w:r>
      <w:proofErr w:type="spellStart"/>
      <w:r w:rsidR="00894061">
        <w:t>hMSC</w:t>
      </w:r>
      <w:proofErr w:type="spellEnd"/>
      <w:r w:rsidR="00894061">
        <w:t xml:space="preserve">). Zhang et al. tested </w:t>
      </w:r>
      <w:proofErr w:type="spellStart"/>
      <w:r w:rsidR="00894061">
        <w:t>pseudowollastonite</w:t>
      </w:r>
      <w:proofErr w:type="spellEnd"/>
      <w:r w:rsidR="00894061">
        <w:t xml:space="preserve"> (a high-temperatu</w:t>
      </w:r>
      <w:r w:rsidR="00CF45AB">
        <w:t xml:space="preserve">re polymorph of </w:t>
      </w:r>
      <w:r w:rsidR="00CF45AB" w:rsidRPr="00CF45AB">
        <w:rPr>
          <w:rFonts w:ascii="Times New Roman" w:hAnsi="Times New Roman"/>
          <w:color w:val="FF0000"/>
        </w:rPr>
        <w:t>β</w:t>
      </w:r>
      <w:r w:rsidR="00CF45AB" w:rsidRPr="00CF45AB">
        <w:rPr>
          <w:color w:val="FF0000"/>
        </w:rPr>
        <w:t>-CaSiO</w:t>
      </w:r>
      <w:r w:rsidR="00CF45AB" w:rsidRPr="00CF45AB">
        <w:rPr>
          <w:color w:val="FF0000"/>
          <w:vertAlign w:val="subscript"/>
        </w:rPr>
        <w:t>3</w:t>
      </w:r>
      <w:r w:rsidR="00894061">
        <w:t xml:space="preserve">) due to its osteoconductive nature. They examined coarse- and fine-grained surfaces of </w:t>
      </w:r>
      <w:r w:rsidR="00894061">
        <w:rPr>
          <w:rFonts w:ascii="Times New Roman" w:hAnsi="Times New Roman"/>
        </w:rPr>
        <w:t>β</w:t>
      </w:r>
      <w:r w:rsidR="00894061">
        <w:t>-CaSiO</w:t>
      </w:r>
      <w:r w:rsidR="00894061">
        <w:rPr>
          <w:vertAlign w:val="subscript"/>
        </w:rPr>
        <w:t>3</w:t>
      </w:r>
      <w:r w:rsidR="00894061">
        <w:t xml:space="preserve"> and showed their beneficial effects on adhesion, viability, proliferation, and differentiation</w:t>
      </w:r>
      <w:r w:rsidR="00CF45AB">
        <w:t xml:space="preserve"> of </w:t>
      </w:r>
      <w:proofErr w:type="spellStart"/>
      <w:r w:rsidR="00CF45AB" w:rsidRPr="00CF45AB">
        <w:rPr>
          <w:color w:val="FF0000"/>
        </w:rPr>
        <w:t>hMSC</w:t>
      </w:r>
      <w:proofErr w:type="spellEnd"/>
      <w:r w:rsidR="00DE7030" w:rsidRPr="00CF45AB">
        <w:rPr>
          <w:color w:val="FF0000"/>
        </w:rPr>
        <w:t xml:space="preserve"> </w:t>
      </w:r>
      <w:r w:rsidR="00590160">
        <w:fldChar w:fldCharType="begin" w:fldLock="1"/>
      </w:r>
      <w:r w:rsidR="00BF2AF7">
        <w:instrText>ADDIN CSL_CITATION {"citationItems":[{"id":"ITEM-1","itemData":{"DOI":"10.1016/j.biomaterials.2010.06.043","ISSN":"01429612","PMID":"20674968","abstract":"We report the effects of two pseudowollastonite (β-CaSiO3) substrates on the attachment, viability, proliferation and osteogenic differentiation of human mesenchymal stem cells (hMSCs), and provide detailed mechanistic links of surface texture, soluble factors and culture media to cell activities. Cell attachment and viability were lower for psWf (fine-grained, roughness 0.74μm) than for psWc (coarse-grained, roughness 1.25μm) surface, and were ascribed to the greater specific area of the finer psWf particles resulting in higher release rate of Si, which is cytotoxic at high levels. Interestingly, proliferation was greater on psWf. Osteogenic differentiation occurred on both surfaces, indicated by calcium phosphate bone nodule formation and by osteocalcin, osteopontin and core-binding factor alpha-1 gene expression. Gene levels were lower on psWf than on psWc at day 8 in growth medium, explained by differences in Ca and/or Si concentrations between the two surfaces. Similar gene expression on both surfaces at day 16 in both growth and osteogenic induction media was attributed to pro-osteogenic effects of Ca and P at specific concentrations and complementary Ca and P levels on the two surfaces. In summary, soluble factors from substrates may be more important for osteogenic differentiation in growth medium than small surface roughness variations within a factor of 2. Optimum concentration ranges exist for individual soluble factors to balance cell toxicity/growth versus osteogenic differentiation, and soluble factors together have complex, cooperative or opposing, effects on a given cell activity. © 2010 Elsevier Ltd.","author":[{"dropping-particle":"","family":"Zhang","given":"Nianli","non-dropping-particle":"","parse-names":false,"suffix":""},{"dropping-particle":"","family":"Molenda","given":"James A.","non-dropping-particle":"","parse-names":false,"suffix":""},{"dropping-particle":"","family":"Fournelle","given":"John H.","non-dropping-particle":"","parse-names":false,"suffix":""},{"dropping-particle":"","family":"Murphy","given":"William L.","non-dropping-particle":"","parse-names":false,"suffix":""},{"dropping-particle":"","family":"Sahai","given":"Nita","non-dropping-particle":"","parse-names":false,"suffix":""}],"container-title":"Biomaterials","id":"ITEM-1","issue":"30","issued":{"date-parts":[["2010"]]},"page":"7653-7665","publisher":"Elsevier Ltd","title":"Effects of pseudowollastonite (CaSiO3) bioceramic on in vitro activity of human mesenchymal stem cells","type":"article-journal","volume":"31"},"uris":["http://www.mendeley.com/documents/?uuid=544048e8-2cf5-4ff1-806c-6e4f4c6dcd1d"]}],"mendeley":{"formattedCitation":"[17]","plainTextFormattedCitation":"[17]","previouslyFormattedCitation":"[17]"},"properties":{"noteIndex":0},"schema":"https://github.com/citation-style-language/schema/raw/master/csl-citation.json"}</w:instrText>
      </w:r>
      <w:r w:rsidR="00590160">
        <w:fldChar w:fldCharType="separate"/>
      </w:r>
      <w:r w:rsidR="00BF2AF7" w:rsidRPr="00BF2AF7">
        <w:rPr>
          <w:noProof/>
        </w:rPr>
        <w:t>[17]</w:t>
      </w:r>
      <w:r w:rsidR="00590160">
        <w:fldChar w:fldCharType="end"/>
      </w:r>
      <w:r w:rsidR="00894061">
        <w:t xml:space="preserve">. </w:t>
      </w:r>
      <w:r w:rsidR="00CF45AB" w:rsidRPr="00CF45AB">
        <w:rPr>
          <w:color w:val="FF0000"/>
        </w:rPr>
        <w:t>Therefore</w:t>
      </w:r>
      <w:r w:rsidR="00CF45AB">
        <w:t>, w</w:t>
      </w:r>
      <w:r w:rsidR="00B57A19">
        <w:t xml:space="preserve">e </w:t>
      </w:r>
      <w:r w:rsidR="00782E71">
        <w:t xml:space="preserve">hypothesize that addition of </w:t>
      </w:r>
      <w:r w:rsidR="00894061">
        <w:t xml:space="preserve">wollastonite, a </w:t>
      </w:r>
      <w:r w:rsidR="00CC0314">
        <w:t xml:space="preserve">metasilicate composed </w:t>
      </w:r>
      <w:r w:rsidR="00CF45AB">
        <w:t xml:space="preserve">of </w:t>
      </w:r>
      <w:r w:rsidR="00CC0314">
        <w:t xml:space="preserve">naturally </w:t>
      </w:r>
      <w:r w:rsidR="009F6061">
        <w:t>occurring</w:t>
      </w:r>
      <w:r w:rsidR="00CF45AB">
        <w:t xml:space="preserve"> </w:t>
      </w:r>
      <w:r w:rsidR="00CF45AB" w:rsidRPr="00CF45AB">
        <w:rPr>
          <w:color w:val="FF0000"/>
        </w:rPr>
        <w:t>CaSiO</w:t>
      </w:r>
      <w:r w:rsidR="00CF45AB" w:rsidRPr="00CF45AB">
        <w:rPr>
          <w:color w:val="FF0000"/>
          <w:vertAlign w:val="subscript"/>
        </w:rPr>
        <w:t>3</w:t>
      </w:r>
      <w:r w:rsidR="00CC0314">
        <w:t>,</w:t>
      </w:r>
      <w:r w:rsidR="00782E71">
        <w:rPr>
          <w:vertAlign w:val="subscript"/>
        </w:rPr>
        <w:t xml:space="preserve"> </w:t>
      </w:r>
      <w:r w:rsidR="00782E71">
        <w:t xml:space="preserve">should improve </w:t>
      </w:r>
      <w:r w:rsidR="00EA3F39">
        <w:t xml:space="preserve">the </w:t>
      </w:r>
      <w:r w:rsidR="00782E71">
        <w:t>mechanical properties of</w:t>
      </w:r>
      <w:r w:rsidR="009F6061">
        <w:t xml:space="preserve"> WPI hydrogel</w:t>
      </w:r>
      <w:r w:rsidR="00782E71">
        <w:t xml:space="preserve"> and promote osteoblast</w:t>
      </w:r>
      <w:r w:rsidR="00EA3F39">
        <w:t xml:space="preserve"> proliferation and differentiation</w:t>
      </w:r>
      <w:r w:rsidR="009F6061">
        <w:t xml:space="preserve">, which </w:t>
      </w:r>
      <w:r w:rsidR="00D27569">
        <w:t>in turn</w:t>
      </w:r>
      <w:r w:rsidR="009F6061">
        <w:t xml:space="preserve"> may lead to obtain very promising scaffold for bone tissue engineering applications.</w:t>
      </w:r>
      <w:r w:rsidR="001707D4">
        <w:rPr>
          <w:szCs w:val="20"/>
        </w:rPr>
        <w:t xml:space="preserve"> </w:t>
      </w:r>
      <w:bookmarkStart w:id="1" w:name="_Hlk145963115"/>
      <w:r w:rsidR="00D27569">
        <w:rPr>
          <w:color w:val="FF0000"/>
          <w:szCs w:val="20"/>
        </w:rPr>
        <w:t>Hence,</w:t>
      </w:r>
      <w:r w:rsidR="0012785F">
        <w:rPr>
          <w:color w:val="FF0000"/>
          <w:szCs w:val="20"/>
        </w:rPr>
        <w:t xml:space="preserve"> the</w:t>
      </w:r>
      <w:r w:rsidR="00B93779">
        <w:rPr>
          <w:color w:val="FF0000"/>
          <w:szCs w:val="20"/>
        </w:rPr>
        <w:t xml:space="preserve"> aim of this study was to fabricate WPI-based hydrogel biomaterials enriched with CaSiO</w:t>
      </w:r>
      <w:r w:rsidR="00B93779" w:rsidRPr="00B93779">
        <w:rPr>
          <w:color w:val="FF0000"/>
          <w:szCs w:val="20"/>
          <w:vertAlign w:val="subscript"/>
        </w:rPr>
        <w:t>3</w:t>
      </w:r>
      <w:r w:rsidR="001707D4" w:rsidRPr="00B93779">
        <w:rPr>
          <w:szCs w:val="20"/>
          <w:vertAlign w:val="subscript"/>
        </w:rPr>
        <w:t xml:space="preserve"> </w:t>
      </w:r>
      <w:r w:rsidR="00B93779">
        <w:rPr>
          <w:color w:val="FF0000"/>
          <w:szCs w:val="20"/>
        </w:rPr>
        <w:t>and assess their structural, physicochemical, mechanical, and biological properties. The aim of this work was also to e</w:t>
      </w:r>
      <w:r w:rsidR="0082708C">
        <w:rPr>
          <w:color w:val="FF0000"/>
          <w:szCs w:val="20"/>
        </w:rPr>
        <w:t xml:space="preserve">valuate </w:t>
      </w:r>
      <w:r w:rsidR="00B93779">
        <w:rPr>
          <w:color w:val="FF0000"/>
          <w:szCs w:val="20"/>
        </w:rPr>
        <w:t>the biomedical potential of the fabricated biomaterials as future</w:t>
      </w:r>
      <w:r w:rsidR="0082708C">
        <w:rPr>
          <w:color w:val="FF0000"/>
          <w:szCs w:val="20"/>
        </w:rPr>
        <w:t xml:space="preserve"> </w:t>
      </w:r>
      <w:r w:rsidR="00B93779">
        <w:rPr>
          <w:color w:val="FF0000"/>
          <w:szCs w:val="20"/>
        </w:rPr>
        <w:t>scaffolds</w:t>
      </w:r>
      <w:r w:rsidR="0082708C">
        <w:rPr>
          <w:color w:val="FF0000"/>
          <w:szCs w:val="20"/>
        </w:rPr>
        <w:t xml:space="preserve"> for BTE</w:t>
      </w:r>
      <w:r w:rsidR="00B93779">
        <w:rPr>
          <w:color w:val="FF0000"/>
          <w:szCs w:val="20"/>
        </w:rPr>
        <w:t>.</w:t>
      </w:r>
    </w:p>
    <w:bookmarkEnd w:id="1"/>
    <w:p w14:paraId="71D66D7B" w14:textId="77777777" w:rsidR="00A11CF6" w:rsidRDefault="00A11CF6" w:rsidP="00A11CF6">
      <w:pPr>
        <w:pStyle w:val="MDPI21heading1"/>
      </w:pPr>
      <w:r w:rsidRPr="00FA04F1">
        <w:rPr>
          <w:lang w:eastAsia="zh-CN"/>
        </w:rPr>
        <w:t xml:space="preserve">2. </w:t>
      </w:r>
      <w:r w:rsidRPr="00FA04F1">
        <w:t>Materials and Methods</w:t>
      </w:r>
    </w:p>
    <w:p w14:paraId="4A3306B0" w14:textId="77777777" w:rsidR="00C8180E" w:rsidRDefault="00C8180E" w:rsidP="00C8180E">
      <w:pPr>
        <w:pStyle w:val="MDPI22heading2"/>
        <w:spacing w:before="240"/>
      </w:pPr>
      <w:r>
        <w:t>2.1. Preparation of WPI-based biocomposites</w:t>
      </w:r>
    </w:p>
    <w:p w14:paraId="22946348" w14:textId="5BBE2F25" w:rsidR="00C8180E" w:rsidRDefault="0012785F" w:rsidP="00C8180E">
      <w:pPr>
        <w:pStyle w:val="MDPI31text"/>
      </w:pPr>
      <w:r w:rsidRPr="0012785F">
        <w:rPr>
          <w:color w:val="FF0000"/>
        </w:rPr>
        <w:t>First,</w:t>
      </w:r>
      <w:r>
        <w:t xml:space="preserve"> t</w:t>
      </w:r>
      <w:r w:rsidR="00C460EF">
        <w:t>wo</w:t>
      </w:r>
      <w:r w:rsidR="00A2628C">
        <w:t xml:space="preserve"> different suspensions</w:t>
      </w:r>
      <w:r w:rsidR="00C8180E">
        <w:t xml:space="preserve"> of CaSiO</w:t>
      </w:r>
      <w:r w:rsidR="00C8180E">
        <w:rPr>
          <w:vertAlign w:val="subscript"/>
        </w:rPr>
        <w:t>3</w:t>
      </w:r>
      <w:r w:rsidR="00C8180E">
        <w:t xml:space="preserve"> </w:t>
      </w:r>
      <w:r>
        <w:t xml:space="preserve">in </w:t>
      </w:r>
      <w:r w:rsidRPr="0012785F">
        <w:rPr>
          <w:color w:val="FF0000"/>
        </w:rPr>
        <w:t>distilled water</w:t>
      </w:r>
      <w:r>
        <w:rPr>
          <w:color w:val="FF0000"/>
        </w:rPr>
        <w:t xml:space="preserve"> were prepared </w:t>
      </w:r>
      <w:proofErr w:type="gramStart"/>
      <w:r w:rsidR="00580461">
        <w:rPr>
          <w:color w:val="FF0000"/>
        </w:rPr>
        <w:t>in order to</w:t>
      </w:r>
      <w:proofErr w:type="gramEnd"/>
      <w:r w:rsidR="00580461">
        <w:rPr>
          <w:color w:val="FF0000"/>
        </w:rPr>
        <w:t xml:space="preserve"> obtain the </w:t>
      </w:r>
      <w:r>
        <w:rPr>
          <w:color w:val="FF0000"/>
        </w:rPr>
        <w:t xml:space="preserve">concentration of </w:t>
      </w:r>
      <w:r w:rsidRPr="0012785F">
        <w:rPr>
          <w:color w:val="FF0000"/>
        </w:rPr>
        <w:t>CaSiO</w:t>
      </w:r>
      <w:r w:rsidRPr="0012785F">
        <w:rPr>
          <w:color w:val="FF0000"/>
          <w:vertAlign w:val="subscript"/>
        </w:rPr>
        <w:t>3</w:t>
      </w:r>
      <w:r>
        <w:t xml:space="preserve"> </w:t>
      </w:r>
      <w:r w:rsidR="00580461">
        <w:rPr>
          <w:color w:val="FF0000"/>
        </w:rPr>
        <w:t>equal to</w:t>
      </w:r>
      <w:r>
        <w:t xml:space="preserve"> 2.32% </w:t>
      </w:r>
      <w:r w:rsidRPr="0012785F">
        <w:rPr>
          <w:color w:val="FF0000"/>
        </w:rPr>
        <w:t>or</w:t>
      </w:r>
      <w:r w:rsidR="00C460EF">
        <w:t xml:space="preserve"> 5%</w:t>
      </w:r>
      <w:r>
        <w:t xml:space="preserve">. </w:t>
      </w:r>
      <w:r w:rsidR="00580461" w:rsidRPr="00580461">
        <w:rPr>
          <w:color w:val="FF0000"/>
        </w:rPr>
        <w:t>Then,</w:t>
      </w:r>
      <w:r w:rsidR="00580461">
        <w:t xml:space="preserve"> </w:t>
      </w:r>
      <w:proofErr w:type="gramStart"/>
      <w:r w:rsidR="00580461">
        <w:t>a</w:t>
      </w:r>
      <w:r>
        <w:t xml:space="preserve"> 40</w:t>
      </w:r>
      <w:proofErr w:type="gramEnd"/>
      <w:r>
        <w:t xml:space="preserve">% (w/v) </w:t>
      </w:r>
      <w:r w:rsidR="00C8180E">
        <w:t xml:space="preserve">of WPI solution was obtained by adding 10 g of WPI powder to 25 mL of distilled water for the control </w:t>
      </w:r>
      <w:r w:rsidR="004B786C">
        <w:t>biomaterials</w:t>
      </w:r>
      <w:r w:rsidR="00C8180E">
        <w:t xml:space="preserve"> or to 25 mL</w:t>
      </w:r>
      <w:r w:rsidR="00C460EF">
        <w:t xml:space="preserve"> of the 2</w:t>
      </w:r>
      <w:r w:rsidR="00A2628C">
        <w:t xml:space="preserve"> different suspensions</w:t>
      </w:r>
      <w:r w:rsidR="00C8180E">
        <w:t xml:space="preserve"> of CaSiO</w:t>
      </w:r>
      <w:r w:rsidR="00C8180E">
        <w:rPr>
          <w:vertAlign w:val="subscript"/>
        </w:rPr>
        <w:t>3</w:t>
      </w:r>
      <w:r w:rsidR="00A2628C">
        <w:t xml:space="preserve">. </w:t>
      </w:r>
      <w:r w:rsidR="008D2FAB" w:rsidRPr="008D2FAB">
        <w:rPr>
          <w:color w:val="FF0000"/>
        </w:rPr>
        <w:t>T</w:t>
      </w:r>
      <w:r w:rsidR="00A2628C">
        <w:t>he mixtures</w:t>
      </w:r>
      <w:r w:rsidR="008D2FAB">
        <w:t xml:space="preserve"> were </w:t>
      </w:r>
      <w:r w:rsidR="00C8180E">
        <w:t>vortexed for 10 se</w:t>
      </w:r>
      <w:r w:rsidR="008D2FAB">
        <w:t xml:space="preserve">conds and </w:t>
      </w:r>
      <w:r w:rsidR="008D2FAB" w:rsidRPr="008D2FAB">
        <w:rPr>
          <w:color w:val="FF0000"/>
        </w:rPr>
        <w:t>subjected to</w:t>
      </w:r>
      <w:r w:rsidR="008D2FAB">
        <w:t xml:space="preserve"> </w:t>
      </w:r>
      <w:r w:rsidR="00C8180E" w:rsidRPr="0012785F">
        <w:rPr>
          <w:color w:val="FF0000"/>
        </w:rPr>
        <w:t>ho</w:t>
      </w:r>
      <w:r w:rsidRPr="0012785F">
        <w:rPr>
          <w:color w:val="FF0000"/>
        </w:rPr>
        <w:t>mogenization</w:t>
      </w:r>
      <w:r w:rsidR="00C8180E">
        <w:t xml:space="preserve"> </w:t>
      </w:r>
      <w:r w:rsidR="008D2FAB">
        <w:t xml:space="preserve">for 24 hours </w:t>
      </w:r>
      <w:r w:rsidR="00C8180E">
        <w:t xml:space="preserve">(IKA </w:t>
      </w:r>
      <w:proofErr w:type="spellStart"/>
      <w:r w:rsidR="00C8180E">
        <w:t>Loopster</w:t>
      </w:r>
      <w:proofErr w:type="spellEnd"/>
      <w:r w:rsidR="00C8180E">
        <w:t xml:space="preserve"> homogenizer, IKA England LTD, Oxon, Eng</w:t>
      </w:r>
      <w:r>
        <w:t>land)</w:t>
      </w:r>
      <w:r w:rsidR="00C8180E">
        <w:t>.</w:t>
      </w:r>
      <w:r w:rsidR="00580461">
        <w:t xml:space="preserve"> </w:t>
      </w:r>
      <w:r w:rsidR="00580461" w:rsidRPr="00580461">
        <w:rPr>
          <w:color w:val="FF0000"/>
        </w:rPr>
        <w:t>Next</w:t>
      </w:r>
      <w:r w:rsidR="00C460EF">
        <w:t xml:space="preserve">, 1 mL of each </w:t>
      </w:r>
      <w:r w:rsidR="004B786C">
        <w:t>bio</w:t>
      </w:r>
      <w:r w:rsidR="00580461">
        <w:t xml:space="preserve">material </w:t>
      </w:r>
      <w:r w:rsidR="00580461" w:rsidRPr="00580461">
        <w:rPr>
          <w:color w:val="FF0000"/>
        </w:rPr>
        <w:t>composition</w:t>
      </w:r>
      <w:r w:rsidR="00C460EF" w:rsidRPr="00580461">
        <w:rPr>
          <w:color w:val="FF0000"/>
        </w:rPr>
        <w:t xml:space="preserve"> </w:t>
      </w:r>
      <w:r w:rsidR="00C460EF">
        <w:t>w</w:t>
      </w:r>
      <w:r w:rsidR="00EA3F39">
        <w:t>as</w:t>
      </w:r>
      <w:r w:rsidR="00C460EF">
        <w:t xml:space="preserve"> pipette</w:t>
      </w:r>
      <w:r w:rsidR="00EA3F39">
        <w:t>d</w:t>
      </w:r>
      <w:r w:rsidR="00C460EF">
        <w:t xml:space="preserve"> into </w:t>
      </w:r>
      <w:r w:rsidR="00A2628C">
        <w:t xml:space="preserve">2 mL </w:t>
      </w:r>
      <w:proofErr w:type="spellStart"/>
      <w:proofErr w:type="gramStart"/>
      <w:r w:rsidR="008D2FAB">
        <w:t>eppendorf</w:t>
      </w:r>
      <w:proofErr w:type="spellEnd"/>
      <w:proofErr w:type="gramEnd"/>
      <w:r w:rsidR="008D2FAB">
        <w:t xml:space="preserve"> </w:t>
      </w:r>
      <w:r w:rsidR="008D2FAB" w:rsidRPr="008D2FAB">
        <w:rPr>
          <w:color w:val="FF0000"/>
        </w:rPr>
        <w:t>and</w:t>
      </w:r>
      <w:r w:rsidR="008D2FAB">
        <w:t xml:space="preserve"> </w:t>
      </w:r>
      <w:r w:rsidR="008D2FAB" w:rsidRPr="008D2FAB">
        <w:rPr>
          <w:color w:val="FF0000"/>
        </w:rPr>
        <w:t>the samples were</w:t>
      </w:r>
      <w:r w:rsidR="008D2FAB">
        <w:t xml:space="preserve"> </w:t>
      </w:r>
      <w:r w:rsidR="008D2FAB" w:rsidRPr="008D2FAB">
        <w:rPr>
          <w:color w:val="FF0000"/>
        </w:rPr>
        <w:t>placed</w:t>
      </w:r>
      <w:r w:rsidR="00C460EF">
        <w:t xml:space="preserve"> in a water bath </w:t>
      </w:r>
      <w:r w:rsidR="008D2FAB" w:rsidRPr="008D2FAB">
        <w:rPr>
          <w:color w:val="FF0000"/>
        </w:rPr>
        <w:t>(</w:t>
      </w:r>
      <w:r w:rsidR="00C460EF">
        <w:t>set to 90</w:t>
      </w:r>
      <w:r w:rsidR="00C460EF" w:rsidRPr="000B26BB">
        <w:rPr>
          <w:rFonts w:cstheme="minorHAnsi"/>
        </w:rPr>
        <w:t>°</w:t>
      </w:r>
      <w:r w:rsidR="00C460EF">
        <w:rPr>
          <w:rFonts w:cstheme="minorHAnsi"/>
        </w:rPr>
        <w:t>C</w:t>
      </w:r>
      <w:r w:rsidR="008D2FAB" w:rsidRPr="008D2FAB">
        <w:rPr>
          <w:rFonts w:cstheme="minorHAnsi"/>
          <w:color w:val="FF0000"/>
        </w:rPr>
        <w:t>)</w:t>
      </w:r>
      <w:r w:rsidR="00C460EF">
        <w:rPr>
          <w:rFonts w:cstheme="minorHAnsi"/>
        </w:rPr>
        <w:t xml:space="preserve"> </w:t>
      </w:r>
      <w:r w:rsidR="008D2FAB">
        <w:rPr>
          <w:rFonts w:cstheme="minorHAnsi"/>
        </w:rPr>
        <w:t>for 20 minutes</w:t>
      </w:r>
      <w:r w:rsidR="00C460EF">
        <w:rPr>
          <w:rFonts w:cstheme="minorHAnsi"/>
        </w:rPr>
        <w:t xml:space="preserve">. The </w:t>
      </w:r>
      <w:r w:rsidR="008D2FAB" w:rsidRPr="008D2FAB">
        <w:rPr>
          <w:rFonts w:cstheme="minorHAnsi"/>
          <w:color w:val="FF0000"/>
        </w:rPr>
        <w:t>cross-linked</w:t>
      </w:r>
      <w:r w:rsidR="008D2FAB">
        <w:rPr>
          <w:rFonts w:cstheme="minorHAnsi"/>
        </w:rPr>
        <w:t xml:space="preserve"> </w:t>
      </w:r>
      <w:r w:rsidR="004B786C">
        <w:rPr>
          <w:rFonts w:cstheme="minorHAnsi"/>
        </w:rPr>
        <w:t>biomaterials</w:t>
      </w:r>
      <w:r w:rsidR="008D2FAB">
        <w:rPr>
          <w:rFonts w:cstheme="minorHAnsi"/>
        </w:rPr>
        <w:t xml:space="preserve"> </w:t>
      </w:r>
      <w:r w:rsidR="00C460EF">
        <w:rPr>
          <w:rFonts w:cstheme="minorHAnsi"/>
        </w:rPr>
        <w:t>were then sterilized by autoclaving at 120</w:t>
      </w:r>
      <w:r w:rsidR="00C460EF" w:rsidRPr="000B26BB">
        <w:rPr>
          <w:rFonts w:cstheme="minorHAnsi"/>
        </w:rPr>
        <w:t>°</w:t>
      </w:r>
      <w:r w:rsidR="00C460EF">
        <w:rPr>
          <w:rFonts w:cstheme="minorHAnsi"/>
        </w:rPr>
        <w:t>C for 2 hours. Therefore, the</w:t>
      </w:r>
      <w:r w:rsidR="00944176">
        <w:rPr>
          <w:rFonts w:cstheme="minorHAnsi"/>
        </w:rPr>
        <w:t xml:space="preserve"> </w:t>
      </w:r>
      <w:r w:rsidR="008D2FAB" w:rsidRPr="008D2FAB">
        <w:rPr>
          <w:rFonts w:cstheme="minorHAnsi"/>
          <w:color w:val="FF0000"/>
        </w:rPr>
        <w:t>formed</w:t>
      </w:r>
      <w:r w:rsidR="008D2FAB">
        <w:rPr>
          <w:rFonts w:cstheme="minorHAnsi"/>
        </w:rPr>
        <w:t xml:space="preserve"> </w:t>
      </w:r>
      <w:r w:rsidR="00C460EF">
        <w:rPr>
          <w:rFonts w:cstheme="minorHAnsi"/>
        </w:rPr>
        <w:t>composite</w:t>
      </w:r>
      <w:r w:rsidR="00EA3F39">
        <w:rPr>
          <w:rFonts w:cstheme="minorHAnsi"/>
        </w:rPr>
        <w:t xml:space="preserve"> biomaterial</w:t>
      </w:r>
      <w:r w:rsidR="008D2FAB">
        <w:rPr>
          <w:rFonts w:cstheme="minorHAnsi"/>
        </w:rPr>
        <w:t xml:space="preserve">s </w:t>
      </w:r>
      <w:r w:rsidR="00C460EF">
        <w:rPr>
          <w:rFonts w:cstheme="minorHAnsi"/>
        </w:rPr>
        <w:t>were</w:t>
      </w:r>
      <w:r w:rsidR="00580461">
        <w:rPr>
          <w:rFonts w:cstheme="minorHAnsi"/>
        </w:rPr>
        <w:t>:</w:t>
      </w:r>
      <w:r w:rsidR="00C460EF">
        <w:rPr>
          <w:rFonts w:cstheme="minorHAnsi"/>
        </w:rPr>
        <w:t xml:space="preserve"> </w:t>
      </w:r>
      <w:r w:rsidR="00A2628C">
        <w:t>40% WPI/0%</w:t>
      </w:r>
      <w:r w:rsidR="00A2628C" w:rsidRPr="00A2628C">
        <w:t xml:space="preserve"> </w:t>
      </w:r>
      <w:r w:rsidR="00A2628C">
        <w:t>CaSiO</w:t>
      </w:r>
      <w:r w:rsidR="00A2628C">
        <w:rPr>
          <w:vertAlign w:val="subscript"/>
        </w:rPr>
        <w:t>3</w:t>
      </w:r>
      <w:r w:rsidR="00A2628C">
        <w:t xml:space="preserve"> (control), </w:t>
      </w:r>
      <w:r w:rsidR="00C460EF">
        <w:t>40% WPI/2.32% CaSiO</w:t>
      </w:r>
      <w:proofErr w:type="gramStart"/>
      <w:r w:rsidR="00C460EF">
        <w:rPr>
          <w:vertAlign w:val="subscript"/>
        </w:rPr>
        <w:t xml:space="preserve">3 </w:t>
      </w:r>
      <w:r w:rsidR="00C460EF">
        <w:t>,</w:t>
      </w:r>
      <w:proofErr w:type="gramEnd"/>
      <w:r w:rsidR="00C460EF">
        <w:rPr>
          <w:vertAlign w:val="subscript"/>
        </w:rPr>
        <w:t xml:space="preserve"> </w:t>
      </w:r>
      <w:r w:rsidR="00A2628C" w:rsidRPr="00A2628C">
        <w:t>and</w:t>
      </w:r>
      <w:r w:rsidR="00A2628C">
        <w:rPr>
          <w:vertAlign w:val="subscript"/>
        </w:rPr>
        <w:t xml:space="preserve"> </w:t>
      </w:r>
      <w:r w:rsidR="00C460EF">
        <w:t>40% WPI/5% CaSiO</w:t>
      </w:r>
      <w:r w:rsidR="00C460EF">
        <w:rPr>
          <w:vertAlign w:val="subscript"/>
        </w:rPr>
        <w:t>3</w:t>
      </w:r>
      <w:r w:rsidR="00C460EF">
        <w:t>. The compo</w:t>
      </w:r>
      <w:r w:rsidR="00580461">
        <w:t xml:space="preserve">sitions of each </w:t>
      </w:r>
      <w:proofErr w:type="gramStart"/>
      <w:r w:rsidR="00EA3F39">
        <w:t>biomaterial</w:t>
      </w:r>
      <w:r w:rsidR="00944176">
        <w:t>s</w:t>
      </w:r>
      <w:proofErr w:type="gramEnd"/>
      <w:r w:rsidR="00C460EF">
        <w:t xml:space="preserve"> formed in this study</w:t>
      </w:r>
      <w:r w:rsidR="00580461">
        <w:t xml:space="preserve"> and </w:t>
      </w:r>
      <w:r w:rsidR="00580461" w:rsidRPr="00580461">
        <w:rPr>
          <w:color w:val="FF0000"/>
        </w:rPr>
        <w:t>their symbols</w:t>
      </w:r>
      <w:r w:rsidR="00C460EF">
        <w:t xml:space="preserve"> are presented in Tabl</w:t>
      </w:r>
      <w:r w:rsidR="00580461">
        <w:t>e 1</w:t>
      </w:r>
      <w:r w:rsidR="00C460EF">
        <w:t>.</w:t>
      </w:r>
    </w:p>
    <w:p w14:paraId="31B196BA" w14:textId="77777777" w:rsidR="00C460EF" w:rsidRPr="00C460EF" w:rsidRDefault="00C460EF" w:rsidP="00C460EF">
      <w:pPr>
        <w:pStyle w:val="MDPI41tablecaption"/>
      </w:pPr>
      <w:r>
        <w:rPr>
          <w:b/>
        </w:rPr>
        <w:t>Table 1</w:t>
      </w:r>
      <w:r w:rsidRPr="00325902">
        <w:rPr>
          <w:b/>
        </w:rPr>
        <w:t>.</w:t>
      </w:r>
      <w:r w:rsidRPr="00325902">
        <w:t xml:space="preserve"> </w:t>
      </w:r>
      <w:r>
        <w:t>The percentage of WPI and CaSiO</w:t>
      </w:r>
      <w:r w:rsidRPr="00C460EF">
        <w:rPr>
          <w:vertAlign w:val="subscript"/>
        </w:rPr>
        <w:t>3</w:t>
      </w:r>
      <w:r>
        <w:rPr>
          <w:vertAlign w:val="subscript"/>
        </w:rPr>
        <w:t xml:space="preserve"> </w:t>
      </w:r>
      <w:r>
        <w:t>in fabricated</w:t>
      </w:r>
      <w:r>
        <w:rPr>
          <w:vertAlign w:val="subscript"/>
        </w:rPr>
        <w:t xml:space="preserve"> </w:t>
      </w:r>
      <w:r>
        <w:t>composite</w:t>
      </w:r>
      <w:r w:rsidR="00EA3F39">
        <w:t xml:space="preserve"> biomaterial</w:t>
      </w:r>
      <w:r>
        <w:t>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2619"/>
        <w:gridCol w:w="2619"/>
      </w:tblGrid>
      <w:tr w:rsidR="00C460EF" w:rsidRPr="000802ED" w14:paraId="75407DD9" w14:textId="77777777" w:rsidTr="003E3708">
        <w:tc>
          <w:tcPr>
            <w:tcW w:w="2619" w:type="dxa"/>
            <w:tcBorders>
              <w:bottom w:val="single" w:sz="4" w:space="0" w:color="auto"/>
            </w:tcBorders>
            <w:shd w:val="clear" w:color="auto" w:fill="auto"/>
            <w:vAlign w:val="center"/>
          </w:tcPr>
          <w:p w14:paraId="04F021AF" w14:textId="77777777" w:rsidR="00C460EF" w:rsidRPr="007F7C8C" w:rsidRDefault="00C460EF" w:rsidP="003E3708">
            <w:pPr>
              <w:pStyle w:val="MDPI42tablebody"/>
              <w:spacing w:line="240" w:lineRule="auto"/>
              <w:rPr>
                <w:b/>
                <w:snapToGrid/>
              </w:rPr>
            </w:pPr>
            <w:r>
              <w:rPr>
                <w:b/>
                <w:snapToGrid/>
              </w:rPr>
              <w:t>Sample Symbol</w:t>
            </w:r>
          </w:p>
        </w:tc>
        <w:tc>
          <w:tcPr>
            <w:tcW w:w="2619" w:type="dxa"/>
            <w:tcBorders>
              <w:bottom w:val="single" w:sz="4" w:space="0" w:color="auto"/>
            </w:tcBorders>
            <w:shd w:val="clear" w:color="auto" w:fill="auto"/>
            <w:vAlign w:val="center"/>
          </w:tcPr>
          <w:p w14:paraId="0B48EE53" w14:textId="77777777" w:rsidR="00C460EF" w:rsidRPr="007F7C8C" w:rsidRDefault="00C460EF" w:rsidP="003E3708">
            <w:pPr>
              <w:pStyle w:val="MDPI42tablebody"/>
              <w:spacing w:line="240" w:lineRule="auto"/>
              <w:rPr>
                <w:b/>
                <w:snapToGrid/>
              </w:rPr>
            </w:pPr>
            <w:r>
              <w:rPr>
                <w:b/>
                <w:snapToGrid/>
              </w:rPr>
              <w:t>Content of WPI (%)</w:t>
            </w:r>
          </w:p>
        </w:tc>
        <w:tc>
          <w:tcPr>
            <w:tcW w:w="2619" w:type="dxa"/>
            <w:tcBorders>
              <w:bottom w:val="single" w:sz="4" w:space="0" w:color="auto"/>
            </w:tcBorders>
            <w:shd w:val="clear" w:color="auto" w:fill="auto"/>
            <w:vAlign w:val="center"/>
          </w:tcPr>
          <w:p w14:paraId="07EB9F07" w14:textId="77777777" w:rsidR="00C460EF" w:rsidRPr="00C460EF" w:rsidRDefault="00C460EF" w:rsidP="003E3708">
            <w:pPr>
              <w:pStyle w:val="MDPI42tablebody"/>
              <w:spacing w:line="240" w:lineRule="auto"/>
              <w:rPr>
                <w:b/>
                <w:snapToGrid/>
                <w:vertAlign w:val="subscript"/>
              </w:rPr>
            </w:pPr>
            <w:r>
              <w:rPr>
                <w:b/>
                <w:snapToGrid/>
              </w:rPr>
              <w:t>Content of CaSiO</w:t>
            </w:r>
            <w:r>
              <w:rPr>
                <w:b/>
                <w:snapToGrid/>
                <w:vertAlign w:val="subscript"/>
              </w:rPr>
              <w:t>3</w:t>
            </w:r>
          </w:p>
        </w:tc>
      </w:tr>
      <w:tr w:rsidR="00C460EF" w:rsidRPr="000802ED" w14:paraId="4EC2A636" w14:textId="77777777" w:rsidTr="003E3708">
        <w:tc>
          <w:tcPr>
            <w:tcW w:w="2619" w:type="dxa"/>
            <w:shd w:val="clear" w:color="auto" w:fill="auto"/>
            <w:vAlign w:val="center"/>
          </w:tcPr>
          <w:p w14:paraId="4628D169" w14:textId="77777777" w:rsidR="00C460EF" w:rsidRPr="00F220D4" w:rsidRDefault="00C460EF" w:rsidP="003E3708">
            <w:pPr>
              <w:pStyle w:val="MDPI42tablebody"/>
              <w:spacing w:line="240" w:lineRule="auto"/>
            </w:pPr>
            <w:r>
              <w:t>40/0</w:t>
            </w:r>
          </w:p>
        </w:tc>
        <w:tc>
          <w:tcPr>
            <w:tcW w:w="2619" w:type="dxa"/>
            <w:shd w:val="clear" w:color="auto" w:fill="auto"/>
            <w:vAlign w:val="center"/>
          </w:tcPr>
          <w:p w14:paraId="26F6926C" w14:textId="77777777" w:rsidR="00C460EF" w:rsidRPr="00F220D4" w:rsidRDefault="00C460EF" w:rsidP="003E3708">
            <w:pPr>
              <w:pStyle w:val="MDPI42tablebody"/>
              <w:spacing w:line="240" w:lineRule="auto"/>
            </w:pPr>
            <w:r>
              <w:t>40</w:t>
            </w:r>
          </w:p>
        </w:tc>
        <w:tc>
          <w:tcPr>
            <w:tcW w:w="2619" w:type="dxa"/>
            <w:shd w:val="clear" w:color="auto" w:fill="auto"/>
            <w:vAlign w:val="center"/>
          </w:tcPr>
          <w:p w14:paraId="5C5BF494" w14:textId="77777777" w:rsidR="00C460EF" w:rsidRPr="00F220D4" w:rsidRDefault="00C460EF" w:rsidP="003E3708">
            <w:pPr>
              <w:pStyle w:val="MDPI42tablebody"/>
              <w:spacing w:line="240" w:lineRule="auto"/>
            </w:pPr>
            <w:r>
              <w:t>0</w:t>
            </w:r>
          </w:p>
        </w:tc>
      </w:tr>
      <w:tr w:rsidR="00C460EF" w:rsidRPr="000802ED" w14:paraId="2BF132AD" w14:textId="77777777" w:rsidTr="003E3708">
        <w:tc>
          <w:tcPr>
            <w:tcW w:w="2619" w:type="dxa"/>
            <w:shd w:val="clear" w:color="auto" w:fill="auto"/>
            <w:vAlign w:val="center"/>
          </w:tcPr>
          <w:p w14:paraId="1C6F344B" w14:textId="77777777" w:rsidR="00C460EF" w:rsidRPr="00F220D4" w:rsidRDefault="00C460EF" w:rsidP="003E3708">
            <w:pPr>
              <w:pStyle w:val="MDPI42tablebody"/>
              <w:spacing w:line="240" w:lineRule="auto"/>
            </w:pPr>
            <w:r>
              <w:t>40/2.32</w:t>
            </w:r>
          </w:p>
        </w:tc>
        <w:tc>
          <w:tcPr>
            <w:tcW w:w="2619" w:type="dxa"/>
            <w:shd w:val="clear" w:color="auto" w:fill="auto"/>
            <w:vAlign w:val="center"/>
          </w:tcPr>
          <w:p w14:paraId="7135F071" w14:textId="77777777" w:rsidR="00C460EF" w:rsidRPr="00F220D4" w:rsidRDefault="00C460EF" w:rsidP="003E3708">
            <w:pPr>
              <w:pStyle w:val="MDPI42tablebody"/>
              <w:spacing w:line="240" w:lineRule="auto"/>
            </w:pPr>
            <w:r>
              <w:t>40</w:t>
            </w:r>
          </w:p>
        </w:tc>
        <w:tc>
          <w:tcPr>
            <w:tcW w:w="2619" w:type="dxa"/>
            <w:shd w:val="clear" w:color="auto" w:fill="auto"/>
            <w:vAlign w:val="center"/>
          </w:tcPr>
          <w:p w14:paraId="3D561F07" w14:textId="77777777" w:rsidR="00C460EF" w:rsidRPr="00F220D4" w:rsidRDefault="00C460EF" w:rsidP="003E3708">
            <w:pPr>
              <w:pStyle w:val="MDPI42tablebody"/>
              <w:spacing w:line="240" w:lineRule="auto"/>
            </w:pPr>
            <w:r>
              <w:t>2.32</w:t>
            </w:r>
          </w:p>
        </w:tc>
      </w:tr>
      <w:tr w:rsidR="00C460EF" w:rsidRPr="000802ED" w14:paraId="4B05D776" w14:textId="77777777" w:rsidTr="003E3708">
        <w:tc>
          <w:tcPr>
            <w:tcW w:w="2619" w:type="dxa"/>
            <w:shd w:val="clear" w:color="auto" w:fill="auto"/>
            <w:vAlign w:val="center"/>
          </w:tcPr>
          <w:p w14:paraId="5F31D63C" w14:textId="77777777" w:rsidR="00C460EF" w:rsidRPr="00F220D4" w:rsidRDefault="00C460EF" w:rsidP="003E3708">
            <w:pPr>
              <w:pStyle w:val="MDPI42tablebody"/>
              <w:spacing w:line="240" w:lineRule="auto"/>
            </w:pPr>
            <w:r>
              <w:t>40/5</w:t>
            </w:r>
          </w:p>
        </w:tc>
        <w:tc>
          <w:tcPr>
            <w:tcW w:w="2619" w:type="dxa"/>
            <w:shd w:val="clear" w:color="auto" w:fill="auto"/>
            <w:vAlign w:val="center"/>
          </w:tcPr>
          <w:p w14:paraId="15F4AF44" w14:textId="77777777" w:rsidR="00C460EF" w:rsidRPr="00F220D4" w:rsidRDefault="00C460EF" w:rsidP="003E3708">
            <w:pPr>
              <w:pStyle w:val="MDPI42tablebody"/>
              <w:spacing w:line="240" w:lineRule="auto"/>
            </w:pPr>
            <w:r>
              <w:t>40</w:t>
            </w:r>
          </w:p>
        </w:tc>
        <w:tc>
          <w:tcPr>
            <w:tcW w:w="2619" w:type="dxa"/>
            <w:shd w:val="clear" w:color="auto" w:fill="auto"/>
            <w:vAlign w:val="center"/>
          </w:tcPr>
          <w:p w14:paraId="66F473A8" w14:textId="77777777" w:rsidR="00C460EF" w:rsidRPr="00F220D4" w:rsidRDefault="00C460EF" w:rsidP="003E3708">
            <w:pPr>
              <w:pStyle w:val="MDPI42tablebody"/>
              <w:spacing w:line="240" w:lineRule="auto"/>
            </w:pPr>
            <w:r>
              <w:t>5</w:t>
            </w:r>
          </w:p>
        </w:tc>
      </w:tr>
    </w:tbl>
    <w:p w14:paraId="3A27A521" w14:textId="77777777" w:rsidR="00C460EF" w:rsidRPr="00C8180E" w:rsidRDefault="00C460EF" w:rsidP="00C8180E">
      <w:pPr>
        <w:pStyle w:val="MDPI31text"/>
      </w:pPr>
    </w:p>
    <w:p w14:paraId="1DF6C5F9" w14:textId="77777777" w:rsidR="00592975" w:rsidRDefault="00592975" w:rsidP="00592975">
      <w:pPr>
        <w:pStyle w:val="MDPI22heading2"/>
        <w:spacing w:before="240"/>
      </w:pPr>
      <w:r>
        <w:t xml:space="preserve">2.2. </w:t>
      </w:r>
      <w:r w:rsidR="003E3708">
        <w:t xml:space="preserve">Scanning Electron Microscope (SEM) </w:t>
      </w:r>
      <w:r w:rsidR="004832D2">
        <w:t>observations</w:t>
      </w:r>
    </w:p>
    <w:p w14:paraId="1F1592E9" w14:textId="77777777" w:rsidR="003E3708" w:rsidRDefault="00592975" w:rsidP="00592975">
      <w:pPr>
        <w:pStyle w:val="MDPI31text"/>
      </w:pPr>
      <w:r w:rsidRPr="00592975">
        <w:rPr>
          <w:shd w:val="clear" w:color="auto" w:fill="FFFFFF"/>
        </w:rPr>
        <w:t xml:space="preserve">SEM observations were made on a Nova </w:t>
      </w:r>
      <w:proofErr w:type="spellStart"/>
      <w:r w:rsidRPr="00592975">
        <w:rPr>
          <w:shd w:val="clear" w:color="auto" w:fill="FFFFFF"/>
        </w:rPr>
        <w:t>NanoSEM</w:t>
      </w:r>
      <w:proofErr w:type="spellEnd"/>
      <w:r w:rsidRPr="00592975">
        <w:rPr>
          <w:shd w:val="clear" w:color="auto" w:fill="FFFFFF"/>
        </w:rPr>
        <w:t xml:space="preserve"> 450 microscope (FEI, Eindhoven, Netherlands) in low vacuum at an accelerating voltage of 5kV. An LVD detector was used to image surface topography and a GAD detector for chemical composition differentiation.</w:t>
      </w:r>
      <w:r w:rsidR="003E3708">
        <w:rPr>
          <w:shd w:val="clear" w:color="auto" w:fill="FFFFFF"/>
        </w:rPr>
        <w:t xml:space="preserve"> </w:t>
      </w:r>
    </w:p>
    <w:p w14:paraId="19B1C9FE" w14:textId="77777777" w:rsidR="00E46DDD" w:rsidRDefault="00E46DDD" w:rsidP="00E46DDD">
      <w:pPr>
        <w:pStyle w:val="MDPI22heading2"/>
      </w:pPr>
      <w:r w:rsidRPr="00592975">
        <w:t>2.</w:t>
      </w:r>
      <w:r>
        <w:t>3</w:t>
      </w:r>
      <w:r w:rsidRPr="00592975">
        <w:t xml:space="preserve">.  </w:t>
      </w:r>
      <w:r>
        <w:t>Swelling analysis</w:t>
      </w:r>
    </w:p>
    <w:p w14:paraId="549EC47A" w14:textId="77777777" w:rsidR="00E46DDD" w:rsidRDefault="00E46DDD" w:rsidP="00E46DDD">
      <w:pPr>
        <w:pStyle w:val="MDPI31text"/>
      </w:pPr>
      <w:r>
        <w:t xml:space="preserve">Swelling analysis </w:t>
      </w:r>
      <w:r w:rsidR="00580461" w:rsidRPr="00580461">
        <w:rPr>
          <w:color w:val="FF0000"/>
        </w:rPr>
        <w:t>of the biomaterials</w:t>
      </w:r>
      <w:r w:rsidR="00580461">
        <w:t xml:space="preserve"> </w:t>
      </w:r>
      <w:r>
        <w:t>w</w:t>
      </w:r>
      <w:r w:rsidR="00E318B4">
        <w:t xml:space="preserve">as </w:t>
      </w:r>
      <w:r w:rsidR="00457573">
        <w:rPr>
          <w:color w:val="FF0000"/>
        </w:rPr>
        <w:t>performed</w:t>
      </w:r>
      <w:r w:rsidR="00457573">
        <w:t xml:space="preserve"> </w:t>
      </w:r>
      <w:r w:rsidR="00457573" w:rsidRPr="00457573">
        <w:rPr>
          <w:color w:val="FF0000"/>
        </w:rPr>
        <w:t>by</w:t>
      </w:r>
      <w:r w:rsidR="00457573">
        <w:t xml:space="preserve"> </w:t>
      </w:r>
      <w:r w:rsidR="00457573" w:rsidRPr="00457573">
        <w:rPr>
          <w:color w:val="FF0000"/>
        </w:rPr>
        <w:t>measuring</w:t>
      </w:r>
      <w:r w:rsidR="00580461">
        <w:t xml:space="preserve"> </w:t>
      </w:r>
      <w:r w:rsidR="00580461" w:rsidRPr="00580461">
        <w:rPr>
          <w:color w:val="FF0000"/>
        </w:rPr>
        <w:t>the</w:t>
      </w:r>
      <w:r w:rsidR="00580461">
        <w:rPr>
          <w:color w:val="FF0000"/>
        </w:rPr>
        <w:t>ir</w:t>
      </w:r>
      <w:r w:rsidR="00580461" w:rsidRPr="00580461">
        <w:rPr>
          <w:color w:val="FF0000"/>
        </w:rPr>
        <w:t xml:space="preserve"> ability to absorb</w:t>
      </w:r>
      <w:r w:rsidR="00580461">
        <w:t xml:space="preserve"> fluid </w:t>
      </w:r>
      <w:r w:rsidR="00580461" w:rsidRPr="00580461">
        <w:rPr>
          <w:color w:val="FF0000"/>
        </w:rPr>
        <w:t>over time</w:t>
      </w:r>
      <w:r>
        <w:t xml:space="preserve">. Autoclaved </w:t>
      </w:r>
      <w:r w:rsidR="004B786C">
        <w:t>biomaterials</w:t>
      </w:r>
      <w:r>
        <w:t xml:space="preserve"> of 40/0, 40/2.32,</w:t>
      </w:r>
      <w:r>
        <w:rPr>
          <w:vertAlign w:val="subscript"/>
        </w:rPr>
        <w:t xml:space="preserve"> </w:t>
      </w:r>
      <w:r>
        <w:t>and 40/5</w:t>
      </w:r>
      <w:r>
        <w:rPr>
          <w:vertAlign w:val="subscript"/>
        </w:rPr>
        <w:t xml:space="preserve"> </w:t>
      </w:r>
      <w:r w:rsidR="00E318B4" w:rsidRPr="00E318B4">
        <w:rPr>
          <w:color w:val="FF0000"/>
        </w:rPr>
        <w:t>were incubated</w:t>
      </w:r>
      <w:r w:rsidR="00E318B4">
        <w:t xml:space="preserve"> in </w:t>
      </w:r>
      <w:r>
        <w:t>solutions of phosphate buffer saline (PBS) and simulated body fluid (SBF) for 7 days at 37</w:t>
      </w:r>
      <w:r w:rsidRPr="000B26BB">
        <w:rPr>
          <w:rFonts w:cstheme="minorHAnsi"/>
        </w:rPr>
        <w:t>°</w:t>
      </w:r>
      <w:r>
        <w:rPr>
          <w:rFonts w:cstheme="minorHAnsi"/>
        </w:rPr>
        <w:t xml:space="preserve">C. The </w:t>
      </w:r>
      <w:r w:rsidR="004B786C">
        <w:rPr>
          <w:rFonts w:cstheme="minorHAnsi"/>
        </w:rPr>
        <w:t>biomaterials</w:t>
      </w:r>
      <w:r>
        <w:rPr>
          <w:rFonts w:cstheme="minorHAnsi"/>
        </w:rPr>
        <w:t xml:space="preserve"> (5 for each group) were weighed at 0 hrs, 24 hrs, </w:t>
      </w:r>
      <w:r>
        <w:t>48 hrs, a</w:t>
      </w:r>
      <w:r w:rsidR="00457573">
        <w:t xml:space="preserve">nd 168 hrs. </w:t>
      </w:r>
      <w:r w:rsidR="00457573">
        <w:rPr>
          <w:color w:val="FF0000"/>
        </w:rPr>
        <w:t xml:space="preserve">Before </w:t>
      </w:r>
      <w:r w:rsidR="00457573">
        <w:t>weigh</w:t>
      </w:r>
      <w:r w:rsidR="00457573" w:rsidRPr="00457573">
        <w:rPr>
          <w:color w:val="FF0000"/>
        </w:rPr>
        <w:t>ing</w:t>
      </w:r>
      <w:r w:rsidR="00457573">
        <w:t>,</w:t>
      </w:r>
      <w:r>
        <w:t xml:space="preserve"> they were first </w:t>
      </w:r>
      <w:r w:rsidR="00EA3F39">
        <w:t>placed</w:t>
      </w:r>
      <w:r>
        <w:t xml:space="preserve"> o</w:t>
      </w:r>
      <w:r w:rsidR="00A041FB">
        <w:t xml:space="preserve">n absorbent paper to remove </w:t>
      </w:r>
      <w:proofErr w:type="gramStart"/>
      <w:r>
        <w:t>solution</w:t>
      </w:r>
      <w:proofErr w:type="gramEnd"/>
      <w:r>
        <w:t xml:space="preserve"> present on the surface. The swelling ratio of each sample was calculated using equation 1:</w:t>
      </w:r>
    </w:p>
    <w:p w14:paraId="69E466CB" w14:textId="77777777" w:rsidR="00E46DDD" w:rsidRPr="009F5AE1" w:rsidRDefault="00E46DDD" w:rsidP="00E46DDD">
      <w:pPr>
        <w:pStyle w:val="MDPI31text"/>
      </w:pPr>
    </w:p>
    <w:p w14:paraId="7A4857DA" w14:textId="77777777" w:rsidR="00E46DDD" w:rsidRDefault="00000000" w:rsidP="00E46DDD">
      <w:pPr>
        <w:pStyle w:val="MDPI22heading2"/>
        <w:jc w:val="center"/>
        <w:rPr>
          <w:i w:val="0"/>
        </w:rPr>
      </w:pPr>
      <m:oMath>
        <m:f>
          <m:fPr>
            <m:ctrlPr>
              <w:rPr>
                <w:rFonts w:ascii="Cambria Math" w:hAnsi="Cambria Math"/>
              </w:rPr>
            </m:ctrlPr>
          </m:fPr>
          <m:num>
            <m:r>
              <w:rPr>
                <w:rFonts w:ascii="Cambria Math" w:hAnsi="Cambria Math"/>
              </w:rPr>
              <m:t>WA-WB</m:t>
            </m:r>
          </m:num>
          <m:den>
            <m:r>
              <w:rPr>
                <w:rFonts w:ascii="Cambria Math" w:hAnsi="Cambria Math"/>
              </w:rPr>
              <m:t>WB</m:t>
            </m:r>
          </m:den>
        </m:f>
        <m:r>
          <w:rPr>
            <w:rFonts w:ascii="Cambria Math" w:hAnsi="Cambria Math"/>
          </w:rPr>
          <m:t xml:space="preserve"> ×100</m:t>
        </m:r>
      </m:oMath>
      <w:r w:rsidR="00E46DDD">
        <w:rPr>
          <w:i w:val="0"/>
        </w:rPr>
        <w:t xml:space="preserve"> </w:t>
      </w:r>
      <w:r w:rsidR="00E46DDD">
        <w:rPr>
          <w:i w:val="0"/>
        </w:rPr>
        <w:tab/>
      </w:r>
      <w:r w:rsidR="00E46DDD">
        <w:rPr>
          <w:i w:val="0"/>
        </w:rPr>
        <w:tab/>
      </w:r>
      <w:r w:rsidR="00E46DDD">
        <w:rPr>
          <w:i w:val="0"/>
        </w:rPr>
        <w:tab/>
      </w:r>
      <w:r w:rsidR="00E46DDD">
        <w:rPr>
          <w:i w:val="0"/>
        </w:rPr>
        <w:tab/>
      </w:r>
      <w:r w:rsidR="00E46DDD">
        <w:rPr>
          <w:i w:val="0"/>
        </w:rPr>
        <w:tab/>
      </w:r>
      <w:r w:rsidR="00E46DDD">
        <w:rPr>
          <w:i w:val="0"/>
        </w:rPr>
        <w:tab/>
        <w:t>(1)</w:t>
      </w:r>
      <w:r w:rsidR="00E318B4">
        <w:rPr>
          <w:i w:val="0"/>
        </w:rPr>
        <w:t>,</w:t>
      </w:r>
    </w:p>
    <w:p w14:paraId="445F4BCB" w14:textId="77777777" w:rsidR="00E46DDD" w:rsidRDefault="00E46DDD" w:rsidP="00E46DDD">
      <w:pPr>
        <w:pStyle w:val="MDPI22heading2"/>
        <w:rPr>
          <w:i w:val="0"/>
        </w:rPr>
      </w:pPr>
    </w:p>
    <w:p w14:paraId="16EB7F7E" w14:textId="3E24CC61" w:rsidR="00E46DDD" w:rsidRDefault="00E46DDD" w:rsidP="00592975">
      <w:pPr>
        <w:pStyle w:val="MDPI31text"/>
      </w:pPr>
      <w:r>
        <w:rPr>
          <w:i/>
        </w:rPr>
        <w:lastRenderedPageBreak/>
        <w:tab/>
      </w:r>
      <w:r w:rsidR="00E318B4" w:rsidRPr="00E318B4">
        <w:rPr>
          <w:color w:val="FF0000"/>
        </w:rPr>
        <w:t>Where, WA denotes the weight after swelling, while WB denotes the weight before swelling</w:t>
      </w:r>
      <w:r w:rsidR="00E318B4">
        <w:rPr>
          <w:i/>
          <w:color w:val="FF0000"/>
        </w:rPr>
        <w:t xml:space="preserve">. </w:t>
      </w:r>
      <w:r>
        <w:t xml:space="preserve">The PBS was </w:t>
      </w:r>
      <w:r w:rsidR="003F746C" w:rsidRPr="003F746C">
        <w:rPr>
          <w:color w:val="FF0000"/>
        </w:rPr>
        <w:t>produced</w:t>
      </w:r>
      <w:r>
        <w:t xml:space="preserve"> by dissolving 1 phosphate buffered saline tablet in 200 mL of distilled water to obtain a 137 mM NaCl, 2.7 mM </w:t>
      </w:r>
      <w:proofErr w:type="spellStart"/>
      <w:r>
        <w:t>KCl</w:t>
      </w:r>
      <w:proofErr w:type="spellEnd"/>
      <w:r>
        <w:t>, and 10 mM phosphate buffer saline, which has a pH of 7.4 at 25</w:t>
      </w:r>
      <w:r w:rsidRPr="000B26BB">
        <w:t>°</w:t>
      </w:r>
      <w:r>
        <w:t xml:space="preserve">C. SBF was prepared according to procedure described previously in detail </w:t>
      </w:r>
      <w:r w:rsidR="00590160">
        <w:fldChar w:fldCharType="begin" w:fldLock="1"/>
      </w:r>
      <w:r w:rsidR="00BF2AF7">
        <w:instrText>ADDIN CSL_CITATION {"citationItems":[{"id":"ITEM-1","itemData":{"DOI":"10.1016/j.carbpol.2017.02.015","ISSN":"01448617","abstract":"© 2017 Elsevier Ltd The aim of this study was to determine which procedure for β-1,3-glucan gelation – newly developed dialysis against calcium salt or described in the literature thermal technique – is more appropriate for fabrication of a biomaterial designed for bone tissue engineering applications. Thus, β-1,3-glucan/hydroxyapatite scaffolds were prepared based on two different methods and their physicochemical, microstructural, and biological properties were compared. Obtained results demonstrated that unlike thermal method-prepared β-1,3-glucan/hydroxyapatite material (glu/HA T), bone scaffold fabricated via dialysis method (glu/HA D) possessed rough surface resulting from the presence of CaCl2 precipitates as proven by SEM and EDS analysis. As a consequence, glu/HA D scaffold released Ca2+ ions to the surrounding environment positively affecting osteoblast behaviour and biomineralization in vitro. Since glu/HA D material exhibited better bioactivity and biocompatibility compared to the glu/HA T scaffold, it may be concluded that the dialysis method is more suitable for β-1,3-glucan/hydroxyapatite biomaterial fabrication.","author":[{"dropping-particle":"","family":"Klimek","given":"K.","non-dropping-particle":"","parse-names":false,"suffix":""},{"dropping-particle":"","family":"Przekora","given":"A.","non-dropping-particle":"","parse-names":false,"suffix":""},{"dropping-particle":"","family":"Benko","given":"A.","non-dropping-particle":"","parse-names":false,"suffix":""},{"dropping-particle":"","family":"Niemiec","given":"W.","non-dropping-particle":"","parse-names":false,"suffix":""},{"dropping-particle":"","family":"Blazewicz","given":"M.","non-dropping-particle":"","parse-names":false,"suffix":""},{"dropping-particle":"","family":"Ginalska","given":"G.","non-dropping-particle":"","parse-names":false,"suffix":""}],"container-title":"Carbohydrate Polymers","id":"ITEM-1","issued":{"date-parts":[["2017"]]},"page":"170-178","title":"The use of calcium ions instead of heat treatment for β-1,3-glucan gelation improves biocompatibility of the β-1,3-glucan/HA bone scaffold","type":"article-journal","volume":"164"},"uris":["http://www.mendeley.com/documents/?uuid=0b74665a-6235-3d05-b385-7e564d509397"]}],"mendeley":{"formattedCitation":"[18]","plainTextFormattedCitation":"[18]","previouslyFormattedCitation":"[18]"},"properties":{"noteIndex":0},"schema":"https://github.com/citation-style-language/schema/raw/master/csl-citation.json"}</w:instrText>
      </w:r>
      <w:r w:rsidR="00590160">
        <w:fldChar w:fldCharType="separate"/>
      </w:r>
      <w:r w:rsidR="00BF2AF7" w:rsidRPr="00BF2AF7">
        <w:rPr>
          <w:noProof/>
        </w:rPr>
        <w:t>[18]</w:t>
      </w:r>
      <w:r w:rsidR="00590160">
        <w:fldChar w:fldCharType="end"/>
      </w:r>
      <w:r>
        <w:t xml:space="preserve">. SBF also has a pH of 7.4 adjusted using 1.0 mol of HCl after adding the other reagents. All reagents used for preparation of PBS and SBF were supplied by Merck Life Science, Gillingham, Dorset, UK.  </w:t>
      </w:r>
    </w:p>
    <w:p w14:paraId="6386C8F5" w14:textId="77777777" w:rsidR="00E46DDD" w:rsidRDefault="00E46DDD" w:rsidP="00E46DDD">
      <w:pPr>
        <w:pStyle w:val="MDPI22heading2"/>
      </w:pPr>
      <w:r w:rsidRPr="00592975">
        <w:t>2.</w:t>
      </w:r>
      <w:r>
        <w:t>4</w:t>
      </w:r>
      <w:r w:rsidRPr="00592975">
        <w:t xml:space="preserve">.  </w:t>
      </w:r>
      <w:r>
        <w:t>Mechanical compression testing</w:t>
      </w:r>
    </w:p>
    <w:p w14:paraId="44D84415" w14:textId="0DF00261" w:rsidR="00E46DDD" w:rsidRPr="00E46DDD" w:rsidRDefault="00E46DDD" w:rsidP="00EA3F39">
      <w:pPr>
        <w:pStyle w:val="MDPI31text"/>
      </w:pPr>
      <w:r>
        <w:t xml:space="preserve">Compression testing was carried out using </w:t>
      </w:r>
      <w:r w:rsidR="00EA3F39">
        <w:t>an</w:t>
      </w:r>
      <w:r>
        <w:t xml:space="preserve"> Instron 3345 5kN testing machine (In</w:t>
      </w:r>
      <w:r w:rsidR="00E318B4">
        <w:t>stron, Norwood, MA, USA)</w:t>
      </w:r>
      <w:r w:rsidR="00213722">
        <w:t xml:space="preserve"> </w:t>
      </w:r>
      <w:r w:rsidR="00642F50">
        <w:rPr>
          <w:color w:val="FF0000"/>
        </w:rPr>
        <w:t xml:space="preserve">in a manner </w:t>
      </w:r>
      <w:proofErr w:type="gramStart"/>
      <w:r w:rsidR="00642F50">
        <w:rPr>
          <w:color w:val="FF0000"/>
        </w:rPr>
        <w:t>similar to</w:t>
      </w:r>
      <w:proofErr w:type="gramEnd"/>
      <w:r w:rsidR="00642F50">
        <w:rPr>
          <w:color w:val="FF0000"/>
        </w:rPr>
        <w:t xml:space="preserve"> </w:t>
      </w:r>
      <w:r w:rsidR="00213722" w:rsidRPr="00642F50">
        <w:rPr>
          <w:color w:val="FF0000"/>
        </w:rPr>
        <w:t xml:space="preserve">that </w:t>
      </w:r>
      <w:r w:rsidR="00642F50">
        <w:rPr>
          <w:color w:val="FF0000"/>
        </w:rPr>
        <w:t xml:space="preserve">described in our </w:t>
      </w:r>
      <w:r w:rsidR="00213722" w:rsidRPr="00642F50">
        <w:rPr>
          <w:color w:val="FF0000"/>
        </w:rPr>
        <w:t>previous publications [10,11]</w:t>
      </w:r>
      <w:r w:rsidR="00E318B4" w:rsidRPr="00642F50">
        <w:rPr>
          <w:color w:val="FF0000"/>
        </w:rPr>
        <w:t>.</w:t>
      </w:r>
      <w:r w:rsidR="00E318B4">
        <w:t xml:space="preserve"> </w:t>
      </w:r>
      <w:r w:rsidR="00E318B4" w:rsidRPr="00E318B4">
        <w:rPr>
          <w:color w:val="FF0000"/>
        </w:rPr>
        <w:t>The</w:t>
      </w:r>
      <w:r w:rsidR="00E318B4">
        <w:t xml:space="preserve"> </w:t>
      </w:r>
      <w:proofErr w:type="spellStart"/>
      <w:r>
        <w:t>Bluehill</w:t>
      </w:r>
      <w:proofErr w:type="spellEnd"/>
      <w:r>
        <w:t xml:space="preserve"> Universal software</w:t>
      </w:r>
      <w:r w:rsidR="00E318B4">
        <w:t xml:space="preserve"> </w:t>
      </w:r>
      <w:r w:rsidR="00E318B4" w:rsidRPr="00E318B4">
        <w:rPr>
          <w:color w:val="FF0000"/>
        </w:rPr>
        <w:t>was applied</w:t>
      </w:r>
      <w:r>
        <w:t xml:space="preserve"> </w:t>
      </w:r>
      <w:r w:rsidR="00E318B4" w:rsidRPr="00E318B4">
        <w:rPr>
          <w:color w:val="FF0000"/>
        </w:rPr>
        <w:t>to achieve</w:t>
      </w:r>
      <w:r w:rsidR="00E318B4">
        <w:t xml:space="preserve"> </w:t>
      </w:r>
      <w:r>
        <w:t>the displace</w:t>
      </w:r>
      <w:r w:rsidR="00E318B4">
        <w:t xml:space="preserve">ment rate </w:t>
      </w:r>
      <w:r w:rsidR="00E318B4" w:rsidRPr="00E318B4">
        <w:rPr>
          <w:color w:val="FF0000"/>
        </w:rPr>
        <w:t>equals</w:t>
      </w:r>
      <w:r>
        <w:t xml:space="preserve"> to 4 mm min</w:t>
      </w:r>
      <w:r>
        <w:rPr>
          <w:vertAlign w:val="superscript"/>
        </w:rPr>
        <w:t>-1</w:t>
      </w:r>
      <w:r w:rsidRPr="003F746C">
        <w:rPr>
          <w:color w:val="FF0000"/>
          <w:vertAlign w:val="superscript"/>
        </w:rPr>
        <w:t xml:space="preserve"> </w:t>
      </w:r>
      <w:r w:rsidRPr="003F746C">
        <w:rPr>
          <w:color w:val="FF0000"/>
        </w:rPr>
        <w:t xml:space="preserve">until </w:t>
      </w:r>
      <w:r w:rsidR="003F746C" w:rsidRPr="003F746C">
        <w:rPr>
          <w:color w:val="FF0000"/>
        </w:rPr>
        <w:t xml:space="preserve">sample failure. </w:t>
      </w:r>
      <w:r w:rsidR="004B786C">
        <w:t>Biomaterials</w:t>
      </w:r>
      <w:r>
        <w:t xml:space="preserve"> of diameter </w:t>
      </w:r>
      <w:r w:rsidR="00EA3F39">
        <w:t>8</w:t>
      </w:r>
      <w:r>
        <w:t xml:space="preserve"> mm and height</w:t>
      </w:r>
      <w:r w:rsidR="00944176">
        <w:t xml:space="preserve"> </w:t>
      </w:r>
      <w:r w:rsidR="00EA3F39">
        <w:t>1</w:t>
      </w:r>
      <w:r>
        <w:t>0 mm were compressed</w:t>
      </w:r>
      <w:r w:rsidR="00E318B4">
        <w:t>. The effect of both 40/0 and 40/2.32 as well as 40/5</w:t>
      </w:r>
      <w:r>
        <w:t xml:space="preserve"> on mechanical proper</w:t>
      </w:r>
      <w:r w:rsidR="00E318B4">
        <w:t xml:space="preserve">ties were </w:t>
      </w:r>
      <w:r w:rsidR="00E318B4" w:rsidRPr="00E318B4">
        <w:rPr>
          <w:color w:val="FF0000"/>
        </w:rPr>
        <w:t>assessed</w:t>
      </w:r>
      <w:r w:rsidRPr="00E318B4">
        <w:rPr>
          <w:color w:val="FF0000"/>
        </w:rPr>
        <w:t xml:space="preserve"> </w:t>
      </w:r>
      <w:r>
        <w:t>(</w:t>
      </w:r>
      <w:r w:rsidRPr="004832D2">
        <w:rPr>
          <w:i/>
        </w:rPr>
        <w:t>n</w:t>
      </w:r>
      <w:r>
        <w:t>=</w:t>
      </w:r>
      <w:r w:rsidR="00944176">
        <w:t>10</w:t>
      </w:r>
      <w:r>
        <w:t xml:space="preserve">). </w:t>
      </w:r>
    </w:p>
    <w:p w14:paraId="37B8B4BE" w14:textId="77777777" w:rsidR="00592975" w:rsidRDefault="00592975" w:rsidP="00592975">
      <w:pPr>
        <w:pStyle w:val="MDPI22heading2"/>
      </w:pPr>
      <w:r w:rsidRPr="00592975">
        <w:t>2.</w:t>
      </w:r>
      <w:r w:rsidR="00E46DDD">
        <w:t>5</w:t>
      </w:r>
      <w:r w:rsidRPr="00592975">
        <w:t xml:space="preserve">.  </w:t>
      </w:r>
      <w:r>
        <w:t>Fourier transform infrared (FTIR) spectroscopy</w:t>
      </w:r>
      <w:r w:rsidR="004832D2">
        <w:t xml:space="preserve"> analysis</w:t>
      </w:r>
    </w:p>
    <w:p w14:paraId="43FAB211" w14:textId="77777777" w:rsidR="00592975" w:rsidRPr="00864688" w:rsidRDefault="00592975" w:rsidP="00592975">
      <w:pPr>
        <w:pStyle w:val="MDPI31text"/>
      </w:pPr>
      <w:r>
        <w:t>Spectra in the mid-IR region</w:t>
      </w:r>
      <w:r w:rsidR="003E3708">
        <w:t xml:space="preserve"> (</w:t>
      </w:r>
      <w:r w:rsidR="00EA3F39" w:rsidRPr="00EA3F39">
        <w:t>Agilent Technology, Cheadle, U</w:t>
      </w:r>
      <w:r w:rsidR="00BC7DB0">
        <w:t xml:space="preserve">nited </w:t>
      </w:r>
      <w:r w:rsidR="00EA3F39" w:rsidRPr="00EA3F39">
        <w:t>K</w:t>
      </w:r>
      <w:r w:rsidR="00BC7DB0">
        <w:t>ingdom</w:t>
      </w:r>
      <w:r w:rsidR="003E3708">
        <w:t>)</w:t>
      </w:r>
      <w:r>
        <w:t xml:space="preserve"> was obtained (4000-650 cm</w:t>
      </w:r>
      <w:r>
        <w:rPr>
          <w:vertAlign w:val="superscript"/>
        </w:rPr>
        <w:t>-1</w:t>
      </w:r>
      <w:r>
        <w:t xml:space="preserve">) as this region corresponds to the majority of primary absorption frequencies </w:t>
      </w:r>
      <w:r w:rsidR="00590160">
        <w:fldChar w:fldCharType="begin" w:fldLock="1"/>
      </w:r>
      <w:r w:rsidR="00BF2AF7">
        <w:instrText>ADDIN CSL_CITATION {"citationItems":[{"id":"ITEM-1","itemData":{"author":[{"dropping-particle":"","family":"Kalaskar","given":"Deepak","non-dropping-particle":"","parse-names":false,"suffix":""}],"editor":[{"dropping-particle":"","family":"Zhang","given":"Xiang","non-dropping-particle":"","parse-names":false,"suffix":""}],"id":"ITEM-1","issued":{"date-parts":[["2014"]]},"number-of-pages":"45-87","publisher":"Smithers Rapra","publisher-place":"United Kingdom","title":"Inorganic Biomaterials: Structure, Properties and Applications","type":"book"},"uris":["http://www.mendeley.com/documents/?uuid=54bb442a-373b-4b91-bb76-52beeaea93be"]}],"mendeley":{"formattedCitation":"[19]","plainTextFormattedCitation":"[19]","previouslyFormattedCitation":"[19]"},"properties":{"noteIndex":0},"schema":"https://github.com/citation-style-language/schema/raw/master/csl-citation.json"}</w:instrText>
      </w:r>
      <w:r w:rsidR="00590160">
        <w:fldChar w:fldCharType="separate"/>
      </w:r>
      <w:r w:rsidR="00BF2AF7" w:rsidRPr="00BF2AF7">
        <w:rPr>
          <w:noProof/>
        </w:rPr>
        <w:t>[19]</w:t>
      </w:r>
      <w:r w:rsidR="00590160">
        <w:fldChar w:fldCharType="end"/>
      </w:r>
      <w:r>
        <w:t>. The mid-IR spectrum is divided into 4 regions: the single bond region (2500-4000 cm</w:t>
      </w:r>
      <w:r w:rsidRPr="00746FC1">
        <w:rPr>
          <w:vertAlign w:val="superscript"/>
        </w:rPr>
        <w:t>-</w:t>
      </w:r>
      <w:r>
        <w:rPr>
          <w:vertAlign w:val="superscript"/>
        </w:rPr>
        <w:t>1</w:t>
      </w:r>
      <w:r>
        <w:t xml:space="preserve">), the triple bond region </w:t>
      </w:r>
      <w:bookmarkStart w:id="2" w:name="_Hlk103700550"/>
      <w:r>
        <w:t>(2000-2500 cm</w:t>
      </w:r>
      <w:r w:rsidRPr="00746FC1">
        <w:rPr>
          <w:vertAlign w:val="superscript"/>
        </w:rPr>
        <w:t>-1</w:t>
      </w:r>
      <w:r>
        <w:t>)</w:t>
      </w:r>
      <w:bookmarkEnd w:id="2"/>
      <w:r>
        <w:t>, the double bond region (1500-2000 cm</w:t>
      </w:r>
      <w:r>
        <w:rPr>
          <w:vertAlign w:val="superscript"/>
        </w:rPr>
        <w:t>-1</w:t>
      </w:r>
      <w:r>
        <w:t>), and the fingerprint region (600-1500 cm</w:t>
      </w:r>
      <w:r w:rsidRPr="00746FC1">
        <w:rPr>
          <w:vertAlign w:val="superscript"/>
        </w:rPr>
        <w:t>-</w:t>
      </w:r>
      <w:r>
        <w:rPr>
          <w:vertAlign w:val="superscript"/>
        </w:rPr>
        <w:t>1</w:t>
      </w:r>
      <w:r>
        <w:t xml:space="preserve">) </w:t>
      </w:r>
      <w:r w:rsidR="00590160">
        <w:fldChar w:fldCharType="begin" w:fldLock="1"/>
      </w:r>
      <w:r w:rsidR="00BF2AF7">
        <w:instrText>ADDIN CSL_CITATION {"citationItems":[{"id":"ITEM-1","itemData":{"abstract":"Fourier Transform Infrared (FTIR) has been developed as a tool for the simultaneous determination of organic components, including chemical bond, as well as organic content (e.g., protein, carbohydrate, and lipid). However, until now, there is no further documents for describing the detailed information in the FTIR peaks. The objective of this study was to demonstrate how to read and assess chemical bond and structure of organic material in the FTIR, in which the analysis results were then compared with the literatures. The step-by-step method on how to read the FTIR data was also presented, including reviewing simple to the complex organic materials. This study is potential to be used as a standard information on how to read FTIR peaks in the biochemical and organic materials.","author":[{"dropping-particle":"","family":"Nandiyanto","given":"Asep Bayu Dani","non-dropping-particle":"","parse-names":false,"suffix":""},{"dropping-particle":"","family":"Oktiani","given":"Rosi","non-dropping-particle":"","parse-names":false,"suffix":""},{"dropping-particle":"","family":"Ragadhita","given":"Risti","non-dropping-particle":"","parse-names":false,"suffix":""}],"container-title":"Indonesian Journal of Science &amp; Technology","id":"ITEM-1","issue":"1","issued":{"date-parts":[["2019"]]},"page":"97-118","title":"Indonesian Journal of Science &amp; Technology How to Read and Interpret FTIR Spectroscope of Organic Material","type":"article-journal","volume":"4"},"uris":["http://www.mendeley.com/documents/?uuid=ca61b51e-60df-4860-b55e-7b80a2aef7d3"]}],"mendeley":{"formattedCitation":"[20]","plainTextFormattedCitation":"[20]","previouslyFormattedCitation":"[20]"},"properties":{"noteIndex":0},"schema":"https://github.com/citation-style-language/schema/raw/master/csl-citation.json"}</w:instrText>
      </w:r>
      <w:r w:rsidR="00590160">
        <w:fldChar w:fldCharType="separate"/>
      </w:r>
      <w:r w:rsidR="00BF2AF7" w:rsidRPr="00BF2AF7">
        <w:rPr>
          <w:noProof/>
        </w:rPr>
        <w:t>[20]</w:t>
      </w:r>
      <w:r w:rsidR="00590160">
        <w:fldChar w:fldCharType="end"/>
      </w:r>
      <w:r>
        <w:t>. An average of 32 scans with a resolution equivalent to 4 cm</w:t>
      </w:r>
      <w:r w:rsidRPr="00864688">
        <w:rPr>
          <w:vertAlign w:val="superscript"/>
        </w:rPr>
        <w:t>-1</w:t>
      </w:r>
      <w:r>
        <w:t xml:space="preserve"> </w:t>
      </w:r>
      <w:proofErr w:type="gramStart"/>
      <w:r>
        <w:t>was</w:t>
      </w:r>
      <w:proofErr w:type="gramEnd"/>
      <w:r>
        <w:t xml:space="preserve"> performed on each sample. </w:t>
      </w:r>
    </w:p>
    <w:p w14:paraId="038E163D" w14:textId="04EE50B2" w:rsidR="00592975" w:rsidRPr="008B3BB4" w:rsidRDefault="00592975" w:rsidP="00592975">
      <w:pPr>
        <w:pStyle w:val="MDPI31text"/>
      </w:pPr>
      <w:r>
        <w:t xml:space="preserve">The dried </w:t>
      </w:r>
      <w:r w:rsidR="004B786C">
        <w:t>biomaterials</w:t>
      </w:r>
      <w:r>
        <w:t xml:space="preserve"> were </w:t>
      </w:r>
      <w:r w:rsidR="003E3708">
        <w:t>analyzed</w:t>
      </w:r>
      <w:r>
        <w:t xml:space="preserve"> using this technique. This was completed so that the large, broad peaks that correspond to O-H are removed</w:t>
      </w:r>
      <w:r w:rsidR="003F746C">
        <w:t>,</w:t>
      </w:r>
      <w:r>
        <w:t xml:space="preserve"> allowing peaks corresponding to WPI and CaSiO</w:t>
      </w:r>
      <w:r>
        <w:rPr>
          <w:vertAlign w:val="subscript"/>
        </w:rPr>
        <w:t xml:space="preserve">3 </w:t>
      </w:r>
      <w:r>
        <w:t xml:space="preserve">to be </w:t>
      </w:r>
      <w:r w:rsidR="003F746C">
        <w:t>visualized</w:t>
      </w:r>
      <w:r>
        <w:t>. CaSiO</w:t>
      </w:r>
      <w:r>
        <w:rPr>
          <w:vertAlign w:val="subscript"/>
        </w:rPr>
        <w:t>3</w:t>
      </w:r>
      <w:r>
        <w:t xml:space="preserve"> powder was also later </w:t>
      </w:r>
      <w:r w:rsidR="00944176">
        <w:t>analyzed</w:t>
      </w:r>
      <w:r>
        <w:t xml:space="preserve"> using FTIR</w:t>
      </w:r>
      <w:r w:rsidR="002C0760">
        <w:t>.</w:t>
      </w:r>
    </w:p>
    <w:p w14:paraId="7CF7D063" w14:textId="77777777" w:rsidR="00F127A8" w:rsidRDefault="00F127A8" w:rsidP="00F127A8">
      <w:pPr>
        <w:pStyle w:val="MDPI22heading2"/>
      </w:pPr>
      <w:r w:rsidRPr="00592975">
        <w:t>2.</w:t>
      </w:r>
      <w:r w:rsidR="00944176">
        <w:t>6</w:t>
      </w:r>
      <w:r w:rsidRPr="00592975">
        <w:t xml:space="preserve">.  </w:t>
      </w:r>
      <w:r>
        <w:t>Cytocompatibility in vitro</w:t>
      </w:r>
    </w:p>
    <w:p w14:paraId="4A0268F0" w14:textId="6201F010" w:rsidR="00F71971" w:rsidRPr="00C25E5D" w:rsidRDefault="002F6A76" w:rsidP="005728A8">
      <w:pPr>
        <w:pStyle w:val="MDPI31text"/>
      </w:pPr>
      <w:r>
        <w:tab/>
        <w:t xml:space="preserve">Cell culture experiments </w:t>
      </w:r>
      <w:r w:rsidRPr="005728A8">
        <w:rPr>
          <w:i/>
        </w:rPr>
        <w:t>in vitro</w:t>
      </w:r>
      <w:r>
        <w:t xml:space="preserve"> were performed</w:t>
      </w:r>
      <w:r w:rsidR="00BC7DB0">
        <w:t xml:space="preserve"> using</w:t>
      </w:r>
      <w:r>
        <w:t xml:space="preserve"> normal human fetal osteoblasts (</w:t>
      </w:r>
      <w:proofErr w:type="spellStart"/>
      <w:r>
        <w:t>hFOB</w:t>
      </w:r>
      <w:proofErr w:type="spellEnd"/>
      <w:r>
        <w:t xml:space="preserve"> 1.19 cell line, ATCC, United Kingdom). T</w:t>
      </w:r>
      <w:r w:rsidR="00C25E5D">
        <w:t>he cells were cultured according</w:t>
      </w:r>
      <w:r>
        <w:t xml:space="preserve"> to ATCC instructions as described </w:t>
      </w:r>
      <w:r w:rsidR="00AC288B">
        <w:t xml:space="preserve">by us </w:t>
      </w:r>
      <w:r>
        <w:t xml:space="preserve">in detail </w:t>
      </w:r>
      <w:r w:rsidR="00BC7DB0">
        <w:t>previously</w:t>
      </w:r>
      <w:r>
        <w:t xml:space="preserve"> </w:t>
      </w:r>
      <w:r w:rsidR="00590160">
        <w:fldChar w:fldCharType="begin" w:fldLock="1"/>
      </w:r>
      <w:r w:rsidR="00BF2AF7">
        <w:instrText>ADDIN CSL_CITATION {"citationItems":[{"id":"ITEM-1","itemData":{"DOI":"10.3390/cells11203251","ISSN":"20734409","PMID":"36291119","abstract":"The number of bone fractures and cracks requiring surgical interventions increases every year; hence, there is a huge need to develop new potential bone scaffolds for bone regeneration. The goal of this study was to gain knowledge about the basic properties of novel curdlan/whey protein isolate/hydroxyapatite biomaterials in the context of their use in bone tissue engineering. The purpose of this research was also to determine whether the concentration of whey protein isolate in scaffolds has an influence on their properties. Thus, two biomaterials differing in the concentration of whey protein isolate (i.e., 25 wt.% and 35 wt.%; hereafter called Cur_WPI25_HAp and Cur_WPI35_HAp, respectively) were fabricated and subjected to evaluation of porosity, mechanical properties, swelling ability, protein release capacity, enzymatic biodegradability, bioactivity, and cytocompatibility towards osteoblasts in vitro. It was found that both biomaterials fulfilled a number of requirements for bone scaffolds, as they demonstrated limited swelling and the ability to undergo controllable enzymatic biodegradation, to form apatite layers on their surfaces and to support the viability, growth, proliferation, and differentiation of osteoblasts. On the other hand, the biomaterials were characterized by low open porosity, which may hinder the penetration of cells though their structure. Moreover, they had low mechanical properties compared to natural bone, which limits their use to filling of bone defects in non-load bearing implantation areas, e.g., in the craniofacial area, but then they will be additionally supported by application of mechanically strong materials such as titanium plates. Thus, this preliminary in vitro research indicates that biomaterials composed of curdlan, whey protein isolate, and hydroxyapatite seem promising for bone tissue engineering applications, but their porosity and mechanical properties should be improved. This will be the subject of our further work.","author":[{"dropping-particle":"","family":"Klimek","given":"Katarzyna","non-dropping-particle":"","parse-names":false,"suffix":""},{"dropping-particle":"","family":"Palka","given":"Krzysztof","non-dropping-particle":"","parse-names":false,"suffix":""},{"dropping-particle":"","family":"Truszkiewicz","given":"Wieslaw","non-dropping-particle":"","parse-names":false,"suffix":""},{"dropping-particle":"","family":"Douglas","given":"Timothy E.L.","non-dropping-particle":"","parse-names":false,"suffix":""},{"dropping-particle":"","family":"Nurzynska","given":"Aleksandra","non-dropping-particle":"","parse-names":false,"suffix":""},{"dropping-particle":"","family":"Ginalska","given":"Grazyna","non-dropping-particle":"","parse-names":false,"suffix":""}],"container-title":"Cells","id":"ITEM-1","issue":"20","issued":{"date-parts":[["2022"]]},"title":"Could Curdlan/Whey Protein Isolate/Hydroxyapatite Biomaterials Be Considered as Promising Bone Scaffolds?—Fabrication, Characterization, and Evaluation of Cytocompatibility towards Osteoblast Cells In Vitro","type":"article-journal","volume":"11"},"uris":["http://www.mendeley.com/documents/?uuid=40f0d3a3-596d-4fb6-91f0-7c968a186324"]}],"mendeley":{"formattedCitation":"[21]","plainTextFormattedCitation":"[21]","previouslyFormattedCitation":"[21]"},"properties":{"noteIndex":0},"schema":"https://github.com/citation-style-language/schema/raw/master/csl-citation.json"}</w:instrText>
      </w:r>
      <w:r w:rsidR="00590160">
        <w:fldChar w:fldCharType="separate"/>
      </w:r>
      <w:r w:rsidR="00BF2AF7" w:rsidRPr="00BF2AF7">
        <w:rPr>
          <w:noProof/>
        </w:rPr>
        <w:t>[21]</w:t>
      </w:r>
      <w:r w:rsidR="00590160">
        <w:fldChar w:fldCharType="end"/>
      </w:r>
      <w:r w:rsidR="005728A8">
        <w:t>. Cell culture</w:t>
      </w:r>
      <w:r w:rsidR="00C25E5D">
        <w:t xml:space="preserve"> experiments</w:t>
      </w:r>
      <w:r w:rsidR="005728A8">
        <w:t xml:space="preserve"> included evaluation of cell proliferation and osteogenic differentiation in direct contact with biomaterial</w:t>
      </w:r>
      <w:r w:rsidR="00BC7DB0">
        <w:t>s</w:t>
      </w:r>
      <w:r w:rsidR="005728A8">
        <w:t>. As a c</w:t>
      </w:r>
      <w:r w:rsidR="00A72AAA">
        <w:t>ontrol, cell</w:t>
      </w:r>
      <w:r w:rsidR="00BC7DB0">
        <w:t>s</w:t>
      </w:r>
      <w:r w:rsidR="00A72AAA">
        <w:t xml:space="preserve"> cultured</w:t>
      </w:r>
      <w:r w:rsidR="005728A8">
        <w:t xml:space="preserve"> on polystyrene (</w:t>
      </w:r>
      <w:r w:rsidR="00AC25C4">
        <w:t>PS) were included</w:t>
      </w:r>
      <w:r w:rsidR="005728A8">
        <w:t xml:space="preserve">. For proliferation assessment, </w:t>
      </w:r>
      <w:proofErr w:type="spellStart"/>
      <w:r w:rsidR="005728A8">
        <w:t>hFOB</w:t>
      </w:r>
      <w:proofErr w:type="spellEnd"/>
      <w:r w:rsidR="005728A8">
        <w:t xml:space="preserve"> 1.19 cells were seeded on biomateri</w:t>
      </w:r>
      <w:r w:rsidR="00A20C65">
        <w:t>al</w:t>
      </w:r>
      <w:r w:rsidR="00BC7DB0">
        <w:t>s</w:t>
      </w:r>
      <w:r w:rsidR="005728A8">
        <w:t xml:space="preserve"> or on PS</w:t>
      </w:r>
      <w:r w:rsidR="00A20C65">
        <w:t xml:space="preserve"> surface</w:t>
      </w:r>
      <w:r w:rsidR="00BC7DB0">
        <w:t>s</w:t>
      </w:r>
      <w:r w:rsidR="005728A8">
        <w:t xml:space="preserve"> at </w:t>
      </w:r>
      <w:r w:rsidR="00BC7DB0">
        <w:t xml:space="preserve">a </w:t>
      </w:r>
      <w:r w:rsidR="005728A8">
        <w:t>concentration of 1 x 10</w:t>
      </w:r>
      <w:r w:rsidR="005728A8">
        <w:rPr>
          <w:vertAlign w:val="superscript"/>
        </w:rPr>
        <w:t>5</w:t>
      </w:r>
      <w:r w:rsidR="00C25E5D">
        <w:t xml:space="preserve"> cells</w:t>
      </w:r>
      <w:r w:rsidR="005728A8">
        <w:t xml:space="preserve"> and incubated for 3 and 6 days. After each time</w:t>
      </w:r>
      <w:r w:rsidR="00F46552">
        <w:t xml:space="preserve"> point, WST-8</w:t>
      </w:r>
      <w:r w:rsidR="00A20C65">
        <w:t xml:space="preserve"> assay (Cell counting Kit-8, Merck Life Science, Gillingham, Dorset, UK)</w:t>
      </w:r>
      <w:r w:rsidR="00F46552">
        <w:t xml:space="preserve"> was</w:t>
      </w:r>
      <w:r w:rsidR="005728A8">
        <w:t xml:space="preserve"> performed to determine </w:t>
      </w:r>
      <w:r w:rsidR="00F46552">
        <w:t>optical density (OD)</w:t>
      </w:r>
      <w:r w:rsidR="005728A8">
        <w:t xml:space="preserve">, which is </w:t>
      </w:r>
      <w:r w:rsidR="00F46552">
        <w:t>strictly</w:t>
      </w:r>
      <w:r w:rsidR="00AC25C4">
        <w:t xml:space="preserve"> correlated </w:t>
      </w:r>
      <w:r w:rsidR="00A72AAA">
        <w:t>with</w:t>
      </w:r>
      <w:r w:rsidR="00F46552">
        <w:t xml:space="preserve"> amount</w:t>
      </w:r>
      <w:r w:rsidR="005728A8">
        <w:t xml:space="preserve"> of</w:t>
      </w:r>
      <w:r w:rsidR="00F46552">
        <w:t xml:space="preserve"> living metabolically active cells. </w:t>
      </w:r>
      <w:r w:rsidR="00A20C65">
        <w:t>Furthermore</w:t>
      </w:r>
      <w:r w:rsidR="00E90AB9">
        <w:t>,</w:t>
      </w:r>
      <w:r w:rsidR="00C25E5D" w:rsidRPr="00C25E5D">
        <w:t xml:space="preserve"> </w:t>
      </w:r>
      <w:r w:rsidR="00C25E5D">
        <w:t>after this step</w:t>
      </w:r>
      <w:r w:rsidR="00E352E0">
        <w:t xml:space="preserve"> (</w:t>
      </w:r>
      <w:r w:rsidR="00A20C65">
        <w:t>WST-8 assay is non-cytotoxic for cells</w:t>
      </w:r>
      <w:r w:rsidR="00E352E0">
        <w:t>)</w:t>
      </w:r>
      <w:r w:rsidR="00A20C65">
        <w:t xml:space="preserve">, </w:t>
      </w:r>
      <w:r w:rsidR="00A72AAA">
        <w:t>osteoblasts</w:t>
      </w:r>
      <w:r w:rsidR="00A20C65">
        <w:t xml:space="preserve"> were additionally </w:t>
      </w:r>
      <w:r w:rsidR="00D00A08">
        <w:t xml:space="preserve">fixed and </w:t>
      </w:r>
      <w:r w:rsidR="00A20C65">
        <w:t>stained with Hoechst 33342</w:t>
      </w:r>
      <w:r w:rsidR="00A20C65" w:rsidRPr="00A20C65">
        <w:t xml:space="preserve"> </w:t>
      </w:r>
      <w:r w:rsidR="00A20C65">
        <w:t>(</w:t>
      </w:r>
      <w:proofErr w:type="gramStart"/>
      <w:r w:rsidR="00A20C65">
        <w:t>Merck  Life</w:t>
      </w:r>
      <w:proofErr w:type="gramEnd"/>
      <w:r w:rsidR="00A20C65">
        <w:t xml:space="preserve"> Science, Gillingham, Dorset, UK) and </w:t>
      </w:r>
      <w:proofErr w:type="spellStart"/>
      <w:r w:rsidR="00A20C65">
        <w:t>AlexaFluor</w:t>
      </w:r>
      <w:r w:rsidR="00A20C65">
        <w:rPr>
          <w:vertAlign w:val="superscript"/>
        </w:rPr>
        <w:t>TM</w:t>
      </w:r>
      <w:proofErr w:type="spellEnd"/>
      <w:r w:rsidR="00A20C65">
        <w:t xml:space="preserve"> 635 Phalloidin (</w:t>
      </w:r>
      <w:proofErr w:type="spellStart"/>
      <w:r w:rsidR="00F037F9">
        <w:t>ThermoFisher</w:t>
      </w:r>
      <w:proofErr w:type="spellEnd"/>
      <w:r w:rsidR="00F037F9">
        <w:t xml:space="preserve"> Scientific, Waltham, MA, USA</w:t>
      </w:r>
      <w:r w:rsidR="00A20C65">
        <w:t>) dyes to visualize cell nuclei and cytoskeleton</w:t>
      </w:r>
      <w:r w:rsidR="00AC288B">
        <w:t>, respectively</w:t>
      </w:r>
      <w:r w:rsidR="00F037F9">
        <w:t xml:space="preserve">. The cells were observed and photographed using confocal laser scanning microscope (CLSM, Olympus </w:t>
      </w:r>
      <w:proofErr w:type="spellStart"/>
      <w:r w:rsidR="00F037F9">
        <w:t>Fluoview</w:t>
      </w:r>
      <w:proofErr w:type="spellEnd"/>
      <w:r w:rsidR="00F037F9">
        <w:t xml:space="preserve"> equipped with FV1000, Shinjuku, Japan).</w:t>
      </w:r>
      <w:r w:rsidR="00D00A08">
        <w:t xml:space="preserve"> </w:t>
      </w:r>
      <w:proofErr w:type="gramStart"/>
      <w:r w:rsidR="00A42A75">
        <w:t>In order to</w:t>
      </w:r>
      <w:proofErr w:type="gramEnd"/>
      <w:r w:rsidR="00A42A75">
        <w:t xml:space="preserve"> evaluate osteogenic differentiation of osteoblasts, cells were also seeded directly on biomaterial</w:t>
      </w:r>
      <w:r w:rsidR="00BC7DB0">
        <w:t>s</w:t>
      </w:r>
      <w:r w:rsidR="00A42A75">
        <w:t xml:space="preserve"> or on PS surface</w:t>
      </w:r>
      <w:r w:rsidR="00BC7DB0">
        <w:t>s</w:t>
      </w:r>
      <w:r w:rsidR="00A42A75">
        <w:t xml:space="preserve"> (control experiment) at </w:t>
      </w:r>
      <w:r w:rsidR="00BC7DB0">
        <w:t xml:space="preserve">a </w:t>
      </w:r>
      <w:r w:rsidR="00A42A75">
        <w:t>concentration of 1 x 10</w:t>
      </w:r>
      <w:r w:rsidR="00A42A75">
        <w:rPr>
          <w:vertAlign w:val="superscript"/>
        </w:rPr>
        <w:t>5</w:t>
      </w:r>
      <w:r w:rsidR="00AC288B">
        <w:t xml:space="preserve"> cells</w:t>
      </w:r>
      <w:r w:rsidR="00A42A75">
        <w:t>. After 24 hour</w:t>
      </w:r>
      <w:r w:rsidR="00AC288B">
        <w:t>s of</w:t>
      </w:r>
      <w:r w:rsidR="00A42A75">
        <w:t xml:space="preserve"> incubation, the </w:t>
      </w:r>
      <w:r w:rsidR="00AC288B">
        <w:t xml:space="preserve">basic medium </w:t>
      </w:r>
      <w:r w:rsidR="005166B7">
        <w:t>was</w:t>
      </w:r>
      <w:r w:rsidR="00AC288B">
        <w:t xml:space="preserve"> replaced with</w:t>
      </w:r>
      <w:r w:rsidR="00BC7DB0">
        <w:t xml:space="preserve"> an</w:t>
      </w:r>
      <w:r w:rsidR="00AC288B">
        <w:t xml:space="preserve"> osteogenic one</w:t>
      </w:r>
      <w:r w:rsidR="00A42A75">
        <w:t xml:space="preserve"> (</w:t>
      </w:r>
      <w:r w:rsidR="00AC288B">
        <w:t xml:space="preserve">basic medium </w:t>
      </w:r>
      <w:r w:rsidR="00A42A75">
        <w:t>supplemented with 10</w:t>
      </w:r>
      <w:r w:rsidR="00A42A75">
        <w:rPr>
          <w:vertAlign w:val="superscript"/>
        </w:rPr>
        <w:t>-7</w:t>
      </w:r>
      <w:r w:rsidR="00A42A75">
        <w:t xml:space="preserve"> M dexamethasone, 10 mM </w:t>
      </w:r>
      <w:r w:rsidR="00A42A75">
        <w:rPr>
          <w:rFonts w:ascii="Times New Roman" w:hAnsi="Times New Roman"/>
        </w:rPr>
        <w:t>β</w:t>
      </w:r>
      <w:r w:rsidR="00A42A75">
        <w:t>-</w:t>
      </w:r>
      <w:proofErr w:type="spellStart"/>
      <w:r w:rsidR="00A42A75">
        <w:t>glycerophospate</w:t>
      </w:r>
      <w:proofErr w:type="spellEnd"/>
      <w:r w:rsidR="00A42A75">
        <w:t>, and 0.05 mg/mL ascorbic</w:t>
      </w:r>
      <w:r w:rsidR="00AC288B">
        <w:t xml:space="preserve"> acid, all reagents from Merck </w:t>
      </w:r>
      <w:r w:rsidR="00A42A75">
        <w:t xml:space="preserve">Life </w:t>
      </w:r>
      <w:r w:rsidR="00AC288B">
        <w:t>Science, Gillingham, Dorset, UK)</w:t>
      </w:r>
      <w:r w:rsidR="00A42A75">
        <w:t xml:space="preserve">. After 7 and 21 days of incubation, </w:t>
      </w:r>
      <w:r w:rsidR="00C622EF">
        <w:t xml:space="preserve">relative expression of </w:t>
      </w:r>
      <w:r w:rsidR="00AC288B">
        <w:t xml:space="preserve">osteogenic </w:t>
      </w:r>
      <w:r w:rsidR="00C622EF">
        <w:t>genes</w:t>
      </w:r>
      <w:r w:rsidR="00A42A75">
        <w:t xml:space="preserve">, namely </w:t>
      </w:r>
      <w:r w:rsidR="00C622EF">
        <w:t>collagen I (</w:t>
      </w:r>
      <w:r w:rsidR="00C25E5D">
        <w:t>C</w:t>
      </w:r>
      <w:r w:rsidR="00C622EF">
        <w:t>ol I), bone alkaline phosphatase (</w:t>
      </w:r>
      <w:proofErr w:type="spellStart"/>
      <w:r w:rsidR="00C622EF">
        <w:t>bALP</w:t>
      </w:r>
      <w:proofErr w:type="spellEnd"/>
      <w:r w:rsidR="00C622EF">
        <w:t>), and osteocalcin (OC) was evaluated via RT-qPCR analysis. The RT-qPCR procedure was performed ac</w:t>
      </w:r>
      <w:r w:rsidR="00C25E5D">
        <w:t xml:space="preserve">cording to </w:t>
      </w:r>
      <w:r w:rsidR="00BC7DB0">
        <w:t xml:space="preserve">the </w:t>
      </w:r>
      <w:r w:rsidR="00C25E5D">
        <w:t>method</w:t>
      </w:r>
      <w:r w:rsidR="00C622EF">
        <w:t xml:space="preserve"> described in detail </w:t>
      </w:r>
      <w:r w:rsidR="005166B7" w:rsidRPr="005166B7">
        <w:rPr>
          <w:color w:val="FF0000"/>
        </w:rPr>
        <w:t>in our</w:t>
      </w:r>
      <w:r w:rsidR="00C25E5D" w:rsidRPr="005166B7">
        <w:rPr>
          <w:color w:val="FF0000"/>
        </w:rPr>
        <w:t xml:space="preserve"> </w:t>
      </w:r>
      <w:r w:rsidR="00C622EF" w:rsidRPr="005166B7">
        <w:rPr>
          <w:color w:val="FF0000"/>
        </w:rPr>
        <w:t>previous</w:t>
      </w:r>
      <w:r w:rsidR="005166B7" w:rsidRPr="005166B7">
        <w:rPr>
          <w:color w:val="FF0000"/>
        </w:rPr>
        <w:t xml:space="preserve"> work</w:t>
      </w:r>
      <w:r w:rsidR="00C622EF">
        <w:t xml:space="preserve"> </w:t>
      </w:r>
      <w:r w:rsidR="00590160">
        <w:fldChar w:fldCharType="begin" w:fldLock="1"/>
      </w:r>
      <w:r w:rsidR="00BF2AF7">
        <w:instrText>ADDIN CSL_CITATION {"citationItems":[{"id":"ITEM-1","itemData":{"DOI":"https://doi.org/10.3390 /cells11020282","author":[{"dropping-particle":"","family":"Klimek","given":"K","non-dropping-particle":"","parse-names":false,"suffix":""},{"dropping-particle":"","family":"Tarczynska","given":"M","non-dropping-particle":"","parse-names":false,"suffix":""},{"dropping-particle":"","family":"Truszkiewicz","given":"W","non-dropping-particle":"","parse-names":false,"suffix":""},{"dropping-particle":"","family":"Gaweda","given":"K","non-dropping-particle":"","parse-names":false,"suffix":""},{"dropping-particle":"","family":"Douglas","given":"T","non-dropping-particle":"","parse-names":false,"suffix":""},{"dropping-particle":"","family":"Ginalska","given":"G","non-dropping-particle":"","parse-names":false,"suffix":""}],"container-title":"Cells","id":"ITEM-1","issued":{"date-parts":[["2022"]]},"page":"282","title":"Freeze-Dried Curdlan/Whey Protein Isolate-Based Biomaterial as Promising Scaffold for Matrix-Associated Autologous Chondrocyte Transplantation — A Pilot In-Vitro Study","type":"article-journal","volume":"11"},"uris":["http://www.mendeley.com/documents/?uuid=a23148ef-71a3-4f7d-95a3-56ce6f81fee6"]}],"mendeley":{"formattedCitation":"[22]","plainTextFormattedCitation":"[22]","previouslyFormattedCitation":"[22]"},"properties":{"noteIndex":0},"schema":"https://github.com/citation-style-language/schema/raw/master/csl-citation.json"}</w:instrText>
      </w:r>
      <w:r w:rsidR="00590160">
        <w:fldChar w:fldCharType="separate"/>
      </w:r>
      <w:r w:rsidR="00BF2AF7" w:rsidRPr="00BF2AF7">
        <w:rPr>
          <w:noProof/>
        </w:rPr>
        <w:t>[22]</w:t>
      </w:r>
      <w:r w:rsidR="00590160">
        <w:fldChar w:fldCharType="end"/>
      </w:r>
      <w:r w:rsidR="00C622EF">
        <w:t xml:space="preserve">. </w:t>
      </w:r>
      <w:r w:rsidR="00C25E5D">
        <w:t xml:space="preserve">As a housekeeping gene, glyceraldehyde-3-phosphate dehydrogenase (GAPDH) was used. The lists of primers, purchased from Merck Life Science, Gillingham, Dorset, UK, are presented in Table 2. Relative gene </w:t>
      </w:r>
      <w:r w:rsidR="00C25E5D">
        <w:lastRenderedPageBreak/>
        <w:t>expressions were calculated via</w:t>
      </w:r>
      <w:r w:rsidR="00A46C99">
        <w:t xml:space="preserve"> </w:t>
      </w:r>
      <w:r w:rsidR="00A46C99" w:rsidRPr="00A46C99">
        <w:rPr>
          <w:color w:val="FF0000"/>
        </w:rPr>
        <w:t>the</w:t>
      </w:r>
      <w:r w:rsidR="00C25E5D">
        <w:t xml:space="preserve"> 2</w:t>
      </w:r>
      <w:r w:rsidR="00C25E5D">
        <w:rPr>
          <w:vertAlign w:val="superscript"/>
        </w:rPr>
        <w:t>-</w:t>
      </w:r>
      <w:r w:rsidR="00C25E5D" w:rsidRPr="00C25E5D">
        <w:rPr>
          <w:rFonts w:ascii="Times New Roman" w:hAnsi="Times New Roman"/>
          <w:vertAlign w:val="superscript"/>
        </w:rPr>
        <w:t>∆∆</w:t>
      </w:r>
      <w:r w:rsidR="00C25E5D">
        <w:rPr>
          <w:rFonts w:ascii="Times New Roman" w:hAnsi="Times New Roman"/>
          <w:vertAlign w:val="superscript"/>
        </w:rPr>
        <w:t xml:space="preserve">Ct </w:t>
      </w:r>
      <w:r w:rsidR="00C25E5D">
        <w:t xml:space="preserve">method according to </w:t>
      </w:r>
      <w:r w:rsidR="00806D9E">
        <w:t xml:space="preserve">the </w:t>
      </w:r>
      <w:r w:rsidR="00C25E5D">
        <w:t xml:space="preserve">recommendations provided by Rao et al. </w:t>
      </w:r>
      <w:r w:rsidR="00590160">
        <w:fldChar w:fldCharType="begin" w:fldLock="1"/>
      </w:r>
      <w:r w:rsidR="00BF2AF7">
        <w:instrText>ADDIN CSL_CITATION {"citationItems":[{"id":"ITEM-1","itemData":{"ISSN":"0976-1594","PMID":"25558171","abstract":"BACKGROUND The 2-ΔΔ CT method has been extensively used as a relative quantification strategy for quantitative real-time polymerase chain reaction (qPCR) data analysis. This method is a convenient way to calculate relative gene expression levels between different samples in that it directly uses the threshold cycles (CTs) generated by the qPCR system for calculation. However, this approach relies heavily on an invalid assumption of 100% PCR amplification efficiency across all samples. In addition, the 2-ΔΔ CT method is applied to data with automatic removal of background fluorescence by the qPCR software. Since the background fluorescence is unknown, subtracting an inaccurate background can lead to distortion of the results. To address these problems, we present an improved method, the individual efficiency corrected calculation. RESULTS Our method takes into account the PCR efficiency of each individual sample. In addition, it eliminates the need for background fluorescence estimation or subtraction because the background can be cancelled out using the differencing strategy. The DNA amount for a certain gene and the relative DNA amount among different samples estimated using our method were closer to the true values compared to the results of the 2-ΔΔ CT method. CONCLUSIONS The improved method, the individual efficiency corrected calculation, produces more accurate estimates in relative gene expression than the 2-ΔΔ CT method and is thus a better way to calculate relative gene expression.","author":[{"dropping-particle":"","family":"Rao","given":"Xiayu","non-dropping-particle":"","parse-names":false,"suffix":""},{"dropping-particle":"","family":"Huang","given":"Xuelin","non-dropping-particle":"","parse-names":false,"suffix":""},{"dropping-particle":"","family":"Zhou","given":"Zhicheng","non-dropping-particle":"","parse-names":false,"suffix":""},{"dropping-particle":"","family":"Lin","given":"Xin","non-dropping-particle":"","parse-names":false,"suffix":""}],"container-title":"Biostatistics, bioinformatics and biomathematics","id":"ITEM-1","issue":"3","issued":{"date-parts":[["2013"]]},"page":"71-85","title":"An improvement of the 2ˆ(-delta delta CT) method for quantitative real-time polymerase chain reaction data analysis.","type":"article-journal","volume":"3"},"uris":["http://www.mendeley.com/documents/?uuid=205057ea-f001-431e-831f-32b08e6e86f6"]}],"mendeley":{"formattedCitation":"[23]","plainTextFormattedCitation":"[23]","previouslyFormattedCitation":"[23]"},"properties":{"noteIndex":0},"schema":"https://github.com/citation-style-language/schema/raw/master/csl-citation.json"}</w:instrText>
      </w:r>
      <w:r w:rsidR="00590160">
        <w:fldChar w:fldCharType="separate"/>
      </w:r>
      <w:r w:rsidR="00BF2AF7" w:rsidRPr="00BF2AF7">
        <w:rPr>
          <w:noProof/>
        </w:rPr>
        <w:t>[23]</w:t>
      </w:r>
      <w:r w:rsidR="00590160">
        <w:fldChar w:fldCharType="end"/>
      </w:r>
      <w:r w:rsidR="00C25E5D">
        <w:t>.</w:t>
      </w:r>
      <w:r w:rsidR="00F71971">
        <w:t xml:space="preserve"> </w:t>
      </w:r>
      <w:r w:rsidR="00A72AAA">
        <w:t>All</w:t>
      </w:r>
      <w:r w:rsidR="00F71971">
        <w:t xml:space="preserve"> analyses were performed in three independent replicates</w:t>
      </w:r>
      <w:r w:rsidR="00A72AAA">
        <w:t xml:space="preserve"> using four </w:t>
      </w:r>
      <w:r w:rsidR="004B786C">
        <w:t>biomaterials</w:t>
      </w:r>
      <w:r w:rsidR="00EB6618">
        <w:t xml:space="preserve"> or PS </w:t>
      </w:r>
      <w:r w:rsidR="00A72AAA">
        <w:t>(</w:t>
      </w:r>
      <w:r w:rsidR="00A72AAA" w:rsidRPr="00A72AAA">
        <w:rPr>
          <w:i/>
        </w:rPr>
        <w:t>n</w:t>
      </w:r>
      <w:r w:rsidR="00A72AAA">
        <w:t xml:space="preserve"> = 4)</w:t>
      </w:r>
      <w:r w:rsidR="00F71971">
        <w:t xml:space="preserve">. </w:t>
      </w:r>
    </w:p>
    <w:p w14:paraId="5980AC82" w14:textId="77777777" w:rsidR="00F71971" w:rsidRPr="00C460EF" w:rsidRDefault="00F71971" w:rsidP="00F71971">
      <w:pPr>
        <w:pStyle w:val="MDPI41tablecaption"/>
      </w:pPr>
      <w:r>
        <w:rPr>
          <w:b/>
        </w:rPr>
        <w:t>Table 2</w:t>
      </w:r>
      <w:r w:rsidRPr="00325902">
        <w:rPr>
          <w:b/>
        </w:rPr>
        <w:t>.</w:t>
      </w:r>
      <w:r w:rsidRPr="00325902">
        <w:t xml:space="preserve"> </w:t>
      </w:r>
      <w:r w:rsidR="00973E68">
        <w:t xml:space="preserve">The primers </w:t>
      </w:r>
      <w:proofErr w:type="gramStart"/>
      <w:r w:rsidR="00973E68">
        <w:t>used</w:t>
      </w:r>
      <w:proofErr w:type="gramEnd"/>
      <w:r w:rsidR="00973E68">
        <w:t xml:space="preserve"> for RT-qPCR </w:t>
      </w:r>
      <w:r w:rsidR="009371CA">
        <w:t>analysis</w:t>
      </w:r>
      <w:r>
        <w:t>.</w:t>
      </w:r>
      <w:r w:rsidR="00973E68">
        <w:t xml:space="preserve"> </w:t>
      </w:r>
      <w:r w:rsidR="00AC288B">
        <w:t>The primer’s</w:t>
      </w:r>
      <w:r w:rsidR="009371CA">
        <w:t xml:space="preserve"> sequences for Col I, </w:t>
      </w:r>
      <w:proofErr w:type="spellStart"/>
      <w:r w:rsidR="009371CA">
        <w:t>bALP</w:t>
      </w:r>
      <w:proofErr w:type="spellEnd"/>
      <w:r w:rsidR="009371CA">
        <w:t xml:space="preserve">, and GAPDH were projected </w:t>
      </w:r>
      <w:r w:rsidR="00AC288B">
        <w:t xml:space="preserve">using Primer-Blast tool </w:t>
      </w:r>
      <w:r w:rsidR="00590160">
        <w:fldChar w:fldCharType="begin" w:fldLock="1"/>
      </w:r>
      <w:r w:rsidR="00BF2AF7">
        <w:instrText>ADDIN CSL_CITATION {"citationItems":[{"id":"ITEM-1","itemData":{"id":"ITEM-1","issued":{"date-parts":[["0"]]},"title":"Primer-BLAST tool. Available online: http://www.ncbi.nlm.nih.gov/tools/primer-blast/(accessed on 12 April 2021)","type":"webpage"},"uris":["http://www.mendeley.com/documents/?uuid=7ecabaec-795b-4ac7-8bcd-4680600fbed9"]}],"mendeley":{"formattedCitation":"[24]","plainTextFormattedCitation":"[24]","previouslyFormattedCitation":"[24]"},"properties":{"noteIndex":0},"schema":"https://github.com/citation-style-language/schema/raw/master/csl-citation.json"}</w:instrText>
      </w:r>
      <w:r w:rsidR="00590160">
        <w:fldChar w:fldCharType="separate"/>
      </w:r>
      <w:r w:rsidR="00BF2AF7" w:rsidRPr="00BF2AF7">
        <w:rPr>
          <w:noProof/>
        </w:rPr>
        <w:t>[24]</w:t>
      </w:r>
      <w:r w:rsidR="00590160">
        <w:fldChar w:fldCharType="end"/>
      </w:r>
      <w:r w:rsidR="00AC288B">
        <w:t xml:space="preserve">. Primer sequences for OC were </w:t>
      </w:r>
      <w:r w:rsidR="00806D9E">
        <w:t xml:space="preserve">developed </w:t>
      </w:r>
      <w:r w:rsidR="00AC288B">
        <w:t xml:space="preserve">based on literature data </w:t>
      </w:r>
      <w:r w:rsidR="00590160">
        <w:fldChar w:fldCharType="begin" w:fldLock="1"/>
      </w:r>
      <w:r w:rsidR="00BF2AF7">
        <w:instrText>ADDIN CSL_CITATION {"citationItems":[{"id":"ITEM-1","itemData":{"DOI":"10.4103/2008-7802.179510","ISSN":"20088213","abstract":"Background: Recently, tissue engineering has developed approaches for repair and restoration of damaged skeletal system based on different scaffolds and cells. This study evaluated the ability of differentiated osteoblasts from adipose-derived stem cells (ADSCs) seeded into hydroxyapatite/ tricalcium phosphate (HA-TCP) to repair bone. Methods: In this study, ADSCs of 6 canines were seeded in HA-TCP and differentiated into osteoblasts in osteogenic medium in vitro and bone markers evaluated by reverse transcription polymerase chain reaction (RT-PCR). Scanning electron microscopy (SEM) was applied for detection of cells in the pores of scaffold. HA-TCP with differentiated cells as the test group and without cells as the cell-free group were implanted in separate defected sites of canine’s tibia. After 8 weeks, specimens were evaluated by histological, immunohistochemical methods, and densitometry test. The data were analyzed using the SPSS 18 version software. Results: The expression of Type I collagen and osteocalcin genes in differentiated cells were indicated by RT-PCR. SEM results revealed the adhesion of cells in scaffold pores. Formation of trabecular bone confirmed by histological sections that revealed the thickness of bone trabecular was more in the test group. Production of osteopontin in extracellular matrix was indicated in both groups. Densitometry method indicated that strength in the test group was similar to cell-free group and natural bone (P &gt; 0.05). Conclusions: This research suggests that ADSCs-derived osteoblasts in HA-TCP could be used for bone tissue engineering and repairing.","author":[{"dropping-particle":"","family":"Hashemibeni","given":"Batool","non-dropping-particle":"","parse-names":false,"suffix":""},{"dropping-particle":"","family":"Dehghani","given":"Leila","non-dropping-particle":"","parse-names":false,"suffix":""},{"dropping-particle":"","family":"Sadeghi","given":"Farzaneh","non-dropping-particle":"","parse-names":false,"suffix":""},{"dropping-particle":"","family":"Esfandiari","given":"Ebrahim","non-dropping-particle":"","parse-names":false,"suffix":""},{"dropping-particle":"","family":"Gorbani","given":"Masood","non-dropping-particle":"","parse-names":false,"suffix":""},{"dropping-particle":"","family":"Akhavan","given":"Ali","non-dropping-particle":"","parse-names":false,"suffix":""},{"dropping-particle":"","family":"Tahani","given":"Soheil T.","non-dropping-particle":"","parse-names":false,"suffix":""},{"dropping-particle":"","family":"Bahramian","given":"Hamid","non-dropping-particle":"","parse-names":false,"suffix":""},{"dropping-particle":"","family":"Goharian","given":"Vahid","non-dropping-particle":"","parse-names":false,"suffix":""}],"container-title":"International Journal of Preventive Medicine","id":"ITEM-1","issue":"APRIL","issued":{"date-parts":[["2016"]]},"title":"Bone repair with differentiated osteoblasts from adipose-derived stem cells in hydroxyapatite/tricalcium phosphate in vivo","type":"article-journal","volume":"2016"},"uris":["http://www.mendeley.com/documents/?uuid=6d7a4529-b123-4893-9d3a-b8793f8073d9"]}],"mendeley":{"formattedCitation":"[25]","plainTextFormattedCitation":"[25]","previouslyFormattedCitation":"[25]"},"properties":{"noteIndex":0},"schema":"https://github.com/citation-style-language/schema/raw/master/csl-citation.json"}</w:instrText>
      </w:r>
      <w:r w:rsidR="00590160">
        <w:fldChar w:fldCharType="separate"/>
      </w:r>
      <w:r w:rsidR="00BF2AF7" w:rsidRPr="00BF2AF7">
        <w:rPr>
          <w:noProof/>
        </w:rPr>
        <w:t>[25]</w:t>
      </w:r>
      <w:r w:rsidR="00590160">
        <w:fldChar w:fldCharType="end"/>
      </w:r>
      <w:r w:rsidR="00AC288B">
        <w:t>.</w:t>
      </w:r>
    </w:p>
    <w:tbl>
      <w:tblPr>
        <w:tblW w:w="7857" w:type="dxa"/>
        <w:tblInd w:w="2608" w:type="dxa"/>
        <w:tblBorders>
          <w:top w:val="single" w:sz="8" w:space="0" w:color="auto"/>
          <w:bottom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21"/>
        <w:gridCol w:w="3260"/>
        <w:gridCol w:w="1676"/>
      </w:tblGrid>
      <w:tr w:rsidR="00F71971" w:rsidRPr="000802ED" w14:paraId="7B68B828" w14:textId="77777777" w:rsidTr="009371CA">
        <w:tc>
          <w:tcPr>
            <w:tcW w:w="2921" w:type="dxa"/>
            <w:shd w:val="clear" w:color="auto" w:fill="auto"/>
            <w:vAlign w:val="center"/>
          </w:tcPr>
          <w:p w14:paraId="3866D197" w14:textId="77777777" w:rsidR="00F71971" w:rsidRPr="009371CA" w:rsidRDefault="00973E68" w:rsidP="002D6CDA">
            <w:pPr>
              <w:pStyle w:val="MDPI42tablebody"/>
              <w:spacing w:line="240" w:lineRule="auto"/>
              <w:rPr>
                <w:b/>
                <w:snapToGrid/>
              </w:rPr>
            </w:pPr>
            <w:r w:rsidRPr="009371CA">
              <w:rPr>
                <w:b/>
                <w:snapToGrid/>
              </w:rPr>
              <w:t>Gene</w:t>
            </w:r>
          </w:p>
        </w:tc>
        <w:tc>
          <w:tcPr>
            <w:tcW w:w="3260" w:type="dxa"/>
            <w:shd w:val="clear" w:color="auto" w:fill="auto"/>
            <w:vAlign w:val="center"/>
          </w:tcPr>
          <w:p w14:paraId="5B8369F1" w14:textId="77777777" w:rsidR="00F71971" w:rsidRPr="009371CA" w:rsidRDefault="00973E68" w:rsidP="002D6CDA">
            <w:pPr>
              <w:pStyle w:val="MDPI42tablebody"/>
              <w:spacing w:line="240" w:lineRule="auto"/>
              <w:rPr>
                <w:b/>
                <w:snapToGrid/>
              </w:rPr>
            </w:pPr>
            <w:r w:rsidRPr="009371CA">
              <w:rPr>
                <w:b/>
                <w:snapToGrid/>
              </w:rPr>
              <w:t>Primer Sequence</w:t>
            </w:r>
          </w:p>
          <w:p w14:paraId="5B842574" w14:textId="77777777" w:rsidR="00973E68" w:rsidRPr="009371CA" w:rsidRDefault="00973E68" w:rsidP="002D6CDA">
            <w:pPr>
              <w:pStyle w:val="MDPI42tablebody"/>
              <w:spacing w:line="240" w:lineRule="auto"/>
              <w:rPr>
                <w:b/>
                <w:snapToGrid/>
              </w:rPr>
            </w:pPr>
            <w:r w:rsidRPr="009371CA">
              <w:rPr>
                <w:b/>
                <w:snapToGrid/>
              </w:rPr>
              <w:t xml:space="preserve">(5’ – 3’) </w:t>
            </w:r>
          </w:p>
        </w:tc>
        <w:tc>
          <w:tcPr>
            <w:tcW w:w="1676" w:type="dxa"/>
            <w:shd w:val="clear" w:color="auto" w:fill="auto"/>
            <w:vAlign w:val="center"/>
          </w:tcPr>
          <w:p w14:paraId="779DCA59" w14:textId="77777777" w:rsidR="00F71971" w:rsidRPr="009371CA" w:rsidRDefault="00973E68" w:rsidP="002D6CDA">
            <w:pPr>
              <w:pStyle w:val="MDPI42tablebody"/>
              <w:spacing w:line="240" w:lineRule="auto"/>
              <w:rPr>
                <w:b/>
                <w:snapToGrid/>
                <w:vertAlign w:val="subscript"/>
              </w:rPr>
            </w:pPr>
            <w:r w:rsidRPr="009371CA">
              <w:rPr>
                <w:b/>
                <w:snapToGrid/>
              </w:rPr>
              <w:t>Product Size (bp)</w:t>
            </w:r>
          </w:p>
        </w:tc>
      </w:tr>
      <w:tr w:rsidR="00F71971" w:rsidRPr="000802ED" w14:paraId="0D7B4A3E" w14:textId="77777777" w:rsidTr="009371CA">
        <w:tc>
          <w:tcPr>
            <w:tcW w:w="2921" w:type="dxa"/>
            <w:shd w:val="clear" w:color="auto" w:fill="auto"/>
            <w:vAlign w:val="center"/>
          </w:tcPr>
          <w:p w14:paraId="7B6DD23C" w14:textId="77777777" w:rsidR="009371CA" w:rsidRPr="009371CA" w:rsidRDefault="009371CA" w:rsidP="002D6CDA">
            <w:pPr>
              <w:pStyle w:val="MDPI42tablebody"/>
              <w:spacing w:line="240" w:lineRule="auto"/>
            </w:pPr>
            <w:r w:rsidRPr="009371CA">
              <w:t>Collagen type I</w:t>
            </w:r>
          </w:p>
          <w:p w14:paraId="3F2743CE" w14:textId="77777777" w:rsidR="009371CA" w:rsidRPr="009371CA" w:rsidRDefault="009371CA" w:rsidP="002D6CDA">
            <w:pPr>
              <w:pStyle w:val="MDPI42tablebody"/>
              <w:spacing w:line="240" w:lineRule="auto"/>
            </w:pPr>
            <w:r w:rsidRPr="009371CA">
              <w:t>(Col I)</w:t>
            </w:r>
          </w:p>
        </w:tc>
        <w:tc>
          <w:tcPr>
            <w:tcW w:w="3260" w:type="dxa"/>
            <w:shd w:val="clear" w:color="auto" w:fill="auto"/>
            <w:vAlign w:val="center"/>
          </w:tcPr>
          <w:p w14:paraId="606100FD" w14:textId="77777777" w:rsidR="00F71971" w:rsidRPr="009371CA" w:rsidRDefault="009371CA" w:rsidP="002D6CDA">
            <w:pPr>
              <w:pStyle w:val="MDPI42tablebody"/>
              <w:spacing w:line="240" w:lineRule="auto"/>
              <w:rPr>
                <w:rFonts w:cs="URWPalladioL-Roma"/>
                <w:color w:val="auto"/>
                <w:lang w:val="pl-PL"/>
              </w:rPr>
            </w:pPr>
            <w:r w:rsidRPr="009371CA">
              <w:t xml:space="preserve">F: </w:t>
            </w:r>
            <w:r w:rsidRPr="009371CA">
              <w:rPr>
                <w:rFonts w:cs="URWPalladioL-Roma"/>
                <w:color w:val="auto"/>
                <w:lang w:val="pl-PL"/>
              </w:rPr>
              <w:t>GGCCCAGAAGAACTGGTACA</w:t>
            </w:r>
          </w:p>
          <w:p w14:paraId="046FCADF" w14:textId="77777777" w:rsidR="009371CA" w:rsidRPr="009371CA" w:rsidRDefault="009371CA" w:rsidP="002D6CDA">
            <w:pPr>
              <w:pStyle w:val="MDPI42tablebody"/>
              <w:spacing w:line="240" w:lineRule="auto"/>
            </w:pPr>
            <w:r w:rsidRPr="009371CA">
              <w:rPr>
                <w:rFonts w:cs="URWPalladioL-Roma"/>
                <w:color w:val="auto"/>
                <w:lang w:val="pl-PL"/>
              </w:rPr>
              <w:t>R: AATCCATCGGTCATGCTCTC</w:t>
            </w:r>
          </w:p>
        </w:tc>
        <w:tc>
          <w:tcPr>
            <w:tcW w:w="1676" w:type="dxa"/>
            <w:shd w:val="clear" w:color="auto" w:fill="auto"/>
            <w:vAlign w:val="center"/>
          </w:tcPr>
          <w:p w14:paraId="4FC68223" w14:textId="77777777" w:rsidR="00F71971" w:rsidRPr="009371CA" w:rsidRDefault="009371CA" w:rsidP="002D6CDA">
            <w:pPr>
              <w:pStyle w:val="MDPI42tablebody"/>
              <w:spacing w:line="240" w:lineRule="auto"/>
            </w:pPr>
            <w:r w:rsidRPr="009371CA">
              <w:t>81</w:t>
            </w:r>
          </w:p>
        </w:tc>
      </w:tr>
      <w:tr w:rsidR="00F71971" w:rsidRPr="000802ED" w14:paraId="5DB826F7" w14:textId="77777777" w:rsidTr="009371CA">
        <w:tc>
          <w:tcPr>
            <w:tcW w:w="2921" w:type="dxa"/>
            <w:shd w:val="clear" w:color="auto" w:fill="auto"/>
            <w:vAlign w:val="center"/>
          </w:tcPr>
          <w:p w14:paraId="4DDBD19D" w14:textId="77777777" w:rsidR="009371CA" w:rsidRPr="009371CA" w:rsidRDefault="009371CA" w:rsidP="002D6CDA">
            <w:pPr>
              <w:pStyle w:val="MDPI42tablebody"/>
              <w:spacing w:line="240" w:lineRule="auto"/>
            </w:pPr>
            <w:r w:rsidRPr="009371CA">
              <w:t>Bone alkaline phosphatase</w:t>
            </w:r>
          </w:p>
          <w:p w14:paraId="05054A82" w14:textId="77777777" w:rsidR="009371CA" w:rsidRPr="009371CA" w:rsidRDefault="009371CA" w:rsidP="002D6CDA">
            <w:pPr>
              <w:pStyle w:val="MDPI42tablebody"/>
              <w:spacing w:line="240" w:lineRule="auto"/>
            </w:pPr>
            <w:r w:rsidRPr="009371CA">
              <w:t>(</w:t>
            </w:r>
            <w:proofErr w:type="spellStart"/>
            <w:r w:rsidRPr="009371CA">
              <w:t>bALP</w:t>
            </w:r>
            <w:proofErr w:type="spellEnd"/>
            <w:r w:rsidRPr="009371CA">
              <w:t>)</w:t>
            </w:r>
          </w:p>
        </w:tc>
        <w:tc>
          <w:tcPr>
            <w:tcW w:w="3260" w:type="dxa"/>
            <w:shd w:val="clear" w:color="auto" w:fill="auto"/>
            <w:vAlign w:val="center"/>
          </w:tcPr>
          <w:p w14:paraId="370801DE" w14:textId="77777777" w:rsidR="00F71971" w:rsidRPr="009371CA" w:rsidRDefault="009371CA" w:rsidP="002D6CDA">
            <w:pPr>
              <w:pStyle w:val="MDPI42tablebody"/>
              <w:spacing w:line="240" w:lineRule="auto"/>
            </w:pPr>
            <w:r w:rsidRPr="009371CA">
              <w:t>F: TTGGCCAACAGGGTAGATTT</w:t>
            </w:r>
          </w:p>
          <w:p w14:paraId="493C74AB" w14:textId="77777777" w:rsidR="009371CA" w:rsidRPr="009371CA" w:rsidRDefault="009371CA" w:rsidP="002D6CDA">
            <w:pPr>
              <w:pStyle w:val="MDPI42tablebody"/>
              <w:spacing w:line="240" w:lineRule="auto"/>
            </w:pPr>
            <w:r w:rsidRPr="009371CA">
              <w:t>R: GGAGGGTCAGATCCAGAATG</w:t>
            </w:r>
          </w:p>
        </w:tc>
        <w:tc>
          <w:tcPr>
            <w:tcW w:w="1676" w:type="dxa"/>
            <w:shd w:val="clear" w:color="auto" w:fill="auto"/>
            <w:vAlign w:val="center"/>
          </w:tcPr>
          <w:p w14:paraId="2F54A7DA" w14:textId="77777777" w:rsidR="00F71971" w:rsidRPr="009371CA" w:rsidRDefault="009371CA" w:rsidP="002D6CDA">
            <w:pPr>
              <w:pStyle w:val="MDPI42tablebody"/>
              <w:spacing w:line="240" w:lineRule="auto"/>
            </w:pPr>
            <w:r w:rsidRPr="009371CA">
              <w:t>144</w:t>
            </w:r>
          </w:p>
        </w:tc>
      </w:tr>
      <w:tr w:rsidR="00F71971" w:rsidRPr="000802ED" w14:paraId="6DB53682" w14:textId="77777777" w:rsidTr="009371CA">
        <w:tc>
          <w:tcPr>
            <w:tcW w:w="2921" w:type="dxa"/>
            <w:shd w:val="clear" w:color="auto" w:fill="auto"/>
            <w:vAlign w:val="center"/>
          </w:tcPr>
          <w:p w14:paraId="7CBBCA96" w14:textId="77777777" w:rsidR="00F71971" w:rsidRPr="009371CA" w:rsidRDefault="009371CA" w:rsidP="002D6CDA">
            <w:pPr>
              <w:pStyle w:val="MDPI42tablebody"/>
              <w:spacing w:line="240" w:lineRule="auto"/>
            </w:pPr>
            <w:r w:rsidRPr="009371CA">
              <w:t>Osteocalcin</w:t>
            </w:r>
          </w:p>
          <w:p w14:paraId="4B57DC2B" w14:textId="77777777" w:rsidR="009371CA" w:rsidRPr="009371CA" w:rsidRDefault="009371CA" w:rsidP="002D6CDA">
            <w:pPr>
              <w:pStyle w:val="MDPI42tablebody"/>
              <w:spacing w:line="240" w:lineRule="auto"/>
            </w:pPr>
            <w:r w:rsidRPr="009371CA">
              <w:t>(OC)</w:t>
            </w:r>
          </w:p>
        </w:tc>
        <w:tc>
          <w:tcPr>
            <w:tcW w:w="3260" w:type="dxa"/>
            <w:shd w:val="clear" w:color="auto" w:fill="auto"/>
            <w:vAlign w:val="center"/>
          </w:tcPr>
          <w:p w14:paraId="04A64B3F" w14:textId="77777777" w:rsidR="00F71971" w:rsidRPr="009371CA" w:rsidRDefault="009371CA" w:rsidP="002D6CDA">
            <w:pPr>
              <w:pStyle w:val="MDPI42tablebody"/>
              <w:spacing w:line="240" w:lineRule="auto"/>
            </w:pPr>
            <w:r w:rsidRPr="009371CA">
              <w:t>F: ACACTCCTCGCCCTATTG</w:t>
            </w:r>
          </w:p>
          <w:p w14:paraId="7AA15965" w14:textId="77777777" w:rsidR="009371CA" w:rsidRPr="009371CA" w:rsidRDefault="009371CA" w:rsidP="002D6CDA">
            <w:pPr>
              <w:pStyle w:val="MDPI42tablebody"/>
              <w:spacing w:line="240" w:lineRule="auto"/>
            </w:pPr>
            <w:r w:rsidRPr="009371CA">
              <w:t>R: GATGTGGTCAGCCAACTC</w:t>
            </w:r>
          </w:p>
        </w:tc>
        <w:tc>
          <w:tcPr>
            <w:tcW w:w="1676" w:type="dxa"/>
            <w:shd w:val="clear" w:color="auto" w:fill="auto"/>
            <w:vAlign w:val="center"/>
          </w:tcPr>
          <w:p w14:paraId="1AEF69A9" w14:textId="77777777" w:rsidR="00F71971" w:rsidRPr="009371CA" w:rsidRDefault="009371CA" w:rsidP="002D6CDA">
            <w:pPr>
              <w:pStyle w:val="MDPI42tablebody"/>
              <w:spacing w:line="240" w:lineRule="auto"/>
            </w:pPr>
            <w:r w:rsidRPr="009371CA">
              <w:t>249</w:t>
            </w:r>
          </w:p>
        </w:tc>
      </w:tr>
      <w:tr w:rsidR="009371CA" w:rsidRPr="000802ED" w14:paraId="3716CA9C" w14:textId="77777777" w:rsidTr="009371CA">
        <w:tc>
          <w:tcPr>
            <w:tcW w:w="2921" w:type="dxa"/>
            <w:shd w:val="clear" w:color="auto" w:fill="auto"/>
            <w:vAlign w:val="center"/>
          </w:tcPr>
          <w:p w14:paraId="5BF90951" w14:textId="77777777" w:rsidR="009371CA" w:rsidRPr="009371CA" w:rsidRDefault="009371CA" w:rsidP="002D6CDA">
            <w:pPr>
              <w:pStyle w:val="MDPI42tablebody"/>
              <w:spacing w:line="240" w:lineRule="auto"/>
            </w:pPr>
            <w:r w:rsidRPr="009371CA">
              <w:t>Glyceraldehyde-3-phosphate dehydrogenase</w:t>
            </w:r>
          </w:p>
          <w:p w14:paraId="7BE75E6F" w14:textId="77777777" w:rsidR="009371CA" w:rsidRPr="009371CA" w:rsidRDefault="009371CA" w:rsidP="002D6CDA">
            <w:pPr>
              <w:pStyle w:val="MDPI42tablebody"/>
              <w:spacing w:line="240" w:lineRule="auto"/>
            </w:pPr>
            <w:r w:rsidRPr="009371CA">
              <w:t>(GAPDH)</w:t>
            </w:r>
          </w:p>
        </w:tc>
        <w:tc>
          <w:tcPr>
            <w:tcW w:w="3260" w:type="dxa"/>
            <w:shd w:val="clear" w:color="auto" w:fill="auto"/>
            <w:vAlign w:val="center"/>
          </w:tcPr>
          <w:p w14:paraId="761ECBBF" w14:textId="77777777" w:rsidR="009371CA" w:rsidRPr="009371CA" w:rsidRDefault="009371CA" w:rsidP="002D6CDA">
            <w:pPr>
              <w:pStyle w:val="MDPI42tablebody"/>
              <w:spacing w:line="240" w:lineRule="auto"/>
            </w:pPr>
            <w:r w:rsidRPr="009371CA">
              <w:t>F:</w:t>
            </w:r>
            <w:r w:rsidRPr="009371CA">
              <w:rPr>
                <w:rFonts w:cs="URWPalladioL-Roma"/>
              </w:rPr>
              <w:t xml:space="preserve"> CACCACACTGAATCTCCCCT</w:t>
            </w:r>
          </w:p>
          <w:p w14:paraId="167B4F4E" w14:textId="77777777" w:rsidR="009371CA" w:rsidRPr="009371CA" w:rsidRDefault="009371CA" w:rsidP="002D6CDA">
            <w:pPr>
              <w:pStyle w:val="MDPI42tablebody"/>
              <w:spacing w:line="240" w:lineRule="auto"/>
            </w:pPr>
            <w:r w:rsidRPr="009371CA">
              <w:t>R:</w:t>
            </w:r>
            <w:r w:rsidRPr="009371CA">
              <w:rPr>
                <w:rFonts w:cs="URWPalladioL-Roma"/>
              </w:rPr>
              <w:t xml:space="preserve"> TGGTTGAGCACAGGGTACTT</w:t>
            </w:r>
          </w:p>
        </w:tc>
        <w:tc>
          <w:tcPr>
            <w:tcW w:w="1676" w:type="dxa"/>
            <w:shd w:val="clear" w:color="auto" w:fill="auto"/>
            <w:vAlign w:val="center"/>
          </w:tcPr>
          <w:p w14:paraId="139E32FD" w14:textId="77777777" w:rsidR="009371CA" w:rsidRPr="009371CA" w:rsidRDefault="009371CA" w:rsidP="002D6CDA">
            <w:pPr>
              <w:pStyle w:val="MDPI42tablebody"/>
              <w:spacing w:line="240" w:lineRule="auto"/>
            </w:pPr>
            <w:r w:rsidRPr="009371CA">
              <w:t>115</w:t>
            </w:r>
          </w:p>
        </w:tc>
      </w:tr>
    </w:tbl>
    <w:p w14:paraId="00678D14" w14:textId="77777777" w:rsidR="009B7989" w:rsidRDefault="009B7989" w:rsidP="009B7989">
      <w:pPr>
        <w:pStyle w:val="MDPI22heading2"/>
      </w:pPr>
    </w:p>
    <w:p w14:paraId="1F9BF9E8" w14:textId="77777777" w:rsidR="009B7989" w:rsidRDefault="009B7989" w:rsidP="009B7989">
      <w:pPr>
        <w:pStyle w:val="MDPI22heading2"/>
        <w:rPr>
          <w:color w:val="FF0000"/>
        </w:rPr>
      </w:pPr>
      <w:r w:rsidRPr="009B7989">
        <w:rPr>
          <w:color w:val="FF0000"/>
        </w:rPr>
        <w:t>2.7.  Statistical analysis</w:t>
      </w:r>
    </w:p>
    <w:p w14:paraId="3DCEF141" w14:textId="42AA08D7" w:rsidR="009B7989" w:rsidRPr="00A0721D" w:rsidRDefault="009B7989" w:rsidP="00A0721D">
      <w:pPr>
        <w:pStyle w:val="MDPI31text"/>
        <w:rPr>
          <w:color w:val="FF0000"/>
        </w:rPr>
      </w:pPr>
      <w:bookmarkStart w:id="3" w:name="_Hlk145970417"/>
      <w:r w:rsidRPr="00EF712F">
        <w:rPr>
          <w:color w:val="FF0000"/>
        </w:rPr>
        <w:t xml:space="preserve">The experiments were carried out in </w:t>
      </w:r>
      <w:r w:rsidR="00A46C99">
        <w:rPr>
          <w:color w:val="FF0000"/>
        </w:rPr>
        <w:t>three</w:t>
      </w:r>
      <w:r w:rsidRPr="00EF712F">
        <w:rPr>
          <w:color w:val="FF0000"/>
        </w:rPr>
        <w:t xml:space="preserve"> independent </w:t>
      </w:r>
      <w:r w:rsidR="00B6292A">
        <w:rPr>
          <w:color w:val="FF0000"/>
        </w:rPr>
        <w:t xml:space="preserve">runs </w:t>
      </w:r>
      <w:r w:rsidRPr="00EF712F">
        <w:rPr>
          <w:color w:val="FF0000"/>
        </w:rPr>
        <w:t xml:space="preserve">using at least </w:t>
      </w:r>
      <w:r w:rsidR="00B6292A">
        <w:rPr>
          <w:color w:val="FF0000"/>
        </w:rPr>
        <w:t>three</w:t>
      </w:r>
      <w:r w:rsidRPr="00EF712F">
        <w:rPr>
          <w:color w:val="FF0000"/>
        </w:rPr>
        <w:t xml:space="preserve"> </w:t>
      </w:r>
      <w:r w:rsidR="00B6292A">
        <w:rPr>
          <w:color w:val="FF0000"/>
        </w:rPr>
        <w:t xml:space="preserve">biomaterial </w:t>
      </w:r>
      <w:r w:rsidRPr="00EF712F">
        <w:rPr>
          <w:color w:val="FF0000"/>
        </w:rPr>
        <w:t xml:space="preserve">samples </w:t>
      </w:r>
      <w:r w:rsidR="00B6292A">
        <w:rPr>
          <w:color w:val="FF0000"/>
        </w:rPr>
        <w:t xml:space="preserve">per experimental group. </w:t>
      </w:r>
      <w:r w:rsidR="00EF712F">
        <w:rPr>
          <w:color w:val="FF0000"/>
        </w:rPr>
        <w:t xml:space="preserve">The results </w:t>
      </w:r>
      <w:r w:rsidR="00B6292A">
        <w:rPr>
          <w:color w:val="FF0000"/>
        </w:rPr>
        <w:t xml:space="preserve">are displayed </w:t>
      </w:r>
      <w:r w:rsidR="00A0721D">
        <w:rPr>
          <w:color w:val="FF0000"/>
        </w:rPr>
        <w:t xml:space="preserve">as </w:t>
      </w:r>
      <w:r w:rsidR="00B6292A">
        <w:rPr>
          <w:color w:val="FF0000"/>
        </w:rPr>
        <w:t xml:space="preserve">mean </w:t>
      </w:r>
      <w:r w:rsidR="00A0721D">
        <w:rPr>
          <w:color w:val="FF0000"/>
        </w:rPr>
        <w:t>values</w:t>
      </w:r>
      <w:r w:rsidRPr="00EF712F">
        <w:rPr>
          <w:color w:val="FF0000"/>
        </w:rPr>
        <w:t xml:space="preserve"> </w:t>
      </w:r>
      <w:r w:rsidR="00866A55">
        <w:rPr>
          <w:color w:val="FF0000"/>
        </w:rPr>
        <w:t>±</w:t>
      </w:r>
      <w:r w:rsidRPr="00EF712F">
        <w:rPr>
          <w:color w:val="FF0000"/>
        </w:rPr>
        <w:t xml:space="preserve"> standard deviation (SD). </w:t>
      </w:r>
      <w:r w:rsidR="00EF712F">
        <w:rPr>
          <w:color w:val="FF0000"/>
        </w:rPr>
        <w:t xml:space="preserve">First, </w:t>
      </w:r>
      <w:r w:rsidR="00866A55">
        <w:rPr>
          <w:color w:val="FF0000"/>
        </w:rPr>
        <w:t xml:space="preserve">the </w:t>
      </w:r>
      <w:r w:rsidR="00EF712F">
        <w:rPr>
          <w:color w:val="FF0000"/>
        </w:rPr>
        <w:t>D’Agostino and Pearson omnibus normality test</w:t>
      </w:r>
      <w:r w:rsidRPr="00EF712F">
        <w:rPr>
          <w:color w:val="FF0000"/>
        </w:rPr>
        <w:t xml:space="preserve"> was applied to assess the normal distribution of the obtained data. </w:t>
      </w:r>
      <w:r w:rsidR="00EF712F">
        <w:rPr>
          <w:color w:val="FF0000"/>
        </w:rPr>
        <w:t>Then,</w:t>
      </w:r>
      <w:r w:rsidR="00866A55">
        <w:rPr>
          <w:color w:val="FF0000"/>
        </w:rPr>
        <w:t xml:space="preserve"> a o</w:t>
      </w:r>
      <w:r w:rsidR="00EF712F">
        <w:rPr>
          <w:color w:val="FF0000"/>
        </w:rPr>
        <w:t>ne-Way ANOVA test</w:t>
      </w:r>
      <w:r w:rsidR="00866A55">
        <w:rPr>
          <w:color w:val="FF0000"/>
        </w:rPr>
        <w:t xml:space="preserve"> </w:t>
      </w:r>
      <w:r w:rsidR="00866A55" w:rsidRPr="00EF712F">
        <w:rPr>
          <w:color w:val="FF0000"/>
        </w:rPr>
        <w:t>was performed</w:t>
      </w:r>
      <w:r w:rsidR="00EF712F">
        <w:rPr>
          <w:color w:val="FF0000"/>
        </w:rPr>
        <w:t xml:space="preserve">, followed by a Tukey’s multiple comparison test or </w:t>
      </w:r>
      <w:r w:rsidR="00EF712F" w:rsidRPr="00EF712F">
        <w:rPr>
          <w:color w:val="FF0000"/>
        </w:rPr>
        <w:t xml:space="preserve">Two-Way ANOVA test, followed by </w:t>
      </w:r>
      <w:r w:rsidR="00866A55">
        <w:rPr>
          <w:color w:val="FF0000"/>
        </w:rPr>
        <w:t xml:space="preserve">a </w:t>
      </w:r>
      <w:r w:rsidR="00EF712F" w:rsidRPr="00EF712F">
        <w:rPr>
          <w:color w:val="FF0000"/>
        </w:rPr>
        <w:t>Bonferroni comparison test</w:t>
      </w:r>
      <w:r w:rsidRPr="00EF712F">
        <w:rPr>
          <w:color w:val="FF0000"/>
        </w:rPr>
        <w:t xml:space="preserve"> </w:t>
      </w:r>
      <w:r w:rsidR="00EF712F" w:rsidRPr="00EF712F">
        <w:rPr>
          <w:color w:val="FF0000"/>
        </w:rPr>
        <w:t xml:space="preserve">to evaluate statistical differences between the tested samples. When the </w:t>
      </w:r>
      <w:r w:rsidR="00EF712F" w:rsidRPr="00EF712F">
        <w:rPr>
          <w:i/>
          <w:color w:val="FF0000"/>
        </w:rPr>
        <w:t>p</w:t>
      </w:r>
      <w:r w:rsidR="00EF712F" w:rsidRPr="00EF712F">
        <w:rPr>
          <w:color w:val="FF0000"/>
        </w:rPr>
        <w:t>-value was lower than 0.05</w:t>
      </w:r>
      <w:r w:rsidR="00EF712F">
        <w:rPr>
          <w:color w:val="FF0000"/>
        </w:rPr>
        <w:t xml:space="preserve"> (</w:t>
      </w:r>
      <w:r w:rsidR="00EF712F" w:rsidRPr="00EF712F">
        <w:rPr>
          <w:i/>
          <w:color w:val="FF0000"/>
        </w:rPr>
        <w:t>p</w:t>
      </w:r>
      <w:r w:rsidR="00EF712F">
        <w:rPr>
          <w:color w:val="FF0000"/>
        </w:rPr>
        <w:t xml:space="preserve"> &lt; 0.05)</w:t>
      </w:r>
      <w:r w:rsidR="00EF712F" w:rsidRPr="00EF712F">
        <w:rPr>
          <w:color w:val="FF0000"/>
        </w:rPr>
        <w:t>, differences were considered statistically significant (Graph</w:t>
      </w:r>
      <w:r w:rsidR="00EF712F">
        <w:rPr>
          <w:color w:val="FF0000"/>
        </w:rPr>
        <w:t>Pad Prism 5, Version 5.04, GraphPad Software, San Diego, CA, USA</w:t>
      </w:r>
      <w:r w:rsidR="00EF712F" w:rsidRPr="00EF712F">
        <w:rPr>
          <w:color w:val="FF0000"/>
        </w:rPr>
        <w:t>).</w:t>
      </w:r>
    </w:p>
    <w:bookmarkEnd w:id="3"/>
    <w:p w14:paraId="470A26C6" w14:textId="77777777" w:rsidR="00A11CF6" w:rsidRPr="001F31D1" w:rsidRDefault="00A11CF6" w:rsidP="005306F6">
      <w:pPr>
        <w:pStyle w:val="MDPI21heading1"/>
      </w:pPr>
      <w:r w:rsidRPr="001F31D1">
        <w:t>3. Results</w:t>
      </w:r>
      <w:r w:rsidR="00D4372D">
        <w:t xml:space="preserve"> and Discussion</w:t>
      </w:r>
    </w:p>
    <w:p w14:paraId="6B7E63CD" w14:textId="77777777" w:rsidR="00A11CF6" w:rsidRDefault="00D4372D" w:rsidP="0099140B">
      <w:pPr>
        <w:pStyle w:val="MDPI22heading2"/>
        <w:spacing w:before="240"/>
      </w:pPr>
      <w:r>
        <w:t xml:space="preserve">3.1. </w:t>
      </w:r>
      <w:r w:rsidR="00E46DDD">
        <w:t>Surface topography</w:t>
      </w:r>
    </w:p>
    <w:p w14:paraId="6AC7A28F" w14:textId="7ED78D70" w:rsidR="00E46DDD" w:rsidRDefault="00FA218E" w:rsidP="00E46DDD">
      <w:pPr>
        <w:pStyle w:val="MDPI31text"/>
      </w:pPr>
      <w:r>
        <w:t xml:space="preserve">SEM observations revealed that </w:t>
      </w:r>
      <w:r w:rsidR="00866A55">
        <w:t xml:space="preserve">the </w:t>
      </w:r>
      <w:r>
        <w:t>surface of 40/0 biomaterial</w:t>
      </w:r>
      <w:r w:rsidR="00BC7DB0">
        <w:t>s</w:t>
      </w:r>
      <w:r>
        <w:t xml:space="preserve"> (control) possessed smooth microstructure without any visible precipitates (Fig. 1). EDS spectrum showed that this biomaterial was composed of carbon, oxygen, and sodium, which confirms the lack of possibility of occurrence of precipitates formed by metal salts. In turn, microstructures of both 40/2.32 and 40/5 biomaterials were rougher compared to those of 40/0 </w:t>
      </w:r>
      <w:r w:rsidR="00BC7DB0">
        <w:t>biomaterials</w:t>
      </w:r>
      <w:r>
        <w:t xml:space="preserve"> (Fig. 1). In both cases clust</w:t>
      </w:r>
      <w:r w:rsidR="00A27BBD">
        <w:t>ers of precipitates could be seen</w:t>
      </w:r>
      <w:r>
        <w:t>,</w:t>
      </w:r>
      <w:r w:rsidR="00A27BBD">
        <w:t xml:space="preserve"> which, as confirmed by the EDS analysis, </w:t>
      </w:r>
      <w:r w:rsidR="00944176">
        <w:t xml:space="preserve">most likely </w:t>
      </w:r>
      <w:r w:rsidR="00A27BBD">
        <w:t>came from CaSiO</w:t>
      </w:r>
      <w:r w:rsidR="00A27BBD" w:rsidRPr="00A27BBD">
        <w:rPr>
          <w:vertAlign w:val="subscript"/>
        </w:rPr>
        <w:t>3</w:t>
      </w:r>
      <w:r w:rsidR="004F7CF4">
        <w:rPr>
          <w:vertAlign w:val="subscript"/>
        </w:rPr>
        <w:t xml:space="preserve"> </w:t>
      </w:r>
      <w:r w:rsidR="004F7CF4" w:rsidRPr="004F7CF4">
        <w:t>powder</w:t>
      </w:r>
      <w:r w:rsidR="00A27BBD">
        <w:t>.</w:t>
      </w:r>
    </w:p>
    <w:p w14:paraId="07B44828" w14:textId="77777777" w:rsidR="00AD0D5D" w:rsidRPr="00E46DDD" w:rsidRDefault="00AD0D5D" w:rsidP="00E46DDD">
      <w:pPr>
        <w:pStyle w:val="MDPI31text"/>
      </w:pPr>
      <w:r>
        <w:rPr>
          <w:noProof/>
          <w:snapToGrid/>
          <w:lang w:val="pl-PL" w:eastAsia="pl-PL" w:bidi="ar-SA"/>
        </w:rPr>
        <w:lastRenderedPageBreak/>
        <w:drawing>
          <wp:inline distT="0" distB="0" distL="0" distR="0" wp14:anchorId="7F6FB0C6" wp14:editId="7ADD8739">
            <wp:extent cx="4247129" cy="3954949"/>
            <wp:effectExtent l="19050" t="0" r="1021" b="0"/>
            <wp:docPr id="2" name="Obraz 1" descr="SEM i EDS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 i EDS tablica.jpg"/>
                    <pic:cNvPicPr/>
                  </pic:nvPicPr>
                  <pic:blipFill>
                    <a:blip r:embed="rId16"/>
                    <a:stretch>
                      <a:fillRect/>
                    </a:stretch>
                  </pic:blipFill>
                  <pic:spPr>
                    <a:xfrm>
                      <a:off x="0" y="0"/>
                      <a:ext cx="4262889" cy="3969625"/>
                    </a:xfrm>
                    <a:prstGeom prst="rect">
                      <a:avLst/>
                    </a:prstGeom>
                  </pic:spPr>
                </pic:pic>
              </a:graphicData>
            </a:graphic>
          </wp:inline>
        </w:drawing>
      </w:r>
    </w:p>
    <w:p w14:paraId="2A40D1EB" w14:textId="29E08854" w:rsidR="00FA218E" w:rsidRDefault="00FA218E" w:rsidP="00FA218E">
      <w:pPr>
        <w:pStyle w:val="MDPI51figurecaption"/>
      </w:pPr>
      <w:r w:rsidRPr="00FA04F1">
        <w:rPr>
          <w:b/>
        </w:rPr>
        <w:t xml:space="preserve">Figure 1. </w:t>
      </w:r>
      <w:r>
        <w:t>SEM images and EDS spectra of WPI-based biomaterials: 40/0 (control), 40/2.3</w:t>
      </w:r>
      <w:r w:rsidR="0032540C">
        <w:t>2</w:t>
      </w:r>
      <w:r>
        <w:t>, and 40/5.</w:t>
      </w:r>
    </w:p>
    <w:p w14:paraId="13C1DE5E" w14:textId="77777777" w:rsidR="00AD0D5D" w:rsidRDefault="004F7CF4" w:rsidP="004F7CF4">
      <w:pPr>
        <w:pStyle w:val="MDPI22heading2"/>
      </w:pPr>
      <w:r>
        <w:t>3.2. Ability to absorb liquids</w:t>
      </w:r>
    </w:p>
    <w:p w14:paraId="2CEB1924" w14:textId="77777777" w:rsidR="009920A9" w:rsidRDefault="008936FF" w:rsidP="00E769A3">
      <w:pPr>
        <w:pStyle w:val="MDPI31text"/>
      </w:pPr>
      <w:r>
        <w:t>Swelling testing in different media is us</w:t>
      </w:r>
      <w:r w:rsidR="00506FF2">
        <w:t>ed to</w:t>
      </w:r>
      <w:r w:rsidR="00BC7DB0">
        <w:t xml:space="preserve"> evaluate</w:t>
      </w:r>
      <w:r w:rsidR="00506FF2">
        <w:t xml:space="preserve"> the hydrogel</w:t>
      </w:r>
      <w:r w:rsidR="00BC7DB0">
        <w:t xml:space="preserve"> </w:t>
      </w:r>
      <w:proofErr w:type="gramStart"/>
      <w:r w:rsidR="00BC7DB0">
        <w:t xml:space="preserve">biomaterials </w:t>
      </w:r>
      <w:r w:rsidR="00506FF2">
        <w:t>’</w:t>
      </w:r>
      <w:proofErr w:type="gramEnd"/>
      <w:r w:rsidR="00BC7DB0">
        <w:t xml:space="preserve"> </w:t>
      </w:r>
      <w:r>
        <w:t>ability to retain their 3D structure when immersed in</w:t>
      </w:r>
      <w:r w:rsidR="00E90AB9">
        <w:t xml:space="preserve"> the solutions</w:t>
      </w:r>
      <w:r>
        <w:t>. During incubation in the swelling media</w:t>
      </w:r>
      <w:r w:rsidR="00E90AB9">
        <w:t>,</w:t>
      </w:r>
      <w:r>
        <w:t xml:space="preserve"> an osmotic pressure is generated across the hydrogel, resulting in a water uptake (swelling) or water loss (shrinking) </w:t>
      </w:r>
      <w:r w:rsidR="00590160">
        <w:fldChar w:fldCharType="begin" w:fldLock="1"/>
      </w:r>
      <w:r w:rsidR="00BF2AF7">
        <w:instrText>ADDIN CSL_CITATION {"citationItems":[{"id":"ITEM-1","itemData":{"DOI":"10.1016/j.matdes.2021.109749","ISSN":"18734197","abstract":"This study deals with the design and comprehensive evaluation of novel hydrogels based on whey protein isolate (WPI) for tissue regeneration. So far, WPI has been considered mainly as a food industry by-product and there are very few reports on the application of WPI in tissue engineering (TE). In this work, WPI-based hydrogels were modified with bioactive glass (BG), which is commonly used as a bone substitute material. Ready-to-use, sterile hydrogels were produced by a simple technique, namely heat-induced gelation. Two different concentrations (10 and 20% w/w) of sol–gel-derived BG particles of two different sizes (2.5 and &lt;45 µm) were compared. µCT analysis showed that hydrogels were highly porous with almost 100% pore interconnectivity. BG particles were generally homogenously distributed in the hydrogel matrix, affecting pore size, and reducing material porosity. Thermal analysis showed that the presence of BG particles in WPI matrix reduced water content in hydrogels and improved their thermal stability. BG particles decreased enzymatic degradation of the materials. The materials underwent mineralization in simulated biological fluids (PBS and SBF) and possessed high radical scavenging capacity. In vitro tests indicated that hydrogels were cytocompatible and supported MG-63 osteoblastic cell functions.","author":[{"dropping-particle":"","family":"Dziadek","given":"Michal","non-dropping-particle":"","parse-names":false,"suffix":""},{"dropping-particle":"","family":"Charuza","given":"Katarzyna","non-dropping-particle":"","parse-names":false,"suffix":""},{"dropping-particle":"","family":"Kudlackova","given":"Radmila","non-dropping-particle":"","parse-names":false,"suffix":""},{"dropping-particle":"","family":"Aveyard","given":"Jenny","non-dropping-particle":"","parse-names":false,"suffix":""},{"dropping-particle":"","family":"D'Sa","given":"Raechelle","non-dropping-particle":"","parse-names":false,"suffix":""},{"dropping-particle":"","family":"Serafim","given":"Andrada","non-dropping-particle":"","parse-names":false,"suffix":""},{"dropping-particle":"","family":"Stancu","given":"Izabela Cristina","non-dropping-particle":"","parse-names":false,"suffix":""},{"dropping-particle":"","family":"Iovu","given":"Horia","non-dropping-particle":"","parse-names":false,"suffix":""},{"dropping-particle":"","family":"Kerns","given":"Jemma G.","non-dropping-particle":"","parse-names":false,"suffix":""},{"dropping-particle":"","family":"Allinson","given":"Sarah","non-dropping-particle":"","parse-names":false,"suffix":""},{"dropping-particle":"","family":"Dziadek","given":"Kinga","non-dropping-particle":"","parse-names":false,"suffix":""},{"dropping-particle":"","family":"Szatkowski","given":"Piotr","non-dropping-particle":"","parse-names":false,"suffix":""},{"dropping-particle":"","family":"Cholewa-Kowalska","given":"Katarzyna","non-dropping-particle":"","parse-names":false,"suffix":""},{"dropping-particle":"","family":"Bacakova","given":"Lucie","non-dropping-particle":"","parse-names":false,"suffix":""},{"dropping-particle":"","family":"Pamula","given":"Elzbieta","non-dropping-particle":"","parse-names":false,"suffix":""},{"dropping-particle":"","family":"Douglas","given":"Timothy E.L.","non-dropping-particle":"","parse-names":false,"suffix":""}],"container-title":"Materials and Design","id":"ITEM-1","issued":{"date-parts":[["2021"]]},"page":"109749","publisher":"The Author(s)","title":"Modification of heat-induced whey protein isolate hydrogel with highly bioactive glass particles results in promising biomaterial for bone tissue engineering","type":"article-journal","volume":"205"},"uris":["http://www.mendeley.com/documents/?uuid=7893b94b-0c14-4b3c-88ba-b132c624a194"]}],"mendeley":{"formattedCitation":"[26]","plainTextFormattedCitation":"[26]","previouslyFormattedCitation":"[26]"},"properties":{"noteIndex":0},"schema":"https://github.com/citation-style-language/schema/raw/master/csl-citation.json"}</w:instrText>
      </w:r>
      <w:r w:rsidR="00590160">
        <w:fldChar w:fldCharType="separate"/>
      </w:r>
      <w:r w:rsidR="00BF2AF7" w:rsidRPr="00BF2AF7">
        <w:rPr>
          <w:noProof/>
        </w:rPr>
        <w:t>[26]</w:t>
      </w:r>
      <w:r w:rsidR="00590160">
        <w:fldChar w:fldCharType="end"/>
      </w:r>
      <w:r>
        <w:t>.</w:t>
      </w:r>
      <w:r w:rsidR="00506FF2">
        <w:t xml:space="preserve"> </w:t>
      </w:r>
      <w:r>
        <w:rPr>
          <w:rFonts w:cstheme="minorHAnsi"/>
        </w:rPr>
        <w:t xml:space="preserve">SBF was used as it mimics the composition of human plasma and therefore is an ideal media for swelling tests </w:t>
      </w:r>
      <w:r w:rsidR="00BC7DB0">
        <w:rPr>
          <w:rFonts w:cstheme="minorHAnsi"/>
        </w:rPr>
        <w:t>as</w:t>
      </w:r>
      <w:r>
        <w:rPr>
          <w:rFonts w:cstheme="minorHAnsi"/>
        </w:rPr>
        <w:t xml:space="preserve"> conducted in </w:t>
      </w:r>
      <w:r w:rsidR="00590160">
        <w:rPr>
          <w:rFonts w:cstheme="minorHAnsi"/>
        </w:rPr>
        <w:fldChar w:fldCharType="begin" w:fldLock="1"/>
      </w:r>
      <w:r w:rsidR="00BF2AF7">
        <w:rPr>
          <w:rFonts w:cstheme="minorHAnsi"/>
        </w:rPr>
        <w:instrText>ADDIN CSL_CITATION {"citationItems":[{"id":"ITEM-1","itemData":{"DOI":"10.3390/biomimetics5040057","ISSN":"23137673","abstract":"Some special implantable materials are defined as “bioactive” if they can bond to living bone, forming a tight and chemically‐stable interface. This property, which is inherent to some glass compositions, or can be induced by applying appropriate surface treatments on otherwise bio‐inert metals, can be evaluated in vitro by immersion studies in simulated body fluid (SBF), mimicking the composition of human plasma. As a result, apatite coating may form on the material surface, and the presence of this bone‐like “biomimetic skin” is considered predictive of bone‐bonding ability in vivo. This review article summarizes the story and evolution of in vitro bioactivity testing methods using SBF, highlighting the influence of testing parameters (e.g., formulation and circulation of the solution) and material‐related parameters (e.g., composition, geometry, texture). Suggestions for future methodological refinements are also provided at the end of the paper.","author":[{"dropping-particle":"","family":"Baino","given":"Francesco","non-dropping-particle":"","parse-names":false,"suffix":""},{"dropping-particle":"","family":"Yamaguchi","given":"Seiji","non-dropping-particle":"","parse-names":false,"suffix":""}],"container-title":"Biomimetics","id":"ITEM-1","issue":"4","issued":{"date-parts":[["2020"]]},"page":"1-19","title":"The use of simulated body fluid (SBF) for assessing materials bioactivity in the context of tissue engineering: Review and challenges","type":"article-journal","volume":"5"},"uris":["http://www.mendeley.com/documents/?uuid=0bbbcbc6-d5a3-4c88-9165-a2b707300c13"]}],"mendeley":{"formattedCitation":"[27]","plainTextFormattedCitation":"[27]","previouslyFormattedCitation":"[27]"},"properties":{"noteIndex":0},"schema":"https://github.com/citation-style-language/schema/raw/master/csl-citation.json"}</w:instrText>
      </w:r>
      <w:r w:rsidR="00590160">
        <w:rPr>
          <w:rFonts w:cstheme="minorHAnsi"/>
        </w:rPr>
        <w:fldChar w:fldCharType="separate"/>
      </w:r>
      <w:r w:rsidR="00BF2AF7" w:rsidRPr="00BF2AF7">
        <w:rPr>
          <w:rFonts w:cstheme="minorHAnsi"/>
          <w:noProof/>
        </w:rPr>
        <w:t>[27]</w:t>
      </w:r>
      <w:r w:rsidR="00590160">
        <w:rPr>
          <w:rFonts w:cstheme="minorHAnsi"/>
        </w:rPr>
        <w:fldChar w:fldCharType="end"/>
      </w:r>
      <w:r>
        <w:rPr>
          <w:rFonts w:cstheme="minorHAnsi"/>
        </w:rPr>
        <w:t xml:space="preserve">. </w:t>
      </w:r>
      <w:r>
        <w:t xml:space="preserve">PBS was used as its pH of 7.4 also closely matches the pH of the human body. The swelling results </w:t>
      </w:r>
      <w:r w:rsidR="00506FF2">
        <w:t xml:space="preserve">for WPI-based biomaterials </w:t>
      </w:r>
      <w:r>
        <w:t>are presented in Fig. 2</w:t>
      </w:r>
      <w:r w:rsidR="00C27F2C">
        <w:t xml:space="preserve"> </w:t>
      </w:r>
      <w:r w:rsidR="00C27F2C" w:rsidRPr="00C27F2C">
        <w:rPr>
          <w:color w:val="FF0000"/>
        </w:rPr>
        <w:t>A, B</w:t>
      </w:r>
      <w:r>
        <w:t>. When interpreting the bo</w:t>
      </w:r>
      <w:r w:rsidR="00E90AB9">
        <w:t>x plots, a taller box plot show</w:t>
      </w:r>
      <w:r w:rsidR="00E90AB9" w:rsidRPr="00E90AB9">
        <w:rPr>
          <w:color w:val="FF0000"/>
        </w:rPr>
        <w:t>ed</w:t>
      </w:r>
      <w:r>
        <w:t xml:space="preserve"> a wider interquartile range, with the top of the box representing the upper quartile and the bottom of the box representing the lower quartile. Within the box plot the line represents the median value and the minimum and maximum are shown by the whiskers. </w:t>
      </w:r>
    </w:p>
    <w:p w14:paraId="4A4C324C" w14:textId="58E0438F" w:rsidR="00F72557" w:rsidRPr="00A1673C" w:rsidRDefault="008936FF" w:rsidP="00E769A3">
      <w:pPr>
        <w:pStyle w:val="MDPI31text"/>
        <w:rPr>
          <w:color w:val="FF0000"/>
        </w:rPr>
      </w:pPr>
      <w:r w:rsidRPr="00A1673C">
        <w:rPr>
          <w:color w:val="FF0000"/>
        </w:rPr>
        <w:t xml:space="preserve">Figure </w:t>
      </w:r>
      <w:r w:rsidR="00506FF2" w:rsidRPr="00A1673C">
        <w:rPr>
          <w:color w:val="FF0000"/>
        </w:rPr>
        <w:t>2</w:t>
      </w:r>
      <w:r w:rsidR="00C27F2C" w:rsidRPr="00A1673C">
        <w:rPr>
          <w:color w:val="FF0000"/>
        </w:rPr>
        <w:t xml:space="preserve"> A</w:t>
      </w:r>
      <w:r w:rsidR="00E90AB9" w:rsidRPr="00A1673C">
        <w:rPr>
          <w:color w:val="FF0000"/>
        </w:rPr>
        <w:t xml:space="preserve"> showed</w:t>
      </w:r>
      <w:r w:rsidRPr="00A1673C">
        <w:rPr>
          <w:color w:val="FF0000"/>
        </w:rPr>
        <w:t xml:space="preserve"> clear trends for each sample group in PBS. </w:t>
      </w:r>
      <w:r w:rsidR="00E90AB9" w:rsidRPr="00A1673C">
        <w:rPr>
          <w:color w:val="FF0000"/>
        </w:rPr>
        <w:t xml:space="preserve">The </w:t>
      </w:r>
      <w:r w:rsidRPr="00A1673C">
        <w:rPr>
          <w:color w:val="FF0000"/>
        </w:rPr>
        <w:t xml:space="preserve">40/0 and 40/2.32 </w:t>
      </w:r>
      <w:r w:rsidR="004B786C" w:rsidRPr="00A1673C">
        <w:rPr>
          <w:color w:val="FF0000"/>
        </w:rPr>
        <w:t>biomaterials</w:t>
      </w:r>
      <w:r w:rsidRPr="00A1673C">
        <w:rPr>
          <w:color w:val="FF0000"/>
        </w:rPr>
        <w:t xml:space="preserve"> show</w:t>
      </w:r>
      <w:r w:rsidR="00506FF2" w:rsidRPr="00A1673C">
        <w:rPr>
          <w:color w:val="FF0000"/>
        </w:rPr>
        <w:t>ed</w:t>
      </w:r>
      <w:r w:rsidRPr="00A1673C">
        <w:rPr>
          <w:color w:val="FF0000"/>
        </w:rPr>
        <w:t xml:space="preserve"> </w:t>
      </w:r>
      <w:r w:rsidR="00E769A3" w:rsidRPr="00A1673C">
        <w:rPr>
          <w:color w:val="FF0000"/>
        </w:rPr>
        <w:t>a</w:t>
      </w:r>
      <w:r w:rsidRPr="00A1673C">
        <w:rPr>
          <w:color w:val="FF0000"/>
        </w:rPr>
        <w:t xml:space="preserve"> decrease in swelling over time</w:t>
      </w:r>
      <w:r w:rsidR="00E769A3" w:rsidRPr="00A1673C">
        <w:rPr>
          <w:color w:val="FF0000"/>
        </w:rPr>
        <w:t xml:space="preserve">. 40/0 biomaterials showed no significant change in the first 24 </w:t>
      </w:r>
      <w:proofErr w:type="spellStart"/>
      <w:r w:rsidR="00E769A3" w:rsidRPr="00A1673C">
        <w:rPr>
          <w:color w:val="FF0000"/>
        </w:rPr>
        <w:t>hrs</w:t>
      </w:r>
      <w:proofErr w:type="spellEnd"/>
      <w:r w:rsidR="00E769A3" w:rsidRPr="00A1673C">
        <w:rPr>
          <w:color w:val="FF0000"/>
        </w:rPr>
        <w:t xml:space="preserve"> and then began to decrease. 40/2.32 biomaterials showed a small initial increase in the first 24 </w:t>
      </w:r>
      <w:proofErr w:type="spellStart"/>
      <w:r w:rsidR="00E769A3" w:rsidRPr="00A1673C">
        <w:rPr>
          <w:color w:val="FF0000"/>
        </w:rPr>
        <w:t>hrs</w:t>
      </w:r>
      <w:proofErr w:type="spellEnd"/>
      <w:r w:rsidR="00E769A3" w:rsidRPr="00A1673C">
        <w:rPr>
          <w:color w:val="FF0000"/>
        </w:rPr>
        <w:t xml:space="preserve"> before beginning to decrease. In contrast, </w:t>
      </w:r>
      <w:r w:rsidRPr="00A1673C">
        <w:rPr>
          <w:color w:val="FF0000"/>
        </w:rPr>
        <w:t xml:space="preserve">40/5 </w:t>
      </w:r>
      <w:r w:rsidR="00BC7DB0" w:rsidRPr="00A1673C">
        <w:rPr>
          <w:color w:val="FF0000"/>
        </w:rPr>
        <w:t>biomaterials</w:t>
      </w:r>
      <w:r w:rsidRPr="00A1673C">
        <w:rPr>
          <w:color w:val="FF0000"/>
        </w:rPr>
        <w:t xml:space="preserve"> </w:t>
      </w:r>
      <w:r w:rsidR="00E769A3" w:rsidRPr="00A1673C">
        <w:rPr>
          <w:color w:val="FF0000"/>
        </w:rPr>
        <w:t xml:space="preserve">displayed an </w:t>
      </w:r>
      <w:r w:rsidRPr="00A1673C">
        <w:rPr>
          <w:color w:val="FF0000"/>
        </w:rPr>
        <w:t xml:space="preserve">increase in swelling over time. </w:t>
      </w:r>
      <w:r w:rsidR="00E769A3" w:rsidRPr="00A1673C">
        <w:rPr>
          <w:color w:val="FF0000"/>
        </w:rPr>
        <w:t xml:space="preserve">The 40/5 biomaterials continued to swell over the recorded time intervals with a large increase in the first 24 </w:t>
      </w:r>
      <w:proofErr w:type="spellStart"/>
      <w:r w:rsidR="00E769A3" w:rsidRPr="00A1673C">
        <w:rPr>
          <w:color w:val="FF0000"/>
        </w:rPr>
        <w:t>hrs</w:t>
      </w:r>
      <w:proofErr w:type="spellEnd"/>
      <w:r w:rsidR="00E769A3" w:rsidRPr="00A1673C">
        <w:rPr>
          <w:color w:val="FF0000"/>
        </w:rPr>
        <w:t xml:space="preserve"> compared to the other groups.</w:t>
      </w:r>
      <w:r w:rsidR="00F72557" w:rsidRPr="00A1673C">
        <w:rPr>
          <w:color w:val="FF0000"/>
        </w:rPr>
        <w:t xml:space="preserve"> </w:t>
      </w:r>
      <w:r w:rsidRPr="00A1673C">
        <w:rPr>
          <w:color w:val="FF0000"/>
        </w:rPr>
        <w:t>For 40/0 and 40/2.32 the swelling ratio results are precise</w:t>
      </w:r>
      <w:r w:rsidR="00E769A3" w:rsidRPr="00A1673C">
        <w:rPr>
          <w:color w:val="FF0000"/>
        </w:rPr>
        <w:t>, as</w:t>
      </w:r>
      <w:r w:rsidRPr="00A1673C">
        <w:rPr>
          <w:color w:val="FF0000"/>
        </w:rPr>
        <w:t xml:space="preserve"> shown by the short box plots. </w:t>
      </w:r>
      <w:r w:rsidR="00E769A3" w:rsidRPr="00A1673C">
        <w:rPr>
          <w:color w:val="FF0000"/>
        </w:rPr>
        <w:t xml:space="preserve">However, the measurements for 40/5 biomaterials show a large variance as the box plots are much taller and therefore less precise, hence, the </w:t>
      </w:r>
      <w:r w:rsidRPr="00A1673C">
        <w:rPr>
          <w:color w:val="FF0000"/>
        </w:rPr>
        <w:t xml:space="preserve">true swelling ratio cannot be concluded. To </w:t>
      </w:r>
      <w:r w:rsidR="005166B7">
        <w:rPr>
          <w:color w:val="FF0000"/>
        </w:rPr>
        <w:t xml:space="preserve">determine the </w:t>
      </w:r>
      <w:r w:rsidRPr="00A1673C">
        <w:rPr>
          <w:color w:val="FF0000"/>
        </w:rPr>
        <w:t xml:space="preserve">concentration </w:t>
      </w:r>
      <w:r w:rsidR="005166B7">
        <w:rPr>
          <w:color w:val="FF0000"/>
        </w:rPr>
        <w:t xml:space="preserve">at which </w:t>
      </w:r>
      <w:proofErr w:type="gramStart"/>
      <w:r w:rsidRPr="00A1673C">
        <w:rPr>
          <w:color w:val="FF0000"/>
        </w:rPr>
        <w:t>of</w:t>
      </w:r>
      <w:proofErr w:type="gramEnd"/>
      <w:r w:rsidRPr="00A1673C">
        <w:rPr>
          <w:color w:val="FF0000"/>
        </w:rPr>
        <w:t xml:space="preserve"> CaSiO</w:t>
      </w:r>
      <w:r w:rsidRPr="00A1673C">
        <w:rPr>
          <w:color w:val="FF0000"/>
          <w:vertAlign w:val="subscript"/>
        </w:rPr>
        <w:t>3</w:t>
      </w:r>
      <w:r w:rsidRPr="00A1673C">
        <w:rPr>
          <w:color w:val="FF0000"/>
        </w:rPr>
        <w:t xml:space="preserve"> swelling ratio changes from an overall decrease trend to an increase trend</w:t>
      </w:r>
      <w:r w:rsidR="00BC7DB0" w:rsidRPr="00A1673C">
        <w:rPr>
          <w:color w:val="FF0000"/>
        </w:rPr>
        <w:t xml:space="preserve">, one </w:t>
      </w:r>
      <w:r w:rsidRPr="00A1673C">
        <w:rPr>
          <w:color w:val="FF0000"/>
        </w:rPr>
        <w:t>could form hydrogels of intermediate CaSiO</w:t>
      </w:r>
      <w:r w:rsidRPr="00A1673C">
        <w:rPr>
          <w:color w:val="FF0000"/>
          <w:vertAlign w:val="subscript"/>
        </w:rPr>
        <w:t xml:space="preserve">3 </w:t>
      </w:r>
      <w:r w:rsidRPr="00A1673C">
        <w:rPr>
          <w:color w:val="FF0000"/>
        </w:rPr>
        <w:t xml:space="preserve">concentrations between 2.32% and 5%. </w:t>
      </w:r>
    </w:p>
    <w:p w14:paraId="5A46FA9A" w14:textId="2D6B6DFE" w:rsidR="009920A9" w:rsidRPr="00A1673C" w:rsidRDefault="008936FF" w:rsidP="009920A9">
      <w:pPr>
        <w:pStyle w:val="MDPI31text"/>
        <w:rPr>
          <w:color w:val="FF0000"/>
        </w:rPr>
      </w:pPr>
      <w:r w:rsidRPr="00A1673C">
        <w:rPr>
          <w:color w:val="FF0000"/>
        </w:rPr>
        <w:t xml:space="preserve">Figure </w:t>
      </w:r>
      <w:r w:rsidR="00506FF2" w:rsidRPr="00A1673C">
        <w:rPr>
          <w:color w:val="FF0000"/>
        </w:rPr>
        <w:t>2</w:t>
      </w:r>
      <w:r w:rsidR="00C27F2C" w:rsidRPr="00A1673C">
        <w:rPr>
          <w:color w:val="FF0000"/>
        </w:rPr>
        <w:t xml:space="preserve"> B</w:t>
      </w:r>
      <w:r w:rsidR="00506FF2" w:rsidRPr="00A1673C">
        <w:rPr>
          <w:color w:val="FF0000"/>
        </w:rPr>
        <w:t xml:space="preserve"> also</w:t>
      </w:r>
      <w:r w:rsidRPr="00A1673C">
        <w:rPr>
          <w:color w:val="FF0000"/>
        </w:rPr>
        <w:t xml:space="preserve"> shows clear trends for each sample group in SBF. </w:t>
      </w:r>
      <w:proofErr w:type="gramStart"/>
      <w:r w:rsidRPr="00A1673C">
        <w:rPr>
          <w:color w:val="FF0000"/>
        </w:rPr>
        <w:t>Similarly</w:t>
      </w:r>
      <w:proofErr w:type="gramEnd"/>
      <w:r w:rsidRPr="00A1673C">
        <w:rPr>
          <w:color w:val="FF0000"/>
        </w:rPr>
        <w:t xml:space="preserve"> to swelling results in PBS, 40/0 and 40/2.32 </w:t>
      </w:r>
      <w:r w:rsidR="004B786C" w:rsidRPr="00A1673C">
        <w:rPr>
          <w:color w:val="FF0000"/>
        </w:rPr>
        <w:t>biomaterials</w:t>
      </w:r>
      <w:r w:rsidRPr="00A1673C">
        <w:rPr>
          <w:color w:val="FF0000"/>
        </w:rPr>
        <w:t xml:space="preserve"> show</w:t>
      </w:r>
      <w:r w:rsidR="00506FF2" w:rsidRPr="00A1673C">
        <w:rPr>
          <w:color w:val="FF0000"/>
        </w:rPr>
        <w:t>ed</w:t>
      </w:r>
      <w:r w:rsidRPr="00A1673C">
        <w:rPr>
          <w:color w:val="FF0000"/>
        </w:rPr>
        <w:t xml:space="preserve"> a decrease in swelling over time whereas 40/5</w:t>
      </w:r>
      <w:r w:rsidR="00C27F2C" w:rsidRPr="00A1673C">
        <w:rPr>
          <w:color w:val="FF0000"/>
        </w:rPr>
        <w:t xml:space="preserve"> </w:t>
      </w:r>
      <w:r w:rsidR="004B786C" w:rsidRPr="00A1673C">
        <w:rPr>
          <w:color w:val="FF0000"/>
        </w:rPr>
        <w:t>biomaterials</w:t>
      </w:r>
      <w:r w:rsidR="009920A9" w:rsidRPr="00A1673C">
        <w:rPr>
          <w:color w:val="FF0000"/>
        </w:rPr>
        <w:t xml:space="preserve"> showed an</w:t>
      </w:r>
      <w:r w:rsidRPr="00A1673C">
        <w:rPr>
          <w:color w:val="FF0000"/>
        </w:rPr>
        <w:t xml:space="preserve"> increase in swelling over time. This </w:t>
      </w:r>
      <w:r w:rsidR="00BC7DB0" w:rsidRPr="00A1673C">
        <w:rPr>
          <w:color w:val="FF0000"/>
        </w:rPr>
        <w:t>may be</w:t>
      </w:r>
      <w:r w:rsidRPr="00A1673C">
        <w:rPr>
          <w:color w:val="FF0000"/>
        </w:rPr>
        <w:t xml:space="preserve"> due to </w:t>
      </w:r>
      <w:r w:rsidRPr="00A1673C">
        <w:rPr>
          <w:color w:val="FF0000"/>
        </w:rPr>
        <w:lastRenderedPageBreak/>
        <w:t>both solutions having a pH of 7.4.</w:t>
      </w:r>
      <w:r w:rsidR="009920A9" w:rsidRPr="00A1673C">
        <w:rPr>
          <w:color w:val="FF0000"/>
        </w:rPr>
        <w:t xml:space="preserve"> 40/0 biomaterials showed the same trend in both SBF and PBS.</w:t>
      </w:r>
      <w:r w:rsidRPr="00A1673C">
        <w:rPr>
          <w:color w:val="FF0000"/>
        </w:rPr>
        <w:t xml:space="preserve"> </w:t>
      </w:r>
      <w:r w:rsidR="009920A9" w:rsidRPr="00A1673C">
        <w:rPr>
          <w:color w:val="FF0000"/>
        </w:rPr>
        <w:t xml:space="preserve">40/2.32 biomaterials incubated in SBF did show a different trend than those incubated in PBS; in SBF, swelling initially decreased and continued to decrease over time, with a much lower swelling ratio at 168 hrs. The 40/5 biomaterials continued to swell over the recorded time intervals with a large increase in the first 24 </w:t>
      </w:r>
      <w:proofErr w:type="spellStart"/>
      <w:r w:rsidR="009920A9" w:rsidRPr="00A1673C">
        <w:rPr>
          <w:color w:val="FF0000"/>
        </w:rPr>
        <w:t>hrs</w:t>
      </w:r>
      <w:proofErr w:type="spellEnd"/>
      <w:r w:rsidR="009920A9" w:rsidRPr="00A1673C">
        <w:rPr>
          <w:color w:val="FF0000"/>
        </w:rPr>
        <w:t xml:space="preserve"> compared to the other groups. </w:t>
      </w:r>
      <w:proofErr w:type="gramStart"/>
      <w:r w:rsidR="009920A9" w:rsidRPr="00A1673C">
        <w:rPr>
          <w:color w:val="FF0000"/>
        </w:rPr>
        <w:t>Similarly</w:t>
      </w:r>
      <w:proofErr w:type="gramEnd"/>
      <w:r w:rsidR="009920A9" w:rsidRPr="00A1673C">
        <w:rPr>
          <w:color w:val="FF0000"/>
        </w:rPr>
        <w:t xml:space="preserve"> to swelling ratio results obtained in PBS, the swelling ratio results are precise for 40/0 and 40/2.32 biomaterials, as shown by the short box plots. However, this is not the case for 40/5 biomaterials as the box plots are much taller and therefore imprecise, although the variance of swelling ratios for 40/5 biomaterials in SBF is smaller compared to that in PBS.</w:t>
      </w:r>
    </w:p>
    <w:p w14:paraId="7CEBB9DF" w14:textId="7FC584B5" w:rsidR="006E74EE" w:rsidRPr="0088209C" w:rsidRDefault="004B786C" w:rsidP="004B786C">
      <w:pPr>
        <w:pStyle w:val="MDPI31text"/>
        <w:rPr>
          <w:shd w:val="clear" w:color="auto" w:fill="FFFFFF"/>
        </w:rPr>
      </w:pPr>
      <w:r>
        <w:t>I</w:t>
      </w:r>
      <w:r w:rsidR="006E74EE">
        <w:t>t was expected that addition of CaSiO</w:t>
      </w:r>
      <w:r w:rsidR="006E74EE">
        <w:rPr>
          <w:vertAlign w:val="subscript"/>
        </w:rPr>
        <w:t>3</w:t>
      </w:r>
      <w:r w:rsidR="006E74EE">
        <w:t xml:space="preserve"> would decrease the swelling ratio due to an increased cross-linking density of the polymer matrix resulting in less free space for the fluid to be absorbed. An example of this </w:t>
      </w:r>
      <w:r w:rsidR="00A46C99" w:rsidRPr="00A46C99">
        <w:rPr>
          <w:color w:val="FF0000"/>
        </w:rPr>
        <w:t>is the</w:t>
      </w:r>
      <w:r w:rsidR="006E74EE">
        <w:t xml:space="preserve"> swelling data reported by Slota et al who </w:t>
      </w:r>
      <w:r w:rsidR="006E74EE" w:rsidRPr="009920A9">
        <w:rPr>
          <w:color w:val="FF0000"/>
        </w:rPr>
        <w:t xml:space="preserve">incorporated HA </w:t>
      </w:r>
      <w:r w:rsidR="009920A9" w:rsidRPr="009920A9">
        <w:rPr>
          <w:color w:val="FF0000"/>
        </w:rPr>
        <w:t>in</w:t>
      </w:r>
      <w:r w:rsidR="006E74EE" w:rsidRPr="009920A9">
        <w:rPr>
          <w:color w:val="FF0000"/>
        </w:rPr>
        <w:t xml:space="preserve">to a WPI hydrogel and incubated </w:t>
      </w:r>
      <w:r w:rsidR="009920A9" w:rsidRPr="009920A9">
        <w:rPr>
          <w:color w:val="FF0000"/>
        </w:rPr>
        <w:t xml:space="preserve">the resulting composite </w:t>
      </w:r>
      <w:r w:rsidR="006E74EE" w:rsidRPr="009920A9">
        <w:rPr>
          <w:color w:val="FF0000"/>
        </w:rPr>
        <w:t>in SBF.</w:t>
      </w:r>
      <w:r w:rsidR="006E74EE" w:rsidRPr="004001B2">
        <w:t xml:space="preserve"> </w:t>
      </w:r>
      <w:r w:rsidR="006E74EE" w:rsidRPr="00A46C99">
        <w:rPr>
          <w:color w:val="FF0000"/>
        </w:rPr>
        <w:t xml:space="preserve">It was suggested that </w:t>
      </w:r>
      <w:r w:rsidR="006E74EE" w:rsidRPr="00A46C99">
        <w:rPr>
          <w:color w:val="FF0000"/>
          <w:shd w:val="clear" w:color="auto" w:fill="FFFFFF"/>
        </w:rPr>
        <w:t>the spaces between the polymer chains were filled</w:t>
      </w:r>
      <w:r w:rsidR="009920A9" w:rsidRPr="00A46C99">
        <w:rPr>
          <w:color w:val="FF0000"/>
          <w:shd w:val="clear" w:color="auto" w:fill="FFFFFF"/>
        </w:rPr>
        <w:t xml:space="preserve"> </w:t>
      </w:r>
      <w:r w:rsidR="009920A9" w:rsidRPr="00A46C99">
        <w:rPr>
          <w:color w:val="FF0000"/>
        </w:rPr>
        <w:t>due to the incorporation of the ceramic phase</w:t>
      </w:r>
      <w:r w:rsidR="006E74EE" w:rsidRPr="00A46C99">
        <w:rPr>
          <w:color w:val="FF0000"/>
          <w:shd w:val="clear" w:color="auto" w:fill="FFFFFF"/>
        </w:rPr>
        <w:t>, preventing fluid sorption</w:t>
      </w:r>
      <w:r w:rsidR="006E74EE">
        <w:rPr>
          <w:shd w:val="clear" w:color="auto" w:fill="FFFFFF"/>
        </w:rPr>
        <w:t xml:space="preserve"> </w:t>
      </w:r>
      <w:r w:rsidR="00590160">
        <w:rPr>
          <w:shd w:val="clear" w:color="auto" w:fill="FFFFFF"/>
        </w:rPr>
        <w:fldChar w:fldCharType="begin" w:fldLock="1"/>
      </w:r>
      <w:r w:rsidR="00BF2AF7">
        <w:rPr>
          <w:shd w:val="clear" w:color="auto" w:fill="FFFFFF"/>
        </w:rPr>
        <w:instrText>ADDIN CSL_CITATION {"citationItems":[{"id":"ITEM-1","itemData":{"DOI":"10.3390/ma14092317","ISSN":"19961944","abstract":"Hydroxyapatite (HAp) is a bioactive ceramic with great potential for the regeneration of the skeletal system. However, its mechanical properties, especially its brittleness, limit its application. Therefore, in order to increase its ability to transmit stresses, it can be combined with a polymer phase, which increases its strength without eliminating the important aspect of bioactivity. The presented work focuses on obtaining organic-inorganic hydrogel materials based on whey protein isolate (WPI) reinforced with nano-HAp powder. The proportion of the ceramic phase was in the range of 0-15%. Firstly, a physicochemical analysis of the materials was performed using XRD, FT-IR and SEM. The hydrogel composites were subjected to swelling capacity measurements, potentiometric and conductivity analysis, and in vitro tests in four liquids: distilled water, Ringer’s fluid, artificial saliva, and simulated body fluid (SBF). The incubation results demonstrated the successful formation of new layers of apatite as a result of the interaction with the fluids. Additionally, the influence of the materials on the metabolic activity according to ISO 10993-5:2009 was evaluated by identifying direct contact cytotoxicity towards L-929 mouse fibroblasts, which served as a reference. Moreover, the stimulation of monocytes by hydrogels via the induction of nuclear factor (NF)-κB was investigated. The WPI/HAp composite hydrogels presented in this study therefore show great potential for use as novel bone substitutes.","author":[{"dropping-particle":"","family":"Slota","given":"Dagmara","non-dropping-particle":"","parse-names":false,"suffix":""},{"dropping-particle":"","family":"Gląb","given":"Magdalena","non-dropping-particle":"","parse-names":false,"suffix":""},{"dropping-particle":"","family":"Tyliszczak","given":"Bozena","non-dropping-particle":"","parse-names":false,"suffix":""},{"dropping-particle":"","family":"Dogulas","given":"Timothy E.L.","non-dropping-particle":"","parse-names":false,"suffix":""},{"dropping-particle":"","family":"Rudnicka","given":"Karolina","non-dropping-particle":"","parse-names":false,"suffix":""},{"dropping-particle":"","family":"Miernik","given":"Krzysztof","non-dropping-particle":"","parse-names":false,"suffix":""},{"dropping-particle":"","family":"Urbaniak","given":"Mateusz M.","non-dropping-particle":"","parse-names":false,"suffix":""},{"dropping-particle":"","family":"Rusek-Wala","given":"Paulina","non-dropping-particle":"","parse-names":false,"suffix":""},{"dropping-particle":"","family":"Sobczak-upiec","given":"Agnieszka","non-dropping-particle":"","parse-names":false,"suffix":""}],"container-title":"Materials","id":"ITEM-1","issue":"9","issued":{"date-parts":[["2021"]]},"title":"Composites based on hydroxyapatite and whey protein isolate for applications in bone regeneration","type":"article-journal","volume":"14"},"uris":["http://www.mendeley.com/documents/?uuid=87576f7d-8b02-4437-8815-f5ecefcc39ec"]}],"mendeley":{"formattedCitation":"[28]","plainTextFormattedCitation":"[28]","previouslyFormattedCitation":"[28]"},"properties":{"noteIndex":0},"schema":"https://github.com/citation-style-language/schema/raw/master/csl-citation.json"}</w:instrText>
      </w:r>
      <w:r w:rsidR="00590160">
        <w:rPr>
          <w:shd w:val="clear" w:color="auto" w:fill="FFFFFF"/>
        </w:rPr>
        <w:fldChar w:fldCharType="separate"/>
      </w:r>
      <w:r w:rsidR="00BF2AF7" w:rsidRPr="00BF2AF7">
        <w:rPr>
          <w:noProof/>
          <w:shd w:val="clear" w:color="auto" w:fill="FFFFFF"/>
        </w:rPr>
        <w:t>[28]</w:t>
      </w:r>
      <w:r w:rsidR="00590160">
        <w:rPr>
          <w:shd w:val="clear" w:color="auto" w:fill="FFFFFF"/>
        </w:rPr>
        <w:fldChar w:fldCharType="end"/>
      </w:r>
      <w:r w:rsidR="006E74EE">
        <w:rPr>
          <w:shd w:val="clear" w:color="auto" w:fill="FFFFFF"/>
        </w:rPr>
        <w:t xml:space="preserve">. Also, it </w:t>
      </w:r>
      <w:r w:rsidR="009920A9" w:rsidRPr="009920A9">
        <w:rPr>
          <w:color w:val="FF0000"/>
          <w:shd w:val="clear" w:color="auto" w:fill="FFFFFF"/>
        </w:rPr>
        <w:t>has been</w:t>
      </w:r>
      <w:r w:rsidR="006E74EE">
        <w:rPr>
          <w:shd w:val="clear" w:color="auto" w:fill="FFFFFF"/>
        </w:rPr>
        <w:t xml:space="preserve"> reported in literature </w:t>
      </w:r>
      <w:r w:rsidR="006E74EE" w:rsidRPr="004001B2">
        <w:t xml:space="preserve">that a decrease in swelling can increase the material’s mechanical properties </w:t>
      </w:r>
      <w:r w:rsidR="00590160">
        <w:fldChar w:fldCharType="begin" w:fldLock="1"/>
      </w:r>
      <w:r w:rsidR="00BF2AF7">
        <w:instrText>ADDIN CSL_CITATION {"citationItems":[{"id":"ITEM-1","itemData":{"DOI":"10.1177/0885328213506951","ISBN":"0885328213","ISSN":"15308022","PMID":"24114559","abstract":"The aim of this study was to improve the bioactive and compressive properties of photopolymerisable polyethylene glycol hydrogels with the incorporation of hydroxyapatite at different loadings. The synthesis of pure hydroxyapatite was verified through Fourier transform infrared spectroscopy (FTIR) analysis by the complete reaction of all constituents. The formation of a bioactive layer of the hydrogel based composites was confirmed through the formation of carbonate hydroxyapatite after soaking the samples in simulated body fluid. The incorporation of hydroxyapatite into the system resulted in an increase in Young's modulus from 4.36 to 12.73 MPa and an increase in the stress at limit value from 1.20 to 4.42 MPa. This was due to the hydroxyapatite absorbing the compressive load, the polymer matrix distributing the load, a reduction in swelling and the presence of physical crosslinking between both components. Drug dissolution testing showed that the release rate of a drug from the hydrogels was dependent on the molecular weight of the polymer and the type of drug used. © The Author(s) 2013 Reprints and permissions: sagepub.co.uk/journalsPermissions.nav.","author":[{"dropping-particle":"","family":"Killion","given":"John A.","non-dropping-particle":"","parse-names":false,"suffix":""},{"dropping-particle":"","family":"Geever","given":"Luke M.","non-dropping-particle":"","parse-names":false,"suffix":""},{"dropping-particle":"","family":"Devine","given":"Declan M.","non-dropping-particle":"","parse-names":false,"suffix":""},{"dropping-particle":"","family":"Higginbotham","given":"Clement L.","non-dropping-particle":"","parse-names":false,"suffix":""}],"container-title":"Journal of Biomaterials Applications","id":"ITEM-1","issue":"8","issued":{"date-parts":[["2014"]]},"page":"1274-1283","title":"Fabrication and in vitro biological evaluation of photopolymerisable hydroxyapatite hydrogel composites for bone regeneration","type":"article-journal","volume":"28"},"uris":["http://www.mendeley.com/documents/?uuid=9c5fe430-ce48-4e4d-a5b2-eb28f2fd753a"]}],"mendeley":{"formattedCitation":"[29]","plainTextFormattedCitation":"[29]","previouslyFormattedCitation":"[29]"},"properties":{"noteIndex":0},"schema":"https://github.com/citation-style-language/schema/raw/master/csl-citation.json"}</w:instrText>
      </w:r>
      <w:r w:rsidR="00590160">
        <w:fldChar w:fldCharType="separate"/>
      </w:r>
      <w:r w:rsidR="00BF2AF7" w:rsidRPr="00BF2AF7">
        <w:rPr>
          <w:noProof/>
        </w:rPr>
        <w:t>[29]</w:t>
      </w:r>
      <w:r w:rsidR="00590160">
        <w:fldChar w:fldCharType="end"/>
      </w:r>
      <w:r w:rsidR="006E74EE">
        <w:t xml:space="preserve">. </w:t>
      </w:r>
      <w:r>
        <w:t>I</w:t>
      </w:r>
      <w:r w:rsidR="006E74EE">
        <w:rPr>
          <w:shd w:val="clear" w:color="auto" w:fill="FFFFFF"/>
        </w:rPr>
        <w:t xml:space="preserve">n natural bone repair, fractures take six to eight weeks to heal, therefore the </w:t>
      </w:r>
      <w:r w:rsidR="006E74EE" w:rsidRPr="00A46C99">
        <w:rPr>
          <w:color w:val="FF0000"/>
          <w:shd w:val="clear" w:color="auto" w:fill="FFFFFF"/>
        </w:rPr>
        <w:t>hydrogel</w:t>
      </w:r>
      <w:r w:rsidR="00A46C99" w:rsidRPr="00A46C99">
        <w:rPr>
          <w:color w:val="FF0000"/>
          <w:shd w:val="clear" w:color="auto" w:fill="FFFFFF"/>
        </w:rPr>
        <w:t>-based biomaterial</w:t>
      </w:r>
      <w:r w:rsidR="006E74EE">
        <w:rPr>
          <w:shd w:val="clear" w:color="auto" w:fill="FFFFFF"/>
        </w:rPr>
        <w:t xml:space="preserve"> should not </w:t>
      </w:r>
      <w:r w:rsidR="009920A9" w:rsidRPr="009920A9">
        <w:rPr>
          <w:color w:val="FF0000"/>
          <w:shd w:val="clear" w:color="auto" w:fill="FFFFFF"/>
        </w:rPr>
        <w:t>degrade</w:t>
      </w:r>
      <w:r w:rsidR="006E74EE">
        <w:rPr>
          <w:shd w:val="clear" w:color="auto" w:fill="FFFFFF"/>
        </w:rPr>
        <w:t xml:space="preserve"> too quickly within this period </w:t>
      </w:r>
      <w:r w:rsidR="00590160">
        <w:rPr>
          <w:shd w:val="clear" w:color="auto" w:fill="FFFFFF"/>
        </w:rPr>
        <w:fldChar w:fldCharType="begin" w:fldLock="1"/>
      </w:r>
      <w:r w:rsidR="00BF2AF7">
        <w:rPr>
          <w:shd w:val="clear" w:color="auto" w:fill="FFFFFF"/>
        </w:rPr>
        <w:instrText>ADDIN CSL_CITATION {"citationItems":[{"id":"ITEM-1","itemData":{"DOI":"10.1002/polb.23974","ISSN":"10990488","abstract":"Hydrogels are widely used for controlled delivery of therapeutic agents. However, hydrogels lack bioactivity to encourage bone formation and mechanical integrity. Moreover, chemically crosslinked hydrogels exhibit cytotoxic effect. To overcome these limitations poly-vinyl alcohol (PVA) and poly-acrylic acid (PAA) blends were combined with ceramic materials based on β tricalcium phosphate, wollastonite, and magnesium silicate with different pore size distributions. The final 3D matrix was physically crosslinked using various freeze thawing (F/T) cycles. FTIR and SEM analysis showed that ceramics were dispersed within the polymer matrix and formed hydrogen bonds. Swelling studies in buffer solution pH 7.4 showed an increase in polymer swelling when ceramic was added. Furthermore, rheological testing demonstrated that incorporation of ceramics caused an increase in mechanical properties which varies with different pore size distributions of ceramics grains added. DSC thermograms showed increased Tg values for samples containing ceramics. Antimicrobial activity containing ciprofloxacin was tested against a pathogen associated with osteomyelitis and presented positive results with ciprofloxacin. The combination of increased strength and ability to encapsulate a clinically relevant antimicrobial agent indicates that the composite tested in this study has potential for the treatment of osteomyelitis.","author":[{"dropping-particle":"","family":"Canillas","given":"Maria","non-dropping-particle":"","parse-names":false,"suffix":""},{"dropping-particle":"","family":"Lima","given":"Gabriel G.","non-dropping-particle":"De","parse-names":false,"suffix":""},{"dropping-particle":"","family":"Rodríguez","given":"Miguel A.","non-dropping-particle":"","parse-names":false,"suffix":""},{"dropping-particle":"","family":"Nugent","given":"Michael J.D.","non-dropping-particle":"","parse-names":false,"suffix":""},{"dropping-particle":"","family":"Devine","given":"Declan M.","non-dropping-particle":"","parse-names":false,"suffix":""}],"container-title":"Journal of Polymer Science, Part B: Polymer Physics","id":"ITEM-1","issue":"7","issued":{"date-parts":[["2016"]]},"page":"761-773","title":"Bioactive composites fabricated by freezing-thawing method for bone regeneration applications","type":"article-journal","volume":"54"},"uris":["http://www.mendeley.com/documents/?uuid=b9a49e50-d4e7-4b98-b98c-9b8aa9f5fde1"]}],"mendeley":{"formattedCitation":"[30]","plainTextFormattedCitation":"[30]","previouslyFormattedCitation":"[30]"},"properties":{"noteIndex":0},"schema":"https://github.com/citation-style-language/schema/raw/master/csl-citation.json"}</w:instrText>
      </w:r>
      <w:r w:rsidR="00590160">
        <w:rPr>
          <w:shd w:val="clear" w:color="auto" w:fill="FFFFFF"/>
        </w:rPr>
        <w:fldChar w:fldCharType="separate"/>
      </w:r>
      <w:r w:rsidR="00BF2AF7" w:rsidRPr="00BF2AF7">
        <w:rPr>
          <w:noProof/>
          <w:shd w:val="clear" w:color="auto" w:fill="FFFFFF"/>
        </w:rPr>
        <w:t>[30]</w:t>
      </w:r>
      <w:r w:rsidR="00590160">
        <w:rPr>
          <w:shd w:val="clear" w:color="auto" w:fill="FFFFFF"/>
        </w:rPr>
        <w:fldChar w:fldCharType="end"/>
      </w:r>
      <w:r w:rsidR="006E74EE">
        <w:rPr>
          <w:shd w:val="clear" w:color="auto" w:fill="FFFFFF"/>
        </w:rPr>
        <w:t>.</w:t>
      </w:r>
    </w:p>
    <w:p w14:paraId="0215B463" w14:textId="3352DEB1" w:rsidR="00506FF2" w:rsidRDefault="00506FF2" w:rsidP="004F7CF4">
      <w:pPr>
        <w:pStyle w:val="MDPI31text"/>
      </w:pPr>
    </w:p>
    <w:p w14:paraId="15B5EEF1" w14:textId="77777777" w:rsidR="004F7CF4" w:rsidRDefault="00C27F2C" w:rsidP="004F7CF4">
      <w:pPr>
        <w:pStyle w:val="MDPI31text"/>
      </w:pPr>
      <w:r>
        <w:rPr>
          <w:noProof/>
          <w:snapToGrid/>
          <w:lang w:val="pl-PL" w:eastAsia="pl-PL" w:bidi="ar-SA"/>
        </w:rPr>
        <w:drawing>
          <wp:inline distT="0" distB="0" distL="0" distR="0" wp14:anchorId="1F999A1C" wp14:editId="62B9D626">
            <wp:extent cx="4470982" cy="1668608"/>
            <wp:effectExtent l="19050" t="0" r="5768" b="0"/>
            <wp:docPr id="5" name="Obraz 4" descr="swelling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lling tablica.jpg"/>
                    <pic:cNvPicPr/>
                  </pic:nvPicPr>
                  <pic:blipFill>
                    <a:blip r:embed="rId17"/>
                    <a:stretch>
                      <a:fillRect/>
                    </a:stretch>
                  </pic:blipFill>
                  <pic:spPr>
                    <a:xfrm>
                      <a:off x="0" y="0"/>
                      <a:ext cx="4482746" cy="1672999"/>
                    </a:xfrm>
                    <a:prstGeom prst="rect">
                      <a:avLst/>
                    </a:prstGeom>
                  </pic:spPr>
                </pic:pic>
              </a:graphicData>
            </a:graphic>
          </wp:inline>
        </w:drawing>
      </w:r>
    </w:p>
    <w:p w14:paraId="7F9C5723" w14:textId="77777777" w:rsidR="008936FF" w:rsidRDefault="008936FF" w:rsidP="004F7CF4">
      <w:pPr>
        <w:pStyle w:val="MDPI31text"/>
      </w:pPr>
    </w:p>
    <w:p w14:paraId="2BC7C46A" w14:textId="77777777" w:rsidR="008936FF" w:rsidRDefault="008936FF" w:rsidP="008936FF">
      <w:pPr>
        <w:pStyle w:val="MDPI51figurecaption"/>
      </w:pPr>
      <w:r>
        <w:rPr>
          <w:b/>
        </w:rPr>
        <w:t>Figure 2</w:t>
      </w:r>
      <w:r w:rsidRPr="00FA04F1">
        <w:rPr>
          <w:b/>
        </w:rPr>
        <w:t xml:space="preserve">. </w:t>
      </w:r>
      <w:r>
        <w:t>Ability of WPI-based biomaterials: 40/0 (control), 40/2.23, and 40/5 to swell in contact with PBS</w:t>
      </w:r>
      <w:r w:rsidR="00C27F2C">
        <w:t xml:space="preserve"> </w:t>
      </w:r>
      <w:r w:rsidR="00C27F2C" w:rsidRPr="00C27F2C">
        <w:rPr>
          <w:color w:val="FF0000"/>
        </w:rPr>
        <w:t>(A)</w:t>
      </w:r>
      <w:r>
        <w:t xml:space="preserve"> or SBF</w:t>
      </w:r>
      <w:r w:rsidR="00C27F2C">
        <w:t xml:space="preserve"> </w:t>
      </w:r>
      <w:r w:rsidR="00C27F2C" w:rsidRPr="00C27F2C">
        <w:rPr>
          <w:color w:val="FF0000"/>
        </w:rPr>
        <w:t>(B)</w:t>
      </w:r>
      <w:r>
        <w:t xml:space="preserve"> after 24, 48, and 168 hours of incubation.</w:t>
      </w:r>
    </w:p>
    <w:p w14:paraId="29C6E329" w14:textId="77777777" w:rsidR="002D6CDA" w:rsidRDefault="002D6CDA" w:rsidP="002D6CDA">
      <w:pPr>
        <w:pStyle w:val="MDPI22heading2"/>
      </w:pPr>
      <w:r>
        <w:t>3.3. Mechanical properties</w:t>
      </w:r>
    </w:p>
    <w:p w14:paraId="4E056EC4" w14:textId="26E2F055" w:rsidR="005811C3" w:rsidRDefault="00A1673C" w:rsidP="005811C3">
      <w:pPr>
        <w:pStyle w:val="MDPI31text"/>
      </w:pPr>
      <w:r w:rsidRPr="00A1673C">
        <w:rPr>
          <w:color w:val="FF0000"/>
        </w:rPr>
        <w:t>Typical stress-strain curves for each biomaterial group are shown in Supplementary Figure 1.</w:t>
      </w:r>
      <w:r>
        <w:t xml:space="preserve"> </w:t>
      </w:r>
      <w:r w:rsidR="00763034">
        <w:t>Young’s Modulus, Ultimate Compressive Strength</w:t>
      </w:r>
      <w:r w:rsidR="00565795">
        <w:t>,</w:t>
      </w:r>
      <w:r w:rsidR="00763034">
        <w:t xml:space="preserve"> and Strain at break were determined; the results are shown in Figure 3</w:t>
      </w:r>
      <w:r w:rsidR="00565795">
        <w:t>A</w:t>
      </w:r>
      <w:r w:rsidR="00763034">
        <w:t>, 3</w:t>
      </w:r>
      <w:r w:rsidR="00565795">
        <w:t>B</w:t>
      </w:r>
      <w:r w:rsidR="00763034">
        <w:t xml:space="preserve"> and 3</w:t>
      </w:r>
      <w:r w:rsidR="00565795">
        <w:t>C</w:t>
      </w:r>
      <w:r w:rsidR="00763034">
        <w:t xml:space="preserve">, respectively. The values are comparable to those shown in previous work by Dziadek et al. </w:t>
      </w:r>
      <w:r w:rsidR="00590160">
        <w:fldChar w:fldCharType="begin" w:fldLock="1"/>
      </w:r>
      <w:r w:rsidR="00BF2AF7">
        <w:instrText>ADDIN CSL_CITATION {"citationItems":[{"id":"ITEM-1","itemData":{"DOI":"10.1016/j.matdes.2021.109749","ISSN":"18734197","abstract":"This study deals with the design and comprehensive evaluation of novel hydrogels based on whey protein isolate (WPI) for tissue regeneration. So far, WPI has been considered mainly as a food industry by-product and there are very few reports on the application of WPI in tissue engineering (TE). In this work, WPI-based hydrogels were modified with bioactive glass (BG), which is commonly used as a bone substitute material. Ready-to-use, sterile hydrogels were produced by a simple technique, namely heat-induced gelation. Two different concentrations (10 and 20% w/w) of sol–gel-derived BG particles of two different sizes (2.5 and &lt;45 µm) were compared. µCT analysis showed that hydrogels were highly porous with almost 100% pore interconnectivity. BG particles were generally homogenously distributed in the hydrogel matrix, affecting pore size, and reducing material porosity. Thermal analysis showed that the presence of BG particles in WPI matrix reduced water content in hydrogels and improved their thermal stability. BG particles decreased enzymatic degradation of the materials. The materials underwent mineralization in simulated biological fluids (PBS and SBF) and possessed high radical scavenging capacity. In vitro tests indicated that hydrogels were cytocompatible and supported MG-63 osteoblastic cell functions.","author":[{"dropping-particle":"","family":"Dziadek","given":"Michal","non-dropping-particle":"","parse-names":false,"suffix":""},{"dropping-particle":"","family":"Charuza","given":"Katarzyna","non-dropping-particle":"","parse-names":false,"suffix":""},{"dropping-particle":"","family":"Kudlackova","given":"Radmila","non-dropping-particle":"","parse-names":false,"suffix":""},{"dropping-particle":"","family":"Aveyard","given":"Jenny","non-dropping-particle":"","parse-names":false,"suffix":""},{"dropping-particle":"","family":"D'Sa","given":"Raechelle","non-dropping-particle":"","parse-names":false,"suffix":""},{"dropping-particle":"","family":"Serafim","given":"Andrada","non-dropping-particle":"","parse-names":false,"suffix":""},{"dropping-particle":"","family":"Stancu","given":"Izabela Cristina","non-dropping-particle":"","parse-names":false,"suffix":""},{"dropping-particle":"","family":"Iovu","given":"Horia","non-dropping-particle":"","parse-names":false,"suffix":""},{"dropping-particle":"","family":"Kerns","given":"Jemma G.","non-dropping-particle":"","parse-names":false,"suffix":""},{"dropping-particle":"","family":"Allinson","given":"Sarah","non-dropping-particle":"","parse-names":false,"suffix":""},{"dropping-particle":"","family":"Dziadek","given":"Kinga","non-dropping-particle":"","parse-names":false,"suffix":""},{"dropping-particle":"","family":"Szatkowski","given":"Piotr","non-dropping-particle":"","parse-names":false,"suffix":""},{"dropping-particle":"","family":"Cholewa-Kowalska","given":"Katarzyna","non-dropping-particle":"","parse-names":false,"suffix":""},{"dropping-particle":"","family":"Bacakova","given":"Lucie","non-dropping-particle":"","parse-names":false,"suffix":""},{"dropping-particle":"","family":"Pamula","given":"Elzbieta","non-dropping-particle":"","parse-names":false,"suffix":""},{"dropping-particle":"","family":"Douglas","given":"Timothy E.L.","non-dropping-particle":"","parse-names":false,"suffix":""}],"container-title":"Materials and Design","id":"ITEM-1","issued":{"date-parts":[["2021"]]},"page":"109749","publisher":"The Author(s)","title":"Modification of heat-induced whey protein isolate hydrogel with highly bioactive glass particles results in promising biomaterial for bone tissue engineering","type":"article-journal","volume":"205"},"uris":["http://www.mendeley.com/documents/?uuid=7893b94b-0c14-4b3c-88ba-b132c624a194"]}],"mendeley":{"formattedCitation":"[26]","plainTextFormattedCitation":"[26]","previouslyFormattedCitation":"[26]"},"properties":{"noteIndex":0},"schema":"https://github.com/citation-style-language/schema/raw/master/csl-citation.json"}</w:instrText>
      </w:r>
      <w:r w:rsidR="00590160">
        <w:fldChar w:fldCharType="separate"/>
      </w:r>
      <w:r w:rsidR="00BF2AF7" w:rsidRPr="00BF2AF7">
        <w:rPr>
          <w:noProof/>
        </w:rPr>
        <w:t>[26]</w:t>
      </w:r>
      <w:r w:rsidR="00590160">
        <w:fldChar w:fldCharType="end"/>
      </w:r>
      <w:r w:rsidR="00763034">
        <w:t xml:space="preserve">. No significant differences were observed in Young’s Modulus values between the different biomaterial groups. </w:t>
      </w:r>
      <w:r w:rsidR="00B26E93">
        <w:t>Ultimate C</w:t>
      </w:r>
      <w:r w:rsidR="00763034">
        <w:t xml:space="preserve">ompressive </w:t>
      </w:r>
      <w:r w:rsidR="00B26E93">
        <w:t>S</w:t>
      </w:r>
      <w:r w:rsidR="00763034">
        <w:t>trength</w:t>
      </w:r>
      <w:r w:rsidR="00B26E93">
        <w:t xml:space="preserve"> and Strain at break</w:t>
      </w:r>
      <w:r w:rsidR="00763034">
        <w:t xml:space="preserve"> increased with </w:t>
      </w:r>
      <w:r w:rsidR="00B26E93">
        <w:t>increasing CaSiO</w:t>
      </w:r>
      <w:r w:rsidR="00B26E93">
        <w:rPr>
          <w:vertAlign w:val="subscript"/>
        </w:rPr>
        <w:t>3</w:t>
      </w:r>
      <w:r w:rsidR="00B26E93">
        <w:t xml:space="preserve"> content</w:t>
      </w:r>
      <w:r>
        <w:t>.</w:t>
      </w:r>
      <w:r w:rsidR="00B26E93">
        <w:t xml:space="preserve"> </w:t>
      </w:r>
      <w:r>
        <w:t>H</w:t>
      </w:r>
      <w:r w:rsidR="00B26E93">
        <w:t>owever</w:t>
      </w:r>
      <w:r>
        <w:t>,</w:t>
      </w:r>
      <w:r w:rsidR="00B26E93">
        <w:t xml:space="preserve"> the reasons for these increases remain unclear. </w:t>
      </w:r>
      <w:r w:rsidR="008D491B">
        <w:t>The similarity of the</w:t>
      </w:r>
      <w:r w:rsidR="00B26E93">
        <w:t xml:space="preserve"> values of Young’s Modulus </w:t>
      </w:r>
      <w:r w:rsidR="008D491B">
        <w:t>suggest</w:t>
      </w:r>
      <w:r>
        <w:t>s</w:t>
      </w:r>
      <w:r w:rsidR="008D491B">
        <w:t xml:space="preserve"> that the differences in swelling ability (Figure 2) are not due to differences in stiffness. </w:t>
      </w:r>
    </w:p>
    <w:p w14:paraId="41772AFF" w14:textId="77777777" w:rsidR="00AD63D7" w:rsidRDefault="00AD63D7" w:rsidP="00AD63D7">
      <w:pPr>
        <w:pStyle w:val="MDPI31text"/>
      </w:pPr>
    </w:p>
    <w:p w14:paraId="13B951A8" w14:textId="77777777" w:rsidR="00506FF2" w:rsidRDefault="00D12D75" w:rsidP="008936FF">
      <w:pPr>
        <w:pStyle w:val="MDPI51figurecaption"/>
      </w:pPr>
      <w:r>
        <w:rPr>
          <w:noProof/>
          <w:lang w:val="pl-PL" w:eastAsia="pl-PL" w:bidi="ar-SA"/>
        </w:rPr>
        <w:lastRenderedPageBreak/>
        <w:drawing>
          <wp:inline distT="0" distB="0" distL="0" distR="0" wp14:anchorId="0E594F91" wp14:editId="134E2666">
            <wp:extent cx="3371850" cy="6156147"/>
            <wp:effectExtent l="0" t="0" r="0" b="0"/>
            <wp:docPr id="4" name="Picture 4" descr="C:\Users\douglast\Downloads\Mech testing figure with sta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last\Downloads\Mech testing figure with stars.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75687" cy="6163153"/>
                    </a:xfrm>
                    <a:prstGeom prst="rect">
                      <a:avLst/>
                    </a:prstGeom>
                    <a:noFill/>
                    <a:ln>
                      <a:noFill/>
                    </a:ln>
                  </pic:spPr>
                </pic:pic>
              </a:graphicData>
            </a:graphic>
          </wp:inline>
        </w:drawing>
      </w:r>
    </w:p>
    <w:p w14:paraId="477E456A" w14:textId="050131B7" w:rsidR="00AD63D7" w:rsidRDefault="005811C3" w:rsidP="00AD63D7">
      <w:pPr>
        <w:pStyle w:val="MDPI51figurecaption"/>
      </w:pPr>
      <w:r>
        <w:rPr>
          <w:b/>
        </w:rPr>
        <w:t>Figure 3</w:t>
      </w:r>
      <w:r w:rsidR="00AD63D7" w:rsidRPr="00FA04F1">
        <w:rPr>
          <w:b/>
        </w:rPr>
        <w:t xml:space="preserve">. </w:t>
      </w:r>
      <w:r w:rsidR="00AD63D7">
        <w:t>Comparative compression test results for WPI-based biomaterials: 40/0 (control), 40/2.23, and 40/5 (</w:t>
      </w:r>
      <w:r w:rsidR="00AD63D7" w:rsidRPr="00AD63D7">
        <w:rPr>
          <w:i/>
        </w:rPr>
        <w:t>n</w:t>
      </w:r>
      <w:r w:rsidR="00AD63D7">
        <w:t xml:space="preserve"> = </w:t>
      </w:r>
      <w:r w:rsidR="00A44C3B">
        <w:t>10</w:t>
      </w:r>
      <w:r w:rsidR="00AD63D7">
        <w:t>).</w:t>
      </w:r>
      <w:r w:rsidR="00A44C3B">
        <w:t xml:space="preserve"> </w:t>
      </w:r>
      <w:r w:rsidR="0032540C">
        <w:t>(</w:t>
      </w:r>
      <w:r w:rsidR="00A44C3B">
        <w:t>A</w:t>
      </w:r>
      <w:r w:rsidR="0032540C">
        <w:t>)</w:t>
      </w:r>
      <w:r w:rsidR="00A44C3B">
        <w:t xml:space="preserve"> Young’s Modulus; </w:t>
      </w:r>
      <w:r w:rsidR="0032540C">
        <w:t>(</w:t>
      </w:r>
      <w:r w:rsidR="00A44C3B">
        <w:t>B</w:t>
      </w:r>
      <w:r w:rsidR="0032540C">
        <w:t>)</w:t>
      </w:r>
      <w:r w:rsidR="00A44C3B">
        <w:t xml:space="preserve"> Ultimate compressive strength; </w:t>
      </w:r>
      <w:r w:rsidR="0032540C">
        <w:t>(</w:t>
      </w:r>
      <w:r w:rsidR="00A44C3B">
        <w:t>C</w:t>
      </w:r>
      <w:r w:rsidR="0032540C">
        <w:t>)</w:t>
      </w:r>
      <w:r w:rsidR="00A44C3B">
        <w:t xml:space="preserve"> compressive strain at break. Error bars show standard deviation. Sign</w:t>
      </w:r>
      <w:r w:rsidR="009B7989">
        <w:t xml:space="preserve">ificances based on One-Way ANOVA </w:t>
      </w:r>
      <w:r w:rsidR="009B7989" w:rsidRPr="009B7989">
        <w:rPr>
          <w:color w:val="FF0000"/>
        </w:rPr>
        <w:t>test followed by Tukey’s multiple comparison</w:t>
      </w:r>
      <w:r w:rsidR="009B7989">
        <w:t xml:space="preserve">, </w:t>
      </w:r>
      <w:r w:rsidR="009B7989" w:rsidRPr="00847C55">
        <w:rPr>
          <w:i/>
        </w:rPr>
        <w:t>p</w:t>
      </w:r>
      <w:r w:rsidR="009B7989">
        <w:t xml:space="preserve"> &lt; 0.05</w:t>
      </w:r>
      <w:r w:rsidR="00A44C3B">
        <w:t xml:space="preserve">: *: p &lt; 0.05; ***: p &lt; </w:t>
      </w:r>
      <w:proofErr w:type="gramStart"/>
      <w:r w:rsidR="00A44C3B">
        <w:t>0.001</w:t>
      </w:r>
      <w:proofErr w:type="gramEnd"/>
    </w:p>
    <w:p w14:paraId="5239D3DD" w14:textId="77777777" w:rsidR="00204ED6" w:rsidRDefault="00204ED6" w:rsidP="00204ED6">
      <w:pPr>
        <w:pStyle w:val="MDPI22heading2"/>
      </w:pPr>
      <w:r>
        <w:t>3.4</w:t>
      </w:r>
      <w:r w:rsidR="001C7501">
        <w:t xml:space="preserve">. </w:t>
      </w:r>
      <w:r w:rsidR="0068303E">
        <w:t>ATR-</w:t>
      </w:r>
      <w:r w:rsidR="001C7501">
        <w:t>FTIR results</w:t>
      </w:r>
    </w:p>
    <w:p w14:paraId="0F81B5C1" w14:textId="691173DA" w:rsidR="00F75603" w:rsidRPr="000316B1" w:rsidRDefault="00AB3942" w:rsidP="00F75603">
      <w:pPr>
        <w:pStyle w:val="MDPI31text"/>
      </w:pPr>
      <w:r>
        <w:rPr>
          <w:noProof/>
        </w:rPr>
        <w:t>Based on data obtained from earlier experiments</w:t>
      </w:r>
      <w:r w:rsidR="008D491B">
        <w:rPr>
          <w:noProof/>
        </w:rPr>
        <w:t xml:space="preserve"> (Figures 1-3)</w:t>
      </w:r>
      <w:r>
        <w:rPr>
          <w:noProof/>
        </w:rPr>
        <w:t xml:space="preserve">, only 40/0 and 40/5 biomaterials were </w:t>
      </w:r>
      <w:r w:rsidR="008D491B">
        <w:rPr>
          <w:noProof/>
        </w:rPr>
        <w:t>selected for further analysis</w:t>
      </w:r>
      <w:r>
        <w:rPr>
          <w:noProof/>
        </w:rPr>
        <w:t xml:space="preserve">. </w:t>
      </w:r>
      <w:r w:rsidR="001C7501">
        <w:rPr>
          <w:noProof/>
        </w:rPr>
        <w:t xml:space="preserve">From </w:t>
      </w:r>
      <w:r w:rsidR="0068303E">
        <w:rPr>
          <w:noProof/>
        </w:rPr>
        <w:t>ATR-</w:t>
      </w:r>
      <w:r w:rsidR="001C7501">
        <w:rPr>
          <w:noProof/>
        </w:rPr>
        <w:t xml:space="preserve">FTIR analysis the functional groups of the </w:t>
      </w:r>
      <w:r w:rsidR="008D491B">
        <w:rPr>
          <w:noProof/>
        </w:rPr>
        <w:t>biomaterial</w:t>
      </w:r>
      <w:r w:rsidR="001C7501">
        <w:rPr>
          <w:noProof/>
        </w:rPr>
        <w:t xml:space="preserve"> can be determined by analysing the bonds present. As the main component of the </w:t>
      </w:r>
      <w:r w:rsidR="008D491B">
        <w:rPr>
          <w:noProof/>
        </w:rPr>
        <w:t>biomaterial</w:t>
      </w:r>
      <w:r w:rsidR="001C7501">
        <w:rPr>
          <w:noProof/>
        </w:rPr>
        <w:t xml:space="preserve"> is the matrix formed of WPI and as the main </w:t>
      </w:r>
      <w:r w:rsidR="001C7501">
        <w:t>composition of whey protein consists of β-lactoglobulin</w:t>
      </w:r>
      <w:r w:rsidR="001C7501">
        <w:rPr>
          <w:noProof/>
        </w:rPr>
        <w:t xml:space="preserve">, the expected bonds are those that correspond to peptide bonds within proteins i.e. amide regions. Figure 4 </w:t>
      </w:r>
      <w:r w:rsidR="00F75603">
        <w:rPr>
          <w:noProof/>
        </w:rPr>
        <w:t>A</w:t>
      </w:r>
      <w:r w:rsidR="001C7501">
        <w:rPr>
          <w:noProof/>
        </w:rPr>
        <w:t xml:space="preserve"> shows the spectra for both the 40/0 and 40/5 </w:t>
      </w:r>
      <w:r w:rsidR="004B786C">
        <w:rPr>
          <w:noProof/>
        </w:rPr>
        <w:t>biomaterials</w:t>
      </w:r>
      <w:r w:rsidR="001C7501">
        <w:rPr>
          <w:noProof/>
        </w:rPr>
        <w:t>.</w:t>
      </w:r>
      <w:r w:rsidR="00CF5D03">
        <w:rPr>
          <w:noProof/>
        </w:rPr>
        <w:t xml:space="preserve"> </w:t>
      </w:r>
      <w:r w:rsidR="00CF5D03">
        <w:t>When the exact wavenumber is not assigned the closest wavenumber is used from the reference material for table 3</w:t>
      </w:r>
      <w:r w:rsidR="005166B7">
        <w:t xml:space="preserve"> and is shown in brackets</w:t>
      </w:r>
      <w:r w:rsidR="00CF5D03">
        <w:t xml:space="preserve">. </w:t>
      </w:r>
      <w:r w:rsidR="00F75603">
        <w:t xml:space="preserve">The reference material used </w:t>
      </w:r>
      <w:r w:rsidR="005166B7">
        <w:t xml:space="preserve">is </w:t>
      </w:r>
      <w:proofErr w:type="spellStart"/>
      <w:r w:rsidR="00F75603" w:rsidRPr="00561D3B">
        <w:t>Movasaghi</w:t>
      </w:r>
      <w:proofErr w:type="spellEnd"/>
      <w:r w:rsidR="00F75603" w:rsidRPr="00561D3B">
        <w:t xml:space="preserve"> et al</w:t>
      </w:r>
      <w:r>
        <w:t>.</w:t>
      </w:r>
      <w:r w:rsidR="00F75603">
        <w:t xml:space="preserve"> </w:t>
      </w:r>
      <w:r w:rsidR="00590160">
        <w:fldChar w:fldCharType="begin" w:fldLock="1"/>
      </w:r>
      <w:r w:rsidR="00BF2AF7">
        <w:instrText>ADDIN CSL_CITATION {"citationItems":[{"id":"ITEM-1","itemData":{"DOI":"10.1080/05704920701829043","ISSN":"05704928","abstract":"This article reviews some of the recent advances on FTIR spectroscopy in areas related to natural tissues and cell biology. It is the second review publication resulting from a detailed study on the applications of spectroscopic methods in biological studies and summarizes some of the most widely used peak frequencies and their assignments. The aim of these studies is to prepare a database of molecular fingerprints, which will help researchers in defining the chemical structure of the biological tissues introducing most of the important peaks present in the natural tissues. In spite of applying different methods, there seems to be a considerable similarity in defining the peaks of identical areas of the FTIR spectra. As a result, it is believed that preparing a unique collection of the frequencies encountered in FTIR spectroscopic studies can lead to significant improvements both in the quantity and quality of research and their outcomes. This article is the first review of its kind that provides a precise database on the most important FTIR characteristic peak frequencies for researchers aiming to analyze natural tissues by FTIR spectroscopy and will be of considerable assistance to those who are focusing on the analysis of cancerous tissues by FTIR spectroscopy.","author":[{"dropping-particle":"","family":"Movasaghi","given":"Zanyar","non-dropping-particle":"","parse-names":false,"suffix":""},{"dropping-particle":"","family":"Rehman","given":"Shazza","non-dropping-particle":"","parse-names":false,"suffix":""},{"dropping-particle":"","family":"Rehman","given":"Ihtesham Ur","non-dropping-particle":"","parse-names":false,"suffix":""}],"container-title":"Applied Spectroscopy Reviews","id":"ITEM-1","issue":"2","issued":{"date-parts":[["2008"]]},"page":"134-179","title":"Fourier transform infrared (FTIR) spectroscopy of biological tissues","type":"article-journal","volume":"43"},"uris":["http://www.mendeley.com/documents/?uuid=d258c043-fcfd-4c4f-bac1-6adecbd3b043"]}],"mendeley":{"formattedCitation":"[31]","plainTextFormattedCitation":"[31]","previouslyFormattedCitation":"[31]"},"properties":{"noteIndex":0},"schema":"https://github.com/citation-style-language/schema/raw/master/csl-citation.json"}</w:instrText>
      </w:r>
      <w:r w:rsidR="00590160">
        <w:fldChar w:fldCharType="separate"/>
      </w:r>
      <w:r w:rsidR="00BF2AF7" w:rsidRPr="00BF2AF7">
        <w:rPr>
          <w:noProof/>
        </w:rPr>
        <w:t>[31]</w:t>
      </w:r>
      <w:r w:rsidR="00590160">
        <w:fldChar w:fldCharType="end"/>
      </w:r>
      <w:r w:rsidR="00F93458">
        <w:t xml:space="preserve"> </w:t>
      </w:r>
      <w:r w:rsidR="00F75603">
        <w:t>therefore, these peak assignments corre</w:t>
      </w:r>
      <w:r w:rsidR="00F75603">
        <w:lastRenderedPageBreak/>
        <w:t xml:space="preserve">spond to bonds found in natural tissue and organic materials. Consequently, some of the assignments for 40/5 </w:t>
      </w:r>
      <w:r w:rsidR="004B786C">
        <w:t>biomaterials</w:t>
      </w:r>
      <w:r w:rsidR="00F75603">
        <w:t xml:space="preserve"> in table </w:t>
      </w:r>
      <w:r w:rsidR="005166B7">
        <w:t>3</w:t>
      </w:r>
      <w:r w:rsidR="00F75603">
        <w:t xml:space="preserve"> will not be assigned correctly using this reference material as CaSiO</w:t>
      </w:r>
      <w:r w:rsidR="00F75603">
        <w:rPr>
          <w:vertAlign w:val="subscript"/>
        </w:rPr>
        <w:t>3</w:t>
      </w:r>
      <w:r w:rsidR="00F75603">
        <w:t xml:space="preserve"> is an inorganic material. However, it is not known which bonds correspond to the WPI matrix or the ceramic phase. Therefore, due to this the CaSiO</w:t>
      </w:r>
      <w:r w:rsidR="00F75603">
        <w:rPr>
          <w:vertAlign w:val="subscript"/>
        </w:rPr>
        <w:t>3</w:t>
      </w:r>
      <w:r w:rsidR="00F75603">
        <w:t xml:space="preserve"> powder was analyzed using </w:t>
      </w:r>
      <w:r w:rsidR="0068303E">
        <w:t>ATR-</w:t>
      </w:r>
      <w:r w:rsidR="00F75603">
        <w:t xml:space="preserve">FTIR spectroscopy. Figure 4 B shows the spectra obtained. </w:t>
      </w:r>
      <w:proofErr w:type="gramStart"/>
      <w:r w:rsidR="00F75603">
        <w:t>A comprehensive</w:t>
      </w:r>
      <w:proofErr w:type="gramEnd"/>
      <w:r w:rsidR="00F75603">
        <w:t xml:space="preserve"> reference material could not be found to fully </w:t>
      </w:r>
      <w:proofErr w:type="spellStart"/>
      <w:r w:rsidR="00F75603">
        <w:t>characterise</w:t>
      </w:r>
      <w:proofErr w:type="spellEnd"/>
      <w:r w:rsidR="00F75603">
        <w:t xml:space="preserve"> the graph, therefore multiple sources have been used. When wavenumber</w:t>
      </w:r>
      <w:r w:rsidR="005166B7">
        <w:t>s</w:t>
      </w:r>
      <w:r w:rsidR="00F75603">
        <w:t xml:space="preserve"> are not exact</w:t>
      </w:r>
      <w:r w:rsidR="005166B7">
        <w:t>,</w:t>
      </w:r>
      <w:r w:rsidR="00F75603">
        <w:t xml:space="preserve"> this could be due to the resolution of the equipment but are still included up to a maximum of 5 cm</w:t>
      </w:r>
      <w:r w:rsidR="00F75603">
        <w:rPr>
          <w:vertAlign w:val="superscript"/>
        </w:rPr>
        <w:t>-1</w:t>
      </w:r>
      <w:r w:rsidR="00F75603">
        <w:t xml:space="preserve"> difference. </w:t>
      </w:r>
      <w:proofErr w:type="spellStart"/>
      <w:r w:rsidR="00F75603" w:rsidRPr="000875C7">
        <w:t>Nandiyanto</w:t>
      </w:r>
      <w:proofErr w:type="spellEnd"/>
      <w:r w:rsidR="00F75603" w:rsidRPr="000875C7">
        <w:t xml:space="preserve"> et al</w:t>
      </w:r>
      <w:r w:rsidR="00F93458">
        <w:t xml:space="preserve">. </w:t>
      </w:r>
      <w:r w:rsidR="00590160">
        <w:fldChar w:fldCharType="begin" w:fldLock="1"/>
      </w:r>
      <w:r w:rsidR="00BF2AF7">
        <w:instrText>ADDIN CSL_CITATION {"citationItems":[{"id":"ITEM-1","itemData":{"DOI":"10.17509/ijost.v4i1.15806","ISSN":"25278045","abstract":"Fourier Transform Infrared (FTIR) has been developed as a tool for the simultaneous determination of organic components, including chemical bond, as well as organic content (e.g., protein, carbohydrate, and lipid). However, until now, there is no further documents for describing the detailed information in the FTIR peaks. The objective of this study was to demonstrate how to read and assess chemical bond and structure of organic material in the FTIR, in which the analysis results were then compared with the literatures. The step-by-step method on how to read the FTIR data was also presented, including reviewing simple to the complex organic materials. This study is potential to be used as a standard information on how to read FTIR peaks in the biochemical and organic materials.","author":[{"dropping-particle":"","family":"Nandiyanto","given":"Asep Bayu Dani","non-dropping-particle":"","parse-names":false,"suffix":""},{"dropping-particle":"","family":"Oktiani","given":"Rosi","non-dropping-particle":"","parse-names":false,"suffix":""},{"dropping-particle":"","family":"Ragadhita","given":"Risti","non-dropping-particle":"","parse-names":false,"suffix":""}],"container-title":"Indonesian Journal of Science and Technology","id":"ITEM-1","issue":"1","issued":{"date-parts":[["2019"]]},"page":"97-118","title":"How to read and interpret ftir spectroscope of organic material","type":"article-journal","volume":"4"},"uris":["http://www.mendeley.com/documents/?uuid=6417ef5d-fc03-4cef-8306-3b91ee967371"]}],"mendeley":{"formattedCitation":"[32]","plainTextFormattedCitation":"[32]","previouslyFormattedCitation":"[32]"},"properties":{"noteIndex":0},"schema":"https://github.com/citation-style-language/schema/raw/master/csl-citation.json"}</w:instrText>
      </w:r>
      <w:r w:rsidR="00590160">
        <w:fldChar w:fldCharType="separate"/>
      </w:r>
      <w:r w:rsidR="00BF2AF7" w:rsidRPr="00BF2AF7">
        <w:rPr>
          <w:noProof/>
        </w:rPr>
        <w:t>[32]</w:t>
      </w:r>
      <w:r w:rsidR="00590160">
        <w:fldChar w:fldCharType="end"/>
      </w:r>
      <w:r w:rsidR="00F75603" w:rsidRPr="000875C7">
        <w:t xml:space="preserve"> has quantified the frequency of the silicate ion as 1100–900 cm</w:t>
      </w:r>
      <w:r w:rsidR="00F75603" w:rsidRPr="000875C7">
        <w:rPr>
          <w:vertAlign w:val="superscript"/>
        </w:rPr>
        <w:t>−1</w:t>
      </w:r>
      <w:r w:rsidR="00F75603" w:rsidRPr="000875C7">
        <w:t>,</w:t>
      </w:r>
      <w:r w:rsidR="00F75603" w:rsidRPr="000875C7">
        <w:rPr>
          <w:vertAlign w:val="superscript"/>
        </w:rPr>
        <w:t xml:space="preserve"> </w:t>
      </w:r>
      <w:r w:rsidR="00F75603" w:rsidRPr="000875C7">
        <w:t>which could correspond to the peak at 98</w:t>
      </w:r>
      <w:r w:rsidR="00F75603">
        <w:t>5</w:t>
      </w:r>
      <w:r w:rsidR="00F75603" w:rsidRPr="000875C7">
        <w:t xml:space="preserve"> cm</w:t>
      </w:r>
      <w:r w:rsidR="00F75603" w:rsidRPr="000875C7">
        <w:rPr>
          <w:vertAlign w:val="superscript"/>
        </w:rPr>
        <w:t>-1</w:t>
      </w:r>
      <w:r w:rsidR="00F75603">
        <w:t xml:space="preserve">. Furthermore, </w:t>
      </w:r>
      <w:proofErr w:type="spellStart"/>
      <w:r w:rsidR="00F75603">
        <w:t>Paluskiewicz</w:t>
      </w:r>
      <w:proofErr w:type="spellEnd"/>
      <w:r w:rsidR="00F75603">
        <w:t xml:space="preserve"> et al</w:t>
      </w:r>
      <w:r w:rsidR="00F93458">
        <w:t xml:space="preserve">. </w:t>
      </w:r>
      <w:r w:rsidR="00590160">
        <w:fldChar w:fldCharType="begin" w:fldLock="1"/>
      </w:r>
      <w:r w:rsidR="00BF2AF7">
        <w:instrText>ADDIN CSL_CITATION {"citationItems":[{"id":"ITEM-1","itemData":{"DOI":"10.1016/j.vibspec.2008.02.020","ISSN":"09242031","abstract":"Wollastonite belongs to a group of calcium silicates showing bioactivity. In the presented work Fourier transform infrared spectroscopy in the attenuated total reflection mode (FTIR-ATR) and scanning electron microscopy with energy dispersive spectrometry (SEM-EDS) methods were used for investigation of the hydroxyapatite nucleation on different types of bioactive wollastonite ceramics. Wollastonite (CaSiO3) has been obtained by controlled pyrolysis of organosilicon precursors together with active inorganic fillers. From powders prepared in this way, two different types of dense ceramics bars were sintered. One type was sintered from the wollastonite powder with carbon addition (Wc) and another one from the powder after oxidation process (W). The obtained ceramics has been immersed in simulated body fluid (SBF) to investigate its bioactive features. Hydroxyapatite layer nucleation on samples was compared. Bioactivity of the samples as a function of incubation time has been examined by FTIR-ATR and scanning SEM-EDS methods. Differences in nucleation of hydroxyapatite can be observed among the two different types of the samples. © 2008 Elsevier B.V. All rights reserved.","author":[{"dropping-particle":"","family":"Paluszkiewicz","given":"C.","non-dropping-particle":"","parse-names":false,"suffix":""},{"dropping-particle":"","family":"Blazewicz","given":"M.","non-dropping-particle":"","parse-names":false,"suffix":""},{"dropping-particle":"","family":"Podporska","given":"J.","non-dropping-particle":"","parse-names":false,"suffix":""},{"dropping-particle":"","family":"Gumuła","given":"T.","non-dropping-particle":"","parse-names":false,"suffix":""}],"container-title":"Vibrational Spectroscopy","id":"ITEM-1","issue":"2","issued":{"date-parts":[["2008"]]},"page":"263-268","title":"Nucleation of hydroxyapatite layer on wollastonite material surface: FTIR studies","type":"article-journal","volume":"48"},"uris":["http://www.mendeley.com/documents/?uuid=780f8dec-dcd1-4895-993d-334e8f12a7b1"]}],"mendeley":{"formattedCitation":"[33]","plainTextFormattedCitation":"[33]","previouslyFormattedCitation":"[33]"},"properties":{"noteIndex":0},"schema":"https://github.com/citation-style-language/schema/raw/master/csl-citation.json"}</w:instrText>
      </w:r>
      <w:r w:rsidR="00590160">
        <w:fldChar w:fldCharType="separate"/>
      </w:r>
      <w:r w:rsidR="00BF2AF7" w:rsidRPr="00BF2AF7">
        <w:rPr>
          <w:noProof/>
        </w:rPr>
        <w:t>[33]</w:t>
      </w:r>
      <w:r w:rsidR="00590160">
        <w:fldChar w:fldCharType="end"/>
      </w:r>
      <w:r w:rsidR="00F75603">
        <w:t xml:space="preserve"> investigated wollastonite (CaSiO</w:t>
      </w:r>
      <w:r w:rsidR="00F75603">
        <w:rPr>
          <w:vertAlign w:val="subscript"/>
        </w:rPr>
        <w:t>3</w:t>
      </w:r>
      <w:r w:rsidR="00F75603">
        <w:t xml:space="preserve">) and using </w:t>
      </w:r>
      <w:r w:rsidR="0068303E">
        <w:t>ATR-</w:t>
      </w:r>
      <w:r w:rsidR="00F75603">
        <w:t xml:space="preserve">FTIR assigned the 985 </w:t>
      </w:r>
      <w:r w:rsidR="00F75603" w:rsidRPr="000875C7">
        <w:t>cm</w:t>
      </w:r>
      <w:r w:rsidR="00F75603" w:rsidRPr="000875C7">
        <w:rPr>
          <w:vertAlign w:val="superscript"/>
        </w:rPr>
        <w:t>-1</w:t>
      </w:r>
      <w:r w:rsidR="00F75603" w:rsidRPr="000875C7">
        <w:t xml:space="preserve"> </w:t>
      </w:r>
      <w:r w:rsidR="00F75603">
        <w:t xml:space="preserve">peak </w:t>
      </w:r>
      <w:r w:rsidR="005166B7" w:rsidRPr="005166B7">
        <w:rPr>
          <w:color w:val="FF0000"/>
        </w:rPr>
        <w:t>to</w:t>
      </w:r>
      <w:r w:rsidR="00F75603">
        <w:t xml:space="preserve"> stretching non-bridging Si–O. Also, the bonds present in this powder at 1097</w:t>
      </w:r>
      <w:r w:rsidR="00F75603" w:rsidRPr="009D2F58">
        <w:t xml:space="preserve"> </w:t>
      </w:r>
      <w:r w:rsidR="00F75603" w:rsidRPr="000875C7">
        <w:t>cm</w:t>
      </w:r>
      <w:r w:rsidR="00F75603" w:rsidRPr="000875C7">
        <w:rPr>
          <w:vertAlign w:val="superscript"/>
        </w:rPr>
        <w:t>-1</w:t>
      </w:r>
      <w:r w:rsidR="00F75603" w:rsidRPr="000875C7">
        <w:t xml:space="preserve"> </w:t>
      </w:r>
      <w:r w:rsidR="00F75603">
        <w:t xml:space="preserve">and 1074 </w:t>
      </w:r>
      <w:r w:rsidR="00F75603" w:rsidRPr="000875C7">
        <w:t>cm</w:t>
      </w:r>
      <w:r w:rsidR="00F75603" w:rsidRPr="000875C7">
        <w:rPr>
          <w:vertAlign w:val="superscript"/>
        </w:rPr>
        <w:t>-1</w:t>
      </w:r>
      <w:r w:rsidR="00F75603" w:rsidRPr="000875C7">
        <w:t xml:space="preserve"> </w:t>
      </w:r>
      <w:r w:rsidR="00F75603">
        <w:t>were observed at 1092 cm</w:t>
      </w:r>
      <w:r w:rsidR="00F75603">
        <w:rPr>
          <w:vertAlign w:val="superscript"/>
        </w:rPr>
        <w:t>-1</w:t>
      </w:r>
      <w:r w:rsidR="00F75603">
        <w:t xml:space="preserve"> and 1072 cm</w:t>
      </w:r>
      <w:r w:rsidR="00F75603">
        <w:rPr>
          <w:vertAlign w:val="superscript"/>
        </w:rPr>
        <w:t>-1</w:t>
      </w:r>
      <w:r w:rsidR="00F75603">
        <w:t xml:space="preserve"> respectively in their research and these peaks were assigned to stretching bridging Si–O bonds. The peak at 563 </w:t>
      </w:r>
      <w:r w:rsidR="00F75603" w:rsidRPr="000875C7">
        <w:t>cm</w:t>
      </w:r>
      <w:r w:rsidR="00F75603" w:rsidRPr="000875C7">
        <w:rPr>
          <w:vertAlign w:val="superscript"/>
        </w:rPr>
        <w:t>−1</w:t>
      </w:r>
      <w:r w:rsidR="00F75603">
        <w:rPr>
          <w:vertAlign w:val="superscript"/>
        </w:rPr>
        <w:t xml:space="preserve"> </w:t>
      </w:r>
      <w:r w:rsidR="00F75603">
        <w:t xml:space="preserve">could be assigned to </w:t>
      </w:r>
      <w:r w:rsidR="00F75603" w:rsidRPr="00AA4360">
        <w:t>Si-O flexural vibration</w:t>
      </w:r>
      <w:r w:rsidR="00F75603">
        <w:t xml:space="preserve"> usually seen at </w:t>
      </w:r>
      <w:r w:rsidR="00F75603" w:rsidRPr="00AA4360">
        <w:t>567</w:t>
      </w:r>
      <w:r w:rsidR="00F75603">
        <w:t xml:space="preserve"> cm</w:t>
      </w:r>
      <w:r w:rsidR="00F75603" w:rsidRPr="000875C7">
        <w:rPr>
          <w:vertAlign w:val="superscript"/>
        </w:rPr>
        <w:t>−1</w:t>
      </w:r>
      <w:r w:rsidR="00F75603">
        <w:rPr>
          <w:vertAlign w:val="superscript"/>
        </w:rPr>
        <w:t xml:space="preserve"> </w:t>
      </w:r>
      <w:r w:rsidR="00590160">
        <w:rPr>
          <w:vertAlign w:val="superscript"/>
        </w:rPr>
        <w:fldChar w:fldCharType="begin" w:fldLock="1"/>
      </w:r>
      <w:r w:rsidR="00BF2AF7">
        <w:rPr>
          <w:vertAlign w:val="superscript"/>
        </w:rPr>
        <w:instrText>ADDIN CSL_CITATION {"citationItems":[{"id":"ITEM-1","itemData":{"DOI":"10.3390/ma11040593","ISSN":"19961944","abstract":"TiO2-coated wollastonite composite pigments were prepared by the mechano-chemical grinding of wollastonite and TiO2 powder together in a wet ultrafine stirred mill. X-ray diffraction, scanning electron microscopy, X-ray photoelectron spectroscopy and infrared spectra were used to investigate the microstructures and morphologies of the composite and the reaction mechanism. The results indicate that the TiO2-coated wollastonite composite pigments have similar properties to titanium dioxide pigment, showing much better properties than dry and wet mixing of wollastonite and TiO2. The hiding power of TiO2-coated wollastonite composite pigments (45% TiO2) is 17.97 g/m2, reaching 81.08% of titanium dioxide. A firm combination between wollastonite and TiO2 is obtained through a surface dehydroxylation reaction during the mechano-chemical method.","author":[{"dropping-particle":"","family":"Chen","given":"Wanting","non-dropping-particle":"","parse-names":false,"suffix":""},{"dropping-particle":"","family":"Liang","given":"Yu","non-dropping-particle":"","parse-names":false,"suffix":""},{"dropping-particle":"","family":"Hou","given":"Xifeng","non-dropping-particle":"","parse-names":false,"suffix":""},{"dropping-particle":"","family":"Zhang","given":"Jing","non-dropping-particle":"","parse-names":false,"suffix":""},{"dropping-particle":"","family":"Ding","given":"Hao","non-dropping-particle":"","parse-names":false,"suffix":""},{"dropping-particle":"","family":"Sun","given":"Sijia","non-dropping-particle":"","parse-names":false,"suffix":""},{"dropping-particle":"","family":"Cao","given":"Hu","non-dropping-particle":"","parse-names":false,"suffix":""}],"container-title":"Materials","id":"ITEM-1","issue":"4","issued":{"date-parts":[["2018"]]},"title":"Mechanical grinding preparation and characterization of TiO2-coated wollastonite composite pigments","type":"article-journal","volume":"11"},"uris":["http://www.mendeley.com/documents/?uuid=84d40bdb-e4fd-486c-8da2-ac5c860907f2"]}],"mendeley":{"formattedCitation":"[34]","plainTextFormattedCitation":"[34]","previouslyFormattedCitation":"[34]"},"properties":{"noteIndex":0},"schema":"https://github.com/citation-style-language/schema/raw/master/csl-citation.json"}</w:instrText>
      </w:r>
      <w:r w:rsidR="00590160">
        <w:rPr>
          <w:vertAlign w:val="superscript"/>
        </w:rPr>
        <w:fldChar w:fldCharType="separate"/>
      </w:r>
      <w:r w:rsidR="00BF2AF7" w:rsidRPr="00BF2AF7">
        <w:rPr>
          <w:noProof/>
        </w:rPr>
        <w:t>[34]</w:t>
      </w:r>
      <w:r w:rsidR="00590160">
        <w:rPr>
          <w:vertAlign w:val="superscript"/>
        </w:rPr>
        <w:fldChar w:fldCharType="end"/>
      </w:r>
      <w:r w:rsidR="00F75603" w:rsidRPr="00AA4360">
        <w:t>.</w:t>
      </w:r>
    </w:p>
    <w:p w14:paraId="7E26793D" w14:textId="1C939708" w:rsidR="00F75603" w:rsidRDefault="00F75603" w:rsidP="00F75603">
      <w:pPr>
        <w:pStyle w:val="MDPI31text"/>
      </w:pPr>
      <w:r w:rsidRPr="00BA790E">
        <w:t xml:space="preserve">From </w:t>
      </w:r>
      <w:r w:rsidR="005166B7">
        <w:t>F</w:t>
      </w:r>
      <w:r w:rsidRPr="00BA790E">
        <w:t xml:space="preserve">igure </w:t>
      </w:r>
      <w:r w:rsidR="00AB3942">
        <w:t>4A</w:t>
      </w:r>
      <w:r w:rsidRPr="00BA790E">
        <w:t xml:space="preserve"> </w:t>
      </w:r>
      <w:r>
        <w:t xml:space="preserve">and table </w:t>
      </w:r>
      <w:r w:rsidR="00AB3942">
        <w:t>3</w:t>
      </w:r>
      <w:r>
        <w:t xml:space="preserve"> a comparison between the </w:t>
      </w:r>
      <w:r w:rsidR="0069629C" w:rsidRPr="0069629C">
        <w:rPr>
          <w:color w:val="FF0000"/>
        </w:rPr>
        <w:t>two</w:t>
      </w:r>
      <w:r>
        <w:t xml:space="preserve"> dried hydrogel </w:t>
      </w:r>
      <w:r w:rsidR="004B786C">
        <w:t>biomaterials</w:t>
      </w:r>
      <w:r>
        <w:t xml:space="preserve"> can be </w:t>
      </w:r>
      <w:r w:rsidR="00E178F6" w:rsidRPr="00E178F6">
        <w:rPr>
          <w:color w:val="FF0000"/>
        </w:rPr>
        <w:t>performed</w:t>
      </w:r>
      <w:r>
        <w:t xml:space="preserve">. </w:t>
      </w:r>
      <w:r w:rsidR="00E178F6" w:rsidRPr="00E178F6">
        <w:rPr>
          <w:color w:val="FF0000"/>
        </w:rPr>
        <w:t>S</w:t>
      </w:r>
      <w:r w:rsidRPr="00E178F6">
        <w:rPr>
          <w:color w:val="FF0000"/>
        </w:rPr>
        <w:t xml:space="preserve">ome identical peaks </w:t>
      </w:r>
      <w:r w:rsidR="00E178F6" w:rsidRPr="00E178F6">
        <w:rPr>
          <w:color w:val="FF0000"/>
        </w:rPr>
        <w:t>are present</w:t>
      </w:r>
      <w:r w:rsidRPr="00BA790E">
        <w:t xml:space="preserve"> in both </w:t>
      </w:r>
      <w:r w:rsidR="004B786C">
        <w:t>biomaterials</w:t>
      </w:r>
      <w:r w:rsidRPr="00BA790E">
        <w:t xml:space="preserve"> including CH</w:t>
      </w:r>
      <w:r w:rsidRPr="00BA790E">
        <w:rPr>
          <w:vertAlign w:val="subscript"/>
        </w:rPr>
        <w:t>3</w:t>
      </w:r>
      <w:r w:rsidRPr="00BA790E">
        <w:t xml:space="preserve"> modes, amide III, stretching modes of the</w:t>
      </w:r>
      <w:r>
        <w:t xml:space="preserve"> </w:t>
      </w:r>
      <w:r w:rsidRPr="00BA790E">
        <w:t xml:space="preserve">C-OH groups and phosphate vibrations. However, there are also some shifts in band wavelengths meaning that the </w:t>
      </w:r>
      <w:r w:rsidR="000C50E3" w:rsidRPr="000C50E3">
        <w:rPr>
          <w:color w:val="FF0000"/>
        </w:rPr>
        <w:t>bands</w:t>
      </w:r>
      <w:r w:rsidRPr="00BA790E">
        <w:t xml:space="preserve"> have the same assignment but different </w:t>
      </w:r>
      <w:r w:rsidR="000C50E3" w:rsidRPr="000C50E3">
        <w:rPr>
          <w:color w:val="FF0000"/>
        </w:rPr>
        <w:t>band</w:t>
      </w:r>
      <w:r w:rsidR="000C50E3">
        <w:rPr>
          <w:color w:val="FF0000"/>
        </w:rPr>
        <w:t xml:space="preserve"> wave</w:t>
      </w:r>
      <w:r w:rsidRPr="00BA790E">
        <w:t>numbers including stretching O-H and C-H and amide I and II</w:t>
      </w:r>
      <w:r>
        <w:t>, this can be attributed to the 4 cm</w:t>
      </w:r>
      <w:r>
        <w:rPr>
          <w:vertAlign w:val="superscript"/>
        </w:rPr>
        <w:t xml:space="preserve">-1 </w:t>
      </w:r>
      <w:r>
        <w:t>resolution. T</w:t>
      </w:r>
      <w:r w:rsidRPr="00BA790E">
        <w:t xml:space="preserve">hese identical or slightly shifted peaks </w:t>
      </w:r>
      <w:r w:rsidRPr="00AF6E22">
        <w:t>a</w:t>
      </w:r>
      <w:r>
        <w:t xml:space="preserve">re </w:t>
      </w:r>
      <w:r w:rsidR="008D491B">
        <w:t>observed</w:t>
      </w:r>
      <w:r>
        <w:t xml:space="preserve"> </w:t>
      </w:r>
      <w:r w:rsidRPr="000C50E3">
        <w:rPr>
          <w:color w:val="FF0000"/>
        </w:rPr>
        <w:t xml:space="preserve">at lower </w:t>
      </w:r>
      <w:r w:rsidR="00E178F6" w:rsidRPr="000C50E3">
        <w:rPr>
          <w:color w:val="FF0000"/>
        </w:rPr>
        <w:t>wavenumbers</w:t>
      </w:r>
      <w:r w:rsidRPr="00AF6E22">
        <w:t xml:space="preserve"> for</w:t>
      </w:r>
      <w:r w:rsidR="00E178F6">
        <w:t xml:space="preserve"> the</w:t>
      </w:r>
      <w:r w:rsidRPr="00AF6E22">
        <w:t xml:space="preserve"> WPI control </w:t>
      </w:r>
      <w:r w:rsidR="008D491B">
        <w:t>biomaterial</w:t>
      </w:r>
      <w:r w:rsidRPr="00AF6E22">
        <w:rPr>
          <w:vertAlign w:val="subscript"/>
        </w:rPr>
        <w:t xml:space="preserve"> </w:t>
      </w:r>
      <w:r w:rsidRPr="00AF6E22">
        <w:t>(40/0).</w:t>
      </w:r>
      <w:r w:rsidRPr="00BA790E">
        <w:t xml:space="preserve"> </w:t>
      </w:r>
      <w:r>
        <w:t xml:space="preserve">A lower transmittance </w:t>
      </w:r>
      <w:r w:rsidRPr="009A3D30">
        <w:t>means there is a high population of bonds which have vibrational energies corresponding to the incident light</w:t>
      </w:r>
      <w:r>
        <w:t xml:space="preserve"> </w:t>
      </w:r>
      <w:r w:rsidR="00590160">
        <w:fldChar w:fldCharType="begin" w:fldLock="1"/>
      </w:r>
      <w:r w:rsidR="00BF2AF7">
        <w:instrText>ADDIN CSL_CITATION {"citationItems":[{"id":"ITEM-1","itemData":{"author":[{"dropping-particle":"","family":"Satyanarayana","given":"Reddy","non-dropping-particle":"","parse-names":false,"suffix":""}],"id":"ITEM-1","issued":{"date-parts":[["2020"]]},"publisher":"Springer","publisher-place":"Singapore","title":"Ground Characterization and Foundations Proceedings of Indian Geotechnical Conference","type":"book"},"uris":["http://www.mendeley.com/documents/?uuid=d0d12ddb-6ce1-4628-bb78-215e49a9f7ae"]}],"mendeley":{"formattedCitation":"[35]","plainTextFormattedCitation":"[35]","previouslyFormattedCitation":"[35]"},"properties":{"noteIndex":0},"schema":"https://github.com/citation-style-language/schema/raw/master/csl-citation.json"}</w:instrText>
      </w:r>
      <w:r w:rsidR="00590160">
        <w:fldChar w:fldCharType="separate"/>
      </w:r>
      <w:r w:rsidR="00BF2AF7" w:rsidRPr="00BF2AF7">
        <w:rPr>
          <w:noProof/>
        </w:rPr>
        <w:t>[35]</w:t>
      </w:r>
      <w:r w:rsidR="00590160">
        <w:fldChar w:fldCharType="end"/>
      </w:r>
      <w:r>
        <w:t xml:space="preserve">. Comparing the results of 40/0 spectra to </w:t>
      </w:r>
      <w:r w:rsidR="0068303E">
        <w:t xml:space="preserve">those in literature provided </w:t>
      </w:r>
      <w:r>
        <w:t xml:space="preserve">by </w:t>
      </w:r>
      <w:proofErr w:type="spellStart"/>
      <w:r w:rsidRPr="001B3368">
        <w:t>Gbassi</w:t>
      </w:r>
      <w:proofErr w:type="spellEnd"/>
      <w:r w:rsidRPr="001B3368">
        <w:t xml:space="preserve"> et al</w:t>
      </w:r>
      <w:r w:rsidR="0068303E">
        <w:t xml:space="preserve">. </w:t>
      </w:r>
      <w:r w:rsidR="00590160">
        <w:fldChar w:fldCharType="begin" w:fldLock="1"/>
      </w:r>
      <w:r w:rsidR="00BF2AF7">
        <w:instrText>ADDIN CSL_CITATION {"citationItems":[{"id":"ITEM-1","itemData":{"DOI":"10.4314/ijbcs.v6i4.38","abstract":"Whey proteins isolates (WPI) were treated in aqueous medium at various pH values. Zeta potential, turbidity and particle size measurement were determined as a function of pH. FTIR analysis was performed in ATR mode (attenuated total reflectance). Digestibility was assessed by treating whey proteins with artificial gastric and intestinal fluids. Proteolytic enzymes such as pepsin from porcine stomach mucosa was added in the gastric fluid. Pancreatin and trypsin from porcine and bile salts were added in the intestinal fluid. SDS-PAGE revealed hydrolysis of α-lactalbumin and bovine serum albumin by pepsin while β-lactoglobulin was not hydrolyzed by gastric fluid. All the proteins of WPI were easily hydrolyzed in the intestinal fluid. The zeta potential of WPI went from positive values to negative values as the pH was increased. Turbidity values indicated the presence of particles in the solution which were confirmed by the measurement of particle size. FTIR analysis determined the fingerprint of WPI macromolecule.","author":[{"dropping-particle":"","family":"Gbassi","given":"GK","non-dropping-particle":"","parse-names":false,"suffix":""},{"dropping-particle":"","family":"Yolou","given":"FS","non-dropping-particle":"","parse-names":false,"suffix":""},{"dropping-particle":"","family":"Sarr","given":"SO","non-dropping-particle":"","parse-names":false,"suffix":""},{"dropping-particle":"","family":"Atheba","given":"PG","non-dropping-particle":"","parse-names":false,"suffix":""},{"dropping-particle":"","family":"Amin","given":"CN","non-dropping-particle":"","parse-names":false,"suffix":""},{"dropping-particle":"","family":"Ake","given":"M","non-dropping-particle":"","parse-names":false,"suffix":""}],"container-title":"International Journal of Biological and Chemical Sciences","id":"ITEM-1","issue":"4","issued":{"date-parts":[["2012"]]},"page":"1828-1837","title":"Whey proteins analysis in aqueous medium and in artificial gastric and intestinal fluids","type":"article-journal","volume":"6"},"uris":["http://www.mendeley.com/documents/?uuid=e90e9e6e-3628-41d4-b66e-6ac240ff5992"]}],"mendeley":{"formattedCitation":"[36]","plainTextFormattedCitation":"[36]","previouslyFormattedCitation":"[36]"},"properties":{"noteIndex":0},"schema":"https://github.com/citation-style-language/schema/raw/master/csl-citation.json"}</w:instrText>
      </w:r>
      <w:r w:rsidR="00590160">
        <w:fldChar w:fldCharType="separate"/>
      </w:r>
      <w:r w:rsidR="00BF2AF7" w:rsidRPr="00BF2AF7">
        <w:rPr>
          <w:noProof/>
        </w:rPr>
        <w:t>[36]</w:t>
      </w:r>
      <w:r w:rsidR="00590160">
        <w:fldChar w:fldCharType="end"/>
      </w:r>
      <w:r>
        <w:t>, all the bonds found within the single bond region (</w:t>
      </w:r>
      <w:r w:rsidR="000708C1">
        <w:t>40</w:t>
      </w:r>
      <w:r>
        <w:t>00-</w:t>
      </w:r>
      <w:r w:rsidR="000708C1">
        <w:t>25</w:t>
      </w:r>
      <w:r>
        <w:t>00 cm</w:t>
      </w:r>
      <w:r w:rsidRPr="00746FC1">
        <w:rPr>
          <w:vertAlign w:val="superscript"/>
        </w:rPr>
        <w:t>-</w:t>
      </w:r>
      <w:r>
        <w:rPr>
          <w:vertAlign w:val="superscript"/>
        </w:rPr>
        <w:t>1</w:t>
      </w:r>
      <w:r>
        <w:t>) and the double bond region (</w:t>
      </w:r>
      <w:r w:rsidR="000708C1">
        <w:t>20</w:t>
      </w:r>
      <w:r>
        <w:t>00-</w:t>
      </w:r>
      <w:r w:rsidR="000708C1">
        <w:t>15</w:t>
      </w:r>
      <w:r>
        <w:t>00 cm</w:t>
      </w:r>
      <w:r>
        <w:rPr>
          <w:vertAlign w:val="superscript"/>
        </w:rPr>
        <w:t>-1</w:t>
      </w:r>
      <w:r>
        <w:t xml:space="preserve">) </w:t>
      </w:r>
      <w:r w:rsidRPr="000708C1">
        <w:rPr>
          <w:color w:val="FF0000"/>
        </w:rPr>
        <w:t xml:space="preserve">are </w:t>
      </w:r>
      <w:r w:rsidR="000708C1" w:rsidRPr="000708C1">
        <w:rPr>
          <w:color w:val="FF0000"/>
        </w:rPr>
        <w:t>observed</w:t>
      </w:r>
      <w:r w:rsidRPr="000708C1">
        <w:rPr>
          <w:color w:val="FF0000"/>
        </w:rPr>
        <w:t xml:space="preserve"> with</w:t>
      </w:r>
      <w:r>
        <w:t xml:space="preserve"> only some small shifts in wavenumber. However, in the fingerprint region (</w:t>
      </w:r>
      <w:r w:rsidR="000708C1">
        <w:t>15</w:t>
      </w:r>
      <w:r>
        <w:t>00-</w:t>
      </w:r>
      <w:r w:rsidR="000708C1">
        <w:t>6</w:t>
      </w:r>
      <w:r>
        <w:t xml:space="preserve">00 </w:t>
      </w:r>
      <w:proofErr w:type="gramStart"/>
      <w:r>
        <w:t>cm</w:t>
      </w:r>
      <w:r w:rsidRPr="00746FC1">
        <w:rPr>
          <w:vertAlign w:val="superscript"/>
        </w:rPr>
        <w:t>-</w:t>
      </w:r>
      <w:r>
        <w:rPr>
          <w:vertAlign w:val="superscript"/>
        </w:rPr>
        <w:t>1</w:t>
      </w:r>
      <w:proofErr w:type="gramEnd"/>
      <w:r>
        <w:t xml:space="preserve">) some bonds </w:t>
      </w:r>
      <w:r w:rsidR="000708C1">
        <w:t xml:space="preserve">were </w:t>
      </w:r>
      <w:r>
        <w:t xml:space="preserve">not </w:t>
      </w:r>
      <w:r w:rsidR="000708C1">
        <w:t xml:space="preserve">observed </w:t>
      </w:r>
      <w:r>
        <w:t xml:space="preserve">in the 40/0 </w:t>
      </w:r>
      <w:r w:rsidR="000708C1">
        <w:t>biomaterial</w:t>
      </w:r>
      <w:r>
        <w:t xml:space="preserve">. On the other hand, there are also bonds present in the 40/0 </w:t>
      </w:r>
      <w:r w:rsidR="008D491B">
        <w:t>biomaterial</w:t>
      </w:r>
      <w:r>
        <w:t xml:space="preserve"> </w:t>
      </w:r>
      <w:r w:rsidR="000708C1">
        <w:t xml:space="preserve">which are absent from </w:t>
      </w:r>
      <w:r>
        <w:t>the example from literature. No bonds are present in the triple bond region (2</w:t>
      </w:r>
      <w:r w:rsidR="000708C1">
        <w:t>5</w:t>
      </w:r>
      <w:r>
        <w:t>00-2</w:t>
      </w:r>
      <w:r w:rsidR="000708C1">
        <w:t>0</w:t>
      </w:r>
      <w:r>
        <w:t xml:space="preserve">00 </w:t>
      </w:r>
      <w:proofErr w:type="gramStart"/>
      <w:r>
        <w:t>cm</w:t>
      </w:r>
      <w:r w:rsidRPr="00746FC1">
        <w:rPr>
          <w:vertAlign w:val="superscript"/>
        </w:rPr>
        <w:t>-1</w:t>
      </w:r>
      <w:proofErr w:type="gramEnd"/>
      <w:r>
        <w:t xml:space="preserve">) either. </w:t>
      </w:r>
    </w:p>
    <w:p w14:paraId="250607FB" w14:textId="0DBA6317" w:rsidR="00AD63D7" w:rsidRDefault="00F75603" w:rsidP="001C7501">
      <w:pPr>
        <w:pStyle w:val="MDPI31text"/>
      </w:pPr>
      <w:r>
        <w:t>Using the assignments of the CaSiO</w:t>
      </w:r>
      <w:r>
        <w:rPr>
          <w:vertAlign w:val="subscript"/>
        </w:rPr>
        <w:t>3</w:t>
      </w:r>
      <w:r>
        <w:t xml:space="preserve"> and comparing the peaks to the 40/5 </w:t>
      </w:r>
      <w:r w:rsidR="008D491B">
        <w:t xml:space="preserve">biomaterial </w:t>
      </w:r>
      <w:r>
        <w:t>suggests that the peaks at 985 cm</w:t>
      </w:r>
      <w:r w:rsidRPr="00746FC1">
        <w:rPr>
          <w:vertAlign w:val="superscript"/>
        </w:rPr>
        <w:t>-1</w:t>
      </w:r>
      <w:r>
        <w:t xml:space="preserve"> and 986</w:t>
      </w:r>
      <w:r w:rsidRPr="00AA4360">
        <w:t xml:space="preserve"> </w:t>
      </w:r>
      <w:r>
        <w:t>cm</w:t>
      </w:r>
      <w:r w:rsidRPr="00746FC1">
        <w:rPr>
          <w:vertAlign w:val="superscript"/>
        </w:rPr>
        <w:t>-1</w:t>
      </w:r>
      <w:r>
        <w:t xml:space="preserve"> respectively, show the presence of silicate ions. This is the only bond in the 40/5 spectra that is not present in the 40/0 spectra. </w:t>
      </w:r>
      <w:r w:rsidRPr="001B245C">
        <w:t>As Si-O and Ca-O are the main bonds in CaSiO</w:t>
      </w:r>
      <w:r w:rsidRPr="00CB7C66">
        <w:rPr>
          <w:vertAlign w:val="subscript"/>
        </w:rPr>
        <w:t>3</w:t>
      </w:r>
      <w:r w:rsidRPr="001B245C">
        <w:t xml:space="preserve"> </w:t>
      </w:r>
      <w:r w:rsidR="00F25A15" w:rsidRPr="00F25A15">
        <w:rPr>
          <w:color w:val="FF0000"/>
        </w:rPr>
        <w:t xml:space="preserve">the presence of these </w:t>
      </w:r>
      <w:r w:rsidRPr="00F25A15">
        <w:rPr>
          <w:color w:val="FF0000"/>
        </w:rPr>
        <w:t>bond</w:t>
      </w:r>
      <w:r w:rsidR="00F25A15" w:rsidRPr="00F25A15">
        <w:rPr>
          <w:color w:val="FF0000"/>
        </w:rPr>
        <w:t>s would be expected</w:t>
      </w:r>
      <w:r w:rsidRPr="00F25A15">
        <w:rPr>
          <w:color w:val="FF0000"/>
        </w:rPr>
        <w:t xml:space="preserve"> in the FTIR spectra</w:t>
      </w:r>
      <w:r w:rsidRPr="001B245C">
        <w:t>. However, the bands that are cause</w:t>
      </w:r>
      <w:r w:rsidR="008D491B">
        <w:t>d</w:t>
      </w:r>
      <w:r w:rsidRPr="001B245C">
        <w:t xml:space="preserve"> by Si-O flexural vibration and Ca-O stretching vibration appear at low wave numbers (567, 509, 472 and 453 </w:t>
      </w:r>
      <w:r>
        <w:t>cm</w:t>
      </w:r>
      <w:r w:rsidRPr="00746FC1">
        <w:rPr>
          <w:vertAlign w:val="superscript"/>
        </w:rPr>
        <w:t>-1</w:t>
      </w:r>
      <w:r w:rsidRPr="001B245C">
        <w:t>)</w:t>
      </w:r>
      <w:r>
        <w:t xml:space="preserve"> </w:t>
      </w:r>
      <w:r w:rsidR="00590160">
        <w:fldChar w:fldCharType="begin" w:fldLock="1"/>
      </w:r>
      <w:r w:rsidR="00BF2AF7">
        <w:instrText>ADDIN CSL_CITATION {"citationItems":[{"id":"ITEM-1","itemData":{"DOI":"10.3390/ma11040593","ISSN":"19961944","abstract":"TiO2-coated wollastonite composite pigments were prepared by the mechano-chemical grinding of wollastonite and TiO2 powder together in a wet ultrafine stirred mill. X-ray diffraction, scanning electron microscopy, X-ray photoelectron spectroscopy and infrared spectra were used to investigate the microstructures and morphologies of the composite and the reaction mechanism. The results indicate that the TiO2-coated wollastonite composite pigments have similar properties to titanium dioxide pigment, showing much better properties than dry and wet mixing of wollastonite and TiO2. The hiding power of TiO2-coated wollastonite composite pigments (45% TiO2) is 17.97 g/m2, reaching 81.08% of titanium dioxide. A firm combination between wollastonite and TiO2 is obtained through a surface dehydroxylation reaction during the mechano-chemical method.","author":[{"dropping-particle":"","family":"Chen","given":"Wanting","non-dropping-particle":"","parse-names":false,"suffix":""},{"dropping-particle":"","family":"Liang","given":"Yu","non-dropping-particle":"","parse-names":false,"suffix":""},{"dropping-particle":"","family":"Hou","given":"Xifeng","non-dropping-particle":"","parse-names":false,"suffix":""},{"dropping-particle":"","family":"Zhang","given":"Jing","non-dropping-particle":"","parse-names":false,"suffix":""},{"dropping-particle":"","family":"Ding","given":"Hao","non-dropping-particle":"","parse-names":false,"suffix":""},{"dropping-particle":"","family":"Sun","given":"Sijia","non-dropping-particle":"","parse-names":false,"suffix":""},{"dropping-particle":"","family":"Cao","given":"Hu","non-dropping-particle":"","parse-names":false,"suffix":""}],"container-title":"Materials","id":"ITEM-1","issue":"4","issued":{"date-parts":[["2018"]]},"title":"Mechanical grinding preparation and characterization of TiO2-coated wollastonite composite pigments","type":"article-journal","volume":"11"},"uris":["http://www.mendeley.com/documents/?uuid=84d40bdb-e4fd-486c-8da2-ac5c860907f2"]}],"mendeley":{"formattedCitation":"[34]","plainTextFormattedCitation":"[34]","previouslyFormattedCitation":"[34]"},"properties":{"noteIndex":0},"schema":"https://github.com/citation-style-language/schema/raw/master/csl-citation.json"}</w:instrText>
      </w:r>
      <w:r w:rsidR="00590160">
        <w:fldChar w:fldCharType="separate"/>
      </w:r>
      <w:r w:rsidR="00BF2AF7" w:rsidRPr="00BF2AF7">
        <w:rPr>
          <w:noProof/>
        </w:rPr>
        <w:t>[34]</w:t>
      </w:r>
      <w:r w:rsidR="00590160">
        <w:fldChar w:fldCharType="end"/>
      </w:r>
      <w:r w:rsidRPr="00AA4360">
        <w:t>.</w:t>
      </w:r>
      <w:r>
        <w:t xml:space="preserve"> </w:t>
      </w:r>
      <w:r w:rsidRPr="00F25A15">
        <w:rPr>
          <w:color w:val="FF0000"/>
        </w:rPr>
        <w:t xml:space="preserve">However, the spectra obtained for the dried hydrogel </w:t>
      </w:r>
      <w:r w:rsidR="004B786C" w:rsidRPr="00F25A15">
        <w:rPr>
          <w:color w:val="FF0000"/>
        </w:rPr>
        <w:t>biomaterials</w:t>
      </w:r>
      <w:r w:rsidRPr="00F25A15">
        <w:rPr>
          <w:color w:val="FF0000"/>
        </w:rPr>
        <w:t xml:space="preserve"> wa</w:t>
      </w:r>
      <w:r w:rsidR="009920A9" w:rsidRPr="00F25A15">
        <w:rPr>
          <w:color w:val="FF0000"/>
        </w:rPr>
        <w:t xml:space="preserve">s </w:t>
      </w:r>
      <w:r w:rsidRPr="00F25A15">
        <w:rPr>
          <w:color w:val="FF0000"/>
        </w:rPr>
        <w:t xml:space="preserve">only collected </w:t>
      </w:r>
      <w:r w:rsidR="009920A9" w:rsidRPr="00F25A15">
        <w:rPr>
          <w:color w:val="FF0000"/>
        </w:rPr>
        <w:t>in the range</w:t>
      </w:r>
      <w:r w:rsidRPr="00F25A15">
        <w:rPr>
          <w:color w:val="FF0000"/>
        </w:rPr>
        <w:t xml:space="preserve"> 4000-600 </w:t>
      </w:r>
      <w:proofErr w:type="gramStart"/>
      <w:r w:rsidRPr="00F25A15">
        <w:rPr>
          <w:color w:val="FF0000"/>
        </w:rPr>
        <w:t>cm</w:t>
      </w:r>
      <w:r w:rsidRPr="00F25A15">
        <w:rPr>
          <w:color w:val="FF0000"/>
          <w:vertAlign w:val="superscript"/>
        </w:rPr>
        <w:t>-1</w:t>
      </w:r>
      <w:proofErr w:type="gramEnd"/>
      <w:r w:rsidR="009920A9" w:rsidRPr="00F25A15">
        <w:rPr>
          <w:color w:val="FF0000"/>
        </w:rPr>
        <w:t>.</w:t>
      </w:r>
      <w:r w:rsidRPr="00F25A15">
        <w:rPr>
          <w:color w:val="FF0000"/>
        </w:rPr>
        <w:t xml:space="preserve"> </w:t>
      </w:r>
      <w:r w:rsidR="009920A9" w:rsidRPr="00F25A15">
        <w:rPr>
          <w:color w:val="FF0000"/>
        </w:rPr>
        <w:t>Hence, in fu</w:t>
      </w:r>
      <w:r w:rsidRPr="00F25A15">
        <w:rPr>
          <w:color w:val="FF0000"/>
        </w:rPr>
        <w:t>t</w:t>
      </w:r>
      <w:r w:rsidR="009920A9" w:rsidRPr="00F25A15">
        <w:rPr>
          <w:color w:val="FF0000"/>
        </w:rPr>
        <w:t xml:space="preserve">ure FTIR investigations, </w:t>
      </w:r>
      <w:r w:rsidRPr="00F25A15">
        <w:rPr>
          <w:color w:val="FF0000"/>
        </w:rPr>
        <w:t xml:space="preserve">the wavenumber range </w:t>
      </w:r>
      <w:r w:rsidR="009920A9" w:rsidRPr="00F25A15">
        <w:rPr>
          <w:color w:val="FF0000"/>
        </w:rPr>
        <w:t xml:space="preserve">should be extended to wavenumbers below </w:t>
      </w:r>
      <w:r w:rsidR="00F25A15" w:rsidRPr="00F25A15">
        <w:rPr>
          <w:color w:val="FF0000"/>
        </w:rPr>
        <w:t xml:space="preserve">600 </w:t>
      </w:r>
      <w:proofErr w:type="gramStart"/>
      <w:r w:rsidR="00F25A15" w:rsidRPr="00F25A15">
        <w:rPr>
          <w:color w:val="FF0000"/>
        </w:rPr>
        <w:t>cm</w:t>
      </w:r>
      <w:r w:rsidR="00F25A15" w:rsidRPr="00F25A15">
        <w:rPr>
          <w:color w:val="FF0000"/>
          <w:vertAlign w:val="superscript"/>
        </w:rPr>
        <w:t>-1</w:t>
      </w:r>
      <w:proofErr w:type="gramEnd"/>
      <w:r w:rsidR="00F25A15" w:rsidRPr="00F25A15">
        <w:rPr>
          <w:color w:val="FF0000"/>
        </w:rPr>
        <w:t xml:space="preserve">. This </w:t>
      </w:r>
      <w:r w:rsidRPr="00F25A15">
        <w:rPr>
          <w:color w:val="FF0000"/>
        </w:rPr>
        <w:t xml:space="preserve">would </w:t>
      </w:r>
      <w:r w:rsidR="00F25A15" w:rsidRPr="00F25A15">
        <w:rPr>
          <w:color w:val="FF0000"/>
        </w:rPr>
        <w:t xml:space="preserve">allow detection of the </w:t>
      </w:r>
      <w:proofErr w:type="gramStart"/>
      <w:r w:rsidR="00F25A15" w:rsidRPr="00F25A15">
        <w:rPr>
          <w:color w:val="FF0000"/>
        </w:rPr>
        <w:t xml:space="preserve">aforementioned </w:t>
      </w:r>
      <w:r w:rsidRPr="00F25A15">
        <w:rPr>
          <w:color w:val="FF0000"/>
        </w:rPr>
        <w:t>bonds</w:t>
      </w:r>
      <w:proofErr w:type="gramEnd"/>
      <w:r w:rsidRPr="00F25A15">
        <w:rPr>
          <w:color w:val="FF0000"/>
        </w:rPr>
        <w:t>.</w:t>
      </w:r>
      <w:r>
        <w:t xml:space="preserve"> </w:t>
      </w:r>
    </w:p>
    <w:p w14:paraId="736CF488" w14:textId="77777777" w:rsidR="001C7501" w:rsidRDefault="00C27F2C" w:rsidP="000207EA">
      <w:pPr>
        <w:pStyle w:val="MDPI51figurecaption"/>
        <w:jc w:val="center"/>
      </w:pPr>
      <w:r>
        <w:rPr>
          <w:noProof/>
          <w:lang w:val="pl-PL" w:eastAsia="pl-PL" w:bidi="ar-SA"/>
        </w:rPr>
        <w:lastRenderedPageBreak/>
        <w:drawing>
          <wp:inline distT="0" distB="0" distL="0" distR="0" wp14:anchorId="3823DDCA" wp14:editId="530053D7">
            <wp:extent cx="4680303" cy="4524233"/>
            <wp:effectExtent l="19050" t="0" r="5997" b="0"/>
            <wp:docPr id="6" name="Obraz 5" descr="FTIR tabl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IR tablica.jpg"/>
                    <pic:cNvPicPr/>
                  </pic:nvPicPr>
                  <pic:blipFill>
                    <a:blip r:embed="rId19"/>
                    <a:stretch>
                      <a:fillRect/>
                    </a:stretch>
                  </pic:blipFill>
                  <pic:spPr>
                    <a:xfrm>
                      <a:off x="0" y="0"/>
                      <a:ext cx="4683083" cy="4526920"/>
                    </a:xfrm>
                    <a:prstGeom prst="rect">
                      <a:avLst/>
                    </a:prstGeom>
                  </pic:spPr>
                </pic:pic>
              </a:graphicData>
            </a:graphic>
          </wp:inline>
        </w:drawing>
      </w:r>
    </w:p>
    <w:p w14:paraId="35EE0922" w14:textId="77777777" w:rsidR="000207EA" w:rsidRDefault="000207EA" w:rsidP="000207EA">
      <w:pPr>
        <w:pStyle w:val="MDPI51figurecaption"/>
      </w:pPr>
      <w:r>
        <w:rPr>
          <w:b/>
        </w:rPr>
        <w:t>Figure 4</w:t>
      </w:r>
      <w:r w:rsidRPr="00FA04F1">
        <w:rPr>
          <w:b/>
        </w:rPr>
        <w:t xml:space="preserve">. </w:t>
      </w:r>
      <w:r w:rsidR="007F5359" w:rsidRPr="007F5359">
        <w:t>ATR-</w:t>
      </w:r>
      <w:r>
        <w:t>FTIR spectra for WPI-based biomaterials: 40/0 (control) and 40/5 (A) as well as CaSiO</w:t>
      </w:r>
      <w:r>
        <w:rPr>
          <w:vertAlign w:val="subscript"/>
        </w:rPr>
        <w:t>3</w:t>
      </w:r>
      <w:r>
        <w:t xml:space="preserve"> powder (B). </w:t>
      </w:r>
    </w:p>
    <w:p w14:paraId="07E11D6B" w14:textId="07FC4C23" w:rsidR="00CF5D03" w:rsidRDefault="00CF5D03" w:rsidP="00CF5D03">
      <w:pPr>
        <w:pStyle w:val="MDPI41tablecaption"/>
      </w:pPr>
      <w:r>
        <w:rPr>
          <w:b/>
        </w:rPr>
        <w:t>Table 3</w:t>
      </w:r>
      <w:r w:rsidRPr="00325902">
        <w:rPr>
          <w:b/>
        </w:rPr>
        <w:t>.</w:t>
      </w:r>
      <w:r w:rsidRPr="00325902">
        <w:t xml:space="preserve"> Th</w:t>
      </w:r>
      <w:r>
        <w:t>e spectral interpretati</w:t>
      </w:r>
      <w:r w:rsidR="00BE08FA">
        <w:t xml:space="preserve">ons of the </w:t>
      </w:r>
      <w:r w:rsidR="001D2635">
        <w:t xml:space="preserve">40/0 and </w:t>
      </w:r>
      <w:r w:rsidR="00BE08FA">
        <w:t>40/5</w:t>
      </w:r>
      <w:r>
        <w:t xml:space="preserve"> biomaterial</w:t>
      </w:r>
      <w:r w:rsidR="001D2635">
        <w:t>s</w:t>
      </w:r>
      <w:r>
        <w:t xml:space="preserve"> from FTIR spectra according to </w:t>
      </w:r>
      <w:proofErr w:type="spellStart"/>
      <w:r>
        <w:t>Movasaghi</w:t>
      </w:r>
      <w:proofErr w:type="spellEnd"/>
      <w:r>
        <w:t xml:space="preserve"> et al. </w:t>
      </w:r>
      <w:r w:rsidR="00590160">
        <w:fldChar w:fldCharType="begin" w:fldLock="1"/>
      </w:r>
      <w:r w:rsidR="00BF2AF7">
        <w:instrText>ADDIN CSL_CITATION {"citationItems":[{"id":"ITEM-1","itemData":{"DOI":"10.1080/05704920701829043","ISSN":"05704928","abstract":"This article reviews some of the recent advances on FTIR spectroscopy in areas related to natural tissues and cell biology. It is the second review publication resulting from a detailed study on the applications of spectroscopic methods in biological studies and summarizes some of the most widely used peak frequencies and their assignments. The aim of these studies is to prepare a database of molecular fingerprints, which will help researchers in defining the chemical structure of the biological tissues introducing most of the important peaks present in the natural tissues. In spite of applying different methods, there seems to be a considerable similarity in defining the peaks of identical areas of the FTIR spectra. As a result, it is believed that preparing a unique collection of the frequencies encountered in FTIR spectroscopic studies can lead to significant improvements both in the quantity and quality of research and their outcomes. This article is the first review of its kind that provides a precise database on the most important FTIR characteristic peak frequencies for researchers aiming to analyze natural tissues by FTIR spectroscopy and will be of considerable assistance to those who are focusing on the analysis of cancerous tissues by FTIR spectroscopy.","author":[{"dropping-particle":"","family":"Movasaghi","given":"Zanyar","non-dropping-particle":"","parse-names":false,"suffix":""},{"dropping-particle":"","family":"Rehman","given":"Shazza","non-dropping-particle":"","parse-names":false,"suffix":""},{"dropping-particle":"","family":"Rehman","given":"Ihtesham Ur","non-dropping-particle":"","parse-names":false,"suffix":""}],"container-title":"Applied Spectroscopy Reviews","id":"ITEM-1","issue":"2","issued":{"date-parts":[["2008"]]},"page":"134-179","title":"Fourier transform infrared (FTIR) spectroscopy of biological tissues","type":"article-journal","volume":"43"},"uris":["http://www.mendeley.com/documents/?uuid=d258c043-fcfd-4c4f-bac1-6adecbd3b043"]}],"mendeley":{"formattedCitation":"[31]","plainTextFormattedCitation":"[31]","previouslyFormattedCitation":"[31]"},"properties":{"noteIndex":0},"schema":"https://github.com/citation-style-language/schema/raw/master/csl-citation.json"}</w:instrText>
      </w:r>
      <w:r w:rsidR="00590160">
        <w:fldChar w:fldCharType="separate"/>
      </w:r>
      <w:r w:rsidR="00BF2AF7" w:rsidRPr="00BF2AF7">
        <w:rPr>
          <w:noProof/>
        </w:rPr>
        <w:t>[31]</w:t>
      </w:r>
      <w:r w:rsidR="00590160">
        <w:fldChar w:fldCharType="end"/>
      </w:r>
      <w:r w:rsidR="00BE08FA">
        <w:t xml:space="preserve"> </w:t>
      </w:r>
      <w:r>
        <w:t xml:space="preserve">recommendations </w:t>
      </w:r>
      <w:r w:rsidRPr="00325902">
        <w:t>.</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619"/>
        <w:gridCol w:w="5238"/>
      </w:tblGrid>
      <w:tr w:rsidR="00CF5D03" w:rsidRPr="000802ED" w14:paraId="4B88D1CE" w14:textId="77777777" w:rsidTr="00C0127D">
        <w:tc>
          <w:tcPr>
            <w:tcW w:w="2619" w:type="dxa"/>
            <w:tcBorders>
              <w:top w:val="single" w:sz="8" w:space="0" w:color="auto"/>
              <w:bottom w:val="single" w:sz="4" w:space="0" w:color="auto"/>
              <w:right w:val="single" w:sz="8" w:space="0" w:color="auto"/>
            </w:tcBorders>
            <w:shd w:val="clear" w:color="auto" w:fill="auto"/>
            <w:vAlign w:val="center"/>
          </w:tcPr>
          <w:p w14:paraId="623250F5" w14:textId="77777777" w:rsidR="00CF5D03" w:rsidRPr="007F7C8C" w:rsidRDefault="00BE08FA" w:rsidP="00C0127D">
            <w:pPr>
              <w:pStyle w:val="MDPI42tablebody"/>
              <w:spacing w:line="240" w:lineRule="auto"/>
              <w:rPr>
                <w:b/>
                <w:snapToGrid/>
              </w:rPr>
            </w:pPr>
            <w:r>
              <w:rPr>
                <w:b/>
                <w:snapToGrid/>
              </w:rPr>
              <w:t>Wavenumber (</w:t>
            </w:r>
            <w:proofErr w:type="gramStart"/>
            <w:r>
              <w:rPr>
                <w:b/>
                <w:snapToGrid/>
              </w:rPr>
              <w:t>cm</w:t>
            </w:r>
            <w:r>
              <w:rPr>
                <w:b/>
                <w:snapToGrid/>
                <w:vertAlign w:val="superscript"/>
              </w:rPr>
              <w:t>-1</w:t>
            </w:r>
            <w:proofErr w:type="gramEnd"/>
            <w:r>
              <w:rPr>
                <w:b/>
                <w:snapToGrid/>
              </w:rPr>
              <w:t>)</w:t>
            </w:r>
          </w:p>
        </w:tc>
        <w:tc>
          <w:tcPr>
            <w:tcW w:w="5238" w:type="dxa"/>
            <w:tcBorders>
              <w:top w:val="single" w:sz="8" w:space="0" w:color="auto"/>
              <w:left w:val="single" w:sz="8" w:space="0" w:color="auto"/>
              <w:bottom w:val="single" w:sz="4" w:space="0" w:color="auto"/>
            </w:tcBorders>
            <w:shd w:val="clear" w:color="auto" w:fill="auto"/>
            <w:vAlign w:val="center"/>
          </w:tcPr>
          <w:p w14:paraId="3F58C4F5" w14:textId="77777777" w:rsidR="00CF5D03" w:rsidRPr="007F7C8C" w:rsidRDefault="00BE08FA" w:rsidP="00C0127D">
            <w:pPr>
              <w:pStyle w:val="MDPI42tablebody"/>
              <w:spacing w:line="240" w:lineRule="auto"/>
              <w:rPr>
                <w:b/>
                <w:snapToGrid/>
              </w:rPr>
            </w:pPr>
            <w:r>
              <w:rPr>
                <w:b/>
                <w:snapToGrid/>
              </w:rPr>
              <w:t>Assignment</w:t>
            </w:r>
          </w:p>
        </w:tc>
      </w:tr>
      <w:tr w:rsidR="00BE08FA" w:rsidRPr="000802ED" w14:paraId="13E175E1" w14:textId="77777777" w:rsidTr="00C0127D">
        <w:tc>
          <w:tcPr>
            <w:tcW w:w="2619" w:type="dxa"/>
            <w:tcBorders>
              <w:right w:val="single" w:sz="8" w:space="0" w:color="auto"/>
            </w:tcBorders>
            <w:shd w:val="clear" w:color="auto" w:fill="auto"/>
          </w:tcPr>
          <w:p w14:paraId="5AE5ADC4" w14:textId="77777777" w:rsidR="00BE08FA" w:rsidRPr="00CC113D" w:rsidRDefault="00BE08FA" w:rsidP="00C0127D">
            <w:pPr>
              <w:jc w:val="center"/>
              <w:rPr>
                <w:rFonts w:cstheme="minorHAnsi"/>
              </w:rPr>
            </w:pPr>
            <w:r w:rsidRPr="00CC113D">
              <w:rPr>
                <w:rFonts w:cstheme="minorHAnsi"/>
              </w:rPr>
              <w:t>3283 (3273/87/89)</w:t>
            </w:r>
          </w:p>
        </w:tc>
        <w:tc>
          <w:tcPr>
            <w:tcW w:w="5238" w:type="dxa"/>
            <w:vMerge w:val="restart"/>
            <w:tcBorders>
              <w:left w:val="single" w:sz="8" w:space="0" w:color="auto"/>
            </w:tcBorders>
            <w:shd w:val="clear" w:color="auto" w:fill="auto"/>
          </w:tcPr>
          <w:p w14:paraId="423C06E6" w14:textId="33D2E758" w:rsidR="00BE08FA" w:rsidRPr="00CC113D" w:rsidRDefault="00C33626" w:rsidP="001D2635">
            <w:pPr>
              <w:jc w:val="center"/>
              <w:rPr>
                <w:rFonts w:cstheme="minorHAnsi"/>
              </w:rPr>
            </w:pPr>
            <w:r>
              <w:rPr>
                <w:rFonts w:cstheme="minorHAnsi"/>
              </w:rPr>
              <w:t>S</w:t>
            </w:r>
            <w:r w:rsidRPr="00BE08FA">
              <w:rPr>
                <w:rFonts w:cstheme="minorHAnsi"/>
              </w:rPr>
              <w:t xml:space="preserve">ymmetric </w:t>
            </w:r>
            <w:r>
              <w:rPr>
                <w:rFonts w:cstheme="minorHAnsi"/>
              </w:rPr>
              <w:t>s</w:t>
            </w:r>
            <w:r w:rsidR="00BE08FA" w:rsidRPr="00BE08FA">
              <w:rPr>
                <w:rFonts w:cstheme="minorHAnsi"/>
              </w:rPr>
              <w:t xml:space="preserve">tretching O-H </w:t>
            </w:r>
          </w:p>
        </w:tc>
      </w:tr>
      <w:tr w:rsidR="00BE08FA" w:rsidRPr="000802ED" w14:paraId="7E7ED6D1" w14:textId="77777777" w:rsidTr="00C0127D">
        <w:tc>
          <w:tcPr>
            <w:tcW w:w="2619" w:type="dxa"/>
            <w:tcBorders>
              <w:bottom w:val="single" w:sz="8" w:space="0" w:color="auto"/>
              <w:right w:val="single" w:sz="8" w:space="0" w:color="auto"/>
            </w:tcBorders>
            <w:shd w:val="clear" w:color="auto" w:fill="auto"/>
          </w:tcPr>
          <w:p w14:paraId="4B7407CA" w14:textId="3405EB75" w:rsidR="00BE08FA" w:rsidRPr="00F220D4" w:rsidRDefault="00BE08FA" w:rsidP="001D2635">
            <w:pPr>
              <w:pStyle w:val="MDPI42tablebody"/>
              <w:spacing w:line="240" w:lineRule="auto"/>
              <w:jc w:val="both"/>
            </w:pPr>
          </w:p>
        </w:tc>
        <w:tc>
          <w:tcPr>
            <w:tcW w:w="5238" w:type="dxa"/>
            <w:vMerge/>
            <w:tcBorders>
              <w:left w:val="single" w:sz="8" w:space="0" w:color="auto"/>
              <w:bottom w:val="single" w:sz="8" w:space="0" w:color="auto"/>
            </w:tcBorders>
            <w:shd w:val="clear" w:color="auto" w:fill="auto"/>
          </w:tcPr>
          <w:p w14:paraId="3D5B9C10" w14:textId="77777777" w:rsidR="00BE08FA" w:rsidRPr="00F220D4" w:rsidRDefault="00BE08FA" w:rsidP="00C0127D">
            <w:pPr>
              <w:pStyle w:val="MDPI42tablebody"/>
              <w:spacing w:line="240" w:lineRule="auto"/>
            </w:pPr>
          </w:p>
        </w:tc>
      </w:tr>
      <w:tr w:rsidR="001D2635" w:rsidRPr="000802ED" w14:paraId="1B1D9E7A" w14:textId="77777777" w:rsidTr="00C0127D">
        <w:tc>
          <w:tcPr>
            <w:tcW w:w="2619" w:type="dxa"/>
            <w:tcBorders>
              <w:bottom w:val="single" w:sz="8" w:space="0" w:color="auto"/>
              <w:right w:val="single" w:sz="8" w:space="0" w:color="auto"/>
            </w:tcBorders>
            <w:shd w:val="clear" w:color="auto" w:fill="auto"/>
          </w:tcPr>
          <w:p w14:paraId="3CE8700C" w14:textId="29E1554C" w:rsidR="001D2635" w:rsidRPr="00CC113D" w:rsidRDefault="001D2635" w:rsidP="001D2635">
            <w:pPr>
              <w:jc w:val="center"/>
              <w:rPr>
                <w:rFonts w:cstheme="minorHAnsi"/>
              </w:rPr>
            </w:pPr>
            <w:r w:rsidRPr="00CC113D">
              <w:rPr>
                <w:szCs w:val="16"/>
              </w:rPr>
              <w:t>326</w:t>
            </w:r>
            <w:r>
              <w:rPr>
                <w:szCs w:val="16"/>
              </w:rPr>
              <w:t>7</w:t>
            </w:r>
            <w:r w:rsidRPr="00CC113D">
              <w:rPr>
                <w:szCs w:val="16"/>
              </w:rPr>
              <w:t xml:space="preserve"> (3273/87/89)</w:t>
            </w:r>
          </w:p>
        </w:tc>
        <w:tc>
          <w:tcPr>
            <w:tcW w:w="5238" w:type="dxa"/>
            <w:tcBorders>
              <w:left w:val="single" w:sz="8" w:space="0" w:color="auto"/>
              <w:bottom w:val="single" w:sz="8" w:space="0" w:color="auto"/>
            </w:tcBorders>
            <w:shd w:val="clear" w:color="auto" w:fill="auto"/>
          </w:tcPr>
          <w:p w14:paraId="3C1F62C9" w14:textId="54B1D2E7" w:rsidR="001D2635" w:rsidRPr="001D2635" w:rsidRDefault="00C33626" w:rsidP="001D2635">
            <w:pPr>
              <w:jc w:val="center"/>
              <w:rPr>
                <w:szCs w:val="16"/>
              </w:rPr>
            </w:pPr>
            <w:r>
              <w:rPr>
                <w:szCs w:val="16"/>
              </w:rPr>
              <w:t>S</w:t>
            </w:r>
            <w:r w:rsidRPr="00CC113D">
              <w:rPr>
                <w:szCs w:val="16"/>
              </w:rPr>
              <w:t xml:space="preserve">ymmetric </w:t>
            </w:r>
            <w:r>
              <w:rPr>
                <w:szCs w:val="16"/>
              </w:rPr>
              <w:t>s</w:t>
            </w:r>
            <w:r w:rsidR="001D2635" w:rsidRPr="00CC113D">
              <w:rPr>
                <w:szCs w:val="16"/>
              </w:rPr>
              <w:t xml:space="preserve">tretching O-H </w:t>
            </w:r>
          </w:p>
        </w:tc>
      </w:tr>
      <w:tr w:rsidR="001D2635" w:rsidRPr="000802ED" w14:paraId="65EEEBCB" w14:textId="77777777" w:rsidTr="00C0127D">
        <w:tc>
          <w:tcPr>
            <w:tcW w:w="2619" w:type="dxa"/>
            <w:tcBorders>
              <w:bottom w:val="single" w:sz="8" w:space="0" w:color="auto"/>
              <w:right w:val="single" w:sz="8" w:space="0" w:color="auto"/>
            </w:tcBorders>
            <w:shd w:val="clear" w:color="auto" w:fill="auto"/>
          </w:tcPr>
          <w:p w14:paraId="041B0840" w14:textId="6226A697" w:rsidR="001D2635" w:rsidRPr="00CC113D" w:rsidRDefault="001D2635" w:rsidP="001D2635">
            <w:pPr>
              <w:jc w:val="center"/>
              <w:rPr>
                <w:szCs w:val="16"/>
              </w:rPr>
            </w:pPr>
            <w:r w:rsidRPr="00CC113D">
              <w:rPr>
                <w:rFonts w:cstheme="minorHAnsi"/>
              </w:rPr>
              <w:t>3262 (3273/87/89)</w:t>
            </w:r>
          </w:p>
        </w:tc>
        <w:tc>
          <w:tcPr>
            <w:tcW w:w="5238" w:type="dxa"/>
            <w:tcBorders>
              <w:left w:val="single" w:sz="8" w:space="0" w:color="auto"/>
              <w:bottom w:val="single" w:sz="8" w:space="0" w:color="auto"/>
            </w:tcBorders>
            <w:shd w:val="clear" w:color="auto" w:fill="auto"/>
          </w:tcPr>
          <w:p w14:paraId="1C182923" w14:textId="1A04D113" w:rsidR="001D2635" w:rsidRPr="00CC113D" w:rsidRDefault="00C33626" w:rsidP="001D2635">
            <w:pPr>
              <w:jc w:val="center"/>
              <w:rPr>
                <w:szCs w:val="16"/>
              </w:rPr>
            </w:pPr>
            <w:r>
              <w:rPr>
                <w:rFonts w:cstheme="minorHAnsi"/>
              </w:rPr>
              <w:t>S</w:t>
            </w:r>
            <w:r w:rsidRPr="00BE08FA">
              <w:rPr>
                <w:rFonts w:cstheme="minorHAnsi"/>
              </w:rPr>
              <w:t xml:space="preserve">ymmetric </w:t>
            </w:r>
            <w:r>
              <w:rPr>
                <w:rFonts w:cstheme="minorHAnsi"/>
              </w:rPr>
              <w:t>s</w:t>
            </w:r>
            <w:r w:rsidR="001D2635" w:rsidRPr="00BE08FA">
              <w:rPr>
                <w:rFonts w:cstheme="minorHAnsi"/>
              </w:rPr>
              <w:t xml:space="preserve">tretching O-H </w:t>
            </w:r>
          </w:p>
        </w:tc>
      </w:tr>
      <w:tr w:rsidR="001D2635" w:rsidRPr="000802ED" w14:paraId="7088357D" w14:textId="77777777" w:rsidTr="00C0127D">
        <w:tc>
          <w:tcPr>
            <w:tcW w:w="2619" w:type="dxa"/>
            <w:tcBorders>
              <w:bottom w:val="single" w:sz="8" w:space="0" w:color="auto"/>
              <w:right w:val="single" w:sz="8" w:space="0" w:color="auto"/>
            </w:tcBorders>
            <w:shd w:val="clear" w:color="auto" w:fill="auto"/>
          </w:tcPr>
          <w:p w14:paraId="63041B4A" w14:textId="20C230B7" w:rsidR="001D2635" w:rsidRPr="00CC113D" w:rsidRDefault="001D2635" w:rsidP="001D2635">
            <w:pPr>
              <w:jc w:val="center"/>
              <w:rPr>
                <w:rFonts w:cstheme="minorHAnsi"/>
              </w:rPr>
            </w:pPr>
            <w:r w:rsidRPr="00CC113D">
              <w:rPr>
                <w:szCs w:val="16"/>
              </w:rPr>
              <w:t>2963</w:t>
            </w:r>
          </w:p>
        </w:tc>
        <w:tc>
          <w:tcPr>
            <w:tcW w:w="5238" w:type="dxa"/>
            <w:tcBorders>
              <w:left w:val="single" w:sz="8" w:space="0" w:color="auto"/>
              <w:bottom w:val="single" w:sz="8" w:space="0" w:color="auto"/>
            </w:tcBorders>
            <w:shd w:val="clear" w:color="auto" w:fill="auto"/>
          </w:tcPr>
          <w:p w14:paraId="2F97E064" w14:textId="381F96B7" w:rsidR="001D2635" w:rsidRPr="00CC113D" w:rsidRDefault="00BA70F6" w:rsidP="001D2635">
            <w:pPr>
              <w:jc w:val="center"/>
              <w:rPr>
                <w:rFonts w:cstheme="minorHAnsi"/>
              </w:rPr>
            </w:pPr>
            <w:r>
              <w:rPr>
                <w:rFonts w:cstheme="minorHAnsi"/>
              </w:rPr>
              <w:t xml:space="preserve">Deformation </w:t>
            </w:r>
            <w:r w:rsidR="001D2635" w:rsidRPr="00CC113D">
              <w:rPr>
                <w:rFonts w:cstheme="minorHAnsi"/>
              </w:rPr>
              <w:t>CH</w:t>
            </w:r>
            <w:r w:rsidR="001D2635" w:rsidRPr="00CC113D">
              <w:rPr>
                <w:rFonts w:cstheme="minorHAnsi"/>
                <w:vertAlign w:val="subscript"/>
              </w:rPr>
              <w:t>3</w:t>
            </w:r>
          </w:p>
        </w:tc>
      </w:tr>
      <w:tr w:rsidR="001D2635" w:rsidRPr="000802ED" w14:paraId="62D2AC5F" w14:textId="77777777" w:rsidTr="00C0127D">
        <w:tc>
          <w:tcPr>
            <w:tcW w:w="2619" w:type="dxa"/>
            <w:tcBorders>
              <w:bottom w:val="single" w:sz="8" w:space="0" w:color="auto"/>
              <w:right w:val="single" w:sz="8" w:space="0" w:color="auto"/>
            </w:tcBorders>
            <w:shd w:val="clear" w:color="auto" w:fill="auto"/>
          </w:tcPr>
          <w:p w14:paraId="34790275" w14:textId="77777777" w:rsidR="001D2635" w:rsidRPr="00CC113D" w:rsidRDefault="001D2635" w:rsidP="001D2635">
            <w:pPr>
              <w:jc w:val="center"/>
              <w:rPr>
                <w:rFonts w:cstheme="minorHAnsi"/>
              </w:rPr>
            </w:pPr>
            <w:r w:rsidRPr="00CC113D">
              <w:rPr>
                <w:rFonts w:cstheme="minorHAnsi"/>
              </w:rPr>
              <w:t>2935</w:t>
            </w:r>
          </w:p>
        </w:tc>
        <w:tc>
          <w:tcPr>
            <w:tcW w:w="5238" w:type="dxa"/>
            <w:tcBorders>
              <w:left w:val="single" w:sz="8" w:space="0" w:color="auto"/>
              <w:bottom w:val="single" w:sz="8" w:space="0" w:color="auto"/>
            </w:tcBorders>
            <w:shd w:val="clear" w:color="auto" w:fill="auto"/>
          </w:tcPr>
          <w:p w14:paraId="7EECF07B" w14:textId="269D9686" w:rsidR="001D2635" w:rsidRPr="00CC113D" w:rsidRDefault="00BA70F6" w:rsidP="00BA70F6">
            <w:pPr>
              <w:jc w:val="center"/>
              <w:rPr>
                <w:rFonts w:cstheme="minorHAnsi"/>
              </w:rPr>
            </w:pPr>
            <w:r>
              <w:rPr>
                <w:rFonts w:cstheme="minorHAnsi"/>
              </w:rPr>
              <w:t xml:space="preserve">Assymetric stretching </w:t>
            </w:r>
            <w:r w:rsidR="001D2635" w:rsidRPr="00CC113D">
              <w:rPr>
                <w:rFonts w:cstheme="minorHAnsi"/>
              </w:rPr>
              <w:t>C-H</w:t>
            </w:r>
          </w:p>
        </w:tc>
      </w:tr>
      <w:tr w:rsidR="001D2635" w:rsidRPr="000802ED" w14:paraId="62B36D66" w14:textId="77777777" w:rsidTr="00C0127D">
        <w:tc>
          <w:tcPr>
            <w:tcW w:w="2619" w:type="dxa"/>
            <w:tcBorders>
              <w:bottom w:val="single" w:sz="8" w:space="0" w:color="auto"/>
              <w:right w:val="single" w:sz="8" w:space="0" w:color="auto"/>
            </w:tcBorders>
            <w:shd w:val="clear" w:color="auto" w:fill="auto"/>
          </w:tcPr>
          <w:p w14:paraId="3E98E507" w14:textId="5F2D5B88" w:rsidR="001D2635" w:rsidRPr="00CC113D" w:rsidRDefault="001D2635" w:rsidP="001D2635">
            <w:pPr>
              <w:jc w:val="center"/>
              <w:rPr>
                <w:rFonts w:cstheme="minorHAnsi"/>
              </w:rPr>
            </w:pPr>
            <w:r w:rsidRPr="00CC113D">
              <w:rPr>
                <w:szCs w:val="16"/>
              </w:rPr>
              <w:t>2919 (2917/8/9)</w:t>
            </w:r>
          </w:p>
        </w:tc>
        <w:tc>
          <w:tcPr>
            <w:tcW w:w="5238" w:type="dxa"/>
            <w:tcBorders>
              <w:left w:val="single" w:sz="8" w:space="0" w:color="auto"/>
              <w:bottom w:val="single" w:sz="8" w:space="0" w:color="auto"/>
            </w:tcBorders>
            <w:shd w:val="clear" w:color="auto" w:fill="auto"/>
          </w:tcPr>
          <w:p w14:paraId="0A972001" w14:textId="6A1D64D8" w:rsidR="001D2635" w:rsidRPr="00CC113D" w:rsidRDefault="001D2635" w:rsidP="001D2635">
            <w:pPr>
              <w:jc w:val="center"/>
              <w:rPr>
                <w:rFonts w:cstheme="minorHAnsi"/>
              </w:rPr>
            </w:pPr>
            <w:r w:rsidRPr="00CC113D">
              <w:rPr>
                <w:szCs w:val="16"/>
              </w:rPr>
              <w:t>Stretching C-H</w:t>
            </w:r>
          </w:p>
        </w:tc>
      </w:tr>
      <w:tr w:rsidR="001D2635" w:rsidRPr="000802ED" w14:paraId="16DC838F" w14:textId="77777777" w:rsidTr="00C0127D">
        <w:tc>
          <w:tcPr>
            <w:tcW w:w="2619" w:type="dxa"/>
            <w:tcBorders>
              <w:bottom w:val="single" w:sz="8" w:space="0" w:color="auto"/>
              <w:right w:val="single" w:sz="8" w:space="0" w:color="auto"/>
            </w:tcBorders>
            <w:shd w:val="clear" w:color="auto" w:fill="auto"/>
          </w:tcPr>
          <w:p w14:paraId="472BA4EF" w14:textId="77777777" w:rsidR="001D2635" w:rsidRPr="00CC113D" w:rsidRDefault="001D2635" w:rsidP="001D2635">
            <w:pPr>
              <w:jc w:val="center"/>
              <w:rPr>
                <w:rFonts w:cstheme="minorHAnsi"/>
              </w:rPr>
            </w:pPr>
            <w:r w:rsidRPr="00CC113D">
              <w:rPr>
                <w:rFonts w:cstheme="minorHAnsi"/>
              </w:rPr>
              <w:t>2876 (2874</w:t>
            </w:r>
            <w:r>
              <w:rPr>
                <w:rFonts w:cstheme="minorHAnsi"/>
              </w:rPr>
              <w:t>)</w:t>
            </w:r>
          </w:p>
        </w:tc>
        <w:tc>
          <w:tcPr>
            <w:tcW w:w="5238" w:type="dxa"/>
            <w:tcBorders>
              <w:left w:val="single" w:sz="8" w:space="0" w:color="auto"/>
              <w:bottom w:val="single" w:sz="8" w:space="0" w:color="auto"/>
            </w:tcBorders>
            <w:shd w:val="clear" w:color="auto" w:fill="auto"/>
          </w:tcPr>
          <w:p w14:paraId="7063384B" w14:textId="1DAAFFA5" w:rsidR="001D2635" w:rsidRPr="00CC113D" w:rsidRDefault="00BA70F6" w:rsidP="001D2635">
            <w:pPr>
              <w:jc w:val="center"/>
              <w:rPr>
                <w:rFonts w:cstheme="minorHAnsi"/>
              </w:rPr>
            </w:pPr>
            <w:r>
              <w:rPr>
                <w:rFonts w:cstheme="minorHAnsi"/>
              </w:rPr>
              <w:t>Symmetric stretching</w:t>
            </w:r>
            <w:r w:rsidR="001D2635" w:rsidRPr="00CC113D">
              <w:rPr>
                <w:rFonts w:cstheme="minorHAnsi"/>
              </w:rPr>
              <w:t xml:space="preserve"> CH</w:t>
            </w:r>
            <w:r w:rsidR="001D2635" w:rsidRPr="00CC113D">
              <w:rPr>
                <w:rFonts w:cstheme="minorHAnsi"/>
                <w:vertAlign w:val="subscript"/>
              </w:rPr>
              <w:t>3</w:t>
            </w:r>
          </w:p>
          <w:p w14:paraId="29737C6D" w14:textId="77777777" w:rsidR="001D2635" w:rsidRPr="00CC113D" w:rsidRDefault="001D2635" w:rsidP="001D2635">
            <w:pPr>
              <w:jc w:val="center"/>
              <w:rPr>
                <w:rFonts w:cstheme="minorHAnsi"/>
              </w:rPr>
            </w:pPr>
            <w:r w:rsidRPr="00CC113D">
              <w:rPr>
                <w:rFonts w:cstheme="minorHAnsi"/>
              </w:rPr>
              <w:t>Stretching C-H, N-H</w:t>
            </w:r>
          </w:p>
          <w:p w14:paraId="4E7919B8" w14:textId="441E1C7B" w:rsidR="001D2635" w:rsidRPr="00CC113D" w:rsidRDefault="001D2635" w:rsidP="001D2635">
            <w:pPr>
              <w:jc w:val="center"/>
              <w:rPr>
                <w:rFonts w:cstheme="minorHAnsi"/>
              </w:rPr>
            </w:pPr>
            <w:r w:rsidRPr="00CC113D">
              <w:rPr>
                <w:rFonts w:cstheme="minorHAnsi"/>
              </w:rPr>
              <w:t>Symmetric stretching CH</w:t>
            </w:r>
            <w:r w:rsidRPr="00CC113D">
              <w:rPr>
                <w:rFonts w:cstheme="minorHAnsi"/>
                <w:vertAlign w:val="subscript"/>
              </w:rPr>
              <w:t>3</w:t>
            </w:r>
            <w:r w:rsidRPr="00CC113D">
              <w:rPr>
                <w:rFonts w:cstheme="minorHAnsi"/>
              </w:rPr>
              <w:t xml:space="preserve"> of acyl chains (lipids)</w:t>
            </w:r>
          </w:p>
        </w:tc>
      </w:tr>
      <w:tr w:rsidR="001D2635" w:rsidRPr="000802ED" w14:paraId="2DD0005F" w14:textId="77777777" w:rsidTr="00C0127D">
        <w:tc>
          <w:tcPr>
            <w:tcW w:w="2619" w:type="dxa"/>
            <w:tcBorders>
              <w:bottom w:val="single" w:sz="8" w:space="0" w:color="auto"/>
              <w:right w:val="single" w:sz="8" w:space="0" w:color="auto"/>
            </w:tcBorders>
            <w:shd w:val="clear" w:color="auto" w:fill="auto"/>
          </w:tcPr>
          <w:p w14:paraId="4C9C01BE" w14:textId="2E5E097D" w:rsidR="001D2635" w:rsidRPr="00CC113D" w:rsidRDefault="001D2635" w:rsidP="001D2635">
            <w:pPr>
              <w:jc w:val="center"/>
              <w:rPr>
                <w:rFonts w:cstheme="minorHAnsi"/>
              </w:rPr>
            </w:pPr>
            <w:r w:rsidRPr="00CC113D">
              <w:rPr>
                <w:szCs w:val="16"/>
              </w:rPr>
              <w:t>1628 (1630–700)</w:t>
            </w:r>
          </w:p>
        </w:tc>
        <w:tc>
          <w:tcPr>
            <w:tcW w:w="5238" w:type="dxa"/>
            <w:tcBorders>
              <w:left w:val="single" w:sz="8" w:space="0" w:color="auto"/>
              <w:bottom w:val="single" w:sz="8" w:space="0" w:color="auto"/>
            </w:tcBorders>
            <w:shd w:val="clear" w:color="auto" w:fill="auto"/>
          </w:tcPr>
          <w:p w14:paraId="17FBB15D" w14:textId="689EDF0B" w:rsidR="001D2635" w:rsidRPr="00CC113D" w:rsidRDefault="001D2635" w:rsidP="001D2635">
            <w:pPr>
              <w:jc w:val="center"/>
              <w:rPr>
                <w:rFonts w:cstheme="minorHAnsi"/>
              </w:rPr>
            </w:pPr>
            <w:r w:rsidRPr="00CC113D">
              <w:rPr>
                <w:szCs w:val="16"/>
              </w:rPr>
              <w:t>Amide I region</w:t>
            </w:r>
          </w:p>
        </w:tc>
      </w:tr>
      <w:tr w:rsidR="001D2635" w:rsidRPr="000802ED" w14:paraId="777D5116" w14:textId="77777777" w:rsidTr="00C0127D">
        <w:tc>
          <w:tcPr>
            <w:tcW w:w="2619" w:type="dxa"/>
            <w:tcBorders>
              <w:bottom w:val="single" w:sz="8" w:space="0" w:color="auto"/>
              <w:right w:val="single" w:sz="8" w:space="0" w:color="auto"/>
            </w:tcBorders>
            <w:shd w:val="clear" w:color="auto" w:fill="auto"/>
          </w:tcPr>
          <w:p w14:paraId="24AFC504" w14:textId="77777777" w:rsidR="001D2635" w:rsidRPr="00CC113D" w:rsidRDefault="001D2635" w:rsidP="001D2635">
            <w:pPr>
              <w:jc w:val="center"/>
              <w:rPr>
                <w:rFonts w:cstheme="minorHAnsi"/>
              </w:rPr>
            </w:pPr>
            <w:r w:rsidRPr="00CC113D">
              <w:rPr>
                <w:rFonts w:cstheme="minorHAnsi"/>
              </w:rPr>
              <w:t>1624 (1630–700)</w:t>
            </w:r>
          </w:p>
        </w:tc>
        <w:tc>
          <w:tcPr>
            <w:tcW w:w="5238" w:type="dxa"/>
            <w:tcBorders>
              <w:left w:val="single" w:sz="8" w:space="0" w:color="auto"/>
              <w:bottom w:val="single" w:sz="8" w:space="0" w:color="auto"/>
            </w:tcBorders>
            <w:shd w:val="clear" w:color="auto" w:fill="auto"/>
          </w:tcPr>
          <w:p w14:paraId="0625E98C" w14:textId="77777777" w:rsidR="001D2635" w:rsidRPr="00CC113D" w:rsidRDefault="001D2635" w:rsidP="001D2635">
            <w:pPr>
              <w:jc w:val="center"/>
              <w:rPr>
                <w:rFonts w:cstheme="minorHAnsi"/>
              </w:rPr>
            </w:pPr>
            <w:r w:rsidRPr="00CC113D">
              <w:rPr>
                <w:rFonts w:cstheme="minorHAnsi"/>
              </w:rPr>
              <w:t>Amide I region</w:t>
            </w:r>
          </w:p>
        </w:tc>
      </w:tr>
      <w:tr w:rsidR="001D2635" w:rsidRPr="000802ED" w14:paraId="4AA44107" w14:textId="77777777" w:rsidTr="00C0127D">
        <w:tc>
          <w:tcPr>
            <w:tcW w:w="2619" w:type="dxa"/>
            <w:tcBorders>
              <w:bottom w:val="single" w:sz="8" w:space="0" w:color="auto"/>
              <w:right w:val="single" w:sz="8" w:space="0" w:color="auto"/>
            </w:tcBorders>
            <w:shd w:val="clear" w:color="auto" w:fill="auto"/>
          </w:tcPr>
          <w:p w14:paraId="4F355AD2" w14:textId="6709CB99" w:rsidR="001D2635" w:rsidRPr="00CC113D" w:rsidRDefault="001D2635" w:rsidP="001D2635">
            <w:pPr>
              <w:jc w:val="center"/>
              <w:rPr>
                <w:rFonts w:cstheme="minorHAnsi"/>
              </w:rPr>
            </w:pPr>
            <w:r w:rsidRPr="00CC113D">
              <w:rPr>
                <w:szCs w:val="16"/>
              </w:rPr>
              <w:t>1519 (1517)</w:t>
            </w:r>
          </w:p>
        </w:tc>
        <w:tc>
          <w:tcPr>
            <w:tcW w:w="5238" w:type="dxa"/>
            <w:tcBorders>
              <w:left w:val="single" w:sz="8" w:space="0" w:color="auto"/>
              <w:bottom w:val="single" w:sz="8" w:space="0" w:color="auto"/>
            </w:tcBorders>
            <w:shd w:val="clear" w:color="auto" w:fill="auto"/>
          </w:tcPr>
          <w:p w14:paraId="4CEA113D" w14:textId="7DD48931" w:rsidR="001D2635" w:rsidRPr="00CC113D" w:rsidRDefault="001D2635" w:rsidP="001D2635">
            <w:pPr>
              <w:jc w:val="center"/>
              <w:rPr>
                <w:rFonts w:cstheme="minorHAnsi"/>
              </w:rPr>
            </w:pPr>
            <w:r w:rsidRPr="00CC113D">
              <w:rPr>
                <w:szCs w:val="16"/>
              </w:rPr>
              <w:t>Amide II</w:t>
            </w:r>
          </w:p>
        </w:tc>
      </w:tr>
      <w:tr w:rsidR="001D2635" w:rsidRPr="000802ED" w14:paraId="69ABA632" w14:textId="77777777" w:rsidTr="00C0127D">
        <w:tc>
          <w:tcPr>
            <w:tcW w:w="2619" w:type="dxa"/>
            <w:tcBorders>
              <w:bottom w:val="single" w:sz="8" w:space="0" w:color="auto"/>
              <w:right w:val="single" w:sz="8" w:space="0" w:color="auto"/>
            </w:tcBorders>
            <w:shd w:val="clear" w:color="auto" w:fill="auto"/>
          </w:tcPr>
          <w:p w14:paraId="1D9C9FCC" w14:textId="77777777" w:rsidR="001D2635" w:rsidRPr="00CC113D" w:rsidRDefault="001D2635" w:rsidP="001D2635">
            <w:pPr>
              <w:jc w:val="center"/>
              <w:rPr>
                <w:rFonts w:cstheme="minorHAnsi"/>
              </w:rPr>
            </w:pPr>
            <w:r w:rsidRPr="00CC113D">
              <w:rPr>
                <w:rFonts w:cstheme="minorHAnsi"/>
              </w:rPr>
              <w:t>1516 (1517)</w:t>
            </w:r>
          </w:p>
        </w:tc>
        <w:tc>
          <w:tcPr>
            <w:tcW w:w="5238" w:type="dxa"/>
            <w:tcBorders>
              <w:left w:val="single" w:sz="8" w:space="0" w:color="auto"/>
              <w:bottom w:val="single" w:sz="8" w:space="0" w:color="auto"/>
            </w:tcBorders>
            <w:shd w:val="clear" w:color="auto" w:fill="auto"/>
          </w:tcPr>
          <w:p w14:paraId="1CAB10AE" w14:textId="77777777" w:rsidR="001D2635" w:rsidRPr="00CC113D" w:rsidRDefault="001D2635" w:rsidP="001D2635">
            <w:pPr>
              <w:jc w:val="center"/>
              <w:rPr>
                <w:rFonts w:cstheme="minorHAnsi"/>
              </w:rPr>
            </w:pPr>
            <w:r w:rsidRPr="00CC113D">
              <w:rPr>
                <w:rFonts w:cstheme="minorHAnsi"/>
              </w:rPr>
              <w:t>Amide II</w:t>
            </w:r>
          </w:p>
        </w:tc>
      </w:tr>
      <w:tr w:rsidR="001D2635" w:rsidRPr="000802ED" w14:paraId="12058703" w14:textId="77777777" w:rsidTr="00C0127D">
        <w:tc>
          <w:tcPr>
            <w:tcW w:w="2619" w:type="dxa"/>
            <w:tcBorders>
              <w:bottom w:val="single" w:sz="8" w:space="0" w:color="auto"/>
              <w:right w:val="single" w:sz="8" w:space="0" w:color="auto"/>
            </w:tcBorders>
            <w:shd w:val="clear" w:color="auto" w:fill="auto"/>
          </w:tcPr>
          <w:p w14:paraId="7913B4D6" w14:textId="77777777" w:rsidR="001D2635" w:rsidRPr="00CC113D" w:rsidRDefault="001D2635" w:rsidP="001D2635">
            <w:pPr>
              <w:jc w:val="center"/>
              <w:rPr>
                <w:rFonts w:cstheme="minorHAnsi"/>
              </w:rPr>
            </w:pPr>
            <w:r w:rsidRPr="00CC113D">
              <w:rPr>
                <w:rFonts w:cstheme="minorHAnsi"/>
              </w:rPr>
              <w:lastRenderedPageBreak/>
              <w:t>1393 (1935)</w:t>
            </w:r>
          </w:p>
        </w:tc>
        <w:tc>
          <w:tcPr>
            <w:tcW w:w="5238" w:type="dxa"/>
            <w:tcBorders>
              <w:left w:val="single" w:sz="8" w:space="0" w:color="auto"/>
              <w:bottom w:val="single" w:sz="8" w:space="0" w:color="auto"/>
            </w:tcBorders>
            <w:shd w:val="clear" w:color="auto" w:fill="auto"/>
          </w:tcPr>
          <w:p w14:paraId="040D6C6F" w14:textId="36FFE1E1" w:rsidR="001D2635" w:rsidRPr="00791162" w:rsidRDefault="00791162" w:rsidP="00791162">
            <w:pPr>
              <w:jc w:val="center"/>
              <w:rPr>
                <w:szCs w:val="16"/>
              </w:rPr>
            </w:pPr>
            <w:r>
              <w:rPr>
                <w:rFonts w:cstheme="minorHAnsi"/>
                <w:szCs w:val="16"/>
              </w:rPr>
              <w:t xml:space="preserve">Bending </w:t>
            </w:r>
            <w:r w:rsidRPr="00CC113D">
              <w:rPr>
                <w:szCs w:val="16"/>
              </w:rPr>
              <w:t>CH</w:t>
            </w:r>
            <w:r w:rsidRPr="00CC113D">
              <w:rPr>
                <w:szCs w:val="16"/>
                <w:vertAlign w:val="subscript"/>
              </w:rPr>
              <w:t>3</w:t>
            </w:r>
            <w:r w:rsidR="001D2635" w:rsidRPr="00CC113D">
              <w:rPr>
                <w:rFonts w:cstheme="minorHAnsi"/>
              </w:rPr>
              <w:t xml:space="preserve"> due to aliphatic side groups of the amino acid residues</w:t>
            </w:r>
          </w:p>
        </w:tc>
      </w:tr>
      <w:tr w:rsidR="001D2635" w:rsidRPr="000802ED" w14:paraId="52A02752" w14:textId="77777777" w:rsidTr="00C0127D">
        <w:tc>
          <w:tcPr>
            <w:tcW w:w="2619" w:type="dxa"/>
            <w:tcBorders>
              <w:bottom w:val="single" w:sz="8" w:space="0" w:color="auto"/>
              <w:right w:val="single" w:sz="8" w:space="0" w:color="auto"/>
            </w:tcBorders>
            <w:shd w:val="clear" w:color="auto" w:fill="auto"/>
          </w:tcPr>
          <w:p w14:paraId="1D4C8D39" w14:textId="0650F62E" w:rsidR="001D2635" w:rsidRPr="00CC113D" w:rsidRDefault="001D2635" w:rsidP="001D2635">
            <w:pPr>
              <w:jc w:val="center"/>
              <w:rPr>
                <w:rFonts w:cstheme="minorHAnsi"/>
              </w:rPr>
            </w:pPr>
            <w:r w:rsidRPr="00CC113D">
              <w:rPr>
                <w:szCs w:val="16"/>
              </w:rPr>
              <w:t>1388 (1388)</w:t>
            </w:r>
          </w:p>
        </w:tc>
        <w:tc>
          <w:tcPr>
            <w:tcW w:w="5238" w:type="dxa"/>
            <w:tcBorders>
              <w:left w:val="single" w:sz="8" w:space="0" w:color="auto"/>
              <w:bottom w:val="single" w:sz="8" w:space="0" w:color="auto"/>
            </w:tcBorders>
            <w:shd w:val="clear" w:color="auto" w:fill="auto"/>
          </w:tcPr>
          <w:p w14:paraId="6B0107DE" w14:textId="0A1C28ED" w:rsidR="001D2635" w:rsidRPr="00CC113D" w:rsidRDefault="00C33626" w:rsidP="001D2635">
            <w:pPr>
              <w:jc w:val="center"/>
              <w:rPr>
                <w:szCs w:val="16"/>
              </w:rPr>
            </w:pPr>
            <w:r>
              <w:rPr>
                <w:rFonts w:cstheme="minorHAnsi"/>
                <w:szCs w:val="16"/>
              </w:rPr>
              <w:t xml:space="preserve">Bending </w:t>
            </w:r>
            <w:r w:rsidR="001D2635" w:rsidRPr="00CC113D">
              <w:rPr>
                <w:szCs w:val="16"/>
              </w:rPr>
              <w:t>CH</w:t>
            </w:r>
            <w:r w:rsidR="001D2635" w:rsidRPr="00CC113D">
              <w:rPr>
                <w:szCs w:val="16"/>
                <w:vertAlign w:val="subscript"/>
              </w:rPr>
              <w:t>3</w:t>
            </w:r>
          </w:p>
          <w:p w14:paraId="1CD280B3" w14:textId="2197C297" w:rsidR="001D2635" w:rsidRPr="00CC113D" w:rsidRDefault="001D2635" w:rsidP="001D2635">
            <w:pPr>
              <w:jc w:val="center"/>
              <w:rPr>
                <w:rFonts w:cstheme="minorHAnsi"/>
              </w:rPr>
            </w:pPr>
            <w:r w:rsidRPr="00CC113D">
              <w:rPr>
                <w:szCs w:val="16"/>
              </w:rPr>
              <w:t>Stretching C-O, deformation C-H, deformation N-H</w:t>
            </w:r>
          </w:p>
        </w:tc>
      </w:tr>
      <w:tr w:rsidR="001D2635" w:rsidRPr="000802ED" w14:paraId="32338CCC" w14:textId="77777777" w:rsidTr="00C0127D">
        <w:tc>
          <w:tcPr>
            <w:tcW w:w="2619" w:type="dxa"/>
            <w:tcBorders>
              <w:bottom w:val="single" w:sz="8" w:space="0" w:color="auto"/>
              <w:right w:val="single" w:sz="8" w:space="0" w:color="auto"/>
            </w:tcBorders>
            <w:shd w:val="clear" w:color="auto" w:fill="auto"/>
          </w:tcPr>
          <w:p w14:paraId="791949C4" w14:textId="77777777" w:rsidR="001D2635" w:rsidRPr="00CC113D" w:rsidRDefault="001D2635" w:rsidP="001D2635">
            <w:pPr>
              <w:jc w:val="center"/>
              <w:rPr>
                <w:rFonts w:cstheme="minorHAnsi"/>
              </w:rPr>
            </w:pPr>
            <w:r w:rsidRPr="00CC113D">
              <w:rPr>
                <w:rFonts w:cstheme="minorHAnsi"/>
              </w:rPr>
              <w:t>1315 (1317)</w:t>
            </w:r>
          </w:p>
        </w:tc>
        <w:tc>
          <w:tcPr>
            <w:tcW w:w="5238" w:type="dxa"/>
            <w:tcBorders>
              <w:left w:val="single" w:sz="8" w:space="0" w:color="auto"/>
              <w:bottom w:val="single" w:sz="8" w:space="0" w:color="auto"/>
            </w:tcBorders>
            <w:shd w:val="clear" w:color="auto" w:fill="auto"/>
          </w:tcPr>
          <w:p w14:paraId="773B1F7A" w14:textId="01390649" w:rsidR="001D2635" w:rsidRPr="00CC113D" w:rsidRDefault="001D2635" w:rsidP="00791162">
            <w:pPr>
              <w:jc w:val="center"/>
              <w:rPr>
                <w:rFonts w:cstheme="minorHAnsi"/>
              </w:rPr>
            </w:pPr>
            <w:r w:rsidRPr="00CC113D">
              <w:rPr>
                <w:rFonts w:cstheme="minorHAnsi"/>
              </w:rPr>
              <w:t>Amide III band components of proteins</w:t>
            </w:r>
          </w:p>
        </w:tc>
      </w:tr>
      <w:tr w:rsidR="001D2635" w:rsidRPr="000802ED" w14:paraId="6D8F679B" w14:textId="77777777" w:rsidTr="00C0127D">
        <w:tc>
          <w:tcPr>
            <w:tcW w:w="2619" w:type="dxa"/>
            <w:tcBorders>
              <w:bottom w:val="single" w:sz="8" w:space="0" w:color="auto"/>
              <w:right w:val="single" w:sz="8" w:space="0" w:color="auto"/>
            </w:tcBorders>
            <w:shd w:val="clear" w:color="auto" w:fill="auto"/>
          </w:tcPr>
          <w:p w14:paraId="7EAD4326" w14:textId="77777777" w:rsidR="001D2635" w:rsidRPr="00CC113D" w:rsidRDefault="001D2635" w:rsidP="001D2635">
            <w:pPr>
              <w:jc w:val="center"/>
              <w:rPr>
                <w:rFonts w:cstheme="minorHAnsi"/>
              </w:rPr>
            </w:pPr>
            <w:r w:rsidRPr="00CC113D">
              <w:rPr>
                <w:rFonts w:cstheme="minorHAnsi"/>
              </w:rPr>
              <w:t>1240</w:t>
            </w:r>
          </w:p>
        </w:tc>
        <w:tc>
          <w:tcPr>
            <w:tcW w:w="5238" w:type="dxa"/>
            <w:tcBorders>
              <w:left w:val="single" w:sz="8" w:space="0" w:color="auto"/>
              <w:bottom w:val="single" w:sz="8" w:space="0" w:color="auto"/>
            </w:tcBorders>
            <w:shd w:val="clear" w:color="auto" w:fill="auto"/>
          </w:tcPr>
          <w:p w14:paraId="57F60F3A" w14:textId="1280F3A1" w:rsidR="001D2635" w:rsidRPr="00CC113D" w:rsidRDefault="00BA70F6" w:rsidP="001D2635">
            <w:pPr>
              <w:jc w:val="center"/>
              <w:rPr>
                <w:rFonts w:cstheme="minorHAnsi"/>
                <w:vertAlign w:val="superscript"/>
              </w:rPr>
            </w:pPr>
            <w:r>
              <w:rPr>
                <w:rFonts w:cstheme="minorHAnsi"/>
              </w:rPr>
              <w:t xml:space="preserve">Asymmetric stretching </w:t>
            </w:r>
            <w:r w:rsidR="001D2635" w:rsidRPr="00CC113D">
              <w:rPr>
                <w:rFonts w:cstheme="minorHAnsi"/>
              </w:rPr>
              <w:t>PO</w:t>
            </w:r>
            <w:r w:rsidR="001D2635" w:rsidRPr="00CC113D">
              <w:rPr>
                <w:rFonts w:cstheme="minorHAnsi"/>
                <w:vertAlign w:val="subscript"/>
              </w:rPr>
              <w:t>2</w:t>
            </w:r>
            <w:r w:rsidR="001D2635" w:rsidRPr="00CC113D">
              <w:rPr>
                <w:rFonts w:cstheme="minorHAnsi"/>
                <w:vertAlign w:val="superscript"/>
              </w:rPr>
              <w:t>-</w:t>
            </w:r>
          </w:p>
          <w:p w14:paraId="5A2C38E4" w14:textId="3FFE774B" w:rsidR="001D2635" w:rsidRPr="00CC113D" w:rsidRDefault="00BA70F6" w:rsidP="00BA70F6">
            <w:pPr>
              <w:jc w:val="center"/>
              <w:rPr>
                <w:rFonts w:cstheme="minorHAnsi"/>
              </w:rPr>
            </w:pPr>
            <w:r>
              <w:rPr>
                <w:rFonts w:cstheme="minorHAnsi"/>
              </w:rPr>
              <w:t>A</w:t>
            </w:r>
            <w:r w:rsidR="001D2635" w:rsidRPr="00CC113D">
              <w:rPr>
                <w:rFonts w:cstheme="minorHAnsi"/>
              </w:rPr>
              <w:t>mide III mode of protein</w:t>
            </w:r>
          </w:p>
        </w:tc>
      </w:tr>
      <w:tr w:rsidR="00523901" w:rsidRPr="000802ED" w14:paraId="47FFE8BB" w14:textId="77777777" w:rsidTr="00C0127D">
        <w:tc>
          <w:tcPr>
            <w:tcW w:w="2619" w:type="dxa"/>
            <w:tcBorders>
              <w:bottom w:val="single" w:sz="8" w:space="0" w:color="auto"/>
              <w:right w:val="single" w:sz="8" w:space="0" w:color="auto"/>
            </w:tcBorders>
            <w:shd w:val="clear" w:color="auto" w:fill="auto"/>
          </w:tcPr>
          <w:p w14:paraId="094CD117" w14:textId="7C82E013" w:rsidR="00523901" w:rsidRPr="00CC113D" w:rsidRDefault="00523901" w:rsidP="00523901">
            <w:pPr>
              <w:jc w:val="center"/>
              <w:rPr>
                <w:rFonts w:cstheme="minorHAnsi"/>
              </w:rPr>
            </w:pPr>
            <w:r w:rsidRPr="00CC113D">
              <w:rPr>
                <w:szCs w:val="16"/>
              </w:rPr>
              <w:t>1237</w:t>
            </w:r>
          </w:p>
        </w:tc>
        <w:tc>
          <w:tcPr>
            <w:tcW w:w="5238" w:type="dxa"/>
            <w:tcBorders>
              <w:left w:val="single" w:sz="8" w:space="0" w:color="auto"/>
              <w:bottom w:val="single" w:sz="8" w:space="0" w:color="auto"/>
            </w:tcBorders>
            <w:shd w:val="clear" w:color="auto" w:fill="auto"/>
          </w:tcPr>
          <w:p w14:paraId="62FE11DB" w14:textId="208AAAA5" w:rsidR="00523901" w:rsidRPr="00553969" w:rsidRDefault="00553969" w:rsidP="00553969">
            <w:pPr>
              <w:jc w:val="center"/>
              <w:rPr>
                <w:szCs w:val="16"/>
              </w:rPr>
            </w:pPr>
            <w:r>
              <w:rPr>
                <w:szCs w:val="16"/>
              </w:rPr>
              <w:t>A</w:t>
            </w:r>
            <w:r w:rsidRPr="00CC113D">
              <w:rPr>
                <w:szCs w:val="16"/>
              </w:rPr>
              <w:t xml:space="preserve">symmetric </w:t>
            </w:r>
            <w:r w:rsidRPr="00EF75B4">
              <w:rPr>
                <w:color w:val="FF0000"/>
                <w:szCs w:val="16"/>
              </w:rPr>
              <w:t>stretching</w:t>
            </w:r>
            <w:r>
              <w:rPr>
                <w:szCs w:val="16"/>
              </w:rPr>
              <w:t xml:space="preserve"> </w:t>
            </w:r>
            <w:r w:rsidR="00523901" w:rsidRPr="00CC113D">
              <w:rPr>
                <w:szCs w:val="16"/>
              </w:rPr>
              <w:t>PO</w:t>
            </w:r>
            <w:r w:rsidR="00523901" w:rsidRPr="00CC113D">
              <w:rPr>
                <w:szCs w:val="16"/>
                <w:vertAlign w:val="subscript"/>
              </w:rPr>
              <w:t>2</w:t>
            </w:r>
            <w:r w:rsidR="00523901" w:rsidRPr="00CC113D">
              <w:rPr>
                <w:szCs w:val="16"/>
                <w:vertAlign w:val="superscript"/>
              </w:rPr>
              <w:t>-</w:t>
            </w:r>
            <w:r w:rsidR="00523901" w:rsidRPr="00CC113D">
              <w:rPr>
                <w:szCs w:val="16"/>
              </w:rPr>
              <w:t xml:space="preserve"> (phosphate I)</w:t>
            </w:r>
          </w:p>
        </w:tc>
      </w:tr>
      <w:tr w:rsidR="00523901" w:rsidRPr="000802ED" w14:paraId="7B42972C" w14:textId="77777777" w:rsidTr="00C0127D">
        <w:tc>
          <w:tcPr>
            <w:tcW w:w="2619" w:type="dxa"/>
            <w:tcBorders>
              <w:bottom w:val="single" w:sz="8" w:space="0" w:color="auto"/>
              <w:right w:val="single" w:sz="8" w:space="0" w:color="auto"/>
            </w:tcBorders>
            <w:shd w:val="clear" w:color="auto" w:fill="auto"/>
          </w:tcPr>
          <w:p w14:paraId="31868AEA" w14:textId="77777777" w:rsidR="00523901" w:rsidRPr="00CC113D" w:rsidRDefault="00523901" w:rsidP="00523901">
            <w:pPr>
              <w:jc w:val="center"/>
              <w:rPr>
                <w:rFonts w:cstheme="minorHAnsi"/>
              </w:rPr>
            </w:pPr>
            <w:r w:rsidRPr="00CC113D">
              <w:rPr>
                <w:rFonts w:cstheme="minorHAnsi"/>
              </w:rPr>
              <w:t>1162</w:t>
            </w:r>
          </w:p>
        </w:tc>
        <w:tc>
          <w:tcPr>
            <w:tcW w:w="5238" w:type="dxa"/>
            <w:tcBorders>
              <w:left w:val="single" w:sz="8" w:space="0" w:color="auto"/>
              <w:bottom w:val="single" w:sz="8" w:space="0" w:color="auto"/>
            </w:tcBorders>
            <w:shd w:val="clear" w:color="auto" w:fill="auto"/>
          </w:tcPr>
          <w:p w14:paraId="40D6608B" w14:textId="38753C77" w:rsidR="00523901" w:rsidRPr="00CC113D" w:rsidRDefault="00523901" w:rsidP="00791162">
            <w:pPr>
              <w:jc w:val="center"/>
              <w:rPr>
                <w:rFonts w:cstheme="minorHAnsi"/>
              </w:rPr>
            </w:pPr>
            <w:r w:rsidRPr="00CC113D">
              <w:rPr>
                <w:rFonts w:cstheme="minorHAnsi"/>
              </w:rPr>
              <w:t>Stretching modes of the C-OH groups of</w:t>
            </w:r>
            <w:r w:rsidR="00553969">
              <w:rPr>
                <w:rFonts w:cstheme="minorHAnsi"/>
              </w:rPr>
              <w:t xml:space="preserve"> proteins, e.g. </w:t>
            </w:r>
            <w:r w:rsidRPr="00CC113D">
              <w:rPr>
                <w:rFonts w:cstheme="minorHAnsi"/>
              </w:rPr>
              <w:t xml:space="preserve"> serine, threonine, and tyrosine residues</w:t>
            </w:r>
          </w:p>
        </w:tc>
      </w:tr>
      <w:tr w:rsidR="0069629C" w:rsidRPr="000802ED" w14:paraId="2A741E51" w14:textId="77777777" w:rsidTr="00C0127D">
        <w:tc>
          <w:tcPr>
            <w:tcW w:w="2619" w:type="dxa"/>
            <w:tcBorders>
              <w:bottom w:val="single" w:sz="8" w:space="0" w:color="auto"/>
              <w:right w:val="single" w:sz="8" w:space="0" w:color="auto"/>
            </w:tcBorders>
            <w:shd w:val="clear" w:color="auto" w:fill="auto"/>
          </w:tcPr>
          <w:p w14:paraId="1C16ECA9" w14:textId="02F9B78A" w:rsidR="0069629C" w:rsidRPr="00CC113D" w:rsidRDefault="0069629C" w:rsidP="0069629C">
            <w:pPr>
              <w:jc w:val="center"/>
              <w:rPr>
                <w:rFonts w:cstheme="minorHAnsi"/>
              </w:rPr>
            </w:pPr>
            <w:r w:rsidRPr="00CC113D">
              <w:rPr>
                <w:szCs w:val="16"/>
              </w:rPr>
              <w:t>1080</w:t>
            </w:r>
          </w:p>
        </w:tc>
        <w:tc>
          <w:tcPr>
            <w:tcW w:w="5238" w:type="dxa"/>
            <w:tcBorders>
              <w:left w:val="single" w:sz="8" w:space="0" w:color="auto"/>
              <w:bottom w:val="single" w:sz="8" w:space="0" w:color="auto"/>
            </w:tcBorders>
            <w:shd w:val="clear" w:color="auto" w:fill="auto"/>
          </w:tcPr>
          <w:p w14:paraId="3681BE73" w14:textId="10352A37" w:rsidR="0069629C" w:rsidRPr="00791162" w:rsidRDefault="00791162" w:rsidP="00791162">
            <w:pPr>
              <w:jc w:val="center"/>
              <w:rPr>
                <w:szCs w:val="16"/>
              </w:rPr>
            </w:pPr>
            <w:r>
              <w:rPr>
                <w:szCs w:val="16"/>
              </w:rPr>
              <w:t xml:space="preserve">Symmetric stretching </w:t>
            </w:r>
            <w:r w:rsidR="0069629C" w:rsidRPr="00CC113D">
              <w:rPr>
                <w:szCs w:val="16"/>
              </w:rPr>
              <w:t>PO</w:t>
            </w:r>
            <w:r w:rsidR="0069629C" w:rsidRPr="00CC113D">
              <w:rPr>
                <w:szCs w:val="16"/>
                <w:vertAlign w:val="subscript"/>
              </w:rPr>
              <w:t>2</w:t>
            </w:r>
            <w:r w:rsidR="0069629C" w:rsidRPr="00CC113D">
              <w:rPr>
                <w:szCs w:val="16"/>
                <w:vertAlign w:val="superscript"/>
              </w:rPr>
              <w:t>-</w:t>
            </w:r>
          </w:p>
        </w:tc>
      </w:tr>
      <w:tr w:rsidR="0069629C" w:rsidRPr="000802ED" w14:paraId="4E1D7953" w14:textId="77777777" w:rsidTr="00C0127D">
        <w:tc>
          <w:tcPr>
            <w:tcW w:w="2619" w:type="dxa"/>
            <w:tcBorders>
              <w:bottom w:val="single" w:sz="8" w:space="0" w:color="auto"/>
              <w:right w:val="single" w:sz="8" w:space="0" w:color="auto"/>
            </w:tcBorders>
            <w:shd w:val="clear" w:color="auto" w:fill="auto"/>
          </w:tcPr>
          <w:p w14:paraId="44AE7BA7" w14:textId="5D536407" w:rsidR="0069629C" w:rsidRPr="00CC113D" w:rsidRDefault="0069629C" w:rsidP="0069629C">
            <w:pPr>
              <w:jc w:val="center"/>
              <w:rPr>
                <w:rFonts w:cstheme="minorHAnsi"/>
              </w:rPr>
            </w:pPr>
            <w:r w:rsidRPr="00CC113D">
              <w:rPr>
                <w:szCs w:val="16"/>
              </w:rPr>
              <w:t>986 (985)</w:t>
            </w:r>
          </w:p>
        </w:tc>
        <w:tc>
          <w:tcPr>
            <w:tcW w:w="5238" w:type="dxa"/>
            <w:tcBorders>
              <w:left w:val="single" w:sz="8" w:space="0" w:color="auto"/>
              <w:bottom w:val="single" w:sz="8" w:space="0" w:color="auto"/>
            </w:tcBorders>
            <w:shd w:val="clear" w:color="auto" w:fill="auto"/>
          </w:tcPr>
          <w:p w14:paraId="1CD2629A" w14:textId="4FC39E17" w:rsidR="0069629C" w:rsidRPr="00791162" w:rsidRDefault="0069629C" w:rsidP="00791162">
            <w:pPr>
              <w:pStyle w:val="ListParagraph"/>
              <w:jc w:val="center"/>
              <w:rPr>
                <w:rFonts w:cstheme="minorHAnsi"/>
              </w:rPr>
            </w:pPr>
            <w:r w:rsidRPr="00791162">
              <w:rPr>
                <w:szCs w:val="16"/>
              </w:rPr>
              <w:t>OCH</w:t>
            </w:r>
            <w:r w:rsidRPr="00791162">
              <w:rPr>
                <w:szCs w:val="16"/>
                <w:vertAlign w:val="subscript"/>
              </w:rPr>
              <w:t>3</w:t>
            </w:r>
            <w:r w:rsidR="00791162">
              <w:rPr>
                <w:szCs w:val="16"/>
                <w:vertAlign w:val="subscript"/>
              </w:rPr>
              <w:t xml:space="preserve"> </w:t>
            </w:r>
            <w:r w:rsidR="00791162">
              <w:rPr>
                <w:szCs w:val="16"/>
              </w:rPr>
              <w:t>modes</w:t>
            </w:r>
          </w:p>
        </w:tc>
      </w:tr>
      <w:tr w:rsidR="0069629C" w:rsidRPr="000802ED" w14:paraId="37860237" w14:textId="77777777" w:rsidTr="00C0127D">
        <w:tc>
          <w:tcPr>
            <w:tcW w:w="2619" w:type="dxa"/>
            <w:tcBorders>
              <w:bottom w:val="single" w:sz="8" w:space="0" w:color="auto"/>
              <w:right w:val="single" w:sz="8" w:space="0" w:color="auto"/>
            </w:tcBorders>
            <w:shd w:val="clear" w:color="auto" w:fill="auto"/>
          </w:tcPr>
          <w:p w14:paraId="2E0CAE45" w14:textId="4A726831" w:rsidR="0069629C" w:rsidRPr="00CC113D" w:rsidRDefault="0069629C" w:rsidP="0069629C">
            <w:pPr>
              <w:jc w:val="center"/>
              <w:rPr>
                <w:szCs w:val="16"/>
              </w:rPr>
            </w:pPr>
            <w:r w:rsidRPr="00CC113D">
              <w:rPr>
                <w:szCs w:val="16"/>
              </w:rPr>
              <w:t>934 (938)</w:t>
            </w:r>
          </w:p>
        </w:tc>
        <w:tc>
          <w:tcPr>
            <w:tcW w:w="5238" w:type="dxa"/>
            <w:tcBorders>
              <w:left w:val="single" w:sz="8" w:space="0" w:color="auto"/>
              <w:bottom w:val="single" w:sz="8" w:space="0" w:color="auto"/>
            </w:tcBorders>
            <w:shd w:val="clear" w:color="auto" w:fill="auto"/>
          </w:tcPr>
          <w:p w14:paraId="37865560" w14:textId="221401BC" w:rsidR="0069629C" w:rsidRPr="00CC113D" w:rsidRDefault="0069629C" w:rsidP="0069629C">
            <w:pPr>
              <w:jc w:val="center"/>
              <w:rPr>
                <w:szCs w:val="16"/>
              </w:rPr>
            </w:pPr>
            <w:r w:rsidRPr="00CC113D">
              <w:rPr>
                <w:szCs w:val="16"/>
              </w:rPr>
              <w:t>Unassigned</w:t>
            </w:r>
          </w:p>
        </w:tc>
      </w:tr>
      <w:tr w:rsidR="0069629C" w:rsidRPr="000802ED" w14:paraId="48F87364" w14:textId="77777777" w:rsidTr="00C0127D">
        <w:tc>
          <w:tcPr>
            <w:tcW w:w="2619" w:type="dxa"/>
            <w:tcBorders>
              <w:bottom w:val="single" w:sz="8" w:space="0" w:color="auto"/>
              <w:right w:val="single" w:sz="8" w:space="0" w:color="auto"/>
            </w:tcBorders>
            <w:shd w:val="clear" w:color="auto" w:fill="auto"/>
          </w:tcPr>
          <w:p w14:paraId="5BC434A6" w14:textId="77777777" w:rsidR="0069629C" w:rsidRPr="00CC113D" w:rsidRDefault="0069629C" w:rsidP="0069629C">
            <w:pPr>
              <w:jc w:val="center"/>
              <w:rPr>
                <w:rFonts w:cstheme="minorHAnsi"/>
              </w:rPr>
            </w:pPr>
            <w:r w:rsidRPr="00CC113D">
              <w:rPr>
                <w:rFonts w:cstheme="minorHAnsi"/>
              </w:rPr>
              <w:t>929 (925–9)</w:t>
            </w:r>
          </w:p>
        </w:tc>
        <w:tc>
          <w:tcPr>
            <w:tcW w:w="5238" w:type="dxa"/>
            <w:tcBorders>
              <w:left w:val="single" w:sz="8" w:space="0" w:color="auto"/>
              <w:bottom w:val="single" w:sz="8" w:space="0" w:color="auto"/>
            </w:tcBorders>
            <w:shd w:val="clear" w:color="auto" w:fill="auto"/>
          </w:tcPr>
          <w:p w14:paraId="1124B9CC" w14:textId="383CF875" w:rsidR="0069629C" w:rsidRPr="00CC113D" w:rsidRDefault="00791162" w:rsidP="0069629C">
            <w:pPr>
              <w:jc w:val="center"/>
              <w:rPr>
                <w:rFonts w:cstheme="minorHAnsi"/>
              </w:rPr>
            </w:pPr>
            <w:r w:rsidRPr="00CC113D">
              <w:rPr>
                <w:szCs w:val="16"/>
              </w:rPr>
              <w:t>Unassigned</w:t>
            </w:r>
          </w:p>
        </w:tc>
      </w:tr>
    </w:tbl>
    <w:p w14:paraId="1CFB3F41" w14:textId="77777777" w:rsidR="007F5359" w:rsidRDefault="007F5359" w:rsidP="007F5359">
      <w:pPr>
        <w:pStyle w:val="MDPI22heading2"/>
      </w:pPr>
    </w:p>
    <w:p w14:paraId="6DB66B8A" w14:textId="77777777" w:rsidR="00712F6C" w:rsidRDefault="00712F6C" w:rsidP="00712F6C">
      <w:pPr>
        <w:pStyle w:val="MDPI22heading2"/>
      </w:pPr>
      <w:r>
        <w:t>3.</w:t>
      </w:r>
      <w:r w:rsidR="00565795">
        <w:t>5</w:t>
      </w:r>
      <w:r>
        <w:t>. Human osteoblasts response in vitro</w:t>
      </w:r>
    </w:p>
    <w:p w14:paraId="0A487F8D" w14:textId="03028124" w:rsidR="00712F6C" w:rsidRPr="007A7FD2" w:rsidRDefault="00712F6C" w:rsidP="00712F6C">
      <w:pPr>
        <w:pStyle w:val="MDPI32textnoindent"/>
        <w:rPr>
          <w:color w:val="FF0000"/>
        </w:rPr>
      </w:pPr>
      <w:r>
        <w:tab/>
      </w:r>
      <w:bookmarkStart w:id="4" w:name="_Hlk145973247"/>
      <w:r w:rsidR="002472A4">
        <w:t xml:space="preserve">In the first stage of cell experiments, the effect of biomaterials on the proliferation of human osteoblasts was assessed. </w:t>
      </w:r>
      <w:r>
        <w:t xml:space="preserve">The WST-8 assay </w:t>
      </w:r>
      <w:r w:rsidR="00EE7312">
        <w:rPr>
          <w:color w:val="FF0000"/>
        </w:rPr>
        <w:t xml:space="preserve">enables the assessment of cell metabolic activity by measuring OD values. The OD value is directly proportional to the number of </w:t>
      </w:r>
      <w:proofErr w:type="gramStart"/>
      <w:r w:rsidR="00EE7312">
        <w:rPr>
          <w:color w:val="FF0000"/>
        </w:rPr>
        <w:t>living</w:t>
      </w:r>
      <w:proofErr w:type="gramEnd"/>
      <w:r w:rsidR="00EE7312">
        <w:rPr>
          <w:color w:val="FF0000"/>
        </w:rPr>
        <w:t>, dividing cells</w:t>
      </w:r>
      <w:r w:rsidR="0021213A">
        <w:rPr>
          <w:color w:val="FF0000"/>
        </w:rPr>
        <w:t xml:space="preserve"> and </w:t>
      </w:r>
      <w:r w:rsidR="005F73BB">
        <w:rPr>
          <w:color w:val="FF0000"/>
        </w:rPr>
        <w:t xml:space="preserve">is </w:t>
      </w:r>
      <w:r w:rsidR="0021213A">
        <w:rPr>
          <w:color w:val="FF0000"/>
        </w:rPr>
        <w:t xml:space="preserve">therefore </w:t>
      </w:r>
      <w:r w:rsidR="005F73BB">
        <w:rPr>
          <w:color w:val="FF0000"/>
        </w:rPr>
        <w:t>a measure of</w:t>
      </w:r>
      <w:r w:rsidR="0021213A">
        <w:rPr>
          <w:color w:val="FF0000"/>
        </w:rPr>
        <w:t xml:space="preserve"> cell viability and proliferation</w:t>
      </w:r>
      <w:r w:rsidR="00EE7312">
        <w:rPr>
          <w:color w:val="FF0000"/>
        </w:rPr>
        <w:t xml:space="preserve">. It was </w:t>
      </w:r>
      <w:r>
        <w:t>demonstrated that the metabolic activity of human osteoblast</w:t>
      </w:r>
      <w:r w:rsidR="00D666F1">
        <w:t>s</w:t>
      </w:r>
      <w:r>
        <w:t xml:space="preserve"> cultured on both tested biomaterials (40/0 and 40/5) increased over time (Fig. </w:t>
      </w:r>
      <w:r w:rsidR="000B01B8">
        <w:t>5</w:t>
      </w:r>
      <w:r>
        <w:t xml:space="preserve"> A). Importantly, it was noted that cells </w:t>
      </w:r>
      <w:r w:rsidR="00D666F1">
        <w:t xml:space="preserve">which </w:t>
      </w:r>
      <w:r>
        <w:t>grew on the 40/5 biomaterials had higher metabolic activity compared to cells maintained on the 40/0 hydrogels both after 3 and 6 days of incubation, but the differences were not statistically significant (</w:t>
      </w:r>
      <w:r w:rsidRPr="00712F6C">
        <w:rPr>
          <w:i/>
        </w:rPr>
        <w:t>p</w:t>
      </w:r>
      <w:r>
        <w:t xml:space="preserve"> &gt; 0.05). Observations using a confocal microscope (Fig. </w:t>
      </w:r>
      <w:r w:rsidR="000B01B8">
        <w:t>5</w:t>
      </w:r>
      <w:r>
        <w:t xml:space="preserve"> B) confirmed the results obtained in the WST-8 assay. Osteoblast</w:t>
      </w:r>
      <w:r w:rsidR="00D666F1">
        <w:t>s</w:t>
      </w:r>
      <w:r>
        <w:t xml:space="preserve"> </w:t>
      </w:r>
      <w:r w:rsidR="00D666F1">
        <w:t xml:space="preserve">which </w:t>
      </w:r>
      <w:r>
        <w:t xml:space="preserve">grew on both biomaterials showed normal morphology and their number increased with the lengthening of the experiment time. </w:t>
      </w:r>
      <w:r w:rsidRPr="0016525F">
        <w:rPr>
          <w:color w:val="FF0000"/>
        </w:rPr>
        <w:t xml:space="preserve">The </w:t>
      </w:r>
      <w:r w:rsidR="0016525F" w:rsidRPr="0016525F">
        <w:rPr>
          <w:color w:val="FF0000"/>
        </w:rPr>
        <w:t>number of cells growing on the 40/5 biomaterial was higher compared to the num</w:t>
      </w:r>
      <w:r w:rsidR="00EF712F">
        <w:rPr>
          <w:color w:val="FF0000"/>
        </w:rPr>
        <w:t>b</w:t>
      </w:r>
      <w:r w:rsidR="0016525F" w:rsidRPr="0016525F">
        <w:rPr>
          <w:color w:val="FF0000"/>
        </w:rPr>
        <w:t>er of cells growing on the 40/0 biomaterial</w:t>
      </w:r>
      <w:r>
        <w:t>.</w:t>
      </w:r>
      <w:r w:rsidR="007A7FD2">
        <w:t xml:space="preserve"> </w:t>
      </w:r>
      <w:r w:rsidR="007A7FD2" w:rsidRPr="007A7FD2">
        <w:rPr>
          <w:color w:val="FF0000"/>
        </w:rPr>
        <w:t xml:space="preserve">Thus, these results indicated that both biomaterials </w:t>
      </w:r>
      <w:r w:rsidR="005F73BB">
        <w:rPr>
          <w:color w:val="FF0000"/>
        </w:rPr>
        <w:t>supported the</w:t>
      </w:r>
      <w:r w:rsidR="007A7FD2" w:rsidRPr="007A7FD2">
        <w:rPr>
          <w:color w:val="FF0000"/>
        </w:rPr>
        <w:t xml:space="preserve"> growth of viable, metabolically active osteoblasts, but </w:t>
      </w:r>
      <w:r w:rsidR="005F73BB">
        <w:rPr>
          <w:color w:val="FF0000"/>
        </w:rPr>
        <w:t xml:space="preserve">the 40/5 biomaterial, which was enriched with </w:t>
      </w:r>
      <w:r w:rsidR="005F73BB" w:rsidRPr="007A7FD2">
        <w:rPr>
          <w:color w:val="FF0000"/>
        </w:rPr>
        <w:t>CasiO</w:t>
      </w:r>
      <w:r w:rsidR="005F73BB" w:rsidRPr="007A7FD2">
        <w:rPr>
          <w:color w:val="FF0000"/>
          <w:vertAlign w:val="subscript"/>
        </w:rPr>
        <w:t>3</w:t>
      </w:r>
      <w:r w:rsidR="005F73BB">
        <w:rPr>
          <w:color w:val="FF0000"/>
        </w:rPr>
        <w:t xml:space="preserve">, </w:t>
      </w:r>
      <w:r w:rsidR="007A7FD2" w:rsidRPr="007A7FD2">
        <w:rPr>
          <w:color w:val="FF0000"/>
        </w:rPr>
        <w:t xml:space="preserve">enhanced cell proliferation more potently than </w:t>
      </w:r>
      <w:r w:rsidR="00B5468B" w:rsidRPr="0016525F">
        <w:rPr>
          <w:color w:val="FF0000"/>
        </w:rPr>
        <w:t>the 40/0 biomaterial</w:t>
      </w:r>
      <w:r w:rsidR="00B5468B">
        <w:t>.</w:t>
      </w:r>
      <w:bookmarkEnd w:id="4"/>
    </w:p>
    <w:p w14:paraId="1A5205CA" w14:textId="3E91DD0D" w:rsidR="00CD0B8C" w:rsidRDefault="00CD0B8C" w:rsidP="00CD0B8C">
      <w:pPr>
        <w:pStyle w:val="MDPI31text"/>
      </w:pPr>
      <w:r>
        <w:t>The second stage of cell research was the assessment of the differentiation of human osteoblasts in direct contact with biomaterials. After 7 days of incubation, RT-qPCR analysis (Fig</w:t>
      </w:r>
      <w:r w:rsidRPr="00A0721D">
        <w:rPr>
          <w:color w:val="FF0000"/>
        </w:rPr>
        <w:t>. 6</w:t>
      </w:r>
      <w:r>
        <w:t xml:space="preserve">) demonstrated that osteoblasts </w:t>
      </w:r>
      <w:r w:rsidR="0032540C" w:rsidRPr="0032540C">
        <w:rPr>
          <w:color w:val="FF0000"/>
        </w:rPr>
        <w:t xml:space="preserve">which </w:t>
      </w:r>
      <w:r>
        <w:t xml:space="preserve">grew on the 40/0 biomaterials expressed a significantly higher amount of </w:t>
      </w:r>
      <w:proofErr w:type="spellStart"/>
      <w:r>
        <w:t>bALP</w:t>
      </w:r>
      <w:proofErr w:type="spellEnd"/>
      <w:r>
        <w:t xml:space="preserve"> compared to cells cultured on polystyrene (PS). In turn, the expression of collagen I and osteocalcin in these cells was at a similar level as in cells which grew on PS. In the case of cells which grew on the 40/5 biomaterials</w:t>
      </w:r>
      <w:r w:rsidRPr="00905C63">
        <w:t>,</w:t>
      </w:r>
      <w:r>
        <w:rPr>
          <w:vertAlign w:val="subscript"/>
        </w:rPr>
        <w:t xml:space="preserve"> </w:t>
      </w:r>
      <w:r>
        <w:t xml:space="preserve">an increased expression of collagen I and </w:t>
      </w:r>
      <w:proofErr w:type="spellStart"/>
      <w:r>
        <w:t>bALP</w:t>
      </w:r>
      <w:proofErr w:type="spellEnd"/>
      <w:r>
        <w:t xml:space="preserve"> was observed both in comparison with the cells which grew on PS and with cells cultured on the 40/0 biomaterials. After 21 days of incubation, osteoblasts </w:t>
      </w:r>
      <w:r w:rsidR="0032540C" w:rsidRPr="0032540C">
        <w:rPr>
          <w:color w:val="FF0000"/>
        </w:rPr>
        <w:t>which</w:t>
      </w:r>
      <w:r w:rsidR="0032540C">
        <w:t xml:space="preserve"> </w:t>
      </w:r>
      <w:r>
        <w:t xml:space="preserve">grew on the 40/0 biomaterials showed increased expression of </w:t>
      </w:r>
      <w:proofErr w:type="spellStart"/>
      <w:r>
        <w:t>bALP</w:t>
      </w:r>
      <w:proofErr w:type="spellEnd"/>
      <w:r>
        <w:t xml:space="preserve"> and osteocalcin compared to cells cultured on PS. Similarly, cells cultured on the 40/5 biomaterials exhibited significantly higher expression of </w:t>
      </w:r>
      <w:proofErr w:type="spellStart"/>
      <w:r>
        <w:t>bALP</w:t>
      </w:r>
      <w:proofErr w:type="spellEnd"/>
      <w:r>
        <w:t xml:space="preserve"> and osteocalcin compared to cells which grew on polystyrene. Importantly, the expression of osteocalcin in cells cultured on the 40/5 biomaterials was almost </w:t>
      </w:r>
      <w:r w:rsidR="000C50E3">
        <w:t>three</w:t>
      </w:r>
      <w:r>
        <w:t xml:space="preserve"> times higher compared to the expression in cells cultured on the 40/0 biomaterials. It is known that during osteoblast differentiation, the amount of produced osteogenic markers (such as collagen I, </w:t>
      </w:r>
      <w:proofErr w:type="spellStart"/>
      <w:r>
        <w:t>bALP</w:t>
      </w:r>
      <w:proofErr w:type="spellEnd"/>
      <w:r>
        <w:t>, osteocalcin) changes over time. In the first phase of differentiation, os</w:t>
      </w:r>
      <w:r>
        <w:lastRenderedPageBreak/>
        <w:t xml:space="preserve">teoblasts produce a high amount of collagen I, then in the second phase the cells secrete large amounts of </w:t>
      </w:r>
      <w:proofErr w:type="spellStart"/>
      <w:r>
        <w:t>bALP</w:t>
      </w:r>
      <w:proofErr w:type="spellEnd"/>
      <w:r>
        <w:t xml:space="preserve">, and finally in the third phase they mainly produce osteocalcin </w:t>
      </w:r>
      <w:r w:rsidR="00590160">
        <w:fldChar w:fldCharType="begin" w:fldLock="1"/>
      </w:r>
      <w:r w:rsidR="00BF2AF7">
        <w:instrText>ADDIN CSL_CITATION {"citationItems":[{"id":"ITEM-1","itemData":{"DOI":"10.3390/cells11203251","ISSN":"20734409","PMID":"36291119","abstract":"The number of bone fractures and cracks requiring surgical interventions increases every year; hence, there is a huge need to develop new potential bone scaffolds for bone regeneration. The goal of this study was to gain knowledge about the basic properties of novel curdlan/whey protein isolate/hydroxyapatite biomaterials in the context of their use in bone tissue engineering. The purpose of this research was also to determine whether the concentration of whey protein isolate in scaffolds has an influence on their properties. Thus, two biomaterials differing in the concentration of whey protein isolate (i.e., 25 wt.% and 35 wt.%; hereafter called Cur_WPI25_HAp and Cur_WPI35_HAp, respectively) were fabricated and subjected to evaluation of porosity, mechanical properties, swelling ability, protein release capacity, enzymatic biodegradability, bioactivity, and cytocompatibility towards osteoblasts in vitro. It was found that both biomaterials fulfilled a number of requirements for bone scaffolds, as they demonstrated limited swelling and the ability to undergo controllable enzymatic biodegradation, to form apatite layers on their surfaces and to support the viability, growth, proliferation, and differentiation of osteoblasts. On the other hand, the biomaterials were characterized by low open porosity, which may hinder the penetration of cells though their structure. Moreover, they had low mechanical properties compared to natural bone, which limits their use to filling of bone defects in non-load bearing implantation areas, e.g., in the craniofacial area, but then they will be additionally supported by application of mechanically strong materials such as titanium plates. Thus, this preliminary in vitro research indicates that biomaterials composed of curdlan, whey protein isolate, and hydroxyapatite seem promising for bone tissue engineering applications, but their porosity and mechanical properties should be improved. This will be the subject of our further work.","author":[{"dropping-particle":"","family":"Klimek","given":"Katarzyna","non-dropping-particle":"","parse-names":false,"suffix":""},{"dropping-particle":"","family":"Palka","given":"Krzysztof","non-dropping-particle":"","parse-names":false,"suffix":""},{"dropping-particle":"","family":"Truszkiewicz","given":"Wieslaw","non-dropping-particle":"","parse-names":false,"suffix":""},{"dropping-particle":"","family":"Douglas","given":"Timothy E.L.","non-dropping-particle":"","parse-names":false,"suffix":""},{"dropping-particle":"","family":"Nurzynska","given":"Aleksandra","non-dropping-particle":"","parse-names":false,"suffix":""},{"dropping-particle":"","family":"Ginalska","given":"Grazyna","non-dropping-particle":"","parse-names":false,"suffix":""}],"container-title":"Cells","id":"ITEM-1","issue":"20","issued":{"date-parts":[["2022"]]},"title":"Could Curdlan/Whey Protein Isolate/Hydroxyapatite Biomaterials Be Considered as Promising Bone Scaffolds?—Fabrication, Characterization, and Evaluation of Cytocompatibility towards Osteoblast Cells In Vitro","type":"article-journal","volume":"11"},"uris":["http://www.mendeley.com/documents/?uuid=40f0d3a3-596d-4fb6-91f0-7c968a186324"]}],"mendeley":{"formattedCitation":"[21]","plainTextFormattedCitation":"[21]","previouslyFormattedCitation":"[21]"},"properties":{"noteIndex":0},"schema":"https://github.com/citation-style-language/schema/raw/master/csl-citation.json"}</w:instrText>
      </w:r>
      <w:r w:rsidR="00590160">
        <w:fldChar w:fldCharType="separate"/>
      </w:r>
      <w:r w:rsidR="00BF2AF7" w:rsidRPr="00BF2AF7">
        <w:rPr>
          <w:noProof/>
        </w:rPr>
        <w:t>[21]</w:t>
      </w:r>
      <w:r w:rsidR="00590160">
        <w:fldChar w:fldCharType="end"/>
      </w:r>
      <w:r>
        <w:t xml:space="preserve">. Therefore, </w:t>
      </w:r>
      <w:proofErr w:type="gramStart"/>
      <w:r>
        <w:t>it is clear that both</w:t>
      </w:r>
      <w:proofErr w:type="gramEnd"/>
      <w:r>
        <w:t xml:space="preserve"> biomaterials supported osteogenic differentiation. Nevertheless, taking into account the almost </w:t>
      </w:r>
      <w:r w:rsidR="000C50E3" w:rsidRPr="000C50E3">
        <w:rPr>
          <w:color w:val="FF0000"/>
        </w:rPr>
        <w:t>three</w:t>
      </w:r>
      <w:r w:rsidRPr="000C50E3">
        <w:rPr>
          <w:color w:val="FF0000"/>
        </w:rPr>
        <w:t>fold</w:t>
      </w:r>
      <w:r>
        <w:t xml:space="preserve"> higher expression of </w:t>
      </w:r>
      <w:proofErr w:type="spellStart"/>
      <w:r>
        <w:t>bALP</w:t>
      </w:r>
      <w:proofErr w:type="spellEnd"/>
      <w:r>
        <w:t xml:space="preserve"> after 7 days of incubation (II phase of differentiation) and the almost </w:t>
      </w:r>
      <w:r w:rsidR="000C50E3" w:rsidRPr="000C50E3">
        <w:rPr>
          <w:color w:val="FF0000"/>
        </w:rPr>
        <w:t>three</w:t>
      </w:r>
      <w:r w:rsidRPr="000C50E3">
        <w:rPr>
          <w:color w:val="FF0000"/>
        </w:rPr>
        <w:t>fold</w:t>
      </w:r>
      <w:r>
        <w:t xml:space="preserve"> higher expression of osteocalcin after 21 days of incubation (III phase of differentiation) in cells cultured on the 40/5 biomaterials compared to cells cultured on 40/0 biomaterials, it should be emphasized that the addition of CaSiO</w:t>
      </w:r>
      <w:r w:rsidRPr="002E41EC">
        <w:rPr>
          <w:vertAlign w:val="subscript"/>
        </w:rPr>
        <w:t>3</w:t>
      </w:r>
      <w:r>
        <w:t xml:space="preserve"> to the WPI-based biomaterial significantly supported the process of osteoblast differentiation.</w:t>
      </w:r>
    </w:p>
    <w:p w14:paraId="57B4C763" w14:textId="77777777" w:rsidR="00CD0B8C" w:rsidRDefault="00CD0B8C" w:rsidP="00712F6C">
      <w:pPr>
        <w:pStyle w:val="MDPI32textnoindent"/>
      </w:pPr>
    </w:p>
    <w:p w14:paraId="4D51F2DC" w14:textId="77777777" w:rsidR="00BB7537" w:rsidRDefault="00CD0B8C" w:rsidP="00BB7537">
      <w:pPr>
        <w:pStyle w:val="MDPI32textnoindent"/>
        <w:jc w:val="center"/>
      </w:pPr>
      <w:r>
        <w:rPr>
          <w:noProof/>
          <w:snapToGrid/>
          <w:lang w:val="pl-PL" w:eastAsia="pl-PL" w:bidi="ar-SA"/>
        </w:rPr>
        <w:drawing>
          <wp:inline distT="0" distB="0" distL="0" distR="0" wp14:anchorId="4E9D478E" wp14:editId="02CEF45F">
            <wp:extent cx="4248455" cy="5124450"/>
            <wp:effectExtent l="19050" t="0" r="0" b="0"/>
            <wp:docPr id="8" name="Obraz 7" descr="Proliferation panel new-sk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liferation panel new-skala.jpg"/>
                    <pic:cNvPicPr/>
                  </pic:nvPicPr>
                  <pic:blipFill>
                    <a:blip r:embed="rId20"/>
                    <a:stretch>
                      <a:fillRect/>
                    </a:stretch>
                  </pic:blipFill>
                  <pic:spPr>
                    <a:xfrm>
                      <a:off x="0" y="0"/>
                      <a:ext cx="4247018" cy="5122717"/>
                    </a:xfrm>
                    <a:prstGeom prst="rect">
                      <a:avLst/>
                    </a:prstGeom>
                  </pic:spPr>
                </pic:pic>
              </a:graphicData>
            </a:graphic>
          </wp:inline>
        </w:drawing>
      </w:r>
    </w:p>
    <w:p w14:paraId="5BDED037" w14:textId="39158AD4" w:rsidR="00BB7537" w:rsidRDefault="00A0721D" w:rsidP="00BB7537">
      <w:pPr>
        <w:pStyle w:val="MDPI51figurecaption"/>
      </w:pPr>
      <w:r>
        <w:rPr>
          <w:b/>
        </w:rPr>
        <w:t xml:space="preserve">Figure </w:t>
      </w:r>
      <w:r w:rsidRPr="00A0721D">
        <w:rPr>
          <w:b/>
          <w:color w:val="FF0000"/>
        </w:rPr>
        <w:t>5</w:t>
      </w:r>
      <w:r w:rsidR="00BB7537" w:rsidRPr="00FA04F1">
        <w:rPr>
          <w:b/>
        </w:rPr>
        <w:t xml:space="preserve">. </w:t>
      </w:r>
      <w:bookmarkStart w:id="5" w:name="_Hlk145972394"/>
      <w:r w:rsidR="002472A4">
        <w:t>Proliferation of human osteoblasts cultured on the 40/0 and 40/5 biomaterials</w:t>
      </w:r>
      <w:r w:rsidR="002472A4" w:rsidRPr="002E52DB">
        <w:t xml:space="preserve"> </w:t>
      </w:r>
      <w:r w:rsidR="002472A4">
        <w:t>after 3 and 6 days of incubation. Metabolic activity was assessed by the WST-8 assay</w:t>
      </w:r>
      <w:r w:rsidR="0032540C">
        <w:t xml:space="preserve"> </w:t>
      </w:r>
      <w:r w:rsidR="0032540C" w:rsidRPr="0032540C">
        <w:rPr>
          <w:color w:val="FF0000"/>
        </w:rPr>
        <w:t>(A)</w:t>
      </w:r>
      <w:r w:rsidR="002472A4">
        <w:t xml:space="preserve">. *Significantly different results compared to control (cells cultured on polystyrene, PS), Two-Way ANOVA test, followed by Bonferroni comparison test, </w:t>
      </w:r>
      <w:r w:rsidR="002472A4" w:rsidRPr="002340E7">
        <w:rPr>
          <w:i/>
        </w:rPr>
        <w:t>p</w:t>
      </w:r>
      <w:r w:rsidR="002472A4">
        <w:t xml:space="preserve"> &lt; 0.05. No statistical differences were observed between the biomaterials. Cell morphology</w:t>
      </w:r>
      <w:r w:rsidR="0032540C">
        <w:t xml:space="preserve"> </w:t>
      </w:r>
      <w:r w:rsidR="0032540C" w:rsidRPr="0032540C">
        <w:rPr>
          <w:color w:val="FF0000"/>
        </w:rPr>
        <w:t>(B)</w:t>
      </w:r>
      <w:r w:rsidR="002472A4">
        <w:t xml:space="preserve"> was visualized by staining cell nuclei (Hoechst 33342 dye) and actin filaments of the cytoskeleton (</w:t>
      </w:r>
      <w:proofErr w:type="spellStart"/>
      <w:r w:rsidR="002472A4">
        <w:t>AlexaFluor</w:t>
      </w:r>
      <w:proofErr w:type="spellEnd"/>
      <w:r w:rsidR="002472A4">
        <w:t xml:space="preserve"> 635 dye). Cells were observed under a confocal microscope, magnification 100x</w:t>
      </w:r>
      <w:r w:rsidR="00C27F2C">
        <w:t xml:space="preserve">, </w:t>
      </w:r>
      <w:r w:rsidR="00C27F2C" w:rsidRPr="00C27F2C">
        <w:rPr>
          <w:color w:val="FF0000"/>
        </w:rPr>
        <w:t>scale bar =</w:t>
      </w:r>
      <w:r w:rsidR="00C27F2C">
        <w:rPr>
          <w:color w:val="FF0000"/>
        </w:rPr>
        <w:t xml:space="preserve"> 150 </w:t>
      </w:r>
      <w:proofErr w:type="spellStart"/>
      <w:r w:rsidR="00C27F2C">
        <w:rPr>
          <w:rFonts w:ascii="Times New Roman" w:hAnsi="Times New Roman"/>
          <w:color w:val="FF0000"/>
        </w:rPr>
        <w:t>μ</w:t>
      </w:r>
      <w:r w:rsidR="00C27F2C">
        <w:rPr>
          <w:color w:val="FF0000"/>
        </w:rPr>
        <w:t>m</w:t>
      </w:r>
      <w:proofErr w:type="spellEnd"/>
      <w:r w:rsidR="002472A4">
        <w:t>.</w:t>
      </w:r>
      <w:bookmarkEnd w:id="5"/>
    </w:p>
    <w:p w14:paraId="0DE6B636" w14:textId="77777777" w:rsidR="002472A4" w:rsidRDefault="00CD0B8C" w:rsidP="00CD0B8C">
      <w:pPr>
        <w:pStyle w:val="MDPI31text"/>
        <w:tabs>
          <w:tab w:val="left" w:pos="6090"/>
        </w:tabs>
      </w:pPr>
      <w:r>
        <w:tab/>
      </w:r>
    </w:p>
    <w:p w14:paraId="66E8DC21" w14:textId="77777777" w:rsidR="002472A4" w:rsidRPr="002E41EC" w:rsidRDefault="00C86B75" w:rsidP="002472A4">
      <w:pPr>
        <w:pStyle w:val="MDPI31text"/>
      </w:pPr>
      <w:r>
        <w:rPr>
          <w:noProof/>
          <w:snapToGrid/>
          <w:lang w:val="pl-PL" w:eastAsia="pl-PL" w:bidi="ar-SA"/>
        </w:rPr>
        <w:lastRenderedPageBreak/>
        <w:drawing>
          <wp:inline distT="0" distB="0" distL="0" distR="0" wp14:anchorId="5881958F" wp14:editId="7E537FDD">
            <wp:extent cx="4529824" cy="1852873"/>
            <wp:effectExtent l="19050" t="0" r="4076" b="0"/>
            <wp:docPr id="13" name="Obraz 12" descr="differentiation pa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erentiation panel.jpg"/>
                    <pic:cNvPicPr/>
                  </pic:nvPicPr>
                  <pic:blipFill>
                    <a:blip r:embed="rId21"/>
                    <a:stretch>
                      <a:fillRect/>
                    </a:stretch>
                  </pic:blipFill>
                  <pic:spPr>
                    <a:xfrm>
                      <a:off x="0" y="0"/>
                      <a:ext cx="4535411" cy="1855158"/>
                    </a:xfrm>
                    <a:prstGeom prst="rect">
                      <a:avLst/>
                    </a:prstGeom>
                  </pic:spPr>
                </pic:pic>
              </a:graphicData>
            </a:graphic>
          </wp:inline>
        </w:drawing>
      </w:r>
    </w:p>
    <w:p w14:paraId="0E51C5C4" w14:textId="05A0D8CB" w:rsidR="002D6CDA" w:rsidRPr="00C93746" w:rsidRDefault="00C93746" w:rsidP="008936FF">
      <w:pPr>
        <w:pStyle w:val="MDPI51figurecaption"/>
        <w:rPr>
          <w:color w:val="auto"/>
        </w:rPr>
      </w:pPr>
      <w:r w:rsidRPr="00C93746">
        <w:rPr>
          <w:b/>
          <w:color w:val="auto"/>
        </w:rPr>
        <w:t xml:space="preserve">Figure </w:t>
      </w:r>
      <w:r w:rsidRPr="00C93746">
        <w:rPr>
          <w:b/>
          <w:color w:val="FF0000"/>
        </w:rPr>
        <w:t>6</w:t>
      </w:r>
      <w:r w:rsidR="00C86B75" w:rsidRPr="00C93746">
        <w:rPr>
          <w:b/>
          <w:color w:val="auto"/>
        </w:rPr>
        <w:t xml:space="preserve">. </w:t>
      </w:r>
      <w:r w:rsidR="00C86B75" w:rsidRPr="00C93746">
        <w:rPr>
          <w:color w:val="auto"/>
        </w:rPr>
        <w:t>Relative expression level of genes: collagen I (Col I), bone alkaline phosphatase (</w:t>
      </w:r>
      <w:proofErr w:type="spellStart"/>
      <w:r w:rsidR="00C86B75" w:rsidRPr="00C93746">
        <w:rPr>
          <w:color w:val="auto"/>
        </w:rPr>
        <w:t>bALP</w:t>
      </w:r>
      <w:proofErr w:type="spellEnd"/>
      <w:r w:rsidR="00C86B75" w:rsidRPr="00C93746">
        <w:rPr>
          <w:color w:val="auto"/>
        </w:rPr>
        <w:t>), and osteocalcin (OC) in human osteoblasts</w:t>
      </w:r>
      <w:r w:rsidR="00073489">
        <w:rPr>
          <w:color w:val="auto"/>
        </w:rPr>
        <w:t xml:space="preserve"> </w:t>
      </w:r>
      <w:r w:rsidR="00073489" w:rsidRPr="00073489">
        <w:rPr>
          <w:color w:val="FF0000"/>
        </w:rPr>
        <w:t>which</w:t>
      </w:r>
      <w:r w:rsidR="00C86B75" w:rsidRPr="00C93746">
        <w:rPr>
          <w:color w:val="auto"/>
        </w:rPr>
        <w:t xml:space="preserve"> grew</w:t>
      </w:r>
      <w:r w:rsidR="00071BB3" w:rsidRPr="00C93746">
        <w:rPr>
          <w:color w:val="auto"/>
        </w:rPr>
        <w:t xml:space="preserve"> on 40/0 and 40/5 biomaterials</w:t>
      </w:r>
      <w:r w:rsidR="00C86B75" w:rsidRPr="00C93746">
        <w:rPr>
          <w:color w:val="auto"/>
        </w:rPr>
        <w:t>. The data were normalized to the expression level of genes in cells maintained on polystyrene (PS). *Significantly different results compared to expression level in cells</w:t>
      </w:r>
      <w:r w:rsidR="00073489">
        <w:rPr>
          <w:color w:val="auto"/>
        </w:rPr>
        <w:t xml:space="preserve"> </w:t>
      </w:r>
      <w:r w:rsidR="00073489" w:rsidRPr="00073489">
        <w:rPr>
          <w:color w:val="FF0000"/>
        </w:rPr>
        <w:t>which</w:t>
      </w:r>
      <w:r w:rsidR="00C86B75" w:rsidRPr="00C93746">
        <w:rPr>
          <w:color w:val="auto"/>
        </w:rPr>
        <w:t xml:space="preserve"> grew on PS; </w:t>
      </w:r>
      <w:r w:rsidR="00C86B75" w:rsidRPr="00C93746">
        <w:rPr>
          <w:color w:val="auto"/>
          <w:vertAlign w:val="superscript"/>
        </w:rPr>
        <w:t>#</w:t>
      </w:r>
      <w:r w:rsidR="00C86B75" w:rsidRPr="00C93746">
        <w:rPr>
          <w:color w:val="auto"/>
        </w:rPr>
        <w:t xml:space="preserve">Significantly different results compared to expression level in cells </w:t>
      </w:r>
      <w:r w:rsidR="00073489" w:rsidRPr="00073489">
        <w:rPr>
          <w:color w:val="FF0000"/>
        </w:rPr>
        <w:t xml:space="preserve">which </w:t>
      </w:r>
      <w:r w:rsidR="00C86B75" w:rsidRPr="00C93746">
        <w:rPr>
          <w:color w:val="auto"/>
        </w:rPr>
        <w:t xml:space="preserve">grew on WPI hydrogel; One-Way ANOVA test followed by Tukey’s multiple comparison, </w:t>
      </w:r>
      <w:r w:rsidR="00C86B75" w:rsidRPr="00C93746">
        <w:rPr>
          <w:i/>
          <w:color w:val="auto"/>
        </w:rPr>
        <w:t>p</w:t>
      </w:r>
      <w:r w:rsidR="00C86B75" w:rsidRPr="00C93746">
        <w:rPr>
          <w:color w:val="auto"/>
        </w:rPr>
        <w:t xml:space="preserve"> &lt; 0.05</w:t>
      </w:r>
      <w:r w:rsidR="009B7989" w:rsidRPr="00C93746">
        <w:rPr>
          <w:color w:val="auto"/>
        </w:rPr>
        <w:t>.</w:t>
      </w:r>
    </w:p>
    <w:p w14:paraId="721CB9A1" w14:textId="77777777" w:rsidR="00A11CF6" w:rsidRDefault="00DC4F32" w:rsidP="00DC4F32">
      <w:pPr>
        <w:pStyle w:val="MDPI21heading1"/>
      </w:pPr>
      <w:r>
        <w:t>4</w:t>
      </w:r>
      <w:r w:rsidR="00A11CF6">
        <w:t>. Conclusions</w:t>
      </w:r>
    </w:p>
    <w:p w14:paraId="530A55FD" w14:textId="17EA7C5B" w:rsidR="000645EE" w:rsidRPr="00804683" w:rsidRDefault="0027573A" w:rsidP="00DC4F32">
      <w:pPr>
        <w:pStyle w:val="MDPI31text"/>
        <w:rPr>
          <w:color w:val="FF0000"/>
        </w:rPr>
      </w:pPr>
      <w:bookmarkStart w:id="6" w:name="_Hlk145953256"/>
      <w:bookmarkStart w:id="7" w:name="_Hlk145953206"/>
      <w:r>
        <w:t xml:space="preserve">This study </w:t>
      </w:r>
      <w:r w:rsidR="00DC4F32">
        <w:t xml:space="preserve">demonstrated the </w:t>
      </w:r>
      <w:r w:rsidR="000645EE">
        <w:rPr>
          <w:color w:val="FF0000"/>
        </w:rPr>
        <w:t>effect of the addition of CaSiO</w:t>
      </w:r>
      <w:r w:rsidR="000645EE">
        <w:rPr>
          <w:color w:val="FF0000"/>
          <w:vertAlign w:val="subscript"/>
        </w:rPr>
        <w:t>3</w:t>
      </w:r>
      <w:r w:rsidR="000645EE">
        <w:rPr>
          <w:color w:val="FF0000"/>
        </w:rPr>
        <w:t xml:space="preserve"> to a WPI-based hydrogel on its structural, physicochemical, mechanical, and biological properties </w:t>
      </w:r>
      <w:r w:rsidR="000645EE" w:rsidRPr="000645EE">
        <w:rPr>
          <w:i/>
          <w:color w:val="FF0000"/>
        </w:rPr>
        <w:t xml:space="preserve">in </w:t>
      </w:r>
      <w:r w:rsidR="000645EE" w:rsidRPr="00804683">
        <w:rPr>
          <w:i/>
          <w:color w:val="FF0000"/>
        </w:rPr>
        <w:t>vitro</w:t>
      </w:r>
      <w:r w:rsidR="000645EE" w:rsidRPr="00804683">
        <w:rPr>
          <w:color w:val="FF0000"/>
        </w:rPr>
        <w:t>.</w:t>
      </w:r>
      <w:r w:rsidR="000645EE">
        <w:t xml:space="preserve"> </w:t>
      </w:r>
      <w:r w:rsidR="00804683">
        <w:rPr>
          <w:color w:val="FF0000"/>
        </w:rPr>
        <w:t xml:space="preserve">The </w:t>
      </w:r>
      <w:r w:rsidR="00523DD1">
        <w:rPr>
          <w:color w:val="FF0000"/>
        </w:rPr>
        <w:t xml:space="preserve">results obtained permitted </w:t>
      </w:r>
      <w:r w:rsidR="00804683">
        <w:rPr>
          <w:color w:val="FF0000"/>
        </w:rPr>
        <w:t xml:space="preserve">the initial estimation of the biomedical potential of </w:t>
      </w:r>
      <w:r w:rsidR="00523DD1">
        <w:rPr>
          <w:color w:val="FF0000"/>
        </w:rPr>
        <w:t xml:space="preserve">the </w:t>
      </w:r>
      <w:r w:rsidR="00804683">
        <w:rPr>
          <w:color w:val="FF0000"/>
        </w:rPr>
        <w:t>fabricated biomaterials as future bone scaffolds. It was demonstrated that addition of CaSiO</w:t>
      </w:r>
      <w:r w:rsidR="00804683">
        <w:rPr>
          <w:color w:val="FF0000"/>
          <w:vertAlign w:val="subscript"/>
        </w:rPr>
        <w:t>3</w:t>
      </w:r>
      <w:r w:rsidR="00804683">
        <w:rPr>
          <w:color w:val="FF0000"/>
        </w:rPr>
        <w:t xml:space="preserve"> to WPI-based hydrogel</w:t>
      </w:r>
      <w:r w:rsidR="00523DD1">
        <w:rPr>
          <w:color w:val="FF0000"/>
        </w:rPr>
        <w:t>s</w:t>
      </w:r>
      <w:r w:rsidR="00804683">
        <w:rPr>
          <w:color w:val="FF0000"/>
        </w:rPr>
        <w:t xml:space="preserve"> resulted in an increase in the compressive strength of</w:t>
      </w:r>
      <w:r w:rsidR="00211DE3">
        <w:rPr>
          <w:color w:val="FF0000"/>
        </w:rPr>
        <w:t xml:space="preserve"> the</w:t>
      </w:r>
      <w:r w:rsidR="00804683">
        <w:rPr>
          <w:color w:val="FF0000"/>
        </w:rPr>
        <w:t xml:space="preserve"> biomaterials. Indeed, among </w:t>
      </w:r>
      <w:r w:rsidR="00211DE3">
        <w:rPr>
          <w:color w:val="FF0000"/>
        </w:rPr>
        <w:t xml:space="preserve">the </w:t>
      </w:r>
      <w:r w:rsidR="00804683">
        <w:rPr>
          <w:color w:val="FF0000"/>
        </w:rPr>
        <w:t>tested biomaterials, the best results were obtained for</w:t>
      </w:r>
      <w:r w:rsidR="00211DE3">
        <w:rPr>
          <w:color w:val="FF0000"/>
        </w:rPr>
        <w:t xml:space="preserve"> the</w:t>
      </w:r>
      <w:r w:rsidR="00804683">
        <w:rPr>
          <w:color w:val="FF0000"/>
        </w:rPr>
        <w:t xml:space="preserve"> biomaterial with the highest concentration of CaSiO</w:t>
      </w:r>
      <w:r w:rsidR="00804683" w:rsidRPr="00804683">
        <w:rPr>
          <w:color w:val="FF0000"/>
          <w:vertAlign w:val="subscript"/>
        </w:rPr>
        <w:t>3</w:t>
      </w:r>
      <w:r w:rsidR="00804683">
        <w:rPr>
          <w:color w:val="FF0000"/>
          <w:vertAlign w:val="subscript"/>
        </w:rPr>
        <w:t xml:space="preserve"> </w:t>
      </w:r>
      <w:r w:rsidR="00804683">
        <w:rPr>
          <w:color w:val="FF0000"/>
        </w:rPr>
        <w:t xml:space="preserve">(40/5). </w:t>
      </w:r>
      <w:r w:rsidR="00CA0573">
        <w:rPr>
          <w:color w:val="FF0000"/>
        </w:rPr>
        <w:t>Cell culture experiment</w:t>
      </w:r>
      <w:r w:rsidR="00211DE3">
        <w:rPr>
          <w:color w:val="FF0000"/>
        </w:rPr>
        <w:t>s</w:t>
      </w:r>
      <w:r w:rsidR="00CA0573">
        <w:rPr>
          <w:color w:val="FF0000"/>
        </w:rPr>
        <w:t xml:space="preserve"> showed that t</w:t>
      </w:r>
      <w:r w:rsidR="00804683">
        <w:rPr>
          <w:color w:val="FF0000"/>
        </w:rPr>
        <w:t xml:space="preserve">his biomaterial (40/5) exhibited very high cytocompatibility, as it promoted osteoblast proliferation and osteogenic differentiation </w:t>
      </w:r>
      <w:r w:rsidR="00804683" w:rsidRPr="00804683">
        <w:rPr>
          <w:i/>
          <w:color w:val="FF0000"/>
        </w:rPr>
        <w:t>in vitro</w:t>
      </w:r>
      <w:r w:rsidR="00804683">
        <w:rPr>
          <w:color w:val="FF0000"/>
        </w:rPr>
        <w:t>.</w:t>
      </w:r>
    </w:p>
    <w:p w14:paraId="4E91B888" w14:textId="47A26A12" w:rsidR="000645EE" w:rsidRPr="000645EE" w:rsidRDefault="00211DE3" w:rsidP="000645EE">
      <w:pPr>
        <w:pStyle w:val="MDPI31text"/>
        <w:rPr>
          <w:color w:val="FF0000"/>
        </w:rPr>
      </w:pPr>
      <w:bookmarkStart w:id="8" w:name="_Hlk145953300"/>
      <w:bookmarkEnd w:id="6"/>
      <w:r>
        <w:rPr>
          <w:color w:val="FF0000"/>
        </w:rPr>
        <w:t>Considering</w:t>
      </w:r>
      <w:r w:rsidR="000645EE">
        <w:rPr>
          <w:color w:val="FF0000"/>
        </w:rPr>
        <w:t xml:space="preserve"> </w:t>
      </w:r>
      <w:r w:rsidR="00523DD1">
        <w:rPr>
          <w:color w:val="FF0000"/>
        </w:rPr>
        <w:t xml:space="preserve">the </w:t>
      </w:r>
      <w:proofErr w:type="gramStart"/>
      <w:r w:rsidR="000645EE">
        <w:rPr>
          <w:color w:val="FF0000"/>
        </w:rPr>
        <w:t>a</w:t>
      </w:r>
      <w:r w:rsidR="00523DD1">
        <w:rPr>
          <w:color w:val="FF0000"/>
        </w:rPr>
        <w:t>fore</w:t>
      </w:r>
      <w:r w:rsidR="000645EE">
        <w:rPr>
          <w:color w:val="FF0000"/>
        </w:rPr>
        <w:t>mentioned results</w:t>
      </w:r>
      <w:proofErr w:type="gramEnd"/>
      <w:r w:rsidR="000645EE">
        <w:rPr>
          <w:color w:val="FF0000"/>
        </w:rPr>
        <w:t xml:space="preserve">, it seems that </w:t>
      </w:r>
      <w:r w:rsidR="00523DD1">
        <w:rPr>
          <w:color w:val="FF0000"/>
        </w:rPr>
        <w:t xml:space="preserve">the </w:t>
      </w:r>
      <w:r w:rsidR="000645EE">
        <w:rPr>
          <w:color w:val="FF0000"/>
        </w:rPr>
        <w:t>WPI (40/5) biomaterial may be considered as</w:t>
      </w:r>
      <w:r w:rsidR="00523DD1">
        <w:rPr>
          <w:color w:val="FF0000"/>
        </w:rPr>
        <w:t xml:space="preserve"> a</w:t>
      </w:r>
      <w:r w:rsidR="000645EE">
        <w:rPr>
          <w:color w:val="FF0000"/>
        </w:rPr>
        <w:t xml:space="preserve"> promising candidate for bone tissue engineering applications. However, </w:t>
      </w:r>
      <w:r>
        <w:rPr>
          <w:color w:val="FF0000"/>
        </w:rPr>
        <w:t>to</w:t>
      </w:r>
      <w:r w:rsidR="000645EE">
        <w:rPr>
          <w:color w:val="FF0000"/>
        </w:rPr>
        <w:t xml:space="preserve"> evaluate its biomedical potential precisely, additional </w:t>
      </w:r>
      <w:r w:rsidR="000645EE" w:rsidRPr="000645EE">
        <w:rPr>
          <w:i/>
          <w:color w:val="FF0000"/>
        </w:rPr>
        <w:t>in vivo</w:t>
      </w:r>
      <w:r w:rsidR="000645EE">
        <w:rPr>
          <w:color w:val="FF0000"/>
        </w:rPr>
        <w:t xml:space="preserve"> studies should be performed. In future, we plan to conduct animal studies </w:t>
      </w:r>
      <w:r>
        <w:rPr>
          <w:color w:val="FF0000"/>
        </w:rPr>
        <w:t>to</w:t>
      </w:r>
      <w:r w:rsidR="000645EE">
        <w:rPr>
          <w:color w:val="FF0000"/>
        </w:rPr>
        <w:t xml:space="preserve"> evaluate </w:t>
      </w:r>
      <w:r w:rsidR="00804683">
        <w:rPr>
          <w:color w:val="FF0000"/>
        </w:rPr>
        <w:t xml:space="preserve">its </w:t>
      </w:r>
      <w:r w:rsidR="000645EE">
        <w:rPr>
          <w:color w:val="FF0000"/>
        </w:rPr>
        <w:t>safety and the ability to promote regeneration of bone</w:t>
      </w:r>
      <w:r w:rsidR="00523DD1">
        <w:rPr>
          <w:color w:val="FF0000"/>
        </w:rPr>
        <w:t xml:space="preserve"> defect</w:t>
      </w:r>
      <w:r w:rsidR="000645EE">
        <w:rPr>
          <w:color w:val="FF0000"/>
        </w:rPr>
        <w:t xml:space="preserve">s. For these reasons, evaluation of </w:t>
      </w:r>
      <w:r w:rsidR="00CA0573" w:rsidRPr="00CA0573">
        <w:rPr>
          <w:i/>
          <w:color w:val="FF0000"/>
        </w:rPr>
        <w:t>inter alia</w:t>
      </w:r>
      <w:r w:rsidR="00CA0573">
        <w:rPr>
          <w:color w:val="FF0000"/>
        </w:rPr>
        <w:t xml:space="preserve"> </w:t>
      </w:r>
      <w:proofErr w:type="spellStart"/>
      <w:r w:rsidR="000645EE">
        <w:rPr>
          <w:color w:val="FF0000"/>
        </w:rPr>
        <w:t>subchronic</w:t>
      </w:r>
      <w:proofErr w:type="spellEnd"/>
      <w:r w:rsidR="000645EE">
        <w:rPr>
          <w:color w:val="FF0000"/>
        </w:rPr>
        <w:t xml:space="preserve"> toxicity and </w:t>
      </w:r>
      <w:r w:rsidR="00804683">
        <w:rPr>
          <w:color w:val="FF0000"/>
        </w:rPr>
        <w:t xml:space="preserve">the ability to undergo </w:t>
      </w:r>
      <w:r w:rsidR="000645EE">
        <w:rPr>
          <w:color w:val="FF0000"/>
        </w:rPr>
        <w:t xml:space="preserve">osseointegration will be </w:t>
      </w:r>
      <w:r w:rsidR="00523DD1">
        <w:rPr>
          <w:color w:val="FF0000"/>
        </w:rPr>
        <w:t>performed</w:t>
      </w:r>
      <w:r w:rsidR="000645EE">
        <w:rPr>
          <w:color w:val="FF0000"/>
        </w:rPr>
        <w:t>.</w:t>
      </w:r>
    </w:p>
    <w:bookmarkEnd w:id="7"/>
    <w:bookmarkEnd w:id="8"/>
    <w:p w14:paraId="47610948" w14:textId="77777777" w:rsidR="00DC4F32" w:rsidRPr="003324C6" w:rsidRDefault="00DC4F32" w:rsidP="00DC4F32">
      <w:pPr>
        <w:pStyle w:val="MDPI31text"/>
      </w:pPr>
    </w:p>
    <w:p w14:paraId="70ADDAC2" w14:textId="77777777" w:rsidR="00A11CF6" w:rsidRDefault="000645EE" w:rsidP="000645EE">
      <w:pPr>
        <w:pStyle w:val="MDPI31text"/>
        <w:tabs>
          <w:tab w:val="left" w:pos="8610"/>
        </w:tabs>
      </w:pPr>
      <w:r>
        <w:tab/>
      </w:r>
    </w:p>
    <w:p w14:paraId="58AE28E1" w14:textId="77777777" w:rsidR="00A11CF6" w:rsidRPr="00613B31" w:rsidRDefault="00A11CF6" w:rsidP="00A11CF6">
      <w:pPr>
        <w:pStyle w:val="MDPI62BackMatter"/>
      </w:pPr>
      <w:r w:rsidRPr="00613B31">
        <w:rPr>
          <w:b/>
        </w:rPr>
        <w:t>Author Contributions:</w:t>
      </w:r>
      <w:r w:rsidRPr="00613B31">
        <w:t xml:space="preserve"> </w:t>
      </w:r>
      <w:r w:rsidR="00D666F1" w:rsidRPr="00D666F1">
        <w:t>Conceptualization, T.I-C. an</w:t>
      </w:r>
      <w:r w:rsidR="00D666F1">
        <w:t xml:space="preserve">d T.D.; methodology, K.K., W.T., D.K.B. </w:t>
      </w:r>
      <w:r w:rsidR="00D666F1" w:rsidRPr="00D666F1">
        <w:t>and T.D.; software, A.N., K.K.</w:t>
      </w:r>
      <w:r w:rsidR="00D666F1">
        <w:t>, D.K.B.</w:t>
      </w:r>
      <w:r w:rsidR="00D666F1" w:rsidRPr="00D666F1">
        <w:t xml:space="preserve"> and T.D; validation, T.I-C., A.N., K.K. and T.D.; formal analysis, K.K. and T.D.; investigation, T.I-C., A.N.,</w:t>
      </w:r>
      <w:r w:rsidR="00D666F1">
        <w:t xml:space="preserve"> D.K.B.,</w:t>
      </w:r>
      <w:r w:rsidR="00D666F1" w:rsidRPr="00D666F1">
        <w:t xml:space="preserve"> W.T.; resources, T.D; data curation, T.I-C., A.N.</w:t>
      </w:r>
      <w:r w:rsidR="00D666F1">
        <w:t>, D.K.B.</w:t>
      </w:r>
      <w:r w:rsidR="00D666F1" w:rsidRPr="00D666F1">
        <w:t>; writing—original draft preparation, T.I-C., K.K., T.D.; writing—review and editing, K.K. and T.D.; visualization, A.N., K.K.; supervision, T.D.; project administration, T.D.; funding acquisition, K.K. and T.D. All authors have read and agreed to the published version of the manuscript.”</w:t>
      </w:r>
    </w:p>
    <w:p w14:paraId="2C6328DD" w14:textId="77777777" w:rsidR="00A11CF6" w:rsidRPr="00613B31" w:rsidRDefault="00A11CF6" w:rsidP="00A11CF6">
      <w:pPr>
        <w:pStyle w:val="MDPI62BackMatter"/>
      </w:pPr>
      <w:r w:rsidRPr="00613B31">
        <w:rPr>
          <w:b/>
        </w:rPr>
        <w:t>Funding:</w:t>
      </w:r>
      <w:r w:rsidRPr="00613B31">
        <w:t xml:space="preserve"> </w:t>
      </w:r>
      <w:r w:rsidR="00D666F1" w:rsidRPr="00D666F1">
        <w:t>This research was partially supported by DS3 of Medical University of Lublin, Poland. This paper was developed using the equipment purchased within agreement No. POPW.01.03.00-06- 010/09-00 Operational Program Development of Eastern Poland 2007-2013, Priority Axis I, Modern Economy, Operations 1.3. Innovations Promotion</w:t>
      </w:r>
      <w:r w:rsidR="004F49AE">
        <w:t>.</w:t>
      </w:r>
      <w:r w:rsidR="00D666F1">
        <w:t xml:space="preserve"> The Faculty of Science and Technology, Lancaster</w:t>
      </w:r>
      <w:r w:rsidR="004F49AE">
        <w:t xml:space="preserve"> University, United Kingdom, is</w:t>
      </w:r>
      <w:r w:rsidR="00D666F1">
        <w:t xml:space="preserve"> thanked for financial support</w:t>
      </w:r>
      <w:r w:rsidR="004F49AE">
        <w:t xml:space="preserve"> to D.K.B</w:t>
      </w:r>
      <w:r w:rsidR="00D666F1">
        <w:t>.</w:t>
      </w:r>
    </w:p>
    <w:p w14:paraId="73237A0D" w14:textId="77777777" w:rsidR="00225BC4" w:rsidRPr="00B27433" w:rsidRDefault="00225BC4" w:rsidP="00225BC4">
      <w:pPr>
        <w:pStyle w:val="MDPI62BackMatter"/>
        <w:rPr>
          <w:b/>
        </w:rPr>
      </w:pPr>
      <w:bookmarkStart w:id="9" w:name="_Hlk89945590"/>
      <w:bookmarkStart w:id="10" w:name="_Hlk60054323"/>
      <w:r w:rsidRPr="00B27433">
        <w:rPr>
          <w:b/>
        </w:rPr>
        <w:t xml:space="preserve">Institutional Review Board Statement: </w:t>
      </w:r>
      <w:r w:rsidRPr="00B27433">
        <w:t>Not applicable.</w:t>
      </w:r>
    </w:p>
    <w:bookmarkEnd w:id="9"/>
    <w:p w14:paraId="330E47C6" w14:textId="77777777" w:rsidR="00D12D75" w:rsidRDefault="005D00AC">
      <w:pPr>
        <w:pStyle w:val="MDPI62BackMatter"/>
        <w:spacing w:after="0"/>
      </w:pPr>
      <w:r w:rsidRPr="007D75A8">
        <w:rPr>
          <w:b/>
        </w:rPr>
        <w:t xml:space="preserve">Informed Consent Statement: </w:t>
      </w:r>
      <w:r w:rsidR="00F746BC">
        <w:t>Not applicable.</w:t>
      </w:r>
    </w:p>
    <w:bookmarkEnd w:id="10"/>
    <w:p w14:paraId="45E444EE" w14:textId="77777777" w:rsidR="00E0508E" w:rsidRPr="00E0508E" w:rsidRDefault="00E0508E" w:rsidP="00E0508E">
      <w:pPr>
        <w:pStyle w:val="MDPI62BackMatter"/>
      </w:pPr>
      <w:r w:rsidRPr="00E0508E">
        <w:rPr>
          <w:b/>
        </w:rPr>
        <w:t>Data Availability Statement:</w:t>
      </w:r>
      <w:r w:rsidRPr="00E0508E">
        <w:t xml:space="preserve"> </w:t>
      </w:r>
      <w:r w:rsidR="000B01B8" w:rsidRPr="000B01B8">
        <w:t>Available</w:t>
      </w:r>
      <w:r w:rsidR="004F49AE">
        <w:t xml:space="preserve"> upon request</w:t>
      </w:r>
    </w:p>
    <w:p w14:paraId="61353BAC" w14:textId="77777777" w:rsidR="00A11CF6" w:rsidRPr="00613B31" w:rsidRDefault="00A11CF6" w:rsidP="00A11CF6">
      <w:pPr>
        <w:pStyle w:val="MDPI62BackMatter"/>
      </w:pPr>
      <w:r w:rsidRPr="00613B31">
        <w:rPr>
          <w:b/>
        </w:rPr>
        <w:t>Acknowledgments:</w:t>
      </w:r>
      <w:r w:rsidR="000B01B8" w:rsidRPr="000B01B8">
        <w:t xml:space="preserve"> </w:t>
      </w:r>
      <w:r w:rsidR="000B01B8">
        <w:t>Not applicable.</w:t>
      </w:r>
    </w:p>
    <w:p w14:paraId="523F0DD3" w14:textId="77777777" w:rsidR="00A11CF6" w:rsidRPr="00613B31" w:rsidRDefault="00A11CF6" w:rsidP="00A11CF6">
      <w:pPr>
        <w:pStyle w:val="MDPI62BackMatter"/>
      </w:pPr>
      <w:r w:rsidRPr="00613B31">
        <w:rPr>
          <w:b/>
        </w:rPr>
        <w:lastRenderedPageBreak/>
        <w:t>Conflicts of Interest:</w:t>
      </w:r>
      <w:r w:rsidR="000B01B8">
        <w:rPr>
          <w:b/>
        </w:rPr>
        <w:t xml:space="preserve"> </w:t>
      </w:r>
      <w:r w:rsidRPr="00613B31">
        <w:t xml:space="preserve">The authors declare no conflict of interest.” </w:t>
      </w:r>
      <w:r w:rsidR="008C731F">
        <w:t>The funders had no role in the design of the study; in the collection, analyses, or interpretation of data; in the writing of the manuscript; or in the decision to publish the results</w:t>
      </w:r>
      <w:r w:rsidRPr="00613B31">
        <w:t>.</w:t>
      </w:r>
    </w:p>
    <w:p w14:paraId="58023769" w14:textId="77777777" w:rsidR="00A11CF6" w:rsidRDefault="00A11CF6" w:rsidP="0099140B">
      <w:pPr>
        <w:pStyle w:val="MDPI21heading1"/>
        <w:ind w:left="0"/>
      </w:pPr>
      <w:r w:rsidRPr="00FA04F1">
        <w:t>References</w:t>
      </w:r>
    </w:p>
    <w:p w14:paraId="6814963A" w14:textId="77777777" w:rsidR="00BF2AF7" w:rsidRPr="00BF2AF7" w:rsidRDefault="00590160" w:rsidP="00BF2AF7">
      <w:pPr>
        <w:widowControl w:val="0"/>
        <w:autoSpaceDE w:val="0"/>
        <w:autoSpaceDN w:val="0"/>
        <w:adjustRightInd w:val="0"/>
        <w:spacing w:before="240" w:after="60" w:line="240" w:lineRule="auto"/>
        <w:ind w:left="640" w:hanging="640"/>
        <w:rPr>
          <w:szCs w:val="24"/>
        </w:rPr>
      </w:pPr>
      <w:r>
        <w:fldChar w:fldCharType="begin" w:fldLock="1"/>
      </w:r>
      <w:r w:rsidR="0085634D">
        <w:instrText xml:space="preserve">ADDIN Mendeley Bibliography CSL_BIBLIOGRAPHY </w:instrText>
      </w:r>
      <w:r>
        <w:fldChar w:fldCharType="separate"/>
      </w:r>
      <w:r w:rsidR="00BF2AF7" w:rsidRPr="00BF2AF7">
        <w:rPr>
          <w:szCs w:val="24"/>
        </w:rPr>
        <w:t xml:space="preserve">1. </w:t>
      </w:r>
      <w:r w:rsidR="00BF2AF7" w:rsidRPr="00BF2AF7">
        <w:rPr>
          <w:szCs w:val="24"/>
        </w:rPr>
        <w:tab/>
        <w:t xml:space="preserve">Bai, X.; Gao, M.; Syed, S.; Zhuang, J.; Xu, X.; Zhang, X.Q. Bioactive hydrogels for bone regeneration. </w:t>
      </w:r>
      <w:r w:rsidR="00BF2AF7" w:rsidRPr="00BF2AF7">
        <w:rPr>
          <w:i/>
          <w:iCs/>
          <w:szCs w:val="24"/>
        </w:rPr>
        <w:t>Bioact. Mater.</w:t>
      </w:r>
      <w:r w:rsidR="00BF2AF7" w:rsidRPr="00BF2AF7">
        <w:rPr>
          <w:szCs w:val="24"/>
        </w:rPr>
        <w:t xml:space="preserve"> </w:t>
      </w:r>
      <w:r w:rsidR="00BF2AF7" w:rsidRPr="00BF2AF7">
        <w:rPr>
          <w:b/>
          <w:bCs/>
          <w:szCs w:val="24"/>
        </w:rPr>
        <w:t>2018</w:t>
      </w:r>
      <w:r w:rsidR="00BF2AF7" w:rsidRPr="00BF2AF7">
        <w:rPr>
          <w:szCs w:val="24"/>
        </w:rPr>
        <w:t xml:space="preserve">, </w:t>
      </w:r>
      <w:r w:rsidR="00BF2AF7" w:rsidRPr="00BF2AF7">
        <w:rPr>
          <w:i/>
          <w:iCs/>
          <w:szCs w:val="24"/>
        </w:rPr>
        <w:t>3</w:t>
      </w:r>
      <w:r w:rsidR="00BF2AF7" w:rsidRPr="00BF2AF7">
        <w:rPr>
          <w:szCs w:val="24"/>
        </w:rPr>
        <w:t>, 401–417.</w:t>
      </w:r>
    </w:p>
    <w:p w14:paraId="78D41C2A"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 </w:t>
      </w:r>
      <w:r w:rsidRPr="00BF2AF7">
        <w:rPr>
          <w:szCs w:val="24"/>
        </w:rPr>
        <w:tab/>
        <w:t xml:space="preserve">Liu, J.; Yang, L.; Liu, K.; Gao, F. Hydrogel scaffolds in bone regeneration: Their promising roles in angiogenesis. </w:t>
      </w:r>
      <w:r w:rsidRPr="00BF2AF7">
        <w:rPr>
          <w:i/>
          <w:iCs/>
          <w:szCs w:val="24"/>
        </w:rPr>
        <w:t>Front. Pharmacol.</w:t>
      </w:r>
      <w:r w:rsidRPr="00BF2AF7">
        <w:rPr>
          <w:szCs w:val="24"/>
        </w:rPr>
        <w:t xml:space="preserve"> </w:t>
      </w:r>
      <w:r w:rsidRPr="00BF2AF7">
        <w:rPr>
          <w:b/>
          <w:bCs/>
          <w:szCs w:val="24"/>
        </w:rPr>
        <w:t>2023</w:t>
      </w:r>
      <w:r w:rsidRPr="00BF2AF7">
        <w:rPr>
          <w:szCs w:val="24"/>
        </w:rPr>
        <w:t xml:space="preserve">, </w:t>
      </w:r>
      <w:r w:rsidRPr="00BF2AF7">
        <w:rPr>
          <w:i/>
          <w:iCs/>
          <w:szCs w:val="24"/>
        </w:rPr>
        <w:t>14</w:t>
      </w:r>
      <w:r w:rsidRPr="00BF2AF7">
        <w:rPr>
          <w:szCs w:val="24"/>
        </w:rPr>
        <w:t>, 1–14.</w:t>
      </w:r>
    </w:p>
    <w:p w14:paraId="7C496314"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 </w:t>
      </w:r>
      <w:r w:rsidRPr="00BF2AF7">
        <w:rPr>
          <w:szCs w:val="24"/>
        </w:rPr>
        <w:tab/>
        <w:t xml:space="preserve">Yue, S.; He, H.; Li, B.; Hou, T. Hydrogel as a biomaterial for bone tissue engineering: A review. </w:t>
      </w:r>
      <w:r w:rsidRPr="00BF2AF7">
        <w:rPr>
          <w:i/>
          <w:iCs/>
          <w:szCs w:val="24"/>
        </w:rPr>
        <w:t>Nanomaterials</w:t>
      </w:r>
      <w:r w:rsidRPr="00BF2AF7">
        <w:rPr>
          <w:szCs w:val="24"/>
        </w:rPr>
        <w:t xml:space="preserve"> </w:t>
      </w:r>
      <w:r w:rsidRPr="00BF2AF7">
        <w:rPr>
          <w:b/>
          <w:bCs/>
          <w:szCs w:val="24"/>
        </w:rPr>
        <w:t>2020</w:t>
      </w:r>
      <w:r w:rsidRPr="00BF2AF7">
        <w:rPr>
          <w:szCs w:val="24"/>
        </w:rPr>
        <w:t xml:space="preserve">, </w:t>
      </w:r>
      <w:r w:rsidRPr="00BF2AF7">
        <w:rPr>
          <w:i/>
          <w:iCs/>
          <w:szCs w:val="24"/>
        </w:rPr>
        <w:t>10</w:t>
      </w:r>
      <w:r w:rsidRPr="00BF2AF7">
        <w:rPr>
          <w:szCs w:val="24"/>
        </w:rPr>
        <w:t>, 1–25.</w:t>
      </w:r>
    </w:p>
    <w:p w14:paraId="266ADECB"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4. </w:t>
      </w:r>
      <w:r w:rsidRPr="00BF2AF7">
        <w:rPr>
          <w:szCs w:val="24"/>
        </w:rPr>
        <w:tab/>
        <w:t xml:space="preserve">Shahshahani, S.; Shahgholi, M.; Karimipour, A. The thermal performance and mechanical stability of methacrylic acid porous hydrogels in an aqueous medium at different initial temperatures and hydrogel volume fraction using the molecular dynamics simulation. </w:t>
      </w:r>
      <w:r w:rsidRPr="00BF2AF7">
        <w:rPr>
          <w:i/>
          <w:iCs/>
          <w:szCs w:val="24"/>
        </w:rPr>
        <w:t>J. Mol. Liq.</w:t>
      </w:r>
      <w:r w:rsidRPr="00BF2AF7">
        <w:rPr>
          <w:szCs w:val="24"/>
        </w:rPr>
        <w:t xml:space="preserve"> </w:t>
      </w:r>
      <w:r w:rsidRPr="00BF2AF7">
        <w:rPr>
          <w:b/>
          <w:bCs/>
          <w:szCs w:val="24"/>
        </w:rPr>
        <w:t>2023</w:t>
      </w:r>
      <w:r w:rsidRPr="00BF2AF7">
        <w:rPr>
          <w:szCs w:val="24"/>
        </w:rPr>
        <w:t xml:space="preserve">, </w:t>
      </w:r>
      <w:r w:rsidRPr="00BF2AF7">
        <w:rPr>
          <w:i/>
          <w:iCs/>
          <w:szCs w:val="24"/>
        </w:rPr>
        <w:t>382</w:t>
      </w:r>
      <w:r w:rsidRPr="00BF2AF7">
        <w:rPr>
          <w:szCs w:val="24"/>
        </w:rPr>
        <w:t>, 122001.</w:t>
      </w:r>
    </w:p>
    <w:p w14:paraId="6CF1D434"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5. </w:t>
      </w:r>
      <w:r w:rsidRPr="00BF2AF7">
        <w:rPr>
          <w:szCs w:val="24"/>
        </w:rPr>
        <w:tab/>
        <w:t xml:space="preserve">Hafezi, M.; Khorasani, S.N.; Zare, M.; Neisiany, R.E.; Davoodi, P. </w:t>
      </w:r>
      <w:r w:rsidRPr="00BF2AF7">
        <w:rPr>
          <w:i/>
          <w:iCs/>
          <w:szCs w:val="24"/>
        </w:rPr>
        <w:t>Advanced hydrogels for cartilage tissue engineering: Recent progress and future directions</w:t>
      </w:r>
      <w:r w:rsidRPr="00BF2AF7">
        <w:rPr>
          <w:szCs w:val="24"/>
        </w:rPr>
        <w:t>; 2021; Vol. 13; ISBN 8415683111.</w:t>
      </w:r>
    </w:p>
    <w:p w14:paraId="1466D384"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6. </w:t>
      </w:r>
      <w:r w:rsidRPr="00BF2AF7">
        <w:rPr>
          <w:szCs w:val="24"/>
        </w:rPr>
        <w:tab/>
        <w:t xml:space="preserve">Madhusudanan, P.; Raju, G.; Shankarappa, S. Hydrogel systems and their role in neural tissue engineering. </w:t>
      </w:r>
      <w:r w:rsidRPr="00BF2AF7">
        <w:rPr>
          <w:i/>
          <w:iCs/>
          <w:szCs w:val="24"/>
        </w:rPr>
        <w:t>J. R. Soc. Interface</w:t>
      </w:r>
      <w:r w:rsidRPr="00BF2AF7">
        <w:rPr>
          <w:szCs w:val="24"/>
        </w:rPr>
        <w:t xml:space="preserve"> </w:t>
      </w:r>
      <w:r w:rsidRPr="00BF2AF7">
        <w:rPr>
          <w:b/>
          <w:bCs/>
          <w:szCs w:val="24"/>
        </w:rPr>
        <w:t>2020</w:t>
      </w:r>
      <w:r w:rsidRPr="00BF2AF7">
        <w:rPr>
          <w:szCs w:val="24"/>
        </w:rPr>
        <w:t xml:space="preserve">, </w:t>
      </w:r>
      <w:r w:rsidRPr="00BF2AF7">
        <w:rPr>
          <w:i/>
          <w:iCs/>
          <w:szCs w:val="24"/>
        </w:rPr>
        <w:t>17</w:t>
      </w:r>
      <w:r w:rsidRPr="00BF2AF7">
        <w:rPr>
          <w:szCs w:val="24"/>
        </w:rPr>
        <w:t>.</w:t>
      </w:r>
    </w:p>
    <w:p w14:paraId="47CD35E9"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7. </w:t>
      </w:r>
      <w:r w:rsidRPr="00BF2AF7">
        <w:rPr>
          <w:szCs w:val="24"/>
        </w:rPr>
        <w:tab/>
        <w:t xml:space="preserve">Arjun Uppuluri, V.N.V.; Sathanantham, S.T.; Bhimavarapu, S.K.; Elumalai, L. Polymeric Hydrogel Scaffolds: Skin Tissue Engineering and Regeneration. </w:t>
      </w:r>
      <w:r w:rsidRPr="00BF2AF7">
        <w:rPr>
          <w:i/>
          <w:iCs/>
          <w:szCs w:val="24"/>
        </w:rPr>
        <w:t>Adv. Pharm. Bull.</w:t>
      </w:r>
      <w:r w:rsidRPr="00BF2AF7">
        <w:rPr>
          <w:szCs w:val="24"/>
        </w:rPr>
        <w:t xml:space="preserve"> </w:t>
      </w:r>
      <w:r w:rsidRPr="00BF2AF7">
        <w:rPr>
          <w:b/>
          <w:bCs/>
          <w:szCs w:val="24"/>
        </w:rPr>
        <w:t>2022</w:t>
      </w:r>
      <w:r w:rsidRPr="00BF2AF7">
        <w:rPr>
          <w:szCs w:val="24"/>
        </w:rPr>
        <w:t xml:space="preserve">, </w:t>
      </w:r>
      <w:r w:rsidRPr="00BF2AF7">
        <w:rPr>
          <w:i/>
          <w:iCs/>
          <w:szCs w:val="24"/>
        </w:rPr>
        <w:t>12</w:t>
      </w:r>
      <w:r w:rsidRPr="00BF2AF7">
        <w:rPr>
          <w:szCs w:val="24"/>
        </w:rPr>
        <w:t>, 437–448.</w:t>
      </w:r>
    </w:p>
    <w:p w14:paraId="269A0603"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8. </w:t>
      </w:r>
      <w:r w:rsidRPr="00BF2AF7">
        <w:rPr>
          <w:szCs w:val="24"/>
        </w:rPr>
        <w:tab/>
        <w:t xml:space="preserve">Koochaki, A.; Shahgholi, M.; Sajadi, S.M.; Babadi, E.; Inc, M. Investigation of the mechanical stability of polyethylene glycol hydrogel reinforced with cellulose nanofibrils for wound healing: Molecular dynamics simulation. </w:t>
      </w:r>
      <w:r w:rsidRPr="00BF2AF7">
        <w:rPr>
          <w:i/>
          <w:iCs/>
          <w:szCs w:val="24"/>
        </w:rPr>
        <w:t>Eng. Anal. Bound. Elem.</w:t>
      </w:r>
      <w:r w:rsidRPr="00BF2AF7">
        <w:rPr>
          <w:szCs w:val="24"/>
        </w:rPr>
        <w:t xml:space="preserve"> </w:t>
      </w:r>
      <w:r w:rsidRPr="00BF2AF7">
        <w:rPr>
          <w:b/>
          <w:bCs/>
          <w:szCs w:val="24"/>
        </w:rPr>
        <w:t>2023</w:t>
      </w:r>
      <w:r w:rsidRPr="00BF2AF7">
        <w:rPr>
          <w:szCs w:val="24"/>
        </w:rPr>
        <w:t xml:space="preserve">, </w:t>
      </w:r>
      <w:r w:rsidRPr="00BF2AF7">
        <w:rPr>
          <w:i/>
          <w:iCs/>
          <w:szCs w:val="24"/>
        </w:rPr>
        <w:t>151</w:t>
      </w:r>
      <w:r w:rsidRPr="00BF2AF7">
        <w:rPr>
          <w:szCs w:val="24"/>
        </w:rPr>
        <w:t>, 1–7.</w:t>
      </w:r>
    </w:p>
    <w:p w14:paraId="7DE556CF"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9. </w:t>
      </w:r>
      <w:r w:rsidRPr="00BF2AF7">
        <w:rPr>
          <w:szCs w:val="24"/>
        </w:rPr>
        <w:tab/>
        <w:t xml:space="preserve">Douglas, T.E.L.; Vandrovcová, M.; Kročilová, N.; Keppler, J.K.; Zárubová, J.; Skirtach, A.G.; Bačáková, L. Application of whey protein isolate in bone regeneration: Effects on growth and osteogenic differentiation of bone-forming cells. </w:t>
      </w:r>
      <w:r w:rsidRPr="00BF2AF7">
        <w:rPr>
          <w:i/>
          <w:iCs/>
          <w:szCs w:val="24"/>
        </w:rPr>
        <w:t>J. Dairy Sci.</w:t>
      </w:r>
      <w:r w:rsidRPr="00BF2AF7">
        <w:rPr>
          <w:szCs w:val="24"/>
        </w:rPr>
        <w:t xml:space="preserve"> </w:t>
      </w:r>
      <w:r w:rsidRPr="00BF2AF7">
        <w:rPr>
          <w:b/>
          <w:bCs/>
          <w:szCs w:val="24"/>
        </w:rPr>
        <w:t>2018</w:t>
      </w:r>
      <w:r w:rsidRPr="00BF2AF7">
        <w:rPr>
          <w:szCs w:val="24"/>
        </w:rPr>
        <w:t xml:space="preserve">, </w:t>
      </w:r>
      <w:r w:rsidRPr="00BF2AF7">
        <w:rPr>
          <w:i/>
          <w:iCs/>
          <w:szCs w:val="24"/>
        </w:rPr>
        <w:t>101</w:t>
      </w:r>
      <w:r w:rsidRPr="00BF2AF7">
        <w:rPr>
          <w:szCs w:val="24"/>
        </w:rPr>
        <w:t>, 28–36.</w:t>
      </w:r>
    </w:p>
    <w:p w14:paraId="62404C77"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10. </w:t>
      </w:r>
      <w:r w:rsidRPr="00BF2AF7">
        <w:rPr>
          <w:szCs w:val="24"/>
        </w:rPr>
        <w:tab/>
        <w:t xml:space="preserve">Gupta, D.; Kocot, M.; Tryba, A.M.; Serafim, A.; Stancu, I.C.; Jaegermann, Z.; Pamuła, E.; Reilly, G.C.; Douglas, T.E.L. Novel naturally derived whey protein isolate and aragonite biocomposite hydrogels have potential for bone regeneration. </w:t>
      </w:r>
      <w:r w:rsidRPr="00BF2AF7">
        <w:rPr>
          <w:i/>
          <w:iCs/>
          <w:szCs w:val="24"/>
        </w:rPr>
        <w:t>Mater. Des.</w:t>
      </w:r>
      <w:r w:rsidRPr="00BF2AF7">
        <w:rPr>
          <w:szCs w:val="24"/>
        </w:rPr>
        <w:t xml:space="preserve"> </w:t>
      </w:r>
      <w:r w:rsidRPr="00BF2AF7">
        <w:rPr>
          <w:b/>
          <w:bCs/>
          <w:szCs w:val="24"/>
        </w:rPr>
        <w:t>2020</w:t>
      </w:r>
      <w:r w:rsidRPr="00BF2AF7">
        <w:rPr>
          <w:szCs w:val="24"/>
        </w:rPr>
        <w:t xml:space="preserve">, </w:t>
      </w:r>
      <w:r w:rsidRPr="00BF2AF7">
        <w:rPr>
          <w:i/>
          <w:iCs/>
          <w:szCs w:val="24"/>
        </w:rPr>
        <w:t>188</w:t>
      </w:r>
      <w:r w:rsidRPr="00BF2AF7">
        <w:rPr>
          <w:szCs w:val="24"/>
        </w:rPr>
        <w:t>.</w:t>
      </w:r>
    </w:p>
    <w:p w14:paraId="57C26871"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11. </w:t>
      </w:r>
      <w:r w:rsidRPr="00BF2AF7">
        <w:rPr>
          <w:szCs w:val="24"/>
        </w:rPr>
        <w:tab/>
        <w:t xml:space="preserve">Dziadek, M.; Kudlackova, R.; Zima, A.; Slosarczyk, A.; Ziabka, M.; Jelen, P.; Shkarina, S.; Cecilia, A.; Zuber, M.; Baumbach, T.; et al. Novel multicomponent organic–inorganic WPI/gelatin/CaP hydrogel composites for bone tissue engineering. </w:t>
      </w:r>
      <w:r w:rsidRPr="00BF2AF7">
        <w:rPr>
          <w:i/>
          <w:iCs/>
          <w:szCs w:val="24"/>
        </w:rPr>
        <w:t>J. Biomed. Mater. Res. - Part A</w:t>
      </w:r>
      <w:r w:rsidRPr="00BF2AF7">
        <w:rPr>
          <w:szCs w:val="24"/>
        </w:rPr>
        <w:t xml:space="preserve"> </w:t>
      </w:r>
      <w:r w:rsidRPr="00BF2AF7">
        <w:rPr>
          <w:b/>
          <w:bCs/>
          <w:szCs w:val="24"/>
        </w:rPr>
        <w:t>2019</w:t>
      </w:r>
      <w:r w:rsidRPr="00BF2AF7">
        <w:rPr>
          <w:szCs w:val="24"/>
        </w:rPr>
        <w:t xml:space="preserve">, </w:t>
      </w:r>
      <w:r w:rsidRPr="00BF2AF7">
        <w:rPr>
          <w:i/>
          <w:iCs/>
          <w:szCs w:val="24"/>
        </w:rPr>
        <w:t>107</w:t>
      </w:r>
      <w:r w:rsidRPr="00BF2AF7">
        <w:rPr>
          <w:szCs w:val="24"/>
        </w:rPr>
        <w:t>, 2479–2491.</w:t>
      </w:r>
    </w:p>
    <w:p w14:paraId="582D9084"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12. </w:t>
      </w:r>
      <w:r w:rsidRPr="00BF2AF7">
        <w:rPr>
          <w:szCs w:val="24"/>
        </w:rPr>
        <w:tab/>
        <w:t xml:space="preserve">Tai, C.S.; Chen, Y.Y.; Chen, W.L. β -Lactoglobulin Influences Human Immunity and Promotes Cell Proliferation. </w:t>
      </w:r>
      <w:r w:rsidRPr="00BF2AF7">
        <w:rPr>
          <w:i/>
          <w:iCs/>
          <w:szCs w:val="24"/>
        </w:rPr>
        <w:t>Biomed Res. Int.</w:t>
      </w:r>
      <w:r w:rsidRPr="00BF2AF7">
        <w:rPr>
          <w:szCs w:val="24"/>
        </w:rPr>
        <w:t xml:space="preserve"> </w:t>
      </w:r>
      <w:r w:rsidRPr="00BF2AF7">
        <w:rPr>
          <w:b/>
          <w:bCs/>
          <w:szCs w:val="24"/>
        </w:rPr>
        <w:t>2016</w:t>
      </w:r>
      <w:r w:rsidRPr="00BF2AF7">
        <w:rPr>
          <w:szCs w:val="24"/>
        </w:rPr>
        <w:t xml:space="preserve">, </w:t>
      </w:r>
      <w:r w:rsidRPr="00BF2AF7">
        <w:rPr>
          <w:i/>
          <w:iCs/>
          <w:szCs w:val="24"/>
        </w:rPr>
        <w:t>2016</w:t>
      </w:r>
      <w:r w:rsidRPr="00BF2AF7">
        <w:rPr>
          <w:szCs w:val="24"/>
        </w:rPr>
        <w:t>.</w:t>
      </w:r>
    </w:p>
    <w:p w14:paraId="670DED25"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lastRenderedPageBreak/>
        <w:t xml:space="preserve">13. </w:t>
      </w:r>
      <w:r w:rsidRPr="00BF2AF7">
        <w:rPr>
          <w:szCs w:val="24"/>
        </w:rPr>
        <w:tab/>
        <w:t xml:space="preserve">Srinath, P.; Abdul Azeem, P.; Venugopal Reddy, K. Review on calcium silicate-based bioceramics in bone tissue engineering. </w:t>
      </w:r>
      <w:r w:rsidRPr="00BF2AF7">
        <w:rPr>
          <w:i/>
          <w:iCs/>
          <w:szCs w:val="24"/>
        </w:rPr>
        <w:t>Int. J. Appl. Ceram. Technol.</w:t>
      </w:r>
      <w:r w:rsidRPr="00BF2AF7">
        <w:rPr>
          <w:szCs w:val="24"/>
        </w:rPr>
        <w:t xml:space="preserve"> </w:t>
      </w:r>
      <w:r w:rsidRPr="00BF2AF7">
        <w:rPr>
          <w:b/>
          <w:bCs/>
          <w:szCs w:val="24"/>
        </w:rPr>
        <w:t>2020</w:t>
      </w:r>
      <w:r w:rsidRPr="00BF2AF7">
        <w:rPr>
          <w:szCs w:val="24"/>
        </w:rPr>
        <w:t xml:space="preserve">, </w:t>
      </w:r>
      <w:r w:rsidRPr="00BF2AF7">
        <w:rPr>
          <w:i/>
          <w:iCs/>
          <w:szCs w:val="24"/>
        </w:rPr>
        <w:t>17</w:t>
      </w:r>
      <w:r w:rsidRPr="00BF2AF7">
        <w:rPr>
          <w:szCs w:val="24"/>
        </w:rPr>
        <w:t>, 2450–2464.</w:t>
      </w:r>
    </w:p>
    <w:p w14:paraId="1C4F9270"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14. </w:t>
      </w:r>
      <w:r w:rsidRPr="00BF2AF7">
        <w:rPr>
          <w:szCs w:val="24"/>
        </w:rPr>
        <w:tab/>
        <w:t xml:space="preserve">Liu, Z.; He, X.; Chen, S.; Yu, H. Advances in the use of calcium silicate-based materials in bone tissue engineering. </w:t>
      </w:r>
      <w:r w:rsidRPr="00BF2AF7">
        <w:rPr>
          <w:i/>
          <w:iCs/>
          <w:szCs w:val="24"/>
        </w:rPr>
        <w:t>Ceram. Int.</w:t>
      </w:r>
      <w:r w:rsidRPr="00BF2AF7">
        <w:rPr>
          <w:szCs w:val="24"/>
        </w:rPr>
        <w:t xml:space="preserve"> </w:t>
      </w:r>
      <w:r w:rsidRPr="00BF2AF7">
        <w:rPr>
          <w:b/>
          <w:bCs/>
          <w:szCs w:val="24"/>
        </w:rPr>
        <w:t>2023</w:t>
      </w:r>
      <w:r w:rsidRPr="00BF2AF7">
        <w:rPr>
          <w:szCs w:val="24"/>
        </w:rPr>
        <w:t xml:space="preserve">, </w:t>
      </w:r>
      <w:r w:rsidRPr="00BF2AF7">
        <w:rPr>
          <w:i/>
          <w:iCs/>
          <w:szCs w:val="24"/>
        </w:rPr>
        <w:t>49</w:t>
      </w:r>
      <w:r w:rsidRPr="00BF2AF7">
        <w:rPr>
          <w:szCs w:val="24"/>
        </w:rPr>
        <w:t>, 19355–19363.</w:t>
      </w:r>
    </w:p>
    <w:p w14:paraId="33B19F0A"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15. </w:t>
      </w:r>
      <w:r w:rsidRPr="00BF2AF7">
        <w:rPr>
          <w:szCs w:val="24"/>
        </w:rPr>
        <w:tab/>
        <w:t xml:space="preserve">Venkatraman, S.K.; Swamiappan, S. Review on calcium- and magnesium-based silicates for bone tissue engineering applications. </w:t>
      </w:r>
      <w:r w:rsidRPr="00BF2AF7">
        <w:rPr>
          <w:i/>
          <w:iCs/>
          <w:szCs w:val="24"/>
        </w:rPr>
        <w:t>J. Biomed. Mater. Res. - Part A</w:t>
      </w:r>
      <w:r w:rsidRPr="00BF2AF7">
        <w:rPr>
          <w:szCs w:val="24"/>
        </w:rPr>
        <w:t xml:space="preserve"> </w:t>
      </w:r>
      <w:r w:rsidRPr="00BF2AF7">
        <w:rPr>
          <w:b/>
          <w:bCs/>
          <w:szCs w:val="24"/>
        </w:rPr>
        <w:t>2020</w:t>
      </w:r>
      <w:r w:rsidRPr="00BF2AF7">
        <w:rPr>
          <w:szCs w:val="24"/>
        </w:rPr>
        <w:t xml:space="preserve">, </w:t>
      </w:r>
      <w:r w:rsidRPr="00BF2AF7">
        <w:rPr>
          <w:i/>
          <w:iCs/>
          <w:szCs w:val="24"/>
        </w:rPr>
        <w:t>108</w:t>
      </w:r>
      <w:r w:rsidRPr="00BF2AF7">
        <w:rPr>
          <w:szCs w:val="24"/>
        </w:rPr>
        <w:t>, 1546–1562.</w:t>
      </w:r>
    </w:p>
    <w:p w14:paraId="402F1FFE"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16. </w:t>
      </w:r>
      <w:r w:rsidRPr="00BF2AF7">
        <w:rPr>
          <w:szCs w:val="24"/>
        </w:rPr>
        <w:tab/>
        <w:t xml:space="preserve">Youness, R.A.; Tag El-deen, D.M.; Taha, M.A. A Review on Calcium Silicate Ceramics: Properties, Limitations, and Solutions for Their Use in Biomedical Applications. </w:t>
      </w:r>
      <w:r w:rsidRPr="00BF2AF7">
        <w:rPr>
          <w:i/>
          <w:iCs/>
          <w:szCs w:val="24"/>
        </w:rPr>
        <w:t>Silicon</w:t>
      </w:r>
      <w:r w:rsidRPr="00BF2AF7">
        <w:rPr>
          <w:szCs w:val="24"/>
        </w:rPr>
        <w:t xml:space="preserve"> </w:t>
      </w:r>
      <w:r w:rsidRPr="00BF2AF7">
        <w:rPr>
          <w:b/>
          <w:bCs/>
          <w:szCs w:val="24"/>
        </w:rPr>
        <w:t>2023</w:t>
      </w:r>
      <w:r w:rsidRPr="00BF2AF7">
        <w:rPr>
          <w:szCs w:val="24"/>
        </w:rPr>
        <w:t xml:space="preserve">, </w:t>
      </w:r>
      <w:r w:rsidRPr="00BF2AF7">
        <w:rPr>
          <w:i/>
          <w:iCs/>
          <w:szCs w:val="24"/>
        </w:rPr>
        <w:t>15</w:t>
      </w:r>
      <w:r w:rsidRPr="00BF2AF7">
        <w:rPr>
          <w:szCs w:val="24"/>
        </w:rPr>
        <w:t>, 2493–2505.</w:t>
      </w:r>
    </w:p>
    <w:p w14:paraId="6AEB398C"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17. </w:t>
      </w:r>
      <w:r w:rsidRPr="00BF2AF7">
        <w:rPr>
          <w:szCs w:val="24"/>
        </w:rPr>
        <w:tab/>
        <w:t xml:space="preserve">Zhang, N.; Molenda, J.A.; Fournelle, J.H.; Murphy, W.L.; Sahai, N. Effects of pseudowollastonite (CaSiO3) bioceramic on in vitro activity of human mesenchymal stem cells. </w:t>
      </w:r>
      <w:r w:rsidRPr="00BF2AF7">
        <w:rPr>
          <w:i/>
          <w:iCs/>
          <w:szCs w:val="24"/>
        </w:rPr>
        <w:t>Biomaterials</w:t>
      </w:r>
      <w:r w:rsidRPr="00BF2AF7">
        <w:rPr>
          <w:szCs w:val="24"/>
        </w:rPr>
        <w:t xml:space="preserve"> </w:t>
      </w:r>
      <w:r w:rsidRPr="00BF2AF7">
        <w:rPr>
          <w:b/>
          <w:bCs/>
          <w:szCs w:val="24"/>
        </w:rPr>
        <w:t>2010</w:t>
      </w:r>
      <w:r w:rsidRPr="00BF2AF7">
        <w:rPr>
          <w:szCs w:val="24"/>
        </w:rPr>
        <w:t xml:space="preserve">, </w:t>
      </w:r>
      <w:r w:rsidRPr="00BF2AF7">
        <w:rPr>
          <w:i/>
          <w:iCs/>
          <w:szCs w:val="24"/>
        </w:rPr>
        <w:t>31</w:t>
      </w:r>
      <w:r w:rsidRPr="00BF2AF7">
        <w:rPr>
          <w:szCs w:val="24"/>
        </w:rPr>
        <w:t>, 7653–7665.</w:t>
      </w:r>
    </w:p>
    <w:p w14:paraId="5D0BADBD"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18. </w:t>
      </w:r>
      <w:r w:rsidRPr="00BF2AF7">
        <w:rPr>
          <w:szCs w:val="24"/>
        </w:rPr>
        <w:tab/>
        <w:t xml:space="preserve">Klimek, K.; Przekora, A.; Benko, A.; Niemiec, W.; Blazewicz, M.; Ginalska, G. The use of calcium ions instead of heat treatment for β-1,3-glucan gelation improves biocompatibility of the β-1,3-glucan/HA bone scaffold. </w:t>
      </w:r>
      <w:r w:rsidRPr="00BF2AF7">
        <w:rPr>
          <w:i/>
          <w:iCs/>
          <w:szCs w:val="24"/>
        </w:rPr>
        <w:t>Carbohydr. Polym.</w:t>
      </w:r>
      <w:r w:rsidRPr="00BF2AF7">
        <w:rPr>
          <w:szCs w:val="24"/>
        </w:rPr>
        <w:t xml:space="preserve"> </w:t>
      </w:r>
      <w:r w:rsidRPr="00BF2AF7">
        <w:rPr>
          <w:b/>
          <w:bCs/>
          <w:szCs w:val="24"/>
        </w:rPr>
        <w:t>2017</w:t>
      </w:r>
      <w:r w:rsidRPr="00BF2AF7">
        <w:rPr>
          <w:szCs w:val="24"/>
        </w:rPr>
        <w:t xml:space="preserve">, </w:t>
      </w:r>
      <w:r w:rsidRPr="00BF2AF7">
        <w:rPr>
          <w:i/>
          <w:iCs/>
          <w:szCs w:val="24"/>
        </w:rPr>
        <w:t>164</w:t>
      </w:r>
      <w:r w:rsidRPr="00BF2AF7">
        <w:rPr>
          <w:szCs w:val="24"/>
        </w:rPr>
        <w:t>, 170–178.</w:t>
      </w:r>
    </w:p>
    <w:p w14:paraId="24150B7F"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19. </w:t>
      </w:r>
      <w:r w:rsidRPr="00BF2AF7">
        <w:rPr>
          <w:szCs w:val="24"/>
        </w:rPr>
        <w:tab/>
        <w:t xml:space="preserve">Kalaskar, D. </w:t>
      </w:r>
      <w:r w:rsidRPr="00BF2AF7">
        <w:rPr>
          <w:i/>
          <w:iCs/>
          <w:szCs w:val="24"/>
        </w:rPr>
        <w:t>Inorganic Biomaterials: Structure, Properties and Applications</w:t>
      </w:r>
      <w:r w:rsidRPr="00BF2AF7">
        <w:rPr>
          <w:szCs w:val="24"/>
        </w:rPr>
        <w:t>; Zhang, X., Ed.; Smithers Rapra: United Kingdom, 2014;</w:t>
      </w:r>
    </w:p>
    <w:p w14:paraId="5666C6D3"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20. </w:t>
      </w:r>
      <w:r w:rsidRPr="00BF2AF7">
        <w:rPr>
          <w:szCs w:val="24"/>
        </w:rPr>
        <w:tab/>
        <w:t xml:space="preserve">Nandiyanto, A.B.D.; Oktiani, R.; Ragadhita, R. Indonesian Journal of Science &amp; Technology How to Read and Interpret FTIR Spectroscope of Organic Material. </w:t>
      </w:r>
      <w:r w:rsidRPr="00BF2AF7">
        <w:rPr>
          <w:i/>
          <w:iCs/>
          <w:szCs w:val="24"/>
        </w:rPr>
        <w:t>Indones. J. Sci. Technol.</w:t>
      </w:r>
      <w:r w:rsidRPr="00BF2AF7">
        <w:rPr>
          <w:szCs w:val="24"/>
        </w:rPr>
        <w:t xml:space="preserve"> </w:t>
      </w:r>
      <w:r w:rsidRPr="00BF2AF7">
        <w:rPr>
          <w:b/>
          <w:bCs/>
          <w:szCs w:val="24"/>
        </w:rPr>
        <w:t>2019</w:t>
      </w:r>
      <w:r w:rsidRPr="00BF2AF7">
        <w:rPr>
          <w:szCs w:val="24"/>
        </w:rPr>
        <w:t xml:space="preserve">, </w:t>
      </w:r>
      <w:r w:rsidRPr="00BF2AF7">
        <w:rPr>
          <w:i/>
          <w:iCs/>
          <w:szCs w:val="24"/>
        </w:rPr>
        <w:t>4</w:t>
      </w:r>
      <w:r w:rsidRPr="00BF2AF7">
        <w:rPr>
          <w:szCs w:val="24"/>
        </w:rPr>
        <w:t>, 97–118.</w:t>
      </w:r>
    </w:p>
    <w:p w14:paraId="3FE675A1"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21. </w:t>
      </w:r>
      <w:r w:rsidRPr="00BF2AF7">
        <w:rPr>
          <w:szCs w:val="24"/>
        </w:rPr>
        <w:tab/>
        <w:t xml:space="preserve">Klimek, K.; Palka, K.; Truszkiewicz, W.; Douglas, T.E.L.; Nurzynska, A.; Ginalska, G. Could Curdlan/Whey Protein Isolate/Hydroxyapatite Biomaterials Be Considered as Promising Bone Scaffolds?—Fabrication, Characterization, and Evaluation of Cytocompatibility towards Osteoblast Cells In Vitro. </w:t>
      </w:r>
      <w:r w:rsidRPr="00BF2AF7">
        <w:rPr>
          <w:i/>
          <w:iCs/>
          <w:szCs w:val="24"/>
        </w:rPr>
        <w:t>Cells</w:t>
      </w:r>
      <w:r w:rsidRPr="00BF2AF7">
        <w:rPr>
          <w:szCs w:val="24"/>
        </w:rPr>
        <w:t xml:space="preserve"> </w:t>
      </w:r>
      <w:r w:rsidRPr="00BF2AF7">
        <w:rPr>
          <w:b/>
          <w:bCs/>
          <w:szCs w:val="24"/>
        </w:rPr>
        <w:t>2022</w:t>
      </w:r>
      <w:r w:rsidRPr="00BF2AF7">
        <w:rPr>
          <w:szCs w:val="24"/>
        </w:rPr>
        <w:t xml:space="preserve">, </w:t>
      </w:r>
      <w:r w:rsidRPr="00BF2AF7">
        <w:rPr>
          <w:i/>
          <w:iCs/>
          <w:szCs w:val="24"/>
        </w:rPr>
        <w:t>11</w:t>
      </w:r>
      <w:r w:rsidRPr="00BF2AF7">
        <w:rPr>
          <w:szCs w:val="24"/>
        </w:rPr>
        <w:t>.</w:t>
      </w:r>
    </w:p>
    <w:p w14:paraId="073B6753"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22. </w:t>
      </w:r>
      <w:r w:rsidRPr="00BF2AF7">
        <w:rPr>
          <w:szCs w:val="24"/>
        </w:rPr>
        <w:tab/>
        <w:t xml:space="preserve">Klimek, K.; Tarczynska, M.; Truszkiewicz, W.; Gaweda, K.; Douglas, T.; Ginalska, G. Freeze-Dried Curdlan/Whey Protein Isolate-Based Biomaterial as Promising Scaffold for Matrix-Associated Autologous Chondrocyte Transplantation — A Pilot In-Vitro Study. </w:t>
      </w:r>
      <w:r w:rsidRPr="00BF2AF7">
        <w:rPr>
          <w:i/>
          <w:iCs/>
          <w:szCs w:val="24"/>
        </w:rPr>
        <w:t>Cells</w:t>
      </w:r>
      <w:r w:rsidRPr="00BF2AF7">
        <w:rPr>
          <w:szCs w:val="24"/>
        </w:rPr>
        <w:t xml:space="preserve"> </w:t>
      </w:r>
      <w:r w:rsidRPr="00BF2AF7">
        <w:rPr>
          <w:b/>
          <w:bCs/>
          <w:szCs w:val="24"/>
        </w:rPr>
        <w:t>2022</w:t>
      </w:r>
      <w:r w:rsidRPr="00BF2AF7">
        <w:rPr>
          <w:szCs w:val="24"/>
        </w:rPr>
        <w:t xml:space="preserve">, </w:t>
      </w:r>
      <w:r w:rsidRPr="00BF2AF7">
        <w:rPr>
          <w:i/>
          <w:iCs/>
          <w:szCs w:val="24"/>
        </w:rPr>
        <w:t>11</w:t>
      </w:r>
      <w:r w:rsidRPr="00BF2AF7">
        <w:rPr>
          <w:szCs w:val="24"/>
        </w:rPr>
        <w:t>, 282.</w:t>
      </w:r>
    </w:p>
    <w:p w14:paraId="0CF799B9"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23. </w:t>
      </w:r>
      <w:r w:rsidRPr="00BF2AF7">
        <w:rPr>
          <w:szCs w:val="24"/>
        </w:rPr>
        <w:tab/>
        <w:t xml:space="preserve">Rao, X.; Huang, X.; Zhou, Z.; Lin, X. An improvement of the 2ˆ(-delta delta CT) method for quantitative real-time polymerase chain reaction data analysis. </w:t>
      </w:r>
      <w:r w:rsidRPr="00BF2AF7">
        <w:rPr>
          <w:i/>
          <w:iCs/>
          <w:szCs w:val="24"/>
        </w:rPr>
        <w:t>Biostat. Bioinforma. Biomath.</w:t>
      </w:r>
      <w:r w:rsidRPr="00BF2AF7">
        <w:rPr>
          <w:szCs w:val="24"/>
        </w:rPr>
        <w:t xml:space="preserve"> </w:t>
      </w:r>
      <w:r w:rsidRPr="00BF2AF7">
        <w:rPr>
          <w:b/>
          <w:bCs/>
          <w:szCs w:val="24"/>
        </w:rPr>
        <w:t>2013</w:t>
      </w:r>
      <w:r w:rsidRPr="00BF2AF7">
        <w:rPr>
          <w:szCs w:val="24"/>
        </w:rPr>
        <w:t xml:space="preserve">, </w:t>
      </w:r>
      <w:r w:rsidRPr="00BF2AF7">
        <w:rPr>
          <w:i/>
          <w:iCs/>
          <w:szCs w:val="24"/>
        </w:rPr>
        <w:t>3</w:t>
      </w:r>
      <w:r w:rsidRPr="00BF2AF7">
        <w:rPr>
          <w:szCs w:val="24"/>
        </w:rPr>
        <w:t>, 71–85.</w:t>
      </w:r>
    </w:p>
    <w:p w14:paraId="11D0F506"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24. </w:t>
      </w:r>
      <w:r w:rsidRPr="00BF2AF7">
        <w:rPr>
          <w:szCs w:val="24"/>
        </w:rPr>
        <w:tab/>
        <w:t>Primer-BLAST tool. Available online: http://www.ncbi.nlm.nih.gov/tools/primer-blast/(accessed on 12 April 2021).</w:t>
      </w:r>
    </w:p>
    <w:p w14:paraId="18549E1B"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25. </w:t>
      </w:r>
      <w:r w:rsidRPr="00BF2AF7">
        <w:rPr>
          <w:szCs w:val="24"/>
        </w:rPr>
        <w:tab/>
        <w:t xml:space="preserve">Hashemibeni, B.; Dehghani, L.; Sadeghi, F.; Esfandiari, E.; Gorbani, M.; Akhavan, A.; Tahani, S.T.; Bahramian, H.; Goharian, V. Bone repair with differentiated osteoblasts from adipose-derived stem cells in hydroxyapatite/tricalcium phosphate in vivo. </w:t>
      </w:r>
      <w:r w:rsidRPr="00BF2AF7">
        <w:rPr>
          <w:i/>
          <w:iCs/>
          <w:szCs w:val="24"/>
        </w:rPr>
        <w:t>Int. J. Prev. Med.</w:t>
      </w:r>
      <w:r w:rsidRPr="00BF2AF7">
        <w:rPr>
          <w:szCs w:val="24"/>
        </w:rPr>
        <w:t xml:space="preserve"> </w:t>
      </w:r>
      <w:r w:rsidRPr="00BF2AF7">
        <w:rPr>
          <w:b/>
          <w:bCs/>
          <w:szCs w:val="24"/>
        </w:rPr>
        <w:t>2016</w:t>
      </w:r>
      <w:r w:rsidRPr="00BF2AF7">
        <w:rPr>
          <w:szCs w:val="24"/>
        </w:rPr>
        <w:t xml:space="preserve">, </w:t>
      </w:r>
      <w:r w:rsidRPr="00BF2AF7">
        <w:rPr>
          <w:i/>
          <w:iCs/>
          <w:szCs w:val="24"/>
        </w:rPr>
        <w:t>2016</w:t>
      </w:r>
      <w:r w:rsidRPr="00BF2AF7">
        <w:rPr>
          <w:szCs w:val="24"/>
        </w:rPr>
        <w:t>.</w:t>
      </w:r>
    </w:p>
    <w:p w14:paraId="01422AC2"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26. </w:t>
      </w:r>
      <w:r w:rsidRPr="00BF2AF7">
        <w:rPr>
          <w:szCs w:val="24"/>
        </w:rPr>
        <w:tab/>
        <w:t xml:space="preserve">Dziadek, M.; Charuza, K.; Kudlackova, R.; Aveyard, J.; D’Sa, R.; Serafim, A.; Stancu, I.C.; Iovu, H.; Kerns, J.G.; Allinson, S.; et al. Modification of heat-induced whey protein isolate hydrogel with highly bioactive glass particles results in promising biomaterial for bone tissue engineering. </w:t>
      </w:r>
      <w:r w:rsidRPr="00BF2AF7">
        <w:rPr>
          <w:i/>
          <w:iCs/>
          <w:szCs w:val="24"/>
        </w:rPr>
        <w:t>Mater. Des.</w:t>
      </w:r>
      <w:r w:rsidRPr="00BF2AF7">
        <w:rPr>
          <w:szCs w:val="24"/>
        </w:rPr>
        <w:t xml:space="preserve"> </w:t>
      </w:r>
      <w:r w:rsidRPr="00BF2AF7">
        <w:rPr>
          <w:b/>
          <w:bCs/>
          <w:szCs w:val="24"/>
        </w:rPr>
        <w:t>2021</w:t>
      </w:r>
      <w:r w:rsidRPr="00BF2AF7">
        <w:rPr>
          <w:szCs w:val="24"/>
        </w:rPr>
        <w:t xml:space="preserve">, </w:t>
      </w:r>
      <w:r w:rsidRPr="00BF2AF7">
        <w:rPr>
          <w:i/>
          <w:iCs/>
          <w:szCs w:val="24"/>
        </w:rPr>
        <w:t>205</w:t>
      </w:r>
      <w:r w:rsidRPr="00BF2AF7">
        <w:rPr>
          <w:szCs w:val="24"/>
        </w:rPr>
        <w:t>, 109749.</w:t>
      </w:r>
    </w:p>
    <w:p w14:paraId="626F09C0"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lastRenderedPageBreak/>
        <w:t xml:space="preserve">27. </w:t>
      </w:r>
      <w:r w:rsidRPr="00BF2AF7">
        <w:rPr>
          <w:szCs w:val="24"/>
        </w:rPr>
        <w:tab/>
        <w:t xml:space="preserve">Baino, F.; Yamaguchi, S. The use of simulated body fluid (SBF) for assessing materials bioactivity in the context of tissue engineering: Review and challenges. </w:t>
      </w:r>
      <w:r w:rsidRPr="00BF2AF7">
        <w:rPr>
          <w:i/>
          <w:iCs/>
          <w:szCs w:val="24"/>
        </w:rPr>
        <w:t>Biomimetics</w:t>
      </w:r>
      <w:r w:rsidRPr="00BF2AF7">
        <w:rPr>
          <w:szCs w:val="24"/>
        </w:rPr>
        <w:t xml:space="preserve"> </w:t>
      </w:r>
      <w:r w:rsidRPr="00BF2AF7">
        <w:rPr>
          <w:b/>
          <w:bCs/>
          <w:szCs w:val="24"/>
        </w:rPr>
        <w:t>2020</w:t>
      </w:r>
      <w:r w:rsidRPr="00BF2AF7">
        <w:rPr>
          <w:szCs w:val="24"/>
        </w:rPr>
        <w:t xml:space="preserve">, </w:t>
      </w:r>
      <w:r w:rsidRPr="00BF2AF7">
        <w:rPr>
          <w:i/>
          <w:iCs/>
          <w:szCs w:val="24"/>
        </w:rPr>
        <w:t>5</w:t>
      </w:r>
      <w:r w:rsidRPr="00BF2AF7">
        <w:rPr>
          <w:szCs w:val="24"/>
        </w:rPr>
        <w:t>, 1–19.</w:t>
      </w:r>
    </w:p>
    <w:p w14:paraId="58D5EA35"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28. </w:t>
      </w:r>
      <w:r w:rsidRPr="00BF2AF7">
        <w:rPr>
          <w:szCs w:val="24"/>
        </w:rPr>
        <w:tab/>
        <w:t xml:space="preserve">Slota, D.; Gląb, M.; Tyliszczak, B.; Dogulas, T.E.L.; Rudnicka, K.; Miernik, K.; Urbaniak, M.M.; Rusek-Wala, P.; Sobczak-upiec, A. Composites based on hydroxyapatite and whey protein isolate for applications in bone regeneration. </w:t>
      </w:r>
      <w:r w:rsidRPr="00BF2AF7">
        <w:rPr>
          <w:i/>
          <w:iCs/>
          <w:szCs w:val="24"/>
        </w:rPr>
        <w:t>Materials (Basel).</w:t>
      </w:r>
      <w:r w:rsidRPr="00BF2AF7">
        <w:rPr>
          <w:szCs w:val="24"/>
        </w:rPr>
        <w:t xml:space="preserve"> </w:t>
      </w:r>
      <w:r w:rsidRPr="00BF2AF7">
        <w:rPr>
          <w:b/>
          <w:bCs/>
          <w:szCs w:val="24"/>
        </w:rPr>
        <w:t>2021</w:t>
      </w:r>
      <w:r w:rsidRPr="00BF2AF7">
        <w:rPr>
          <w:szCs w:val="24"/>
        </w:rPr>
        <w:t xml:space="preserve">, </w:t>
      </w:r>
      <w:r w:rsidRPr="00BF2AF7">
        <w:rPr>
          <w:i/>
          <w:iCs/>
          <w:szCs w:val="24"/>
        </w:rPr>
        <w:t>14</w:t>
      </w:r>
      <w:r w:rsidRPr="00BF2AF7">
        <w:rPr>
          <w:szCs w:val="24"/>
        </w:rPr>
        <w:t>.</w:t>
      </w:r>
    </w:p>
    <w:p w14:paraId="2186E84B"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29. </w:t>
      </w:r>
      <w:r w:rsidRPr="00BF2AF7">
        <w:rPr>
          <w:szCs w:val="24"/>
        </w:rPr>
        <w:tab/>
        <w:t xml:space="preserve">Killion, J.A.; Geever, L.M.; Devine, D.M.; Higginbotham, C.L. Fabrication and in vitro biological evaluation of photopolymerisable hydroxyapatite hydrogel composites for bone regeneration. </w:t>
      </w:r>
      <w:r w:rsidRPr="00BF2AF7">
        <w:rPr>
          <w:i/>
          <w:iCs/>
          <w:szCs w:val="24"/>
        </w:rPr>
        <w:t>J. Biomater. Appl.</w:t>
      </w:r>
      <w:r w:rsidRPr="00BF2AF7">
        <w:rPr>
          <w:szCs w:val="24"/>
        </w:rPr>
        <w:t xml:space="preserve"> </w:t>
      </w:r>
      <w:r w:rsidRPr="00BF2AF7">
        <w:rPr>
          <w:b/>
          <w:bCs/>
          <w:szCs w:val="24"/>
        </w:rPr>
        <w:t>2014</w:t>
      </w:r>
      <w:r w:rsidRPr="00BF2AF7">
        <w:rPr>
          <w:szCs w:val="24"/>
        </w:rPr>
        <w:t xml:space="preserve">, </w:t>
      </w:r>
      <w:r w:rsidRPr="00BF2AF7">
        <w:rPr>
          <w:i/>
          <w:iCs/>
          <w:szCs w:val="24"/>
        </w:rPr>
        <w:t>28</w:t>
      </w:r>
      <w:r w:rsidRPr="00BF2AF7">
        <w:rPr>
          <w:szCs w:val="24"/>
        </w:rPr>
        <w:t>, 1274–1283.</w:t>
      </w:r>
    </w:p>
    <w:p w14:paraId="4F8A5472"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30. </w:t>
      </w:r>
      <w:r w:rsidRPr="00BF2AF7">
        <w:rPr>
          <w:szCs w:val="24"/>
        </w:rPr>
        <w:tab/>
        <w:t xml:space="preserve">Canillas, M.; De Lima, G.G.; Rodríguez, M.A.; Nugent, M.J.D.; Devine, D.M. Bioactive composites fabricated by freezing-thawing method for bone regeneration applications. </w:t>
      </w:r>
      <w:r w:rsidRPr="00BF2AF7">
        <w:rPr>
          <w:i/>
          <w:iCs/>
          <w:szCs w:val="24"/>
        </w:rPr>
        <w:t>J. Polym. Sci. Part B Polym. Phys.</w:t>
      </w:r>
      <w:r w:rsidRPr="00BF2AF7">
        <w:rPr>
          <w:szCs w:val="24"/>
        </w:rPr>
        <w:t xml:space="preserve"> </w:t>
      </w:r>
      <w:r w:rsidRPr="00BF2AF7">
        <w:rPr>
          <w:b/>
          <w:bCs/>
          <w:szCs w:val="24"/>
        </w:rPr>
        <w:t>2016</w:t>
      </w:r>
      <w:r w:rsidRPr="00BF2AF7">
        <w:rPr>
          <w:szCs w:val="24"/>
        </w:rPr>
        <w:t xml:space="preserve">, </w:t>
      </w:r>
      <w:r w:rsidRPr="00BF2AF7">
        <w:rPr>
          <w:i/>
          <w:iCs/>
          <w:szCs w:val="24"/>
        </w:rPr>
        <w:t>54</w:t>
      </w:r>
      <w:r w:rsidRPr="00BF2AF7">
        <w:rPr>
          <w:szCs w:val="24"/>
        </w:rPr>
        <w:t>, 761–773.</w:t>
      </w:r>
    </w:p>
    <w:p w14:paraId="08D67308"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31. </w:t>
      </w:r>
      <w:r w:rsidRPr="00BF2AF7">
        <w:rPr>
          <w:szCs w:val="24"/>
        </w:rPr>
        <w:tab/>
        <w:t xml:space="preserve">Movasaghi, Z.; Rehman, S.; Rehman, I.U. Fourier transform infrared (FTIR) spectroscopy of biological tissues. </w:t>
      </w:r>
      <w:r w:rsidRPr="00BF2AF7">
        <w:rPr>
          <w:i/>
          <w:iCs/>
          <w:szCs w:val="24"/>
        </w:rPr>
        <w:t>Appl. Spectrosc. Rev.</w:t>
      </w:r>
      <w:r w:rsidRPr="00BF2AF7">
        <w:rPr>
          <w:szCs w:val="24"/>
        </w:rPr>
        <w:t xml:space="preserve"> </w:t>
      </w:r>
      <w:r w:rsidRPr="00BF2AF7">
        <w:rPr>
          <w:b/>
          <w:bCs/>
          <w:szCs w:val="24"/>
        </w:rPr>
        <w:t>2008</w:t>
      </w:r>
      <w:r w:rsidRPr="00BF2AF7">
        <w:rPr>
          <w:szCs w:val="24"/>
        </w:rPr>
        <w:t xml:space="preserve">, </w:t>
      </w:r>
      <w:r w:rsidRPr="00BF2AF7">
        <w:rPr>
          <w:i/>
          <w:iCs/>
          <w:szCs w:val="24"/>
        </w:rPr>
        <w:t>43</w:t>
      </w:r>
      <w:r w:rsidRPr="00BF2AF7">
        <w:rPr>
          <w:szCs w:val="24"/>
        </w:rPr>
        <w:t>, 134–179.</w:t>
      </w:r>
    </w:p>
    <w:p w14:paraId="2607B6AD"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32. </w:t>
      </w:r>
      <w:r w:rsidRPr="00BF2AF7">
        <w:rPr>
          <w:szCs w:val="24"/>
        </w:rPr>
        <w:tab/>
        <w:t xml:space="preserve">Nandiyanto, A.B.D.; Oktiani, R.; Ragadhita, R. How to read and interpret ftir spectroscope of organic material. </w:t>
      </w:r>
      <w:r w:rsidRPr="00BF2AF7">
        <w:rPr>
          <w:i/>
          <w:iCs/>
          <w:szCs w:val="24"/>
        </w:rPr>
        <w:t>Indones. J. Sci. Technol.</w:t>
      </w:r>
      <w:r w:rsidRPr="00BF2AF7">
        <w:rPr>
          <w:szCs w:val="24"/>
        </w:rPr>
        <w:t xml:space="preserve"> </w:t>
      </w:r>
      <w:r w:rsidRPr="00BF2AF7">
        <w:rPr>
          <w:b/>
          <w:bCs/>
          <w:szCs w:val="24"/>
        </w:rPr>
        <w:t>2019</w:t>
      </w:r>
      <w:r w:rsidRPr="00BF2AF7">
        <w:rPr>
          <w:szCs w:val="24"/>
        </w:rPr>
        <w:t xml:space="preserve">, </w:t>
      </w:r>
      <w:r w:rsidRPr="00BF2AF7">
        <w:rPr>
          <w:i/>
          <w:iCs/>
          <w:szCs w:val="24"/>
        </w:rPr>
        <w:t>4</w:t>
      </w:r>
      <w:r w:rsidRPr="00BF2AF7">
        <w:rPr>
          <w:szCs w:val="24"/>
        </w:rPr>
        <w:t>, 97–118.</w:t>
      </w:r>
    </w:p>
    <w:p w14:paraId="10F7CA3D"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33. </w:t>
      </w:r>
      <w:r w:rsidRPr="00BF2AF7">
        <w:rPr>
          <w:szCs w:val="24"/>
        </w:rPr>
        <w:tab/>
        <w:t xml:space="preserve">Paluszkiewicz, C.; Blazewicz, M.; Podporska, J.; Gumuła, T. Nucleation of hydroxyapatite layer on wollastonite material surface: FTIR studies. </w:t>
      </w:r>
      <w:r w:rsidRPr="00BF2AF7">
        <w:rPr>
          <w:i/>
          <w:iCs/>
          <w:szCs w:val="24"/>
        </w:rPr>
        <w:t>Vib. Spectrosc.</w:t>
      </w:r>
      <w:r w:rsidRPr="00BF2AF7">
        <w:rPr>
          <w:szCs w:val="24"/>
        </w:rPr>
        <w:t xml:space="preserve"> </w:t>
      </w:r>
      <w:r w:rsidRPr="00BF2AF7">
        <w:rPr>
          <w:b/>
          <w:bCs/>
          <w:szCs w:val="24"/>
        </w:rPr>
        <w:t>2008</w:t>
      </w:r>
      <w:r w:rsidRPr="00BF2AF7">
        <w:rPr>
          <w:szCs w:val="24"/>
        </w:rPr>
        <w:t xml:space="preserve">, </w:t>
      </w:r>
      <w:r w:rsidRPr="00BF2AF7">
        <w:rPr>
          <w:i/>
          <w:iCs/>
          <w:szCs w:val="24"/>
        </w:rPr>
        <w:t>48</w:t>
      </w:r>
      <w:r w:rsidRPr="00BF2AF7">
        <w:rPr>
          <w:szCs w:val="24"/>
        </w:rPr>
        <w:t>, 263–268.</w:t>
      </w:r>
    </w:p>
    <w:p w14:paraId="0D165344"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34. </w:t>
      </w:r>
      <w:r w:rsidRPr="00BF2AF7">
        <w:rPr>
          <w:szCs w:val="24"/>
        </w:rPr>
        <w:tab/>
        <w:t xml:space="preserve">Chen, W.; Liang, Y.; Hou, X.; Zhang, J.; Ding, H.; Sun, S.; Cao, H. Mechanical grinding preparation and characterization of TiO2-coated wollastonite composite pigments. </w:t>
      </w:r>
      <w:r w:rsidRPr="00BF2AF7">
        <w:rPr>
          <w:i/>
          <w:iCs/>
          <w:szCs w:val="24"/>
        </w:rPr>
        <w:t>Materials (Basel).</w:t>
      </w:r>
      <w:r w:rsidRPr="00BF2AF7">
        <w:rPr>
          <w:szCs w:val="24"/>
        </w:rPr>
        <w:t xml:space="preserve"> </w:t>
      </w:r>
      <w:r w:rsidRPr="00BF2AF7">
        <w:rPr>
          <w:b/>
          <w:bCs/>
          <w:szCs w:val="24"/>
        </w:rPr>
        <w:t>2018</w:t>
      </w:r>
      <w:r w:rsidRPr="00BF2AF7">
        <w:rPr>
          <w:szCs w:val="24"/>
        </w:rPr>
        <w:t xml:space="preserve">, </w:t>
      </w:r>
      <w:r w:rsidRPr="00BF2AF7">
        <w:rPr>
          <w:i/>
          <w:iCs/>
          <w:szCs w:val="24"/>
        </w:rPr>
        <w:t>11</w:t>
      </w:r>
      <w:r w:rsidRPr="00BF2AF7">
        <w:rPr>
          <w:szCs w:val="24"/>
        </w:rPr>
        <w:t>.</w:t>
      </w:r>
    </w:p>
    <w:p w14:paraId="2C8507A9" w14:textId="77777777" w:rsidR="00BF2AF7" w:rsidRPr="00BF2AF7" w:rsidRDefault="00BF2AF7" w:rsidP="00BF2AF7">
      <w:pPr>
        <w:widowControl w:val="0"/>
        <w:autoSpaceDE w:val="0"/>
        <w:autoSpaceDN w:val="0"/>
        <w:adjustRightInd w:val="0"/>
        <w:spacing w:before="240" w:after="60" w:line="240" w:lineRule="auto"/>
        <w:ind w:left="640" w:hanging="640"/>
        <w:rPr>
          <w:szCs w:val="24"/>
        </w:rPr>
      </w:pPr>
      <w:r w:rsidRPr="00BF2AF7">
        <w:rPr>
          <w:szCs w:val="24"/>
        </w:rPr>
        <w:t xml:space="preserve">35. </w:t>
      </w:r>
      <w:r w:rsidRPr="00BF2AF7">
        <w:rPr>
          <w:szCs w:val="24"/>
        </w:rPr>
        <w:tab/>
        <w:t xml:space="preserve">Satyanarayana, R. </w:t>
      </w:r>
      <w:r w:rsidRPr="00BF2AF7">
        <w:rPr>
          <w:i/>
          <w:iCs/>
          <w:szCs w:val="24"/>
        </w:rPr>
        <w:t>Ground Characterization and Foundations Proceedings of Indian Geotechnical Conference</w:t>
      </w:r>
      <w:r w:rsidRPr="00BF2AF7">
        <w:rPr>
          <w:szCs w:val="24"/>
        </w:rPr>
        <w:t>; Springer: Singapore, 2020;</w:t>
      </w:r>
    </w:p>
    <w:p w14:paraId="06839B77" w14:textId="77777777" w:rsidR="00BF2AF7" w:rsidRPr="00BF2AF7" w:rsidRDefault="00BF2AF7" w:rsidP="00BF2AF7">
      <w:pPr>
        <w:widowControl w:val="0"/>
        <w:autoSpaceDE w:val="0"/>
        <w:autoSpaceDN w:val="0"/>
        <w:adjustRightInd w:val="0"/>
        <w:spacing w:before="240" w:after="60" w:line="240" w:lineRule="auto"/>
        <w:ind w:left="640" w:hanging="640"/>
      </w:pPr>
      <w:r w:rsidRPr="00BF2AF7">
        <w:rPr>
          <w:szCs w:val="24"/>
        </w:rPr>
        <w:t xml:space="preserve">36. </w:t>
      </w:r>
      <w:r w:rsidRPr="00BF2AF7">
        <w:rPr>
          <w:szCs w:val="24"/>
        </w:rPr>
        <w:tab/>
        <w:t xml:space="preserve">Gbassi, G.; Yolou, F.; Sarr, S.; Atheba, P.; Amin, C.; Ake, M. Whey proteins analysis in aqueous medium and in artificial gastric and intestinal fluids. </w:t>
      </w:r>
      <w:r w:rsidRPr="00BF2AF7">
        <w:rPr>
          <w:i/>
          <w:iCs/>
          <w:szCs w:val="24"/>
        </w:rPr>
        <w:t>Int. J. Biol. Chem. Sci.</w:t>
      </w:r>
      <w:r w:rsidRPr="00BF2AF7">
        <w:rPr>
          <w:szCs w:val="24"/>
        </w:rPr>
        <w:t xml:space="preserve"> </w:t>
      </w:r>
      <w:r w:rsidRPr="00BF2AF7">
        <w:rPr>
          <w:b/>
          <w:bCs/>
          <w:szCs w:val="24"/>
        </w:rPr>
        <w:t>2012</w:t>
      </w:r>
      <w:r w:rsidRPr="00BF2AF7">
        <w:rPr>
          <w:szCs w:val="24"/>
        </w:rPr>
        <w:t xml:space="preserve">, </w:t>
      </w:r>
      <w:r w:rsidRPr="00BF2AF7">
        <w:rPr>
          <w:i/>
          <w:iCs/>
          <w:szCs w:val="24"/>
        </w:rPr>
        <w:t>6</w:t>
      </w:r>
      <w:r w:rsidRPr="00BF2AF7">
        <w:rPr>
          <w:szCs w:val="24"/>
        </w:rPr>
        <w:t>, 1828–1837.</w:t>
      </w:r>
    </w:p>
    <w:p w14:paraId="01EFD922" w14:textId="77777777" w:rsidR="0085634D" w:rsidRPr="00FA04F1" w:rsidRDefault="00590160" w:rsidP="00BF2AF7">
      <w:pPr>
        <w:widowControl w:val="0"/>
        <w:autoSpaceDE w:val="0"/>
        <w:autoSpaceDN w:val="0"/>
        <w:adjustRightInd w:val="0"/>
        <w:spacing w:before="240" w:after="60" w:line="240" w:lineRule="auto"/>
        <w:ind w:left="640" w:hanging="640"/>
      </w:pPr>
      <w:r>
        <w:fldChar w:fldCharType="end"/>
      </w:r>
    </w:p>
    <w:p w14:paraId="6969A9F7" w14:textId="77777777" w:rsidR="00A11CF6" w:rsidRPr="00E0508E" w:rsidRDefault="00E0508E" w:rsidP="00E0508E">
      <w:pPr>
        <w:pStyle w:val="MDPI63Notes"/>
      </w:pPr>
      <w:r w:rsidRPr="00E0508E">
        <w:rPr>
          <w:b/>
        </w:rPr>
        <w:t>Disclaimer/Publisher’s Note:</w:t>
      </w:r>
      <w:r w:rsidRPr="00E0508E">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w:t>
      </w:r>
      <w:proofErr w:type="gramStart"/>
      <w:r w:rsidRPr="00E0508E">
        <w:t>instructions</w:t>
      </w:r>
      <w:proofErr w:type="gramEnd"/>
      <w:r w:rsidRPr="00E0508E">
        <w:t xml:space="preserve"> or products referred to in the content.</w:t>
      </w:r>
    </w:p>
    <w:sectPr w:rsidR="00A11CF6" w:rsidRPr="00E0508E" w:rsidSect="00D91907">
      <w:headerReference w:type="even" r:id="rId22"/>
      <w:headerReference w:type="default" r:id="rId23"/>
      <w:footerReference w:type="default" r:id="rId24"/>
      <w:headerReference w:type="first" r:id="rId25"/>
      <w:footerReference w:type="first" r:id="rId2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5BAB3" w14:textId="77777777" w:rsidR="00547CAF" w:rsidRDefault="00547CAF">
      <w:pPr>
        <w:spacing w:line="240" w:lineRule="auto"/>
      </w:pPr>
      <w:r>
        <w:separator/>
      </w:r>
    </w:p>
  </w:endnote>
  <w:endnote w:type="continuationSeparator" w:id="0">
    <w:p w14:paraId="5F1F84A7" w14:textId="77777777" w:rsidR="00547CAF" w:rsidRDefault="00547C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B082" w14:textId="77777777" w:rsidR="00C67129" w:rsidRPr="00EE5642" w:rsidRDefault="00C67129" w:rsidP="00975B8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7A1A" w14:textId="77777777" w:rsidR="00C67129" w:rsidRDefault="00C67129" w:rsidP="00B3589F">
    <w:pPr>
      <w:pStyle w:val="MDPIfooterfirstpage"/>
      <w:pBdr>
        <w:top w:val="single" w:sz="4" w:space="0" w:color="000000"/>
      </w:pBdr>
      <w:adjustRightInd w:val="0"/>
      <w:snapToGrid w:val="0"/>
      <w:spacing w:before="480" w:line="100" w:lineRule="exact"/>
      <w:rPr>
        <w:i/>
      </w:rPr>
    </w:pPr>
  </w:p>
  <w:p w14:paraId="00DD126A" w14:textId="77777777" w:rsidR="00C67129" w:rsidRPr="008B308E" w:rsidRDefault="00C67129" w:rsidP="001C3497">
    <w:pPr>
      <w:pStyle w:val="MDPIfooterfirstpage"/>
      <w:tabs>
        <w:tab w:val="clear" w:pos="8845"/>
        <w:tab w:val="right" w:pos="10466"/>
      </w:tabs>
      <w:spacing w:line="240" w:lineRule="auto"/>
      <w:jc w:val="both"/>
      <w:rPr>
        <w:lang w:val="fr-CH"/>
      </w:rPr>
    </w:pPr>
    <w:r w:rsidRPr="004C57C3">
      <w:rPr>
        <w:i/>
      </w:rPr>
      <w:t>Materials</w:t>
    </w:r>
    <w:r>
      <w:rPr>
        <w:i/>
      </w:rPr>
      <w:t xml:space="preserve"> </w:t>
    </w:r>
    <w:r>
      <w:rPr>
        <w:b/>
      </w:rPr>
      <w:t>2023</w:t>
    </w:r>
    <w:r w:rsidRPr="00442467">
      <w:t>,</w:t>
    </w:r>
    <w:r>
      <w:rPr>
        <w:i/>
      </w:rPr>
      <w:t xml:space="preserve"> 16</w:t>
    </w:r>
    <w:r w:rsidRPr="00442467">
      <w:t xml:space="preserve">, </w:t>
    </w:r>
    <w:r>
      <w:t>x. https://doi.org/10.3390/xxxxx</w:t>
    </w:r>
    <w:r w:rsidRPr="008B308E">
      <w:rPr>
        <w:lang w:val="fr-CH"/>
      </w:rPr>
      <w:tab/>
      <w:t>www.mdpi.com/journal/</w:t>
    </w:r>
    <w:r w:rsidRPr="004C57C3">
      <w:t>materials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B8097" w14:textId="77777777" w:rsidR="00547CAF" w:rsidRDefault="00547CAF">
      <w:pPr>
        <w:spacing w:line="240" w:lineRule="auto"/>
      </w:pPr>
      <w:r>
        <w:separator/>
      </w:r>
    </w:p>
  </w:footnote>
  <w:footnote w:type="continuationSeparator" w:id="0">
    <w:p w14:paraId="14C5C76F" w14:textId="77777777" w:rsidR="00547CAF" w:rsidRDefault="00547C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755D" w14:textId="77777777" w:rsidR="00C67129" w:rsidRDefault="00C67129" w:rsidP="00975B8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C3093" w14:textId="77777777" w:rsidR="00C67129" w:rsidRDefault="00C67129" w:rsidP="001C3497">
    <w:pPr>
      <w:tabs>
        <w:tab w:val="right" w:pos="10466"/>
      </w:tabs>
      <w:adjustRightInd w:val="0"/>
      <w:snapToGrid w:val="0"/>
      <w:spacing w:line="240" w:lineRule="auto"/>
      <w:rPr>
        <w:sz w:val="16"/>
      </w:rPr>
    </w:pPr>
    <w:r>
      <w:rPr>
        <w:i/>
        <w:sz w:val="16"/>
      </w:rPr>
      <w:t xml:space="preserve">Materials </w:t>
    </w:r>
    <w:r>
      <w:rPr>
        <w:b/>
        <w:sz w:val="16"/>
      </w:rPr>
      <w:t>2023</w:t>
    </w:r>
    <w:r w:rsidRPr="00442467">
      <w:rPr>
        <w:sz w:val="16"/>
      </w:rPr>
      <w:t>,</w:t>
    </w:r>
    <w:r>
      <w:rPr>
        <w:i/>
        <w:sz w:val="16"/>
      </w:rPr>
      <w:t xml:space="preserve"> 16</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sidR="000C0848">
      <w:rPr>
        <w:sz w:val="16"/>
      </w:rPr>
      <w:t>17</w:t>
    </w:r>
    <w:r>
      <w:rPr>
        <w:sz w:val="16"/>
      </w:rPr>
      <w:fldChar w:fldCharType="end"/>
    </w:r>
    <w:r>
      <w:rPr>
        <w:sz w:val="16"/>
      </w:rPr>
      <w:t xml:space="preserve"> of </w:t>
    </w:r>
    <w:fldSimple w:instr=" NUMPAGES   \* MERGEFORMAT ">
      <w:r w:rsidR="000C0848" w:rsidRPr="000C0848">
        <w:rPr>
          <w:sz w:val="16"/>
        </w:rPr>
        <w:t>17</w:t>
      </w:r>
    </w:fldSimple>
  </w:p>
  <w:p w14:paraId="6E20348B" w14:textId="77777777" w:rsidR="00C67129" w:rsidRPr="00636F25" w:rsidRDefault="00C67129" w:rsidP="00B3589F">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67129" w:rsidRPr="001C3497" w14:paraId="03D4051C" w14:textId="77777777" w:rsidTr="005323FE">
      <w:trPr>
        <w:trHeight w:val="686"/>
      </w:trPr>
      <w:tc>
        <w:tcPr>
          <w:tcW w:w="3679" w:type="dxa"/>
          <w:shd w:val="clear" w:color="auto" w:fill="auto"/>
          <w:vAlign w:val="center"/>
        </w:tcPr>
        <w:p w14:paraId="23CAC7E2" w14:textId="77777777" w:rsidR="00C67129" w:rsidRPr="000802ED" w:rsidRDefault="00C67129" w:rsidP="001C3497">
          <w:pPr>
            <w:pStyle w:val="Header"/>
            <w:pBdr>
              <w:bottom w:val="none" w:sz="0" w:space="0" w:color="auto"/>
            </w:pBdr>
            <w:jc w:val="left"/>
            <w:rPr>
              <w:rFonts w:eastAsia="DengXian"/>
              <w:b/>
              <w:bCs/>
            </w:rPr>
          </w:pPr>
          <w:r w:rsidRPr="000802ED">
            <w:rPr>
              <w:rFonts w:eastAsia="DengXian"/>
              <w:b/>
              <w:bCs/>
              <w:lang w:val="pl-PL" w:eastAsia="pl-PL"/>
            </w:rPr>
            <w:drawing>
              <wp:inline distT="0" distB="0" distL="0" distR="0" wp14:anchorId="6CA35887" wp14:editId="5188350C">
                <wp:extent cx="1628140" cy="429260"/>
                <wp:effectExtent l="0" t="0" r="0" b="0"/>
                <wp:docPr id="1" name="Picture 7" descr="C:\Users\home\Desktop\logos\materials-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logos\materials-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140" cy="429260"/>
                        </a:xfrm>
                        <a:prstGeom prst="rect">
                          <a:avLst/>
                        </a:prstGeom>
                        <a:noFill/>
                        <a:ln>
                          <a:noFill/>
                        </a:ln>
                      </pic:spPr>
                    </pic:pic>
                  </a:graphicData>
                </a:graphic>
              </wp:inline>
            </w:drawing>
          </w:r>
        </w:p>
      </w:tc>
      <w:tc>
        <w:tcPr>
          <w:tcW w:w="4535" w:type="dxa"/>
          <w:shd w:val="clear" w:color="auto" w:fill="auto"/>
          <w:vAlign w:val="center"/>
        </w:tcPr>
        <w:p w14:paraId="3562F5F1" w14:textId="77777777" w:rsidR="00C67129" w:rsidRPr="000802ED" w:rsidRDefault="00C67129" w:rsidP="001C3497">
          <w:pPr>
            <w:pStyle w:val="Header"/>
            <w:pBdr>
              <w:bottom w:val="none" w:sz="0" w:space="0" w:color="auto"/>
            </w:pBdr>
            <w:rPr>
              <w:rFonts w:eastAsia="DengXian"/>
              <w:b/>
              <w:bCs/>
            </w:rPr>
          </w:pPr>
        </w:p>
      </w:tc>
      <w:tc>
        <w:tcPr>
          <w:tcW w:w="2273" w:type="dxa"/>
          <w:shd w:val="clear" w:color="auto" w:fill="auto"/>
          <w:vAlign w:val="center"/>
        </w:tcPr>
        <w:p w14:paraId="3081EFA9" w14:textId="77777777" w:rsidR="00C67129" w:rsidRPr="000802ED" w:rsidRDefault="00C67129" w:rsidP="005323FE">
          <w:pPr>
            <w:pStyle w:val="Header"/>
            <w:pBdr>
              <w:bottom w:val="none" w:sz="0" w:space="0" w:color="auto"/>
            </w:pBdr>
            <w:jc w:val="right"/>
            <w:rPr>
              <w:rFonts w:eastAsia="DengXian"/>
              <w:b/>
              <w:bCs/>
            </w:rPr>
          </w:pPr>
          <w:r>
            <w:rPr>
              <w:rFonts w:eastAsia="DengXian"/>
              <w:b/>
              <w:bCs/>
              <w:lang w:val="pl-PL" w:eastAsia="pl-PL"/>
            </w:rPr>
            <w:drawing>
              <wp:inline distT="0" distB="0" distL="0" distR="0" wp14:anchorId="7167DD74" wp14:editId="38A7B203">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77D4A70F" w14:textId="77777777" w:rsidR="00C67129" w:rsidRPr="00586845" w:rsidRDefault="00C67129" w:rsidP="00B3589F">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5A9F"/>
    <w:multiLevelType w:val="hybridMultilevel"/>
    <w:tmpl w:val="A35A1BB6"/>
    <w:lvl w:ilvl="0" w:tplc="E3CE17FC">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C6068"/>
    <w:multiLevelType w:val="hybridMultilevel"/>
    <w:tmpl w:val="FDC29C4E"/>
    <w:lvl w:ilvl="0" w:tplc="2C426012">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E6CFA"/>
    <w:multiLevelType w:val="hybridMultilevel"/>
    <w:tmpl w:val="15EE9E40"/>
    <w:lvl w:ilvl="0" w:tplc="C96CCAA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8B468F5"/>
    <w:multiLevelType w:val="hybridMultilevel"/>
    <w:tmpl w:val="E71CCDD4"/>
    <w:lvl w:ilvl="0" w:tplc="C0A033B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623852A1"/>
    <w:multiLevelType w:val="hybridMultilevel"/>
    <w:tmpl w:val="EA7C58EC"/>
    <w:lvl w:ilvl="0" w:tplc="1FC4ED08">
      <w:start w:val="986"/>
      <w:numFmt w:val="bullet"/>
      <w:lvlText w:val="-"/>
      <w:lvlJc w:val="left"/>
      <w:pPr>
        <w:ind w:left="720" w:hanging="360"/>
      </w:pPr>
      <w:rPr>
        <w:rFonts w:ascii="Palatino Linotype" w:eastAsia="SimSu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4939617">
    <w:abstractNumId w:val="6"/>
  </w:num>
  <w:num w:numId="2" w16cid:durableId="120460861">
    <w:abstractNumId w:val="8"/>
  </w:num>
  <w:num w:numId="3" w16cid:durableId="656081252">
    <w:abstractNumId w:val="5"/>
  </w:num>
  <w:num w:numId="4" w16cid:durableId="16705173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56485374">
    <w:abstractNumId w:val="7"/>
  </w:num>
  <w:num w:numId="6" w16cid:durableId="2056467667">
    <w:abstractNumId w:val="10"/>
  </w:num>
  <w:num w:numId="7" w16cid:durableId="135413828">
    <w:abstractNumId w:val="4"/>
  </w:num>
  <w:num w:numId="8" w16cid:durableId="1216311127">
    <w:abstractNumId w:val="10"/>
  </w:num>
  <w:num w:numId="9" w16cid:durableId="1496994074">
    <w:abstractNumId w:val="4"/>
  </w:num>
  <w:num w:numId="10" w16cid:durableId="132869528">
    <w:abstractNumId w:val="10"/>
  </w:num>
  <w:num w:numId="11" w16cid:durableId="1371489885">
    <w:abstractNumId w:val="4"/>
  </w:num>
  <w:num w:numId="12" w16cid:durableId="1533152542">
    <w:abstractNumId w:val="12"/>
  </w:num>
  <w:num w:numId="13" w16cid:durableId="1935286403">
    <w:abstractNumId w:val="10"/>
  </w:num>
  <w:num w:numId="14" w16cid:durableId="1373726155">
    <w:abstractNumId w:val="4"/>
  </w:num>
  <w:num w:numId="15" w16cid:durableId="1120495283">
    <w:abstractNumId w:val="3"/>
  </w:num>
  <w:num w:numId="16" w16cid:durableId="1219515589">
    <w:abstractNumId w:val="9"/>
  </w:num>
  <w:num w:numId="17" w16cid:durableId="568345828">
    <w:abstractNumId w:val="0"/>
  </w:num>
  <w:num w:numId="18" w16cid:durableId="2103842480">
    <w:abstractNumId w:val="10"/>
  </w:num>
  <w:num w:numId="19" w16cid:durableId="1022900728">
    <w:abstractNumId w:val="4"/>
  </w:num>
  <w:num w:numId="20" w16cid:durableId="1301233384">
    <w:abstractNumId w:val="3"/>
  </w:num>
  <w:num w:numId="21" w16cid:durableId="489173006">
    <w:abstractNumId w:val="0"/>
  </w:num>
  <w:num w:numId="22" w16cid:durableId="588736310">
    <w:abstractNumId w:val="2"/>
  </w:num>
  <w:num w:numId="23" w16cid:durableId="244998751">
    <w:abstractNumId w:val="1"/>
  </w:num>
  <w:num w:numId="24" w16cid:durableId="4167579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97684"/>
    <w:rsid w:val="00007ADD"/>
    <w:rsid w:val="000207EA"/>
    <w:rsid w:val="00026DCC"/>
    <w:rsid w:val="00032C91"/>
    <w:rsid w:val="0003519C"/>
    <w:rsid w:val="00036C6C"/>
    <w:rsid w:val="000377AE"/>
    <w:rsid w:val="00041F31"/>
    <w:rsid w:val="00055EC2"/>
    <w:rsid w:val="00061BB2"/>
    <w:rsid w:val="0006444D"/>
    <w:rsid w:val="000645EE"/>
    <w:rsid w:val="000708C1"/>
    <w:rsid w:val="00071BB3"/>
    <w:rsid w:val="00073489"/>
    <w:rsid w:val="000802ED"/>
    <w:rsid w:val="000B01B8"/>
    <w:rsid w:val="000B2395"/>
    <w:rsid w:val="000B25AF"/>
    <w:rsid w:val="000B5E01"/>
    <w:rsid w:val="000C0848"/>
    <w:rsid w:val="000C50E3"/>
    <w:rsid w:val="000E5EBC"/>
    <w:rsid w:val="000F124F"/>
    <w:rsid w:val="000F370B"/>
    <w:rsid w:val="000F5859"/>
    <w:rsid w:val="00112A02"/>
    <w:rsid w:val="00113C77"/>
    <w:rsid w:val="001162B2"/>
    <w:rsid w:val="00127588"/>
    <w:rsid w:val="0012785F"/>
    <w:rsid w:val="00131B3F"/>
    <w:rsid w:val="00134842"/>
    <w:rsid w:val="0015612D"/>
    <w:rsid w:val="0016525F"/>
    <w:rsid w:val="001707D4"/>
    <w:rsid w:val="001723E4"/>
    <w:rsid w:val="001A2DAD"/>
    <w:rsid w:val="001B55FD"/>
    <w:rsid w:val="001C0F36"/>
    <w:rsid w:val="001C1C66"/>
    <w:rsid w:val="001C3497"/>
    <w:rsid w:val="001C7501"/>
    <w:rsid w:val="001D2635"/>
    <w:rsid w:val="001E107B"/>
    <w:rsid w:val="001E2AEB"/>
    <w:rsid w:val="001E6FAA"/>
    <w:rsid w:val="001F5DE1"/>
    <w:rsid w:val="00204ED6"/>
    <w:rsid w:val="00211DE3"/>
    <w:rsid w:val="0021213A"/>
    <w:rsid w:val="00213722"/>
    <w:rsid w:val="002167C7"/>
    <w:rsid w:val="00225BC4"/>
    <w:rsid w:val="00227C97"/>
    <w:rsid w:val="00236CC4"/>
    <w:rsid w:val="00243DB9"/>
    <w:rsid w:val="002472A4"/>
    <w:rsid w:val="002554D4"/>
    <w:rsid w:val="0027573A"/>
    <w:rsid w:val="00291732"/>
    <w:rsid w:val="002A01AE"/>
    <w:rsid w:val="002B3650"/>
    <w:rsid w:val="002C0760"/>
    <w:rsid w:val="002C2622"/>
    <w:rsid w:val="002C6155"/>
    <w:rsid w:val="002D6CDA"/>
    <w:rsid w:val="002F1C37"/>
    <w:rsid w:val="002F5CF2"/>
    <w:rsid w:val="002F6A76"/>
    <w:rsid w:val="003039DE"/>
    <w:rsid w:val="00324CAE"/>
    <w:rsid w:val="0032540C"/>
    <w:rsid w:val="00326141"/>
    <w:rsid w:val="00332012"/>
    <w:rsid w:val="00333CEA"/>
    <w:rsid w:val="00361B22"/>
    <w:rsid w:val="003633EE"/>
    <w:rsid w:val="00371D15"/>
    <w:rsid w:val="003A1793"/>
    <w:rsid w:val="003B0FFA"/>
    <w:rsid w:val="003B3DA9"/>
    <w:rsid w:val="003B52D1"/>
    <w:rsid w:val="003C7549"/>
    <w:rsid w:val="003E3708"/>
    <w:rsid w:val="003E7336"/>
    <w:rsid w:val="003F746C"/>
    <w:rsid w:val="00401D30"/>
    <w:rsid w:val="00426A02"/>
    <w:rsid w:val="00430009"/>
    <w:rsid w:val="00440C57"/>
    <w:rsid w:val="00442467"/>
    <w:rsid w:val="00445132"/>
    <w:rsid w:val="004551A1"/>
    <w:rsid w:val="00457573"/>
    <w:rsid w:val="00462860"/>
    <w:rsid w:val="00474483"/>
    <w:rsid w:val="00474C12"/>
    <w:rsid w:val="004832D2"/>
    <w:rsid w:val="00483728"/>
    <w:rsid w:val="00490255"/>
    <w:rsid w:val="004903F6"/>
    <w:rsid w:val="00492814"/>
    <w:rsid w:val="004B786C"/>
    <w:rsid w:val="004F49AE"/>
    <w:rsid w:val="004F5433"/>
    <w:rsid w:val="004F7CF4"/>
    <w:rsid w:val="00503D54"/>
    <w:rsid w:val="005051E4"/>
    <w:rsid w:val="005061ED"/>
    <w:rsid w:val="00506FF2"/>
    <w:rsid w:val="005166B7"/>
    <w:rsid w:val="00523901"/>
    <w:rsid w:val="00523DD1"/>
    <w:rsid w:val="005306F6"/>
    <w:rsid w:val="005323FE"/>
    <w:rsid w:val="00532966"/>
    <w:rsid w:val="00547CAF"/>
    <w:rsid w:val="005527B4"/>
    <w:rsid w:val="00553969"/>
    <w:rsid w:val="00565795"/>
    <w:rsid w:val="00571190"/>
    <w:rsid w:val="005728A8"/>
    <w:rsid w:val="00577EEF"/>
    <w:rsid w:val="00580461"/>
    <w:rsid w:val="005811C3"/>
    <w:rsid w:val="00586845"/>
    <w:rsid w:val="00590160"/>
    <w:rsid w:val="00592975"/>
    <w:rsid w:val="005B2D15"/>
    <w:rsid w:val="005B4A51"/>
    <w:rsid w:val="005C75C4"/>
    <w:rsid w:val="005D00AC"/>
    <w:rsid w:val="005D56BB"/>
    <w:rsid w:val="005E0D88"/>
    <w:rsid w:val="005E4C33"/>
    <w:rsid w:val="005F73BB"/>
    <w:rsid w:val="00610001"/>
    <w:rsid w:val="006133CE"/>
    <w:rsid w:val="00614D6B"/>
    <w:rsid w:val="00615BC7"/>
    <w:rsid w:val="006369E9"/>
    <w:rsid w:val="00642F50"/>
    <w:rsid w:val="00653E2B"/>
    <w:rsid w:val="00655E7C"/>
    <w:rsid w:val="00656518"/>
    <w:rsid w:val="00664A2D"/>
    <w:rsid w:val="00671F5C"/>
    <w:rsid w:val="00677241"/>
    <w:rsid w:val="0068303E"/>
    <w:rsid w:val="00683D05"/>
    <w:rsid w:val="00692393"/>
    <w:rsid w:val="0069629C"/>
    <w:rsid w:val="006A7653"/>
    <w:rsid w:val="006B6635"/>
    <w:rsid w:val="006B755D"/>
    <w:rsid w:val="006C3C9D"/>
    <w:rsid w:val="006C3CAA"/>
    <w:rsid w:val="006C6493"/>
    <w:rsid w:val="006D7508"/>
    <w:rsid w:val="006E4318"/>
    <w:rsid w:val="006E4BD5"/>
    <w:rsid w:val="006E74EE"/>
    <w:rsid w:val="006F438F"/>
    <w:rsid w:val="007105D6"/>
    <w:rsid w:val="00712F6C"/>
    <w:rsid w:val="007152E3"/>
    <w:rsid w:val="00723478"/>
    <w:rsid w:val="00741743"/>
    <w:rsid w:val="007418BF"/>
    <w:rsid w:val="00750DBC"/>
    <w:rsid w:val="00761309"/>
    <w:rsid w:val="00763034"/>
    <w:rsid w:val="00782E71"/>
    <w:rsid w:val="00791162"/>
    <w:rsid w:val="00794A72"/>
    <w:rsid w:val="0079570A"/>
    <w:rsid w:val="007A3854"/>
    <w:rsid w:val="007A4F3C"/>
    <w:rsid w:val="007A7FD2"/>
    <w:rsid w:val="007B738D"/>
    <w:rsid w:val="007D0886"/>
    <w:rsid w:val="007D24E3"/>
    <w:rsid w:val="007D2721"/>
    <w:rsid w:val="007D5956"/>
    <w:rsid w:val="007D5EA0"/>
    <w:rsid w:val="007D734D"/>
    <w:rsid w:val="007F5359"/>
    <w:rsid w:val="007F7CDB"/>
    <w:rsid w:val="00803444"/>
    <w:rsid w:val="00804683"/>
    <w:rsid w:val="00804F18"/>
    <w:rsid w:val="00806D9E"/>
    <w:rsid w:val="00812FAE"/>
    <w:rsid w:val="00824C27"/>
    <w:rsid w:val="00825910"/>
    <w:rsid w:val="0082708C"/>
    <w:rsid w:val="00831FA2"/>
    <w:rsid w:val="00832398"/>
    <w:rsid w:val="00832912"/>
    <w:rsid w:val="0083512A"/>
    <w:rsid w:val="00853077"/>
    <w:rsid w:val="0085365F"/>
    <w:rsid w:val="00853A88"/>
    <w:rsid w:val="0085634D"/>
    <w:rsid w:val="00861DD5"/>
    <w:rsid w:val="00866A55"/>
    <w:rsid w:val="008840FA"/>
    <w:rsid w:val="00884EEA"/>
    <w:rsid w:val="008936FF"/>
    <w:rsid w:val="00894061"/>
    <w:rsid w:val="0089714B"/>
    <w:rsid w:val="008A2009"/>
    <w:rsid w:val="008A669C"/>
    <w:rsid w:val="008B0E22"/>
    <w:rsid w:val="008C2AC6"/>
    <w:rsid w:val="008C731F"/>
    <w:rsid w:val="008D2FAB"/>
    <w:rsid w:val="008D491B"/>
    <w:rsid w:val="008E5C88"/>
    <w:rsid w:val="00911008"/>
    <w:rsid w:val="009147BE"/>
    <w:rsid w:val="00917A41"/>
    <w:rsid w:val="0092286C"/>
    <w:rsid w:val="009371CA"/>
    <w:rsid w:val="00944176"/>
    <w:rsid w:val="009500BB"/>
    <w:rsid w:val="009725CB"/>
    <w:rsid w:val="00973E68"/>
    <w:rsid w:val="00974A5E"/>
    <w:rsid w:val="00975B88"/>
    <w:rsid w:val="0099140B"/>
    <w:rsid w:val="0099195D"/>
    <w:rsid w:val="009920A9"/>
    <w:rsid w:val="009A094E"/>
    <w:rsid w:val="009A3A9C"/>
    <w:rsid w:val="009A467F"/>
    <w:rsid w:val="009B7989"/>
    <w:rsid w:val="009B7AFD"/>
    <w:rsid w:val="009E016D"/>
    <w:rsid w:val="009E0A65"/>
    <w:rsid w:val="009F20C1"/>
    <w:rsid w:val="009F6061"/>
    <w:rsid w:val="009F6C82"/>
    <w:rsid w:val="009F70E6"/>
    <w:rsid w:val="00A010C5"/>
    <w:rsid w:val="00A041FB"/>
    <w:rsid w:val="00A05AA8"/>
    <w:rsid w:val="00A0721D"/>
    <w:rsid w:val="00A11CF6"/>
    <w:rsid w:val="00A1673C"/>
    <w:rsid w:val="00A20C65"/>
    <w:rsid w:val="00A22ECC"/>
    <w:rsid w:val="00A2628C"/>
    <w:rsid w:val="00A26316"/>
    <w:rsid w:val="00A27580"/>
    <w:rsid w:val="00A27BBD"/>
    <w:rsid w:val="00A42A75"/>
    <w:rsid w:val="00A44C3B"/>
    <w:rsid w:val="00A46C99"/>
    <w:rsid w:val="00A51DD4"/>
    <w:rsid w:val="00A54C80"/>
    <w:rsid w:val="00A701D0"/>
    <w:rsid w:val="00A72AAA"/>
    <w:rsid w:val="00AB3942"/>
    <w:rsid w:val="00AC25C4"/>
    <w:rsid w:val="00AC288B"/>
    <w:rsid w:val="00AD0D5D"/>
    <w:rsid w:val="00AD63D7"/>
    <w:rsid w:val="00AF2C0C"/>
    <w:rsid w:val="00B036B9"/>
    <w:rsid w:val="00B17DC3"/>
    <w:rsid w:val="00B23FAB"/>
    <w:rsid w:val="00B26E93"/>
    <w:rsid w:val="00B27FC2"/>
    <w:rsid w:val="00B3589F"/>
    <w:rsid w:val="00B3753E"/>
    <w:rsid w:val="00B42C32"/>
    <w:rsid w:val="00B5468B"/>
    <w:rsid w:val="00B548E2"/>
    <w:rsid w:val="00B5610A"/>
    <w:rsid w:val="00B56880"/>
    <w:rsid w:val="00B57A19"/>
    <w:rsid w:val="00B6292A"/>
    <w:rsid w:val="00B856A5"/>
    <w:rsid w:val="00B93779"/>
    <w:rsid w:val="00BA3598"/>
    <w:rsid w:val="00BA70F6"/>
    <w:rsid w:val="00BB1882"/>
    <w:rsid w:val="00BB7537"/>
    <w:rsid w:val="00BC7DB0"/>
    <w:rsid w:val="00BD4CF8"/>
    <w:rsid w:val="00BE08FA"/>
    <w:rsid w:val="00BE5097"/>
    <w:rsid w:val="00BF2AF7"/>
    <w:rsid w:val="00BF49F7"/>
    <w:rsid w:val="00C0127D"/>
    <w:rsid w:val="00C05BA5"/>
    <w:rsid w:val="00C13D9E"/>
    <w:rsid w:val="00C25E5D"/>
    <w:rsid w:val="00C27F2C"/>
    <w:rsid w:val="00C31539"/>
    <w:rsid w:val="00C33626"/>
    <w:rsid w:val="00C35A6C"/>
    <w:rsid w:val="00C36913"/>
    <w:rsid w:val="00C3799E"/>
    <w:rsid w:val="00C460EF"/>
    <w:rsid w:val="00C5103B"/>
    <w:rsid w:val="00C570DE"/>
    <w:rsid w:val="00C622EF"/>
    <w:rsid w:val="00C63A02"/>
    <w:rsid w:val="00C63FAC"/>
    <w:rsid w:val="00C67129"/>
    <w:rsid w:val="00C8180E"/>
    <w:rsid w:val="00C86B75"/>
    <w:rsid w:val="00C93746"/>
    <w:rsid w:val="00CA0573"/>
    <w:rsid w:val="00CB198A"/>
    <w:rsid w:val="00CC0314"/>
    <w:rsid w:val="00CD0B8C"/>
    <w:rsid w:val="00CF45AB"/>
    <w:rsid w:val="00CF5230"/>
    <w:rsid w:val="00CF5D03"/>
    <w:rsid w:val="00D00A08"/>
    <w:rsid w:val="00D06D1C"/>
    <w:rsid w:val="00D12D75"/>
    <w:rsid w:val="00D14E1C"/>
    <w:rsid w:val="00D27569"/>
    <w:rsid w:val="00D3575B"/>
    <w:rsid w:val="00D35E04"/>
    <w:rsid w:val="00D4372D"/>
    <w:rsid w:val="00D46BCE"/>
    <w:rsid w:val="00D638D0"/>
    <w:rsid w:val="00D666F1"/>
    <w:rsid w:val="00D75011"/>
    <w:rsid w:val="00D91907"/>
    <w:rsid w:val="00D91A3B"/>
    <w:rsid w:val="00D97684"/>
    <w:rsid w:val="00DA3A8B"/>
    <w:rsid w:val="00DA5A24"/>
    <w:rsid w:val="00DC37F2"/>
    <w:rsid w:val="00DC4F32"/>
    <w:rsid w:val="00DD3C11"/>
    <w:rsid w:val="00DE0BDE"/>
    <w:rsid w:val="00DE3510"/>
    <w:rsid w:val="00DE4698"/>
    <w:rsid w:val="00DE7030"/>
    <w:rsid w:val="00E0508E"/>
    <w:rsid w:val="00E10552"/>
    <w:rsid w:val="00E16280"/>
    <w:rsid w:val="00E178F6"/>
    <w:rsid w:val="00E17D10"/>
    <w:rsid w:val="00E2068F"/>
    <w:rsid w:val="00E318B4"/>
    <w:rsid w:val="00E3272C"/>
    <w:rsid w:val="00E352E0"/>
    <w:rsid w:val="00E45A72"/>
    <w:rsid w:val="00E46DDD"/>
    <w:rsid w:val="00E47CE8"/>
    <w:rsid w:val="00E52996"/>
    <w:rsid w:val="00E56926"/>
    <w:rsid w:val="00E626FE"/>
    <w:rsid w:val="00E75143"/>
    <w:rsid w:val="00E769A3"/>
    <w:rsid w:val="00E90AB9"/>
    <w:rsid w:val="00E94043"/>
    <w:rsid w:val="00EA2080"/>
    <w:rsid w:val="00EA3F39"/>
    <w:rsid w:val="00EA6F2C"/>
    <w:rsid w:val="00EB3D49"/>
    <w:rsid w:val="00EB6618"/>
    <w:rsid w:val="00EE7312"/>
    <w:rsid w:val="00EF712F"/>
    <w:rsid w:val="00EF75B4"/>
    <w:rsid w:val="00F037F9"/>
    <w:rsid w:val="00F07A2C"/>
    <w:rsid w:val="00F127A8"/>
    <w:rsid w:val="00F16A4C"/>
    <w:rsid w:val="00F200DF"/>
    <w:rsid w:val="00F20349"/>
    <w:rsid w:val="00F25A15"/>
    <w:rsid w:val="00F25CA1"/>
    <w:rsid w:val="00F324A8"/>
    <w:rsid w:val="00F4128A"/>
    <w:rsid w:val="00F42E7B"/>
    <w:rsid w:val="00F46552"/>
    <w:rsid w:val="00F5197E"/>
    <w:rsid w:val="00F613EC"/>
    <w:rsid w:val="00F71971"/>
    <w:rsid w:val="00F72557"/>
    <w:rsid w:val="00F746BC"/>
    <w:rsid w:val="00F75603"/>
    <w:rsid w:val="00F77B30"/>
    <w:rsid w:val="00F82F15"/>
    <w:rsid w:val="00F847FC"/>
    <w:rsid w:val="00F848A6"/>
    <w:rsid w:val="00F85C25"/>
    <w:rsid w:val="00F93458"/>
    <w:rsid w:val="00F9400C"/>
    <w:rsid w:val="00FA0624"/>
    <w:rsid w:val="00FA218E"/>
    <w:rsid w:val="00FA7264"/>
    <w:rsid w:val="00FB22E5"/>
    <w:rsid w:val="00FB4FBA"/>
    <w:rsid w:val="00FD0714"/>
    <w:rsid w:val="00FD2E4E"/>
    <w:rsid w:val="00FD6A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1CDD3E"/>
  <w15:docId w15:val="{F69DAF6C-5B26-489B-A566-87BD9AFC4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CF6"/>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11CF6"/>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11CF6"/>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11CF6"/>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11CF6"/>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11CF6"/>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11CF6"/>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11CF6"/>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11CF6"/>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F42E7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11CF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11CF6"/>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11CF6"/>
    <w:rPr>
      <w:rFonts w:ascii="Palatino Linotype" w:hAnsi="Palatino Linotype"/>
      <w:noProof/>
      <w:color w:val="000000"/>
      <w:szCs w:val="18"/>
    </w:rPr>
  </w:style>
  <w:style w:type="paragraph" w:styleId="Header">
    <w:name w:val="header"/>
    <w:basedOn w:val="Normal"/>
    <w:link w:val="HeaderChar"/>
    <w:uiPriority w:val="99"/>
    <w:rsid w:val="00A11CF6"/>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11CF6"/>
    <w:rPr>
      <w:rFonts w:ascii="Palatino Linotype" w:hAnsi="Palatino Linotype"/>
      <w:noProof/>
      <w:color w:val="000000"/>
      <w:szCs w:val="18"/>
    </w:rPr>
  </w:style>
  <w:style w:type="paragraph" w:customStyle="1" w:styleId="MDPIheaderjournallogo">
    <w:name w:val="MDPI_header_journal_logo"/>
    <w:qFormat/>
    <w:rsid w:val="00A11CF6"/>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11CF6"/>
    <w:pPr>
      <w:ind w:firstLine="0"/>
    </w:pPr>
  </w:style>
  <w:style w:type="paragraph" w:customStyle="1" w:styleId="MDPI31text">
    <w:name w:val="MDPI_3.1_text"/>
    <w:qFormat/>
    <w:rsid w:val="001E107B"/>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11CF6"/>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A11CF6"/>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11CF6"/>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11CF6"/>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23FE"/>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23FE"/>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11CF6"/>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11CF6"/>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11CF6"/>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A010C5"/>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11CF6"/>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11CF6"/>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11CF6"/>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A11CF6"/>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11CF6"/>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A11CF6"/>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11CF6"/>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11CF6"/>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11CF6"/>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32C91"/>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11CF6"/>
    <w:rPr>
      <w:rFonts w:cs="Tahoma"/>
      <w:szCs w:val="18"/>
    </w:rPr>
  </w:style>
  <w:style w:type="character" w:customStyle="1" w:styleId="BalloonTextChar">
    <w:name w:val="Balloon Text Char"/>
    <w:link w:val="BalloonText"/>
    <w:uiPriority w:val="99"/>
    <w:rsid w:val="00A11CF6"/>
    <w:rPr>
      <w:rFonts w:ascii="Palatino Linotype" w:hAnsi="Palatino Linotype" w:cs="Tahoma"/>
      <w:noProof/>
      <w:color w:val="000000"/>
      <w:szCs w:val="18"/>
    </w:rPr>
  </w:style>
  <w:style w:type="character" w:styleId="LineNumber">
    <w:name w:val="line number"/>
    <w:uiPriority w:val="99"/>
    <w:rsid w:val="00D91907"/>
    <w:rPr>
      <w:rFonts w:ascii="Palatino Linotype" w:hAnsi="Palatino Linotype"/>
      <w:sz w:val="16"/>
    </w:rPr>
  </w:style>
  <w:style w:type="table" w:customStyle="1" w:styleId="MDPI41threelinetable">
    <w:name w:val="MDPI_4.1_three_line_table"/>
    <w:basedOn w:val="TableNormal"/>
    <w:uiPriority w:val="99"/>
    <w:rsid w:val="00A11CF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11CF6"/>
    <w:rPr>
      <w:color w:val="0000FF"/>
      <w:u w:val="single"/>
    </w:rPr>
  </w:style>
  <w:style w:type="character" w:customStyle="1" w:styleId="UnresolvedMention1">
    <w:name w:val="Unresolved Mention1"/>
    <w:uiPriority w:val="99"/>
    <w:semiHidden/>
    <w:unhideWhenUsed/>
    <w:rsid w:val="00474483"/>
    <w:rPr>
      <w:color w:val="605E5C"/>
      <w:shd w:val="clear" w:color="auto" w:fill="E1DFDD"/>
    </w:rPr>
  </w:style>
  <w:style w:type="table" w:customStyle="1" w:styleId="PlainTable41">
    <w:name w:val="Plain Table 41"/>
    <w:basedOn w:val="TableNormal"/>
    <w:uiPriority w:val="44"/>
    <w:rsid w:val="0044246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A11CF6"/>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11CF6"/>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11CF6"/>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35E0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11CF6"/>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11CF6"/>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11CF6"/>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47CE8"/>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A11CF6"/>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11CF6"/>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11CF6"/>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11CF6"/>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11CF6"/>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11CF6"/>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11CF6"/>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11CF6"/>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11CF6"/>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11CF6"/>
  </w:style>
  <w:style w:type="paragraph" w:styleId="Bibliography">
    <w:name w:val="Bibliography"/>
    <w:basedOn w:val="Normal"/>
    <w:next w:val="Normal"/>
    <w:uiPriority w:val="37"/>
    <w:semiHidden/>
    <w:unhideWhenUsed/>
    <w:rsid w:val="00A11CF6"/>
  </w:style>
  <w:style w:type="paragraph" w:styleId="BodyText">
    <w:name w:val="Body Text"/>
    <w:link w:val="BodyTextChar"/>
    <w:rsid w:val="00A11CF6"/>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11CF6"/>
    <w:rPr>
      <w:rFonts w:ascii="Palatino Linotype" w:hAnsi="Palatino Linotype"/>
      <w:color w:val="000000"/>
      <w:sz w:val="24"/>
      <w:lang w:eastAsia="de-DE"/>
    </w:rPr>
  </w:style>
  <w:style w:type="character" w:styleId="CommentReference">
    <w:name w:val="annotation reference"/>
    <w:rsid w:val="00A11CF6"/>
    <w:rPr>
      <w:sz w:val="21"/>
      <w:szCs w:val="21"/>
    </w:rPr>
  </w:style>
  <w:style w:type="paragraph" w:styleId="CommentText">
    <w:name w:val="annotation text"/>
    <w:basedOn w:val="Normal"/>
    <w:link w:val="CommentTextChar"/>
    <w:rsid w:val="00A11CF6"/>
  </w:style>
  <w:style w:type="character" w:customStyle="1" w:styleId="CommentTextChar">
    <w:name w:val="Comment Text Char"/>
    <w:link w:val="CommentText"/>
    <w:rsid w:val="00A11CF6"/>
    <w:rPr>
      <w:rFonts w:ascii="Palatino Linotype" w:hAnsi="Palatino Linotype"/>
      <w:noProof/>
      <w:color w:val="000000"/>
    </w:rPr>
  </w:style>
  <w:style w:type="paragraph" w:styleId="CommentSubject">
    <w:name w:val="annotation subject"/>
    <w:basedOn w:val="CommentText"/>
    <w:next w:val="CommentText"/>
    <w:link w:val="CommentSubjectChar"/>
    <w:rsid w:val="00A11CF6"/>
    <w:rPr>
      <w:b/>
      <w:bCs/>
    </w:rPr>
  </w:style>
  <w:style w:type="character" w:customStyle="1" w:styleId="CommentSubjectChar">
    <w:name w:val="Comment Subject Char"/>
    <w:link w:val="CommentSubject"/>
    <w:rsid w:val="00A11CF6"/>
    <w:rPr>
      <w:rFonts w:ascii="Palatino Linotype" w:hAnsi="Palatino Linotype"/>
      <w:b/>
      <w:bCs/>
      <w:noProof/>
      <w:color w:val="000000"/>
    </w:rPr>
  </w:style>
  <w:style w:type="character" w:styleId="EndnoteReference">
    <w:name w:val="endnote reference"/>
    <w:rsid w:val="00A11CF6"/>
    <w:rPr>
      <w:vertAlign w:val="superscript"/>
    </w:rPr>
  </w:style>
  <w:style w:type="paragraph" w:styleId="EndnoteText">
    <w:name w:val="endnote text"/>
    <w:basedOn w:val="Normal"/>
    <w:link w:val="EndnoteTextChar"/>
    <w:semiHidden/>
    <w:unhideWhenUsed/>
    <w:rsid w:val="00A11CF6"/>
    <w:pPr>
      <w:spacing w:line="240" w:lineRule="auto"/>
    </w:pPr>
  </w:style>
  <w:style w:type="character" w:customStyle="1" w:styleId="EndnoteTextChar">
    <w:name w:val="Endnote Text Char"/>
    <w:link w:val="EndnoteText"/>
    <w:semiHidden/>
    <w:rsid w:val="00A11CF6"/>
    <w:rPr>
      <w:rFonts w:ascii="Palatino Linotype" w:hAnsi="Palatino Linotype"/>
      <w:noProof/>
      <w:color w:val="000000"/>
    </w:rPr>
  </w:style>
  <w:style w:type="character" w:styleId="FollowedHyperlink">
    <w:name w:val="FollowedHyperlink"/>
    <w:rsid w:val="00A11CF6"/>
    <w:rPr>
      <w:color w:val="954F72"/>
      <w:u w:val="single"/>
    </w:rPr>
  </w:style>
  <w:style w:type="paragraph" w:styleId="FootnoteText">
    <w:name w:val="footnote text"/>
    <w:basedOn w:val="Normal"/>
    <w:link w:val="FootnoteTextChar"/>
    <w:semiHidden/>
    <w:unhideWhenUsed/>
    <w:rsid w:val="00A11CF6"/>
    <w:pPr>
      <w:spacing w:line="240" w:lineRule="auto"/>
    </w:pPr>
  </w:style>
  <w:style w:type="character" w:customStyle="1" w:styleId="FootnoteTextChar">
    <w:name w:val="Footnote Text Char"/>
    <w:link w:val="FootnoteText"/>
    <w:semiHidden/>
    <w:rsid w:val="00A11CF6"/>
    <w:rPr>
      <w:rFonts w:ascii="Palatino Linotype" w:hAnsi="Palatino Linotype"/>
      <w:noProof/>
      <w:color w:val="000000"/>
    </w:rPr>
  </w:style>
  <w:style w:type="paragraph" w:styleId="NormalWeb">
    <w:name w:val="Normal (Web)"/>
    <w:basedOn w:val="Normal"/>
    <w:uiPriority w:val="99"/>
    <w:rsid w:val="00A11CF6"/>
    <w:rPr>
      <w:szCs w:val="24"/>
    </w:rPr>
  </w:style>
  <w:style w:type="paragraph" w:customStyle="1" w:styleId="MsoFootnoteText0">
    <w:name w:val="MsoFootnoteText"/>
    <w:basedOn w:val="NormalWeb"/>
    <w:qFormat/>
    <w:rsid w:val="00A11CF6"/>
    <w:rPr>
      <w:rFonts w:ascii="Times New Roman" w:hAnsi="Times New Roman"/>
    </w:rPr>
  </w:style>
  <w:style w:type="character" w:styleId="PageNumber">
    <w:name w:val="page number"/>
    <w:rsid w:val="00A11CF6"/>
  </w:style>
  <w:style w:type="character" w:styleId="PlaceholderText">
    <w:name w:val="Placeholder Text"/>
    <w:uiPriority w:val="99"/>
    <w:semiHidden/>
    <w:rsid w:val="00A11CF6"/>
    <w:rPr>
      <w:color w:val="808080"/>
    </w:rPr>
  </w:style>
  <w:style w:type="paragraph" w:customStyle="1" w:styleId="MDPI71FootNotes">
    <w:name w:val="MDPI_7.1_FootNotes"/>
    <w:qFormat/>
    <w:rsid w:val="00225BC4"/>
    <w:pPr>
      <w:numPr>
        <w:numId w:val="21"/>
      </w:numPr>
      <w:adjustRightInd w:val="0"/>
      <w:snapToGrid w:val="0"/>
      <w:spacing w:line="228" w:lineRule="auto"/>
    </w:pPr>
    <w:rPr>
      <w:rFonts w:ascii="Palatino Linotype" w:eastAsiaTheme="minorEastAsia" w:hAnsi="Palatino Linotype"/>
      <w:noProof/>
      <w:color w:val="000000"/>
      <w:sz w:val="18"/>
    </w:rPr>
  </w:style>
  <w:style w:type="paragraph" w:customStyle="1" w:styleId="Default">
    <w:name w:val="Default"/>
    <w:rsid w:val="00FA7264"/>
    <w:pPr>
      <w:autoSpaceDE w:val="0"/>
      <w:autoSpaceDN w:val="0"/>
      <w:adjustRightInd w:val="0"/>
    </w:pPr>
    <w:rPr>
      <w:rFonts w:cs="Calibri"/>
      <w:color w:val="000000"/>
      <w:sz w:val="24"/>
      <w:szCs w:val="24"/>
      <w:lang w:val="pl-PL"/>
    </w:rPr>
  </w:style>
  <w:style w:type="table" w:customStyle="1" w:styleId="TableGridLight1">
    <w:name w:val="Table Grid Light1"/>
    <w:basedOn w:val="TableNormal"/>
    <w:uiPriority w:val="40"/>
    <w:rsid w:val="008936FF"/>
    <w:rPr>
      <w:rFonts w:asciiTheme="minorHAnsi" w:eastAsiaTheme="minorHAnsi" w:hAnsiTheme="minorHAnsi" w:cstheme="minorBidi"/>
      <w:sz w:val="22"/>
      <w:szCs w:val="22"/>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12D75"/>
    <w:rPr>
      <w:rFonts w:ascii="Palatino Linotype" w:hAnsi="Palatino Linotype"/>
      <w:noProof/>
      <w:color w:val="000000"/>
    </w:rPr>
  </w:style>
  <w:style w:type="paragraph" w:styleId="ListParagraph">
    <w:name w:val="List Paragraph"/>
    <w:basedOn w:val="Normal"/>
    <w:uiPriority w:val="34"/>
    <w:qFormat/>
    <w:rsid w:val="007911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ieslaw.truszkiewicz@umlub.pl" TargetMode="External"/><Relationship Id="rId18" Type="http://schemas.openxmlformats.org/officeDocument/2006/relationships/image" Target="media/image4.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katarzyna.klimek@umlub.pl" TargetMode="External"/><Relationship Id="rId17" Type="http://schemas.openxmlformats.org/officeDocument/2006/relationships/image" Target="media/image3.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ksandra.nurzynska@umlub.p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douglas@lancaster.ac.uk"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mailto:d.baines3@lancaster.ac.u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t.ivory-cousins@lancaster.ac.uk" TargetMode="External"/><Relationship Id="rId14" Type="http://schemas.openxmlformats.org/officeDocument/2006/relationships/hyperlink" Target="mailto:k.palka@pollub.pl"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sia\Downloads\materials-template%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E7DA11-329C-4986-9E4A-F4A4447F0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materials-template (6)</Template>
  <TotalTime>0</TotalTime>
  <Pages>16</Pages>
  <Words>24861</Words>
  <Characters>141709</Characters>
  <Application>Microsoft Office Word</Application>
  <DocSecurity>0</DocSecurity>
  <Lines>1180</Lines>
  <Paragraphs>332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Type of the Paper (Article</vt:lpstr>
      <vt:lpstr>Type of the Paper (Article</vt:lpstr>
    </vt:vector>
  </TitlesOfParts>
  <Company/>
  <LinksUpToDate>false</LinksUpToDate>
  <CharactersWithSpaces>166238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creator>Kasia</dc:creator>
  <cp:lastModifiedBy>Timothy Douglas</cp:lastModifiedBy>
  <cp:revision>2</cp:revision>
  <dcterms:created xsi:type="dcterms:W3CDTF">2023-09-19T00:39:00Z</dcterms:created>
  <dcterms:modified xsi:type="dcterms:W3CDTF">2023-09-19T00:39:00Z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http://www.zotero.org/styles/materials</vt:lpwstr>
  </property>
  <property fmtid="{D5CDD505-2E9C-101B-9397-08002B2CF9AE}" pid="4" name="Mendeley Unique User Id_1">
    <vt:lpwstr>6651f791-d5fd-35f8-be3f-f800555c9497</vt:lpwstr>
  </property>
  <property fmtid="{D5CDD505-2E9C-101B-9397-08002B2CF9AE}" pid="5" name="Mendeley Recent Style Id 0_1">
    <vt:lpwstr>http://www.zotero.org/styles/acs-macro-letters</vt:lpwstr>
  </property>
  <property fmtid="{D5CDD505-2E9C-101B-9397-08002B2CF9AE}" pid="6" name="Mendeley Recent Style Name 0_1">
    <vt:lpwstr>ACS Macro Letters</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http://www.zotero.org/styles/bioactive-materials</vt:lpwstr>
  </property>
  <property fmtid="{D5CDD505-2E9C-101B-9397-08002B2CF9AE}" pid="12" name="Mendeley Recent Style Name 3_1">
    <vt:lpwstr>Bioactive Materials</vt:lpwstr>
  </property>
  <property fmtid="{D5CDD505-2E9C-101B-9397-08002B2CF9AE}" pid="13" name="Mendeley Recent Style Id 4_1">
    <vt:lpwstr>http://www.zotero.org/styles/carbohydrate-polymers</vt:lpwstr>
  </property>
  <property fmtid="{D5CDD505-2E9C-101B-9397-08002B2CF9AE}" pid="14" name="Mendeley Recent Style Name 4_1">
    <vt:lpwstr>Carbohydrate Polymers</vt:lpwstr>
  </property>
  <property fmtid="{D5CDD505-2E9C-101B-9397-08002B2CF9AE}" pid="15" name="Mendeley Recent Style Id 5_1">
    <vt:lpwstr>http://www.zotero.org/styles/cells</vt:lpwstr>
  </property>
  <property fmtid="{D5CDD505-2E9C-101B-9397-08002B2CF9AE}" pid="16" name="Mendeley Recent Style Name 5_1">
    <vt:lpwstr>Cells</vt:lpwstr>
  </property>
  <property fmtid="{D5CDD505-2E9C-101B-9397-08002B2CF9AE}" pid="17" name="Mendeley Recent Style Id 6_1">
    <vt:lpwstr>http://www.zotero.org/styles/international-journal-of-molecular-sciences</vt:lpwstr>
  </property>
  <property fmtid="{D5CDD505-2E9C-101B-9397-08002B2CF9AE}" pid="18" name="Mendeley Recent Style Name 6_1">
    <vt:lpwstr>International Journal of Molecular Sciences</vt:lpwstr>
  </property>
  <property fmtid="{D5CDD505-2E9C-101B-9397-08002B2CF9AE}" pid="19" name="Mendeley Recent Style Id 7_1">
    <vt:lpwstr>http://www.zotero.org/styles/materials</vt:lpwstr>
  </property>
  <property fmtid="{D5CDD505-2E9C-101B-9397-08002B2CF9AE}" pid="20" name="Mendeley Recent Style Name 7_1">
    <vt:lpwstr>Materials</vt:lpwstr>
  </property>
  <property fmtid="{D5CDD505-2E9C-101B-9397-08002B2CF9AE}" pid="21" name="Mendeley Recent Style Id 8_1">
    <vt:lpwstr>http://www.zotero.org/styles/materials-science-and-engineering-c</vt:lpwstr>
  </property>
  <property fmtid="{D5CDD505-2E9C-101B-9397-08002B2CF9AE}" pid="22" name="Mendeley Recent Style Name 8_1">
    <vt:lpwstr>Materials Science &amp; Engineering C</vt:lpwstr>
  </property>
  <property fmtid="{D5CDD505-2E9C-101B-9397-08002B2CF9AE}" pid="23" name="Mendeley Recent Style Id 9_1">
    <vt:lpwstr>http://www.zotero.org/styles/nutrients</vt:lpwstr>
  </property>
  <property fmtid="{D5CDD505-2E9C-101B-9397-08002B2CF9AE}" pid="24" name="Mendeley Recent Style Name 9_1">
    <vt:lpwstr>Nutrients</vt:lpwstr>
  </property>
</Properties>
</file>